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D5" w:rsidRDefault="002F5BD5">
      <w:pPr>
        <w:rPr>
          <w:sz w:val="28"/>
          <w:szCs w:val="28"/>
        </w:rPr>
      </w:pPr>
    </w:p>
    <w:p w:rsidR="002F5BD5" w:rsidRDefault="002F5BD5">
      <w:pPr>
        <w:rPr>
          <w:sz w:val="28"/>
          <w:szCs w:val="28"/>
        </w:rPr>
      </w:pPr>
    </w:p>
    <w:p w:rsidR="002F5BD5" w:rsidRDefault="002F5BD5">
      <w:pPr>
        <w:rPr>
          <w:sz w:val="28"/>
          <w:szCs w:val="28"/>
        </w:rPr>
      </w:pPr>
    </w:p>
    <w:p w:rsidR="002F5BD5" w:rsidRPr="002F5BD5" w:rsidRDefault="001B512F" w:rsidP="002F5BD5">
      <w:pPr>
        <w:rPr>
          <w:sz w:val="28"/>
          <w:szCs w:val="28"/>
        </w:rPr>
      </w:pPr>
      <w:r>
        <w:rPr>
          <w:sz w:val="28"/>
          <w:szCs w:val="28"/>
        </w:rPr>
        <w:t>Input-output analysis for business planning: a case study of the University of Sydney</w:t>
      </w:r>
    </w:p>
    <w:p w:rsidR="002F5BD5" w:rsidRDefault="002F5BD5"/>
    <w:p w:rsidR="002F5BD5" w:rsidRDefault="002F5BD5"/>
    <w:p w:rsidR="00820569" w:rsidRDefault="00820569">
      <w:r>
        <w:t>Manfred Lenzen</w:t>
      </w:r>
      <w:r w:rsidRPr="00820569">
        <w:rPr>
          <w:vertAlign w:val="superscript"/>
        </w:rPr>
        <w:t>a</w:t>
      </w:r>
      <w:r>
        <w:t>, Charlie Benrimoj</w:t>
      </w:r>
      <w:r w:rsidRPr="00820569">
        <w:rPr>
          <w:vertAlign w:val="superscript"/>
        </w:rPr>
        <w:t>b</w:t>
      </w:r>
      <w:r w:rsidR="004A6E58" w:rsidRPr="004A6E58">
        <w:t>,</w:t>
      </w:r>
      <w:r w:rsidR="004A6E58">
        <w:t xml:space="preserve"> Bob Kotic</w:t>
      </w:r>
      <w:r w:rsidR="00832A72">
        <w:rPr>
          <w:vertAlign w:val="superscript"/>
        </w:rPr>
        <w:t>b</w:t>
      </w:r>
    </w:p>
    <w:p w:rsidR="009355FE" w:rsidRDefault="009355FE">
      <w:pPr>
        <w:rPr>
          <w:vertAlign w:val="superscript"/>
        </w:rPr>
      </w:pPr>
    </w:p>
    <w:p w:rsidR="009355FE" w:rsidRDefault="009355FE">
      <w:pPr>
        <w:rPr>
          <w:vertAlign w:val="superscript"/>
        </w:rPr>
      </w:pPr>
    </w:p>
    <w:p w:rsidR="009355FE" w:rsidRDefault="009355FE">
      <w:pPr>
        <w:rPr>
          <w:vertAlign w:val="superscript"/>
        </w:rPr>
      </w:pPr>
    </w:p>
    <w:p w:rsidR="002F5BD5" w:rsidRDefault="00820569">
      <w:r w:rsidRPr="00820569">
        <w:rPr>
          <w:vertAlign w:val="superscript"/>
        </w:rPr>
        <w:t>a</w:t>
      </w:r>
      <w:r>
        <w:t xml:space="preserve"> </w:t>
      </w:r>
      <w:r w:rsidR="00C22C5C">
        <w:t>Corresponding author, ISA</w:t>
      </w:r>
      <w:r>
        <w:t>, School of Physics, A28 The University of Sydney NSW 2006, Australia</w:t>
      </w:r>
    </w:p>
    <w:p w:rsidR="009355FE" w:rsidRDefault="00820569">
      <w:r w:rsidRPr="00820569">
        <w:rPr>
          <w:vertAlign w:val="superscript"/>
        </w:rPr>
        <w:t>b</w:t>
      </w:r>
      <w:r>
        <w:t xml:space="preserve"> The Quadrangle</w:t>
      </w:r>
      <w:r w:rsidR="003A24B1">
        <w:t>,</w:t>
      </w:r>
      <w:r>
        <w:t xml:space="preserve"> A14, The University of Sydney NSW 2006, Australia </w:t>
      </w:r>
      <w:r w:rsidR="009355FE">
        <w:br w:type="column"/>
      </w:r>
    </w:p>
    <w:p w:rsidR="009355FE" w:rsidRDefault="009355FE"/>
    <w:p w:rsidR="009355FE" w:rsidRDefault="009355FE"/>
    <w:p w:rsidR="002C1108" w:rsidRDefault="002F5BD5">
      <w:r w:rsidRPr="009355FE">
        <w:rPr>
          <w:b/>
        </w:rPr>
        <w:t>Abstract</w:t>
      </w:r>
      <w:r>
        <w:t xml:space="preserve">: </w:t>
      </w:r>
    </w:p>
    <w:p w:rsidR="002F5BD5" w:rsidRDefault="001B512F" w:rsidP="00506C8C">
      <w:pPr>
        <w:jc w:val="both"/>
      </w:pPr>
      <w:r>
        <w:t xml:space="preserve">We present a multi-region input-output (MRIO) model of the </w:t>
      </w:r>
      <w:r w:rsidR="002F5BD5">
        <w:t xml:space="preserve">University of Sydney </w:t>
      </w:r>
      <w:r>
        <w:t>embedded in the Australian economy, which forms the centrepiece of a new</w:t>
      </w:r>
      <w:r w:rsidR="002F5BD5">
        <w:t xml:space="preserve"> data-driven framework for strategic forecasting and planning of </w:t>
      </w:r>
      <w:r>
        <w:t>the university’s</w:t>
      </w:r>
      <w:r w:rsidR="002F5BD5">
        <w:t xml:space="preserve"> financial operations. This framework </w:t>
      </w:r>
      <w:r>
        <w:t>incorporates</w:t>
      </w:r>
      <w:r w:rsidR="002F5BD5">
        <w:t xml:space="preserve"> </w:t>
      </w:r>
      <w:r>
        <w:t xml:space="preserve">both </w:t>
      </w:r>
      <w:r w:rsidR="002F5BD5">
        <w:t xml:space="preserve">Leontief’s well-known </w:t>
      </w:r>
      <w:r>
        <w:t xml:space="preserve">demand-pull, as well as Ghosh’s </w:t>
      </w:r>
      <w:r w:rsidR="002F5BD5">
        <w:t xml:space="preserve">supply-push </w:t>
      </w:r>
      <w:r>
        <w:t>exercise</w:t>
      </w:r>
      <w:r w:rsidR="002F5BD5">
        <w:t>. It is therefore able to estimate the immediate financial implications for the university</w:t>
      </w:r>
      <w:r w:rsidR="002C1108">
        <w:t>, and the economy-wide flow-on effects</w:t>
      </w:r>
      <w:r w:rsidR="002F5BD5">
        <w:t xml:space="preserve">, for example </w:t>
      </w:r>
      <w:r w:rsidR="002C1108">
        <w:t xml:space="preserve">as a result </w:t>
      </w:r>
      <w:r w:rsidR="002F5BD5">
        <w:t xml:space="preserve">of changes in demand for courses by students, or </w:t>
      </w:r>
      <w:r w:rsidR="002C1108">
        <w:t>as a result of</w:t>
      </w:r>
      <w:r w:rsidR="002F5BD5">
        <w:t xml:space="preserve"> </w:t>
      </w:r>
      <w:r w:rsidR="00825D28">
        <w:t xml:space="preserve">supply-side </w:t>
      </w:r>
      <w:r w:rsidR="002F5BD5">
        <w:t>changes such as wage increases.</w:t>
      </w:r>
      <w:r w:rsidR="00E249FA">
        <w:t xml:space="preserve"> We report on recent </w:t>
      </w:r>
      <w:r w:rsidR="000E7EF7">
        <w:t>scenario</w:t>
      </w:r>
      <w:r>
        <w:t xml:space="preserve"> studies</w:t>
      </w:r>
      <w:r w:rsidR="00E249FA">
        <w:t xml:space="preserve"> </w:t>
      </w:r>
      <w:r w:rsidR="00506C8C">
        <w:t>on the financial performance of the teaching and research functions of the university</w:t>
      </w:r>
      <w:r w:rsidR="00E249FA">
        <w:t xml:space="preserve">, and the </w:t>
      </w:r>
      <w:r w:rsidR="004153DB">
        <w:t>lessons learned for management practice.</w:t>
      </w:r>
    </w:p>
    <w:p w:rsidR="004153DB" w:rsidRPr="00FD77FF" w:rsidRDefault="004153DB" w:rsidP="004153DB">
      <w:pPr>
        <w:pStyle w:val="ListParagraph"/>
        <w:numPr>
          <w:ilvl w:val="0"/>
          <w:numId w:val="1"/>
        </w:numPr>
        <w:rPr>
          <w:b/>
        </w:rPr>
      </w:pPr>
      <w:r>
        <w:br w:type="column"/>
      </w:r>
      <w:r w:rsidRPr="00FD77FF">
        <w:rPr>
          <w:b/>
        </w:rPr>
        <w:lastRenderedPageBreak/>
        <w:t>Introduction</w:t>
      </w:r>
    </w:p>
    <w:p w:rsidR="00C135F9" w:rsidRDefault="00C135F9" w:rsidP="00C135F9">
      <w:pPr>
        <w:jc w:val="both"/>
      </w:pPr>
      <w:r>
        <w:t>The idea of assessing the wider impacts of a university is not new. Already in the 1970s, researchers used input-output analysis to study the immediate and regional economic flow-on effects of a university’s operations (</w:t>
      </w:r>
      <w:r w:rsidR="00C2157F">
        <w:fldChar w:fldCharType="begin">
          <w:fldData xml:space="preserve">PEVuZE5vdGU+PENpdGU+PEF1dGhvcj5Ccm93bnJpZ2c8L0F1dGhvcj48WWVhcj4xOTczPC9ZZWFy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</w:fldData>
        </w:fldChar>
      </w:r>
      <w:r w:rsidR="006111D7">
        <w:instrText xml:space="preserve"> ADDIN EN.CITE </w:instrText>
      </w:r>
      <w:r w:rsidR="006111D7">
        <w:fldChar w:fldCharType="begin">
          <w:fldData xml:space="preserve">PEVuZE5vdGU+PENpdGU+PEF1dGhvcj5Ccm93bnJpZ2c8L0F1dGhvcj48WWVhcj4xOTczPC9ZZWFy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</w:fldData>
        </w:fldChar>
      </w:r>
      <w:r w:rsidR="006111D7">
        <w:instrText xml:space="preserve"> ADDIN EN.CITE.DATA </w:instrText>
      </w:r>
      <w:r w:rsidR="006111D7">
        <w:fldChar w:fldCharType="end"/>
      </w:r>
      <w:r w:rsidR="00C2157F">
        <w:fldChar w:fldCharType="separate"/>
      </w:r>
      <w:r w:rsidR="00411428">
        <w:t>Brownrigg 1973; Wilson and Raymond 1973; Lichty and Jesswein 1978</w:t>
      </w:r>
      <w:r w:rsidR="00C2157F">
        <w:fldChar w:fldCharType="end"/>
      </w:r>
      <w:r>
        <w:t>). More recently the emphasis has been on environmental implications of running a university, both on campus and beyond through the complex supply-chain network (</w:t>
      </w:r>
      <w:r w:rsidR="00C2157F">
        <w:fldChar w:fldCharType="begin"/>
      </w:r>
      <w:r w:rsidR="006111D7">
        <w:instrText xml:space="preserve"> ADDIN EN.CITE &lt;EndNote&gt;&lt;Cite&gt;&lt;Author&gt;Venetoulis&lt;/Author&gt;&lt;Year&gt;2001&lt;/Year&gt;&lt;RecNum&gt;1458&lt;/RecNum&gt;&lt;record&gt;&lt;rec-number&gt;1458&lt;/rec-number&gt;&lt;foreign-keys&gt;&lt;key app="EN" db-id="taawaxs5fzprace5p9jv25fnt2vd5xt2d520"&gt;1458&lt;/key&gt;&lt;/foreign-keys&gt;&lt;ref-type name="Journal Article"&gt;17&lt;/ref-type&gt;&lt;contributors&gt;&lt;authors&gt;&lt;author&gt;Venetoulis, J.&lt;/author&gt;&lt;/authors&gt;&lt;/contributors&gt;&lt;titles&gt;&lt;title&gt;Assessing the ecological impact of a university&lt;/title&gt;&lt;secondary-title&gt;International Journal of Sustainability in Higher Education&lt;/secondary-title&gt;&lt;/titles&gt;&lt;pages&gt;180-196&lt;/pages&gt;&lt;volume&gt;2&lt;/volume&gt;&lt;number&gt;2&lt;/number&gt;&lt;dates&gt;&lt;year&gt;2001&lt;/year&gt;&lt;/dates&gt;&lt;urls&gt;&lt;/urls&gt;&lt;/record&gt;&lt;/Cite&gt;&lt;Cite&gt;&lt;Author&gt;Viebahn&lt;/Author&gt;&lt;Year&gt;2000&lt;/Year&gt;&lt;RecNum&gt;1463&lt;/RecNum&gt;&lt;record&gt;&lt;rec-number&gt;1463&lt;/rec-number&gt;&lt;foreign-keys&gt;&lt;key app="EN" db-id="taawaxs5fzprace5p9jv25fnt2vd5xt2d520"&gt;1463&lt;/key&gt;&lt;/foreign-keys&gt;&lt;ref-type name="Journal Article"&gt;17&lt;/ref-type&gt;&lt;contributors&gt;&lt;authors&gt;&lt;author&gt;Viebahn, P.&lt;/author&gt;&lt;/authors&gt;&lt;/contributors&gt;&lt;titles&gt;&lt;title&gt;Sustainable university - Auf dem Weg zu einem universitären Agendaprozess&lt;/title&gt;&lt;secondary-title&gt;Umweltwissenschaften und Schadstoff-Forschung - Zeitschrift für Umweltchemie und Ökotoxikologie&lt;/secondary-title&gt;&lt;/titles&gt;&lt;pages&gt;284&lt;/pages&gt;&lt;volume&gt;12&lt;/volume&gt;&lt;number&gt;5&lt;/number&gt;&lt;dates&gt;&lt;year&gt;2000&lt;/year&gt;&lt;/dates&gt;&lt;urls&gt;&lt;/urls&gt;&lt;/record&gt;&lt;/Cite&gt;&lt;/EndNote&gt;</w:instrText>
      </w:r>
      <w:r w:rsidR="00C2157F">
        <w:fldChar w:fldCharType="separate"/>
      </w:r>
      <w:r w:rsidR="00411428">
        <w:t>Viebahn 2000; Venetoulis 2001</w:t>
      </w:r>
      <w:r w:rsidR="00C2157F">
        <w:fldChar w:fldCharType="end"/>
      </w:r>
      <w:r>
        <w:t xml:space="preserve">). </w:t>
      </w:r>
      <w:r w:rsidR="00C2157F">
        <w:fldChar w:fldCharType="begin"/>
      </w:r>
      <w:r w:rsidR="006111D7">
        <w:instrText xml:space="preserve"> ADDIN EN.CITE &lt;EndNote&gt;&lt;Cite&gt;&lt;Author&gt;Wood&lt;/Author&gt;&lt;Year&gt;2003&lt;/Year&gt;&lt;RecNum&gt;1537&lt;/RecNum&gt;&lt;record&gt;&lt;rec-number&gt;1537&lt;/rec-number&gt;&lt;foreign-keys&gt;&lt;key app="EN" db-id="taawaxs5fzprace5p9jv25fnt2vd5xt2d520"&gt;1537&lt;/key&gt;&lt;/foreign-keys&gt;&lt;ref-type name="Journal Article"&gt;17&lt;/ref-type&gt;&lt;contributors&gt;&lt;authors&gt;&lt;author&gt;Wood, R.&lt;/author&gt;&lt;author&gt;Lenzen, M.&lt;/author&gt;&lt;/authors&gt;&lt;/contributors&gt;&lt;titles&gt;&lt;title&gt;An application of an improved ecological footprint method and structural path analysis in a comparative institutional study&lt;/title&gt;&lt;secondary-title&gt;Local Environment&lt;/secondary-title&gt;&lt;/titles&gt;&lt;pages&gt;365-384&lt;/pages&gt;&lt;volume&gt;8&lt;/volume&gt;&lt;number&gt;4&lt;/number&gt;&lt;dates&gt;&lt;year&gt;2003&lt;/year&gt;&lt;/dates&gt;&lt;urls&gt;&lt;/urls&gt;&lt;/record&gt;&lt;/Cite&gt;&lt;/EndNote&gt;</w:instrText>
      </w:r>
      <w:r w:rsidR="00C2157F">
        <w:fldChar w:fldCharType="separate"/>
      </w:r>
      <w:r>
        <w:t>Wood and Lenzen 2003</w:t>
      </w:r>
      <w:r w:rsidR="00C2157F">
        <w:fldChar w:fldCharType="end"/>
      </w:r>
      <w:r>
        <w:t xml:space="preserve"> carried out the first comprehensive life-cycle assessment for the University of Sydney, using the School of Physics as a case study.</w:t>
      </w:r>
      <w:r w:rsidR="00820569">
        <w:t xml:space="preserve"> In 2009, the University released its first corporate Triple Bottom Line report based on input-output analysis, as successfully piloted by the Australian Government a few years prior (</w:t>
      </w:r>
      <w:r w:rsidR="00C2157F">
        <w:fldChar w:fldCharType="begin"/>
      </w:r>
      <w:r w:rsidR="006111D7">
        <w:instrText xml:space="preserve"> ADDIN EN.CITE &lt;EndNote&gt;&lt;Cite&gt;&lt;Author&gt;Foran&lt;/Author&gt;&lt;Year&gt;2005&lt;/Year&gt;&lt;RecNum&gt;2845&lt;/RecNum&gt;&lt;record&gt;&lt;rec-number&gt;2845&lt;/rec-number&gt;&lt;foreign-keys&gt;&lt;key app="EN" db-id="taawaxs5fzprace5p9jv25fnt2vd5xt2d520"&gt;2845&lt;/key&gt;&lt;/foreign-keys&gt;&lt;ref-type name="Report"&gt;27&lt;/ref-type&gt;&lt;contributors&gt;&lt;authors&gt;&lt;author&gt;Foran, B.&lt;/author&gt;&lt;author&gt;Lenzen, M.&lt;/author&gt;&lt;author&gt;Dey, C.&lt;/author&gt;&lt;/authors&gt;&lt;/contributors&gt;&lt;titles&gt;&lt;title&gt;Balancing Act - A Triple Bottom Line Account of the Australian Economy&lt;/title&gt;&lt;/titles&gt;&lt;dates&gt;&lt;year&gt;2005&lt;/year&gt;&lt;/dates&gt;&lt;pub-location&gt;Canberra, ACT, Australia&lt;/pub-location&gt;&lt;publisher&gt;CSIRO Resource Futures and The University of Sydney&lt;/publisher&gt;&lt;isbn&gt;http://www.isa.org.usyd.edu.au&lt;/isbn&gt;&lt;work-type&gt;Internet site&lt;/work-type&gt;&lt;urls&gt;&lt;/urls&gt;&lt;/record&gt;&lt;/Cite&gt;&lt;Cite&gt;&lt;Author&gt;Foran&lt;/Author&gt;&lt;Year&gt;2005&lt;/Year&gt;&lt;RecNum&gt;1992&lt;/RecNum&gt;&lt;record&gt;&lt;rec-number&gt;1992&lt;/rec-number&gt;&lt;foreign-keys&gt;&lt;key app="EN" db-id="taawaxs5fzprace5p9jv25fnt2vd5xt2d520"&gt;1992&lt;/key&gt;&lt;/foreign-keys&gt;&lt;ref-type name="Journal Article"&gt;17&lt;/ref-type&gt;&lt;contributors&gt;&lt;authors&gt;&lt;author&gt;Foran, B.&lt;/author&gt;&lt;author&gt;Lenzen, M.&lt;/author&gt;&lt;author&gt;Dey, C.&lt;/author&gt;&lt;author&gt;Bilek, M.&lt;/author&gt;&lt;/authors&gt;&lt;/contributors&gt;&lt;titles&gt;&lt;title&gt;Integrating Sustainable Chain Management with Triple Bottom Line Reporting&lt;/title&gt;&lt;secondary-title&gt;Ecological Economics&lt;/secondary-title&gt;&lt;/titles&gt;&lt;periodical&gt;&lt;full-title&gt;Ecological Economics&lt;/full-title&gt;&lt;/periodical&gt;&lt;pages&gt;143-157&lt;/pages&gt;&lt;volume&gt;52&lt;/volume&gt;&lt;number&gt;2&lt;/number&gt;&lt;dates&gt;&lt;year&gt;2005&lt;/year&gt;&lt;/dates&gt;&lt;urls&gt;&lt;/urls&gt;&lt;/record&gt;&lt;/Cite&gt;&lt;/EndNote&gt;</w:instrText>
      </w:r>
      <w:r w:rsidR="00C2157F">
        <w:fldChar w:fldCharType="separate"/>
      </w:r>
      <w:r w:rsidR="00820569">
        <w:t>Foran</w:t>
      </w:r>
      <w:r w:rsidR="00820569" w:rsidRPr="00820569">
        <w:rPr>
          <w:i/>
        </w:rPr>
        <w:t xml:space="preserve"> et al.</w:t>
      </w:r>
      <w:r w:rsidR="00820569">
        <w:t xml:space="preserve"> 2005a; Foran</w:t>
      </w:r>
      <w:r w:rsidR="00820569" w:rsidRPr="00820569">
        <w:rPr>
          <w:i/>
        </w:rPr>
        <w:t xml:space="preserve"> et al.</w:t>
      </w:r>
      <w:r w:rsidR="00820569">
        <w:t xml:space="preserve"> 2005b</w:t>
      </w:r>
      <w:r w:rsidR="00C2157F">
        <w:fldChar w:fldCharType="end"/>
      </w:r>
      <w:r w:rsidR="00820569">
        <w:t>).</w:t>
      </w:r>
    </w:p>
    <w:p w:rsidR="00832A72" w:rsidRDefault="00832A72" w:rsidP="00C135F9">
      <w:pPr>
        <w:jc w:val="both"/>
      </w:pPr>
      <w:r>
        <w:t xml:space="preserve">In funding </w:t>
      </w:r>
      <w:r w:rsidR="00C135F9">
        <w:t xml:space="preserve">this work </w:t>
      </w:r>
      <w:r>
        <w:t xml:space="preserve">the aim of the University of Sydney is twofold: </w:t>
      </w:r>
    </w:p>
    <w:p w:rsidR="00832A72" w:rsidRDefault="00832A72" w:rsidP="00832A72">
      <w:pPr>
        <w:pStyle w:val="ListParagraph"/>
        <w:numPr>
          <w:ilvl w:val="0"/>
          <w:numId w:val="8"/>
        </w:numPr>
        <w:jc w:val="both"/>
      </w:pPr>
      <w:r>
        <w:t>To</w:t>
      </w:r>
      <w:r w:rsidR="00C135F9">
        <w:t xml:space="preserve"> quantify </w:t>
      </w:r>
      <w:r>
        <w:t>the</w:t>
      </w:r>
      <w:r w:rsidR="00C135F9">
        <w:t xml:space="preserve"> economic, environmental and social impacts of </w:t>
      </w:r>
      <w:r>
        <w:t>it</w:t>
      </w:r>
      <w:r w:rsidR="00C135F9">
        <w:t xml:space="preserve">s operations, </w:t>
      </w:r>
      <w:r>
        <w:t>and in doing so, to set a high methodology standard by reporting on impacts in its</w:t>
      </w:r>
      <w:r w:rsidR="00C135F9">
        <w:t xml:space="preserve"> entire supply-chain network that exten</w:t>
      </w:r>
      <w:r>
        <w:t>ds across Australia and beyond.</w:t>
      </w:r>
    </w:p>
    <w:p w:rsidR="00832A72" w:rsidRDefault="00832A72" w:rsidP="00832A72">
      <w:pPr>
        <w:pStyle w:val="ListParagraph"/>
        <w:numPr>
          <w:ilvl w:val="0"/>
          <w:numId w:val="8"/>
        </w:numPr>
        <w:jc w:val="both"/>
      </w:pPr>
      <w:r>
        <w:t>To</w:t>
      </w:r>
      <w:r w:rsidR="00C135F9">
        <w:t xml:space="preserve"> investigate the interactions and interdependencies between the various business units within the University of Sydney, and </w:t>
      </w:r>
      <w:r>
        <w:t xml:space="preserve">to </w:t>
      </w:r>
      <w:r w:rsidR="00C135F9">
        <w:t xml:space="preserve">use this information for scenario exercises. </w:t>
      </w:r>
    </w:p>
    <w:p w:rsidR="00B355D7" w:rsidRDefault="00C135F9" w:rsidP="00C135F9">
      <w:pPr>
        <w:jc w:val="both"/>
      </w:pPr>
      <w:r>
        <w:t>Both aims can be met by using input-output analysis</w:t>
      </w:r>
      <w:r w:rsidR="00C03DDC">
        <w:t xml:space="preserve"> in general, by enterprise input-output models in particular</w:t>
      </w:r>
      <w:r>
        <w:t>.</w:t>
      </w:r>
      <w:r w:rsidR="00832A72">
        <w:t xml:space="preserve"> </w:t>
      </w:r>
      <w:r w:rsidR="00411428">
        <w:t xml:space="preserve">Enterprise models have been published extensively in this journal (for example </w:t>
      </w:r>
      <w:r w:rsidR="00C2157F">
        <w:fldChar w:fldCharType="begin">
          <w:fldData xml:space="preserve">PEVuZE5vdGU+PENpdGU+PEF1dGhvcj5BbGJpbm88L0F1dGhvcj48WWVhcj4yMDAzPC9ZZWFyPjxS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=
</w:fldData>
        </w:fldChar>
      </w:r>
      <w:r w:rsidR="006111D7">
        <w:instrText xml:space="preserve"> ADDIN EN.CITE </w:instrText>
      </w:r>
      <w:r w:rsidR="006111D7">
        <w:fldChar w:fldCharType="begin">
          <w:fldData xml:space="preserve">PEVuZE5vdGU+PENpdGU+PEF1dGhvcj5BbGJpbm88L0F1dGhvcj48WWVhcj4yMDAzPC9ZZWFyPjxS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=
</w:fldData>
        </w:fldChar>
      </w:r>
      <w:r w:rsidR="006111D7">
        <w:instrText xml:space="preserve"> ADDIN EN.CITE.DATA </w:instrText>
      </w:r>
      <w:r w:rsidR="006111D7">
        <w:fldChar w:fldCharType="end"/>
      </w:r>
      <w:r w:rsidR="00C2157F">
        <w:fldChar w:fldCharType="separate"/>
      </w:r>
      <w:r w:rsidR="00411428">
        <w:t>Grubbstrom and Tang 2000; Marangoni and Fezzi 2002; Albino</w:t>
      </w:r>
      <w:r w:rsidR="00411428" w:rsidRPr="00411428">
        <w:rPr>
          <w:i/>
        </w:rPr>
        <w:t xml:space="preserve"> et al.</w:t>
      </w:r>
      <w:r w:rsidR="00411428">
        <w:t xml:space="preserve"> 2003</w:t>
      </w:r>
      <w:r w:rsidR="00C2157F">
        <w:fldChar w:fldCharType="end"/>
      </w:r>
      <w:r w:rsidR="00411428">
        <w:t xml:space="preserve">). </w:t>
      </w:r>
      <w:r w:rsidR="00B355D7">
        <w:t xml:space="preserve">This work breaks new grounds in a number of ways. According to our knowledge, our </w:t>
      </w:r>
      <w:r w:rsidR="007579E8">
        <w:t>enterprise model</w:t>
      </w:r>
    </w:p>
    <w:p w:rsidR="00B355D7" w:rsidRDefault="00B46108" w:rsidP="00B355D7">
      <w:pPr>
        <w:pStyle w:val="ListParagraph"/>
        <w:numPr>
          <w:ilvl w:val="0"/>
          <w:numId w:val="7"/>
        </w:numPr>
        <w:jc w:val="both"/>
      </w:pPr>
      <w:r>
        <w:t>i</w:t>
      </w:r>
      <w:r w:rsidR="007579E8">
        <w:t>s the largest</w:t>
      </w:r>
      <w:r>
        <w:t xml:space="preserve"> so far</w:t>
      </w:r>
      <w:r w:rsidR="007579E8">
        <w:t xml:space="preserve"> in terms of its number of sectors</w:t>
      </w:r>
      <w:r w:rsidR="00B355D7">
        <w:t xml:space="preserve">, </w:t>
      </w:r>
    </w:p>
    <w:p w:rsidR="00B355D7" w:rsidRDefault="007579E8" w:rsidP="00B355D7">
      <w:pPr>
        <w:pStyle w:val="ListParagraph"/>
        <w:numPr>
          <w:ilvl w:val="0"/>
          <w:numId w:val="7"/>
        </w:numPr>
        <w:jc w:val="both"/>
      </w:pPr>
      <w:r>
        <w:t xml:space="preserve">is the first subjected </w:t>
      </w:r>
      <w:r w:rsidR="00B355D7">
        <w:t>to the Ghosh supply-push calculus,</w:t>
      </w:r>
    </w:p>
    <w:p w:rsidR="00B355D7" w:rsidRDefault="00B355D7" w:rsidP="00B355D7">
      <w:pPr>
        <w:pStyle w:val="ListParagraph"/>
        <w:numPr>
          <w:ilvl w:val="0"/>
          <w:numId w:val="7"/>
        </w:numPr>
        <w:jc w:val="both"/>
      </w:pPr>
      <w:r>
        <w:t xml:space="preserve">is the first </w:t>
      </w:r>
      <w:r w:rsidR="007579E8">
        <w:t>to</w:t>
      </w:r>
      <w:r>
        <w:t xml:space="preserve"> </w:t>
      </w:r>
      <w:r w:rsidR="007579E8">
        <w:t>investigate</w:t>
      </w:r>
      <w:r>
        <w:t xml:space="preserve"> system closure, and</w:t>
      </w:r>
    </w:p>
    <w:p w:rsidR="00B355D7" w:rsidRDefault="007579E8" w:rsidP="00B355D7">
      <w:pPr>
        <w:pStyle w:val="ListParagraph"/>
        <w:numPr>
          <w:ilvl w:val="0"/>
          <w:numId w:val="7"/>
        </w:numPr>
        <w:jc w:val="both"/>
      </w:pPr>
      <w:r>
        <w:t>i</w:t>
      </w:r>
      <w:r w:rsidR="00B355D7">
        <w:t xml:space="preserve">s the first </w:t>
      </w:r>
      <w:r>
        <w:t xml:space="preserve">to feature an </w:t>
      </w:r>
      <w:r w:rsidR="00B355D7">
        <w:t>application of Structural Path Analysis.</w:t>
      </w:r>
    </w:p>
    <w:p w:rsidR="0011603F" w:rsidRDefault="00B018CE" w:rsidP="0011603F">
      <w:pPr>
        <w:jc w:val="both"/>
      </w:pPr>
      <w:r>
        <w:t xml:space="preserve">Thus, the novelty of this work lies not so much in the techniques used, but in their application to a very large enterprise input-output model. </w:t>
      </w:r>
      <w:r w:rsidR="006E3C0E">
        <w:t xml:space="preserve">The purposes of this paper are twofold: a) to describe the construction of the University’s enterprise input-output table, and its embedding into a multi-region table including the Australian economy, and b) to demonstrate the usefulness of enterprise models </w:t>
      </w:r>
      <w:r w:rsidR="0046579D">
        <w:t>for</w:t>
      </w:r>
      <w:r w:rsidR="006E3C0E">
        <w:t xml:space="preserve"> basic input-output modelling. </w:t>
      </w:r>
      <w:r w:rsidR="0011603F">
        <w:t xml:space="preserve">In particular this paper shows how demand-pull and supply-push exercises, as well as closed-system model results can be interpreted and used for internal decision-making. </w:t>
      </w:r>
      <w:r w:rsidR="00A8292D">
        <w:t xml:space="preserve">The paper unravels as follows: In Section 2 we explain the methodology used to generate the results discussed in Section 3. Section 4 then illustrates how these results </w:t>
      </w:r>
      <w:r w:rsidR="006E3C0E">
        <w:t xml:space="preserve">can be </w:t>
      </w:r>
      <w:r w:rsidR="00A8292D">
        <w:t>applied in strategic financial planning, and Section 5 concludes.</w:t>
      </w:r>
    </w:p>
    <w:p w:rsidR="0011603F" w:rsidRDefault="0011603F" w:rsidP="0011603F">
      <w:pPr>
        <w:jc w:val="both"/>
      </w:pPr>
    </w:p>
    <w:p w:rsidR="001B512F" w:rsidRPr="00FD77FF" w:rsidRDefault="004153DB" w:rsidP="0011603F">
      <w:pPr>
        <w:jc w:val="both"/>
        <w:rPr>
          <w:b/>
        </w:rPr>
      </w:pPr>
      <w:r w:rsidRPr="00FD77FF">
        <w:rPr>
          <w:b/>
        </w:rPr>
        <w:t>Methodology</w:t>
      </w:r>
      <w:r w:rsidR="0097555A" w:rsidRPr="00FD77FF">
        <w:rPr>
          <w:b/>
        </w:rPr>
        <w:t xml:space="preserve"> </w:t>
      </w:r>
    </w:p>
    <w:p w:rsidR="00FF4B5E" w:rsidRDefault="000412BF" w:rsidP="00C135F9">
      <w:pPr>
        <w:jc w:val="both"/>
      </w:pPr>
      <w:r>
        <w:t xml:space="preserve">Enterprise input-output models have been constructed previously, but mostly as single-region models for one enterprise only (for example </w:t>
      </w:r>
      <w:r w:rsidR="00C2157F">
        <w:fldChar w:fldCharType="begin">
          <w:fldData xml:space="preserve">PEVuZE5vdGU+PENpdGU+PEF1dGhvcj5MaW48L0F1dGhvcj48WWVhcj4xOTk4PC9ZZWFyPjxSZWNO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</w:fldData>
        </w:fldChar>
      </w:r>
      <w:r w:rsidR="006111D7">
        <w:instrText xml:space="preserve"> ADDIN EN.CITE </w:instrText>
      </w:r>
      <w:r w:rsidR="006111D7">
        <w:fldChar w:fldCharType="begin">
          <w:fldData xml:space="preserve">PEVuZE5vdGU+PENpdGU+PEF1dGhvcj5MaW48L0F1dGhvcj48WWVhcj4xOTk4PC9ZZWFyPjxSZWNO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</w:fldData>
        </w:fldChar>
      </w:r>
      <w:r w:rsidR="006111D7">
        <w:instrText xml:space="preserve"> ADDIN EN.CITE.DATA </w:instrText>
      </w:r>
      <w:r w:rsidR="006111D7">
        <w:fldChar w:fldCharType="end"/>
      </w:r>
      <w:r w:rsidR="00C2157F">
        <w:fldChar w:fldCharType="separate"/>
      </w:r>
      <w:r w:rsidR="00411428">
        <w:t>Farag 1967; Lin and Polenske 1998; Correa and Craft 1999; Albino and Kühtz 2004; Lave 2006</w:t>
      </w:r>
      <w:r w:rsidR="00C2157F">
        <w:fldChar w:fldCharType="end"/>
      </w:r>
      <w:r>
        <w:t>), or as extended single-region models of an economy with an enterprise represented by one additional sector (</w:t>
      </w:r>
      <w:r w:rsidR="00C2157F">
        <w:fldChar w:fldCharType="begin">
          <w:fldData xml:space="preserve">PEVuZE5vdGU+PENpdGU+PEF1dGhvcj5MZW56ZW48L0F1dGhvcj48WWVhcj4yMDA4PC9ZZWFyPjxS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</w:fldData>
        </w:fldChar>
      </w:r>
      <w:r w:rsidR="006111D7">
        <w:instrText xml:space="preserve"> ADDIN EN.CITE </w:instrText>
      </w:r>
      <w:r w:rsidR="006111D7">
        <w:fldChar w:fldCharType="begin">
          <w:fldData xml:space="preserve">PEVuZE5vdGU+PENpdGU+PEF1dGhvcj5MZW56ZW48L0F1dGhvcj48WWVhcj4yMDA4PC9ZZWFyPjxS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</w:fldData>
        </w:fldChar>
      </w:r>
      <w:r w:rsidR="006111D7">
        <w:instrText xml:space="preserve"> ADDIN EN.CITE.DATA </w:instrText>
      </w:r>
      <w:r w:rsidR="006111D7">
        <w:fldChar w:fldCharType="end"/>
      </w:r>
      <w:r w:rsidR="00C2157F">
        <w:fldChar w:fldCharType="separate"/>
      </w:r>
      <w:r w:rsidR="00411428">
        <w:t xml:space="preserve">Tiebout 1967; Billings and Katz 1982; Lenzen </w:t>
      </w:r>
      <w:r w:rsidR="00411428">
        <w:lastRenderedPageBreak/>
        <w:t>2008</w:t>
      </w:r>
      <w:r w:rsidR="00C2157F">
        <w:fldChar w:fldCharType="end"/>
      </w:r>
      <w:r w:rsidR="00FF4B5E">
        <w:t>), but</w:t>
      </w:r>
      <w:r>
        <w:t xml:space="preserve"> rarely as </w:t>
      </w:r>
      <w:r w:rsidR="00FF4B5E">
        <w:t xml:space="preserve">nested </w:t>
      </w:r>
      <w:r>
        <w:t>multi-region models</w:t>
      </w:r>
      <w:r w:rsidR="00FF4B5E">
        <w:t xml:space="preserve">, as done by </w:t>
      </w:r>
      <w:r w:rsidR="00C2157F">
        <w:fldChar w:fldCharType="begin"/>
      </w:r>
      <w:r w:rsidR="006111D7">
        <w:instrText xml:space="preserve"> ADDIN EN.CITE &lt;EndNote&gt;&lt;Cite&gt;&lt;Author&gt;Polenske&lt;/Author&gt;&lt;Year&gt;1997&lt;/Year&gt;&lt;RecNum&gt;2168&lt;/RecNum&gt;&lt;record&gt;&lt;rec-number&gt;2168&lt;/rec-number&gt;&lt;foreign-keys&gt;&lt;key app="EN" db-id="taawaxs5fzprace5p9jv25fnt2vd5xt2d520"&gt;2168&lt;/key&gt;&lt;/foreign-keys&gt;&lt;ref-type name="Book Section"&gt;5&lt;/ref-type&gt;&lt;contributors&gt;&lt;authors&gt;&lt;author&gt;Polenske, K. R.&lt;/author&gt;&lt;/authors&gt;&lt;secondary-authors&gt;&lt;author&gt;Chatterji, M.&lt;/author&gt;&lt;/secondary-authors&gt;&lt;/contributors&gt;&lt;titles&gt;&lt;title&gt;Linked system of enterprise, regional and national input-output accounts for policy analysis&lt;/title&gt;&lt;secondary-title&gt;Regional Science: Perspectives for the Future&lt;/secondary-title&gt;&lt;/titles&gt;&lt;pages&gt;26-42&lt;/pages&gt;&lt;dates&gt;&lt;year&gt;1997&lt;/year&gt;&lt;/dates&gt;&lt;pub-location&gt;Houndmills, Basingstoke, UK&lt;/pub-location&gt;&lt;publisher&gt;Macmillan Press Ltd&lt;/publisher&gt;&lt;urls&gt;&lt;/urls&gt;&lt;research-notes&gt;BL3-relevant&lt;/research-notes&gt;&lt;/record&gt;&lt;/Cite&gt;&lt;/EndNote&gt;</w:instrText>
      </w:r>
      <w:r w:rsidR="00C2157F">
        <w:fldChar w:fldCharType="separate"/>
      </w:r>
      <w:r>
        <w:t>Polenske 1997</w:t>
      </w:r>
      <w:r w:rsidR="00C2157F">
        <w:fldChar w:fldCharType="end"/>
      </w:r>
      <w:r w:rsidR="00411428">
        <w:t xml:space="preserve"> and </w:t>
      </w:r>
      <w:r w:rsidR="00C2157F">
        <w:fldChar w:fldCharType="begin"/>
      </w:r>
      <w:r w:rsidR="006111D7">
        <w:instrText xml:space="preserve"> ADDIN EN.CITE &lt;EndNote&gt;&lt;Cite&gt;&lt;Author&gt;Li&lt;/Author&gt;&lt;Year&gt;2008&lt;/Year&gt;&lt;RecNum&gt;4464&lt;/RecNum&gt;&lt;record&gt;&lt;rec-number&gt;4464&lt;/rec-number&gt;&lt;foreign-keys&gt;&lt;key app="EN" db-id="taawaxs5fzprace5p9jv25fnt2vd5xt2d520"&gt;4464&lt;/key&gt;&lt;/foreign-keys&gt;&lt;ref-type name="Journal Article"&gt;17&lt;/ref-type&gt;&lt;contributors&gt;&lt;authors&gt;&lt;author&gt;Li, Jingjun&lt;/author&gt;&lt;author&gt;Tong, Rencheng&lt;/author&gt;&lt;author&gt;Wang, Yupeng&lt;/author&gt;&lt;/authors&gt;&lt;/contributors&gt;&lt;titles&gt;&lt;title&gt;Transregional enterprise input-output model and its application in production decision-making&lt;/title&gt;&lt;secondary-title&gt;CCCM &amp;apos;08, ISECS International Colloquium on Computing, Communication, Control, and Management&lt;/secondary-title&gt;&lt;/titles&gt;&lt;periodical&gt;&lt;full-title&gt;CCCM &amp;apos;08, ISECS International Colloquium on Computing, Communication, Control, and Management&lt;/full-title&gt;&lt;/periodical&gt;&lt;pages&gt;211-215&lt;/pages&gt;&lt;volume&gt;3&lt;/volume&gt;&lt;dates&gt;&lt;year&gt;2008&lt;/year&gt;&lt;pub-dates&gt;&lt;date&gt;3-4 August&lt;/date&gt;&lt;/pub-dates&gt;&lt;/dates&gt;&lt;pub-location&gt;Guangzhou, China&lt;/pub-location&gt;&lt;urls&gt;&lt;/urls&gt;&lt;/record&gt;&lt;/Cite&gt;&lt;/EndNote&gt;</w:instrText>
      </w:r>
      <w:r w:rsidR="00C2157F">
        <w:fldChar w:fldCharType="separate"/>
      </w:r>
      <w:r w:rsidR="00411428">
        <w:t>Li et al. 2008</w:t>
      </w:r>
      <w:r w:rsidR="00C2157F">
        <w:fldChar w:fldCharType="end"/>
      </w:r>
      <w:r>
        <w:t xml:space="preserve">. </w:t>
      </w:r>
      <w:r w:rsidR="00FF4B5E">
        <w:t>Polenske’s basic idea was taken up again in recent input-output-based hybrid life-cycle approaches, where a so-called foreground system containing interdependent production processes, is embedded in a national input-output table (</w:t>
      </w:r>
      <w:r w:rsidR="00C2157F">
        <w:fldChar w:fldCharType="begin"/>
      </w:r>
      <w:r w:rsidR="006111D7">
        <w:instrText xml:space="preserve"> ADDIN EN.CITE &lt;EndNote&gt;&lt;Cite&gt;&lt;Author&gt;Heijungs&lt;/Author&gt;&lt;Year&gt;2002&lt;/Year&gt;&lt;RecNum&gt;2155&lt;/RecNum&gt;&lt;record&gt;&lt;rec-number&gt;2155&lt;/rec-number&gt;&lt;foreign-keys&gt;&lt;key app="EN" db-id="taawaxs5fzprace5p9jv25fnt2vd5xt2d520"&gt;2155&lt;/key&gt;&lt;/foreign-keys&gt;&lt;ref-type name="Book"&gt;6&lt;/ref-type&gt;&lt;contributors&gt;&lt;authors&gt;&lt;author&gt;Heijungs, R.&lt;/author&gt;&lt;author&gt;Suh, S.&lt;/author&gt;&lt;/authors&gt;&lt;/contributors&gt;&lt;titles&gt;&lt;title&gt;The computational structure of life cycle assessment&lt;/title&gt;&lt;/titles&gt;&lt;dates&gt;&lt;year&gt;2002&lt;/year&gt;&lt;/dates&gt;&lt;pub-location&gt;Dordrecht, Netherlands&lt;/pub-location&gt;&lt;publisher&gt;Kluwer Academic Publishers&lt;/publisher&gt;&lt;urls&gt;&lt;/urls&gt;&lt;/record&gt;&lt;/Cite&gt;&lt;Cite&gt;&lt;Author&gt;Suh&lt;/Author&gt;&lt;Year&gt;2004&lt;/Year&gt;&lt;RecNum&gt;1946&lt;/RecNum&gt;&lt;record&gt;&lt;rec-number&gt;1946&lt;/rec-number&gt;&lt;foreign-keys&gt;&lt;key app="EN" db-id="taawaxs5fzprace5p9jv25fnt2vd5xt2d520"&gt;1946&lt;/key&gt;&lt;/foreign-keys&gt;&lt;ref-type name="Journal Article"&gt;17&lt;/ref-type&gt;&lt;contributors&gt;&lt;authors&gt;&lt;author&gt;Suh, S.&lt;/author&gt;&lt;/authors&gt;&lt;/contributors&gt;&lt;titles&gt;&lt;title&gt;Functions, commodities and environmental impacts in an ecological-economic model&lt;/title&gt;&lt;secondary-title&gt;Ecological Economics&lt;/secondary-title&gt;&lt;/titles&gt;&lt;periodical&gt;&lt;full-title&gt;Ecological Economics&lt;/full-title&gt;&lt;/periodical&gt;&lt;pages&gt;451-467&lt;/pages&gt;&lt;volume&gt;48&lt;/volume&gt;&lt;dates&gt;&lt;year&gt;2004&lt;/year&gt;&lt;/dates&gt;&lt;urls&gt;&lt;/urls&gt;&lt;/record&gt;&lt;/Cite&gt;&lt;/EndNote&gt;</w:instrText>
      </w:r>
      <w:r w:rsidR="00C2157F">
        <w:fldChar w:fldCharType="separate"/>
      </w:r>
      <w:r w:rsidR="00FF4B5E">
        <w:t>Heijungs and Suh 2002; Suh 2004</w:t>
      </w:r>
      <w:r w:rsidR="00C2157F">
        <w:fldChar w:fldCharType="end"/>
      </w:r>
      <w:r w:rsidR="00FF4B5E">
        <w:t>).</w:t>
      </w:r>
      <w:r w:rsidR="00BE5FED">
        <w:t xml:space="preserve"> These research approaches reflect the fundamental equivalence of business data and National Accounts (</w:t>
      </w:r>
      <w:r w:rsidR="00C2157F">
        <w:fldChar w:fldCharType="begin"/>
      </w:r>
      <w:r w:rsidR="006111D7">
        <w:instrText xml:space="preserve"> ADDIN EN.CITE &lt;EndNote&gt;&lt;Cite&gt;&lt;Author&gt;UNSD&lt;/Author&gt;&lt;Year&gt;2000&lt;/Year&gt;&lt;RecNum&gt;3225&lt;/RecNum&gt;&lt;record&gt;&lt;rec-number&gt;3225&lt;/rec-number&gt;&lt;foreign-keys&gt;&lt;key app="EN" db-id="taawaxs5fzprace5p9jv25fnt2vd5xt2d520"&gt;3225&lt;/key&gt;&lt;/foreign-keys&gt;&lt;ref-type name="Book"&gt;6&lt;/ref-type&gt;&lt;contributors&gt;&lt;authors&gt;&lt;author&gt;UNSD,&lt;/author&gt;&lt;/authors&gt;&lt;secondary-authors&gt;&lt;author&gt;United Nations,&lt;/author&gt;&lt;/secondary-authors&gt;&lt;/contributors&gt;&lt;titles&gt;&lt;title&gt;Links between business accounting and national accounting&lt;/title&gt;&lt;secondary-title&gt;Studies in Methods Series F, No. 76 - Handbook of National Accounting&lt;/secondary-title&gt;&lt;/titles&gt;&lt;dates&gt;&lt;year&gt;2000&lt;/year&gt;&lt;/dates&gt;&lt;pub-location&gt;New York, USA&lt;/pub-location&gt;&lt;publisher&gt;United Nations Department for Economic and Social Affairs Statistics Division&lt;/publisher&gt;&lt;urls&gt;&lt;/urls&gt;&lt;/record&gt;&lt;/Cite&gt;&lt;/EndNote&gt;</w:instrText>
      </w:r>
      <w:r w:rsidR="00C2157F">
        <w:fldChar w:fldCharType="separate"/>
      </w:r>
      <w:r w:rsidR="00D10591">
        <w:t>UNSD 2000</w:t>
      </w:r>
      <w:r w:rsidR="00C2157F">
        <w:fldChar w:fldCharType="end"/>
      </w:r>
      <w:r w:rsidR="00BE5FED">
        <w:t>).</w:t>
      </w:r>
    </w:p>
    <w:p w:rsidR="0011603F" w:rsidRDefault="00C135F9" w:rsidP="00C135F9">
      <w:pPr>
        <w:jc w:val="both"/>
      </w:pPr>
      <w:r>
        <w:t>In order to be able to capture both the interdependencies of business units within the University of Sydney as well as the University’s interactions with the rest of the economy, we use a nested multi-region input-output model, where the university and its “sectors” represent region 1, and the Australian economy represents region 2.</w:t>
      </w:r>
      <w:r w:rsidR="000412BF">
        <w:t xml:space="preserve"> </w:t>
      </w:r>
      <w:r w:rsidR="004C5371">
        <w:t xml:space="preserve">The resulting input-output table is a four-quadrant industry-by-industry table (Fig. 1), with quadrant </w:t>
      </w:r>
      <w:r w:rsidR="00CB7EC4" w:rsidRPr="00CB7EC4">
        <w:rPr>
          <w:b/>
        </w:rPr>
        <w:t>T</w:t>
      </w:r>
      <w:r w:rsidR="00CB7EC4" w:rsidRPr="00CB7EC4">
        <w:rPr>
          <w:vertAlign w:val="subscript"/>
        </w:rPr>
        <w:t>UU</w:t>
      </w:r>
      <w:r w:rsidR="004C5371">
        <w:t xml:space="preserve"> containing the intra-university transactions, and quadrant </w:t>
      </w:r>
      <w:r w:rsidR="00CB7EC4" w:rsidRPr="00CB7EC4">
        <w:rPr>
          <w:b/>
        </w:rPr>
        <w:t>T</w:t>
      </w:r>
      <w:r w:rsidR="00CB7EC4">
        <w:rPr>
          <w:vertAlign w:val="subscript"/>
        </w:rPr>
        <w:t>AA</w:t>
      </w:r>
      <w:r w:rsidR="004C5371">
        <w:t xml:space="preserve"> containing the intra-economy transactions including final demand and primary inputs, but excluding the university. Quadrant </w:t>
      </w:r>
      <w:r w:rsidR="00CB7EC4" w:rsidRPr="00CB7EC4">
        <w:rPr>
          <w:b/>
        </w:rPr>
        <w:t>T</w:t>
      </w:r>
      <w:r w:rsidR="00CB7EC4">
        <w:rPr>
          <w:vertAlign w:val="subscript"/>
        </w:rPr>
        <w:t>UA</w:t>
      </w:r>
      <w:r w:rsidR="004C5371">
        <w:t xml:space="preserve"> contains the revenue of the university either from industry sectors of the economy, or from final demanders such as students paying fees. Finally, quadrant </w:t>
      </w:r>
      <w:r w:rsidR="00CB7EC4" w:rsidRPr="00CB7EC4">
        <w:rPr>
          <w:b/>
        </w:rPr>
        <w:t>T</w:t>
      </w:r>
      <w:r w:rsidR="00CB7EC4">
        <w:rPr>
          <w:vertAlign w:val="subscript"/>
        </w:rPr>
        <w:t>AU</w:t>
      </w:r>
      <w:r w:rsidR="004C5371">
        <w:t xml:space="preserve"> contains the expenditure or the university on commodities produced in the Australian economy and on primary inputs such as wages, surplus and taxes. </w:t>
      </w:r>
      <w:r w:rsidR="00D15619">
        <w:t>F</w:t>
      </w:r>
      <w:r w:rsidR="009804CE">
        <w:t>inal demand and primary inputs are separate</w:t>
      </w:r>
      <w:r w:rsidR="00D15619">
        <w:t xml:space="preserve"> blocks labelled </w:t>
      </w:r>
      <w:r w:rsidR="00D15619" w:rsidRPr="00D15619">
        <w:rPr>
          <w:b/>
        </w:rPr>
        <w:t>y</w:t>
      </w:r>
      <w:r w:rsidR="00D15619">
        <w:t xml:space="preserve"> and </w:t>
      </w:r>
      <w:r w:rsidR="00D15619" w:rsidRPr="00D15619">
        <w:rPr>
          <w:b/>
        </w:rPr>
        <w:t>v</w:t>
      </w:r>
      <w:r w:rsidR="009804CE">
        <w:t>.</w:t>
      </w:r>
      <w:r w:rsidR="00DB6010">
        <w:rPr>
          <w:rStyle w:val="FootnoteReference"/>
        </w:rPr>
        <w:footnoteReference w:id="1"/>
      </w:r>
      <w:r w:rsidR="009804CE">
        <w:t xml:space="preserve"> </w:t>
      </w:r>
      <w:r w:rsidR="004C5371">
        <w:t>The model is open with regard to the rest of the world, that is exports are a part of final demand, and imports are a part of primary inputs.</w:t>
      </w:r>
    </w:p>
    <w:p w:rsidR="00A8292D" w:rsidRDefault="00A8292D" w:rsidP="00C135F9">
      <w:pPr>
        <w:jc w:val="both"/>
      </w:pPr>
    </w:p>
    <w:p w:rsidR="00A8292D" w:rsidRDefault="00871C8C" w:rsidP="006B5F57">
      <w:pPr>
        <w:jc w:val="center"/>
      </w:pPr>
      <w:r w:rsidRPr="00871C8C">
        <w:rPr>
          <w:noProof/>
        </w:rPr>
        <w:drawing>
          <wp:inline distT="0" distB="0" distL="0" distR="0">
            <wp:extent cx="5476875" cy="3457575"/>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76875" cy="3457575"/>
                    </a:xfrm>
                    <a:prstGeom prst="rect">
                      <a:avLst/>
                    </a:prstGeom>
                    <a:noFill/>
                    <a:ln w="9525">
                      <a:noFill/>
                      <a:miter lim="800000"/>
                      <a:headEnd/>
                      <a:tailEnd/>
                    </a:ln>
                  </pic:spPr>
                </pic:pic>
              </a:graphicData>
            </a:graphic>
          </wp:inline>
        </w:drawing>
      </w:r>
    </w:p>
    <w:p w:rsidR="009804CE" w:rsidRDefault="009804CE" w:rsidP="001B512F">
      <w:pPr>
        <w:pStyle w:val="ListParagraph"/>
      </w:pPr>
    </w:p>
    <w:p w:rsidR="004C5371" w:rsidRDefault="0011603F" w:rsidP="003F72E5">
      <w:pPr>
        <w:ind w:left="720" w:hanging="720"/>
        <w:jc w:val="both"/>
      </w:pPr>
      <w:r>
        <w:lastRenderedPageBreak/>
        <w:t>Fig. 1: Schematic of t</w:t>
      </w:r>
      <w:r w:rsidR="00CA1A73">
        <w:t>he f</w:t>
      </w:r>
      <w:r w:rsidR="004C5371">
        <w:t xml:space="preserve">our-quadrant nested MRIO, with the University accounts </w:t>
      </w:r>
      <w:r w:rsidR="008D653F">
        <w:t>(</w:t>
      </w:r>
      <w:r w:rsidR="00CB7EC4" w:rsidRPr="00CB7EC4">
        <w:rPr>
          <w:b/>
        </w:rPr>
        <w:t>T</w:t>
      </w:r>
      <w:r w:rsidR="00CB7EC4">
        <w:rPr>
          <w:vertAlign w:val="subscript"/>
        </w:rPr>
        <w:t>UU</w:t>
      </w:r>
      <w:r w:rsidR="008D653F">
        <w:t xml:space="preserve">) </w:t>
      </w:r>
      <w:r w:rsidR="004C5371">
        <w:t>embedded into the Australian National Accounts</w:t>
      </w:r>
      <w:r w:rsidR="008D653F">
        <w:t xml:space="preserve"> (</w:t>
      </w:r>
      <w:r w:rsidR="00CB7EC4" w:rsidRPr="00CB7EC4">
        <w:rPr>
          <w:b/>
        </w:rPr>
        <w:t>T</w:t>
      </w:r>
      <w:r w:rsidR="00CB7EC4">
        <w:rPr>
          <w:vertAlign w:val="subscript"/>
        </w:rPr>
        <w:t>AA</w:t>
      </w:r>
      <w:r w:rsidR="000203EA">
        <w:t>), bilateral trade blocks (</w:t>
      </w:r>
      <w:r w:rsidR="00CB7EC4" w:rsidRPr="00CB7EC4">
        <w:rPr>
          <w:b/>
        </w:rPr>
        <w:t>T</w:t>
      </w:r>
      <w:r w:rsidR="00CB7EC4">
        <w:rPr>
          <w:vertAlign w:val="subscript"/>
        </w:rPr>
        <w:t>AU</w:t>
      </w:r>
      <w:r w:rsidR="000203EA">
        <w:t xml:space="preserve"> and </w:t>
      </w:r>
      <w:r w:rsidR="00CB7EC4" w:rsidRPr="00CB7EC4">
        <w:rPr>
          <w:b/>
        </w:rPr>
        <w:t>T</w:t>
      </w:r>
      <w:r w:rsidR="00CB7EC4">
        <w:rPr>
          <w:vertAlign w:val="subscript"/>
        </w:rPr>
        <w:t>UA</w:t>
      </w:r>
      <w:r w:rsidR="000203EA">
        <w:t>), and</w:t>
      </w:r>
      <w:r w:rsidR="008D653F">
        <w:t xml:space="preserve"> primar</w:t>
      </w:r>
      <w:r w:rsidR="000203EA">
        <w:t>y inputs (</w:t>
      </w:r>
      <w:r w:rsidR="000203EA" w:rsidRPr="00CB7EC4">
        <w:rPr>
          <w:b/>
        </w:rPr>
        <w:t>v</w:t>
      </w:r>
      <w:r w:rsidR="000203EA">
        <w:t>) and final demand (</w:t>
      </w:r>
      <w:r w:rsidR="000203EA" w:rsidRPr="00CB7EC4">
        <w:rPr>
          <w:b/>
        </w:rPr>
        <w:t>y</w:t>
      </w:r>
      <w:r w:rsidR="008D653F">
        <w:t>)</w:t>
      </w:r>
      <w:r w:rsidR="004C5371">
        <w:t>.</w:t>
      </w:r>
      <w:r w:rsidR="00D817D9">
        <w:t xml:space="preserve"> </w:t>
      </w:r>
      <w:r w:rsidR="00D15619">
        <w:t xml:space="preserve">Subscripts U stand for University, and A for Australia. </w:t>
      </w:r>
      <w:r w:rsidR="00D817D9">
        <w:t>The dotted line separates components of final demand, for example private final consumption, or expenditure on gross fixed capital.</w:t>
      </w:r>
    </w:p>
    <w:p w:rsidR="004C5371" w:rsidRDefault="004C5371" w:rsidP="00482F15"/>
    <w:p w:rsidR="00187571" w:rsidRPr="00DB6010" w:rsidRDefault="0011603F" w:rsidP="0011603F">
      <w:pPr>
        <w:jc w:val="both"/>
      </w:pPr>
      <w:r>
        <w:t xml:space="preserve">Quadrants </w:t>
      </w:r>
      <w:r w:rsidR="00CB7EC4" w:rsidRPr="00CB7EC4">
        <w:rPr>
          <w:b/>
        </w:rPr>
        <w:t>T</w:t>
      </w:r>
      <w:r w:rsidR="00CB7EC4" w:rsidRPr="00CB7EC4">
        <w:rPr>
          <w:vertAlign w:val="subscript"/>
        </w:rPr>
        <w:t>UU</w:t>
      </w:r>
      <w:r>
        <w:t xml:space="preserve"> and </w:t>
      </w:r>
      <w:r w:rsidR="00CB7EC4" w:rsidRPr="00CB7EC4">
        <w:rPr>
          <w:b/>
        </w:rPr>
        <w:t>T</w:t>
      </w:r>
      <w:r w:rsidR="00CB7EC4">
        <w:rPr>
          <w:vertAlign w:val="subscript"/>
        </w:rPr>
        <w:t>UA</w:t>
      </w:r>
      <w:r>
        <w:t xml:space="preserve"> </w:t>
      </w:r>
      <w:r w:rsidR="00C56EC8">
        <w:t xml:space="preserve">plus </w:t>
      </w:r>
      <w:r w:rsidR="00C56EC8" w:rsidRPr="00C56EC8">
        <w:rPr>
          <w:b/>
        </w:rPr>
        <w:t>y</w:t>
      </w:r>
      <w:r w:rsidR="00C56EC8" w:rsidRPr="00C56EC8">
        <w:rPr>
          <w:vertAlign w:val="subscript"/>
        </w:rPr>
        <w:t>U</w:t>
      </w:r>
      <w:r w:rsidR="00C56EC8">
        <w:t xml:space="preserve"> </w:t>
      </w:r>
      <w:r w:rsidR="00DB6010">
        <w:t>were constructed using the U</w:t>
      </w:r>
      <w:r>
        <w:t xml:space="preserve">niversity’s revenue accounts, and quadrants I and III </w:t>
      </w:r>
      <w:r w:rsidR="00C56EC8">
        <w:t xml:space="preserve">plus </w:t>
      </w:r>
      <w:r w:rsidR="00C56EC8" w:rsidRPr="00C56EC8">
        <w:rPr>
          <w:b/>
        </w:rPr>
        <w:t>v</w:t>
      </w:r>
      <w:r w:rsidR="00C56EC8" w:rsidRPr="00C56EC8">
        <w:rPr>
          <w:vertAlign w:val="subscript"/>
        </w:rPr>
        <w:t>U</w:t>
      </w:r>
      <w:r w:rsidR="00C56EC8">
        <w:t xml:space="preserve"> </w:t>
      </w:r>
      <w:r>
        <w:t xml:space="preserve">were constructed from the expenditure accounts, </w:t>
      </w:r>
      <w:r w:rsidR="00704220">
        <w:t>This involved two steps: First, a concordance matrix was constructed, linking the University’s class codes (CCs are used to label every purchase and income) with the Input-Output Product Classification (IOPC) of the Australian Bureau of Statistics</w:t>
      </w:r>
      <w:r w:rsidR="00653D39">
        <w:t xml:space="preserve"> (ABS)</w:t>
      </w:r>
      <w:r w:rsidR="00704220">
        <w:t xml:space="preserve">. This concordance matrix was then used to re-classify </w:t>
      </w:r>
      <w:r w:rsidR="006E3C0E">
        <w:t>the entire General Ledger of the University from its</w:t>
      </w:r>
      <w:r w:rsidR="00704220">
        <w:t xml:space="preserve"> CC classification into the Australian IOPC system. Second, q</w:t>
      </w:r>
      <w:r>
        <w:t xml:space="preserve">uadrant </w:t>
      </w:r>
      <w:r w:rsidR="00CB7EC4" w:rsidRPr="00CB7EC4">
        <w:rPr>
          <w:b/>
        </w:rPr>
        <w:t>T</w:t>
      </w:r>
      <w:r w:rsidR="00CB7EC4" w:rsidRPr="00CB7EC4">
        <w:rPr>
          <w:vertAlign w:val="subscript"/>
        </w:rPr>
        <w:t>UU</w:t>
      </w:r>
      <w:r>
        <w:t xml:space="preserve"> </w:t>
      </w:r>
      <w:r w:rsidR="00704220">
        <w:t>was</w:t>
      </w:r>
      <w:r>
        <w:t xml:space="preserve"> </w:t>
      </w:r>
      <w:r w:rsidR="00704220">
        <w:t>balanced by reconciling</w:t>
      </w:r>
      <w:r>
        <w:t xml:space="preserve"> </w:t>
      </w:r>
      <w:r w:rsidR="00704220">
        <w:t>the U</w:t>
      </w:r>
      <w:r>
        <w:t xml:space="preserve">niversity’s internal transfers, that is, internal revenues and expenditures were </w:t>
      </w:r>
      <w:r w:rsidR="00704220">
        <w:t xml:space="preserve">first </w:t>
      </w:r>
      <w:r>
        <w:t>matched at the detailed transaction level</w:t>
      </w:r>
      <w:r w:rsidR="00704220">
        <w:t>, and then the quadrant was balanced using a Quadratic Programming algorithm (</w:t>
      </w:r>
      <w:r w:rsidR="00C2157F">
        <w:fldChar w:fldCharType="begin"/>
      </w:r>
      <w:r w:rsidR="006111D7">
        <w:instrText xml:space="preserve"> ADDIN EN.CITE &lt;EndNote&gt;&lt;Cite&gt;&lt;Author&gt;Yu&lt;/Author&gt;&lt;Year&gt;2009&lt;/Year&gt;&lt;RecNum&gt;4589&lt;/RecNum&gt;&lt;record&gt;&lt;rec-number&gt;4589&lt;/rec-number&gt;&lt;foreign-keys&gt;&lt;key app="EN" db-id="taawaxs5fzprace5p9jv25fnt2vd5xt2d520"&gt;4589&lt;/key&gt;&lt;/foreign-keys&gt;&lt;ref-type name="Book Section"&gt;5&lt;/ref-type&gt;&lt;contributors&gt;&lt;authors&gt;&lt;author&gt;Yu, T.&lt;/author&gt;&lt;author&gt;Lenzen, M&lt;/author&gt;&lt;author&gt;Dey, C&lt;/author&gt;&lt;author&gt;Badcock, J.&lt;/author&gt;&lt;/authors&gt;&lt;secondary-authors&gt;&lt;author&gt;Velásquez, J D&lt;/author&gt;&lt;author&gt;Ríos, S A&lt;/author&gt;&lt;author&gt;Howlett, R J&lt;/author&gt;&lt;author&gt;Jain, L C&lt;/author&gt;&lt;/secondary-authors&gt;&lt;/contributors&gt;&lt;titles&gt;&lt;title&gt;Automatically estimating and updating input-output tables&lt;/title&gt;&lt;secondary-title&gt;Knowledge-Based and Intelligent Information and Engineering Systems&lt;/secondary-title&gt;&lt;/titles&gt;&lt;pages&gt;42-49&lt;/pages&gt;&lt;volume&gt;2&lt;/volume&gt;&lt;dates&gt;&lt;year&gt;2009&lt;/year&gt;&lt;/dates&gt;&lt;pub-location&gt;Berlin&lt;/pub-location&gt;&lt;publisher&gt;Springer&lt;/publisher&gt;&lt;urls&gt;&lt;/urls&gt;&lt;/record&gt;&lt;/Cite&gt;&lt;/EndNote&gt;</w:instrText>
      </w:r>
      <w:r w:rsidR="00C2157F">
        <w:fldChar w:fldCharType="separate"/>
      </w:r>
      <w:r w:rsidR="006E3C0E">
        <w:t>Yu</w:t>
      </w:r>
      <w:r w:rsidR="006E3C0E" w:rsidRPr="006E3C0E">
        <w:rPr>
          <w:i/>
        </w:rPr>
        <w:t xml:space="preserve"> et al.</w:t>
      </w:r>
      <w:r w:rsidR="006E3C0E">
        <w:t xml:space="preserve"> 2009</w:t>
      </w:r>
      <w:r w:rsidR="00C2157F">
        <w:fldChar w:fldCharType="end"/>
      </w:r>
      <w:r w:rsidR="00704220">
        <w:t>)</w:t>
      </w:r>
      <w:r>
        <w:t>. This part of our nested MRIO</w:t>
      </w:r>
      <w:r w:rsidR="00DB6010">
        <w:t xml:space="preserve"> distinguishes the U</w:t>
      </w:r>
      <w:r>
        <w:t>niversity’s 639 busine</w:t>
      </w:r>
      <w:r w:rsidR="00DB6010">
        <w:t>ss units, which are mainly its f</w:t>
      </w:r>
      <w:r>
        <w:t>aculties</w:t>
      </w:r>
      <w:r w:rsidR="00DB6010">
        <w:rPr>
          <w:rStyle w:val="FootnoteReference"/>
        </w:rPr>
        <w:footnoteReference w:id="2"/>
      </w:r>
      <w:r>
        <w:t xml:space="preserve">, but also non-academic units such as campus infrastructure and services, libraries, or IT. </w:t>
      </w:r>
      <w:r w:rsidR="00DB6010">
        <w:t xml:space="preserve">By far the most important intra-university transactions in the </w:t>
      </w:r>
      <w:r w:rsidR="00DB6010" w:rsidRPr="00CB7EC4">
        <w:rPr>
          <w:b/>
        </w:rPr>
        <w:t>T</w:t>
      </w:r>
      <w:r w:rsidR="00DB6010" w:rsidRPr="00CB7EC4">
        <w:rPr>
          <w:vertAlign w:val="subscript"/>
        </w:rPr>
        <w:t>UU</w:t>
      </w:r>
      <w:r w:rsidR="00DB6010">
        <w:t xml:space="preserve"> quadrant are transfers from ‘Central Accounts’ to faculties. These transactions represent research and teaching income that is pooled within Central Accounts, part of which is then re-distributed across research and teaching purposes according to a funding formula (evidence for this mechanism is in Tab. 9). </w:t>
      </w:r>
      <w:r w:rsidR="001368B8">
        <w:t>Also importantly, albeit to a lesser extent, c</w:t>
      </w:r>
      <w:r w:rsidR="00DB6010">
        <w:t xml:space="preserve">apital investment and management units are also responsible for transfers of funds to faculties, for infrastructure </w:t>
      </w:r>
      <w:r w:rsidR="001368B8">
        <w:t xml:space="preserve">replacement and </w:t>
      </w:r>
      <w:r w:rsidR="00DB6010">
        <w:t>expansion</w:t>
      </w:r>
      <w:r w:rsidR="001368B8">
        <w:t xml:space="preserve"> purposes</w:t>
      </w:r>
      <w:r w:rsidR="00DB6010">
        <w:t>.</w:t>
      </w:r>
    </w:p>
    <w:p w:rsidR="0011603F" w:rsidRDefault="0011603F" w:rsidP="0011603F">
      <w:pPr>
        <w:jc w:val="both"/>
      </w:pPr>
      <w:r>
        <w:t xml:space="preserve">Quadrant </w:t>
      </w:r>
      <w:r w:rsidR="00CB7EC4" w:rsidRPr="00CB7EC4">
        <w:rPr>
          <w:b/>
        </w:rPr>
        <w:t>T</w:t>
      </w:r>
      <w:r w:rsidR="00CB7EC4">
        <w:rPr>
          <w:vertAlign w:val="subscript"/>
        </w:rPr>
        <w:t>AA</w:t>
      </w:r>
      <w:r w:rsidR="00C56EC8">
        <w:t xml:space="preserve"> plus </w:t>
      </w:r>
      <w:r w:rsidR="00C56EC8" w:rsidRPr="00C56EC8">
        <w:rPr>
          <w:b/>
        </w:rPr>
        <w:t>v</w:t>
      </w:r>
      <w:r w:rsidR="00C56EC8" w:rsidRPr="00C56EC8">
        <w:rPr>
          <w:vertAlign w:val="subscript"/>
        </w:rPr>
        <w:t>A</w:t>
      </w:r>
      <w:r w:rsidR="00C56EC8">
        <w:t xml:space="preserve"> and </w:t>
      </w:r>
      <w:r w:rsidR="00C56EC8" w:rsidRPr="00C56EC8">
        <w:rPr>
          <w:b/>
        </w:rPr>
        <w:t>y</w:t>
      </w:r>
      <w:r w:rsidR="00C56EC8" w:rsidRPr="00C56EC8">
        <w:rPr>
          <w:vertAlign w:val="subscript"/>
        </w:rPr>
        <w:t>A</w:t>
      </w:r>
      <w:r>
        <w:t xml:space="preserve"> is an expanded version of the Australian input-output tables (</w:t>
      </w:r>
      <w:r w:rsidR="00C2157F">
        <w:fldChar w:fldCharType="begin"/>
      </w:r>
      <w:r w:rsidR="006111D7">
        <w:instrText xml:space="preserve"> ADDIN EN.CITE &lt;EndNote&gt;&lt;Cite&gt;&lt;Author&gt;ABS&lt;/Author&gt;&lt;Year&gt;2008&lt;/Year&gt;&lt;RecNum&gt;4514&lt;/RecNum&gt;&lt;record&gt;&lt;rec-number&gt;4514&lt;/rec-number&gt;&lt;foreign-keys&gt;&lt;key app="EN" db-id="taawaxs5fzprace5p9jv25fnt2vd5xt2d520"&gt;4514&lt;/key&gt;&lt;/foreign-keys&gt;&lt;ref-type name="Report"&gt;27&lt;/ref-type&gt;&lt;contributors&gt;&lt;authors&gt;&lt;author&gt;ABS,&lt;/author&gt;&lt;/authors&gt;&lt;/contributors&gt;&lt;titles&gt;&lt;title&gt;Australian National Accounts, Input-Output Tables, 2004-05&lt;/title&gt;&lt;/titles&gt;&lt;dates&gt;&lt;year&gt;2008&lt;/year&gt;&lt;/dates&gt;&lt;pub-location&gt;Canberra, Australia&lt;/pub-location&gt;&lt;publisher&gt;Australian Bureau of Statistics&lt;/publisher&gt;&lt;isbn&gt;5209.0.55.001&lt;/isbn&gt;&lt;work-type&gt;ABS Catalogue No.&lt;/work-type&gt;&lt;urls&gt;&lt;/urls&gt;&lt;/record&gt;&lt;/Cite&gt;&lt;/EndNote&gt;</w:instrText>
      </w:r>
      <w:r w:rsidR="00C2157F">
        <w:fldChar w:fldCharType="separate"/>
      </w:r>
      <w:r w:rsidR="00653D39">
        <w:t>ABS 2008</w:t>
      </w:r>
      <w:r w:rsidR="00C2157F">
        <w:fldChar w:fldCharType="end"/>
      </w:r>
      <w:r>
        <w:t xml:space="preserve">). These tables are published at the 109-sector level of detail, but were extended to 344 sectors by using a large amount of unpublished superior information and re-balancing using a RAS variant, as described by </w:t>
      </w:r>
      <w:r w:rsidR="00C2157F">
        <w:fldChar w:fldCharType="begin"/>
      </w:r>
      <w:r>
        <w:instrText xml:space="preserve"> ADDIN EN.CITE &lt;EndNote&gt;&lt;Cite&gt;&lt;Author&gt;Gallego&lt;/Author&gt;&lt;Year&gt;2008&lt;/Year&gt;&lt;RecNum&gt;3203&lt;/RecNum&gt;&lt;record&gt;&lt;rec-number&gt;3203&lt;/rec-number&gt;&lt;foreign-keys&gt;&lt;key app="EN" db-id="taawaxs5fzprace5p9jv25fnt2vd5xt2d520"&gt;3203&lt;/key&gt;&lt;/foreign-keys&gt;&lt;ref-type name="Book Section"&gt;5&lt;/ref-type&gt;&lt;contributors&gt;&lt;authors&gt;&lt;author&gt;Gallego, B.&lt;/author&gt;&lt;author&gt;Lenzen, M.&lt;/author&gt;&lt;/authors&gt;&lt;secondary-authors&gt;&lt;author&gt;Ruth, M.&lt;/author&gt;&lt;author&gt;Davidsdottir, B.&lt;/author&gt;&lt;/secondary-authors&gt;&lt;/contributors&gt;&lt;titles&gt;&lt;title&gt;Estimating generalised regional input-output systems: A case study of Australia&lt;/title&gt;&lt;secondary-title&gt;Dynamics of Industrial Ecosystems&lt;/secondary-title&gt;&lt;/titles&gt;&lt;pages&gt;in press&lt;/pages&gt;&lt;dates&gt;&lt;year&gt;2008&lt;/year&gt;&lt;/dates&gt;&lt;pub-location&gt;Boston, MA, USA&lt;/pub-location&gt;&lt;publisher&gt;MIT Press&lt;/publisher&gt;&lt;urls&gt;&lt;/urls&gt;&lt;/record&gt;&lt;/Cite&gt;&lt;/EndNote&gt;</w:instrText>
      </w:r>
      <w:r w:rsidR="00C2157F">
        <w:fldChar w:fldCharType="separate"/>
      </w:r>
      <w:r>
        <w:t>Gallego and Lenzen 2008</w:t>
      </w:r>
      <w:r w:rsidR="00C2157F">
        <w:fldChar w:fldCharType="end"/>
      </w:r>
      <w:r>
        <w:t xml:space="preserve"> and </w:t>
      </w:r>
      <w:r w:rsidR="00C2157F">
        <w:fldChar w:fldCharType="begin"/>
      </w:r>
      <w:r w:rsidR="006111D7">
        <w:instrText xml:space="preserve"> ADDIN EN.CITE &lt;EndNote&gt;&lt;Cite&gt;&lt;Author&gt;Lenzen&lt;/Author&gt;&lt;Year&gt;2009&lt;/Year&gt;&lt;RecNum&gt;3925&lt;/RecNum&gt;&lt;record&gt;&lt;rec-number&gt;3925&lt;/rec-number&gt;&lt;foreign-keys&gt;&lt;key app="EN" db-id="taawaxs5fzprace5p9jv25fnt2vd5xt2d520"&gt;3925&lt;/key&gt;&lt;/foreign-keys&gt;&lt;ref-type name="Journal Article"&gt;17&lt;/ref-type&gt;&lt;contributors&gt;&lt;authors&gt;&lt;author&gt;Lenzen, M.&lt;/author&gt;&lt;author&gt;Gallego, B.&lt;/author&gt;&lt;author&gt;Wood, R.&lt;/author&gt;&lt;/authors&gt;&lt;/contributors&gt;&lt;titles&gt;&lt;title&gt;Matrix balancing under conflicting information&lt;/title&gt;&lt;secondary-title&gt;Economic Systems Research&lt;/secondary-title&gt;&lt;/titles&gt;&lt;periodical&gt;&lt;full-title&gt;Economic Systems Research&lt;/full-title&gt;&lt;/periodical&gt;&lt;pages&gt;23-44&lt;/pages&gt;&lt;volume&gt;21&lt;/volume&gt;&lt;number&gt;1&lt;/number&gt;&lt;dates&gt;&lt;year&gt;2009&lt;/year&gt;&lt;/dates&gt;&lt;urls&gt;&lt;/urls&gt;&lt;/record&gt;&lt;/Cite&gt;&lt;/EndNote&gt;</w:instrText>
      </w:r>
      <w:r w:rsidR="00C2157F">
        <w:fldChar w:fldCharType="separate"/>
      </w:r>
      <w:r>
        <w:t>Lenzen</w:t>
      </w:r>
      <w:r w:rsidRPr="0063726C">
        <w:rPr>
          <w:i/>
        </w:rPr>
        <w:t xml:space="preserve"> et al.</w:t>
      </w:r>
      <w:r>
        <w:t xml:space="preserve"> 2009</w:t>
      </w:r>
      <w:r w:rsidR="00C2157F">
        <w:fldChar w:fldCharType="end"/>
      </w:r>
      <w:r>
        <w:t>. Before final balancing, the Australian National Accounts were netted by subtracting the turnover of the university. There are 7 final demand and primary input categories, so that the entire system is sized (639+344+7)</w:t>
      </w:r>
      <w:r w:rsidRPr="00482F15">
        <w:rPr>
          <w:vertAlign w:val="superscript"/>
        </w:rPr>
        <w:t>2</w:t>
      </w:r>
      <w:r>
        <w:t xml:space="preserve"> = 990</w:t>
      </w:r>
      <w:r w:rsidRPr="00482F15">
        <w:rPr>
          <w:vertAlign w:val="superscript"/>
        </w:rPr>
        <w:t>2</w:t>
      </w:r>
      <w:r>
        <w:t xml:space="preserve"> = 980,100 entries.</w:t>
      </w:r>
      <w:r w:rsidR="00BA544C">
        <w:t xml:space="preserve"> The intersection of primary inputs and final demand (field labelled 0) is empty, showing that our MRIO is not a Social Accounting Matrix.</w:t>
      </w:r>
    </w:p>
    <w:p w:rsidR="00417CB4" w:rsidRDefault="00417CB4" w:rsidP="00482F15">
      <w:pPr>
        <w:jc w:val="both"/>
      </w:pPr>
      <w:r>
        <w:t>Because of its nested form, the model allows for several variants of input-output analysis, characterised by different system closures</w:t>
      </w:r>
      <w:r w:rsidR="00B10378">
        <w:t xml:space="preserve"> (Fig 2)</w:t>
      </w:r>
      <w:r>
        <w:t xml:space="preserve">. </w:t>
      </w:r>
      <w:r w:rsidR="00A144E7">
        <w:t xml:space="preserve">All variants are characterised by a distinction between endogenous </w:t>
      </w:r>
      <w:r w:rsidR="00BA544C">
        <w:t xml:space="preserve">(bold) </w:t>
      </w:r>
      <w:r w:rsidR="00A144E7">
        <w:t xml:space="preserve">and exogenous </w:t>
      </w:r>
      <w:r w:rsidR="00BA544C">
        <w:t xml:space="preserve">(dashed) </w:t>
      </w:r>
      <w:r w:rsidR="00A144E7">
        <w:t xml:space="preserve">parts, with the exogenous sectors driving change, and the endogenous sectors facilitating flow-on effects. </w:t>
      </w:r>
      <w:r>
        <w:t>In the classical demand-pull and supply-push exercises (</w:t>
      </w:r>
      <w:r w:rsidR="00C2157F">
        <w:fldChar w:fldCharType="begin"/>
      </w:r>
      <w:r w:rsidR="006111D7">
        <w:instrText xml:space="preserve"> ADDIN EN.CITE &lt;EndNote&gt;&lt;Cite&gt;&lt;Author&gt;Dietzenbacher&lt;/Author&gt;&lt;Year&gt;1989&lt;/Year&gt;&lt;RecNum&gt;1697&lt;/RecNum&gt;&lt;record&gt;&lt;rec-number&gt;1697&lt;/rec-number&gt;&lt;foreign-keys&gt;&lt;key app="EN" db-id="taawaxs5fzprace5p9jv25fnt2vd5xt2d520"&gt;1697&lt;/key&gt;&lt;/foreign-keys&gt;&lt;ref-type name="Journal Article"&gt;17&lt;/ref-type&gt;&lt;contributors&gt;&lt;authors&gt;&lt;author&gt;Dietzenbacher, E.&lt;/author&gt;&lt;/authors&gt;&lt;/contributors&gt;&lt;titles&gt;&lt;title&gt;On the relationship between the supply-driven and the demand-driven input-output model&lt;/title&gt;&lt;secondary-title&gt;Environment and Planning A&lt;/secondary-title&gt;&lt;/titles&gt;&lt;periodical&gt;&lt;full-title&gt;Environment and Planning A&lt;/full-title&gt;&lt;/periodical&gt;&lt;pages&gt;1533-1539&lt;/pages&gt;&lt;volume&gt;21&lt;/volume&gt;&lt;number&gt;11&lt;/number&gt;&lt;dates&gt;&lt;year&gt;1989&lt;/year&gt;&lt;/dates&gt;&lt;urls&gt;&lt;/urls&gt;&lt;/record&gt;&lt;/Cite&gt;&lt;Cite&gt;&lt;Author&gt;Dietzenbacher&lt;/Author&gt;&lt;Year&gt;1997&lt;/Year&gt;&lt;RecNum&gt;1756&lt;/RecNum&gt;&lt;record&gt;&lt;rec-number&gt;1756&lt;/rec-number&gt;&lt;foreign-keys&gt;&lt;key app="EN" db-id="taawaxs5fzprace5p9jv25fnt2vd5xt2d520"&gt;1756&lt;/key&gt;&lt;/foreign-keys&gt;&lt;ref-type name="Journal Article"&gt;17&lt;/ref-type&gt;&lt;contributors&gt;&lt;authors&gt;&lt;author&gt;Dietzenbacher, E.&lt;/author&gt;&lt;/authors&gt;&lt;/contributors&gt;&lt;titles&gt;&lt;title&gt;In vindication of the Ghosh model: a reinterpretation as a price model&lt;/title&gt;&lt;secondary-title&gt;Journal of Regional Science&lt;/secondary-title&gt;&lt;/titles&gt;&lt;periodical&gt;&lt;full-title&gt;Journal of Regional Science&lt;/full-title&gt;&lt;/periodical&gt;&lt;pages&gt;629-651&lt;/pages&gt;&lt;volume&gt;37&lt;/volume&gt;&lt;number&gt;4&lt;/number&gt;&lt;dates&gt;&lt;year&gt;1997&lt;/year&gt;&lt;/dates&gt;&lt;urls&gt;&lt;/urls&gt;&lt;/record&gt;&lt;/Cite&gt;&lt;/EndNote&gt;</w:instrText>
      </w:r>
      <w:r w:rsidR="00C2157F">
        <w:fldChar w:fldCharType="separate"/>
      </w:r>
      <w:r w:rsidR="00411428">
        <w:t>Dietzenbacher 1989; 1997</w:t>
      </w:r>
      <w:r w:rsidR="00C2157F">
        <w:fldChar w:fldCharType="end"/>
      </w:r>
      <w:r w:rsidR="00A144E7">
        <w:t xml:space="preserve">), </w:t>
      </w:r>
      <w:r>
        <w:t xml:space="preserve">final demand and primary </w:t>
      </w:r>
      <w:r w:rsidR="00A144E7">
        <w:t>inputs</w:t>
      </w:r>
      <w:r w:rsidR="00B548BC">
        <w:t>, respectively,</w:t>
      </w:r>
      <w:r w:rsidR="00A144E7">
        <w:t xml:space="preserve"> of both the university and the economy </w:t>
      </w:r>
      <w:r>
        <w:t xml:space="preserve">are exogenous, and flow-on effects are traced throughout the linked university-economy </w:t>
      </w:r>
      <w:r w:rsidR="00D22378">
        <w:t xml:space="preserve">inter-regional </w:t>
      </w:r>
      <w:r w:rsidR="00A144E7">
        <w:t xml:space="preserve">intermediate demand </w:t>
      </w:r>
      <w:r>
        <w:t xml:space="preserve">system. </w:t>
      </w:r>
      <w:r w:rsidR="00475767">
        <w:t>In what we call the “open” variant, the industry sectors of the economy are also made exogenous, and there are only intra-</w:t>
      </w:r>
      <w:r w:rsidR="00475767">
        <w:lastRenderedPageBreak/>
        <w:t>university flow-on effects. In a “closed” variant, wages and salaries as well as final consumption are endogenised, leading to the well-known type-II systems that feature a large amount of internal feedback (</w:t>
      </w:r>
      <w:r w:rsidR="00C2157F">
        <w:fldChar w:fldCharType="begin">
          <w:fldData xml:space="preserve">PEVuZE5vdGU+PENpdGU+PEF1dGhvcj5LYXR6PC9BdXRob3I+PFllYXI+MTk4MDwvWWVhcj48UmVj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=
</w:fldData>
        </w:fldChar>
      </w:r>
      <w:r w:rsidR="006111D7">
        <w:instrText xml:space="preserve"> ADDIN EN.CITE </w:instrText>
      </w:r>
      <w:r w:rsidR="006111D7">
        <w:fldChar w:fldCharType="begin">
          <w:fldData xml:space="preserve">PEVuZE5vdGU+PENpdGU+PEF1dGhvcj5LYXR6PC9BdXRob3I+PFllYXI+MTk4MDwvWWVhcj48UmVj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=
</w:fldData>
        </w:fldChar>
      </w:r>
      <w:r w:rsidR="006111D7">
        <w:instrText xml:space="preserve"> ADDIN EN.CITE.DATA </w:instrText>
      </w:r>
      <w:r w:rsidR="006111D7">
        <w:fldChar w:fldCharType="end"/>
      </w:r>
      <w:r w:rsidR="00C2157F">
        <w:fldChar w:fldCharType="separate"/>
      </w:r>
      <w:r w:rsidR="00411428">
        <w:t>Miyazawa 1968; Katz 1980; Miller 1980; Round 1988; Lenzen and Schaeffer 2004</w:t>
      </w:r>
      <w:r w:rsidR="00C2157F">
        <w:fldChar w:fldCharType="end"/>
      </w:r>
      <w:r w:rsidR="00475767">
        <w:t>).</w:t>
      </w:r>
      <w:r w:rsidR="00790A78">
        <w:rPr>
          <w:rStyle w:val="FootnoteReference"/>
        </w:rPr>
        <w:footnoteReference w:id="3"/>
      </w:r>
      <w:r w:rsidR="00475767">
        <w:t xml:space="preserve"> Further closures are possible, for example with regard to capital transactions (</w:t>
      </w:r>
      <w:r w:rsidR="00C2157F">
        <w:fldChar w:fldCharType="begin"/>
      </w:r>
      <w:r w:rsidR="006111D7">
        <w:instrText xml:space="preserve"> ADDIN EN.CITE &lt;EndNote&gt;&lt;Cite&gt;&lt;Author&gt;Lenzen&lt;/Author&gt;&lt;Year&gt;2005&lt;/Year&gt;&lt;RecNum&gt;2925&lt;/RecNum&gt;&lt;record&gt;&lt;rec-number&gt;2925&lt;/rec-number&gt;&lt;foreign-keys&gt;&lt;key app="EN" db-id="taawaxs5fzprace5p9jv25fnt2vd5xt2d520"&gt;2925&lt;/key&gt;&lt;/foreign-keys&gt;&lt;ref-type name="Journal Article"&gt;17&lt;/ref-type&gt;&lt;contributors&gt;&lt;authors&gt;&lt;author&gt;Lenzen, M.&lt;/author&gt;&lt;author&gt;Treloar, G.&lt;/author&gt;&lt;/authors&gt;&lt;/contributors&gt;&lt;titles&gt;&lt;title&gt;Endogenising capital: a comparison of two methods&lt;/title&gt;&lt;secondary-title&gt;Journal of Applied Input-Output Analysis&lt;/secondary-title&gt;&lt;/titles&gt;&lt;periodical&gt;&lt;full-title&gt;Journal of Applied Input-Output Analysis&lt;/full-title&gt;&lt;/periodical&gt;&lt;pages&gt;1-11&lt;/pages&gt;&lt;volume&gt;10&lt;/volume&gt;&lt;dates&gt;&lt;year&gt;2005&lt;/year&gt;&lt;/dates&gt;&lt;urls&gt;&lt;/urls&gt;&lt;/record&gt;&lt;/Cite&gt;&lt;/EndNote&gt;</w:instrText>
      </w:r>
      <w:r w:rsidR="00C2157F">
        <w:fldChar w:fldCharType="separate"/>
      </w:r>
      <w:r w:rsidR="00475767">
        <w:t>Lenzen and Treloar 2005</w:t>
      </w:r>
      <w:r w:rsidR="00C2157F">
        <w:fldChar w:fldCharType="end"/>
      </w:r>
      <w:r w:rsidR="00475767">
        <w:t xml:space="preserve">), or with regard to the rest of the world, into a true international MRIO. </w:t>
      </w:r>
      <w:r w:rsidR="00B374F8">
        <w:t xml:space="preserve">Because of increasing internal, or in our case inter-regional feedback, the magnitude of multipliers calculated from such models usually increases with the degree of closure. </w:t>
      </w:r>
      <w:r w:rsidR="00475767">
        <w:t xml:space="preserve">For the sake of brevity, in this article we only report on </w:t>
      </w:r>
      <w:r w:rsidR="002E3EB1">
        <w:t xml:space="preserve">open and </w:t>
      </w:r>
      <w:r w:rsidR="00475767">
        <w:t>classical demand-pull and supply-push exercises.</w:t>
      </w:r>
      <w:r w:rsidR="00FF4B5E">
        <w:t xml:space="preserve"> These variants were considered the most appropriate, given that the questions asked by university decision makers included the enumeration of </w:t>
      </w:r>
      <w:r w:rsidR="002E3EB1">
        <w:t xml:space="preserve">internal financial flows, as well as </w:t>
      </w:r>
      <w:r w:rsidR="00FF4B5E">
        <w:t>the economy-wide flow-on effects as a result of the university’s operations.</w:t>
      </w:r>
    </w:p>
    <w:p w:rsidR="003F72E5" w:rsidRDefault="003F72E5" w:rsidP="00482F15">
      <w:pPr>
        <w:jc w:val="both"/>
      </w:pPr>
    </w:p>
    <w:p w:rsidR="002C4A49" w:rsidRDefault="00871C8C" w:rsidP="00CA1A73">
      <w:pPr>
        <w:jc w:val="center"/>
      </w:pPr>
      <w:r w:rsidRPr="00871C8C">
        <w:rPr>
          <w:noProof/>
        </w:rPr>
        <w:drawing>
          <wp:inline distT="0" distB="0" distL="0" distR="0">
            <wp:extent cx="2880000" cy="1438275"/>
            <wp:effectExtent l="0" t="0" r="0" b="0"/>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880000" cy="1438275"/>
                    </a:xfrm>
                    <a:prstGeom prst="rect">
                      <a:avLst/>
                    </a:prstGeom>
                    <a:noFill/>
                    <a:ln w="9525">
                      <a:noFill/>
                      <a:miter lim="800000"/>
                      <a:headEnd/>
                      <a:tailEnd/>
                    </a:ln>
                  </pic:spPr>
                </pic:pic>
              </a:graphicData>
            </a:graphic>
          </wp:inline>
        </w:drawing>
      </w:r>
    </w:p>
    <w:p w:rsidR="00B10378" w:rsidRDefault="00871C8C" w:rsidP="00B10378">
      <w:pPr>
        <w:jc w:val="center"/>
      </w:pPr>
      <w:r w:rsidRPr="00871C8C">
        <w:rPr>
          <w:noProof/>
        </w:rPr>
        <w:drawing>
          <wp:inline distT="0" distB="0" distL="0" distR="0">
            <wp:extent cx="2880000" cy="1438275"/>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880000" cy="1438275"/>
                    </a:xfrm>
                    <a:prstGeom prst="rect">
                      <a:avLst/>
                    </a:prstGeom>
                    <a:noFill/>
                    <a:ln w="9525">
                      <a:noFill/>
                      <a:miter lim="800000"/>
                      <a:headEnd/>
                      <a:tailEnd/>
                    </a:ln>
                  </pic:spPr>
                </pic:pic>
              </a:graphicData>
            </a:graphic>
          </wp:inline>
        </w:drawing>
      </w:r>
    </w:p>
    <w:p w:rsidR="00B10378" w:rsidRDefault="00871C8C" w:rsidP="00B10378">
      <w:pPr>
        <w:jc w:val="center"/>
      </w:pPr>
      <w:r w:rsidRPr="00871C8C">
        <w:rPr>
          <w:noProof/>
        </w:rPr>
        <w:drawing>
          <wp:inline distT="0" distB="0" distL="0" distR="0">
            <wp:extent cx="2880000" cy="1438275"/>
            <wp:effectExtent l="0" t="0" r="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880000" cy="1438275"/>
                    </a:xfrm>
                    <a:prstGeom prst="rect">
                      <a:avLst/>
                    </a:prstGeom>
                    <a:noFill/>
                    <a:ln w="9525">
                      <a:noFill/>
                      <a:miter lim="800000"/>
                      <a:headEnd/>
                      <a:tailEnd/>
                    </a:ln>
                  </pic:spPr>
                </pic:pic>
              </a:graphicData>
            </a:graphic>
          </wp:inline>
        </w:drawing>
      </w:r>
    </w:p>
    <w:p w:rsidR="00CA1A73" w:rsidRDefault="00B10378" w:rsidP="00B10378">
      <w:pPr>
        <w:ind w:left="720" w:hanging="720"/>
        <w:jc w:val="both"/>
      </w:pPr>
      <w:r>
        <w:t xml:space="preserve">Fig. 2: Illustration of open (top), classical (middle) and closed (bottom) input-output demand-pull model variants. The endogenous and exogenous parts are delineated by </w:t>
      </w:r>
      <w:r w:rsidR="000203EA">
        <w:t>bol</w:t>
      </w:r>
      <w:r>
        <w:t xml:space="preserve">d and dashed </w:t>
      </w:r>
      <w:r>
        <w:lastRenderedPageBreak/>
        <w:t xml:space="preserve">lines, respectively. The more closed the model, the larger </w:t>
      </w:r>
      <w:r w:rsidR="00F26B27">
        <w:t>the</w:t>
      </w:r>
      <w:r>
        <w:t xml:space="preserve"> endogenous part</w:t>
      </w:r>
      <w:r w:rsidR="00F26B27">
        <w:t xml:space="preserve"> that is facilitating the flow-on effects</w:t>
      </w:r>
      <w:r>
        <w:t xml:space="preserve">, and the smaller </w:t>
      </w:r>
      <w:r w:rsidR="00F26B27">
        <w:t xml:space="preserve">the </w:t>
      </w:r>
      <w:r>
        <w:t xml:space="preserve">exogenous part </w:t>
      </w:r>
      <w:r w:rsidR="00F26B27">
        <w:t>that is exerting</w:t>
      </w:r>
      <w:r>
        <w:t xml:space="preserve"> </w:t>
      </w:r>
      <w:r w:rsidR="00F26B27">
        <w:t>the pull</w:t>
      </w:r>
      <w:r>
        <w:t>.</w:t>
      </w:r>
    </w:p>
    <w:p w:rsidR="00B10378" w:rsidRDefault="00B10378" w:rsidP="00B10378">
      <w:pPr>
        <w:ind w:left="720" w:hanging="720"/>
        <w:jc w:val="both"/>
      </w:pPr>
    </w:p>
    <w:p w:rsidR="00E8354B" w:rsidRDefault="00876A06" w:rsidP="001342D2">
      <w:pPr>
        <w:jc w:val="both"/>
      </w:pPr>
      <w:r>
        <w:t>In the following Section we will show two types of results: First we will subject the system to demand-pull and supply-push shocks</w:t>
      </w:r>
      <w:r w:rsidRPr="00876A06">
        <w:t xml:space="preserve"> </w:t>
      </w:r>
      <w:r w:rsidR="00BA544C">
        <w:t>propagat</w:t>
      </w:r>
      <w:r>
        <w:t>ed by the Leontief and Ghosh inverses in the usual way</w:t>
      </w:r>
      <w:r w:rsidR="001342D2">
        <w:t xml:space="preserve"> (</w:t>
      </w:r>
      <w:r w:rsidR="00C2157F">
        <w:fldChar w:fldCharType="begin"/>
      </w:r>
      <w:r w:rsidR="006111D7">
        <w:instrText xml:space="preserve"> ADDIN EN.CITE &lt;EndNote&gt;&lt;Cite&gt;&lt;Author&gt;Ghosh&lt;/Author&gt;&lt;Year&gt;1958&lt;/Year&gt;&lt;RecNum&gt;1616&lt;/RecNum&gt;&lt;record&gt;&lt;rec-number&gt;1616&lt;/rec-number&gt;&lt;foreign-keys&gt;&lt;key app="EN" db-id="taawaxs5fzprace5p9jv25fnt2vd5xt2d520"&gt;1616&lt;/key&gt;&lt;/foreign-keys&gt;&lt;ref-type name="Journal Article"&gt;17&lt;/ref-type&gt;&lt;contributors&gt;&lt;authors&gt;&lt;author&gt;Ghosh, A.&lt;/author&gt;&lt;/authors&gt;&lt;/contributors&gt;&lt;titles&gt;&lt;title&gt;Input-output approach in an allocation system&lt;/title&gt;&lt;secondary-title&gt;Economica&lt;/secondary-title&gt;&lt;alt-title&gt;58-64&lt;/alt-title&gt;&lt;/titles&gt;&lt;volume&gt;XXV&lt;/volume&gt;&lt;number&gt;97&lt;/number&gt;&lt;dates&gt;&lt;year&gt;1958&lt;/year&gt;&lt;/dates&gt;&lt;urls&gt;&lt;/urls&gt;&lt;/record&gt;&lt;/Cite&gt;&lt;Cite&gt;&lt;Author&gt;Leontief&lt;/Author&gt;&lt;Year&gt;1936&lt;/Year&gt;&lt;RecNum&gt;1158&lt;/RecNum&gt;&lt;record&gt;&lt;rec-number&gt;1158&lt;/rec-number&gt;&lt;foreign-keys&gt;&lt;key app="EN" db-id="taawaxs5fzprace5p9jv25fnt2vd5xt2d520"&gt;1158&lt;/key&gt;&lt;/foreign-keys&gt;&lt;ref-type name="Journal Article"&gt;17&lt;/ref-type&gt;&lt;contributors&gt;&lt;authors&gt;&lt;author&gt;Leontief, W.&lt;/author&gt;&lt;/authors&gt;&lt;/contributors&gt;&lt;titles&gt;&lt;title&gt;Quantitative input and output relations in the economic system of the United States&lt;/title&gt;&lt;secondary-title&gt;Review of Economics and Statistics&lt;/secondary-title&gt;&lt;/titles&gt;&lt;periodical&gt;&lt;full-title&gt;Review of Economics and Statistics&lt;/full-title&gt;&lt;/periodical&gt;&lt;pages&gt;105-125&lt;/pages&gt;&lt;volume&gt;18&lt;/volume&gt;&lt;number&gt;3&lt;/number&gt;&lt;dates&gt;&lt;year&gt;1936&lt;/year&gt;&lt;/dates&gt;&lt;urls&gt;&lt;/urls&gt;&lt;/record&gt;&lt;/Cite&gt;&lt;/EndNote&gt;</w:instrText>
      </w:r>
      <w:r w:rsidR="00C2157F">
        <w:fldChar w:fldCharType="separate"/>
      </w:r>
      <w:r w:rsidR="00411428">
        <w:t>Leontief 1936; Ghosh 1958</w:t>
      </w:r>
      <w:r w:rsidR="00C2157F">
        <w:fldChar w:fldCharType="end"/>
      </w:r>
      <w:r w:rsidR="001342D2">
        <w:t>)</w:t>
      </w:r>
      <w:r>
        <w:t xml:space="preserve">, and then examine the total effects of these shocks on the respective opposite supply and demand sides. </w:t>
      </w:r>
      <w:r w:rsidR="001868ED">
        <w:t xml:space="preserve">Expressed mathematically: </w:t>
      </w:r>
      <w:r w:rsidR="00E8354B">
        <w:t xml:space="preserve">Let </w:t>
      </w:r>
      <w:r w:rsidR="00E8354B">
        <w:rPr>
          <w:b/>
        </w:rPr>
        <w:t>T</w:t>
      </w:r>
      <w:r w:rsidR="00E8354B">
        <w:t xml:space="preserve"> be the input-output transactions matrix represented for each model by the bold rectangles in Fig. 2, and </w:t>
      </w:r>
      <w:r w:rsidR="00E8354B" w:rsidRPr="001F48A6">
        <w:rPr>
          <w:b/>
        </w:rPr>
        <w:t>y</w:t>
      </w:r>
      <w:r w:rsidR="00E8354B">
        <w:t xml:space="preserve"> the remaining exogenous demand represented by the dashed rectangle. Let </w:t>
      </w:r>
      <w:r w:rsidR="00E8354B" w:rsidRPr="001F48A6">
        <w:rPr>
          <w:b/>
        </w:rPr>
        <w:t>1</w:t>
      </w:r>
      <w:r w:rsidR="00E8354B">
        <w:t xml:space="preserve"> = {1,...,1} be a summation operator, and </w:t>
      </w:r>
      <w:r w:rsidR="00E8354B" w:rsidRPr="001F48A6">
        <w:rPr>
          <w:b/>
        </w:rPr>
        <w:t>T1</w:t>
      </w:r>
      <w:r w:rsidR="00E8354B">
        <w:t> + </w:t>
      </w:r>
      <w:r w:rsidR="00E8354B" w:rsidRPr="001F48A6">
        <w:rPr>
          <w:b/>
        </w:rPr>
        <w:t>y</w:t>
      </w:r>
      <w:r w:rsidR="00E8354B">
        <w:rPr>
          <w:b/>
        </w:rPr>
        <w:t> </w:t>
      </w:r>
      <w:r w:rsidR="00E8354B">
        <w:t>= </w:t>
      </w:r>
      <w:r w:rsidR="00E8354B" w:rsidRPr="001F48A6">
        <w:rPr>
          <w:b/>
        </w:rPr>
        <w:t>x</w:t>
      </w:r>
      <w:r w:rsidR="00E8354B">
        <w:t xml:space="preserve"> be gross output. The Leontief inverse is then </w:t>
      </w:r>
      <w:r w:rsidR="00E8354B" w:rsidRPr="001F48A6">
        <w:rPr>
          <w:b/>
        </w:rPr>
        <w:t>L</w:t>
      </w:r>
      <w:r w:rsidR="00E8354B">
        <w:t xml:space="preserve"> = [</w:t>
      </w:r>
      <m:oMath>
        <m:acc>
          <m:accPr>
            <m:ctrlPr>
              <w:rPr>
                <w:rFonts w:ascii="Cambria Math" w:hAnsi="Cambria Math"/>
                <w:i/>
              </w:rPr>
            </m:ctrlPr>
          </m:accPr>
          <m:e>
            <m:r>
              <m:rPr>
                <m:sty m:val="b"/>
              </m:rPr>
              <w:rPr>
                <w:rFonts w:ascii="Cambria Math" w:hAnsi="Cambria Math"/>
              </w:rPr>
              <m:t>1</m:t>
            </m:r>
          </m:e>
        </m:acc>
      </m:oMath>
      <w:r w:rsidR="00E8354B">
        <w:t xml:space="preserve">- </w:t>
      </w:r>
      <w:r w:rsidR="00E8354B" w:rsidRPr="001F48A6">
        <w:rPr>
          <w:b/>
        </w:rPr>
        <w:t>T</w:t>
      </w:r>
      <m:oMath>
        <m:acc>
          <m:accPr>
            <m:ctrlPr>
              <w:rPr>
                <w:rFonts w:ascii="Cambria Math" w:hAnsi="Cambria Math"/>
                <w:i/>
              </w:rPr>
            </m:ctrlPr>
          </m:accPr>
          <m:e>
            <m:r>
              <m:rPr>
                <m:sty m:val="b"/>
              </m:rPr>
              <w:rPr>
                <w:rFonts w:ascii="Cambria Math" w:hAnsi="Cambria Math"/>
              </w:rPr>
              <m:t>x</m:t>
            </m:r>
          </m:e>
        </m:acc>
      </m:oMath>
      <w:r w:rsidR="00E8354B" w:rsidRPr="001F48A6">
        <w:rPr>
          <w:vertAlign w:val="superscript"/>
        </w:rPr>
        <w:t>-1</w:t>
      </w:r>
      <w:r w:rsidR="00E8354B">
        <w:t>]</w:t>
      </w:r>
      <w:r w:rsidR="00E8354B" w:rsidRPr="001F48A6">
        <w:rPr>
          <w:vertAlign w:val="superscript"/>
        </w:rPr>
        <w:t>-1</w:t>
      </w:r>
      <w:r w:rsidR="00E8354B">
        <w:t xml:space="preserve">, where the hat symbol denotes diagonalisation of a vector, and </w:t>
      </w:r>
      <m:oMath>
        <m:acc>
          <m:accPr>
            <m:ctrlPr>
              <w:rPr>
                <w:rFonts w:ascii="Cambria Math" w:hAnsi="Cambria Math"/>
                <w:i/>
              </w:rPr>
            </m:ctrlPr>
          </m:accPr>
          <m:e>
            <m:r>
              <m:rPr>
                <m:sty m:val="b"/>
              </m:rPr>
              <w:rPr>
                <w:rFonts w:ascii="Cambria Math" w:hAnsi="Cambria Math"/>
              </w:rPr>
              <m:t>1</m:t>
            </m:r>
          </m:e>
        </m:acc>
      </m:oMath>
      <w:r w:rsidR="00E8354B">
        <w:t xml:space="preserve"> = </w:t>
      </w:r>
      <w:r w:rsidR="00E8354B" w:rsidRPr="001F48A6">
        <w:rPr>
          <w:b/>
        </w:rPr>
        <w:t>I</w:t>
      </w:r>
      <w:r w:rsidR="00E8354B">
        <w:t xml:space="preserve"> is the identity matrix. Effects </w:t>
      </w:r>
      <w:r w:rsidR="00E8354B" w:rsidRPr="001F48A6">
        <w:rPr>
          <w:rFonts w:ascii="Symbol" w:hAnsi="Symbol"/>
        </w:rPr>
        <w:t></w:t>
      </w:r>
      <w:r w:rsidR="00E8354B" w:rsidRPr="00F10008">
        <w:rPr>
          <w:b/>
        </w:rPr>
        <w:t>Q</w:t>
      </w:r>
      <w:r w:rsidR="00E8354B">
        <w:t xml:space="preserve"> of demand-side shocks </w:t>
      </w:r>
      <w:r w:rsidR="00E8354B" w:rsidRPr="001F48A6">
        <w:rPr>
          <w:rFonts w:ascii="Symbol" w:hAnsi="Symbol"/>
        </w:rPr>
        <w:t></w:t>
      </w:r>
      <w:r w:rsidR="00E8354B" w:rsidRPr="001F48A6">
        <w:rPr>
          <w:b/>
        </w:rPr>
        <w:t>y</w:t>
      </w:r>
      <w:r w:rsidR="00E8354B">
        <w:t xml:space="preserve"> on exogenous inputs </w:t>
      </w:r>
      <w:r w:rsidR="009F3094">
        <w:rPr>
          <w:b/>
        </w:rPr>
        <w:t>v</w:t>
      </w:r>
      <w:r w:rsidR="00E8354B">
        <w:t xml:space="preserve"> are then determined by </w:t>
      </w:r>
      <w:r w:rsidR="00E8354B" w:rsidRPr="001F48A6">
        <w:rPr>
          <w:rFonts w:ascii="Symbol" w:hAnsi="Symbol"/>
        </w:rPr>
        <w:t></w:t>
      </w:r>
      <w:r w:rsidR="009F3094">
        <w:rPr>
          <w:b/>
        </w:rPr>
        <w:t>v</w:t>
      </w:r>
      <w:r w:rsidR="00E8354B">
        <w:rPr>
          <w:b/>
        </w:rPr>
        <w:t xml:space="preserve"> </w:t>
      </w:r>
      <w:r w:rsidR="00E8354B" w:rsidRPr="00F10008">
        <w:t xml:space="preserve">= </w:t>
      </w:r>
      <w:r w:rsidR="009F3094">
        <w:rPr>
          <w:b/>
        </w:rPr>
        <w:t>v</w:t>
      </w:r>
      <m:oMath>
        <m:acc>
          <m:accPr>
            <m:ctrlPr>
              <w:rPr>
                <w:rFonts w:ascii="Cambria Math" w:hAnsi="Cambria Math"/>
                <w:i/>
              </w:rPr>
            </m:ctrlPr>
          </m:accPr>
          <m:e>
            <m:r>
              <m:rPr>
                <m:sty m:val="b"/>
              </m:rPr>
              <w:rPr>
                <w:rFonts w:ascii="Cambria Math" w:hAnsi="Cambria Math"/>
              </w:rPr>
              <m:t>x</m:t>
            </m:r>
          </m:e>
        </m:acc>
      </m:oMath>
      <w:r w:rsidR="00E8354B" w:rsidRPr="001F48A6">
        <w:rPr>
          <w:vertAlign w:val="superscript"/>
        </w:rPr>
        <w:t>-1</w:t>
      </w:r>
      <w:r w:rsidR="00E8354B" w:rsidRPr="00F10008">
        <w:rPr>
          <w:b/>
        </w:rPr>
        <w:t>L</w:t>
      </w:r>
      <w:r w:rsidR="00E8354B">
        <w:rPr>
          <w:b/>
        </w:rPr>
        <w:t xml:space="preserve"> </w:t>
      </w:r>
      <w:r w:rsidR="00E8354B" w:rsidRPr="001F48A6">
        <w:rPr>
          <w:rFonts w:ascii="Symbol" w:hAnsi="Symbol"/>
        </w:rPr>
        <w:t></w:t>
      </w:r>
      <w:r w:rsidR="00E8354B" w:rsidRPr="001F48A6">
        <w:rPr>
          <w:b/>
        </w:rPr>
        <w:t>y</w:t>
      </w:r>
      <w:r w:rsidR="00E8354B">
        <w:t xml:space="preserve">. The supply-push model formulation can be derived in a similar way from </w:t>
      </w:r>
      <w:r w:rsidR="00E8354B" w:rsidRPr="00D03CD9">
        <w:rPr>
          <w:b/>
        </w:rPr>
        <w:t>v</w:t>
      </w:r>
      <w:r w:rsidR="00E8354B">
        <w:t xml:space="preserve"> + </w:t>
      </w:r>
      <w:r w:rsidR="00E8354B" w:rsidRPr="001F48A6">
        <w:rPr>
          <w:b/>
        </w:rPr>
        <w:t>1T</w:t>
      </w:r>
      <w:r w:rsidR="00E8354B">
        <w:rPr>
          <w:b/>
        </w:rPr>
        <w:t> </w:t>
      </w:r>
      <w:r w:rsidR="00E8354B">
        <w:t>= </w:t>
      </w:r>
      <w:r w:rsidR="00E8354B" w:rsidRPr="001F48A6">
        <w:rPr>
          <w:b/>
        </w:rPr>
        <w:t>x</w:t>
      </w:r>
      <w:r w:rsidR="00E8354B" w:rsidRPr="00D03CD9">
        <w:t>’</w:t>
      </w:r>
      <w:r w:rsidR="00E8354B">
        <w:t xml:space="preserve">, where the prime denotes transposition, and the Ghosh inverse </w:t>
      </w:r>
      <w:r w:rsidR="00E8354B">
        <w:rPr>
          <w:b/>
        </w:rPr>
        <w:t>G</w:t>
      </w:r>
      <w:r w:rsidR="00E8354B">
        <w:t xml:space="preserve"> = [</w:t>
      </w:r>
      <m:oMath>
        <m:acc>
          <m:accPr>
            <m:ctrlPr>
              <w:rPr>
                <w:rFonts w:ascii="Cambria Math" w:hAnsi="Cambria Math"/>
                <w:i/>
              </w:rPr>
            </m:ctrlPr>
          </m:accPr>
          <m:e>
            <m:r>
              <m:rPr>
                <m:sty m:val="b"/>
              </m:rPr>
              <w:rPr>
                <w:rFonts w:ascii="Cambria Math" w:hAnsi="Cambria Math"/>
              </w:rPr>
              <m:t>1</m:t>
            </m:r>
          </m:e>
        </m:acc>
      </m:oMath>
      <w:r w:rsidR="00E8354B">
        <w:t xml:space="preserve">- </w:t>
      </w:r>
      <m:oMath>
        <m:acc>
          <m:accPr>
            <m:ctrlPr>
              <w:rPr>
                <w:rFonts w:ascii="Cambria Math" w:hAnsi="Cambria Math"/>
                <w:i/>
              </w:rPr>
            </m:ctrlPr>
          </m:accPr>
          <m:e>
            <m:r>
              <m:rPr>
                <m:sty m:val="b"/>
              </m:rPr>
              <w:rPr>
                <w:rFonts w:ascii="Cambria Math" w:hAnsi="Cambria Math"/>
              </w:rPr>
              <m:t>x</m:t>
            </m:r>
          </m:e>
        </m:acc>
      </m:oMath>
      <w:r w:rsidR="00E8354B" w:rsidRPr="001F48A6">
        <w:rPr>
          <w:vertAlign w:val="superscript"/>
        </w:rPr>
        <w:t>-1</w:t>
      </w:r>
      <w:r w:rsidR="00E8354B" w:rsidRPr="001F48A6">
        <w:rPr>
          <w:b/>
        </w:rPr>
        <w:t>T</w:t>
      </w:r>
      <w:r w:rsidR="00E8354B">
        <w:t>]</w:t>
      </w:r>
      <w:r w:rsidR="00E8354B" w:rsidRPr="001F48A6">
        <w:rPr>
          <w:vertAlign w:val="superscript"/>
        </w:rPr>
        <w:t>-1</w:t>
      </w:r>
      <w:r w:rsidR="00E8354B">
        <w:t>.</w:t>
      </w:r>
    </w:p>
    <w:p w:rsidR="001868ED" w:rsidRDefault="001868ED" w:rsidP="001342D2">
      <w:pPr>
        <w:jc w:val="both"/>
      </w:pPr>
      <w:r>
        <w:t xml:space="preserve">In particular, </w:t>
      </w:r>
      <w:r w:rsidR="00187942">
        <w:t xml:space="preserve">for </w:t>
      </w:r>
      <w:r>
        <w:t xml:space="preserve">open-model demand-pull </w:t>
      </w:r>
      <w:r w:rsidR="00187942">
        <w:t>we use</w:t>
      </w:r>
      <w:r>
        <w:t xml:space="preserve"> </w:t>
      </w:r>
      <m:oMath>
        <m:sSup>
          <m:sSupPr>
            <m:ctrlPr>
              <w:rPr>
                <w:rFonts w:ascii="Cambria Math" w:hAnsi="Cambria Math"/>
                <w:i/>
              </w:rPr>
            </m:ctrlPr>
          </m:sSupPr>
          <m:e>
            <m:r>
              <m:rPr>
                <m:sty m:val="b"/>
              </m:rPr>
              <w:rPr>
                <w:rFonts w:ascii="Cambria Math" w:hAnsi="Cambria Math"/>
              </w:rPr>
              <m:t>T</m:t>
            </m:r>
          </m:e>
          <m:sup>
            <m:r>
              <m:rPr>
                <m:sty m:val="p"/>
              </m:rPr>
              <w:rPr>
                <w:rFonts w:ascii="Cambria Math" w:hAnsi="Cambria Math"/>
              </w:rPr>
              <m:t>o</m:t>
            </m:r>
          </m:sup>
        </m:sSup>
        <m:r>
          <w:rPr>
            <w:rFonts w:ascii="Cambria Math" w:hAnsi="Cambria Math"/>
          </w:rPr>
          <m:t>=</m:t>
        </m:r>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UU</m:t>
            </m:r>
          </m:sub>
        </m:sSub>
      </m:oMath>
      <w:r>
        <w:t>,</w:t>
      </w:r>
      <m:oMath>
        <m:r>
          <w:rPr>
            <w:rFonts w:ascii="Cambria Math" w:hAnsi="Cambria Math"/>
          </w:rPr>
          <m:t xml:space="preserve"> </m:t>
        </m:r>
        <m:sSup>
          <m:sSupPr>
            <m:ctrlPr>
              <w:rPr>
                <w:rFonts w:ascii="Cambria Math" w:hAnsi="Cambria Math"/>
                <w:i/>
              </w:rPr>
            </m:ctrlPr>
          </m:sSupPr>
          <m:e>
            <m:r>
              <m:rPr>
                <m:sty m:val="b"/>
              </m:rPr>
              <w:rPr>
                <w:rFonts w:ascii="Cambria Math" w:hAnsi="Cambria Math"/>
              </w:rPr>
              <m:t>A</m:t>
            </m:r>
          </m:e>
          <m:sup>
            <m:r>
              <m:rPr>
                <m:sty m:val="p"/>
              </m:rPr>
              <w:rPr>
                <w:rFonts w:ascii="Cambria Math" w:hAnsi="Cambria Math"/>
              </w:rPr>
              <m:t>o</m:t>
            </m:r>
          </m:sup>
        </m:sSup>
        <m:r>
          <w:rPr>
            <w:rFonts w:ascii="Cambria Math" w:hAnsi="Cambria Math"/>
          </w:rPr>
          <m:t>=</m:t>
        </m:r>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UU</m:t>
            </m:r>
          </m:sub>
        </m:sSub>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acc>
          </m:e>
          <m:sup>
            <m:r>
              <w:rPr>
                <w:rFonts w:ascii="Cambria Math" w:hAnsi="Cambria Math"/>
              </w:rPr>
              <m:t>-1</m:t>
            </m:r>
          </m:sup>
        </m:sSup>
      </m:oMath>
      <w:r>
        <w:t>,</w:t>
      </w:r>
      <w:r w:rsidR="00265121">
        <w:t xml:space="preserve"> and demand-side shocks</w:t>
      </w:r>
      <w:r>
        <w:t xml:space="preserve"> </w:t>
      </w:r>
      <m:oMath>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o</m:t>
            </m:r>
          </m:sup>
        </m:sSup>
        <m:r>
          <w:rPr>
            <w:rFonts w:ascii="Cambria Math" w:hAnsi="Cambria Math"/>
          </w:rPr>
          <m:t>=</m:t>
        </m:r>
        <m:sSub>
          <m:sSubPr>
            <m:ctrlPr>
              <w:rPr>
                <w:rFonts w:ascii="Cambria Math" w:hAnsi="Cambria Math"/>
                <w:i/>
              </w:rPr>
            </m:ctrlPr>
          </m:sSubPr>
          <m:e>
            <m:r>
              <w:rPr>
                <w:rFonts w:ascii="Cambria Math" w:hAnsi="Cambria Math"/>
              </w:rPr>
              <m:t>∆</m:t>
            </m:r>
            <m:r>
              <m:rPr>
                <m:sty m:val="b"/>
              </m:rPr>
              <w:rPr>
                <w:rFonts w:ascii="Cambria Math" w:hAnsi="Cambria Math"/>
              </w:rPr>
              <m:t>T</m:t>
            </m:r>
          </m:e>
          <m:sub>
            <m:r>
              <m:rPr>
                <m:sty m:val="p"/>
              </m:rPr>
              <w:rPr>
                <w:rFonts w:ascii="Cambria Math" w:hAnsi="Cambria Math"/>
              </w:rPr>
              <m:t>UA</m:t>
            </m:r>
          </m:sub>
        </m:sSub>
        <m:r>
          <m:rPr>
            <m:sty m:val="bi"/>
          </m:rPr>
          <w:rPr>
            <w:rFonts w:ascii="Cambria Math" w:hAnsi="Cambria Math"/>
          </w:rPr>
          <m:t>1</m:t>
        </m:r>
        <m:r>
          <w:rPr>
            <w:rFonts w:ascii="Cambria Math" w:hAnsi="Cambria Math"/>
          </w:rPr>
          <m:t>+</m:t>
        </m:r>
        <m:sSub>
          <m:sSubPr>
            <m:ctrlPr>
              <w:rPr>
                <w:rFonts w:ascii="Cambria Math" w:hAnsi="Cambria Math"/>
                <w:i/>
              </w:rPr>
            </m:ctrlPr>
          </m:sSubPr>
          <m:e>
            <m:r>
              <w:rPr>
                <w:rFonts w:ascii="Cambria Math" w:hAnsi="Cambria Math"/>
              </w:rPr>
              <m:t>∆</m:t>
            </m:r>
            <m:r>
              <m:rPr>
                <m:sty m:val="b"/>
              </m:rPr>
              <w:rPr>
                <w:rFonts w:ascii="Cambria Math" w:hAnsi="Cambria Math"/>
              </w:rPr>
              <m:t>y</m:t>
            </m:r>
          </m:e>
          <m:sub>
            <m:r>
              <m:rPr>
                <m:sty m:val="p"/>
              </m:rPr>
              <w:rPr>
                <w:rFonts w:ascii="Cambria Math" w:hAnsi="Cambria Math"/>
              </w:rPr>
              <m:t>U</m:t>
            </m:r>
          </m:sub>
        </m:sSub>
        <m:r>
          <m:rPr>
            <m:sty m:val="bi"/>
          </m:rPr>
          <w:rPr>
            <w:rFonts w:ascii="Cambria Math" w:hAnsi="Cambria Math"/>
          </w:rPr>
          <m:t>1</m:t>
        </m:r>
      </m:oMath>
      <w:r w:rsidR="00187942">
        <w:t xml:space="preserve"> to enumerate supply-side effects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o</m:t>
            </m:r>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AU</m:t>
                      </m:r>
                    </m:sub>
                  </m:sSub>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acc>
                    </m:e>
                    <m:sup>
                      <m:r>
                        <w:rPr>
                          <w:rFonts w:ascii="Cambria Math" w:hAnsi="Cambria Math"/>
                        </w:rPr>
                        <m:t>-1</m:t>
                      </m:r>
                    </m:sup>
                  </m:sSup>
                </m:e>
              </m:mr>
              <m:mr>
                <m:e>
                  <m:sSub>
                    <m:sSubPr>
                      <m:ctrlPr>
                        <w:rPr>
                          <w:rFonts w:ascii="Cambria Math" w:hAnsi="Cambria Math"/>
                          <w:i/>
                        </w:rPr>
                      </m:ctrlPr>
                    </m:sSubPr>
                    <m:e>
                      <m:r>
                        <m:rPr>
                          <m:sty m:val="b"/>
                        </m:rPr>
                        <w:rPr>
                          <w:rFonts w:ascii="Cambria Math" w:hAnsi="Cambria Math"/>
                        </w:rPr>
                        <m:t>v</m:t>
                      </m:r>
                    </m:e>
                    <m:sub>
                      <m:r>
                        <m:rPr>
                          <m:sty m:val="p"/>
                        </m:rPr>
                        <w:rPr>
                          <w:rFonts w:ascii="Cambria Math" w:hAnsi="Cambria Math"/>
                        </w:rPr>
                        <m:t>U</m:t>
                      </m:r>
                    </m:sub>
                  </m:sSub>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acc>
                    </m:e>
                    <m:sup>
                      <m:r>
                        <w:rPr>
                          <w:rFonts w:ascii="Cambria Math" w:hAnsi="Cambria Math"/>
                        </w:rPr>
                        <m:t>-1</m:t>
                      </m:r>
                    </m:sup>
                  </m:sSup>
                </m:e>
              </m:mr>
            </m:m>
          </m:e>
        </m:d>
        <m:sSup>
          <m:sSupPr>
            <m:ctrlPr>
              <w:rPr>
                <w:rFonts w:ascii="Cambria Math" w:hAnsi="Cambria Math"/>
                <w:i/>
              </w:rPr>
            </m:ctrlPr>
          </m:sSupPr>
          <m:e>
            <m:d>
              <m:dPr>
                <m:ctrlPr>
                  <w:rPr>
                    <w:rFonts w:ascii="Cambria Math" w:hAnsi="Cambria Math"/>
                    <w:i/>
                  </w:rPr>
                </m:ctrlPr>
              </m:dPr>
              <m:e>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m:rPr>
                        <m:sty m:val="p"/>
                      </m:rPr>
                      <w:rPr>
                        <w:rFonts w:ascii="Cambria Math" w:hAnsi="Cambria Math"/>
                      </w:rPr>
                      <m:t>o</m:t>
                    </m:r>
                  </m:sup>
                </m:sSup>
              </m:e>
            </m:d>
          </m:e>
          <m:sup>
            <m:r>
              <w:rPr>
                <w:rFonts w:ascii="Cambria Math" w:hAnsi="Cambria Math"/>
              </w:rPr>
              <m:t>-1</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o</m:t>
            </m:r>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AU</m:t>
                      </m:r>
                    </m:sub>
                  </m:sSub>
                </m:e>
              </m:mr>
              <m:mr>
                <m:e>
                  <m:sSub>
                    <m:sSubPr>
                      <m:ctrlPr>
                        <w:rPr>
                          <w:rFonts w:ascii="Cambria Math" w:hAnsi="Cambria Math"/>
                          <w:i/>
                        </w:rPr>
                      </m:ctrlPr>
                    </m:sSubPr>
                    <m:e>
                      <m:r>
                        <m:rPr>
                          <m:sty m:val="b"/>
                        </m:rPr>
                        <w:rPr>
                          <w:rFonts w:ascii="Cambria Math" w:hAnsi="Cambria Math"/>
                        </w:rPr>
                        <m:t>φ</m:t>
                      </m:r>
                    </m:e>
                    <m:sub>
                      <m:r>
                        <m:rPr>
                          <m:sty m:val="p"/>
                        </m:rPr>
                        <w:rPr>
                          <w:rFonts w:ascii="Cambria Math" w:hAnsi="Cambria Math"/>
                        </w:rPr>
                        <m:t>U</m:t>
                      </m:r>
                    </m:sub>
                  </m:sSub>
                </m:e>
              </m:mr>
            </m:m>
          </m:e>
        </m:d>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o</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o</m:t>
            </m:r>
          </m:sup>
        </m:sSup>
      </m:oMath>
      <w:r w:rsidR="00187942">
        <w:t xml:space="preserve">. We call </w:t>
      </w:r>
      <m:oMath>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AU</m:t>
            </m:r>
          </m:sub>
        </m:sSub>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o</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o</m:t>
            </m:r>
          </m:sup>
        </m:sSup>
      </m:oMath>
      <w:r w:rsidR="00187942">
        <w:t xml:space="preserve"> the “university </w:t>
      </w:r>
      <w:r w:rsidR="003061E0">
        <w:t>supply</w:t>
      </w:r>
      <w:r w:rsidR="009C395C">
        <w:t>-side requirements in terms of operating inputs”</w:t>
      </w:r>
      <w:r w:rsidR="008F64DB">
        <w:t>,</w:t>
      </w:r>
      <w:r w:rsidR="00B309E5">
        <w:t xml:space="preserve"> </w:t>
      </w:r>
      <w:r w:rsidR="008F64DB">
        <w:t>and</w:t>
      </w:r>
      <w:r w:rsidR="00B309E5">
        <w:t xml:space="preserve"> </w:t>
      </w:r>
      <m:oMath>
        <m:sSub>
          <m:sSubPr>
            <m:ctrlPr>
              <w:rPr>
                <w:rFonts w:ascii="Cambria Math" w:hAnsi="Cambria Math"/>
                <w:i/>
              </w:rPr>
            </m:ctrlPr>
          </m:sSubPr>
          <m:e>
            <m:r>
              <m:rPr>
                <m:sty m:val="b"/>
              </m:rPr>
              <w:rPr>
                <w:rFonts w:ascii="Cambria Math" w:hAnsi="Cambria Math"/>
              </w:rPr>
              <m:t>φ</m:t>
            </m:r>
          </m:e>
          <m:sub>
            <m:r>
              <m:rPr>
                <m:sty m:val="p"/>
              </m:rPr>
              <w:rPr>
                <w:rFonts w:ascii="Cambria Math" w:hAnsi="Cambria Math"/>
              </w:rPr>
              <m:t>U</m:t>
            </m:r>
          </m:sub>
        </m:sSub>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o</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o</m:t>
            </m:r>
          </m:sup>
        </m:sSup>
      </m:oMath>
      <w:r w:rsidR="00B309E5">
        <w:t xml:space="preserve"> the “university </w:t>
      </w:r>
      <w:r w:rsidR="003061E0">
        <w:t>supply</w:t>
      </w:r>
      <w:r w:rsidR="009C395C">
        <w:t>-side requirements</w:t>
      </w:r>
      <w:r w:rsidR="003061E0">
        <w:t xml:space="preserve"> </w:t>
      </w:r>
      <w:r w:rsidR="00B309E5">
        <w:t>in terms of primary inputs</w:t>
      </w:r>
      <w:r w:rsidR="009C395C">
        <w:t>”</w:t>
      </w:r>
      <w:r w:rsidR="008F64DB">
        <w:t>, that are necessary to meet the demand-side shock.</w:t>
      </w:r>
      <w:r>
        <w:t xml:space="preserve"> </w:t>
      </w:r>
    </w:p>
    <w:p w:rsidR="00B309E5" w:rsidRDefault="00B309E5" w:rsidP="001342D2">
      <w:pPr>
        <w:jc w:val="both"/>
      </w:pPr>
      <w:r>
        <w:t xml:space="preserve">For classical-model demand-pull we use </w:t>
      </w:r>
      <m:oMath>
        <m:sSup>
          <m:sSupPr>
            <m:ctrlPr>
              <w:rPr>
                <w:rFonts w:ascii="Cambria Math" w:hAnsi="Cambria Math"/>
                <w:i/>
              </w:rPr>
            </m:ctrlPr>
          </m:sSupPr>
          <m:e>
            <m:r>
              <m:rPr>
                <m:sty m:val="b"/>
              </m:rPr>
              <w:rPr>
                <w:rFonts w:ascii="Cambria Math" w:hAnsi="Cambria Math"/>
              </w:rPr>
              <m:t>T</m:t>
            </m:r>
          </m:e>
          <m:sup>
            <m:r>
              <m:rPr>
                <m:sty m:val="p"/>
              </m:rPr>
              <w:rPr>
                <w:rFonts w:ascii="Cambria Math" w:hAnsi="Cambria Math"/>
              </w:rPr>
              <m:t>c</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UU</m:t>
                      </m:r>
                    </m:sub>
                  </m:sSub>
                </m:e>
                <m:e>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UA</m:t>
                      </m:r>
                    </m:sub>
                  </m:sSub>
                </m:e>
              </m:mr>
              <m:mr>
                <m:e>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AU</m:t>
                      </m:r>
                    </m:sub>
                  </m:sSub>
                </m:e>
                <m:e>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AA</m:t>
                      </m:r>
                    </m:sub>
                  </m:sSub>
                </m:e>
              </m:mr>
            </m:m>
          </m:e>
        </m:d>
      </m:oMath>
      <w:r>
        <w:t>,</w:t>
      </w:r>
      <m:oMath>
        <m:r>
          <w:rPr>
            <w:rFonts w:ascii="Cambria Math" w:hAnsi="Cambria Math"/>
          </w:rPr>
          <m:t xml:space="preserve"> </m:t>
        </m:r>
        <m:sSup>
          <m:sSupPr>
            <m:ctrlPr>
              <w:rPr>
                <w:rFonts w:ascii="Cambria Math" w:hAnsi="Cambria Math"/>
                <w:i/>
              </w:rPr>
            </m:ctrlPr>
          </m:sSupPr>
          <m:e>
            <m:r>
              <m:rPr>
                <m:sty m:val="b"/>
              </m:rPr>
              <w:rPr>
                <w:rFonts w:ascii="Cambria Math" w:hAnsi="Cambria Math"/>
              </w:rPr>
              <m:t>A</m:t>
            </m:r>
          </m:e>
          <m:sup>
            <m:r>
              <m:rPr>
                <m:sty m:val="p"/>
              </m:rPr>
              <w:rPr>
                <w:rFonts w:ascii="Cambria Math" w:hAnsi="Cambria Math"/>
              </w:rPr>
              <m:t>c</m:t>
            </m:r>
          </m:sup>
        </m:sSup>
        <m:r>
          <w:rPr>
            <w:rFonts w:ascii="Cambria Math" w:hAnsi="Cambria Math"/>
          </w:rPr>
          <m:t>=</m:t>
        </m:r>
        <m:sSup>
          <m:sSupPr>
            <m:ctrlPr>
              <w:rPr>
                <w:rFonts w:ascii="Cambria Math" w:hAnsi="Cambria Math"/>
                <w:i/>
              </w:rPr>
            </m:ctrlPr>
          </m:sSupPr>
          <m:e>
            <m:r>
              <m:rPr>
                <m:sty m:val="b"/>
              </m:rPr>
              <w:rPr>
                <w:rFonts w:ascii="Cambria Math" w:hAnsi="Cambria Math"/>
              </w:rPr>
              <m:t>T</m:t>
            </m:r>
          </m:e>
          <m:sup>
            <m:r>
              <m:rPr>
                <m:sty m:val="p"/>
              </m:rPr>
              <w:rPr>
                <w:rFonts w:ascii="Cambria Math" w:hAnsi="Cambria Math"/>
              </w:rPr>
              <m:t>c</m:t>
            </m:r>
          </m:sup>
        </m:sSup>
        <m:sSup>
          <m:sSupPr>
            <m:ctrlPr>
              <w:rPr>
                <w:rFonts w:ascii="Cambria Math" w:hAnsi="Cambria Math"/>
                <w:i/>
              </w:rPr>
            </m:ctrlPr>
          </m:sSupPr>
          <m:e>
            <m:acc>
              <m:accPr>
                <m:ctrlPr>
                  <w:rPr>
                    <w:rFonts w:ascii="Cambria Math" w:hAnsi="Cambria Math"/>
                    <w:i/>
                  </w:rPr>
                </m:ctrlPr>
              </m:acc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mr>
                      <m:m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A</m:t>
                              </m:r>
                            </m:sub>
                          </m:sSub>
                        </m:e>
                      </m:mr>
                    </m:m>
                  </m:e>
                </m:d>
              </m:e>
            </m:acc>
          </m:e>
          <m:sup>
            <m:r>
              <w:rPr>
                <w:rFonts w:ascii="Cambria Math" w:hAnsi="Cambria Math"/>
              </w:rPr>
              <m:t>-1</m:t>
            </m:r>
          </m:sup>
        </m:sSup>
      </m:oMath>
      <w:r>
        <w:t>,</w:t>
      </w:r>
      <w:r w:rsidR="00265121">
        <w:t xml:space="preserve"> and demand-side shocks</w:t>
      </w:r>
      <w:r>
        <w:t xml:space="preserve"> </w:t>
      </w:r>
      <m:oMath>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c</m:t>
            </m:r>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t>
                      </m:r>
                      <m:r>
                        <m:rPr>
                          <m:sty m:val="b"/>
                        </m:rPr>
                        <w:rPr>
                          <w:rFonts w:ascii="Cambria Math" w:hAnsi="Cambria Math"/>
                        </w:rPr>
                        <m:t>y</m:t>
                      </m:r>
                    </m:e>
                    <m:sub>
                      <m:r>
                        <m:rPr>
                          <m:sty m:val="p"/>
                        </m:rPr>
                        <w:rPr>
                          <w:rFonts w:ascii="Cambria Math" w:hAnsi="Cambria Math"/>
                        </w:rPr>
                        <m:t>U</m:t>
                      </m:r>
                    </m:sub>
                  </m:sSub>
                </m:e>
              </m:mr>
              <m:mr>
                <m:e>
                  <m:r>
                    <w:rPr>
                      <w:rFonts w:ascii="Cambria Math" w:hAnsi="Cambria Math"/>
                    </w:rPr>
                    <m:t>0</m:t>
                  </m:r>
                </m:e>
              </m:mr>
            </m:m>
          </m:e>
        </m:d>
        <m:r>
          <m:rPr>
            <m:sty m:val="bi"/>
          </m:rPr>
          <w:rPr>
            <w:rFonts w:ascii="Cambria Math" w:hAnsi="Cambria Math"/>
          </w:rPr>
          <m:t>1</m:t>
        </m:r>
      </m:oMath>
      <w:r>
        <w:t xml:space="preserve"> to enumerate supply-side effects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c</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v</m:t>
                      </m:r>
                    </m:e>
                    <m:sub>
                      <m:r>
                        <m:rPr>
                          <m:sty m:val="p"/>
                        </m:rPr>
                        <w:rPr>
                          <w:rFonts w:ascii="Cambria Math" w:hAnsi="Cambria Math"/>
                        </w:rPr>
                        <m:t>U</m:t>
                      </m:r>
                    </m:sub>
                  </m:sSub>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acc>
                    </m:e>
                    <m:sup>
                      <m:r>
                        <w:rPr>
                          <w:rFonts w:ascii="Cambria Math" w:hAnsi="Cambria Math"/>
                        </w:rPr>
                        <m:t>-1</m:t>
                      </m:r>
                    </m:sup>
                  </m:sSup>
                </m:e>
                <m:e>
                  <m:sSub>
                    <m:sSubPr>
                      <m:ctrlPr>
                        <w:rPr>
                          <w:rFonts w:ascii="Cambria Math" w:hAnsi="Cambria Math"/>
                          <w:i/>
                        </w:rPr>
                      </m:ctrlPr>
                    </m:sSubPr>
                    <m:e>
                      <m:r>
                        <m:rPr>
                          <m:sty m:val="b"/>
                        </m:rPr>
                        <w:rPr>
                          <w:rFonts w:ascii="Cambria Math" w:hAnsi="Cambria Math"/>
                        </w:rPr>
                        <m:t>v</m:t>
                      </m:r>
                    </m:e>
                    <m:sub>
                      <m:r>
                        <m:rPr>
                          <m:sty m:val="p"/>
                        </m:rPr>
                        <w:rPr>
                          <w:rFonts w:ascii="Cambria Math" w:hAnsi="Cambria Math"/>
                        </w:rPr>
                        <m:t>A</m:t>
                      </m:r>
                    </m:sub>
                  </m:sSub>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A</m:t>
                              </m:r>
                            </m:sub>
                          </m:sSub>
                        </m:e>
                      </m:acc>
                    </m:e>
                    <m:sup>
                      <m:r>
                        <w:rPr>
                          <w:rFonts w:ascii="Cambria Math" w:hAnsi="Cambria Math"/>
                        </w:rPr>
                        <m:t>-1</m:t>
                      </m:r>
                    </m:sup>
                  </m:sSup>
                </m:e>
              </m:mr>
            </m:m>
          </m:e>
        </m:d>
        <m:sSup>
          <m:sSupPr>
            <m:ctrlPr>
              <w:rPr>
                <w:rFonts w:ascii="Cambria Math" w:hAnsi="Cambria Math"/>
                <w:i/>
              </w:rPr>
            </m:ctrlPr>
          </m:sSupPr>
          <m:e>
            <m:d>
              <m:dPr>
                <m:ctrlPr>
                  <w:rPr>
                    <w:rFonts w:ascii="Cambria Math" w:hAnsi="Cambria Math"/>
                    <w:i/>
                  </w:rPr>
                </m:ctrlPr>
              </m:dPr>
              <m:e>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m:rPr>
                        <m:sty m:val="p"/>
                      </m:rPr>
                      <w:rPr>
                        <w:rFonts w:ascii="Cambria Math" w:hAnsi="Cambria Math"/>
                      </w:rPr>
                      <m:t>c</m:t>
                    </m:r>
                  </m:sup>
                </m:sSup>
              </m:e>
            </m:d>
          </m:e>
          <m:sup>
            <m:r>
              <w:rPr>
                <w:rFonts w:ascii="Cambria Math" w:hAnsi="Cambria Math"/>
              </w:rPr>
              <m:t>-1</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c</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φ</m:t>
                      </m:r>
                    </m:e>
                    <m:sub>
                      <m:r>
                        <m:rPr>
                          <m:sty m:val="p"/>
                        </m:rPr>
                        <w:rPr>
                          <w:rFonts w:ascii="Cambria Math" w:hAnsi="Cambria Math"/>
                        </w:rPr>
                        <m:t>U</m:t>
                      </m:r>
                    </m:sub>
                  </m:sSub>
                </m:e>
                <m:e>
                  <m:sSub>
                    <m:sSubPr>
                      <m:ctrlPr>
                        <w:rPr>
                          <w:rFonts w:ascii="Cambria Math" w:hAnsi="Cambria Math"/>
                          <w:i/>
                        </w:rPr>
                      </m:ctrlPr>
                    </m:sSubPr>
                    <m:e>
                      <m:r>
                        <m:rPr>
                          <m:sty m:val="b"/>
                        </m:rPr>
                        <w:rPr>
                          <w:rFonts w:ascii="Cambria Math" w:hAnsi="Cambria Math"/>
                        </w:rPr>
                        <m:t>φ</m:t>
                      </m:r>
                    </m:e>
                    <m:sub>
                      <m:r>
                        <m:rPr>
                          <m:sty m:val="p"/>
                        </m:rPr>
                        <w:rPr>
                          <w:rFonts w:ascii="Cambria Math" w:hAnsi="Cambria Math"/>
                        </w:rPr>
                        <m:t>A</m:t>
                      </m:r>
                    </m:sub>
                  </m:sSub>
                </m:e>
              </m:mr>
            </m:m>
          </m:e>
        </m:d>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c</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c</m:t>
            </m:r>
          </m:sup>
        </m:sSup>
      </m:oMath>
      <w:r>
        <w:t xml:space="preserve">. We call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φ</m:t>
                      </m:r>
                    </m:e>
                    <m:sub>
                      <m:r>
                        <m:rPr>
                          <m:sty m:val="p"/>
                        </m:rPr>
                        <w:rPr>
                          <w:rFonts w:ascii="Cambria Math" w:hAnsi="Cambria Math"/>
                        </w:rPr>
                        <m:t>U</m:t>
                      </m:r>
                    </m:sub>
                  </m:sSub>
                </m:e>
                <m:e>
                  <m:r>
                    <w:rPr>
                      <w:rFonts w:ascii="Cambria Math" w:hAnsi="Cambria Math"/>
                    </w:rPr>
                    <m:t>0</m:t>
                  </m:r>
                </m:e>
              </m:mr>
            </m:m>
          </m:e>
        </m:d>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c</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c</m:t>
            </m:r>
          </m:sup>
        </m:sSup>
      </m:oMath>
      <w:r>
        <w:t xml:space="preserve"> the “university </w:t>
      </w:r>
      <w:r w:rsidR="003061E0">
        <w:t>supply</w:t>
      </w:r>
      <w:r w:rsidR="009C395C">
        <w:t>-side</w:t>
      </w:r>
      <w:r w:rsidR="003061E0">
        <w:t xml:space="preserve"> </w:t>
      </w:r>
      <w:r w:rsidR="009C395C">
        <w:t>requirements</w:t>
      </w:r>
      <w:r>
        <w:t xml:space="preserve"> in terms of </w:t>
      </w:r>
      <w:r w:rsidR="00D95C9C">
        <w:t>primary</w:t>
      </w:r>
      <w:r>
        <w:t xml:space="preserve"> inputs</w:t>
      </w:r>
      <w:r w:rsidR="008F64DB">
        <w:t>”</w:t>
      </w:r>
      <w:r w:rsidR="00D95C9C">
        <w:t xml:space="preserve">, and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sSub>
                    <m:sSubPr>
                      <m:ctrlPr>
                        <w:rPr>
                          <w:rFonts w:ascii="Cambria Math" w:hAnsi="Cambria Math"/>
                          <w:i/>
                        </w:rPr>
                      </m:ctrlPr>
                    </m:sSubPr>
                    <m:e>
                      <m:r>
                        <m:rPr>
                          <m:sty m:val="b"/>
                        </m:rPr>
                        <w:rPr>
                          <w:rFonts w:ascii="Cambria Math" w:hAnsi="Cambria Math"/>
                        </w:rPr>
                        <m:t>φ</m:t>
                      </m:r>
                    </m:e>
                    <m:sub>
                      <m:r>
                        <m:rPr>
                          <m:sty m:val="p"/>
                        </m:rPr>
                        <w:rPr>
                          <w:rFonts w:ascii="Cambria Math" w:hAnsi="Cambria Math"/>
                        </w:rPr>
                        <m:t>A</m:t>
                      </m:r>
                    </m:sub>
                  </m:sSub>
                </m:e>
              </m:mr>
            </m:m>
          </m:e>
        </m:d>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c</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c</m:t>
            </m:r>
          </m:sup>
        </m:sSup>
      </m:oMath>
      <w:r>
        <w:t xml:space="preserve"> the “</w:t>
      </w:r>
      <w:r w:rsidR="00D95C9C">
        <w:t>econom</w:t>
      </w:r>
      <w:r>
        <w:t xml:space="preserve">y </w:t>
      </w:r>
      <w:r w:rsidR="003061E0">
        <w:t>supply</w:t>
      </w:r>
      <w:r w:rsidR="009C395C">
        <w:t>-side requirements</w:t>
      </w:r>
      <w:r>
        <w:t xml:space="preserve"> in terms of primary inputs</w:t>
      </w:r>
      <w:r w:rsidR="00D95C9C">
        <w:t>”</w:t>
      </w:r>
      <w:r w:rsidR="008F64DB">
        <w:t>, that are necessary to meet the demand-side shock.</w:t>
      </w:r>
    </w:p>
    <w:p w:rsidR="00265121" w:rsidRDefault="00265121" w:rsidP="001342D2">
      <w:pPr>
        <w:jc w:val="both"/>
      </w:pPr>
      <w:r>
        <w:t>For open-model supply-push we use</w:t>
      </w:r>
      <m:oMath>
        <m:r>
          <w:rPr>
            <w:rFonts w:ascii="Cambria Math" w:hAnsi="Cambria Math"/>
          </w:rPr>
          <m:t xml:space="preserve"> </m:t>
        </m:r>
        <m:sSup>
          <m:sSupPr>
            <m:ctrlPr>
              <w:rPr>
                <w:rFonts w:ascii="Cambria Math" w:hAnsi="Cambria Math"/>
                <w:i/>
              </w:rPr>
            </m:ctrlPr>
          </m:sSupPr>
          <m:e>
            <m:r>
              <m:rPr>
                <m:sty m:val="b"/>
              </m:rPr>
              <w:rPr>
                <w:rFonts w:ascii="Cambria Math" w:hAnsi="Cambria Math"/>
              </w:rPr>
              <m:t>A</m:t>
            </m:r>
          </m:e>
          <m:sup>
            <m:r>
              <m:rPr>
                <m:sty m:val="p"/>
              </m:rPr>
              <w:rPr>
                <w:rFonts w:ascii="Cambria Math" w:hAnsi="Cambria Math"/>
              </w:rPr>
              <m:t>*o</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acc>
          </m:e>
          <m:sup>
            <m:r>
              <w:rPr>
                <w:rFonts w:ascii="Cambria Math" w:hAnsi="Cambria Math"/>
              </w:rPr>
              <m:t>-1</m:t>
            </m:r>
          </m:sup>
        </m:sSup>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UU</m:t>
            </m:r>
          </m:sub>
        </m:sSub>
      </m:oMath>
      <w:r>
        <w:t xml:space="preserve"> and supply-side shocks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*o</m:t>
            </m:r>
          </m:sup>
        </m:sSup>
        <m:r>
          <w:rPr>
            <w:rFonts w:ascii="Cambria Math" w:hAnsi="Cambria Math"/>
          </w:rPr>
          <m:t>=</m:t>
        </m:r>
        <m:sSup>
          <m:sSupPr>
            <m:ctrlPr>
              <w:rPr>
                <w:rFonts w:ascii="Cambria Math" w:hAnsi="Cambria Math"/>
                <w:b/>
                <w:i/>
              </w:rPr>
            </m:ctrlPr>
          </m:sSupPr>
          <m:e>
            <m:r>
              <m:rPr>
                <m:sty m:val="bi"/>
              </m:rPr>
              <w:rPr>
                <w:rFonts w:ascii="Cambria Math" w:hAnsi="Cambria Math"/>
              </w:rPr>
              <m:t>1</m:t>
            </m:r>
          </m:e>
          <m:sup>
            <m:r>
              <m:rPr>
                <m:sty m:val="p"/>
              </m:rPr>
              <w:rPr>
                <w:rFonts w:ascii="Cambria Math" w:hAnsi="Cambria Math"/>
              </w:rPr>
              <m:t>'</m:t>
            </m:r>
          </m:sup>
        </m:sSup>
        <m:sSub>
          <m:sSubPr>
            <m:ctrlPr>
              <w:rPr>
                <w:rFonts w:ascii="Cambria Math" w:hAnsi="Cambria Math"/>
                <w:i/>
              </w:rPr>
            </m:ctrlPr>
          </m:sSubPr>
          <m:e>
            <m:r>
              <w:rPr>
                <w:rFonts w:ascii="Cambria Math" w:hAnsi="Cambria Math"/>
              </w:rPr>
              <m:t>∆</m:t>
            </m:r>
            <m:r>
              <m:rPr>
                <m:sty m:val="b"/>
              </m:rPr>
              <w:rPr>
                <w:rFonts w:ascii="Cambria Math" w:hAnsi="Cambria Math"/>
              </w:rPr>
              <m:t>T</m:t>
            </m:r>
          </m:e>
          <m:sub>
            <m:r>
              <m:rPr>
                <m:sty m:val="p"/>
              </m:rPr>
              <w:rPr>
                <w:rFonts w:ascii="Cambria Math" w:hAnsi="Cambria Math"/>
              </w:rPr>
              <m:t>AU</m:t>
            </m:r>
          </m:sub>
        </m:sSub>
        <m:r>
          <w:rPr>
            <w:rFonts w:ascii="Cambria Math" w:hAnsi="Cambria Math"/>
          </w:rPr>
          <m:t>+</m:t>
        </m:r>
        <m:sSup>
          <m:sSupPr>
            <m:ctrlPr>
              <w:rPr>
                <w:rFonts w:ascii="Cambria Math" w:hAnsi="Cambria Math"/>
                <w:b/>
                <w:i/>
              </w:rPr>
            </m:ctrlPr>
          </m:sSupPr>
          <m:e>
            <m:r>
              <m:rPr>
                <m:sty m:val="bi"/>
              </m:rPr>
              <w:rPr>
                <w:rFonts w:ascii="Cambria Math" w:hAnsi="Cambria Math"/>
              </w:rPr>
              <m:t>1</m:t>
            </m:r>
          </m:e>
          <m:sup>
            <m:r>
              <m:rPr>
                <m:sty m:val="p"/>
              </m:rPr>
              <w:rPr>
                <w:rFonts w:ascii="Cambria Math" w:hAnsi="Cambria Math"/>
              </w:rPr>
              <m:t>'</m:t>
            </m:r>
          </m:sup>
        </m:sSup>
        <m:sSub>
          <m:sSubPr>
            <m:ctrlPr>
              <w:rPr>
                <w:rFonts w:ascii="Cambria Math" w:hAnsi="Cambria Math"/>
                <w:i/>
              </w:rPr>
            </m:ctrlPr>
          </m:sSubPr>
          <m:e>
            <m:r>
              <w:rPr>
                <w:rFonts w:ascii="Cambria Math" w:hAnsi="Cambria Math"/>
              </w:rPr>
              <m:t>∆</m:t>
            </m:r>
            <m:r>
              <m:rPr>
                <m:sty m:val="b"/>
              </m:rPr>
              <w:rPr>
                <w:rFonts w:ascii="Cambria Math" w:hAnsi="Cambria Math"/>
              </w:rPr>
              <m:t>v</m:t>
            </m:r>
          </m:e>
          <m:sub>
            <m:r>
              <m:rPr>
                <m:sty m:val="p"/>
              </m:rPr>
              <w:rPr>
                <w:rFonts w:ascii="Cambria Math" w:hAnsi="Cambria Math"/>
              </w:rPr>
              <m:t>U</m:t>
            </m:r>
          </m:sub>
        </m:sSub>
      </m:oMath>
      <w:r>
        <w:t xml:space="preserve"> to enumerate </w:t>
      </w:r>
      <w:r w:rsidR="006F1348">
        <w:t>demand</w:t>
      </w:r>
      <w:r>
        <w:t xml:space="preserve">-side effects </w:t>
      </w:r>
      <m:oMath>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*o</m:t>
            </m:r>
          </m:sup>
        </m:sSup>
        <m:r>
          <w:rPr>
            <w:rFonts w:ascii="Cambria Math" w:hAnsi="Cambria Math"/>
          </w:rPr>
          <m:t>=</m:t>
        </m:r>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*o</m:t>
            </m:r>
          </m:sup>
        </m:sSup>
        <m:sSup>
          <m:sSupPr>
            <m:ctrlPr>
              <w:rPr>
                <w:rFonts w:ascii="Cambria Math" w:hAnsi="Cambria Math"/>
                <w:i/>
              </w:rPr>
            </m:ctrlPr>
          </m:sSupPr>
          <m:e>
            <m:d>
              <m:dPr>
                <m:ctrlPr>
                  <w:rPr>
                    <w:rFonts w:ascii="Cambria Math" w:hAnsi="Cambria Math"/>
                    <w:i/>
                  </w:rPr>
                </m:ctrlPr>
              </m:dPr>
              <m:e>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m:rPr>
                        <m:sty m:val="p"/>
                      </m:rPr>
                      <w:rPr>
                        <w:rFonts w:ascii="Cambria Math" w:hAnsi="Cambria Math"/>
                      </w:rPr>
                      <m:t>*o</m:t>
                    </m:r>
                  </m:sup>
                </m:sSup>
              </m:e>
            </m:d>
          </m:e>
          <m:sup>
            <m:r>
              <w:rPr>
                <w:rFonts w:ascii="Cambria Math" w:hAnsi="Cambria Math"/>
              </w:rPr>
              <m:t>-1</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acc>
                    </m:e>
                    <m:sup>
                      <m:r>
                        <w:rPr>
                          <w:rFonts w:ascii="Cambria Math" w:hAnsi="Cambria Math"/>
                        </w:rPr>
                        <m:t>-1</m:t>
                      </m:r>
                    </m:sup>
                  </m:sSup>
                  <m:sSub>
                    <m:sSubPr>
                      <m:ctrlPr>
                        <w:rPr>
                          <w:rFonts w:ascii="Cambria Math" w:hAnsi="Cambria Math"/>
                          <w:i/>
                        </w:rPr>
                      </m:ctrlPr>
                    </m:sSubPr>
                    <m:e>
                      <m:r>
                        <m:rPr>
                          <m:sty m:val="b"/>
                        </m:rPr>
                        <w:rPr>
                          <w:rFonts w:ascii="Cambria Math" w:hAnsi="Cambria Math"/>
                        </w:rPr>
                        <m:t>T</m:t>
                      </m:r>
                    </m:e>
                    <m:sub>
                      <m:r>
                        <m:rPr>
                          <m:sty m:val="p"/>
                        </m:rPr>
                        <w:rPr>
                          <w:rFonts w:ascii="Cambria Math" w:hAnsi="Cambria Math"/>
                        </w:rPr>
                        <m:t>UA</m:t>
                      </m:r>
                    </m:sub>
                  </m:sSub>
                </m:e>
                <m:e>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acc>
                    </m:e>
                    <m:sup>
                      <m:r>
                        <w:rPr>
                          <w:rFonts w:ascii="Cambria Math" w:hAnsi="Cambria Math"/>
                        </w:rPr>
                        <m:t>-1</m:t>
                      </m:r>
                    </m:sup>
                  </m:sSup>
                  <m:sSub>
                    <m:sSubPr>
                      <m:ctrlPr>
                        <w:rPr>
                          <w:rFonts w:ascii="Cambria Math" w:hAnsi="Cambria Math"/>
                          <w:i/>
                        </w:rPr>
                      </m:ctrlPr>
                    </m:sSubPr>
                    <m:e>
                      <m:r>
                        <m:rPr>
                          <m:sty m:val="b"/>
                        </m:rPr>
                        <w:rPr>
                          <w:rFonts w:ascii="Cambria Math" w:hAnsi="Cambria Math"/>
                        </w:rPr>
                        <m:t>y</m:t>
                      </m:r>
                    </m:e>
                    <m:sub>
                      <m:r>
                        <m:rPr>
                          <m:sty m:val="p"/>
                        </m:rPr>
                        <w:rPr>
                          <w:rFonts w:ascii="Cambria Math" w:hAnsi="Cambria Math"/>
                        </w:rPr>
                        <m:t>U</m:t>
                      </m:r>
                    </m:sub>
                  </m:sSub>
                </m:e>
              </m:mr>
            </m:m>
          </m:e>
        </m:d>
        <m:r>
          <w:rPr>
            <w:rFonts w:ascii="Cambria Math" w:hAnsi="Cambria Math"/>
          </w:rPr>
          <m:t>=</m:t>
        </m:r>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*o</m:t>
            </m:r>
          </m:sup>
        </m:sSup>
        <m:sSup>
          <m:sSupPr>
            <m:ctrlPr>
              <w:rPr>
                <w:rFonts w:ascii="Cambria Math" w:hAnsi="Cambria Math"/>
                <w:i/>
              </w:rPr>
            </m:ctrlPr>
          </m:sSupPr>
          <m:e>
            <m:r>
              <m:rPr>
                <m:sty m:val="b"/>
              </m:rPr>
              <w:rPr>
                <w:rFonts w:ascii="Cambria Math" w:hAnsi="Cambria Math"/>
              </w:rPr>
              <m:t>G</m:t>
            </m:r>
          </m:e>
          <m:sup>
            <m:r>
              <m:rPr>
                <m:sty m:val="p"/>
              </m:rPr>
              <w:rPr>
                <w:rFonts w:ascii="Cambria Math" w:hAnsi="Cambria Math"/>
              </w:rPr>
              <m:t>o</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sSubSup>
                    <m:sSubSupPr>
                      <m:ctrlPr>
                        <w:rPr>
                          <w:rFonts w:ascii="Cambria Math" w:hAnsi="Cambria Math"/>
                          <w:i/>
                        </w:rPr>
                      </m:ctrlPr>
                    </m:sSubSupPr>
                    <m:e>
                      <m:r>
                        <m:rPr>
                          <m:sty m:val="b"/>
                        </m:rPr>
                        <w:rPr>
                          <w:rFonts w:ascii="Cambria Math" w:hAnsi="Cambria Math"/>
                        </w:rPr>
                        <m:t>A</m:t>
                      </m:r>
                    </m:e>
                    <m:sub>
                      <m:r>
                        <m:rPr>
                          <m:sty m:val="p"/>
                        </m:rPr>
                        <w:rPr>
                          <w:rFonts w:ascii="Cambria Math" w:hAnsi="Cambria Math"/>
                        </w:rPr>
                        <m:t>UA</m:t>
                      </m:r>
                    </m:sub>
                    <m:sup>
                      <m:r>
                        <w:rPr>
                          <w:rFonts w:ascii="Cambria Math" w:hAnsi="Cambria Math"/>
                        </w:rPr>
                        <m:t>*</m:t>
                      </m:r>
                    </m:sup>
                  </m:sSubSup>
                </m:e>
                <m:e>
                  <m:sSubSup>
                    <m:sSubSupPr>
                      <m:ctrlPr>
                        <w:rPr>
                          <w:rFonts w:ascii="Cambria Math" w:hAnsi="Cambria Math"/>
                          <w:i/>
                        </w:rPr>
                      </m:ctrlPr>
                    </m:sSubSupPr>
                    <m:e>
                      <m:r>
                        <m:rPr>
                          <m:sty m:val="b"/>
                        </m:rPr>
                        <w:rPr>
                          <w:rFonts w:ascii="Cambria Math" w:hAnsi="Cambria Math"/>
                        </w:rPr>
                        <m:t>ψ</m:t>
                      </m:r>
                    </m:e>
                    <m:sub>
                      <m:r>
                        <m:rPr>
                          <m:sty m:val="p"/>
                        </m:rPr>
                        <w:rPr>
                          <w:rFonts w:ascii="Cambria Math" w:hAnsi="Cambria Math"/>
                        </w:rPr>
                        <m:t>U</m:t>
                      </m:r>
                    </m:sub>
                    <m:sup>
                      <m:r>
                        <w:rPr>
                          <w:rFonts w:ascii="Cambria Math" w:hAnsi="Cambria Math"/>
                        </w:rPr>
                        <m:t>*</m:t>
                      </m:r>
                    </m:sup>
                  </m:sSubSup>
                </m:e>
              </m:mr>
            </m:m>
          </m:e>
        </m:d>
      </m:oMath>
      <w:r>
        <w:t xml:space="preserve">. We call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*o</m:t>
            </m:r>
          </m:sup>
        </m:sSup>
        <m:sSup>
          <m:sSupPr>
            <m:ctrlPr>
              <w:rPr>
                <w:rFonts w:ascii="Cambria Math" w:hAnsi="Cambria Math"/>
                <w:i/>
              </w:rPr>
            </m:ctrlPr>
          </m:sSupPr>
          <m:e>
            <m:r>
              <m:rPr>
                <m:sty m:val="b"/>
              </m:rPr>
              <w:rPr>
                <w:rFonts w:ascii="Cambria Math" w:hAnsi="Cambria Math"/>
              </w:rPr>
              <m:t>G</m:t>
            </m:r>
          </m:e>
          <m:sup>
            <m:r>
              <m:rPr>
                <m:sty m:val="p"/>
              </m:rPr>
              <w:rPr>
                <w:rFonts w:ascii="Cambria Math" w:hAnsi="Cambria Math"/>
              </w:rPr>
              <m:t>o</m:t>
            </m:r>
          </m:sup>
        </m:sSup>
        <m:sSubSup>
          <m:sSubSupPr>
            <m:ctrlPr>
              <w:rPr>
                <w:rFonts w:ascii="Cambria Math" w:hAnsi="Cambria Math"/>
                <w:i/>
              </w:rPr>
            </m:ctrlPr>
          </m:sSubSupPr>
          <m:e>
            <m:r>
              <m:rPr>
                <m:sty m:val="b"/>
              </m:rPr>
              <w:rPr>
                <w:rFonts w:ascii="Cambria Math" w:hAnsi="Cambria Math"/>
              </w:rPr>
              <m:t>A</m:t>
            </m:r>
          </m:e>
          <m:sub>
            <m:r>
              <m:rPr>
                <m:sty m:val="p"/>
              </m:rPr>
              <w:rPr>
                <w:rFonts w:ascii="Cambria Math" w:hAnsi="Cambria Math"/>
              </w:rPr>
              <m:t>UA</m:t>
            </m:r>
          </m:sub>
          <m:sup>
            <m:r>
              <w:rPr>
                <w:rFonts w:ascii="Cambria Math" w:hAnsi="Cambria Math"/>
              </w:rPr>
              <m:t>*</m:t>
            </m:r>
          </m:sup>
        </m:sSubSup>
      </m:oMath>
      <w:r>
        <w:t xml:space="preserve"> the “university </w:t>
      </w:r>
      <w:r w:rsidR="009C395C">
        <w:t xml:space="preserve">demand-side requirements </w:t>
      </w:r>
      <w:r>
        <w:t xml:space="preserve">in terms of </w:t>
      </w:r>
      <w:r w:rsidR="003061E0">
        <w:t>industry revenue</w:t>
      </w:r>
      <w:r w:rsidR="009C395C">
        <w:t>”</w:t>
      </w:r>
      <w:r w:rsidR="008F64DB">
        <w:t>, and</w:t>
      </w:r>
      <w:r>
        <w:t xml:space="preserve">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*o</m:t>
            </m:r>
          </m:sup>
        </m:sSup>
        <m:sSup>
          <m:sSupPr>
            <m:ctrlPr>
              <w:rPr>
                <w:rFonts w:ascii="Cambria Math" w:hAnsi="Cambria Math"/>
                <w:i/>
              </w:rPr>
            </m:ctrlPr>
          </m:sSupPr>
          <m:e>
            <m:r>
              <m:rPr>
                <m:sty m:val="b"/>
              </m:rPr>
              <w:rPr>
                <w:rFonts w:ascii="Cambria Math" w:hAnsi="Cambria Math"/>
              </w:rPr>
              <m:t>G</m:t>
            </m:r>
          </m:e>
          <m:sup>
            <m:r>
              <m:rPr>
                <m:sty m:val="p"/>
              </m:rPr>
              <w:rPr>
                <w:rFonts w:ascii="Cambria Math" w:hAnsi="Cambria Math"/>
              </w:rPr>
              <m:t>o</m:t>
            </m:r>
          </m:sup>
        </m:sSup>
        <m:sSubSup>
          <m:sSubSupPr>
            <m:ctrlPr>
              <w:rPr>
                <w:rFonts w:ascii="Cambria Math" w:hAnsi="Cambria Math"/>
                <w:i/>
              </w:rPr>
            </m:ctrlPr>
          </m:sSubSupPr>
          <m:e>
            <m:r>
              <m:rPr>
                <m:sty m:val="b"/>
              </m:rPr>
              <w:rPr>
                <w:rFonts w:ascii="Cambria Math" w:hAnsi="Cambria Math"/>
              </w:rPr>
              <m:t>ψ</m:t>
            </m:r>
          </m:e>
          <m:sub>
            <m:r>
              <m:rPr>
                <m:sty m:val="p"/>
              </m:rPr>
              <w:rPr>
                <w:rFonts w:ascii="Cambria Math" w:hAnsi="Cambria Math"/>
              </w:rPr>
              <m:t>U</m:t>
            </m:r>
          </m:sub>
          <m:sup>
            <m:r>
              <w:rPr>
                <w:rFonts w:ascii="Cambria Math" w:hAnsi="Cambria Math"/>
              </w:rPr>
              <m:t>*</m:t>
            </m:r>
          </m:sup>
        </m:sSubSup>
      </m:oMath>
      <w:r>
        <w:t xml:space="preserve"> the “university </w:t>
      </w:r>
      <w:r w:rsidR="009C395C">
        <w:t>demand-side requirements</w:t>
      </w:r>
      <w:r>
        <w:t xml:space="preserve"> in terms of </w:t>
      </w:r>
      <w:r w:rsidR="009C395C">
        <w:t>final demand</w:t>
      </w:r>
      <w:r>
        <w:t>”</w:t>
      </w:r>
      <w:r w:rsidR="008F64DB">
        <w:t>, that are necessary to absorb the supply-side shock.</w:t>
      </w:r>
      <w:r>
        <w:t xml:space="preserve"> </w:t>
      </w:r>
    </w:p>
    <w:p w:rsidR="00265121" w:rsidRDefault="009C395C" w:rsidP="001342D2">
      <w:pPr>
        <w:jc w:val="both"/>
      </w:pPr>
      <w:r>
        <w:t xml:space="preserve">For classical-model supply-push we use </w:t>
      </w:r>
      <m:oMath>
        <m:sSup>
          <m:sSupPr>
            <m:ctrlPr>
              <w:rPr>
                <w:rFonts w:ascii="Cambria Math" w:hAnsi="Cambria Math"/>
                <w:i/>
              </w:rPr>
            </m:ctrlPr>
          </m:sSupPr>
          <m:e>
            <m:r>
              <m:rPr>
                <m:sty m:val="b"/>
              </m:rPr>
              <w:rPr>
                <w:rFonts w:ascii="Cambria Math" w:hAnsi="Cambria Math"/>
              </w:rPr>
              <m:t>A</m:t>
            </m:r>
          </m:e>
          <m:sup>
            <m:r>
              <m:rPr>
                <m:sty m:val="p"/>
              </m:rPr>
              <w:rPr>
                <w:rFonts w:ascii="Cambria Math" w:hAnsi="Cambria Math"/>
              </w:rPr>
              <m:t>*c</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mr>
                      <m:m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A</m:t>
                              </m:r>
                            </m:sub>
                          </m:sSub>
                        </m:e>
                      </m:mr>
                    </m:m>
                  </m:e>
                </m:d>
              </m:e>
            </m:acc>
          </m:e>
          <m:sup>
            <m:r>
              <w:rPr>
                <w:rFonts w:ascii="Cambria Math" w:hAnsi="Cambria Math"/>
              </w:rPr>
              <m:t>-1</m:t>
            </m:r>
          </m:sup>
        </m:sSup>
        <m:sSup>
          <m:sSupPr>
            <m:ctrlPr>
              <w:rPr>
                <w:rFonts w:ascii="Cambria Math" w:hAnsi="Cambria Math"/>
                <w:i/>
              </w:rPr>
            </m:ctrlPr>
          </m:sSupPr>
          <m:e>
            <m:r>
              <m:rPr>
                <m:sty m:val="b"/>
              </m:rPr>
              <w:rPr>
                <w:rFonts w:ascii="Cambria Math" w:hAnsi="Cambria Math"/>
              </w:rPr>
              <m:t>T</m:t>
            </m:r>
          </m:e>
          <m:sup>
            <m:r>
              <m:rPr>
                <m:sty m:val="p"/>
              </m:rPr>
              <w:rPr>
                <w:rFonts w:ascii="Cambria Math" w:hAnsi="Cambria Math"/>
              </w:rPr>
              <m:t>c</m:t>
            </m:r>
          </m:sup>
        </m:sSup>
      </m:oMath>
      <w:r>
        <w:t xml:space="preserve"> and supply-side shocks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*c</m:t>
            </m:r>
          </m:sup>
        </m:sSup>
        <m:r>
          <w:rPr>
            <w:rFonts w:ascii="Cambria Math" w:hAnsi="Cambria Math"/>
          </w:rPr>
          <m:t>=</m:t>
        </m:r>
        <m:sSup>
          <m:sSupPr>
            <m:ctrlPr>
              <w:rPr>
                <w:rFonts w:ascii="Cambria Math" w:hAnsi="Cambria Math"/>
                <w:b/>
                <w:i/>
              </w:rPr>
            </m:ctrlPr>
          </m:sSupPr>
          <m:e>
            <m:r>
              <m:rPr>
                <m:sty m:val="bi"/>
              </m:rPr>
              <w:rPr>
                <w:rFonts w:ascii="Cambria Math" w:hAnsi="Cambria Math"/>
              </w:rPr>
              <m:t>1</m:t>
            </m:r>
          </m:e>
          <m:sup>
            <m:r>
              <m:rPr>
                <m:sty m:val="p"/>
              </m:rPr>
              <w:rPr>
                <w:rFonts w:ascii="Cambria Math" w:hAnsi="Cambria Math"/>
              </w:rPr>
              <m: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t>
                      </m:r>
                      <m:r>
                        <m:rPr>
                          <m:sty m:val="b"/>
                        </m:rPr>
                        <w:rPr>
                          <w:rFonts w:ascii="Cambria Math" w:hAnsi="Cambria Math"/>
                        </w:rPr>
                        <m:t>v</m:t>
                      </m:r>
                    </m:e>
                    <m:sub>
                      <m:r>
                        <m:rPr>
                          <m:sty m:val="p"/>
                        </m:rPr>
                        <w:rPr>
                          <w:rFonts w:ascii="Cambria Math" w:hAnsi="Cambria Math"/>
                        </w:rPr>
                        <m:t>U</m:t>
                      </m:r>
                    </m:sub>
                  </m:sSub>
                </m:e>
                <m:e>
                  <m:r>
                    <w:rPr>
                      <w:rFonts w:ascii="Cambria Math" w:hAnsi="Cambria Math"/>
                    </w:rPr>
                    <m:t>0</m:t>
                  </m:r>
                </m:e>
              </m:mr>
            </m:m>
          </m:e>
        </m:d>
      </m:oMath>
      <w:r>
        <w:t xml:space="preserve"> to enumerate </w:t>
      </w:r>
      <w:r w:rsidR="00AB6B0E">
        <w:t>demand</w:t>
      </w:r>
      <w:r>
        <w:t xml:space="preserve">-side effects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*c</m:t>
            </m:r>
          </m:sup>
        </m:sSup>
        <m:sSup>
          <m:sSupPr>
            <m:ctrlPr>
              <w:rPr>
                <w:rFonts w:ascii="Cambria Math" w:hAnsi="Cambria Math"/>
                <w:i/>
              </w:rPr>
            </m:ctrlPr>
          </m:sSupPr>
          <m:e>
            <m:d>
              <m:dPr>
                <m:ctrlPr>
                  <w:rPr>
                    <w:rFonts w:ascii="Cambria Math" w:hAnsi="Cambria Math"/>
                    <w:i/>
                  </w:rPr>
                </m:ctrlPr>
              </m:dPr>
              <m:e>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m:rPr>
                        <m:sty m:val="p"/>
                      </m:rPr>
                      <w:rPr>
                        <w:rFonts w:ascii="Cambria Math" w:hAnsi="Cambria Math"/>
                      </w:rPr>
                      <m:t>*c</m:t>
                    </m:r>
                  </m:sup>
                </m:sSup>
              </m:e>
            </m:d>
          </m:e>
          <m:sup>
            <m:r>
              <w:rPr>
                <w:rFonts w:ascii="Cambria Math" w:hAnsi="Cambria Math"/>
              </w:rPr>
              <m:t>-1</m:t>
            </m:r>
          </m:sup>
        </m:sSup>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U</m:t>
                              </m:r>
                            </m:sub>
                          </m:sSub>
                        </m:e>
                      </m:acc>
                    </m:e>
                    <m:sup>
                      <m:r>
                        <w:rPr>
                          <w:rFonts w:ascii="Cambria Math" w:hAnsi="Cambria Math"/>
                        </w:rPr>
                        <m:t>-1</m:t>
                      </m:r>
                    </m:sup>
                  </m:sSup>
                  <m:sSub>
                    <m:sSubPr>
                      <m:ctrlPr>
                        <w:rPr>
                          <w:rFonts w:ascii="Cambria Math" w:hAnsi="Cambria Math"/>
                          <w:i/>
                        </w:rPr>
                      </m:ctrlPr>
                    </m:sSubPr>
                    <m:e>
                      <m:r>
                        <m:rPr>
                          <m:sty m:val="b"/>
                        </m:rPr>
                        <w:rPr>
                          <w:rFonts w:ascii="Cambria Math" w:hAnsi="Cambria Math"/>
                        </w:rPr>
                        <m:t>y</m:t>
                      </m:r>
                    </m:e>
                    <m:sub>
                      <m:r>
                        <m:rPr>
                          <m:sty m:val="p"/>
                        </m:rPr>
                        <w:rPr>
                          <w:rFonts w:ascii="Cambria Math" w:hAnsi="Cambria Math"/>
                        </w:rPr>
                        <m:t>U</m:t>
                      </m:r>
                    </m:sub>
                  </m:sSub>
                </m:e>
              </m:mr>
              <m:mr>
                <m:e>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m:rPr>
                                  <m:sty m:val="b"/>
                                </m:rPr>
                                <w:rPr>
                                  <w:rFonts w:ascii="Cambria Math" w:hAnsi="Cambria Math"/>
                                </w:rPr>
                                <m:t>x</m:t>
                              </m:r>
                            </m:e>
                            <m:sub>
                              <m:r>
                                <m:rPr>
                                  <m:sty m:val="p"/>
                                </m:rPr>
                                <w:rPr>
                                  <w:rFonts w:ascii="Cambria Math" w:hAnsi="Cambria Math"/>
                                </w:rPr>
                                <m:t>A</m:t>
                              </m:r>
                            </m:sub>
                          </m:sSub>
                        </m:e>
                      </m:acc>
                    </m:e>
                    <m:sup>
                      <m:r>
                        <w:rPr>
                          <w:rFonts w:ascii="Cambria Math" w:hAnsi="Cambria Math"/>
                        </w:rPr>
                        <m:t>-1</m:t>
                      </m:r>
                    </m:sup>
                  </m:sSup>
                  <m:sSub>
                    <m:sSubPr>
                      <m:ctrlPr>
                        <w:rPr>
                          <w:rFonts w:ascii="Cambria Math" w:hAnsi="Cambria Math"/>
                          <w:i/>
                        </w:rPr>
                      </m:ctrlPr>
                    </m:sSubPr>
                    <m:e>
                      <m:r>
                        <m:rPr>
                          <m:sty m:val="b"/>
                        </m:rPr>
                        <w:rPr>
                          <w:rFonts w:ascii="Cambria Math" w:hAnsi="Cambria Math"/>
                        </w:rPr>
                        <m:t>y</m:t>
                      </m:r>
                    </m:e>
                    <m:sub>
                      <m:r>
                        <m:rPr>
                          <m:sty m:val="p"/>
                        </m:rPr>
                        <w:rPr>
                          <w:rFonts w:ascii="Cambria Math" w:hAnsi="Cambria Math"/>
                        </w:rPr>
                        <m:t>A</m:t>
                      </m:r>
                    </m:sub>
                  </m:sSub>
                </m:e>
              </m:mr>
            </m:m>
          </m:e>
        </m:d>
        <m:r>
          <w:rPr>
            <w:rFonts w:ascii="Cambria Math" w:hAnsi="Cambria Math"/>
          </w:rPr>
          <m:t>=</m:t>
        </m:r>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*c</m:t>
            </m:r>
          </m:sup>
        </m:sSup>
        <m:sSup>
          <m:sSupPr>
            <m:ctrlPr>
              <w:rPr>
                <w:rFonts w:ascii="Cambria Math" w:hAnsi="Cambria Math"/>
                <w:i/>
              </w:rPr>
            </m:ctrlPr>
          </m:sSupPr>
          <m:e>
            <m:r>
              <m:rPr>
                <m:sty m:val="b"/>
              </m:rPr>
              <w:rPr>
                <w:rFonts w:ascii="Cambria Math" w:hAnsi="Cambria Math"/>
              </w:rPr>
              <m:t>G</m:t>
            </m:r>
          </m:e>
          <m:sup>
            <m:r>
              <m:rPr>
                <m:sty m:val="p"/>
              </m:rPr>
              <w:rPr>
                <w:rFonts w:ascii="Cambria Math" w:hAnsi="Cambria Math"/>
              </w:rPr>
              <m:t>c</m:t>
            </m:r>
          </m:sup>
        </m:sSup>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m:rPr>
                          <m:sty m:val="b"/>
                        </m:rPr>
                        <w:rPr>
                          <w:rFonts w:ascii="Cambria Math" w:hAnsi="Cambria Math"/>
                        </w:rPr>
                        <m:t>ψ</m:t>
                      </m:r>
                    </m:e>
                    <m:sub>
                      <m:r>
                        <m:rPr>
                          <m:sty m:val="p"/>
                        </m:rPr>
                        <w:rPr>
                          <w:rFonts w:ascii="Cambria Math" w:hAnsi="Cambria Math"/>
                        </w:rPr>
                        <m:t>U</m:t>
                      </m:r>
                    </m:sub>
                    <m:sup>
                      <m:r>
                        <w:rPr>
                          <w:rFonts w:ascii="Cambria Math" w:hAnsi="Cambria Math"/>
                        </w:rPr>
                        <m:t>*</m:t>
                      </m:r>
                    </m:sup>
                  </m:sSubSup>
                </m:e>
              </m:mr>
              <m:mr>
                <m:e>
                  <m:sSubSup>
                    <m:sSubSupPr>
                      <m:ctrlPr>
                        <w:rPr>
                          <w:rFonts w:ascii="Cambria Math" w:hAnsi="Cambria Math"/>
                          <w:i/>
                        </w:rPr>
                      </m:ctrlPr>
                    </m:sSubSupPr>
                    <m:e>
                      <m:r>
                        <m:rPr>
                          <m:sty m:val="b"/>
                        </m:rPr>
                        <w:rPr>
                          <w:rFonts w:ascii="Cambria Math" w:hAnsi="Cambria Math"/>
                        </w:rPr>
                        <m:t>ψ</m:t>
                      </m:r>
                    </m:e>
                    <m:sub>
                      <m:r>
                        <m:rPr>
                          <m:sty m:val="p"/>
                        </m:rPr>
                        <w:rPr>
                          <w:rFonts w:ascii="Cambria Math" w:hAnsi="Cambria Math"/>
                        </w:rPr>
                        <m:t>A</m:t>
                      </m:r>
                    </m:sub>
                    <m:sup>
                      <m:r>
                        <w:rPr>
                          <w:rFonts w:ascii="Cambria Math" w:hAnsi="Cambria Math"/>
                        </w:rPr>
                        <m:t>*</m:t>
                      </m:r>
                    </m:sup>
                  </m:sSubSup>
                </m:e>
              </m:mr>
            </m:m>
          </m:e>
        </m:d>
      </m:oMath>
      <w:r>
        <w:t xml:space="preserve">. We call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*c</m:t>
            </m:r>
          </m:sup>
        </m:sSup>
        <m:sSup>
          <m:sSupPr>
            <m:ctrlPr>
              <w:rPr>
                <w:rFonts w:ascii="Cambria Math" w:hAnsi="Cambria Math"/>
                <w:i/>
              </w:rPr>
            </m:ctrlPr>
          </m:sSupPr>
          <m:e>
            <m:r>
              <m:rPr>
                <m:sty m:val="b"/>
              </m:rPr>
              <w:rPr>
                <w:rFonts w:ascii="Cambria Math" w:hAnsi="Cambria Math"/>
              </w:rPr>
              <m:t>G</m:t>
            </m:r>
          </m:e>
          <m:sup>
            <m:r>
              <m:rPr>
                <m:sty m:val="p"/>
              </m:rPr>
              <w:rPr>
                <w:rFonts w:ascii="Cambria Math" w:hAnsi="Cambria Math"/>
              </w:rPr>
              <m:t>c</m:t>
            </m:r>
          </m:sup>
        </m:sSup>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m:rPr>
                          <m:sty m:val="b"/>
                        </m:rPr>
                        <w:rPr>
                          <w:rFonts w:ascii="Cambria Math" w:hAnsi="Cambria Math"/>
                        </w:rPr>
                        <m:t>ψ</m:t>
                      </m:r>
                    </m:e>
                    <m:sub>
                      <m:r>
                        <m:rPr>
                          <m:sty m:val="p"/>
                        </m:rPr>
                        <w:rPr>
                          <w:rFonts w:ascii="Cambria Math" w:hAnsi="Cambria Math"/>
                        </w:rPr>
                        <m:t>U</m:t>
                      </m:r>
                    </m:sub>
                    <m:sup>
                      <m:r>
                        <w:rPr>
                          <w:rFonts w:ascii="Cambria Math" w:hAnsi="Cambria Math"/>
                        </w:rPr>
                        <m:t>*</m:t>
                      </m:r>
                    </m:sup>
                  </m:sSubSup>
                </m:e>
              </m:mr>
              <m:mr>
                <m:e>
                  <m:r>
                    <w:rPr>
                      <w:rFonts w:ascii="Cambria Math" w:hAnsi="Cambria Math"/>
                    </w:rPr>
                    <m:t>0</m:t>
                  </m:r>
                </m:e>
              </m:mr>
            </m:m>
          </m:e>
        </m:d>
      </m:oMath>
      <w:r>
        <w:t xml:space="preserve"> the “university </w:t>
      </w:r>
      <w:r w:rsidR="008F64DB">
        <w:t>demand</w:t>
      </w:r>
      <w:r>
        <w:t xml:space="preserve">-side requirements in terms of </w:t>
      </w:r>
      <w:r w:rsidR="008F64DB">
        <w:t>final demand</w:t>
      </w:r>
      <w:r w:rsidR="00DB6010">
        <w:t>”</w:t>
      </w:r>
      <w:r>
        <w:t xml:space="preserve">, and </w:t>
      </w:r>
      <m:oMath>
        <m:sSup>
          <m:sSupPr>
            <m:ctrlPr>
              <w:rPr>
                <w:rFonts w:ascii="Cambria Math" w:hAnsi="Cambria Math"/>
                <w:i/>
              </w:rPr>
            </m:ctrlPr>
          </m:sSupPr>
          <m:e>
            <m:r>
              <w:rPr>
                <w:rFonts w:ascii="Cambria Math" w:hAnsi="Cambria Math"/>
              </w:rPr>
              <m:t>∆</m:t>
            </m:r>
            <m:r>
              <m:rPr>
                <m:sty m:val="b"/>
              </m:rPr>
              <w:rPr>
                <w:rFonts w:ascii="Cambria Math" w:hAnsi="Cambria Math"/>
              </w:rPr>
              <m:t>v</m:t>
            </m:r>
          </m:e>
          <m:sup>
            <m:r>
              <m:rPr>
                <m:sty m:val="p"/>
              </m:rPr>
              <w:rPr>
                <w:rFonts w:ascii="Cambria Math" w:hAnsi="Cambria Math"/>
              </w:rPr>
              <m:t>*c</m:t>
            </m:r>
          </m:sup>
        </m:sSup>
        <m:sSup>
          <m:sSupPr>
            <m:ctrlPr>
              <w:rPr>
                <w:rFonts w:ascii="Cambria Math" w:hAnsi="Cambria Math"/>
                <w:i/>
              </w:rPr>
            </m:ctrlPr>
          </m:sSupPr>
          <m:e>
            <m:r>
              <m:rPr>
                <m:sty m:val="b"/>
              </m:rPr>
              <w:rPr>
                <w:rFonts w:ascii="Cambria Math" w:hAnsi="Cambria Math"/>
              </w:rPr>
              <m:t>G</m:t>
            </m:r>
          </m:e>
          <m:sup>
            <m:r>
              <m:rPr>
                <m:sty m:val="p"/>
              </m:rPr>
              <w:rPr>
                <w:rFonts w:ascii="Cambria Math" w:hAnsi="Cambria Math"/>
              </w:rPr>
              <m:t>c</m:t>
            </m:r>
          </m:sup>
        </m:sSup>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sSubSup>
                    <m:sSubSupPr>
                      <m:ctrlPr>
                        <w:rPr>
                          <w:rFonts w:ascii="Cambria Math" w:hAnsi="Cambria Math"/>
                          <w:i/>
                        </w:rPr>
                      </m:ctrlPr>
                    </m:sSubSupPr>
                    <m:e>
                      <m:r>
                        <m:rPr>
                          <m:sty m:val="b"/>
                        </m:rPr>
                        <w:rPr>
                          <w:rFonts w:ascii="Cambria Math" w:hAnsi="Cambria Math"/>
                        </w:rPr>
                        <m:t>ψ</m:t>
                      </m:r>
                    </m:e>
                    <m:sub>
                      <m:r>
                        <m:rPr>
                          <m:sty m:val="p"/>
                        </m:rPr>
                        <w:rPr>
                          <w:rFonts w:ascii="Cambria Math" w:hAnsi="Cambria Math"/>
                        </w:rPr>
                        <m:t>A</m:t>
                      </m:r>
                    </m:sub>
                    <m:sup>
                      <m:r>
                        <w:rPr>
                          <w:rFonts w:ascii="Cambria Math" w:hAnsi="Cambria Math"/>
                        </w:rPr>
                        <m:t>*</m:t>
                      </m:r>
                    </m:sup>
                  </m:sSubSup>
                </m:e>
              </m:mr>
            </m:m>
          </m:e>
        </m:d>
      </m:oMath>
      <w:r>
        <w:t xml:space="preserve"> the “economy </w:t>
      </w:r>
      <w:r w:rsidR="008F64DB">
        <w:t>demand</w:t>
      </w:r>
      <w:r>
        <w:t xml:space="preserve">-side requirements in terms of </w:t>
      </w:r>
      <w:r w:rsidR="008F64DB">
        <w:t>final demand”, that are necessary to absorb the supply-side shock</w:t>
      </w:r>
      <w:r>
        <w:t>.</w:t>
      </w:r>
      <w:r w:rsidR="008F64DB">
        <w:t xml:space="preserve"> </w:t>
      </w:r>
    </w:p>
    <w:p w:rsidR="001342D2" w:rsidRPr="001342D2" w:rsidRDefault="001342D2" w:rsidP="001342D2">
      <w:pPr>
        <w:jc w:val="both"/>
      </w:pPr>
      <w:r>
        <w:lastRenderedPageBreak/>
        <w:t xml:space="preserve">The usual qualifications made in input-output analysis </w:t>
      </w:r>
      <w:r w:rsidR="0095077F">
        <w:t>apply here as well.</w:t>
      </w:r>
      <w:r>
        <w:t xml:space="preserve"> Requirements </w:t>
      </w:r>
      <w:r w:rsidR="0028541A">
        <w:t>coefficients</w:t>
      </w:r>
      <w:r w:rsidR="0028541A" w:rsidRPr="0028541A">
        <w:rPr>
          <w:b/>
        </w:rPr>
        <w:t xml:space="preserve"> </w:t>
      </w:r>
      <w:r w:rsidR="0028541A">
        <w:rPr>
          <w:b/>
        </w:rPr>
        <w:t xml:space="preserve">A = </w:t>
      </w:r>
      <w:r w:rsidR="0028541A" w:rsidRPr="001F48A6">
        <w:rPr>
          <w:b/>
        </w:rPr>
        <w:t>T</w:t>
      </w:r>
      <m:oMath>
        <m:acc>
          <m:accPr>
            <m:ctrlPr>
              <w:rPr>
                <w:rFonts w:ascii="Cambria Math" w:hAnsi="Cambria Math"/>
                <w:i/>
              </w:rPr>
            </m:ctrlPr>
          </m:accPr>
          <m:e>
            <m:r>
              <m:rPr>
                <m:sty m:val="b"/>
              </m:rPr>
              <w:rPr>
                <w:rFonts w:ascii="Cambria Math" w:hAnsi="Cambria Math"/>
              </w:rPr>
              <m:t>x</m:t>
            </m:r>
          </m:e>
        </m:acc>
      </m:oMath>
      <w:r w:rsidR="0028541A" w:rsidRPr="001F48A6">
        <w:rPr>
          <w:vertAlign w:val="superscript"/>
        </w:rPr>
        <w:t>-1</w:t>
      </w:r>
      <w:r w:rsidR="0028541A">
        <w:t xml:space="preserve"> </w:t>
      </w:r>
      <w:r>
        <w:t xml:space="preserve">and sales coefficients </w:t>
      </w:r>
      <w:r w:rsidR="0028541A" w:rsidRPr="0028541A">
        <w:rPr>
          <w:b/>
        </w:rPr>
        <w:t>A</w:t>
      </w:r>
      <w:r w:rsidR="0028541A">
        <w:t xml:space="preserve">*= </w:t>
      </w:r>
      <m:oMath>
        <m:acc>
          <m:accPr>
            <m:ctrlPr>
              <w:rPr>
                <w:rFonts w:ascii="Cambria Math" w:hAnsi="Cambria Math"/>
                <w:i/>
              </w:rPr>
            </m:ctrlPr>
          </m:accPr>
          <m:e>
            <m:r>
              <m:rPr>
                <m:sty m:val="b"/>
              </m:rPr>
              <w:rPr>
                <w:rFonts w:ascii="Cambria Math" w:hAnsi="Cambria Math"/>
              </w:rPr>
              <m:t>x</m:t>
            </m:r>
          </m:e>
        </m:acc>
      </m:oMath>
      <w:r w:rsidR="0028541A" w:rsidRPr="001F48A6">
        <w:rPr>
          <w:vertAlign w:val="superscript"/>
        </w:rPr>
        <w:t>-1</w:t>
      </w:r>
      <w:r w:rsidR="0028541A" w:rsidRPr="001F48A6">
        <w:rPr>
          <w:b/>
        </w:rPr>
        <w:t>T</w:t>
      </w:r>
      <w:r w:rsidR="0028541A">
        <w:t xml:space="preserve"> </w:t>
      </w:r>
      <w:r>
        <w:t xml:space="preserve">are assumed constant in the demand-pull, and supply-push scenarios, respectively. Effects are linear functions of exogenous percentage changes. The demand-pull scenario is a quantity model, whilst the supply-push scenario </w:t>
      </w:r>
      <w:r w:rsidR="006C19EE">
        <w:t xml:space="preserve">can – at least </w:t>
      </w:r>
      <w:r w:rsidR="006C19EE" w:rsidRPr="006C19EE">
        <w:rPr>
          <w:i/>
        </w:rPr>
        <w:t>ex-ante</w:t>
      </w:r>
      <w:r w:rsidR="006C19EE">
        <w:t xml:space="preserve"> – only be interpreted</w:t>
      </w:r>
      <w:r>
        <w:t xml:space="preserve"> as a price model (price/wage changes</w:t>
      </w:r>
      <w:r w:rsidR="00C62DEB">
        <w:t xml:space="preserve">, see </w:t>
      </w:r>
      <w:r w:rsidR="00C2157F">
        <w:fldChar w:fldCharType="begin"/>
      </w:r>
      <w:r w:rsidR="006111D7">
        <w:instrText xml:space="preserve"> ADDIN EN.CITE &lt;EndNote&gt;&lt;Cite&gt;&lt;Author&gt;Dietzenbacher&lt;/Author&gt;&lt;Year&gt;1989&lt;/Year&gt;&lt;RecNum&gt;1697&lt;/RecNum&gt;&lt;record&gt;&lt;rec-number&gt;1697&lt;/rec-number&gt;&lt;foreign-keys&gt;&lt;key app="EN" db-id="taawaxs5fzprace5p9jv25fnt2vd5xt2d520"&gt;1697&lt;/key&gt;&lt;/foreign-keys&gt;&lt;ref-type name="Journal Article"&gt;17&lt;/ref-type&gt;&lt;contributors&gt;&lt;authors&gt;&lt;author&gt;Dietzenbacher, E.&lt;/author&gt;&lt;/authors&gt;&lt;/contributors&gt;&lt;titles&gt;&lt;title&gt;On the relationship between the supply-driven and the demand-driven input-output model&lt;/title&gt;&lt;secondary-title&gt;Environment and Planning A&lt;/secondary-title&gt;&lt;/titles&gt;&lt;periodical&gt;&lt;full-title&gt;Environment and Planning A&lt;/full-title&gt;&lt;/periodical&gt;&lt;pages&gt;1533-1539&lt;/pages&gt;&lt;volume&gt;21&lt;/volume&gt;&lt;number&gt;11&lt;/number&gt;&lt;dates&gt;&lt;year&gt;1989&lt;/year&gt;&lt;/dates&gt;&lt;urls&gt;&lt;/urls&gt;&lt;/record&gt;&lt;/Cite&gt;&lt;Cite&gt;&lt;Author&gt;Dietzenbacher&lt;/Author&gt;&lt;Year&gt;1997&lt;/Year&gt;&lt;RecNum&gt;1756&lt;/RecNum&gt;&lt;record&gt;&lt;rec-number&gt;1756&lt;/rec-number&gt;&lt;foreign-keys&gt;&lt;key app="EN" db-id="taawaxs5fzprace5p9jv25fnt2vd5xt2d520"&gt;1756&lt;/key&gt;&lt;/foreign-keys&gt;&lt;ref-type name="Journal Article"&gt;17&lt;/ref-type&gt;&lt;contributors&gt;&lt;authors&gt;&lt;author&gt;Dietzenbacher, E.&lt;/author&gt;&lt;/authors&gt;&lt;/contributors&gt;&lt;titles&gt;&lt;title&gt;In vindication of the Ghosh model: a reinterpretation as a price model&lt;/title&gt;&lt;secondary-title&gt;Journal of Regional Science&lt;/secondary-title&gt;&lt;/titles&gt;&lt;periodical&gt;&lt;full-title&gt;Journal of Regional Science&lt;/full-title&gt;&lt;/periodical&gt;&lt;pages&gt;629-651&lt;/pages&gt;&lt;volume&gt;37&lt;/volume&gt;&lt;number&gt;4&lt;/number&gt;&lt;dates&gt;&lt;year&gt;1997&lt;/year&gt;&lt;/dates&gt;&lt;urls&gt;&lt;/urls&gt;&lt;/record&gt;&lt;/Cite&gt;&lt;/EndNote&gt;</w:instrText>
      </w:r>
      <w:r w:rsidR="00C2157F">
        <w:fldChar w:fldCharType="separate"/>
      </w:r>
      <w:r w:rsidR="00C62DEB">
        <w:t>Dietzenbacher 1989; 1997</w:t>
      </w:r>
      <w:r w:rsidR="00C2157F">
        <w:fldChar w:fldCharType="end"/>
      </w:r>
      <w:r>
        <w:t>).</w:t>
      </w:r>
      <w:r w:rsidR="006C19EE">
        <w:rPr>
          <w:rStyle w:val="FootnoteReference"/>
        </w:rPr>
        <w:footnoteReference w:id="4"/>
      </w:r>
      <w:r>
        <w:t xml:space="preserve"> </w:t>
      </w:r>
    </w:p>
    <w:p w:rsidR="00DF1636" w:rsidRPr="008B76A8" w:rsidRDefault="00876A06" w:rsidP="00DB1F43">
      <w:pPr>
        <w:pStyle w:val="BodyText2"/>
        <w:tabs>
          <w:tab w:val="left" w:pos="851"/>
          <w:tab w:val="left" w:pos="1588"/>
          <w:tab w:val="left" w:pos="3459"/>
          <w:tab w:val="left" w:pos="8789"/>
        </w:tabs>
        <w:spacing w:line="276" w:lineRule="auto"/>
        <w:jc w:val="both"/>
      </w:pPr>
      <w:r w:rsidRPr="00DF1636">
        <w:rPr>
          <w:rFonts w:asciiTheme="minorHAnsi" w:hAnsiTheme="minorHAnsi"/>
          <w:sz w:val="22"/>
          <w:szCs w:val="22"/>
        </w:rPr>
        <w:t xml:space="preserve">Second, we will decompose the total </w:t>
      </w:r>
      <w:r w:rsidR="002E1D64" w:rsidRPr="00DF1636">
        <w:rPr>
          <w:rFonts w:asciiTheme="minorHAnsi" w:hAnsiTheme="minorHAnsi"/>
          <w:sz w:val="22"/>
          <w:szCs w:val="22"/>
        </w:rPr>
        <w:t>requirement</w:t>
      </w:r>
      <w:r w:rsidRPr="00DF1636">
        <w:rPr>
          <w:rFonts w:asciiTheme="minorHAnsi" w:hAnsiTheme="minorHAnsi"/>
          <w:sz w:val="22"/>
          <w:szCs w:val="22"/>
        </w:rPr>
        <w:t>s into different production rounds</w:t>
      </w:r>
      <w:r w:rsidRPr="00DF1636">
        <w:rPr>
          <w:rStyle w:val="FootnoteReference"/>
          <w:rFonts w:asciiTheme="minorHAnsi" w:hAnsiTheme="minorHAnsi"/>
          <w:sz w:val="22"/>
          <w:szCs w:val="22"/>
        </w:rPr>
        <w:footnoteReference w:id="5"/>
      </w:r>
      <w:r w:rsidRPr="00DF1636">
        <w:rPr>
          <w:rFonts w:asciiTheme="minorHAnsi" w:hAnsiTheme="minorHAnsi"/>
          <w:sz w:val="22"/>
          <w:szCs w:val="22"/>
        </w:rPr>
        <w:t xml:space="preserve"> and important paths, by using Structural Path Analysis (</w:t>
      </w:r>
      <w:r w:rsidR="00DF1636">
        <w:rPr>
          <w:rFonts w:asciiTheme="minorHAnsi" w:hAnsiTheme="minorHAnsi"/>
          <w:sz w:val="22"/>
          <w:szCs w:val="22"/>
        </w:rPr>
        <w:t xml:space="preserve">SPA, </w:t>
      </w:r>
      <w:r w:rsidR="00C2157F" w:rsidRPr="00DF1636">
        <w:rPr>
          <w:rFonts w:asciiTheme="minorHAnsi" w:hAnsiTheme="minorHAnsi"/>
          <w:sz w:val="22"/>
          <w:szCs w:val="22"/>
        </w:rPr>
        <w:fldChar w:fldCharType="begin">
          <w:fldData xml:space="preserve">PEVuZE5vdGU+PENpdGU+PEF1dGhvcj5EZWZvdXJueTwvQXV0aG9yPjxZZWFyPjE5ODQ8L1llYXI+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=
</w:fldData>
        </w:fldChar>
      </w:r>
      <w:r w:rsidR="006111D7" w:rsidRPr="00DF1636">
        <w:rPr>
          <w:rFonts w:asciiTheme="minorHAnsi" w:hAnsiTheme="minorHAnsi"/>
          <w:sz w:val="22"/>
          <w:szCs w:val="22"/>
        </w:rPr>
        <w:instrText xml:space="preserve"> ADDIN EN.CITE </w:instrText>
      </w:r>
      <w:r w:rsidR="006111D7" w:rsidRPr="00DF1636">
        <w:rPr>
          <w:rFonts w:asciiTheme="minorHAnsi" w:hAnsiTheme="minorHAnsi"/>
          <w:sz w:val="22"/>
          <w:szCs w:val="22"/>
        </w:rPr>
        <w:fldChar w:fldCharType="begin">
          <w:fldData xml:space="preserve">PEVuZE5vdGU+PENpdGU+PEF1dGhvcj5EZWZvdXJueTwvQXV0aG9yPjxZZWFyPjE5ODQ8L1llYXI+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=
</w:fldData>
        </w:fldChar>
      </w:r>
      <w:r w:rsidR="006111D7" w:rsidRPr="00DF1636">
        <w:rPr>
          <w:rFonts w:asciiTheme="minorHAnsi" w:hAnsiTheme="minorHAnsi"/>
          <w:sz w:val="22"/>
          <w:szCs w:val="22"/>
        </w:rPr>
        <w:instrText xml:space="preserve"> ADDIN EN.CITE.DATA </w:instrText>
      </w:r>
      <w:r w:rsidR="006111D7" w:rsidRPr="00DF1636">
        <w:rPr>
          <w:rFonts w:asciiTheme="minorHAnsi" w:hAnsiTheme="minorHAnsi"/>
          <w:sz w:val="22"/>
          <w:szCs w:val="22"/>
        </w:rPr>
      </w:r>
      <w:r w:rsidR="006111D7" w:rsidRPr="00DF1636">
        <w:rPr>
          <w:rFonts w:asciiTheme="minorHAnsi" w:hAnsiTheme="minorHAnsi"/>
          <w:sz w:val="22"/>
          <w:szCs w:val="22"/>
        </w:rPr>
        <w:fldChar w:fldCharType="end"/>
      </w:r>
      <w:r w:rsidR="00C2157F" w:rsidRPr="00DF1636">
        <w:rPr>
          <w:rFonts w:asciiTheme="minorHAnsi" w:hAnsiTheme="minorHAnsi"/>
          <w:sz w:val="22"/>
          <w:szCs w:val="22"/>
        </w:rPr>
        <w:fldChar w:fldCharType="separate"/>
      </w:r>
      <w:r w:rsidR="00411428" w:rsidRPr="00DF1636">
        <w:rPr>
          <w:rFonts w:asciiTheme="minorHAnsi" w:hAnsiTheme="minorHAnsi"/>
          <w:sz w:val="22"/>
          <w:szCs w:val="22"/>
        </w:rPr>
        <w:t>Crama</w:t>
      </w:r>
      <w:r w:rsidR="00411428" w:rsidRPr="00DF1636">
        <w:rPr>
          <w:rFonts w:asciiTheme="minorHAnsi" w:hAnsiTheme="minorHAnsi"/>
          <w:i/>
          <w:sz w:val="22"/>
          <w:szCs w:val="22"/>
        </w:rPr>
        <w:t xml:space="preserve"> et al.</w:t>
      </w:r>
      <w:r w:rsidR="00411428" w:rsidRPr="00DF1636">
        <w:rPr>
          <w:rFonts w:asciiTheme="minorHAnsi" w:hAnsiTheme="minorHAnsi"/>
          <w:sz w:val="22"/>
          <w:szCs w:val="22"/>
        </w:rPr>
        <w:t xml:space="preserve"> 1984; Defourny and Thorbecke 1984; Treloar 1997; Lenzen 2002; 2006; Peters and Hertwich 2006; Suh and Heijungs 2007</w:t>
      </w:r>
      <w:r w:rsidR="00C2157F" w:rsidRPr="00DF1636">
        <w:rPr>
          <w:rFonts w:asciiTheme="minorHAnsi" w:hAnsiTheme="minorHAnsi"/>
          <w:sz w:val="22"/>
          <w:szCs w:val="22"/>
        </w:rPr>
        <w:fldChar w:fldCharType="end"/>
      </w:r>
      <w:r w:rsidRPr="00DF1636">
        <w:rPr>
          <w:rFonts w:asciiTheme="minorHAnsi" w:hAnsiTheme="minorHAnsi"/>
          <w:sz w:val="22"/>
          <w:szCs w:val="22"/>
        </w:rPr>
        <w:t>).</w:t>
      </w:r>
      <w:r w:rsidR="007238EA" w:rsidRPr="00DF1636">
        <w:rPr>
          <w:rFonts w:asciiTheme="minorHAnsi" w:hAnsiTheme="minorHAnsi"/>
          <w:sz w:val="22"/>
          <w:szCs w:val="22"/>
        </w:rPr>
        <w:t xml:space="preserve"> </w:t>
      </w:r>
      <w:r w:rsidR="00DF1636">
        <w:rPr>
          <w:rFonts w:asciiTheme="minorHAnsi" w:hAnsiTheme="minorHAnsi"/>
          <w:sz w:val="22"/>
          <w:szCs w:val="22"/>
        </w:rPr>
        <w:t>In essence, SPA unravels</w:t>
      </w:r>
      <w:r w:rsidR="00DF1636" w:rsidRPr="00DF1636">
        <w:rPr>
          <w:rFonts w:asciiTheme="minorHAnsi" w:hAnsiTheme="minorHAnsi"/>
          <w:sz w:val="22"/>
          <w:szCs w:val="22"/>
        </w:rPr>
        <w:t xml:space="preserve"> </w:t>
      </w:r>
      <w:r w:rsidR="00DF1636">
        <w:rPr>
          <w:rFonts w:asciiTheme="minorHAnsi" w:hAnsiTheme="minorHAnsi"/>
          <w:sz w:val="22"/>
          <w:szCs w:val="22"/>
        </w:rPr>
        <w:t xml:space="preserve">the Leontief and Ghosh inverses </w:t>
      </w:r>
      <w:r w:rsidR="00DF1636" w:rsidRPr="00DF1636">
        <w:rPr>
          <w:rFonts w:asciiTheme="minorHAnsi" w:hAnsiTheme="minorHAnsi"/>
          <w:sz w:val="22"/>
          <w:szCs w:val="22"/>
        </w:rPr>
        <w:t xml:space="preserve">into contributions from </w:t>
      </w:r>
      <w:r w:rsidR="00DF1636">
        <w:rPr>
          <w:rFonts w:asciiTheme="minorHAnsi" w:hAnsiTheme="minorHAnsi"/>
          <w:sz w:val="22"/>
          <w:szCs w:val="22"/>
        </w:rPr>
        <w:t>transaction</w:t>
      </w:r>
      <w:r w:rsidR="00DF1636" w:rsidRPr="00DF1636">
        <w:rPr>
          <w:rFonts w:asciiTheme="minorHAnsi" w:hAnsiTheme="minorHAnsi"/>
          <w:sz w:val="22"/>
          <w:szCs w:val="22"/>
        </w:rPr>
        <w:t xml:space="preserve"> chains, using </w:t>
      </w:r>
      <w:r w:rsidR="00DF1636">
        <w:rPr>
          <w:rFonts w:asciiTheme="minorHAnsi" w:hAnsiTheme="minorHAnsi"/>
          <w:sz w:val="22"/>
          <w:szCs w:val="22"/>
        </w:rPr>
        <w:t>their</w:t>
      </w:r>
      <w:r w:rsidR="00DF1636" w:rsidRPr="00DF1636">
        <w:rPr>
          <w:rFonts w:asciiTheme="minorHAnsi" w:hAnsiTheme="minorHAnsi"/>
          <w:sz w:val="22"/>
          <w:szCs w:val="22"/>
        </w:rPr>
        <w:t xml:space="preserve"> series </w:t>
      </w:r>
      <w:r w:rsidR="00DF1636" w:rsidRPr="00DB1F43">
        <w:rPr>
          <w:rFonts w:asciiTheme="minorHAnsi" w:hAnsiTheme="minorHAnsi"/>
          <w:sz w:val="22"/>
          <w:szCs w:val="22"/>
        </w:rPr>
        <w:t xml:space="preserve">expansion </w:t>
      </w:r>
      <w:r w:rsidR="00DF1636" w:rsidRPr="00DB1F43">
        <w:rPr>
          <w:rFonts w:ascii="Calibri" w:hAnsi="Calibri"/>
          <w:sz w:val="22"/>
          <w:szCs w:val="22"/>
        </w:rPr>
        <w:t>(</w:t>
      </w:r>
      <w:r w:rsidR="00DF1636" w:rsidRPr="00DB1F43">
        <w:rPr>
          <w:rFonts w:ascii="Calibri" w:hAnsi="Calibri"/>
          <w:b/>
          <w:bCs/>
          <w:sz w:val="22"/>
          <w:szCs w:val="22"/>
        </w:rPr>
        <w:t>I</w:t>
      </w:r>
      <w:r w:rsidR="00DF1636" w:rsidRPr="00DB1F43">
        <w:rPr>
          <w:rFonts w:ascii="Calibri" w:hAnsi="Calibri"/>
          <w:sz w:val="22"/>
          <w:szCs w:val="22"/>
        </w:rPr>
        <w:t>-</w:t>
      </w:r>
      <w:r w:rsidR="00DF1636" w:rsidRPr="00DB1F43">
        <w:rPr>
          <w:rFonts w:ascii="Calibri" w:hAnsi="Calibri"/>
          <w:b/>
          <w:bCs/>
          <w:sz w:val="22"/>
          <w:szCs w:val="22"/>
        </w:rPr>
        <w:t>A</w:t>
      </w:r>
      <w:r w:rsidR="00DF1636" w:rsidRPr="00DB1F43">
        <w:rPr>
          <w:rFonts w:ascii="Calibri" w:hAnsi="Calibri"/>
          <w:sz w:val="22"/>
          <w:szCs w:val="22"/>
        </w:rPr>
        <w:t>)</w:t>
      </w:r>
      <w:r w:rsidR="00DF1636" w:rsidRPr="00DB1F43">
        <w:rPr>
          <w:rFonts w:ascii="Calibri" w:hAnsi="Calibri"/>
          <w:sz w:val="22"/>
          <w:szCs w:val="22"/>
          <w:vertAlign w:val="superscript"/>
        </w:rPr>
        <w:t>-1</w:t>
      </w:r>
      <w:r w:rsidR="00DF1636" w:rsidRPr="00DB1F43">
        <w:rPr>
          <w:rFonts w:ascii="Calibri" w:hAnsi="Calibri"/>
          <w:sz w:val="22"/>
          <w:szCs w:val="22"/>
        </w:rPr>
        <w:t xml:space="preserve"> = </w:t>
      </w:r>
      <w:r w:rsidR="00DF1636" w:rsidRPr="00DB1F43">
        <w:rPr>
          <w:rFonts w:ascii="Calibri" w:hAnsi="Calibri"/>
          <w:b/>
          <w:bCs/>
          <w:iCs/>
          <w:sz w:val="22"/>
          <w:szCs w:val="22"/>
        </w:rPr>
        <w:t>I</w:t>
      </w:r>
      <w:r w:rsidR="00DF1636" w:rsidRPr="00DB1F43">
        <w:rPr>
          <w:rFonts w:ascii="Calibri" w:hAnsi="Calibri"/>
          <w:sz w:val="22"/>
          <w:szCs w:val="22"/>
        </w:rPr>
        <w:t xml:space="preserve"> + </w:t>
      </w:r>
      <w:r w:rsidR="00DF1636" w:rsidRPr="00DB1F43">
        <w:rPr>
          <w:rFonts w:ascii="Calibri" w:hAnsi="Calibri"/>
          <w:b/>
          <w:bCs/>
          <w:sz w:val="22"/>
          <w:szCs w:val="22"/>
        </w:rPr>
        <w:t>A</w:t>
      </w:r>
      <w:r w:rsidR="00DF1636" w:rsidRPr="00DB1F43">
        <w:rPr>
          <w:rFonts w:ascii="Calibri" w:hAnsi="Calibri"/>
          <w:sz w:val="22"/>
          <w:szCs w:val="22"/>
        </w:rPr>
        <w:t xml:space="preserve"> + </w:t>
      </w:r>
      <w:r w:rsidR="00DF1636" w:rsidRPr="00DB1F43">
        <w:rPr>
          <w:rFonts w:ascii="Calibri" w:hAnsi="Calibri"/>
          <w:b/>
          <w:bCs/>
          <w:sz w:val="22"/>
          <w:szCs w:val="22"/>
        </w:rPr>
        <w:t>A</w:t>
      </w:r>
      <w:r w:rsidR="00DF1636" w:rsidRPr="00DB1F43">
        <w:rPr>
          <w:rFonts w:ascii="Calibri" w:hAnsi="Calibri"/>
          <w:sz w:val="22"/>
          <w:szCs w:val="22"/>
          <w:vertAlign w:val="superscript"/>
        </w:rPr>
        <w:t>2</w:t>
      </w:r>
      <w:r w:rsidR="00DF1636" w:rsidRPr="00DB1F43">
        <w:rPr>
          <w:rFonts w:ascii="Calibri" w:hAnsi="Calibri"/>
          <w:sz w:val="22"/>
          <w:szCs w:val="22"/>
        </w:rPr>
        <w:t xml:space="preserve"> + </w:t>
      </w:r>
      <w:r w:rsidR="00DF1636" w:rsidRPr="00DB1F43">
        <w:rPr>
          <w:rFonts w:ascii="Calibri" w:hAnsi="Calibri"/>
          <w:b/>
          <w:bCs/>
          <w:sz w:val="22"/>
          <w:szCs w:val="22"/>
        </w:rPr>
        <w:t>A</w:t>
      </w:r>
      <w:r w:rsidR="00DF1636" w:rsidRPr="00DB1F43">
        <w:rPr>
          <w:rFonts w:ascii="Calibri" w:hAnsi="Calibri"/>
          <w:sz w:val="22"/>
          <w:szCs w:val="22"/>
          <w:vertAlign w:val="superscript"/>
        </w:rPr>
        <w:t>3</w:t>
      </w:r>
      <w:r w:rsidR="00DF1636" w:rsidRPr="00DB1F43">
        <w:rPr>
          <w:rFonts w:ascii="Calibri" w:hAnsi="Calibri"/>
          <w:sz w:val="22"/>
          <w:szCs w:val="22"/>
        </w:rPr>
        <w:t xml:space="preserve"> + …  .</w:t>
      </w:r>
      <w:r w:rsidR="00DB1F43" w:rsidRPr="00DB1F43">
        <w:rPr>
          <w:rFonts w:ascii="Calibri" w:hAnsi="Calibri"/>
          <w:sz w:val="22"/>
          <w:szCs w:val="22"/>
        </w:rPr>
        <w:t xml:space="preserve"> For example, a Leontief </w:t>
      </w:r>
      <w:r w:rsidR="00DB1F43">
        <w:rPr>
          <w:rFonts w:ascii="Calibri" w:hAnsi="Calibri"/>
          <w:sz w:val="22"/>
          <w:szCs w:val="22"/>
        </w:rPr>
        <w:t>element</w:t>
      </w:r>
      <w:r w:rsidR="00DB1F43" w:rsidRPr="00DB1F43">
        <w:rPr>
          <w:rFonts w:ascii="Calibri" w:hAnsi="Calibri"/>
          <w:sz w:val="22"/>
          <w:szCs w:val="22"/>
        </w:rPr>
        <w:t xml:space="preserve"> </w:t>
      </w:r>
      <w:r w:rsidR="00DB1F43" w:rsidRPr="00DB1F43">
        <w:rPr>
          <w:rFonts w:ascii="Calibri" w:hAnsi="Calibri"/>
          <w:i/>
          <w:sz w:val="22"/>
          <w:szCs w:val="22"/>
        </w:rPr>
        <w:t>L</w:t>
      </w:r>
      <w:r w:rsidR="00DB1F43">
        <w:rPr>
          <w:rFonts w:ascii="Calibri" w:hAnsi="Calibri"/>
          <w:i/>
          <w:sz w:val="22"/>
          <w:szCs w:val="22"/>
          <w:vertAlign w:val="subscript"/>
        </w:rPr>
        <w:t>ji</w:t>
      </w:r>
      <w:r w:rsidR="00DB1F43">
        <w:rPr>
          <w:rFonts w:ascii="Calibri" w:hAnsi="Calibri"/>
          <w:sz w:val="22"/>
          <w:szCs w:val="22"/>
        </w:rPr>
        <w:t xml:space="preserve"> </w:t>
      </w:r>
      <w:r w:rsidR="00DB1F43" w:rsidRPr="00DB1F43">
        <w:rPr>
          <w:rFonts w:ascii="Calibri" w:hAnsi="Calibri"/>
          <w:sz w:val="22"/>
          <w:szCs w:val="22"/>
        </w:rPr>
        <w:t xml:space="preserve">can be written as </w:t>
      </w:r>
      <w:r w:rsidR="00DB1F43" w:rsidRPr="00DB1F43">
        <w:rPr>
          <w:position w:val="-14"/>
        </w:rPr>
        <w:object w:dxaOrig="3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8.75pt" o:ole="" fillcolor="window">
            <v:imagedata r:id="rId12" o:title=""/>
          </v:shape>
          <o:OLEObject Type="Embed" ProgID="Equation.3" ShapeID="_x0000_i1026" DrawAspect="Content" ObjectID="_1325883777" r:id="rId13"/>
        </w:object>
      </w:r>
      <w:r w:rsidR="00DB1F43" w:rsidRPr="00DB1F43">
        <w:rPr>
          <w:position w:val="-28"/>
        </w:rPr>
        <w:object w:dxaOrig="4300" w:dyaOrig="680">
          <v:shape id="_x0000_i1025" type="#_x0000_t75" style="width:207.75pt;height:33pt" o:ole="" fillcolor="window">
            <v:imagedata r:id="rId14" o:title=""/>
          </v:shape>
          <o:OLEObject Type="Embed" ProgID="Equation.3" ShapeID="_x0000_i1025" DrawAspect="Content" ObjectID="_1325883778" r:id="rId15"/>
        </w:object>
      </w:r>
      <w:r w:rsidR="00DB1F43">
        <w:rPr>
          <w:rFonts w:ascii="Calibri" w:hAnsi="Calibri"/>
        </w:rPr>
        <w:t xml:space="preserve">, </w:t>
      </w:r>
      <w:r w:rsidR="00DF1636" w:rsidRPr="00DB1F43">
        <w:rPr>
          <w:rFonts w:asciiTheme="minorHAnsi" w:hAnsiTheme="minorHAnsi"/>
          <w:sz w:val="22"/>
          <w:szCs w:val="22"/>
        </w:rPr>
        <w:t xml:space="preserve">where </w:t>
      </w:r>
      <w:r w:rsidR="00DF1636" w:rsidRPr="00DB1F43">
        <w:rPr>
          <w:rFonts w:asciiTheme="minorHAnsi" w:hAnsiTheme="minorHAnsi"/>
          <w:i/>
          <w:iCs/>
          <w:sz w:val="22"/>
          <w:szCs w:val="22"/>
        </w:rPr>
        <w:t>i</w:t>
      </w:r>
      <w:r w:rsidR="00DF1636" w:rsidRPr="00DB1F43">
        <w:rPr>
          <w:rFonts w:asciiTheme="minorHAnsi" w:hAnsiTheme="minorHAnsi"/>
          <w:sz w:val="22"/>
          <w:szCs w:val="22"/>
        </w:rPr>
        <w:t xml:space="preserve">, </w:t>
      </w:r>
      <w:r w:rsidR="00DF1636" w:rsidRPr="00DB1F43">
        <w:rPr>
          <w:rFonts w:asciiTheme="minorHAnsi" w:hAnsiTheme="minorHAnsi"/>
          <w:i/>
          <w:iCs/>
          <w:sz w:val="22"/>
          <w:szCs w:val="22"/>
        </w:rPr>
        <w:t>j</w:t>
      </w:r>
      <w:r w:rsidR="00DF1636" w:rsidRPr="00DB1F43">
        <w:rPr>
          <w:rFonts w:asciiTheme="minorHAnsi" w:hAnsiTheme="minorHAnsi"/>
          <w:sz w:val="22"/>
          <w:szCs w:val="22"/>
        </w:rPr>
        <w:t xml:space="preserve">, </w:t>
      </w:r>
      <w:r w:rsidR="00DF1636" w:rsidRPr="00DB1F43">
        <w:rPr>
          <w:rFonts w:asciiTheme="minorHAnsi" w:hAnsiTheme="minorHAnsi"/>
          <w:i/>
          <w:iCs/>
          <w:sz w:val="22"/>
          <w:szCs w:val="22"/>
        </w:rPr>
        <w:t>k</w:t>
      </w:r>
      <w:r w:rsidR="00DF1636" w:rsidRPr="00DB1F43">
        <w:rPr>
          <w:rFonts w:asciiTheme="minorHAnsi" w:hAnsiTheme="minorHAnsi"/>
          <w:sz w:val="22"/>
          <w:szCs w:val="22"/>
        </w:rPr>
        <w:t xml:space="preserve">, and </w:t>
      </w:r>
      <w:r w:rsidR="00DF1636" w:rsidRPr="00DB1F43">
        <w:rPr>
          <w:rFonts w:asciiTheme="minorHAnsi" w:hAnsiTheme="minorHAnsi"/>
          <w:i/>
          <w:iCs/>
          <w:sz w:val="22"/>
          <w:szCs w:val="22"/>
        </w:rPr>
        <w:t>l</w:t>
      </w:r>
      <w:r w:rsidR="00DF1636" w:rsidRPr="00DB1F43">
        <w:rPr>
          <w:rFonts w:asciiTheme="minorHAnsi" w:hAnsiTheme="minorHAnsi"/>
          <w:sz w:val="22"/>
          <w:szCs w:val="22"/>
        </w:rPr>
        <w:t xml:space="preserve"> denote industries, and </w:t>
      </w:r>
      <w:r w:rsidR="00DF1636" w:rsidRPr="00DB1F43">
        <w:rPr>
          <w:rFonts w:ascii="Symbol" w:hAnsi="Symbol" w:cs="Symbol"/>
          <w:i/>
          <w:iCs/>
          <w:sz w:val="22"/>
          <w:szCs w:val="22"/>
        </w:rPr>
        <w:t></w:t>
      </w:r>
      <w:r w:rsidR="00DF1636" w:rsidRPr="00DB1F43">
        <w:rPr>
          <w:rFonts w:asciiTheme="minorHAnsi" w:hAnsiTheme="minorHAnsi"/>
          <w:i/>
          <w:iCs/>
          <w:sz w:val="22"/>
          <w:szCs w:val="22"/>
          <w:vertAlign w:val="subscript"/>
        </w:rPr>
        <w:t>ij</w:t>
      </w:r>
      <w:r w:rsidR="00DF1636" w:rsidRPr="00DB1F43">
        <w:rPr>
          <w:rFonts w:asciiTheme="minorHAnsi" w:hAnsiTheme="minorHAnsi"/>
          <w:sz w:val="22"/>
          <w:szCs w:val="22"/>
        </w:rPr>
        <w:t xml:space="preserve">=1 if </w:t>
      </w:r>
      <w:r w:rsidR="00DF1636" w:rsidRPr="00DB1F43">
        <w:rPr>
          <w:rFonts w:asciiTheme="minorHAnsi" w:hAnsiTheme="minorHAnsi"/>
          <w:i/>
          <w:iCs/>
          <w:sz w:val="22"/>
          <w:szCs w:val="22"/>
        </w:rPr>
        <w:t>i</w:t>
      </w:r>
      <w:r w:rsidR="00DF1636" w:rsidRPr="00DB1F43">
        <w:rPr>
          <w:rFonts w:asciiTheme="minorHAnsi" w:hAnsiTheme="minorHAnsi"/>
          <w:sz w:val="22"/>
          <w:szCs w:val="22"/>
        </w:rPr>
        <w:t>=</w:t>
      </w:r>
      <w:r w:rsidR="00DF1636" w:rsidRPr="00DB1F43">
        <w:rPr>
          <w:rFonts w:asciiTheme="minorHAnsi" w:hAnsiTheme="minorHAnsi"/>
          <w:i/>
          <w:iCs/>
          <w:sz w:val="22"/>
          <w:szCs w:val="22"/>
        </w:rPr>
        <w:t>j</w:t>
      </w:r>
      <w:r w:rsidR="00DF1636" w:rsidRPr="00DB1F43">
        <w:rPr>
          <w:rFonts w:asciiTheme="minorHAnsi" w:hAnsiTheme="minorHAnsi"/>
          <w:sz w:val="22"/>
          <w:szCs w:val="22"/>
        </w:rPr>
        <w:t xml:space="preserve"> and </w:t>
      </w:r>
      <w:r w:rsidR="00DF1636" w:rsidRPr="00DB1F43">
        <w:rPr>
          <w:rFonts w:ascii="Symbol" w:hAnsi="Symbol" w:cs="Symbol"/>
          <w:i/>
          <w:iCs/>
          <w:sz w:val="22"/>
          <w:szCs w:val="22"/>
        </w:rPr>
        <w:t></w:t>
      </w:r>
      <w:r w:rsidR="00DF1636" w:rsidRPr="00DB1F43">
        <w:rPr>
          <w:rFonts w:asciiTheme="minorHAnsi" w:hAnsiTheme="minorHAnsi"/>
          <w:i/>
          <w:iCs/>
          <w:sz w:val="22"/>
          <w:szCs w:val="22"/>
          <w:vertAlign w:val="subscript"/>
        </w:rPr>
        <w:t>ij</w:t>
      </w:r>
      <w:r w:rsidR="00DF1636" w:rsidRPr="00DB1F43">
        <w:rPr>
          <w:rFonts w:asciiTheme="minorHAnsi" w:hAnsiTheme="minorHAnsi"/>
          <w:sz w:val="22"/>
          <w:szCs w:val="22"/>
        </w:rPr>
        <w:t xml:space="preserve">=0 otherwise. A first-order structural path from industry </w:t>
      </w:r>
      <w:r w:rsidR="00DF1636" w:rsidRPr="00DB1F43">
        <w:rPr>
          <w:rFonts w:asciiTheme="minorHAnsi" w:hAnsiTheme="minorHAnsi"/>
          <w:i/>
          <w:iCs/>
          <w:sz w:val="22"/>
          <w:szCs w:val="22"/>
        </w:rPr>
        <w:t>j</w:t>
      </w:r>
      <w:r w:rsidR="00DF1636" w:rsidRPr="00DB1F43">
        <w:rPr>
          <w:rFonts w:asciiTheme="minorHAnsi" w:hAnsiTheme="minorHAnsi"/>
          <w:sz w:val="22"/>
          <w:szCs w:val="22"/>
        </w:rPr>
        <w:t xml:space="preserve"> into industry </w:t>
      </w:r>
      <w:r w:rsidR="00DF1636" w:rsidRPr="00DB1F43">
        <w:rPr>
          <w:rFonts w:asciiTheme="minorHAnsi" w:hAnsiTheme="minorHAnsi"/>
          <w:i/>
          <w:iCs/>
          <w:sz w:val="22"/>
          <w:szCs w:val="22"/>
        </w:rPr>
        <w:t>i</w:t>
      </w:r>
      <w:r w:rsidR="00DF1636" w:rsidRPr="00DB1F43">
        <w:rPr>
          <w:rFonts w:asciiTheme="minorHAnsi" w:hAnsiTheme="minorHAnsi"/>
          <w:sz w:val="22"/>
          <w:szCs w:val="22"/>
        </w:rPr>
        <w:t xml:space="preserve"> of first order is r</w:t>
      </w:r>
      <w:r w:rsidR="00DB1F43">
        <w:rPr>
          <w:rFonts w:asciiTheme="minorHAnsi" w:hAnsiTheme="minorHAnsi"/>
          <w:sz w:val="22"/>
          <w:szCs w:val="22"/>
        </w:rPr>
        <w:t>epresented by a coefficient</w:t>
      </w:r>
      <w:r w:rsidR="00DF1636" w:rsidRPr="00DB1F43">
        <w:rPr>
          <w:rFonts w:asciiTheme="minorHAnsi" w:hAnsiTheme="minorHAnsi"/>
          <w:sz w:val="22"/>
          <w:szCs w:val="22"/>
        </w:rPr>
        <w:t xml:space="preserve"> </w:t>
      </w:r>
      <w:r w:rsidR="00DF1636" w:rsidRPr="00DB1F43">
        <w:rPr>
          <w:rFonts w:asciiTheme="minorHAnsi" w:hAnsiTheme="minorHAnsi"/>
          <w:i/>
          <w:iCs/>
          <w:sz w:val="22"/>
          <w:szCs w:val="22"/>
        </w:rPr>
        <w:t>A</w:t>
      </w:r>
      <w:r w:rsidR="00DF1636" w:rsidRPr="00DB1F43">
        <w:rPr>
          <w:rFonts w:asciiTheme="minorHAnsi" w:hAnsiTheme="minorHAnsi"/>
          <w:i/>
          <w:iCs/>
          <w:sz w:val="22"/>
          <w:szCs w:val="22"/>
          <w:vertAlign w:val="subscript"/>
        </w:rPr>
        <w:t>ji</w:t>
      </w:r>
      <w:r w:rsidR="00DF1636" w:rsidRPr="00DB1F43">
        <w:rPr>
          <w:rFonts w:asciiTheme="minorHAnsi" w:hAnsiTheme="minorHAnsi"/>
          <w:sz w:val="22"/>
          <w:szCs w:val="22"/>
        </w:rPr>
        <w:t xml:space="preserve">, while a second-order structural path from industry </w:t>
      </w:r>
      <w:r w:rsidR="00DF1636" w:rsidRPr="00DB1F43">
        <w:rPr>
          <w:rFonts w:asciiTheme="minorHAnsi" w:hAnsiTheme="minorHAnsi"/>
          <w:i/>
          <w:iCs/>
          <w:sz w:val="22"/>
          <w:szCs w:val="22"/>
        </w:rPr>
        <w:t>k</w:t>
      </w:r>
      <w:r w:rsidR="00DF1636" w:rsidRPr="00DB1F43">
        <w:rPr>
          <w:rFonts w:asciiTheme="minorHAnsi" w:hAnsiTheme="minorHAnsi"/>
          <w:sz w:val="22"/>
          <w:szCs w:val="22"/>
        </w:rPr>
        <w:t xml:space="preserve"> via industry </w:t>
      </w:r>
      <w:r w:rsidR="00DF1636" w:rsidRPr="00DB1F43">
        <w:rPr>
          <w:rFonts w:asciiTheme="minorHAnsi" w:hAnsiTheme="minorHAnsi"/>
          <w:i/>
          <w:iCs/>
          <w:sz w:val="22"/>
          <w:szCs w:val="22"/>
        </w:rPr>
        <w:t>j</w:t>
      </w:r>
      <w:r w:rsidR="00DF1636" w:rsidRPr="00DB1F43">
        <w:rPr>
          <w:rFonts w:asciiTheme="minorHAnsi" w:hAnsiTheme="minorHAnsi"/>
          <w:sz w:val="22"/>
          <w:szCs w:val="22"/>
        </w:rPr>
        <w:t xml:space="preserve"> into industry </w:t>
      </w:r>
      <w:r w:rsidR="00DF1636" w:rsidRPr="00DB1F43">
        <w:rPr>
          <w:rFonts w:asciiTheme="minorHAnsi" w:hAnsiTheme="minorHAnsi"/>
          <w:i/>
          <w:iCs/>
          <w:sz w:val="22"/>
          <w:szCs w:val="22"/>
        </w:rPr>
        <w:t>i</w:t>
      </w:r>
      <w:r w:rsidR="00DF1636" w:rsidRPr="00DB1F43">
        <w:rPr>
          <w:rFonts w:asciiTheme="minorHAnsi" w:hAnsiTheme="minorHAnsi"/>
          <w:sz w:val="22"/>
          <w:szCs w:val="22"/>
        </w:rPr>
        <w:t xml:space="preserve"> is represented by a product </w:t>
      </w:r>
      <w:r w:rsidR="00DF1636" w:rsidRPr="00DB1F43">
        <w:rPr>
          <w:rFonts w:asciiTheme="minorHAnsi" w:hAnsiTheme="minorHAnsi"/>
          <w:i/>
          <w:iCs/>
          <w:sz w:val="22"/>
          <w:szCs w:val="22"/>
        </w:rPr>
        <w:t>A</w:t>
      </w:r>
      <w:r w:rsidR="00DF1636" w:rsidRPr="00DB1F43">
        <w:rPr>
          <w:rFonts w:asciiTheme="minorHAnsi" w:hAnsiTheme="minorHAnsi"/>
          <w:i/>
          <w:iCs/>
          <w:sz w:val="22"/>
          <w:szCs w:val="22"/>
          <w:vertAlign w:val="subscript"/>
        </w:rPr>
        <w:t>kj</w:t>
      </w:r>
      <w:r w:rsidR="00DF1636" w:rsidRPr="00DB1F43">
        <w:rPr>
          <w:rFonts w:asciiTheme="minorHAnsi" w:hAnsiTheme="minorHAnsi"/>
          <w:i/>
          <w:iCs/>
          <w:sz w:val="22"/>
          <w:szCs w:val="22"/>
        </w:rPr>
        <w:t>A</w:t>
      </w:r>
      <w:r w:rsidR="00DF1636" w:rsidRPr="00DB1F43">
        <w:rPr>
          <w:rFonts w:asciiTheme="minorHAnsi" w:hAnsiTheme="minorHAnsi"/>
          <w:i/>
          <w:iCs/>
          <w:sz w:val="22"/>
          <w:szCs w:val="22"/>
          <w:vertAlign w:val="subscript"/>
        </w:rPr>
        <w:t>ji</w:t>
      </w:r>
      <w:r w:rsidR="00DF1636" w:rsidRPr="00DB1F43">
        <w:rPr>
          <w:rFonts w:asciiTheme="minorHAnsi" w:hAnsiTheme="minorHAnsi"/>
          <w:sz w:val="22"/>
          <w:szCs w:val="22"/>
        </w:rPr>
        <w:t xml:space="preserve">, and so on. There are </w:t>
      </w:r>
      <w:r w:rsidR="00DF1636" w:rsidRPr="00DB1F43">
        <w:rPr>
          <w:rFonts w:asciiTheme="minorHAnsi" w:hAnsiTheme="minorHAnsi"/>
          <w:i/>
          <w:iCs/>
          <w:sz w:val="22"/>
          <w:szCs w:val="22"/>
        </w:rPr>
        <w:t>N</w:t>
      </w:r>
      <w:r w:rsidR="00DF1636" w:rsidRPr="00DB1F43">
        <w:rPr>
          <w:rFonts w:asciiTheme="minorHAnsi" w:hAnsiTheme="minorHAnsi"/>
          <w:sz w:val="22"/>
          <w:szCs w:val="22"/>
        </w:rPr>
        <w:t xml:space="preserve"> structural paths of first order, </w:t>
      </w:r>
      <w:r w:rsidR="00DF1636" w:rsidRPr="00DB1F43">
        <w:rPr>
          <w:rFonts w:asciiTheme="minorHAnsi" w:hAnsiTheme="minorHAnsi"/>
          <w:i/>
          <w:iCs/>
          <w:sz w:val="22"/>
          <w:szCs w:val="22"/>
        </w:rPr>
        <w:t>N</w:t>
      </w:r>
      <w:r w:rsidR="00DF1636" w:rsidRPr="00DB1F43">
        <w:rPr>
          <w:rFonts w:asciiTheme="minorHAnsi" w:hAnsiTheme="minorHAnsi"/>
          <w:sz w:val="22"/>
          <w:szCs w:val="22"/>
          <w:vertAlign w:val="superscript"/>
        </w:rPr>
        <w:t>2</w:t>
      </w:r>
      <w:r w:rsidR="00DF1636" w:rsidRPr="00DB1F43">
        <w:rPr>
          <w:rFonts w:asciiTheme="minorHAnsi" w:hAnsiTheme="minorHAnsi"/>
          <w:sz w:val="22"/>
          <w:szCs w:val="22"/>
        </w:rPr>
        <w:t xml:space="preserve"> paths of second order, and, in general, </w:t>
      </w:r>
      <w:r w:rsidR="00DF1636" w:rsidRPr="00DB1F43">
        <w:rPr>
          <w:rFonts w:asciiTheme="minorHAnsi" w:hAnsiTheme="minorHAnsi"/>
          <w:i/>
          <w:iCs/>
          <w:sz w:val="22"/>
          <w:szCs w:val="22"/>
        </w:rPr>
        <w:t>N</w:t>
      </w:r>
      <w:r w:rsidR="00DF1636" w:rsidRPr="00DB1F43">
        <w:rPr>
          <w:rFonts w:asciiTheme="minorHAnsi" w:hAnsiTheme="minorHAnsi"/>
          <w:i/>
          <w:sz w:val="22"/>
          <w:szCs w:val="22"/>
          <w:vertAlign w:val="superscript"/>
        </w:rPr>
        <w:t>n</w:t>
      </w:r>
      <w:r w:rsidR="00DF1636" w:rsidRPr="00DB1F43">
        <w:rPr>
          <w:rFonts w:asciiTheme="minorHAnsi" w:hAnsiTheme="minorHAnsi"/>
          <w:sz w:val="22"/>
          <w:szCs w:val="22"/>
        </w:rPr>
        <w:t xml:space="preserve"> paths of </w:t>
      </w:r>
      <w:r w:rsidR="00DF1636" w:rsidRPr="00DB1F43">
        <w:rPr>
          <w:rFonts w:asciiTheme="minorHAnsi" w:hAnsiTheme="minorHAnsi"/>
          <w:i/>
          <w:iCs/>
          <w:sz w:val="22"/>
          <w:szCs w:val="22"/>
        </w:rPr>
        <w:t>n</w:t>
      </w:r>
      <w:r w:rsidR="00DF1636" w:rsidRPr="00DB1F43">
        <w:rPr>
          <w:rFonts w:asciiTheme="minorHAnsi" w:hAnsiTheme="minorHAnsi"/>
          <w:sz w:val="22"/>
          <w:szCs w:val="22"/>
          <w:vertAlign w:val="superscript"/>
        </w:rPr>
        <w:t>th</w:t>
      </w:r>
      <w:r w:rsidR="00DF1636" w:rsidRPr="00DB1F43">
        <w:rPr>
          <w:rFonts w:asciiTheme="minorHAnsi" w:hAnsiTheme="minorHAnsi"/>
          <w:sz w:val="22"/>
          <w:szCs w:val="22"/>
        </w:rPr>
        <w:t xml:space="preserve"> order.</w:t>
      </w:r>
    </w:p>
    <w:p w:rsidR="00417CB4" w:rsidRDefault="00417CB4" w:rsidP="005A4FCA"/>
    <w:p w:rsidR="004153DB" w:rsidRPr="00FD77FF" w:rsidRDefault="007238EA" w:rsidP="0097555A">
      <w:pPr>
        <w:pStyle w:val="ListParagraph"/>
        <w:numPr>
          <w:ilvl w:val="0"/>
          <w:numId w:val="1"/>
        </w:numPr>
        <w:rPr>
          <w:b/>
        </w:rPr>
      </w:pPr>
      <w:r>
        <w:rPr>
          <w:b/>
        </w:rPr>
        <w:br w:type="column"/>
      </w:r>
      <w:r w:rsidR="001B512F" w:rsidRPr="00FD77FF">
        <w:rPr>
          <w:b/>
        </w:rPr>
        <w:lastRenderedPageBreak/>
        <w:t>R</w:t>
      </w:r>
      <w:r w:rsidR="00AE294D">
        <w:rPr>
          <w:b/>
        </w:rPr>
        <w:t>esults</w:t>
      </w:r>
    </w:p>
    <w:p w:rsidR="00B54A30" w:rsidRDefault="00B54A30" w:rsidP="00BC5BE7">
      <w:pPr>
        <w:jc w:val="both"/>
      </w:pPr>
    </w:p>
    <w:p w:rsidR="00AE294D" w:rsidRDefault="00AE294D" w:rsidP="00AE294D">
      <w:pPr>
        <w:pStyle w:val="ListParagraph"/>
        <w:numPr>
          <w:ilvl w:val="1"/>
          <w:numId w:val="1"/>
        </w:numPr>
        <w:jc w:val="both"/>
      </w:pPr>
      <w:r>
        <w:t>Overall results for the university</w:t>
      </w:r>
    </w:p>
    <w:p w:rsidR="00AE294D" w:rsidRDefault="007C50CE" w:rsidP="00AE294D">
      <w:pPr>
        <w:jc w:val="both"/>
      </w:pPr>
      <w:r>
        <w:t xml:space="preserve">In the </w:t>
      </w:r>
      <w:r w:rsidR="00BA544C">
        <w:t xml:space="preserve">classical </w:t>
      </w:r>
      <w:r>
        <w:t>demand-pu</w:t>
      </w:r>
      <w:r w:rsidR="005A4FCA">
        <w:t>ll</w:t>
      </w:r>
      <w:r>
        <w:t xml:space="preserve"> exercise, e</w:t>
      </w:r>
      <w:r w:rsidR="00AE294D">
        <w:t xml:space="preserve">ach dollar of revenue </w:t>
      </w:r>
      <w:r>
        <w:t xml:space="preserve">received </w:t>
      </w:r>
      <w:r w:rsidR="00AE294D">
        <w:t xml:space="preserve">from final demand </w:t>
      </w:r>
      <w:r>
        <w:t>initiates</w:t>
      </w:r>
      <w:r w:rsidR="00AE294D">
        <w:t xml:space="preserve"> </w:t>
      </w:r>
      <w:r>
        <w:t xml:space="preserve">intermediate </w:t>
      </w:r>
      <w:r w:rsidR="00AE294D">
        <w:t xml:space="preserve">transactions </w:t>
      </w:r>
      <w:r>
        <w:t xml:space="preserve">within the university and the Australian economy, ultimately resulting </w:t>
      </w:r>
      <w:r w:rsidR="00AE294D">
        <w:t xml:space="preserve">in </w:t>
      </w:r>
      <w:r>
        <w:t xml:space="preserve">payments of </w:t>
      </w:r>
      <w:r w:rsidR="00AE294D">
        <w:t>primary input categories</w:t>
      </w:r>
      <w:r>
        <w:t>, as defined by the Australian Bureau of Statistics (Tab. 1)</w:t>
      </w:r>
      <w:r w:rsidR="00AE294D">
        <w:t xml:space="preserve">. </w:t>
      </w:r>
      <w:r w:rsidR="00EE3A74">
        <w:t xml:space="preserve">Overall, of each dollar of revenue received by the university, 61¢ end up paid as wages and salaries, within the university, or elsewhere in Australia, 14¢ as operating surplus, 4¢ as taxes, 7¢ increase </w:t>
      </w:r>
      <w:r w:rsidR="00C9302F">
        <w:t>reserve</w:t>
      </w:r>
      <w:r w:rsidR="00EE3A74">
        <w:t xml:space="preserve">s, and 11¢ leave the economy for imports. Before rounding, the </w:t>
      </w:r>
      <w:r w:rsidR="00653D39">
        <w:t>total</w:t>
      </w:r>
      <w:r w:rsidR="00EE3A74">
        <w:t xml:space="preserve"> over those </w:t>
      </w:r>
      <w:r w:rsidR="00B9457A">
        <w:t xml:space="preserve">multipliers </w:t>
      </w:r>
      <w:r w:rsidR="00EE3A74">
        <w:t>is 1</w:t>
      </w:r>
      <w:r w:rsidR="00653D39">
        <w:t>00 ¢/</w:t>
      </w:r>
      <w:r w:rsidR="00EE3A74">
        <w:t>$, since every dollar of revenue has to be accounted for somewhere</w:t>
      </w:r>
      <w:r w:rsidR="00B9457A">
        <w:t xml:space="preserve"> as an expenditure</w:t>
      </w:r>
      <w:r w:rsidR="00EE3A74">
        <w:t>.</w:t>
      </w:r>
      <w:r w:rsidR="00EE3A74">
        <w:rPr>
          <w:rStyle w:val="FootnoteReference"/>
        </w:rPr>
        <w:footnoteReference w:id="6"/>
      </w:r>
      <w:r w:rsidR="00EE3A74">
        <w:t xml:space="preserve">  </w:t>
      </w:r>
    </w:p>
    <w:p w:rsidR="00AE294D" w:rsidRDefault="00AE294D" w:rsidP="00AE294D">
      <w:pPr>
        <w:jc w:val="both"/>
      </w:pPr>
    </w:p>
    <w:tbl>
      <w:tblPr>
        <w:tblW w:w="4249" w:type="dxa"/>
        <w:jc w:val="center"/>
        <w:tblInd w:w="93" w:type="dxa"/>
        <w:tblLook w:val="04A0"/>
      </w:tblPr>
      <w:tblGrid>
        <w:gridCol w:w="2491"/>
        <w:gridCol w:w="1758"/>
      </w:tblGrid>
      <w:tr w:rsidR="00AE294D" w:rsidRPr="00AE294D" w:rsidTr="00AE294D">
        <w:trPr>
          <w:trHeight w:val="300"/>
          <w:jc w:val="center"/>
        </w:trPr>
        <w:tc>
          <w:tcPr>
            <w:tcW w:w="2491" w:type="dxa"/>
            <w:tcBorders>
              <w:top w:val="single" w:sz="4" w:space="0" w:color="auto"/>
              <w:left w:val="nil"/>
              <w:bottom w:val="single" w:sz="4" w:space="0" w:color="auto"/>
              <w:right w:val="nil"/>
            </w:tcBorders>
            <w:shd w:val="clear" w:color="auto" w:fill="auto"/>
            <w:noWrap/>
            <w:vAlign w:val="center"/>
            <w:hideMark/>
          </w:tcPr>
          <w:p w:rsidR="00AE294D" w:rsidRPr="00AE294D" w:rsidRDefault="00AE294D" w:rsidP="00AE294D">
            <w:pPr>
              <w:spacing w:after="0" w:line="240" w:lineRule="auto"/>
              <w:rPr>
                <w:rFonts w:eastAsia="Times New Roman" w:cs="Times New Roman"/>
              </w:rPr>
            </w:pPr>
            <w:r>
              <w:rPr>
                <w:rFonts w:eastAsia="Times New Roman" w:cs="Times New Roman"/>
              </w:rPr>
              <w:t>Primary input category</w:t>
            </w:r>
          </w:p>
        </w:tc>
        <w:tc>
          <w:tcPr>
            <w:tcW w:w="1758" w:type="dxa"/>
            <w:tcBorders>
              <w:top w:val="single" w:sz="4" w:space="0" w:color="auto"/>
              <w:left w:val="nil"/>
              <w:bottom w:val="single" w:sz="4" w:space="0" w:color="auto"/>
              <w:right w:val="nil"/>
            </w:tcBorders>
            <w:vAlign w:val="center"/>
          </w:tcPr>
          <w:p w:rsidR="00AE294D" w:rsidRDefault="001F496C" w:rsidP="00AE294D">
            <w:pPr>
              <w:spacing w:after="0" w:line="240" w:lineRule="auto"/>
              <w:jc w:val="center"/>
              <w:rPr>
                <w:rFonts w:eastAsia="Times New Roman" w:cs="Times New Roman"/>
                <w:color w:val="000000"/>
              </w:rPr>
            </w:pPr>
            <w:r>
              <w:rPr>
                <w:rFonts w:eastAsia="Times New Roman" w:cs="Times New Roman"/>
                <w:color w:val="000000"/>
              </w:rPr>
              <w:t>Multiplier (</w:t>
            </w:r>
            <w:r>
              <w:t>¢</w:t>
            </w:r>
            <w:r w:rsidR="00AE294D">
              <w:rPr>
                <w:rFonts w:eastAsia="Times New Roman" w:cs="Times New Roman"/>
                <w:color w:val="000000"/>
              </w:rPr>
              <w:t>/$)</w:t>
            </w:r>
          </w:p>
        </w:tc>
      </w:tr>
      <w:tr w:rsidR="00AE294D" w:rsidRPr="00AE294D" w:rsidTr="00AE294D">
        <w:trPr>
          <w:trHeight w:val="300"/>
          <w:jc w:val="center"/>
        </w:trPr>
        <w:tc>
          <w:tcPr>
            <w:tcW w:w="2491" w:type="dxa"/>
            <w:tcBorders>
              <w:top w:val="single" w:sz="4" w:space="0" w:color="auto"/>
              <w:left w:val="nil"/>
              <w:bottom w:val="nil"/>
              <w:right w:val="nil"/>
            </w:tcBorders>
            <w:shd w:val="clear" w:color="auto" w:fill="auto"/>
            <w:noWrap/>
            <w:vAlign w:val="center"/>
            <w:hideMark/>
          </w:tcPr>
          <w:p w:rsidR="00AE294D" w:rsidRPr="00AE294D" w:rsidRDefault="00AE294D" w:rsidP="00AE294D">
            <w:pPr>
              <w:spacing w:after="0" w:line="240" w:lineRule="auto"/>
              <w:rPr>
                <w:rFonts w:eastAsia="Times New Roman" w:cs="Times New Roman"/>
              </w:rPr>
            </w:pPr>
            <w:r w:rsidRPr="00AE294D">
              <w:rPr>
                <w:rFonts w:eastAsia="Times New Roman" w:cs="Times New Roman"/>
              </w:rPr>
              <w:t>Wages and salaries</w:t>
            </w:r>
          </w:p>
        </w:tc>
        <w:tc>
          <w:tcPr>
            <w:tcW w:w="1758" w:type="dxa"/>
            <w:tcBorders>
              <w:top w:val="single" w:sz="4" w:space="0" w:color="auto"/>
              <w:left w:val="nil"/>
              <w:bottom w:val="nil"/>
              <w:right w:val="nil"/>
            </w:tcBorders>
            <w:vAlign w:val="center"/>
          </w:tcPr>
          <w:p w:rsidR="00AE294D" w:rsidRPr="00AE294D" w:rsidRDefault="00AE294D" w:rsidP="00AE294D">
            <w:pPr>
              <w:spacing w:after="0" w:line="240" w:lineRule="auto"/>
              <w:jc w:val="center"/>
              <w:rPr>
                <w:rFonts w:eastAsia="Times New Roman" w:cs="Times New Roman"/>
                <w:color w:val="000000"/>
              </w:rPr>
            </w:pPr>
            <w:r w:rsidRPr="00AE294D">
              <w:rPr>
                <w:rFonts w:eastAsia="Times New Roman" w:cs="Times New Roman"/>
                <w:color w:val="000000"/>
              </w:rPr>
              <w:t>61</w:t>
            </w:r>
          </w:p>
        </w:tc>
      </w:tr>
      <w:tr w:rsidR="00AE294D" w:rsidRPr="00AE294D" w:rsidTr="00AE294D">
        <w:trPr>
          <w:trHeight w:val="300"/>
          <w:jc w:val="center"/>
        </w:trPr>
        <w:tc>
          <w:tcPr>
            <w:tcW w:w="2491" w:type="dxa"/>
            <w:tcBorders>
              <w:top w:val="nil"/>
              <w:left w:val="nil"/>
              <w:bottom w:val="nil"/>
              <w:right w:val="nil"/>
            </w:tcBorders>
            <w:shd w:val="clear" w:color="auto" w:fill="auto"/>
            <w:noWrap/>
            <w:vAlign w:val="center"/>
            <w:hideMark/>
          </w:tcPr>
          <w:p w:rsidR="00AE294D" w:rsidRPr="00AE294D" w:rsidRDefault="00AE294D" w:rsidP="00AE294D">
            <w:pPr>
              <w:spacing w:after="0" w:line="240" w:lineRule="auto"/>
              <w:rPr>
                <w:rFonts w:eastAsia="Times New Roman" w:cs="Times New Roman"/>
              </w:rPr>
            </w:pPr>
            <w:r w:rsidRPr="00AE294D">
              <w:rPr>
                <w:rFonts w:eastAsia="Times New Roman" w:cs="Times New Roman"/>
              </w:rPr>
              <w:t>Gross operating surplus</w:t>
            </w:r>
          </w:p>
        </w:tc>
        <w:tc>
          <w:tcPr>
            <w:tcW w:w="1758" w:type="dxa"/>
            <w:tcBorders>
              <w:top w:val="nil"/>
              <w:left w:val="nil"/>
              <w:bottom w:val="nil"/>
              <w:right w:val="nil"/>
            </w:tcBorders>
            <w:vAlign w:val="center"/>
          </w:tcPr>
          <w:p w:rsidR="00AE294D" w:rsidRPr="00AE294D" w:rsidRDefault="00AE294D" w:rsidP="00AE294D">
            <w:pPr>
              <w:spacing w:after="0" w:line="240" w:lineRule="auto"/>
              <w:jc w:val="center"/>
              <w:rPr>
                <w:rFonts w:eastAsia="Times New Roman" w:cs="Times New Roman"/>
                <w:color w:val="000000"/>
              </w:rPr>
            </w:pPr>
            <w:r w:rsidRPr="00AE294D">
              <w:rPr>
                <w:rFonts w:eastAsia="Times New Roman" w:cs="Times New Roman"/>
                <w:color w:val="000000"/>
              </w:rPr>
              <w:t>14</w:t>
            </w:r>
          </w:p>
        </w:tc>
      </w:tr>
      <w:tr w:rsidR="00AE294D" w:rsidRPr="00AE294D" w:rsidTr="00AE294D">
        <w:trPr>
          <w:trHeight w:val="300"/>
          <w:jc w:val="center"/>
        </w:trPr>
        <w:tc>
          <w:tcPr>
            <w:tcW w:w="2491" w:type="dxa"/>
            <w:tcBorders>
              <w:top w:val="nil"/>
              <w:left w:val="nil"/>
              <w:bottom w:val="nil"/>
              <w:right w:val="nil"/>
            </w:tcBorders>
            <w:shd w:val="clear" w:color="auto" w:fill="auto"/>
            <w:noWrap/>
            <w:vAlign w:val="center"/>
            <w:hideMark/>
          </w:tcPr>
          <w:p w:rsidR="00AE294D" w:rsidRPr="00AE294D" w:rsidRDefault="00AE294D" w:rsidP="00072AD4">
            <w:pPr>
              <w:spacing w:after="0" w:line="240" w:lineRule="auto"/>
              <w:rPr>
                <w:rFonts w:eastAsia="Times New Roman" w:cs="Times New Roman"/>
              </w:rPr>
            </w:pPr>
            <w:r w:rsidRPr="00AE294D">
              <w:rPr>
                <w:rFonts w:eastAsia="Times New Roman" w:cs="Times New Roman"/>
              </w:rPr>
              <w:t xml:space="preserve">Taxes </w:t>
            </w:r>
          </w:p>
        </w:tc>
        <w:tc>
          <w:tcPr>
            <w:tcW w:w="1758" w:type="dxa"/>
            <w:tcBorders>
              <w:top w:val="nil"/>
              <w:left w:val="nil"/>
              <w:bottom w:val="nil"/>
              <w:right w:val="nil"/>
            </w:tcBorders>
            <w:vAlign w:val="center"/>
          </w:tcPr>
          <w:p w:rsidR="00AE294D" w:rsidRPr="00AE294D" w:rsidRDefault="00072AD4" w:rsidP="00AE294D">
            <w:pPr>
              <w:spacing w:after="0" w:line="240" w:lineRule="auto"/>
              <w:jc w:val="center"/>
              <w:rPr>
                <w:rFonts w:eastAsia="Times New Roman" w:cs="Times New Roman"/>
                <w:color w:val="000000"/>
              </w:rPr>
            </w:pPr>
            <w:r>
              <w:rPr>
                <w:rFonts w:eastAsia="Times New Roman" w:cs="Times New Roman"/>
                <w:color w:val="000000"/>
              </w:rPr>
              <w:t>4</w:t>
            </w:r>
          </w:p>
        </w:tc>
      </w:tr>
      <w:tr w:rsidR="00AE294D" w:rsidRPr="00AE294D" w:rsidTr="00AE294D">
        <w:trPr>
          <w:trHeight w:val="300"/>
          <w:jc w:val="center"/>
        </w:trPr>
        <w:tc>
          <w:tcPr>
            <w:tcW w:w="2491" w:type="dxa"/>
            <w:tcBorders>
              <w:top w:val="nil"/>
              <w:left w:val="nil"/>
              <w:right w:val="nil"/>
            </w:tcBorders>
            <w:shd w:val="clear" w:color="auto" w:fill="auto"/>
            <w:noWrap/>
            <w:vAlign w:val="center"/>
            <w:hideMark/>
          </w:tcPr>
          <w:p w:rsidR="00AE294D" w:rsidRPr="00AE294D" w:rsidRDefault="00AE294D" w:rsidP="00AE294D">
            <w:pPr>
              <w:spacing w:after="0" w:line="240" w:lineRule="auto"/>
              <w:rPr>
                <w:rFonts w:eastAsia="Times New Roman" w:cs="Times New Roman"/>
              </w:rPr>
            </w:pPr>
            <w:r>
              <w:rPr>
                <w:rFonts w:eastAsia="Times New Roman" w:cs="Times New Roman"/>
              </w:rPr>
              <w:t>In</w:t>
            </w:r>
            <w:r w:rsidRPr="00AE294D">
              <w:rPr>
                <w:rFonts w:eastAsia="Times New Roman" w:cs="Times New Roman"/>
              </w:rPr>
              <w:t>creases in inventories</w:t>
            </w:r>
          </w:p>
        </w:tc>
        <w:tc>
          <w:tcPr>
            <w:tcW w:w="1758" w:type="dxa"/>
            <w:tcBorders>
              <w:top w:val="nil"/>
              <w:left w:val="nil"/>
              <w:right w:val="nil"/>
            </w:tcBorders>
            <w:vAlign w:val="center"/>
          </w:tcPr>
          <w:p w:rsidR="00AE294D" w:rsidRPr="00AE294D" w:rsidRDefault="00AE294D" w:rsidP="00AE294D">
            <w:pPr>
              <w:spacing w:after="0" w:line="240" w:lineRule="auto"/>
              <w:jc w:val="center"/>
              <w:rPr>
                <w:rFonts w:eastAsia="Times New Roman" w:cs="Times New Roman"/>
                <w:color w:val="000000"/>
              </w:rPr>
            </w:pPr>
            <w:r w:rsidRPr="00AE294D">
              <w:rPr>
                <w:rFonts w:eastAsia="Times New Roman" w:cs="Times New Roman"/>
                <w:color w:val="000000"/>
              </w:rPr>
              <w:t>7</w:t>
            </w:r>
          </w:p>
        </w:tc>
      </w:tr>
      <w:tr w:rsidR="00AE294D" w:rsidRPr="00AE294D" w:rsidTr="00AE294D">
        <w:trPr>
          <w:trHeight w:val="300"/>
          <w:jc w:val="center"/>
        </w:trPr>
        <w:tc>
          <w:tcPr>
            <w:tcW w:w="2491" w:type="dxa"/>
            <w:tcBorders>
              <w:top w:val="nil"/>
              <w:left w:val="nil"/>
              <w:bottom w:val="single" w:sz="4" w:space="0" w:color="auto"/>
              <w:right w:val="nil"/>
            </w:tcBorders>
            <w:shd w:val="clear" w:color="auto" w:fill="auto"/>
            <w:noWrap/>
            <w:vAlign w:val="center"/>
            <w:hideMark/>
          </w:tcPr>
          <w:p w:rsidR="00AE294D" w:rsidRPr="00AE294D" w:rsidRDefault="00AE294D" w:rsidP="00AE294D">
            <w:pPr>
              <w:spacing w:after="0" w:line="240" w:lineRule="auto"/>
              <w:rPr>
                <w:rFonts w:eastAsia="Times New Roman" w:cs="Times New Roman"/>
              </w:rPr>
            </w:pPr>
            <w:r w:rsidRPr="00AE294D">
              <w:rPr>
                <w:rFonts w:eastAsia="Times New Roman" w:cs="Times New Roman"/>
              </w:rPr>
              <w:t>Imports</w:t>
            </w:r>
          </w:p>
        </w:tc>
        <w:tc>
          <w:tcPr>
            <w:tcW w:w="1758" w:type="dxa"/>
            <w:tcBorders>
              <w:top w:val="nil"/>
              <w:left w:val="nil"/>
              <w:bottom w:val="single" w:sz="4" w:space="0" w:color="auto"/>
              <w:right w:val="nil"/>
            </w:tcBorders>
            <w:vAlign w:val="center"/>
          </w:tcPr>
          <w:p w:rsidR="00AE294D" w:rsidRPr="00AE294D" w:rsidRDefault="00AE294D" w:rsidP="00AE294D">
            <w:pPr>
              <w:spacing w:after="0" w:line="240" w:lineRule="auto"/>
              <w:jc w:val="center"/>
              <w:rPr>
                <w:rFonts w:eastAsia="Times New Roman" w:cs="Times New Roman"/>
                <w:color w:val="000000"/>
              </w:rPr>
            </w:pPr>
            <w:r w:rsidRPr="00AE294D">
              <w:rPr>
                <w:rFonts w:eastAsia="Times New Roman" w:cs="Times New Roman"/>
                <w:color w:val="000000"/>
              </w:rPr>
              <w:t>11</w:t>
            </w:r>
          </w:p>
        </w:tc>
      </w:tr>
    </w:tbl>
    <w:p w:rsidR="00AE294D" w:rsidRDefault="00AE294D" w:rsidP="00AE294D">
      <w:pPr>
        <w:ind w:left="360"/>
        <w:jc w:val="both"/>
      </w:pPr>
    </w:p>
    <w:p w:rsidR="00AE294D" w:rsidRDefault="00AE294D" w:rsidP="00AE294D">
      <w:pPr>
        <w:ind w:left="360"/>
        <w:jc w:val="center"/>
      </w:pPr>
      <w:r>
        <w:t>Tab. 1: Primary input multipliers for the University of Sydney</w:t>
      </w:r>
      <w:r w:rsidR="005A4FCA">
        <w:t>, calculated using the Leontief inverse of the classical system in Fig. 2</w:t>
      </w:r>
      <w:r>
        <w:t>.</w:t>
      </w:r>
      <w:r w:rsidR="00187571">
        <w:t xml:space="preserve"> The </w:t>
      </w:r>
      <w:r w:rsidR="00653D39">
        <w:t>total</w:t>
      </w:r>
      <w:r w:rsidR="00187571">
        <w:t xml:space="preserve"> does not equal 100 ¢</w:t>
      </w:r>
      <w:r w:rsidR="00187571">
        <w:rPr>
          <w:rFonts w:eastAsia="Times New Roman" w:cs="Times New Roman"/>
          <w:color w:val="000000"/>
        </w:rPr>
        <w:t xml:space="preserve">/$ </w:t>
      </w:r>
      <w:r w:rsidR="00187571">
        <w:t>due to rounding.</w:t>
      </w:r>
    </w:p>
    <w:p w:rsidR="00AE294D" w:rsidRDefault="00AE294D" w:rsidP="00AE294D">
      <w:pPr>
        <w:ind w:left="360"/>
        <w:jc w:val="both"/>
      </w:pPr>
    </w:p>
    <w:p w:rsidR="005A4FCA" w:rsidRDefault="006C19EE" w:rsidP="005A4FCA">
      <w:pPr>
        <w:jc w:val="both"/>
      </w:pPr>
      <w:r>
        <w:t>From a</w:t>
      </w:r>
      <w:r w:rsidR="005A4FCA">
        <w:t xml:space="preserve"> supply-push </w:t>
      </w:r>
      <w:r>
        <w:t>perspective,</w:t>
      </w:r>
      <w:r w:rsidR="005A4FCA">
        <w:t xml:space="preserve"> </w:t>
      </w:r>
      <w:r w:rsidR="005A4FCA" w:rsidRPr="005A4FCA">
        <w:rPr>
          <w:i/>
        </w:rPr>
        <w:t>ex post</w:t>
      </w:r>
      <w:r w:rsidR="005A4FCA">
        <w:t xml:space="preserve">, each dollar of primary inputs was paid because of intermediate demand from within the university and the Australian economy, but ultimately because of final demand from categories defined by the Australian Bureau of Statistics (Tab. 2). Overall, each dollar of primary inputs </w:t>
      </w:r>
      <w:r w:rsidR="00B9457A">
        <w:t>spent</w:t>
      </w:r>
      <w:r w:rsidR="005A4FCA">
        <w:t xml:space="preserve"> by the university</w:t>
      </w:r>
      <w:r w:rsidR="00B9457A">
        <w:t xml:space="preserve"> as a result of its activities</w:t>
      </w:r>
      <w:r w:rsidR="005A4FCA">
        <w:t xml:space="preserve">, </w:t>
      </w:r>
      <w:r w:rsidR="00B9457A">
        <w:t>was met by 46</w:t>
      </w:r>
      <w:r w:rsidR="005A4FCA">
        <w:t xml:space="preserve">¢ </w:t>
      </w:r>
      <w:r w:rsidR="00B9457A">
        <w:t xml:space="preserve">of </w:t>
      </w:r>
      <w:r w:rsidR="007232EB">
        <w:t>dividends</w:t>
      </w:r>
      <w:r w:rsidR="00B9457A">
        <w:t xml:space="preserve"> from</w:t>
      </w:r>
      <w:r w:rsidR="007232EB">
        <w:t>, and sales of</w:t>
      </w:r>
      <w:r w:rsidR="00B9457A">
        <w:t xml:space="preserve"> capital assets</w:t>
      </w:r>
      <w:r w:rsidR="000E7EF7">
        <w:t xml:space="preserve"> within the university and the Australian economy</w:t>
      </w:r>
      <w:r w:rsidR="005A4FCA">
        <w:t xml:space="preserve">, </w:t>
      </w:r>
      <w:r w:rsidR="00B9457A">
        <w:t>by 29</w:t>
      </w:r>
      <w:r w:rsidR="005A4FCA">
        <w:t xml:space="preserve">¢ </w:t>
      </w:r>
      <w:r w:rsidR="00B9457A">
        <w:t xml:space="preserve">of government </w:t>
      </w:r>
      <w:r w:rsidR="00992480">
        <w:t xml:space="preserve">final </w:t>
      </w:r>
      <w:r w:rsidR="000E7EF7">
        <w:t>consumption (</w:t>
      </w:r>
      <w:r w:rsidR="00B9457A">
        <w:t>grants</w:t>
      </w:r>
      <w:r w:rsidR="000E7EF7">
        <w:t xml:space="preserve"> in the case of the university)</w:t>
      </w:r>
      <w:r w:rsidR="005A4FCA">
        <w:t xml:space="preserve">, </w:t>
      </w:r>
      <w:r w:rsidR="00B9457A">
        <w:t>by 12</w:t>
      </w:r>
      <w:r w:rsidR="005A4FCA">
        <w:t xml:space="preserve">¢ </w:t>
      </w:r>
      <w:r w:rsidR="00B9457A">
        <w:t xml:space="preserve">of </w:t>
      </w:r>
      <w:r w:rsidR="00992480">
        <w:t>private final</w:t>
      </w:r>
      <w:r w:rsidR="000E7EF7">
        <w:t xml:space="preserve"> consumption (</w:t>
      </w:r>
      <w:r w:rsidR="00B9457A">
        <w:t>domestic student contributions and private donations</w:t>
      </w:r>
      <w:r w:rsidR="000E7EF7">
        <w:t xml:space="preserve"> in the case of the university)</w:t>
      </w:r>
      <w:r w:rsidR="005A4FCA">
        <w:t xml:space="preserve">, </w:t>
      </w:r>
      <w:r w:rsidR="00B9457A">
        <w:t>by drawing 6</w:t>
      </w:r>
      <w:r w:rsidR="005A4FCA">
        <w:t xml:space="preserve">¢ </w:t>
      </w:r>
      <w:r w:rsidR="00B9457A">
        <w:t xml:space="preserve">from existing </w:t>
      </w:r>
      <w:r w:rsidR="00C9302F">
        <w:t>reserve</w:t>
      </w:r>
      <w:r w:rsidR="00B9457A">
        <w:t>s</w:t>
      </w:r>
      <w:r w:rsidR="005A4FCA">
        <w:t xml:space="preserve">, and </w:t>
      </w:r>
      <w:r w:rsidR="00B9457A">
        <w:t>by earning 8</w:t>
      </w:r>
      <w:r w:rsidR="005A4FCA">
        <w:t xml:space="preserve">¢ </w:t>
      </w:r>
      <w:r w:rsidR="00B9457A">
        <w:t xml:space="preserve">in </w:t>
      </w:r>
      <w:r w:rsidR="000E7EF7">
        <w:t>exports (</w:t>
      </w:r>
      <w:r w:rsidR="00B9457A">
        <w:t>overseas students</w:t>
      </w:r>
      <w:r w:rsidR="005A4FCA">
        <w:t xml:space="preserve"> </w:t>
      </w:r>
      <w:r w:rsidR="00B9457A">
        <w:t>fees</w:t>
      </w:r>
      <w:r w:rsidR="000E7EF7">
        <w:t xml:space="preserve"> in the case of the university)</w:t>
      </w:r>
      <w:r w:rsidR="00B9457A">
        <w:t>. Bef</w:t>
      </w:r>
      <w:r w:rsidR="005A4FCA">
        <w:t xml:space="preserve">ore rounding, the sum over those </w:t>
      </w:r>
      <w:r w:rsidR="00B9457A">
        <w:t xml:space="preserve">multipliers </w:t>
      </w:r>
      <w:r w:rsidR="005A4FCA">
        <w:t>is 1</w:t>
      </w:r>
      <w:r w:rsidR="00653D39">
        <w:t>00 ¢/</w:t>
      </w:r>
      <w:r w:rsidR="005A4FCA">
        <w:t xml:space="preserve">$, since every dollar of </w:t>
      </w:r>
      <w:r w:rsidR="00B9457A">
        <w:t>expenditure on primary inputs</w:t>
      </w:r>
      <w:r w:rsidR="005A4FCA">
        <w:t xml:space="preserve"> has to be </w:t>
      </w:r>
      <w:r w:rsidR="00B9457A">
        <w:t>met in revenue</w:t>
      </w:r>
      <w:r w:rsidR="005A4FCA">
        <w:t xml:space="preserve"> somewhere.</w:t>
      </w:r>
      <w:r w:rsidR="005A4FCA">
        <w:rPr>
          <w:rStyle w:val="FootnoteReference"/>
        </w:rPr>
        <w:footnoteReference w:id="7"/>
      </w:r>
      <w:r w:rsidR="005A4FCA">
        <w:t xml:space="preserve">  </w:t>
      </w:r>
    </w:p>
    <w:p w:rsidR="005A4FCA" w:rsidRDefault="005A4FCA" w:rsidP="005A4FCA">
      <w:pPr>
        <w:jc w:val="both"/>
      </w:pPr>
    </w:p>
    <w:tbl>
      <w:tblPr>
        <w:tblW w:w="4866" w:type="dxa"/>
        <w:jc w:val="center"/>
        <w:tblInd w:w="93" w:type="dxa"/>
        <w:tblLook w:val="04A0"/>
      </w:tblPr>
      <w:tblGrid>
        <w:gridCol w:w="3247"/>
        <w:gridCol w:w="1619"/>
      </w:tblGrid>
      <w:tr w:rsidR="005A4FCA" w:rsidRPr="005A4FCA" w:rsidTr="005A4FCA">
        <w:trPr>
          <w:trHeight w:val="300"/>
          <w:jc w:val="center"/>
        </w:trPr>
        <w:tc>
          <w:tcPr>
            <w:tcW w:w="3247" w:type="dxa"/>
            <w:tcBorders>
              <w:top w:val="single" w:sz="4" w:space="0" w:color="auto"/>
              <w:left w:val="nil"/>
              <w:bottom w:val="single" w:sz="4" w:space="0" w:color="auto"/>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Pr>
                <w:rFonts w:ascii="Calibri" w:eastAsia="Times New Roman" w:hAnsi="Calibri" w:cs="Times New Roman"/>
                <w:color w:val="000000"/>
              </w:rPr>
              <w:t>Final demand category</w:t>
            </w:r>
          </w:p>
        </w:tc>
        <w:tc>
          <w:tcPr>
            <w:tcW w:w="1619" w:type="dxa"/>
            <w:tcBorders>
              <w:top w:val="single" w:sz="4" w:space="0" w:color="auto"/>
              <w:left w:val="nil"/>
              <w:bottom w:val="single" w:sz="4" w:space="0" w:color="auto"/>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Pr>
                <w:rFonts w:ascii="Calibri" w:eastAsia="Times New Roman" w:hAnsi="Calibri" w:cs="Times New Roman"/>
                <w:color w:val="000000"/>
              </w:rPr>
              <w:t>Multiplier (</w:t>
            </w:r>
            <w:r w:rsidR="001F496C">
              <w:t>¢</w:t>
            </w:r>
            <w:r>
              <w:rPr>
                <w:rFonts w:ascii="Calibri" w:eastAsia="Times New Roman" w:hAnsi="Calibri" w:cs="Times New Roman"/>
                <w:color w:val="000000"/>
              </w:rPr>
              <w:t>/$)</w:t>
            </w:r>
          </w:p>
        </w:tc>
      </w:tr>
      <w:tr w:rsidR="005A4FCA" w:rsidRPr="005A4FCA" w:rsidTr="005A4FCA">
        <w:trPr>
          <w:trHeight w:val="300"/>
          <w:jc w:val="center"/>
        </w:trPr>
        <w:tc>
          <w:tcPr>
            <w:tcW w:w="3247" w:type="dxa"/>
            <w:tcBorders>
              <w:top w:val="single" w:sz="4" w:space="0" w:color="auto"/>
              <w:left w:val="nil"/>
              <w:bottom w:val="nil"/>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sidRPr="005A4FCA">
              <w:rPr>
                <w:rFonts w:ascii="Calibri" w:eastAsia="Times New Roman" w:hAnsi="Calibri" w:cs="Times New Roman"/>
                <w:color w:val="000000"/>
              </w:rPr>
              <w:t>Private final consumption</w:t>
            </w:r>
          </w:p>
        </w:tc>
        <w:tc>
          <w:tcPr>
            <w:tcW w:w="1619" w:type="dxa"/>
            <w:tcBorders>
              <w:top w:val="single" w:sz="4" w:space="0" w:color="auto"/>
              <w:left w:val="nil"/>
              <w:bottom w:val="nil"/>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12</w:t>
            </w:r>
            <w:r w:rsidRPr="005A4FCA">
              <w:rPr>
                <w:rFonts w:ascii="Calibri" w:eastAsia="Times New Roman" w:hAnsi="Calibri" w:cs="Times New Roman"/>
                <w:color w:val="000000"/>
              </w:rPr>
              <w:t xml:space="preserve"> </w:t>
            </w:r>
          </w:p>
        </w:tc>
      </w:tr>
      <w:tr w:rsidR="005A4FCA" w:rsidRPr="005A4FCA" w:rsidTr="005A4FCA">
        <w:trPr>
          <w:trHeight w:val="300"/>
          <w:jc w:val="center"/>
        </w:trPr>
        <w:tc>
          <w:tcPr>
            <w:tcW w:w="3247" w:type="dxa"/>
            <w:tcBorders>
              <w:top w:val="nil"/>
              <w:left w:val="nil"/>
              <w:bottom w:val="nil"/>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sidRPr="005A4FCA">
              <w:rPr>
                <w:rFonts w:ascii="Calibri" w:eastAsia="Times New Roman" w:hAnsi="Calibri" w:cs="Times New Roman"/>
                <w:color w:val="000000"/>
              </w:rPr>
              <w:t>Government final consumption</w:t>
            </w:r>
          </w:p>
        </w:tc>
        <w:tc>
          <w:tcPr>
            <w:tcW w:w="1619" w:type="dxa"/>
            <w:tcBorders>
              <w:top w:val="nil"/>
              <w:left w:val="nil"/>
              <w:bottom w:val="nil"/>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29</w:t>
            </w:r>
            <w:r w:rsidRPr="005A4FCA">
              <w:rPr>
                <w:rFonts w:ascii="Calibri" w:eastAsia="Times New Roman" w:hAnsi="Calibri" w:cs="Times New Roman"/>
                <w:color w:val="000000"/>
              </w:rPr>
              <w:t xml:space="preserve"> </w:t>
            </w:r>
          </w:p>
        </w:tc>
      </w:tr>
      <w:tr w:rsidR="005A4FCA" w:rsidRPr="005A4FCA" w:rsidTr="005A4FCA">
        <w:trPr>
          <w:trHeight w:val="300"/>
          <w:jc w:val="center"/>
        </w:trPr>
        <w:tc>
          <w:tcPr>
            <w:tcW w:w="3247" w:type="dxa"/>
            <w:tcBorders>
              <w:top w:val="nil"/>
              <w:left w:val="nil"/>
              <w:bottom w:val="nil"/>
              <w:right w:val="nil"/>
            </w:tcBorders>
            <w:shd w:val="clear" w:color="auto" w:fill="auto"/>
            <w:noWrap/>
            <w:vAlign w:val="bottom"/>
            <w:hideMark/>
          </w:tcPr>
          <w:p w:rsidR="005A4FCA" w:rsidRPr="005A4FCA" w:rsidRDefault="005A4FCA" w:rsidP="007232EB">
            <w:pPr>
              <w:spacing w:after="0" w:line="240" w:lineRule="auto"/>
              <w:rPr>
                <w:rFonts w:ascii="Calibri" w:eastAsia="Times New Roman" w:hAnsi="Calibri" w:cs="Times New Roman"/>
                <w:color w:val="000000"/>
              </w:rPr>
            </w:pPr>
            <w:r w:rsidRPr="005A4FCA">
              <w:rPr>
                <w:rFonts w:ascii="Calibri" w:eastAsia="Times New Roman" w:hAnsi="Calibri" w:cs="Times New Roman"/>
                <w:color w:val="000000"/>
              </w:rPr>
              <w:t>Gross fixed capital</w:t>
            </w:r>
          </w:p>
        </w:tc>
        <w:tc>
          <w:tcPr>
            <w:tcW w:w="1619" w:type="dxa"/>
            <w:tcBorders>
              <w:top w:val="nil"/>
              <w:left w:val="nil"/>
              <w:bottom w:val="nil"/>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46</w:t>
            </w:r>
            <w:r w:rsidRPr="005A4FCA">
              <w:rPr>
                <w:rFonts w:ascii="Calibri" w:eastAsia="Times New Roman" w:hAnsi="Calibri" w:cs="Times New Roman"/>
                <w:color w:val="000000"/>
              </w:rPr>
              <w:t xml:space="preserve"> </w:t>
            </w:r>
          </w:p>
        </w:tc>
      </w:tr>
      <w:tr w:rsidR="005A4FCA" w:rsidRPr="005A4FCA" w:rsidTr="005A4FCA">
        <w:trPr>
          <w:trHeight w:val="300"/>
          <w:jc w:val="center"/>
        </w:trPr>
        <w:tc>
          <w:tcPr>
            <w:tcW w:w="3247" w:type="dxa"/>
            <w:tcBorders>
              <w:top w:val="nil"/>
              <w:left w:val="nil"/>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Pr>
                <w:rFonts w:ascii="Calibri" w:eastAsia="Times New Roman" w:hAnsi="Calibri" w:cs="Times New Roman"/>
                <w:color w:val="000000"/>
              </w:rPr>
              <w:t>De</w:t>
            </w:r>
            <w:r w:rsidRPr="005A4FCA">
              <w:rPr>
                <w:rFonts w:ascii="Calibri" w:eastAsia="Times New Roman" w:hAnsi="Calibri" w:cs="Times New Roman"/>
                <w:color w:val="000000"/>
              </w:rPr>
              <w:t>creases in inventories</w:t>
            </w:r>
          </w:p>
        </w:tc>
        <w:tc>
          <w:tcPr>
            <w:tcW w:w="1619" w:type="dxa"/>
            <w:tcBorders>
              <w:top w:val="nil"/>
              <w:left w:val="nil"/>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6</w:t>
            </w:r>
            <w:r w:rsidRPr="005A4FCA">
              <w:rPr>
                <w:rFonts w:ascii="Calibri" w:eastAsia="Times New Roman" w:hAnsi="Calibri" w:cs="Times New Roman"/>
                <w:color w:val="000000"/>
              </w:rPr>
              <w:t xml:space="preserve"> </w:t>
            </w:r>
          </w:p>
        </w:tc>
      </w:tr>
      <w:tr w:rsidR="005A4FCA" w:rsidRPr="005A4FCA" w:rsidTr="005A4FCA">
        <w:trPr>
          <w:trHeight w:val="300"/>
          <w:jc w:val="center"/>
        </w:trPr>
        <w:tc>
          <w:tcPr>
            <w:tcW w:w="3247" w:type="dxa"/>
            <w:tcBorders>
              <w:top w:val="nil"/>
              <w:left w:val="nil"/>
              <w:bottom w:val="single" w:sz="4" w:space="0" w:color="auto"/>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sidRPr="005A4FCA">
              <w:rPr>
                <w:rFonts w:ascii="Calibri" w:eastAsia="Times New Roman" w:hAnsi="Calibri" w:cs="Times New Roman"/>
                <w:color w:val="000000"/>
              </w:rPr>
              <w:t>Exports</w:t>
            </w:r>
          </w:p>
        </w:tc>
        <w:tc>
          <w:tcPr>
            <w:tcW w:w="1619" w:type="dxa"/>
            <w:tcBorders>
              <w:top w:val="nil"/>
              <w:left w:val="nil"/>
              <w:bottom w:val="single" w:sz="4" w:space="0" w:color="auto"/>
              <w:right w:val="nil"/>
            </w:tcBorders>
            <w:shd w:val="clear" w:color="auto" w:fill="auto"/>
            <w:noWrap/>
            <w:vAlign w:val="bottom"/>
            <w:hideMark/>
          </w:tcPr>
          <w:p w:rsidR="005A4FCA" w:rsidRPr="005A4FCA" w:rsidRDefault="005A4FCA" w:rsidP="005A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8</w:t>
            </w:r>
            <w:r w:rsidRPr="005A4FCA">
              <w:rPr>
                <w:rFonts w:ascii="Calibri" w:eastAsia="Times New Roman" w:hAnsi="Calibri" w:cs="Times New Roman"/>
                <w:color w:val="000000"/>
              </w:rPr>
              <w:t xml:space="preserve"> </w:t>
            </w:r>
          </w:p>
        </w:tc>
      </w:tr>
    </w:tbl>
    <w:p w:rsidR="005A4FCA" w:rsidRDefault="005A4FCA" w:rsidP="005A4FCA">
      <w:pPr>
        <w:jc w:val="both"/>
      </w:pPr>
    </w:p>
    <w:p w:rsidR="005A4FCA" w:rsidRDefault="005A4FCA" w:rsidP="005A4FCA">
      <w:pPr>
        <w:jc w:val="center"/>
      </w:pPr>
      <w:r>
        <w:t>Tab. 2: Final demand multipliers for the University of Sydney, calculated using the Ghosh inverse of the classical system in Fig. 2.</w:t>
      </w:r>
      <w:r w:rsidR="00187571">
        <w:t xml:space="preserve"> The </w:t>
      </w:r>
      <w:r w:rsidR="00653D39">
        <w:t>total</w:t>
      </w:r>
      <w:r w:rsidR="00187571">
        <w:t xml:space="preserve"> does not equal 100 ¢</w:t>
      </w:r>
      <w:r w:rsidR="00187571">
        <w:rPr>
          <w:rFonts w:eastAsia="Times New Roman" w:cs="Times New Roman"/>
          <w:color w:val="000000"/>
        </w:rPr>
        <w:t xml:space="preserve">/$ </w:t>
      </w:r>
      <w:r w:rsidR="00187571">
        <w:t>due to rounding.</w:t>
      </w:r>
    </w:p>
    <w:p w:rsidR="005A4FCA" w:rsidRDefault="005A4FCA" w:rsidP="000E7EF7">
      <w:pPr>
        <w:jc w:val="both"/>
      </w:pPr>
    </w:p>
    <w:p w:rsidR="000E7EF7" w:rsidRDefault="000E7EF7" w:rsidP="000E7EF7">
      <w:pPr>
        <w:jc w:val="both"/>
      </w:pPr>
      <w:r>
        <w:t>How these multiplier effects split between the university and the</w:t>
      </w:r>
      <w:r w:rsidR="001E78DD">
        <w:t xml:space="preserve"> economy</w:t>
      </w:r>
      <w:r>
        <w:t xml:space="preserve"> will be shown in the following Section on scenarios.</w:t>
      </w:r>
      <w:r w:rsidR="001E78DD">
        <w:t xml:space="preserve"> Also, we will use “revenue” instead of the ABS term “final consumption” so it is clearer that these categories represent revenue to the university.</w:t>
      </w:r>
      <w:r w:rsidR="00C9302F">
        <w:t xml:space="preserve"> Finally, the terms “inventories”, “assets” and “reserves” are used synonymously.</w:t>
      </w:r>
    </w:p>
    <w:p w:rsidR="000E7EF7" w:rsidRDefault="000E7EF7" w:rsidP="000E7EF7">
      <w:pPr>
        <w:jc w:val="both"/>
      </w:pPr>
    </w:p>
    <w:p w:rsidR="00AE294D" w:rsidRDefault="000E7EF7" w:rsidP="00BC5BE7">
      <w:pPr>
        <w:pStyle w:val="ListParagraph"/>
        <w:numPr>
          <w:ilvl w:val="1"/>
          <w:numId w:val="1"/>
        </w:numPr>
        <w:jc w:val="both"/>
      </w:pPr>
      <w:r>
        <w:t>Scenario</w:t>
      </w:r>
      <w:r w:rsidR="00AE294D">
        <w:t>s</w:t>
      </w:r>
    </w:p>
    <w:p w:rsidR="004153DB" w:rsidRDefault="00BC5BE7" w:rsidP="00BC5BE7">
      <w:pPr>
        <w:jc w:val="both"/>
      </w:pPr>
      <w:r>
        <w:t>We examine four</w:t>
      </w:r>
      <w:r w:rsidR="003029EF">
        <w:t xml:space="preserve"> case studies</w:t>
      </w:r>
      <w:r>
        <w:t xml:space="preserve"> – two demand-pull and two supply-push scenarios – comparing the teaching and research functions of the University of Sydney. We investigate</w:t>
      </w:r>
    </w:p>
    <w:p w:rsidR="00BC5BE7" w:rsidRDefault="00BC5BE7" w:rsidP="00BC5BE7">
      <w:pPr>
        <w:pStyle w:val="ListParagraph"/>
        <w:numPr>
          <w:ilvl w:val="0"/>
          <w:numId w:val="2"/>
        </w:numPr>
        <w:jc w:val="both"/>
      </w:pPr>
      <w:r>
        <w:t xml:space="preserve">the effects of a </w:t>
      </w:r>
      <w:r w:rsidR="001342D2">
        <w:t>5% increase in research demand</w:t>
      </w:r>
      <w:r>
        <w:t xml:space="preserve"> (</w:t>
      </w:r>
      <w:r w:rsidR="00A74C65">
        <w:t xml:space="preserve">through </w:t>
      </w:r>
      <w:r>
        <w:t>government and industry grants) in terms of additional salaries and operating inputs required</w:t>
      </w:r>
      <w:r w:rsidR="006C00EA">
        <w:t xml:space="preserve"> to meet the demand increase</w:t>
      </w:r>
      <w:r>
        <w:t xml:space="preserve">, </w:t>
      </w:r>
      <w:r w:rsidR="006C00EA">
        <w:t xml:space="preserve">as well as associated </w:t>
      </w:r>
      <w:r>
        <w:t>taxes levied, and gross surplus recorded (demand-pull</w:t>
      </w:r>
      <w:r w:rsidR="006C19EE">
        <w:t xml:space="preserve"> on quantities</w:t>
      </w:r>
      <w:r>
        <w:t>),</w:t>
      </w:r>
    </w:p>
    <w:p w:rsidR="00BC5BE7" w:rsidRDefault="00BC5BE7" w:rsidP="00BC5BE7">
      <w:pPr>
        <w:pStyle w:val="ListParagraph"/>
        <w:numPr>
          <w:ilvl w:val="0"/>
          <w:numId w:val="2"/>
        </w:numPr>
        <w:jc w:val="both"/>
      </w:pPr>
      <w:r>
        <w:t xml:space="preserve">the effects of </w:t>
      </w:r>
      <w:r w:rsidR="001342D2">
        <w:t>a 5% increase in teaching demand</w:t>
      </w:r>
      <w:r>
        <w:t xml:space="preserve"> (</w:t>
      </w:r>
      <w:r w:rsidR="00A74C65">
        <w:t xml:space="preserve">through </w:t>
      </w:r>
      <w:r>
        <w:t>student fees and matching government support) in terms of additional salaries and operating inputs required</w:t>
      </w:r>
      <w:r w:rsidR="006C00EA">
        <w:t xml:space="preserve"> to meet the demand increase</w:t>
      </w:r>
      <w:r>
        <w:t xml:space="preserve">, </w:t>
      </w:r>
      <w:r w:rsidR="006C00EA">
        <w:t xml:space="preserve">as well as associated </w:t>
      </w:r>
      <w:r>
        <w:t>taxes levied, and gross surplus recorded (demand-pull</w:t>
      </w:r>
      <w:r w:rsidR="006C19EE">
        <w:t xml:space="preserve"> on quantities</w:t>
      </w:r>
      <w:r>
        <w:t>),</w:t>
      </w:r>
    </w:p>
    <w:p w:rsidR="00BC5BE7" w:rsidRDefault="00BC5BE7" w:rsidP="00BC5BE7">
      <w:pPr>
        <w:pStyle w:val="ListParagraph"/>
        <w:numPr>
          <w:ilvl w:val="0"/>
          <w:numId w:val="2"/>
        </w:numPr>
        <w:jc w:val="both"/>
      </w:pPr>
      <w:r>
        <w:t xml:space="preserve">the effects of a 5% increase in research cost </w:t>
      </w:r>
      <w:r w:rsidR="001342D2">
        <w:t xml:space="preserve">or capacity </w:t>
      </w:r>
      <w:r>
        <w:t>(salaries, equipment and consumables)</w:t>
      </w:r>
      <w:r w:rsidR="007119C6">
        <w:t xml:space="preserve"> in terms of additional </w:t>
      </w:r>
      <w:r w:rsidR="006F05E7">
        <w:t>revenue</w:t>
      </w:r>
      <w:r w:rsidR="006C00EA">
        <w:t xml:space="preserve"> </w:t>
      </w:r>
      <w:r w:rsidR="006C19EE">
        <w:t xml:space="preserve">(for example increased student fees) </w:t>
      </w:r>
      <w:r w:rsidR="006C00EA">
        <w:t>required to absorb the cost increase</w:t>
      </w:r>
      <w:r w:rsidR="007119C6">
        <w:t xml:space="preserve">, </w:t>
      </w:r>
      <w:r w:rsidR="006C00EA">
        <w:t>from all domestic and overseas sources</w:t>
      </w:r>
      <w:r w:rsidR="007119C6">
        <w:t xml:space="preserve"> (supply-push</w:t>
      </w:r>
      <w:r w:rsidR="006C19EE">
        <w:t xml:space="preserve"> on prices</w:t>
      </w:r>
      <w:r w:rsidR="007119C6">
        <w:t>)</w:t>
      </w:r>
      <w:r>
        <w:t>, and</w:t>
      </w:r>
    </w:p>
    <w:p w:rsidR="00BC5BE7" w:rsidRDefault="00BC5BE7" w:rsidP="00BC5BE7">
      <w:pPr>
        <w:pStyle w:val="ListParagraph"/>
        <w:numPr>
          <w:ilvl w:val="0"/>
          <w:numId w:val="2"/>
        </w:numPr>
        <w:jc w:val="both"/>
      </w:pPr>
      <w:r>
        <w:t xml:space="preserve">the </w:t>
      </w:r>
      <w:r w:rsidR="00072AD4">
        <w:t>e</w:t>
      </w:r>
      <w:r>
        <w:t xml:space="preserve">ffects of a 5% increase in teaching cost </w:t>
      </w:r>
      <w:r w:rsidR="001342D2">
        <w:t xml:space="preserve">or capacity </w:t>
      </w:r>
      <w:r>
        <w:t>(salaries, equipment and consumables)</w:t>
      </w:r>
      <w:r w:rsidR="006C00EA">
        <w:t xml:space="preserve"> in terms of additional </w:t>
      </w:r>
      <w:r w:rsidR="006F05E7">
        <w:t>revenue</w:t>
      </w:r>
      <w:r w:rsidR="006C00EA">
        <w:t xml:space="preserve"> required to absorb the cost </w:t>
      </w:r>
      <w:r w:rsidR="001342D2">
        <w:t xml:space="preserve">or capacity </w:t>
      </w:r>
      <w:r w:rsidR="006C00EA">
        <w:t>increase, from all domestic and overseas sources (supply-push</w:t>
      </w:r>
      <w:r w:rsidR="006C19EE">
        <w:t xml:space="preserve"> on prices</w:t>
      </w:r>
      <w:r w:rsidR="006C00EA">
        <w:t>)</w:t>
      </w:r>
      <w:r>
        <w:t>.</w:t>
      </w:r>
    </w:p>
    <w:p w:rsidR="006C19EE" w:rsidRDefault="006C19EE" w:rsidP="002E4394">
      <w:pPr>
        <w:jc w:val="both"/>
      </w:pPr>
      <w:r>
        <w:t xml:space="preserve">The mechanisms of the supply-push scenarios have to be understood as changes in transactions values facilitated by price changes, and not by quantity changes. The implausibility of the </w:t>
      </w:r>
      <w:r w:rsidR="002B1AEA" w:rsidRPr="002B1AEA">
        <w:rPr>
          <w:i/>
        </w:rPr>
        <w:t>ex-ante</w:t>
      </w:r>
      <w:r w:rsidR="002B1AEA">
        <w:t xml:space="preserve"> </w:t>
      </w:r>
      <w:r>
        <w:t xml:space="preserve">quantity interpretation has been convincingly argued by </w:t>
      </w:r>
      <w:r>
        <w:fldChar w:fldCharType="begin"/>
      </w:r>
      <w:r w:rsidR="006111D7">
        <w:instrText xml:space="preserve"> ADDIN EN.CITE &lt;EndNote&gt;&lt;Cite&gt;&lt;Author&gt;Oosterhaven&lt;/Author&gt;&lt;Year&gt;1988&lt;/Year&gt;&lt;RecNum&gt;1622&lt;/RecNum&gt;&lt;record&gt;&lt;rec-number&gt;1622&lt;/rec-number&gt;&lt;foreign-keys&gt;&lt;key app="EN" db-id="taawaxs5fzprace5p9jv25fnt2vd5xt2d520"&gt;1622&lt;/key&gt;&lt;/foreign-keys&gt;&lt;ref-type name="Journal Article"&gt;17&lt;/ref-type&gt;&lt;contributors&gt;&lt;authors&gt;&lt;author&gt;Oosterhaven, J.&lt;/author&gt;&lt;/authors&gt;&lt;/contributors&gt;&lt;titles&gt;&lt;title&gt;On the plausibility of the supply-driven input-output model&lt;/title&gt;&lt;secondary-title&gt;Journal of Regional Science&lt;/secondary-title&gt;&lt;/titles&gt;&lt;periodical&gt;&lt;full-title&gt;Journal of Regional Science&lt;/full-title&gt;&lt;/periodical&gt;&lt;pages&gt;203-217&lt;/pages&gt;&lt;volume&gt;28&lt;/volume&gt;&lt;number&gt;2&lt;/number&gt;&lt;dates&gt;&lt;year&gt;1988&lt;/year&gt;&lt;/dates&gt;&lt;urls&gt;&lt;/urls&gt;&lt;/record&gt;&lt;/Cite&gt;&lt;Cite&gt;&lt;Author&gt;Oosterhaven&lt;/Author&gt;&lt;Year&gt;1989&lt;/Year&gt;&lt;RecNum&gt;1670&lt;/RecNum&gt;&lt;record&gt;&lt;rec-number&gt;1670&lt;/rec-number&gt;&lt;foreign-keys&gt;&lt;key app="EN" db-id="taawaxs5fzprace5p9jv25fnt2vd5xt2d520"&gt;1670&lt;/key&gt;&lt;/foreign-keys&gt;&lt;ref-type name="Journal Article"&gt;17&lt;/ref-type&gt;&lt;contributors&gt;&lt;authors&gt;&lt;author&gt;Oosterhaven, J.&lt;/author&gt;&lt;/authors&gt;&lt;/contributors&gt;&lt;titles&gt;&lt;title&gt;The supply-driven input-output model: a new interpretation but still implausible&lt;/title&gt;&lt;secondary-title&gt;Journal of Regional Science&lt;/secondary-title&gt;&lt;/titles&gt;&lt;periodical&gt;&lt;full-title&gt;Journal of Regional Science&lt;/full-title&gt;&lt;/periodical&gt;&lt;pages&gt;459-465&lt;/pages&gt;&lt;volume&gt;29&lt;/volume&gt;&lt;number&gt;3&lt;/number&gt;&lt;dates&gt;&lt;year&gt;1989&lt;/year&gt;&lt;/dates&gt;&lt;urls&gt;&lt;/urls&gt;&lt;/record&gt;&lt;/Cite&gt;&lt;/EndNote&gt;</w:instrText>
      </w:r>
      <w:r>
        <w:fldChar w:fldCharType="separate"/>
      </w:r>
      <w:r>
        <w:t>Oosterhaven 1988; 1989</w:t>
      </w:r>
      <w:r>
        <w:fldChar w:fldCharType="end"/>
      </w:r>
      <w:r>
        <w:t>.</w:t>
      </w:r>
    </w:p>
    <w:p w:rsidR="006F05E7" w:rsidRDefault="002E4394" w:rsidP="002E4394">
      <w:pPr>
        <w:jc w:val="both"/>
      </w:pPr>
      <w:r w:rsidRPr="00BF0EE9">
        <w:t xml:space="preserve">In the following four sub-sections we present results from the classical and the open model. </w:t>
      </w:r>
      <w:r w:rsidR="00BF0EE9">
        <w:t>We use the terms</w:t>
      </w:r>
      <w:r w:rsidR="006F05E7" w:rsidRPr="00BF0EE9">
        <w:t xml:space="preserve"> </w:t>
      </w:r>
      <w:r w:rsidR="00242E8D" w:rsidRPr="00BF0EE9">
        <w:t>“</w:t>
      </w:r>
      <w:r w:rsidR="006F05E7" w:rsidRPr="00BF0EE9">
        <w:t xml:space="preserve">university </w:t>
      </w:r>
      <w:r w:rsidR="00BF0EE9">
        <w:t>requirement</w:t>
      </w:r>
      <w:r w:rsidR="006F05E7" w:rsidRPr="00BF0EE9">
        <w:t>s</w:t>
      </w:r>
      <w:r w:rsidR="00BF0EE9">
        <w:t>” and</w:t>
      </w:r>
      <w:r w:rsidR="00242E8D" w:rsidRPr="00BF0EE9">
        <w:t xml:space="preserve"> “</w:t>
      </w:r>
      <w:r w:rsidR="006F05E7" w:rsidRPr="00BF0EE9">
        <w:t xml:space="preserve">economy </w:t>
      </w:r>
      <w:r w:rsidR="00BF0EE9">
        <w:t>requirement</w:t>
      </w:r>
      <w:r w:rsidR="006F05E7" w:rsidRPr="00BF0EE9">
        <w:t>s</w:t>
      </w:r>
      <w:r w:rsidR="00242E8D" w:rsidRPr="00BF0EE9">
        <w:t>”</w:t>
      </w:r>
      <w:r w:rsidR="00BF0EE9">
        <w:t xml:space="preserve"> as defin</w:t>
      </w:r>
      <w:r w:rsidR="006C19EE">
        <w:t>e</w:t>
      </w:r>
      <w:r w:rsidR="00BF0EE9">
        <w:t xml:space="preserve">d in the previous Section. </w:t>
      </w:r>
      <w:r w:rsidR="00BF0EE9">
        <w:lastRenderedPageBreak/>
        <w:t>In addition, for the open model</w:t>
      </w:r>
      <w:r w:rsidR="00242E8D" w:rsidRPr="00BF0EE9">
        <w:t>,</w:t>
      </w:r>
      <w:r w:rsidR="00BF0EE9">
        <w:t xml:space="preserve"> we split university requirements into 2 parts. “Research requirements”</w:t>
      </w:r>
      <w:r w:rsidR="00242E8D" w:rsidRPr="00BF0EE9">
        <w:t xml:space="preserve"> </w:t>
      </w:r>
      <w:r w:rsidR="00BF0EE9">
        <w:t>or</w:t>
      </w:r>
      <w:r w:rsidR="00242E8D" w:rsidRPr="00BF0EE9">
        <w:t xml:space="preserve"> “teaching </w:t>
      </w:r>
      <w:r w:rsidR="00BF0EE9">
        <w:t>requiremen</w:t>
      </w:r>
      <w:r w:rsidR="00242E8D" w:rsidRPr="00BF0EE9">
        <w:t>t</w:t>
      </w:r>
      <w:r w:rsidR="00BF0EE9">
        <w:t>s</w:t>
      </w:r>
      <w:r w:rsidR="00242E8D" w:rsidRPr="00BF0EE9">
        <w:t>”</w:t>
      </w:r>
      <w:r w:rsidR="00BF0EE9">
        <w:t xml:space="preserve"> describe effects that arise in the same area of the University where the shock occurred</w:t>
      </w:r>
      <w:r w:rsidR="005C5970" w:rsidRPr="00BF0EE9">
        <w:t>.</w:t>
      </w:r>
      <w:r w:rsidR="006F05E7" w:rsidRPr="00BF0EE9">
        <w:t xml:space="preserve"> </w:t>
      </w:r>
      <w:r w:rsidR="00BF0EE9">
        <w:t>The terms “i</w:t>
      </w:r>
      <w:r w:rsidR="00242E8D" w:rsidRPr="00BF0EE9">
        <w:t>ntra-university spillover”</w:t>
      </w:r>
      <w:r w:rsidR="006C55F9" w:rsidRPr="00BF0EE9">
        <w:t xml:space="preserve"> and “intra-university cross-financing”</w:t>
      </w:r>
      <w:r w:rsidR="00BF0EE9">
        <w:t xml:space="preserve"> denote</w:t>
      </w:r>
      <w:r w:rsidR="00242E8D" w:rsidRPr="00BF0EE9">
        <w:t xml:space="preserve"> the carrying of cost by teaching to</w:t>
      </w:r>
      <w:r w:rsidR="00BF0EE9">
        <w:t xml:space="preserve"> satisfy demand for research</w:t>
      </w:r>
      <w:r w:rsidR="006C55F9" w:rsidRPr="00BF0EE9">
        <w:t xml:space="preserve"> </w:t>
      </w:r>
      <w:r w:rsidR="00BF0EE9">
        <w:t>or</w:t>
      </w:r>
      <w:r w:rsidR="00242E8D" w:rsidRPr="00BF0EE9">
        <w:t xml:space="preserve"> the </w:t>
      </w:r>
      <w:r w:rsidR="00BF0EE9">
        <w:t>diversion</w:t>
      </w:r>
      <w:r w:rsidR="00242E8D" w:rsidRPr="00BF0EE9">
        <w:t xml:space="preserve"> of revenue </w:t>
      </w:r>
      <w:r w:rsidR="00BF0EE9">
        <w:t xml:space="preserve">generated </w:t>
      </w:r>
      <w:r w:rsidR="00242E8D" w:rsidRPr="00BF0EE9">
        <w:t>by teaching to cover c</w:t>
      </w:r>
      <w:r w:rsidR="00BF0EE9">
        <w:t>ost of research, and</w:t>
      </w:r>
      <w:r w:rsidR="00BF0EE9" w:rsidRPr="00BF0EE9">
        <w:t xml:space="preserve"> vice versa.</w:t>
      </w:r>
    </w:p>
    <w:p w:rsidR="006C2149" w:rsidRDefault="002E4394" w:rsidP="002E4394">
      <w:pPr>
        <w:jc w:val="both"/>
      </w:pPr>
      <w:r>
        <w:t xml:space="preserve">In the classical model, transactions within both the university and the economy are endogenous, and </w:t>
      </w:r>
      <w:r w:rsidR="00FC3B19">
        <w:t>requirements</w:t>
      </w:r>
      <w:r>
        <w:t xml:space="preserve"> </w:t>
      </w:r>
      <w:r w:rsidR="00F050E4">
        <w:t>in terms of</w:t>
      </w:r>
      <w:r>
        <w:t xml:space="preserve"> primary inputs and final demand </w:t>
      </w:r>
      <w:r w:rsidR="00FC3B19">
        <w:t>arise</w:t>
      </w:r>
      <w:r>
        <w:t xml:space="preserve"> </w:t>
      </w:r>
      <w:r w:rsidR="00FC3B19">
        <w:t xml:space="preserve">as </w:t>
      </w:r>
      <w:r w:rsidR="00987A52">
        <w:t xml:space="preserve">university and </w:t>
      </w:r>
      <w:r>
        <w:t xml:space="preserve">economy </w:t>
      </w:r>
      <w:r w:rsidR="00FC3B19">
        <w:t>requirement</w:t>
      </w:r>
      <w:r w:rsidR="00987A52">
        <w:t xml:space="preserve">s </w:t>
      </w:r>
      <w:r>
        <w:t>(</w:t>
      </w:r>
      <w:r w:rsidR="00F050E4">
        <w:t xml:space="preserve">sectors outside the </w:t>
      </w:r>
      <w:r>
        <w:t>solid box in Fig. 2</w:t>
      </w:r>
      <w:r w:rsidR="00F050E4">
        <w:t>,</w:t>
      </w:r>
      <w:r>
        <w:t xml:space="preserve"> middle</w:t>
      </w:r>
      <w:r w:rsidR="00F050E4">
        <w:t xml:space="preserve"> part</w:t>
      </w:r>
      <w:r>
        <w:t xml:space="preserve">). In the open model, only transactions within the university are endogenous, and </w:t>
      </w:r>
      <w:r w:rsidR="00FC3B19">
        <w:t>requirements</w:t>
      </w:r>
      <w:r>
        <w:t xml:space="preserve"> </w:t>
      </w:r>
      <w:r w:rsidR="00987A52">
        <w:t>in terms of</w:t>
      </w:r>
      <w:r>
        <w:t xml:space="preserve"> primary inputs and final demand </w:t>
      </w:r>
      <w:r w:rsidR="00FC3B19">
        <w:t>arise</w:t>
      </w:r>
      <w:r>
        <w:t xml:space="preserve"> </w:t>
      </w:r>
      <w:r w:rsidR="00F050E4">
        <w:t xml:space="preserve">only </w:t>
      </w:r>
      <w:r w:rsidR="00987A52">
        <w:t>as</w:t>
      </w:r>
      <w:r>
        <w:t xml:space="preserve"> university </w:t>
      </w:r>
      <w:r w:rsidR="00FC3B19">
        <w:t>requirements</w:t>
      </w:r>
      <w:r w:rsidR="00987A52">
        <w:t xml:space="preserve"> </w:t>
      </w:r>
      <w:r w:rsidR="00F050E4">
        <w:t>(sectors outside the solid box in Fig. 2, top part</w:t>
      </w:r>
      <w:r>
        <w:t>).</w:t>
      </w:r>
      <w:r w:rsidR="00F050E4">
        <w:t xml:space="preserve"> </w:t>
      </w:r>
    </w:p>
    <w:p w:rsidR="00E81629" w:rsidRDefault="00F050E4" w:rsidP="002E4394">
      <w:pPr>
        <w:jc w:val="both"/>
      </w:pPr>
      <w:r>
        <w:t xml:space="preserve">Since the economy is exogenous in the open model, </w:t>
      </w:r>
      <w:r w:rsidR="00E81629">
        <w:t xml:space="preserve">university </w:t>
      </w:r>
      <w:r w:rsidR="00FC3B19">
        <w:t xml:space="preserve">requirements arise </w:t>
      </w:r>
      <w:r w:rsidR="00E81629">
        <w:t xml:space="preserve">as well as in terms of </w:t>
      </w:r>
      <w:r>
        <w:t xml:space="preserve">operating </w:t>
      </w:r>
      <w:r w:rsidR="006F05E7">
        <w:t>inputs or industry revenue</w:t>
      </w:r>
      <w:r>
        <w:t xml:space="preserve">. In the following four tables the link between the classical and open </w:t>
      </w:r>
      <w:r w:rsidR="00C42324">
        <w:t xml:space="preserve">demand-pull </w:t>
      </w:r>
      <w:r>
        <w:t xml:space="preserve">model can be seen in </w:t>
      </w:r>
      <w:r w:rsidR="006F05E7">
        <w:t>that</w:t>
      </w:r>
      <w:r>
        <w:t xml:space="preserve"> </w:t>
      </w:r>
      <w:r w:rsidR="00332AEF">
        <w:rPr>
          <w:i/>
        </w:rPr>
        <w:t xml:space="preserve">total </w:t>
      </w:r>
      <w:r w:rsidRPr="006F05E7">
        <w:rPr>
          <w:i/>
        </w:rPr>
        <w:t xml:space="preserve">economy </w:t>
      </w:r>
      <w:r w:rsidR="00695FCF">
        <w:rPr>
          <w:i/>
        </w:rPr>
        <w:t>supply-side requirements</w:t>
      </w:r>
      <w:r w:rsidRPr="006F05E7">
        <w:rPr>
          <w:i/>
        </w:rPr>
        <w:t xml:space="preserve"> </w:t>
      </w:r>
      <w:r w:rsidR="006F05E7" w:rsidRPr="006F05E7">
        <w:rPr>
          <w:i/>
        </w:rPr>
        <w:t xml:space="preserve">in terms of primary inputs </w:t>
      </w:r>
      <w:r w:rsidR="006F05E7">
        <w:rPr>
          <w:i/>
        </w:rPr>
        <w:t xml:space="preserve">in the classical model are </w:t>
      </w:r>
      <w:r w:rsidR="009F3094">
        <w:rPr>
          <w:i/>
        </w:rPr>
        <w:t xml:space="preserve">about </w:t>
      </w:r>
      <w:r w:rsidR="006F05E7">
        <w:rPr>
          <w:i/>
        </w:rPr>
        <w:t xml:space="preserve">equal to </w:t>
      </w:r>
      <w:r w:rsidR="00332AEF">
        <w:rPr>
          <w:i/>
        </w:rPr>
        <w:t>total</w:t>
      </w:r>
      <w:r w:rsidR="00A042F6">
        <w:rPr>
          <w:i/>
        </w:rPr>
        <w:t xml:space="preserve"> </w:t>
      </w:r>
      <w:r w:rsidR="006F05E7">
        <w:rPr>
          <w:i/>
        </w:rPr>
        <w:t xml:space="preserve">university </w:t>
      </w:r>
      <w:r w:rsidR="00695FCF">
        <w:rPr>
          <w:i/>
        </w:rPr>
        <w:t>supply-side requirements</w:t>
      </w:r>
      <w:r w:rsidR="006F05E7">
        <w:rPr>
          <w:i/>
        </w:rPr>
        <w:t xml:space="preserve"> in terms of</w:t>
      </w:r>
      <w:r w:rsidRPr="006F05E7">
        <w:rPr>
          <w:i/>
        </w:rPr>
        <w:t xml:space="preserve"> operating </w:t>
      </w:r>
      <w:r w:rsidR="00F87834" w:rsidRPr="006F05E7">
        <w:rPr>
          <w:i/>
        </w:rPr>
        <w:t>inputs</w:t>
      </w:r>
      <w:r w:rsidRPr="006F05E7">
        <w:rPr>
          <w:i/>
        </w:rPr>
        <w:t xml:space="preserve"> in the open model</w:t>
      </w:r>
      <w:r>
        <w:t xml:space="preserve">. </w:t>
      </w:r>
      <w:r w:rsidR="00145A2C">
        <w:t>Intuitively, this is clear becaus</w:t>
      </w:r>
      <w:r w:rsidR="00E81629">
        <w:t xml:space="preserve">e </w:t>
      </w:r>
      <w:r w:rsidR="00695FCF">
        <w:t>all</w:t>
      </w:r>
      <w:r w:rsidR="00E81629">
        <w:t xml:space="preserve"> </w:t>
      </w:r>
      <w:r w:rsidR="00C42324">
        <w:t xml:space="preserve">payments made by the University for </w:t>
      </w:r>
      <w:r w:rsidR="00E81629">
        <w:t xml:space="preserve">operating inputs </w:t>
      </w:r>
      <w:r w:rsidR="00145A2C">
        <w:t xml:space="preserve">are used in the selling </w:t>
      </w:r>
      <w:r w:rsidR="00E81629">
        <w:t>industry sectors</w:t>
      </w:r>
      <w:r w:rsidR="00145A2C">
        <w:t xml:space="preserve"> </w:t>
      </w:r>
      <w:r w:rsidR="00695FCF">
        <w:t xml:space="preserve">ultimately </w:t>
      </w:r>
      <w:r w:rsidR="00145A2C">
        <w:t xml:space="preserve">to pay </w:t>
      </w:r>
      <w:r w:rsidR="00695FCF">
        <w:t>for primary inputs</w:t>
      </w:r>
      <w:r w:rsidR="00145A2C">
        <w:t xml:space="preserve">. </w:t>
      </w:r>
      <w:r w:rsidR="00C42324">
        <w:t xml:space="preserve">Similarly, in the supply-push models, </w:t>
      </w:r>
      <w:r w:rsidR="00A042F6">
        <w:rPr>
          <w:i/>
        </w:rPr>
        <w:t>total</w:t>
      </w:r>
      <w:r w:rsidR="00C42324" w:rsidRPr="006F05E7">
        <w:rPr>
          <w:i/>
        </w:rPr>
        <w:t xml:space="preserve"> economy </w:t>
      </w:r>
      <w:r w:rsidR="00695FCF">
        <w:rPr>
          <w:i/>
        </w:rPr>
        <w:t>demand-side requirements</w:t>
      </w:r>
      <w:r w:rsidR="00C42324" w:rsidRPr="006F05E7">
        <w:rPr>
          <w:i/>
        </w:rPr>
        <w:t xml:space="preserve"> in terms of </w:t>
      </w:r>
      <w:r w:rsidR="00C42324">
        <w:rPr>
          <w:i/>
        </w:rPr>
        <w:t>final demand</w:t>
      </w:r>
      <w:r w:rsidR="00C42324" w:rsidRPr="006F05E7">
        <w:rPr>
          <w:i/>
        </w:rPr>
        <w:t xml:space="preserve"> </w:t>
      </w:r>
      <w:r w:rsidR="00C42324">
        <w:rPr>
          <w:i/>
        </w:rPr>
        <w:t xml:space="preserve">in the classical model are </w:t>
      </w:r>
      <w:r w:rsidR="009F3094">
        <w:rPr>
          <w:i/>
        </w:rPr>
        <w:t xml:space="preserve">about </w:t>
      </w:r>
      <w:r w:rsidR="00C42324">
        <w:rPr>
          <w:i/>
        </w:rPr>
        <w:t xml:space="preserve">equal to </w:t>
      </w:r>
      <w:r w:rsidR="00A042F6">
        <w:rPr>
          <w:i/>
        </w:rPr>
        <w:t>total</w:t>
      </w:r>
      <w:r w:rsidR="00C42324">
        <w:rPr>
          <w:i/>
        </w:rPr>
        <w:t xml:space="preserve"> university </w:t>
      </w:r>
      <w:r w:rsidR="00695FCF">
        <w:rPr>
          <w:i/>
        </w:rPr>
        <w:t>demand-side requirements</w:t>
      </w:r>
      <w:r w:rsidR="00C42324">
        <w:rPr>
          <w:i/>
        </w:rPr>
        <w:t xml:space="preserve"> in terms of</w:t>
      </w:r>
      <w:r w:rsidR="00C42324" w:rsidRPr="006F05E7">
        <w:rPr>
          <w:i/>
        </w:rPr>
        <w:t xml:space="preserve"> </w:t>
      </w:r>
      <w:r w:rsidR="00C42324">
        <w:rPr>
          <w:i/>
        </w:rPr>
        <w:t>industry revenue</w:t>
      </w:r>
      <w:r w:rsidR="00C42324" w:rsidRPr="006F05E7">
        <w:rPr>
          <w:i/>
        </w:rPr>
        <w:t xml:space="preserve"> in the open model</w:t>
      </w:r>
      <w:r w:rsidR="00C42324">
        <w:t>.</w:t>
      </w:r>
      <w:r w:rsidR="00695FCF">
        <w:t xml:space="preserve"> This is clear because all industry revenue received by the University must have been generated in the paying industry sectors ultimately by final demand.</w:t>
      </w:r>
      <w:r w:rsidR="008426DC">
        <w:rPr>
          <w:rStyle w:val="FootnoteReference"/>
        </w:rPr>
        <w:footnoteReference w:id="8"/>
      </w:r>
    </w:p>
    <w:p w:rsidR="00F050E4" w:rsidRDefault="00F050E4" w:rsidP="002E4394">
      <w:pPr>
        <w:jc w:val="both"/>
      </w:pPr>
      <w:r>
        <w:t xml:space="preserve">Moreover, we make a distinction between </w:t>
      </w:r>
      <w:r w:rsidR="00C97DE4">
        <w:t>“</w:t>
      </w:r>
      <w:r>
        <w:t>real cost</w:t>
      </w:r>
      <w:r w:rsidR="00C97DE4">
        <w:t>”</w:t>
      </w:r>
      <w:r>
        <w:t xml:space="preserve"> and </w:t>
      </w:r>
      <w:r w:rsidR="00C97DE4">
        <w:t>“</w:t>
      </w:r>
      <w:r>
        <w:t>surplus</w:t>
      </w:r>
      <w:r w:rsidR="00C97DE4">
        <w:t>”</w:t>
      </w:r>
      <w:r>
        <w:t xml:space="preserve">; the former are paid out and leave the university, the latter are surplus available for investment and increases in capital assets. </w:t>
      </w:r>
      <w:r w:rsidR="00F87834">
        <w:t xml:space="preserve">Cost are paid </w:t>
      </w:r>
      <w:r w:rsidR="00C97DE4">
        <w:t xml:space="preserve">for </w:t>
      </w:r>
      <w:r w:rsidR="00F87834">
        <w:t xml:space="preserve">by </w:t>
      </w:r>
      <w:r w:rsidR="00C97DE4">
        <w:t>what we call “</w:t>
      </w:r>
      <w:r w:rsidR="00D66F35">
        <w:t>real revenue</w:t>
      </w:r>
      <w:r w:rsidR="00C97DE4">
        <w:t>”</w:t>
      </w:r>
      <w:r w:rsidR="00F87834">
        <w:t xml:space="preserve"> </w:t>
      </w:r>
      <w:r w:rsidR="00C97DE4">
        <w:t xml:space="preserve">where </w:t>
      </w:r>
      <w:r w:rsidR="009A212C">
        <w:t xml:space="preserve">this </w:t>
      </w:r>
      <w:r w:rsidR="00F87834">
        <w:t>aris</w:t>
      </w:r>
      <w:r w:rsidR="009A212C">
        <w:t>es</w:t>
      </w:r>
      <w:r>
        <w:t xml:space="preserve"> from fees and grants </w:t>
      </w:r>
      <w:r w:rsidR="00C97DE4">
        <w:t>received in exchange</w:t>
      </w:r>
      <w:r>
        <w:t xml:space="preserve"> for university teaching and research</w:t>
      </w:r>
      <w:r w:rsidR="00F87834">
        <w:t>.</w:t>
      </w:r>
      <w:r>
        <w:t xml:space="preserve"> </w:t>
      </w:r>
      <w:r w:rsidR="00F87834">
        <w:t xml:space="preserve">If this </w:t>
      </w:r>
      <w:r w:rsidR="00C97DE4">
        <w:t xml:space="preserve">real </w:t>
      </w:r>
      <w:r w:rsidR="009A212C">
        <w:t>revenue</w:t>
      </w:r>
      <w:r w:rsidR="00F87834">
        <w:t xml:space="preserve"> is insufficient to meet cost, </w:t>
      </w:r>
      <w:r w:rsidR="00C97DE4">
        <w:t>“</w:t>
      </w:r>
      <w:r w:rsidR="00F87834">
        <w:t>deficits</w:t>
      </w:r>
      <w:r w:rsidR="00C97DE4">
        <w:t>” have to be covered by drawing on reserves</w:t>
      </w:r>
      <w:r w:rsidR="00F87834">
        <w:t xml:space="preserve">. </w:t>
      </w:r>
    </w:p>
    <w:p w:rsidR="002E1D64" w:rsidRDefault="003D2C75" w:rsidP="002E4394">
      <w:pPr>
        <w:jc w:val="both"/>
      </w:pPr>
      <w:r>
        <w:t>Total r</w:t>
      </w:r>
      <w:r w:rsidR="00F87834">
        <w:t>eal cost and demand are represented in the ‘Real cost</w:t>
      </w:r>
      <w:r w:rsidR="006F05E7">
        <w:t>/revenue</w:t>
      </w:r>
      <w:r w:rsidR="00F87834">
        <w:t>’ column</w:t>
      </w:r>
      <w:r w:rsidR="006F05E7">
        <w:t>s</w:t>
      </w:r>
      <w:r>
        <w:t xml:space="preserve"> of the four tables below</w:t>
      </w:r>
      <w:r w:rsidR="00F87834">
        <w:t xml:space="preserve">. </w:t>
      </w:r>
      <w:r>
        <w:t>Real cost/revenue in t</w:t>
      </w:r>
      <w:r w:rsidR="00F87834">
        <w:t xml:space="preserve">he </w:t>
      </w:r>
      <w:r>
        <w:t>open model are equal to real cost/</w:t>
      </w:r>
      <w:r w:rsidR="006F05E7">
        <w:t>revenue</w:t>
      </w:r>
      <w:r w:rsidR="00F87834">
        <w:t xml:space="preserve"> are the sum of </w:t>
      </w:r>
      <w:r>
        <w:t xml:space="preserve">classical-model </w:t>
      </w:r>
      <w:r w:rsidR="00F87834">
        <w:t>real cost</w:t>
      </w:r>
      <w:r w:rsidR="006F05E7">
        <w:t>/revenue</w:t>
      </w:r>
      <w:r w:rsidR="00F87834">
        <w:t xml:space="preserve"> </w:t>
      </w:r>
      <w:r>
        <w:t>plus operating cost /industry revenue, which is equal to the sum of classical-model real cost/revenue plus</w:t>
      </w:r>
      <w:r w:rsidR="00F87834">
        <w:t xml:space="preserve"> all economy </w:t>
      </w:r>
      <w:r w:rsidR="002E1D64">
        <w:t>requirement</w:t>
      </w:r>
      <w:r w:rsidR="00F87834">
        <w:t xml:space="preserve">s. This is because – as explained </w:t>
      </w:r>
      <w:r w:rsidR="00F87834">
        <w:lastRenderedPageBreak/>
        <w:t xml:space="preserve">above – economy </w:t>
      </w:r>
      <w:r w:rsidR="002E1D64">
        <w:t>requirement</w:t>
      </w:r>
      <w:r w:rsidR="00F87834">
        <w:t xml:space="preserve">s in the classical model are equal to </w:t>
      </w:r>
      <w:r w:rsidR="009A212C">
        <w:t xml:space="preserve">university </w:t>
      </w:r>
      <w:r w:rsidR="002E1D64">
        <w:t>requirement</w:t>
      </w:r>
      <w:r w:rsidR="009A212C">
        <w:t xml:space="preserve">s in terms of </w:t>
      </w:r>
      <w:r w:rsidR="00F87834">
        <w:t>operating inputs/</w:t>
      </w:r>
      <w:r w:rsidR="006F05E7">
        <w:t>industry revenue</w:t>
      </w:r>
      <w:r w:rsidR="00F87834">
        <w:t xml:space="preserve"> in the open model. </w:t>
      </w:r>
    </w:p>
    <w:p w:rsidR="00901608" w:rsidRPr="00246772" w:rsidRDefault="00901608" w:rsidP="002E4394">
      <w:pPr>
        <w:jc w:val="both"/>
      </w:pPr>
      <w:r>
        <w:br w:type="column"/>
      </w:r>
    </w:p>
    <w:p w:rsidR="00901608" w:rsidRPr="00246772" w:rsidRDefault="00901608" w:rsidP="00901608">
      <w:pPr>
        <w:pStyle w:val="ListParagraph"/>
        <w:numPr>
          <w:ilvl w:val="2"/>
          <w:numId w:val="1"/>
        </w:numPr>
      </w:pPr>
      <w:bookmarkStart w:id="0" w:name="_Ref223276829"/>
      <w:r w:rsidRPr="00246772">
        <w:t>Increase in research demand</w:t>
      </w:r>
      <w:bookmarkEnd w:id="0"/>
      <w:r w:rsidRPr="00246772">
        <w:t xml:space="preserve"> </w:t>
      </w:r>
    </w:p>
    <w:p w:rsidR="00432F5A" w:rsidRDefault="00432F5A" w:rsidP="00901608">
      <w:pPr>
        <w:jc w:val="both"/>
      </w:pPr>
      <w:r>
        <w:t xml:space="preserve">In this sub-section, we will explicitly refer to rows (r) and columns (c) in </w:t>
      </w:r>
      <w:r w:rsidR="00CF2379">
        <w:t>T</w:t>
      </w:r>
      <w:r>
        <w:t>ab</w:t>
      </w:r>
      <w:r w:rsidR="00CF2379">
        <w:t>. 3</w:t>
      </w:r>
      <w:r>
        <w:t xml:space="preserve"> in order to ease interpretation. </w:t>
      </w:r>
      <w:r w:rsidR="00CF2379">
        <w:t>The descriptions of Tabs. 4-6 proceed in an identical manner, so the row/column reference has been omitted in the corresponding sub-sections.</w:t>
      </w:r>
    </w:p>
    <w:p w:rsidR="00BE1B39" w:rsidRDefault="00901608" w:rsidP="00901608">
      <w:pPr>
        <w:jc w:val="both"/>
      </w:pPr>
      <w:r w:rsidRPr="00246772">
        <w:t xml:space="preserve">Assuming a constant input-output structure, a 5% increase in demand for research through government </w:t>
      </w:r>
      <w:r w:rsidR="00B518CA">
        <w:t xml:space="preserve">and industry </w:t>
      </w:r>
      <w:r w:rsidRPr="00246772">
        <w:t xml:space="preserve">funding </w:t>
      </w:r>
      <w:r w:rsidR="00EA1603">
        <w:t>leads</w:t>
      </w:r>
      <w:r w:rsidRPr="00246772">
        <w:t xml:space="preserve">, </w:t>
      </w:r>
      <w:r w:rsidR="009A0597">
        <w:t xml:space="preserve">in the open model, </w:t>
      </w:r>
      <w:r w:rsidRPr="00246772">
        <w:t>on a per-dollar of revenue basis, to an increased requirement for university wages and salaries of 49¢</w:t>
      </w:r>
      <w:r w:rsidR="00B518CA">
        <w:t xml:space="preserve"> </w:t>
      </w:r>
      <w:r w:rsidR="00B518CA" w:rsidRPr="00246772">
        <w:t>(</w:t>
      </w:r>
      <w:r w:rsidR="00B518CA">
        <w:t xml:space="preserve">row 3 / column 1, or rows 7+8 / column 1 in </w:t>
      </w:r>
      <w:r w:rsidR="00B518CA" w:rsidRPr="00246772">
        <w:t>Tab. 3)</w:t>
      </w:r>
      <w:r w:rsidRPr="00246772">
        <w:t>, an increase in the production tax bill of 3¢</w:t>
      </w:r>
      <w:r w:rsidR="00B518CA">
        <w:t xml:space="preserve"> (r3/c3, or r7+8/c3)</w:t>
      </w:r>
      <w:r w:rsidRPr="00246772">
        <w:t xml:space="preserve">, and an increase in operating </w:t>
      </w:r>
      <w:r w:rsidR="00154C6F">
        <w:t>inputs</w:t>
      </w:r>
      <w:r w:rsidRPr="00246772">
        <w:t xml:space="preserve"> from the rest of the economy of 45¢</w:t>
      </w:r>
      <w:r w:rsidR="00B518CA">
        <w:t xml:space="preserve"> (r4/c7+8 or r7+8/c6)</w:t>
      </w:r>
      <w:r w:rsidRPr="00246772">
        <w:t xml:space="preserve">. </w:t>
      </w:r>
      <w:r w:rsidR="009A0597">
        <w:t>Total</w:t>
      </w:r>
      <w:r w:rsidR="00B518CA">
        <w:t xml:space="preserve"> real cost</w:t>
      </w:r>
      <w:r w:rsidR="002204D7" w:rsidRPr="00246772">
        <w:t xml:space="preserve"> </w:t>
      </w:r>
      <w:r w:rsidRPr="00246772">
        <w:t>are hence 97¢</w:t>
      </w:r>
      <w:r w:rsidR="00B518CA">
        <w:t xml:space="preserve"> (r7+8/c7)</w:t>
      </w:r>
      <w:r w:rsidRPr="00246772">
        <w:t>, and net surplus is only 3¢</w:t>
      </w:r>
      <w:r w:rsidR="00B518CA">
        <w:t xml:space="preserve"> (r7+8/c8)</w:t>
      </w:r>
      <w:r w:rsidRPr="00246772">
        <w:t>.</w:t>
      </w:r>
      <w:r w:rsidR="00BE1B39" w:rsidRPr="00BE1B39">
        <w:t xml:space="preserve"> </w:t>
      </w:r>
      <w:r w:rsidR="00BE1B39">
        <w:t xml:space="preserve">These </w:t>
      </w:r>
      <w:r w:rsidR="00BE1B39" w:rsidRPr="00246772">
        <w:t>3¢</w:t>
      </w:r>
      <w:r w:rsidR="00BE1B39">
        <w:t xml:space="preserve"> net surplus are the balance of a 5</w:t>
      </w:r>
      <w:r w:rsidR="00BE1B39" w:rsidRPr="00246772">
        <w:t>¢</w:t>
      </w:r>
      <w:r w:rsidR="00BE1B39">
        <w:t xml:space="preserve"> increase in inventories</w:t>
      </w:r>
      <w:r w:rsidR="00FB6E19">
        <w:t xml:space="preserve"> (mainly accrued within the Faculties that undertake the research, as unspent research funds)</w:t>
      </w:r>
      <w:r w:rsidR="00BE1B39">
        <w:t>, and a 2</w:t>
      </w:r>
      <w:r w:rsidR="00BE1B39" w:rsidRPr="00246772">
        <w:t>¢</w:t>
      </w:r>
      <w:r w:rsidR="00BE1B39">
        <w:t xml:space="preserve"> decrease in surplus</w:t>
      </w:r>
      <w:r w:rsidR="00FB6E19">
        <w:t xml:space="preserve"> (affecting the University’s Central Accounts)</w:t>
      </w:r>
      <w:r w:rsidR="00BE1B39">
        <w:t>.</w:t>
      </w:r>
      <w:r w:rsidR="00FB6E19">
        <w:t xml:space="preserve"> The negative effect is due to the structure of research funding at the University of Sydney, where research and teaching income is pooled within Central Accounts, part of which is then re-distributed across research and teaching purposes according to a funding formula (see Section 2.3.2). In essence, a lot of research is not fully self-funded, and draws on teaching </w:t>
      </w:r>
      <w:r w:rsidR="00EA105D">
        <w:t>revenu</w:t>
      </w:r>
      <w:r w:rsidR="00FB6E19">
        <w:t xml:space="preserve">e as well as other surplus. Hence, an increase in research activities reduces surplus. </w:t>
      </w:r>
      <w:r w:rsidR="00EA105D">
        <w:t>This is further evidenced in the following sub-sections.</w:t>
      </w:r>
    </w:p>
    <w:p w:rsidR="00901608" w:rsidRPr="00246772" w:rsidRDefault="00901608" w:rsidP="00901608">
      <w:pPr>
        <w:jc w:val="both"/>
      </w:pPr>
      <w:r w:rsidRPr="00246772">
        <w:t xml:space="preserve">The input-output calculus </w:t>
      </w:r>
      <w:r w:rsidR="0027085D">
        <w:t xml:space="preserve">in the classical model </w:t>
      </w:r>
      <w:r w:rsidRPr="00246772">
        <w:t xml:space="preserve">traces the 45¢ operating </w:t>
      </w:r>
      <w:r w:rsidR="00154C6F">
        <w:t xml:space="preserve">inputs </w:t>
      </w:r>
      <w:r w:rsidRPr="00246772">
        <w:t xml:space="preserve">spilling </w:t>
      </w:r>
      <w:r w:rsidR="0027085D">
        <w:t xml:space="preserve">throughout </w:t>
      </w:r>
      <w:r w:rsidRPr="00246772">
        <w:t xml:space="preserve">the </w:t>
      </w:r>
      <w:r w:rsidR="00F62E35" w:rsidRPr="00246772">
        <w:t xml:space="preserve">Australian </w:t>
      </w:r>
      <w:r w:rsidRPr="00246772">
        <w:t>economy and shows that these end up in a diverse mix of industries – mostly service sectors – as 23¢ wages and salaries, 11¢ imports, 10¢ surplus, and a further 2¢ of taxes</w:t>
      </w:r>
      <w:r w:rsidR="00B518CA">
        <w:t xml:space="preserve"> (r4/c1-6)</w:t>
      </w:r>
      <w:r w:rsidRPr="00246772">
        <w:t>.</w:t>
      </w:r>
    </w:p>
    <w:p w:rsidR="00901608" w:rsidRPr="00246772" w:rsidRDefault="00901608" w:rsidP="00901608">
      <w:pPr>
        <w:jc w:val="both"/>
      </w:pPr>
      <w:r w:rsidRPr="00246772">
        <w:t xml:space="preserve">The 5% demand increase </w:t>
      </w:r>
      <w:r w:rsidR="00D452B6" w:rsidRPr="00246772">
        <w:t>in research is worth $6.9</w:t>
      </w:r>
      <w:r w:rsidRPr="00246772">
        <w:t xml:space="preserve">m </w:t>
      </w:r>
      <w:r w:rsidR="00432F5A">
        <w:t xml:space="preserve">(r5+6/c7+8) </w:t>
      </w:r>
      <w:r w:rsidRPr="00246772">
        <w:t>i</w:t>
      </w:r>
      <w:r w:rsidR="00D452B6" w:rsidRPr="00246772">
        <w:t>n absolute terms, of which</w:t>
      </w:r>
      <w:r w:rsidR="00432F5A">
        <w:t xml:space="preserve"> for the University</w:t>
      </w:r>
      <w:r w:rsidR="00D452B6" w:rsidRPr="00246772">
        <w:t xml:space="preserve"> $6.7m </w:t>
      </w:r>
      <w:r w:rsidR="00432F5A">
        <w:t xml:space="preserve">(r5+6/c7) </w:t>
      </w:r>
      <w:r w:rsidR="006021F5" w:rsidRPr="00246772">
        <w:t xml:space="preserve">are </w:t>
      </w:r>
      <w:r w:rsidR="00D452B6" w:rsidRPr="00246772">
        <w:t>incur</w:t>
      </w:r>
      <w:r w:rsidR="006021F5" w:rsidRPr="00246772">
        <w:t>red</w:t>
      </w:r>
      <w:r w:rsidR="00D452B6" w:rsidRPr="00246772">
        <w:t xml:space="preserve"> as real cost, and $0.2</w:t>
      </w:r>
      <w:r w:rsidRPr="00246772">
        <w:t xml:space="preserve">m </w:t>
      </w:r>
      <w:r w:rsidR="00432F5A">
        <w:t xml:space="preserve">(r5+6/c8) </w:t>
      </w:r>
      <w:r w:rsidRPr="00246772">
        <w:t>as net surplus.</w:t>
      </w:r>
    </w:p>
    <w:p w:rsidR="00901608" w:rsidRPr="00246772" w:rsidRDefault="00901608" w:rsidP="00901608">
      <w:pPr>
        <w:jc w:val="both"/>
      </w:pPr>
      <w:r w:rsidRPr="00246772">
        <w:t xml:space="preserve">Most of the </w:t>
      </w:r>
      <w:r w:rsidR="004566CA">
        <w:t xml:space="preserve">total </w:t>
      </w:r>
      <w:r w:rsidRPr="00246772">
        <w:t>real cost</w:t>
      </w:r>
      <w:r w:rsidR="00D452B6" w:rsidRPr="00246772">
        <w:t xml:space="preserve"> for research</w:t>
      </w:r>
      <w:r w:rsidRPr="00246772">
        <w:t xml:space="preserve"> – </w:t>
      </w:r>
      <w:r w:rsidR="000F2FCE">
        <w:t>94</w:t>
      </w:r>
      <w:r w:rsidRPr="00246772">
        <w:t xml:space="preserve">¢ </w:t>
      </w:r>
      <w:r w:rsidR="00B518CA">
        <w:t xml:space="preserve">(r7/c7) </w:t>
      </w:r>
      <w:r w:rsidRPr="00246772">
        <w:t xml:space="preserve">out of </w:t>
      </w:r>
      <w:r w:rsidR="000F2FCE">
        <w:t xml:space="preserve">the total </w:t>
      </w:r>
      <w:r w:rsidR="009A0597">
        <w:t xml:space="preserve">real </w:t>
      </w:r>
      <w:r w:rsidR="000F2FCE">
        <w:t>cost of 97</w:t>
      </w:r>
      <w:r w:rsidR="000F2FCE" w:rsidRPr="00246772">
        <w:t>¢</w:t>
      </w:r>
      <w:r w:rsidR="000F2FCE">
        <w:t xml:space="preserve"> for </w:t>
      </w:r>
      <w:r w:rsidRPr="00246772">
        <w:t>every dollar of funded research activities – are incurred within the research units that received the fundin</w:t>
      </w:r>
      <w:r w:rsidR="000F2FCE">
        <w:t>g in the first place, and only 3</w:t>
      </w:r>
      <w:r w:rsidRPr="00246772">
        <w:t xml:space="preserve">¢ </w:t>
      </w:r>
      <w:r w:rsidR="00B518CA">
        <w:t xml:space="preserve">(r8/c7) </w:t>
      </w:r>
      <w:r w:rsidRPr="00246772">
        <w:t>spill over into other university units, such as Human Resources, Campus Property and Services, and ICT.</w:t>
      </w:r>
    </w:p>
    <w:p w:rsidR="00DC0171" w:rsidRPr="00246772" w:rsidRDefault="00DC0171" w:rsidP="00687BBC"/>
    <w:p w:rsidR="009E4114" w:rsidRPr="00246772" w:rsidRDefault="009E4114" w:rsidP="00AE294D">
      <w:pPr>
        <w:jc w:val="both"/>
        <w:sectPr w:rsidR="009E4114" w:rsidRPr="00246772" w:rsidSect="00411428">
          <w:headerReference w:type="default" r:id="rId16"/>
          <w:footerReference w:type="default" r:id="rId17"/>
          <w:pgSz w:w="11906" w:h="16838"/>
          <w:pgMar w:top="1440" w:right="1440" w:bottom="1440" w:left="1440" w:header="708" w:footer="708" w:gutter="0"/>
          <w:cols w:space="708"/>
          <w:titlePg/>
          <w:docGrid w:linePitch="360"/>
        </w:sectPr>
      </w:pPr>
    </w:p>
    <w:p w:rsidR="00AE294D" w:rsidRPr="00246772" w:rsidRDefault="00AE294D" w:rsidP="00AE294D">
      <w:pPr>
        <w:jc w:val="both"/>
      </w:pPr>
    </w:p>
    <w:p w:rsidR="00BC0F9D" w:rsidRPr="00246772" w:rsidRDefault="00BC0F9D" w:rsidP="00AE294D">
      <w:pPr>
        <w:jc w:val="both"/>
      </w:pPr>
    </w:p>
    <w:tbl>
      <w:tblPr>
        <w:tblW w:w="0" w:type="auto"/>
        <w:tblInd w:w="93" w:type="dxa"/>
        <w:tblLook w:val="04A0"/>
      </w:tblPr>
      <w:tblGrid>
        <w:gridCol w:w="2895"/>
        <w:gridCol w:w="1399"/>
        <w:gridCol w:w="1780"/>
        <w:gridCol w:w="1119"/>
        <w:gridCol w:w="1844"/>
        <w:gridCol w:w="995"/>
        <w:gridCol w:w="1492"/>
        <w:gridCol w:w="950"/>
        <w:gridCol w:w="1607"/>
      </w:tblGrid>
      <w:tr w:rsidR="002E1D64" w:rsidRPr="00246772" w:rsidTr="00B346F4">
        <w:trPr>
          <w:trHeight w:val="810"/>
        </w:trPr>
        <w:tc>
          <w:tcPr>
            <w:tcW w:w="0" w:type="auto"/>
            <w:tcBorders>
              <w:top w:val="single" w:sz="4" w:space="0" w:color="auto"/>
              <w:left w:val="nil"/>
              <w:bottom w:val="single" w:sz="4" w:space="0" w:color="auto"/>
              <w:right w:val="nil"/>
            </w:tcBorders>
            <w:shd w:val="clear" w:color="auto" w:fill="auto"/>
            <w:noWrap/>
            <w:hideMark/>
          </w:tcPr>
          <w:p w:rsidR="00B346F4" w:rsidRPr="00246772" w:rsidRDefault="00B346F4" w:rsidP="009E4114">
            <w:pPr>
              <w:spacing w:after="0" w:line="240" w:lineRule="auto"/>
            </w:pPr>
          </w:p>
        </w:tc>
        <w:tc>
          <w:tcPr>
            <w:tcW w:w="0" w:type="auto"/>
            <w:tcBorders>
              <w:top w:val="single" w:sz="4" w:space="0" w:color="auto"/>
              <w:left w:val="nil"/>
              <w:bottom w:val="single" w:sz="4" w:space="0" w:color="auto"/>
              <w:right w:val="nil"/>
            </w:tcBorders>
            <w:shd w:val="clear" w:color="auto" w:fill="auto"/>
            <w:hideMark/>
          </w:tcPr>
          <w:p w:rsidR="00B346F4" w:rsidRPr="00246772" w:rsidRDefault="00B346F4" w:rsidP="009E4114">
            <w:pPr>
              <w:spacing w:after="0" w:line="240" w:lineRule="auto"/>
              <w:jc w:val="center"/>
            </w:pPr>
            <w:r w:rsidRPr="00246772">
              <w:t>Wages and salaries</w:t>
            </w:r>
          </w:p>
        </w:tc>
        <w:tc>
          <w:tcPr>
            <w:tcW w:w="0" w:type="auto"/>
            <w:tcBorders>
              <w:top w:val="single" w:sz="4" w:space="0" w:color="auto"/>
              <w:left w:val="nil"/>
              <w:bottom w:val="single" w:sz="4" w:space="0" w:color="auto"/>
              <w:right w:val="nil"/>
            </w:tcBorders>
            <w:shd w:val="clear" w:color="auto" w:fill="auto"/>
            <w:hideMark/>
          </w:tcPr>
          <w:p w:rsidR="00B346F4" w:rsidRPr="00246772" w:rsidRDefault="00E85CB7" w:rsidP="009E4114">
            <w:pPr>
              <w:spacing w:after="0" w:line="240" w:lineRule="auto"/>
              <w:jc w:val="center"/>
            </w:pPr>
            <w:r>
              <w:t xml:space="preserve">+ </w:t>
            </w:r>
            <w:r w:rsidR="00B346F4" w:rsidRPr="00246772">
              <w:t>Gross operating surplus</w:t>
            </w:r>
          </w:p>
        </w:tc>
        <w:tc>
          <w:tcPr>
            <w:tcW w:w="0" w:type="auto"/>
            <w:tcBorders>
              <w:top w:val="single" w:sz="4" w:space="0" w:color="auto"/>
              <w:left w:val="nil"/>
              <w:bottom w:val="single" w:sz="4" w:space="0" w:color="auto"/>
              <w:right w:val="nil"/>
            </w:tcBorders>
            <w:shd w:val="clear" w:color="auto" w:fill="auto"/>
            <w:hideMark/>
          </w:tcPr>
          <w:p w:rsidR="00B346F4" w:rsidRPr="00246772" w:rsidRDefault="00E85CB7" w:rsidP="00B346F4">
            <w:pPr>
              <w:spacing w:after="0" w:line="240" w:lineRule="auto"/>
              <w:jc w:val="center"/>
            </w:pPr>
            <w:r>
              <w:t xml:space="preserve">+ </w:t>
            </w:r>
            <w:r w:rsidR="00B346F4" w:rsidRPr="00246772">
              <w:t>Taxes</w:t>
            </w:r>
          </w:p>
        </w:tc>
        <w:tc>
          <w:tcPr>
            <w:tcW w:w="0" w:type="auto"/>
            <w:tcBorders>
              <w:top w:val="single" w:sz="4" w:space="0" w:color="auto"/>
              <w:left w:val="nil"/>
              <w:bottom w:val="single" w:sz="4" w:space="0" w:color="auto"/>
              <w:right w:val="nil"/>
            </w:tcBorders>
            <w:shd w:val="clear" w:color="auto" w:fill="auto"/>
            <w:hideMark/>
          </w:tcPr>
          <w:p w:rsidR="00B346F4" w:rsidRPr="00246772" w:rsidRDefault="00E85CB7" w:rsidP="009E4114">
            <w:pPr>
              <w:spacing w:after="0" w:line="240" w:lineRule="auto"/>
              <w:jc w:val="center"/>
            </w:pPr>
            <w:r>
              <w:t xml:space="preserve">+ </w:t>
            </w:r>
            <w:r w:rsidR="00B346F4" w:rsidRPr="00246772">
              <w:t>Increases in inventories</w:t>
            </w:r>
          </w:p>
        </w:tc>
        <w:tc>
          <w:tcPr>
            <w:tcW w:w="0" w:type="auto"/>
            <w:tcBorders>
              <w:top w:val="single" w:sz="4" w:space="0" w:color="auto"/>
              <w:left w:val="nil"/>
              <w:bottom w:val="single" w:sz="4" w:space="0" w:color="auto"/>
              <w:right w:val="nil"/>
            </w:tcBorders>
            <w:shd w:val="clear" w:color="auto" w:fill="auto"/>
            <w:hideMark/>
          </w:tcPr>
          <w:p w:rsidR="00B346F4" w:rsidRPr="00246772" w:rsidRDefault="00E85CB7" w:rsidP="009E4114">
            <w:pPr>
              <w:spacing w:after="0" w:line="240" w:lineRule="auto"/>
              <w:jc w:val="center"/>
            </w:pPr>
            <w:r>
              <w:t>+</w:t>
            </w:r>
            <w:r w:rsidRPr="00E85CB7">
              <w:t xml:space="preserve"> </w:t>
            </w:r>
            <w:r w:rsidR="00B346F4" w:rsidRPr="00246772">
              <w:t>Imports</w:t>
            </w:r>
          </w:p>
        </w:tc>
        <w:tc>
          <w:tcPr>
            <w:tcW w:w="0" w:type="auto"/>
            <w:tcBorders>
              <w:top w:val="single" w:sz="4" w:space="0" w:color="auto"/>
              <w:left w:val="nil"/>
              <w:bottom w:val="single" w:sz="4" w:space="0" w:color="auto"/>
              <w:right w:val="dashed" w:sz="4" w:space="0" w:color="auto"/>
            </w:tcBorders>
          </w:tcPr>
          <w:p w:rsidR="00B346F4" w:rsidRPr="00246772" w:rsidRDefault="00E85CB7" w:rsidP="00B346F4">
            <w:pPr>
              <w:spacing w:after="0" w:line="240" w:lineRule="auto"/>
              <w:jc w:val="center"/>
            </w:pPr>
            <w:r>
              <w:t xml:space="preserve">+ </w:t>
            </w:r>
            <w:r w:rsidR="00B346F4">
              <w:t>Operating inputs</w:t>
            </w:r>
          </w:p>
        </w:tc>
        <w:tc>
          <w:tcPr>
            <w:tcW w:w="0" w:type="auto"/>
            <w:tcBorders>
              <w:top w:val="single" w:sz="4" w:space="0" w:color="auto"/>
              <w:left w:val="dashed" w:sz="4" w:space="0" w:color="auto"/>
              <w:bottom w:val="single" w:sz="4" w:space="0" w:color="auto"/>
              <w:right w:val="nil"/>
            </w:tcBorders>
            <w:shd w:val="clear" w:color="auto" w:fill="auto"/>
            <w:hideMark/>
          </w:tcPr>
          <w:p w:rsidR="00B346F4" w:rsidRPr="00246772" w:rsidRDefault="00E85CB7" w:rsidP="009E4114">
            <w:pPr>
              <w:spacing w:after="0" w:line="240" w:lineRule="auto"/>
              <w:jc w:val="center"/>
            </w:pPr>
            <w:r>
              <w:t xml:space="preserve">= </w:t>
            </w:r>
            <w:r w:rsidR="00B346F4" w:rsidRPr="00246772">
              <w:t>Real cost</w:t>
            </w:r>
            <w:r w:rsidR="00EC6D92">
              <w:t xml:space="preserve"> </w:t>
            </w:r>
            <w:r w:rsidR="00004472" w:rsidRPr="00004472">
              <w:rPr>
                <w:vertAlign w:val="superscript"/>
              </w:rPr>
              <w:t>a</w:t>
            </w:r>
          </w:p>
        </w:tc>
        <w:tc>
          <w:tcPr>
            <w:tcW w:w="0" w:type="auto"/>
            <w:tcBorders>
              <w:top w:val="single" w:sz="4" w:space="0" w:color="auto"/>
              <w:left w:val="nil"/>
              <w:bottom w:val="single" w:sz="4" w:space="0" w:color="auto"/>
              <w:right w:val="nil"/>
            </w:tcBorders>
            <w:shd w:val="clear" w:color="auto" w:fill="auto"/>
            <w:hideMark/>
          </w:tcPr>
          <w:p w:rsidR="00B346F4" w:rsidRPr="00246772" w:rsidRDefault="00E85CB7" w:rsidP="009E4114">
            <w:pPr>
              <w:spacing w:after="0" w:line="240" w:lineRule="auto"/>
              <w:jc w:val="center"/>
            </w:pPr>
            <w:r>
              <w:t xml:space="preserve">+ </w:t>
            </w:r>
            <w:r w:rsidR="00B346F4" w:rsidRPr="00246772">
              <w:t>Surplus</w:t>
            </w:r>
            <w:r w:rsidR="00F050E4">
              <w:t xml:space="preserve">, </w:t>
            </w:r>
            <w:r w:rsidR="00497FDD">
              <w:t>to reserve</w:t>
            </w:r>
            <w:r w:rsidR="00F050E4">
              <w:t>s</w:t>
            </w:r>
            <w:r w:rsidR="00145A2C">
              <w:t xml:space="preserve"> </w:t>
            </w:r>
            <w:r w:rsidR="00004472" w:rsidRPr="00004472">
              <w:rPr>
                <w:vertAlign w:val="superscript"/>
              </w:rPr>
              <w:t>b</w:t>
            </w:r>
          </w:p>
        </w:tc>
      </w:tr>
      <w:tr w:rsidR="002E1D64" w:rsidRPr="00246772" w:rsidTr="00B346F4">
        <w:trPr>
          <w:trHeight w:val="300"/>
        </w:trPr>
        <w:tc>
          <w:tcPr>
            <w:tcW w:w="0" w:type="auto"/>
            <w:tcBorders>
              <w:top w:val="single" w:sz="4" w:space="0" w:color="auto"/>
              <w:left w:val="nil"/>
              <w:right w:val="nil"/>
            </w:tcBorders>
            <w:shd w:val="clear" w:color="auto" w:fill="auto"/>
            <w:noWrap/>
            <w:vAlign w:val="bottom"/>
            <w:hideMark/>
          </w:tcPr>
          <w:p w:rsidR="00B346F4" w:rsidRPr="00246772" w:rsidRDefault="00B346F4" w:rsidP="009E4114">
            <w:pPr>
              <w:spacing w:after="0" w:line="240" w:lineRule="auto"/>
            </w:pPr>
          </w:p>
        </w:tc>
        <w:tc>
          <w:tcPr>
            <w:tcW w:w="0" w:type="auto"/>
            <w:tcBorders>
              <w:top w:val="single" w:sz="4" w:space="0" w:color="auto"/>
              <w:left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single" w:sz="4" w:space="0" w:color="auto"/>
              <w:left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single" w:sz="4" w:space="0" w:color="auto"/>
              <w:left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single" w:sz="4" w:space="0" w:color="auto"/>
              <w:left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single" w:sz="4" w:space="0" w:color="auto"/>
              <w:left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single" w:sz="4" w:space="0" w:color="auto"/>
              <w:left w:val="nil"/>
              <w:right w:val="dashed" w:sz="4" w:space="0" w:color="auto"/>
            </w:tcBorders>
          </w:tcPr>
          <w:p w:rsidR="00B346F4" w:rsidRPr="00246772" w:rsidRDefault="00B346F4" w:rsidP="009E4114">
            <w:pPr>
              <w:spacing w:after="0" w:line="240" w:lineRule="auto"/>
              <w:jc w:val="center"/>
            </w:pPr>
          </w:p>
        </w:tc>
        <w:tc>
          <w:tcPr>
            <w:tcW w:w="0" w:type="auto"/>
            <w:tcBorders>
              <w:top w:val="single" w:sz="4" w:space="0" w:color="auto"/>
              <w:left w:val="dashed" w:sz="4" w:space="0" w:color="auto"/>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single" w:sz="4" w:space="0" w:color="auto"/>
              <w:left w:val="nil"/>
              <w:right w:val="nil"/>
            </w:tcBorders>
            <w:shd w:val="clear" w:color="auto" w:fill="auto"/>
            <w:noWrap/>
            <w:vAlign w:val="bottom"/>
            <w:hideMark/>
          </w:tcPr>
          <w:p w:rsidR="00B346F4" w:rsidRPr="00246772" w:rsidRDefault="00B346F4" w:rsidP="009E4114">
            <w:pPr>
              <w:spacing w:after="0" w:line="240" w:lineRule="auto"/>
              <w:jc w:val="center"/>
            </w:pPr>
          </w:p>
        </w:tc>
      </w:tr>
      <w:tr w:rsidR="002E1D64" w:rsidRPr="00246772" w:rsidTr="00B346F4">
        <w:trPr>
          <w:trHeight w:val="300"/>
        </w:trPr>
        <w:tc>
          <w:tcPr>
            <w:tcW w:w="0" w:type="auto"/>
            <w:tcBorders>
              <w:left w:val="nil"/>
              <w:bottom w:val="nil"/>
              <w:right w:val="nil"/>
            </w:tcBorders>
            <w:shd w:val="clear" w:color="auto" w:fill="auto"/>
            <w:noWrap/>
            <w:vAlign w:val="bottom"/>
            <w:hideMark/>
          </w:tcPr>
          <w:p w:rsidR="00B346F4" w:rsidRPr="00B346F4" w:rsidRDefault="00B346F4" w:rsidP="009E4114">
            <w:pPr>
              <w:spacing w:after="0" w:line="240" w:lineRule="auto"/>
              <w:rPr>
                <w:b/>
              </w:rPr>
            </w:pPr>
            <w:r w:rsidRPr="00B346F4">
              <w:rPr>
                <w:b/>
              </w:rPr>
              <w:t>Classical model</w:t>
            </w: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left w:val="nil"/>
              <w:bottom w:val="nil"/>
              <w:right w:val="dashed" w:sz="4" w:space="0" w:color="auto"/>
            </w:tcBorders>
          </w:tcPr>
          <w:p w:rsidR="00B346F4" w:rsidRPr="000F2FCE" w:rsidRDefault="00B346F4" w:rsidP="009E4114">
            <w:pPr>
              <w:spacing w:after="0" w:line="240" w:lineRule="auto"/>
              <w:jc w:val="center"/>
              <w:rPr>
                <w:b/>
              </w:rPr>
            </w:pPr>
          </w:p>
        </w:tc>
        <w:tc>
          <w:tcPr>
            <w:tcW w:w="0" w:type="auto"/>
            <w:tcBorders>
              <w:left w:val="dashed" w:sz="4" w:space="0" w:color="auto"/>
              <w:bottom w:val="nil"/>
              <w:right w:val="nil"/>
            </w:tcBorders>
            <w:shd w:val="clear" w:color="auto" w:fill="auto"/>
            <w:noWrap/>
            <w:vAlign w:val="bottom"/>
            <w:hideMark/>
          </w:tcPr>
          <w:p w:rsidR="00B346F4" w:rsidRPr="000F2FCE" w:rsidRDefault="00B346F4" w:rsidP="009E4114">
            <w:pPr>
              <w:spacing w:after="0" w:line="240" w:lineRule="auto"/>
              <w:jc w:val="center"/>
              <w:rPr>
                <w:b/>
              </w:rPr>
            </w:pP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r>
      <w:tr w:rsidR="002E1D64" w:rsidRPr="00246772" w:rsidTr="00B346F4">
        <w:trPr>
          <w:trHeight w:val="300"/>
        </w:trPr>
        <w:tc>
          <w:tcPr>
            <w:tcW w:w="0" w:type="auto"/>
            <w:tcBorders>
              <w:left w:val="nil"/>
              <w:bottom w:val="nil"/>
              <w:right w:val="nil"/>
            </w:tcBorders>
            <w:shd w:val="clear" w:color="auto" w:fill="auto"/>
            <w:noWrap/>
            <w:vAlign w:val="bottom"/>
            <w:hideMark/>
          </w:tcPr>
          <w:p w:rsidR="00B346F4" w:rsidRPr="00246772" w:rsidRDefault="00B346F4" w:rsidP="002E1D64">
            <w:pPr>
              <w:spacing w:after="0" w:line="240" w:lineRule="auto"/>
            </w:pPr>
            <w:r w:rsidRPr="00246772">
              <w:t xml:space="preserve">University </w:t>
            </w:r>
            <w:r w:rsidR="002E1D64">
              <w:t>requirement</w:t>
            </w:r>
            <w:r w:rsidRPr="00246772">
              <w:t xml:space="preserve"> ($m)</w:t>
            </w:r>
            <w:r w:rsidR="002E1D64">
              <w:t xml:space="preserve"> </w:t>
            </w:r>
            <w:r w:rsidR="002E1D64" w:rsidRPr="002E1D64">
              <w:rPr>
                <w:vertAlign w:val="superscript"/>
              </w:rPr>
              <w:t>c</w:t>
            </w: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3.40</w:t>
            </w: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-0.17</w:t>
            </w:r>
          </w:p>
        </w:tc>
        <w:tc>
          <w:tcPr>
            <w:tcW w:w="0" w:type="auto"/>
            <w:tcBorders>
              <w:left w:val="nil"/>
              <w:bottom w:val="nil"/>
              <w:right w:val="nil"/>
            </w:tcBorders>
            <w:shd w:val="clear" w:color="auto" w:fill="auto"/>
            <w:noWrap/>
            <w:vAlign w:val="bottom"/>
            <w:hideMark/>
          </w:tcPr>
          <w:p w:rsidR="00B346F4" w:rsidRPr="00246772" w:rsidRDefault="00B346F4" w:rsidP="00B0505F">
            <w:pPr>
              <w:spacing w:after="0" w:line="240" w:lineRule="auto"/>
              <w:jc w:val="center"/>
            </w:pPr>
            <w:r w:rsidRPr="00246772">
              <w:t>0.</w:t>
            </w:r>
            <w:r w:rsidR="00B0505F">
              <w:t>18</w:t>
            </w: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0.40</w:t>
            </w:r>
          </w:p>
        </w:tc>
        <w:tc>
          <w:tcPr>
            <w:tcW w:w="0" w:type="auto"/>
            <w:tcBorders>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0.00</w:t>
            </w:r>
          </w:p>
        </w:tc>
        <w:tc>
          <w:tcPr>
            <w:tcW w:w="0" w:type="auto"/>
            <w:tcBorders>
              <w:left w:val="nil"/>
              <w:bottom w:val="nil"/>
              <w:right w:val="dashed" w:sz="4" w:space="0" w:color="auto"/>
            </w:tcBorders>
          </w:tcPr>
          <w:p w:rsidR="00B346F4" w:rsidRPr="000F2FCE" w:rsidRDefault="00B346F4" w:rsidP="009E4114">
            <w:pPr>
              <w:spacing w:after="0" w:line="240" w:lineRule="auto"/>
              <w:jc w:val="center"/>
              <w:rPr>
                <w:b/>
              </w:rPr>
            </w:pPr>
          </w:p>
        </w:tc>
        <w:tc>
          <w:tcPr>
            <w:tcW w:w="0" w:type="auto"/>
            <w:tcBorders>
              <w:left w:val="dashed" w:sz="4" w:space="0" w:color="auto"/>
              <w:bottom w:val="nil"/>
              <w:right w:val="nil"/>
            </w:tcBorders>
            <w:shd w:val="clear" w:color="auto" w:fill="auto"/>
            <w:noWrap/>
            <w:vAlign w:val="bottom"/>
            <w:hideMark/>
          </w:tcPr>
          <w:p w:rsidR="00B346F4" w:rsidRPr="00E85CB7" w:rsidRDefault="00B346F4" w:rsidP="00E85CB7">
            <w:pPr>
              <w:spacing w:after="0" w:line="240" w:lineRule="auto"/>
              <w:jc w:val="center"/>
            </w:pPr>
            <w:r w:rsidRPr="00E85CB7">
              <w:t>3.57</w:t>
            </w:r>
          </w:p>
        </w:tc>
        <w:tc>
          <w:tcPr>
            <w:tcW w:w="0" w:type="auto"/>
            <w:tcBorders>
              <w:left w:val="nil"/>
              <w:bottom w:val="nil"/>
              <w:right w:val="nil"/>
            </w:tcBorders>
            <w:shd w:val="clear" w:color="auto" w:fill="auto"/>
            <w:noWrap/>
            <w:vAlign w:val="bottom"/>
            <w:hideMark/>
          </w:tcPr>
          <w:p w:rsidR="00B346F4" w:rsidRPr="00E85CB7" w:rsidRDefault="00B346F4" w:rsidP="009E4114">
            <w:pPr>
              <w:spacing w:after="0" w:line="240" w:lineRule="auto"/>
              <w:jc w:val="center"/>
            </w:pPr>
            <w:r w:rsidRPr="00E85CB7">
              <w:t>0.23</w:t>
            </w:r>
          </w:p>
        </w:tc>
      </w:tr>
      <w:tr w:rsidR="002E1D64" w:rsidRPr="00F050E4"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r w:rsidRPr="00246772">
              <w:t xml:space="preserve">Economy </w:t>
            </w:r>
            <w:r w:rsidR="002E1D64">
              <w:t>requirement</w:t>
            </w:r>
            <w:r w:rsidRPr="00246772">
              <w:t xml:space="preserve"> ($m)</w:t>
            </w:r>
            <w:r w:rsidR="002E1D64">
              <w:t xml:space="preserve"> </w:t>
            </w:r>
            <w:r w:rsidR="002E1D64" w:rsidRPr="002E1D64">
              <w:rPr>
                <w:vertAlign w:val="superscript"/>
              </w:rPr>
              <w:t>d</w:t>
            </w:r>
          </w:p>
        </w:tc>
        <w:tc>
          <w:tcPr>
            <w:tcW w:w="0" w:type="auto"/>
            <w:tcBorders>
              <w:top w:val="nil"/>
              <w:left w:val="nil"/>
              <w:bottom w:val="nil"/>
              <w:right w:val="nil"/>
            </w:tcBorders>
            <w:shd w:val="clear" w:color="auto" w:fill="auto"/>
            <w:noWrap/>
            <w:vAlign w:val="bottom"/>
            <w:hideMark/>
          </w:tcPr>
          <w:p w:rsidR="00B346F4" w:rsidRPr="00B518CA" w:rsidRDefault="00B346F4" w:rsidP="009E4114">
            <w:pPr>
              <w:spacing w:after="0" w:line="240" w:lineRule="auto"/>
              <w:jc w:val="center"/>
            </w:pPr>
            <w:r w:rsidRPr="00B518CA">
              <w:t>1.57</w:t>
            </w:r>
          </w:p>
        </w:tc>
        <w:tc>
          <w:tcPr>
            <w:tcW w:w="0" w:type="auto"/>
            <w:tcBorders>
              <w:top w:val="nil"/>
              <w:left w:val="nil"/>
              <w:bottom w:val="nil"/>
              <w:right w:val="nil"/>
            </w:tcBorders>
            <w:shd w:val="clear" w:color="auto" w:fill="auto"/>
            <w:noWrap/>
            <w:vAlign w:val="bottom"/>
            <w:hideMark/>
          </w:tcPr>
          <w:p w:rsidR="00B346F4" w:rsidRPr="00B518CA" w:rsidRDefault="00B346F4" w:rsidP="009E4114">
            <w:pPr>
              <w:spacing w:after="0" w:line="240" w:lineRule="auto"/>
              <w:jc w:val="center"/>
            </w:pPr>
            <w:r w:rsidRPr="00B518CA">
              <w:t>0.67</w:t>
            </w:r>
          </w:p>
        </w:tc>
        <w:tc>
          <w:tcPr>
            <w:tcW w:w="0" w:type="auto"/>
            <w:tcBorders>
              <w:top w:val="nil"/>
              <w:left w:val="nil"/>
              <w:bottom w:val="nil"/>
              <w:right w:val="nil"/>
            </w:tcBorders>
            <w:shd w:val="clear" w:color="auto" w:fill="auto"/>
            <w:noWrap/>
            <w:vAlign w:val="bottom"/>
            <w:hideMark/>
          </w:tcPr>
          <w:p w:rsidR="00B346F4" w:rsidRPr="00B518CA" w:rsidRDefault="00B0505F" w:rsidP="00B0505F">
            <w:pPr>
              <w:spacing w:after="0" w:line="240" w:lineRule="auto"/>
              <w:jc w:val="center"/>
            </w:pPr>
            <w:r w:rsidRPr="00B518CA">
              <w:t>0.13</w:t>
            </w:r>
          </w:p>
        </w:tc>
        <w:tc>
          <w:tcPr>
            <w:tcW w:w="0" w:type="auto"/>
            <w:tcBorders>
              <w:top w:val="nil"/>
              <w:left w:val="nil"/>
              <w:bottom w:val="nil"/>
              <w:right w:val="nil"/>
            </w:tcBorders>
            <w:shd w:val="clear" w:color="auto" w:fill="auto"/>
            <w:noWrap/>
            <w:vAlign w:val="bottom"/>
            <w:hideMark/>
          </w:tcPr>
          <w:p w:rsidR="00B346F4" w:rsidRPr="00B518CA" w:rsidRDefault="00B346F4" w:rsidP="009E4114">
            <w:pPr>
              <w:spacing w:after="0" w:line="240" w:lineRule="auto"/>
              <w:jc w:val="center"/>
            </w:pPr>
            <w:r w:rsidRPr="00B518CA">
              <w:t>0.01</w:t>
            </w:r>
          </w:p>
        </w:tc>
        <w:tc>
          <w:tcPr>
            <w:tcW w:w="0" w:type="auto"/>
            <w:tcBorders>
              <w:top w:val="nil"/>
              <w:left w:val="nil"/>
              <w:bottom w:val="nil"/>
              <w:right w:val="nil"/>
            </w:tcBorders>
            <w:shd w:val="clear" w:color="auto" w:fill="auto"/>
            <w:noWrap/>
            <w:vAlign w:val="bottom"/>
            <w:hideMark/>
          </w:tcPr>
          <w:p w:rsidR="00B346F4" w:rsidRPr="00B518CA" w:rsidRDefault="00B346F4" w:rsidP="009E4114">
            <w:pPr>
              <w:spacing w:after="0" w:line="240" w:lineRule="auto"/>
              <w:jc w:val="center"/>
            </w:pPr>
            <w:r w:rsidRPr="00B518CA">
              <w:t>0.75</w:t>
            </w:r>
          </w:p>
        </w:tc>
        <w:tc>
          <w:tcPr>
            <w:tcW w:w="0" w:type="auto"/>
            <w:tcBorders>
              <w:top w:val="nil"/>
              <w:left w:val="nil"/>
              <w:bottom w:val="nil"/>
              <w:right w:val="dashed" w:sz="4" w:space="0" w:color="auto"/>
            </w:tcBorders>
          </w:tcPr>
          <w:p w:rsidR="00B346F4" w:rsidRPr="00F050E4" w:rsidRDefault="00B346F4" w:rsidP="009E4114">
            <w:pPr>
              <w:spacing w:after="0" w:line="240" w:lineRule="auto"/>
              <w:jc w:val="center"/>
              <w:rPr>
                <w:b/>
                <w:i/>
              </w:rPr>
            </w:pPr>
          </w:p>
        </w:tc>
        <w:tc>
          <w:tcPr>
            <w:tcW w:w="0" w:type="auto"/>
            <w:tcBorders>
              <w:top w:val="nil"/>
              <w:left w:val="dashed" w:sz="4" w:space="0" w:color="auto"/>
              <w:bottom w:val="nil"/>
              <w:right w:val="nil"/>
            </w:tcBorders>
            <w:shd w:val="clear" w:color="auto" w:fill="auto"/>
            <w:noWrap/>
            <w:vAlign w:val="bottom"/>
            <w:hideMark/>
          </w:tcPr>
          <w:p w:rsidR="00B346F4" w:rsidRPr="002E1D64" w:rsidRDefault="00B346F4" w:rsidP="00E85CB7">
            <w:pPr>
              <w:spacing w:after="0" w:line="240" w:lineRule="auto"/>
              <w:jc w:val="center"/>
              <w:rPr>
                <w:b/>
              </w:rPr>
            </w:pPr>
            <w:r w:rsidRPr="002E1D64">
              <w:rPr>
                <w:b/>
              </w:rPr>
              <w:t>2.45</w:t>
            </w:r>
          </w:p>
        </w:tc>
        <w:tc>
          <w:tcPr>
            <w:tcW w:w="0" w:type="auto"/>
            <w:tcBorders>
              <w:top w:val="nil"/>
              <w:left w:val="nil"/>
              <w:bottom w:val="nil"/>
              <w:right w:val="nil"/>
            </w:tcBorders>
            <w:shd w:val="clear" w:color="auto" w:fill="auto"/>
            <w:noWrap/>
            <w:vAlign w:val="bottom"/>
            <w:hideMark/>
          </w:tcPr>
          <w:p w:rsidR="00B346F4" w:rsidRPr="002E1D64" w:rsidRDefault="00B346F4" w:rsidP="00E85CB7">
            <w:pPr>
              <w:spacing w:after="0" w:line="240" w:lineRule="auto"/>
              <w:jc w:val="center"/>
              <w:rPr>
                <w:b/>
              </w:rPr>
            </w:pPr>
            <w:r w:rsidRPr="002E1D64">
              <w:rPr>
                <w:b/>
              </w:rPr>
              <w:t>0.68</w:t>
            </w:r>
          </w:p>
        </w:tc>
      </w:tr>
      <w:tr w:rsidR="002E1D64" w:rsidRPr="00246772"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dashed" w:sz="4" w:space="0" w:color="auto"/>
            </w:tcBorders>
          </w:tcPr>
          <w:p w:rsidR="00B346F4" w:rsidRPr="00246772" w:rsidRDefault="00B346F4" w:rsidP="009E4114">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B346F4" w:rsidRPr="00E85CB7"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E85CB7" w:rsidRDefault="00B346F4" w:rsidP="009E4114">
            <w:pPr>
              <w:spacing w:after="0" w:line="240" w:lineRule="auto"/>
              <w:jc w:val="center"/>
            </w:pPr>
          </w:p>
        </w:tc>
      </w:tr>
      <w:tr w:rsidR="002E1D64" w:rsidRPr="00246772"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r w:rsidRPr="00246772">
              <w:t xml:space="preserve">University </w:t>
            </w:r>
            <w:r w:rsidR="002E1D64">
              <w:t>requirement</w:t>
            </w:r>
            <w:r w:rsidRPr="00246772">
              <w:t xml:space="preserve"> (¢/$)</w:t>
            </w:r>
            <w:r w:rsidR="00E47752">
              <w:t xml:space="preserve"> </w:t>
            </w:r>
            <w:r w:rsidR="00E47752" w:rsidRPr="00E47752">
              <w:rPr>
                <w:vertAlign w:val="superscript"/>
              </w:rPr>
              <w:t>c</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49</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-2</w:t>
            </w:r>
          </w:p>
        </w:tc>
        <w:tc>
          <w:tcPr>
            <w:tcW w:w="0" w:type="auto"/>
            <w:tcBorders>
              <w:top w:val="nil"/>
              <w:left w:val="nil"/>
              <w:bottom w:val="nil"/>
              <w:right w:val="nil"/>
            </w:tcBorders>
            <w:shd w:val="clear" w:color="auto" w:fill="auto"/>
            <w:noWrap/>
            <w:vAlign w:val="bottom"/>
            <w:hideMark/>
          </w:tcPr>
          <w:p w:rsidR="00B346F4" w:rsidRPr="00246772" w:rsidRDefault="00B0505F" w:rsidP="009E4114">
            <w:pPr>
              <w:spacing w:after="0" w:line="240" w:lineRule="auto"/>
              <w:jc w:val="center"/>
            </w:pPr>
            <w:r>
              <w:t>3</w:t>
            </w:r>
          </w:p>
        </w:tc>
        <w:tc>
          <w:tcPr>
            <w:tcW w:w="0" w:type="auto"/>
            <w:tcBorders>
              <w:top w:val="nil"/>
              <w:left w:val="nil"/>
              <w:bottom w:val="nil"/>
              <w:right w:val="nil"/>
            </w:tcBorders>
            <w:shd w:val="clear" w:color="auto" w:fill="auto"/>
            <w:noWrap/>
            <w:vAlign w:val="bottom"/>
            <w:hideMark/>
          </w:tcPr>
          <w:p w:rsidR="00B346F4" w:rsidRPr="00246772" w:rsidRDefault="00B518CA" w:rsidP="009E4114">
            <w:pPr>
              <w:spacing w:after="0" w:line="240" w:lineRule="auto"/>
              <w:jc w:val="center"/>
            </w:pPr>
            <w:r>
              <w:t>5</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w:t>
            </w:r>
          </w:p>
        </w:tc>
        <w:tc>
          <w:tcPr>
            <w:tcW w:w="0" w:type="auto"/>
            <w:tcBorders>
              <w:top w:val="nil"/>
              <w:left w:val="nil"/>
              <w:bottom w:val="nil"/>
              <w:right w:val="dashed" w:sz="4" w:space="0" w:color="auto"/>
            </w:tcBorders>
          </w:tcPr>
          <w:p w:rsidR="00B346F4" w:rsidRPr="000F2FCE" w:rsidRDefault="00B346F4" w:rsidP="009E4114">
            <w:pPr>
              <w:spacing w:after="0" w:line="240" w:lineRule="auto"/>
              <w:jc w:val="center"/>
              <w:rPr>
                <w:b/>
              </w:rPr>
            </w:pPr>
          </w:p>
        </w:tc>
        <w:tc>
          <w:tcPr>
            <w:tcW w:w="0" w:type="auto"/>
            <w:tcBorders>
              <w:top w:val="nil"/>
              <w:left w:val="dashed" w:sz="4" w:space="0" w:color="auto"/>
              <w:bottom w:val="nil"/>
              <w:right w:val="nil"/>
            </w:tcBorders>
            <w:shd w:val="clear" w:color="auto" w:fill="auto"/>
            <w:noWrap/>
            <w:vAlign w:val="bottom"/>
            <w:hideMark/>
          </w:tcPr>
          <w:p w:rsidR="00B346F4" w:rsidRPr="00E85CB7" w:rsidRDefault="00B346F4" w:rsidP="009E4114">
            <w:pPr>
              <w:spacing w:after="0" w:line="240" w:lineRule="auto"/>
              <w:jc w:val="center"/>
            </w:pPr>
            <w:r w:rsidRPr="00E85CB7">
              <w:t>51</w:t>
            </w:r>
          </w:p>
        </w:tc>
        <w:tc>
          <w:tcPr>
            <w:tcW w:w="0" w:type="auto"/>
            <w:tcBorders>
              <w:top w:val="nil"/>
              <w:left w:val="nil"/>
              <w:bottom w:val="nil"/>
              <w:right w:val="nil"/>
            </w:tcBorders>
            <w:shd w:val="clear" w:color="auto" w:fill="auto"/>
            <w:noWrap/>
            <w:vAlign w:val="bottom"/>
            <w:hideMark/>
          </w:tcPr>
          <w:p w:rsidR="00B346F4" w:rsidRPr="00E85CB7" w:rsidRDefault="00B346F4" w:rsidP="009E4114">
            <w:pPr>
              <w:spacing w:after="0" w:line="240" w:lineRule="auto"/>
              <w:jc w:val="center"/>
            </w:pPr>
            <w:r w:rsidRPr="00E85CB7">
              <w:t>3</w:t>
            </w:r>
          </w:p>
        </w:tc>
      </w:tr>
      <w:tr w:rsidR="002E1D64" w:rsidRPr="00246772"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r w:rsidRPr="00246772">
              <w:t xml:space="preserve">Economy </w:t>
            </w:r>
            <w:r w:rsidR="002E1D64">
              <w:t>requirement</w:t>
            </w:r>
            <w:r w:rsidRPr="00246772">
              <w:t xml:space="preserve"> (¢/$)</w:t>
            </w:r>
            <w:r w:rsidR="00E47752">
              <w:t xml:space="preserve"> </w:t>
            </w:r>
            <w:r w:rsidR="00E47752" w:rsidRPr="00E47752">
              <w:rPr>
                <w:vertAlign w:val="superscript"/>
              </w:rPr>
              <w:t>d</w:t>
            </w:r>
          </w:p>
        </w:tc>
        <w:tc>
          <w:tcPr>
            <w:tcW w:w="0" w:type="auto"/>
            <w:tcBorders>
              <w:top w:val="nil"/>
              <w:left w:val="nil"/>
              <w:bottom w:val="nil"/>
              <w:right w:val="nil"/>
            </w:tcBorders>
            <w:shd w:val="clear" w:color="auto" w:fill="auto"/>
            <w:noWrap/>
            <w:vAlign w:val="bottom"/>
            <w:hideMark/>
          </w:tcPr>
          <w:p w:rsidR="00B346F4" w:rsidRPr="00B731B3" w:rsidRDefault="00B346F4" w:rsidP="009E4114">
            <w:pPr>
              <w:spacing w:after="0" w:line="240" w:lineRule="auto"/>
              <w:jc w:val="center"/>
            </w:pPr>
            <w:r w:rsidRPr="00B731B3">
              <w:t>23</w:t>
            </w:r>
          </w:p>
        </w:tc>
        <w:tc>
          <w:tcPr>
            <w:tcW w:w="0" w:type="auto"/>
            <w:tcBorders>
              <w:top w:val="nil"/>
              <w:left w:val="nil"/>
              <w:bottom w:val="nil"/>
              <w:right w:val="nil"/>
            </w:tcBorders>
            <w:shd w:val="clear" w:color="auto" w:fill="auto"/>
            <w:noWrap/>
            <w:vAlign w:val="bottom"/>
            <w:hideMark/>
          </w:tcPr>
          <w:p w:rsidR="00B346F4" w:rsidRPr="00B731B3" w:rsidRDefault="00B346F4" w:rsidP="009E4114">
            <w:pPr>
              <w:spacing w:after="0" w:line="240" w:lineRule="auto"/>
              <w:jc w:val="center"/>
            </w:pPr>
            <w:r w:rsidRPr="00B731B3">
              <w:t>10</w:t>
            </w:r>
          </w:p>
        </w:tc>
        <w:tc>
          <w:tcPr>
            <w:tcW w:w="0" w:type="auto"/>
            <w:tcBorders>
              <w:top w:val="nil"/>
              <w:left w:val="nil"/>
              <w:bottom w:val="nil"/>
              <w:right w:val="nil"/>
            </w:tcBorders>
            <w:shd w:val="clear" w:color="auto" w:fill="auto"/>
            <w:noWrap/>
            <w:vAlign w:val="bottom"/>
            <w:hideMark/>
          </w:tcPr>
          <w:p w:rsidR="00B346F4" w:rsidRPr="00B731B3" w:rsidRDefault="00B0505F" w:rsidP="009E4114">
            <w:pPr>
              <w:spacing w:after="0" w:line="240" w:lineRule="auto"/>
              <w:jc w:val="center"/>
            </w:pPr>
            <w:r w:rsidRPr="00B731B3">
              <w:t>2</w:t>
            </w:r>
          </w:p>
        </w:tc>
        <w:tc>
          <w:tcPr>
            <w:tcW w:w="0" w:type="auto"/>
            <w:tcBorders>
              <w:top w:val="nil"/>
              <w:left w:val="nil"/>
              <w:bottom w:val="nil"/>
              <w:right w:val="nil"/>
            </w:tcBorders>
            <w:shd w:val="clear" w:color="auto" w:fill="auto"/>
            <w:noWrap/>
            <w:vAlign w:val="bottom"/>
            <w:hideMark/>
          </w:tcPr>
          <w:p w:rsidR="00B346F4" w:rsidRPr="00B731B3" w:rsidRDefault="00B346F4" w:rsidP="009E4114">
            <w:pPr>
              <w:spacing w:after="0" w:line="240" w:lineRule="auto"/>
              <w:jc w:val="center"/>
            </w:pPr>
            <w:r w:rsidRPr="00B731B3">
              <w:t>0</w:t>
            </w:r>
          </w:p>
        </w:tc>
        <w:tc>
          <w:tcPr>
            <w:tcW w:w="0" w:type="auto"/>
            <w:tcBorders>
              <w:top w:val="nil"/>
              <w:left w:val="nil"/>
              <w:bottom w:val="nil"/>
              <w:right w:val="nil"/>
            </w:tcBorders>
            <w:shd w:val="clear" w:color="auto" w:fill="auto"/>
            <w:noWrap/>
            <w:vAlign w:val="bottom"/>
            <w:hideMark/>
          </w:tcPr>
          <w:p w:rsidR="00B346F4" w:rsidRPr="00B731B3" w:rsidRDefault="00B346F4" w:rsidP="009E4114">
            <w:pPr>
              <w:spacing w:after="0" w:line="240" w:lineRule="auto"/>
              <w:jc w:val="center"/>
            </w:pPr>
            <w:r w:rsidRPr="00B731B3">
              <w:t>11</w:t>
            </w:r>
          </w:p>
        </w:tc>
        <w:tc>
          <w:tcPr>
            <w:tcW w:w="0" w:type="auto"/>
            <w:tcBorders>
              <w:top w:val="nil"/>
              <w:left w:val="nil"/>
              <w:bottom w:val="nil"/>
              <w:right w:val="dashed" w:sz="4" w:space="0" w:color="auto"/>
            </w:tcBorders>
          </w:tcPr>
          <w:p w:rsidR="00B346F4" w:rsidRPr="00F050E4" w:rsidRDefault="00B346F4" w:rsidP="009E4114">
            <w:pPr>
              <w:spacing w:after="0" w:line="240" w:lineRule="auto"/>
              <w:jc w:val="center"/>
              <w:rPr>
                <w:b/>
                <w:i/>
              </w:rPr>
            </w:pPr>
          </w:p>
        </w:tc>
        <w:tc>
          <w:tcPr>
            <w:tcW w:w="0" w:type="auto"/>
            <w:tcBorders>
              <w:top w:val="nil"/>
              <w:left w:val="dashed" w:sz="4" w:space="0" w:color="auto"/>
              <w:bottom w:val="nil"/>
              <w:right w:val="nil"/>
            </w:tcBorders>
            <w:shd w:val="clear" w:color="auto" w:fill="auto"/>
            <w:noWrap/>
            <w:vAlign w:val="bottom"/>
            <w:hideMark/>
          </w:tcPr>
          <w:p w:rsidR="00B346F4" w:rsidRPr="002E1D64" w:rsidRDefault="00B346F4" w:rsidP="009E4114">
            <w:pPr>
              <w:spacing w:after="0" w:line="240" w:lineRule="auto"/>
              <w:jc w:val="center"/>
              <w:rPr>
                <w:b/>
              </w:rPr>
            </w:pPr>
            <w:r w:rsidRPr="002E1D64">
              <w:rPr>
                <w:b/>
              </w:rPr>
              <w:t>35</w:t>
            </w:r>
          </w:p>
        </w:tc>
        <w:tc>
          <w:tcPr>
            <w:tcW w:w="0" w:type="auto"/>
            <w:tcBorders>
              <w:top w:val="nil"/>
              <w:left w:val="nil"/>
              <w:bottom w:val="nil"/>
              <w:right w:val="nil"/>
            </w:tcBorders>
            <w:shd w:val="clear" w:color="auto" w:fill="auto"/>
            <w:noWrap/>
            <w:vAlign w:val="bottom"/>
            <w:hideMark/>
          </w:tcPr>
          <w:p w:rsidR="00B346F4" w:rsidRPr="002E1D64" w:rsidRDefault="00B346F4" w:rsidP="00E85CB7">
            <w:pPr>
              <w:spacing w:after="0" w:line="240" w:lineRule="auto"/>
              <w:jc w:val="center"/>
              <w:rPr>
                <w:b/>
              </w:rPr>
            </w:pPr>
            <w:r w:rsidRPr="002E1D64">
              <w:rPr>
                <w:b/>
              </w:rPr>
              <w:t>10</w:t>
            </w:r>
          </w:p>
        </w:tc>
      </w:tr>
      <w:tr w:rsidR="002E1D64" w:rsidRPr="00246772"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dashed" w:sz="4" w:space="0" w:color="auto"/>
            </w:tcBorders>
          </w:tcPr>
          <w:p w:rsidR="00B346F4" w:rsidRPr="00246772" w:rsidRDefault="00B346F4" w:rsidP="009E4114">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B346F4" w:rsidRPr="00E85CB7" w:rsidRDefault="006C13D1" w:rsidP="009E4114">
            <w:pPr>
              <w:spacing w:after="0" w:line="240" w:lineRule="auto"/>
              <w:jc w:val="center"/>
            </w:pPr>
            <w:r w:rsidRPr="00E85CB7">
              <w:t xml:space="preserve"> </w:t>
            </w:r>
          </w:p>
        </w:tc>
        <w:tc>
          <w:tcPr>
            <w:tcW w:w="0" w:type="auto"/>
            <w:tcBorders>
              <w:top w:val="nil"/>
              <w:left w:val="nil"/>
              <w:bottom w:val="nil"/>
              <w:right w:val="nil"/>
            </w:tcBorders>
            <w:shd w:val="clear" w:color="auto" w:fill="auto"/>
            <w:noWrap/>
            <w:vAlign w:val="bottom"/>
            <w:hideMark/>
          </w:tcPr>
          <w:p w:rsidR="00B346F4" w:rsidRPr="00E85CB7" w:rsidRDefault="00B346F4" w:rsidP="009E4114">
            <w:pPr>
              <w:spacing w:after="0" w:line="240" w:lineRule="auto"/>
              <w:jc w:val="center"/>
            </w:pPr>
          </w:p>
        </w:tc>
      </w:tr>
      <w:tr w:rsidR="002E1D64" w:rsidRPr="00246772" w:rsidTr="000A5D28">
        <w:trPr>
          <w:trHeight w:val="300"/>
        </w:trPr>
        <w:tc>
          <w:tcPr>
            <w:tcW w:w="0" w:type="auto"/>
            <w:tcBorders>
              <w:top w:val="nil"/>
              <w:left w:val="nil"/>
              <w:bottom w:val="nil"/>
              <w:right w:val="nil"/>
            </w:tcBorders>
            <w:shd w:val="clear" w:color="auto" w:fill="auto"/>
            <w:noWrap/>
            <w:vAlign w:val="bottom"/>
            <w:hideMark/>
          </w:tcPr>
          <w:p w:rsidR="00D628DA" w:rsidRPr="00B346F4" w:rsidRDefault="00D628DA" w:rsidP="009E4114">
            <w:pPr>
              <w:spacing w:after="0" w:line="240" w:lineRule="auto"/>
              <w:rPr>
                <w:b/>
              </w:rPr>
            </w:pPr>
            <w:r w:rsidRPr="00B346F4">
              <w:rPr>
                <w:b/>
              </w:rPr>
              <w:t>Open model</w:t>
            </w:r>
          </w:p>
        </w:tc>
        <w:tc>
          <w:tcPr>
            <w:tcW w:w="0" w:type="auto"/>
            <w:tcBorders>
              <w:top w:val="nil"/>
              <w:left w:val="nil"/>
              <w:bottom w:val="nil"/>
              <w:right w:val="nil"/>
            </w:tcBorders>
            <w:shd w:val="clear" w:color="auto" w:fill="auto"/>
            <w:noWrap/>
            <w:vAlign w:val="bottom"/>
            <w:hideMark/>
          </w:tcPr>
          <w:p w:rsidR="00D628DA" w:rsidRPr="00246772" w:rsidRDefault="00D628DA" w:rsidP="00D628DA">
            <w:pPr>
              <w:spacing w:after="0" w:line="240" w:lineRule="auto"/>
              <w:jc w:val="center"/>
            </w:pPr>
            <w:r>
              <w:rPr>
                <w:rFonts w:ascii="Times New Roman" w:hAnsi="Times New Roman" w:cs="Times New Roman"/>
              </w:rPr>
              <w:t>┌───</w:t>
            </w:r>
          </w:p>
        </w:tc>
        <w:tc>
          <w:tcPr>
            <w:tcW w:w="0" w:type="auto"/>
            <w:tcBorders>
              <w:top w:val="nil"/>
              <w:left w:val="nil"/>
              <w:bottom w:val="nil"/>
              <w:right w:val="nil"/>
            </w:tcBorders>
            <w:shd w:val="clear" w:color="auto" w:fill="auto"/>
            <w:vAlign w:val="bottom"/>
          </w:tcPr>
          <w:p w:rsidR="00D628DA" w:rsidRPr="00246772" w:rsidRDefault="00D628DA" w:rsidP="00D628DA">
            <w:pPr>
              <w:spacing w:after="0" w:line="240" w:lineRule="auto"/>
              <w:jc w:val="center"/>
            </w:pPr>
          </w:p>
        </w:tc>
        <w:tc>
          <w:tcPr>
            <w:tcW w:w="0" w:type="auto"/>
            <w:tcBorders>
              <w:top w:val="nil"/>
              <w:left w:val="nil"/>
              <w:bottom w:val="nil"/>
              <w:right w:val="nil"/>
            </w:tcBorders>
            <w:shd w:val="clear" w:color="auto" w:fill="auto"/>
            <w:vAlign w:val="bottom"/>
          </w:tcPr>
          <w:p w:rsidR="00D628DA" w:rsidRPr="00246772" w:rsidRDefault="00D628DA" w:rsidP="002E1D64">
            <w:pPr>
              <w:spacing w:after="0" w:line="240" w:lineRule="auto"/>
              <w:jc w:val="center"/>
            </w:pPr>
            <w:r>
              <w:t>University</w:t>
            </w:r>
          </w:p>
        </w:tc>
        <w:tc>
          <w:tcPr>
            <w:tcW w:w="0" w:type="auto"/>
            <w:tcBorders>
              <w:top w:val="nil"/>
              <w:left w:val="nil"/>
              <w:bottom w:val="nil"/>
              <w:right w:val="nil"/>
            </w:tcBorders>
            <w:shd w:val="clear" w:color="auto" w:fill="auto"/>
            <w:vAlign w:val="bottom"/>
          </w:tcPr>
          <w:p w:rsidR="00D628DA" w:rsidRPr="00246772" w:rsidRDefault="002E1D64" w:rsidP="002E1D64">
            <w:pPr>
              <w:spacing w:after="0" w:line="240" w:lineRule="auto"/>
            </w:pPr>
            <w:r w:rsidRPr="002E1D64">
              <w:rPr>
                <w:vertAlign w:val="superscript"/>
              </w:rPr>
              <w:t>e</w:t>
            </w:r>
          </w:p>
        </w:tc>
        <w:tc>
          <w:tcPr>
            <w:tcW w:w="0" w:type="auto"/>
            <w:tcBorders>
              <w:top w:val="nil"/>
              <w:left w:val="nil"/>
              <w:bottom w:val="nil"/>
              <w:right w:val="nil"/>
            </w:tcBorders>
            <w:shd w:val="clear" w:color="auto" w:fill="auto"/>
            <w:vAlign w:val="bottom"/>
          </w:tcPr>
          <w:p w:rsidR="00D628DA" w:rsidRPr="00246772" w:rsidRDefault="00D628DA" w:rsidP="00D628DA">
            <w:pPr>
              <w:spacing w:after="0" w:line="240" w:lineRule="auto"/>
              <w:jc w:val="right"/>
            </w:pPr>
            <w:r>
              <w:rPr>
                <w:rFonts w:ascii="Times New Roman" w:hAnsi="Times New Roman" w:cs="Times New Roman"/>
              </w:rPr>
              <w:t>───┐</w:t>
            </w:r>
          </w:p>
        </w:tc>
        <w:tc>
          <w:tcPr>
            <w:tcW w:w="0" w:type="auto"/>
            <w:tcBorders>
              <w:top w:val="nil"/>
              <w:left w:val="nil"/>
              <w:bottom w:val="nil"/>
              <w:right w:val="dashed" w:sz="4" w:space="0" w:color="auto"/>
            </w:tcBorders>
            <w:vAlign w:val="bottom"/>
          </w:tcPr>
          <w:p w:rsidR="00D628DA" w:rsidRPr="002E1D64" w:rsidRDefault="00D628DA" w:rsidP="00E85CB7">
            <w:pPr>
              <w:spacing w:after="0" w:line="240" w:lineRule="auto"/>
              <w:jc w:val="center"/>
            </w:pPr>
            <w:r w:rsidRPr="002E1D64">
              <w:t>Econom</w:t>
            </w:r>
            <w:r w:rsidR="00E85CB7" w:rsidRPr="002E1D64">
              <w:t>y</w:t>
            </w:r>
            <w:r w:rsidR="002E1D64">
              <w:t xml:space="preserve"> </w:t>
            </w:r>
            <w:r w:rsidR="002E1D64" w:rsidRPr="002E1D64">
              <w:rPr>
                <w:vertAlign w:val="superscript"/>
              </w:rPr>
              <w:t>f</w:t>
            </w:r>
          </w:p>
        </w:tc>
        <w:tc>
          <w:tcPr>
            <w:tcW w:w="0" w:type="auto"/>
            <w:tcBorders>
              <w:top w:val="nil"/>
              <w:left w:val="dashed" w:sz="4" w:space="0" w:color="auto"/>
              <w:bottom w:val="nil"/>
              <w:right w:val="nil"/>
            </w:tcBorders>
            <w:shd w:val="clear" w:color="auto" w:fill="auto"/>
            <w:noWrap/>
            <w:vAlign w:val="bottom"/>
            <w:hideMark/>
          </w:tcPr>
          <w:p w:rsidR="00D628DA" w:rsidRPr="00E85CB7" w:rsidRDefault="00D628DA" w:rsidP="000F2FCE">
            <w:pPr>
              <w:spacing w:after="0" w:line="240" w:lineRule="auto"/>
              <w:jc w:val="center"/>
            </w:pPr>
          </w:p>
        </w:tc>
        <w:tc>
          <w:tcPr>
            <w:tcW w:w="0" w:type="auto"/>
            <w:tcBorders>
              <w:top w:val="nil"/>
              <w:left w:val="nil"/>
              <w:bottom w:val="nil"/>
              <w:right w:val="nil"/>
            </w:tcBorders>
            <w:shd w:val="clear" w:color="auto" w:fill="auto"/>
            <w:noWrap/>
            <w:vAlign w:val="bottom"/>
            <w:hideMark/>
          </w:tcPr>
          <w:p w:rsidR="00D628DA" w:rsidRPr="00E85CB7" w:rsidRDefault="00D628DA" w:rsidP="000F2FCE">
            <w:pPr>
              <w:spacing w:after="0" w:line="240" w:lineRule="auto"/>
              <w:jc w:val="center"/>
            </w:pPr>
          </w:p>
        </w:tc>
      </w:tr>
      <w:tr w:rsidR="002E1D64" w:rsidRPr="00246772"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r w:rsidRPr="00246772">
              <w:t xml:space="preserve">Research </w:t>
            </w:r>
            <w:r w:rsidR="002E1D64">
              <w:t>requirement</w:t>
            </w:r>
            <w:r w:rsidRPr="00246772">
              <w:t xml:space="preserve"> ($m)</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3.27</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-0.17</w:t>
            </w:r>
          </w:p>
        </w:tc>
        <w:tc>
          <w:tcPr>
            <w:tcW w:w="0" w:type="auto"/>
            <w:tcBorders>
              <w:top w:val="nil"/>
              <w:left w:val="nil"/>
              <w:bottom w:val="nil"/>
              <w:right w:val="nil"/>
            </w:tcBorders>
            <w:shd w:val="clear" w:color="auto" w:fill="auto"/>
            <w:noWrap/>
            <w:vAlign w:val="bottom"/>
            <w:hideMark/>
          </w:tcPr>
          <w:p w:rsidR="00B346F4" w:rsidRPr="00246772" w:rsidRDefault="00B346F4" w:rsidP="00B0505F">
            <w:pPr>
              <w:spacing w:after="0" w:line="240" w:lineRule="auto"/>
              <w:jc w:val="center"/>
            </w:pPr>
            <w:r w:rsidRPr="00246772">
              <w:t>0.</w:t>
            </w:r>
            <w:r w:rsidR="00B0505F">
              <w:t>17</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0.38</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0.00</w:t>
            </w:r>
          </w:p>
        </w:tc>
        <w:tc>
          <w:tcPr>
            <w:tcW w:w="0" w:type="auto"/>
            <w:tcBorders>
              <w:top w:val="nil"/>
              <w:left w:val="nil"/>
              <w:bottom w:val="nil"/>
              <w:right w:val="dashed" w:sz="4" w:space="0" w:color="auto"/>
            </w:tcBorders>
            <w:vAlign w:val="bottom"/>
          </w:tcPr>
          <w:p w:rsidR="00B346F4" w:rsidRPr="002E1D64" w:rsidRDefault="00B346F4" w:rsidP="000F2FCE">
            <w:pPr>
              <w:spacing w:after="0" w:line="240" w:lineRule="auto"/>
              <w:jc w:val="center"/>
              <w:rPr>
                <w:b/>
              </w:rPr>
            </w:pPr>
            <w:r w:rsidRPr="002E1D64">
              <w:rPr>
                <w:b/>
              </w:rPr>
              <w:t>3.06</w:t>
            </w:r>
          </w:p>
        </w:tc>
        <w:tc>
          <w:tcPr>
            <w:tcW w:w="0" w:type="auto"/>
            <w:tcBorders>
              <w:top w:val="nil"/>
              <w:left w:val="dashed" w:sz="4" w:space="0" w:color="auto"/>
              <w:bottom w:val="nil"/>
              <w:right w:val="nil"/>
            </w:tcBorders>
            <w:shd w:val="clear" w:color="auto" w:fill="auto"/>
            <w:noWrap/>
            <w:vAlign w:val="bottom"/>
            <w:hideMark/>
          </w:tcPr>
          <w:p w:rsidR="00B346F4" w:rsidRPr="00E85CB7" w:rsidRDefault="00B346F4" w:rsidP="00E85CB7">
            <w:pPr>
              <w:spacing w:after="0" w:line="240" w:lineRule="auto"/>
              <w:jc w:val="center"/>
            </w:pPr>
            <w:r w:rsidRPr="00E85CB7">
              <w:t>6.50</w:t>
            </w:r>
          </w:p>
        </w:tc>
        <w:tc>
          <w:tcPr>
            <w:tcW w:w="0" w:type="auto"/>
            <w:tcBorders>
              <w:top w:val="nil"/>
              <w:left w:val="nil"/>
              <w:bottom w:val="nil"/>
              <w:right w:val="nil"/>
            </w:tcBorders>
            <w:shd w:val="clear" w:color="auto" w:fill="auto"/>
            <w:noWrap/>
            <w:vAlign w:val="bottom"/>
            <w:hideMark/>
          </w:tcPr>
          <w:p w:rsidR="00B346F4" w:rsidRPr="00E85CB7" w:rsidRDefault="00B346F4" w:rsidP="000F2FCE">
            <w:pPr>
              <w:spacing w:after="0" w:line="240" w:lineRule="auto"/>
              <w:jc w:val="center"/>
            </w:pPr>
            <w:r w:rsidRPr="00E85CB7">
              <w:t>0.21</w:t>
            </w:r>
          </w:p>
        </w:tc>
      </w:tr>
      <w:tr w:rsidR="002E1D64" w:rsidRPr="00246772"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r w:rsidRPr="00246772">
              <w:t>Intra-university spillover ($m)</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0.13</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0.00</w:t>
            </w:r>
          </w:p>
        </w:tc>
        <w:tc>
          <w:tcPr>
            <w:tcW w:w="0" w:type="auto"/>
            <w:tcBorders>
              <w:top w:val="nil"/>
              <w:left w:val="nil"/>
              <w:bottom w:val="nil"/>
              <w:right w:val="nil"/>
            </w:tcBorders>
            <w:shd w:val="clear" w:color="auto" w:fill="auto"/>
            <w:noWrap/>
            <w:vAlign w:val="bottom"/>
            <w:hideMark/>
          </w:tcPr>
          <w:p w:rsidR="00B346F4" w:rsidRPr="00246772" w:rsidRDefault="00B0505F" w:rsidP="009E4114">
            <w:pPr>
              <w:spacing w:after="0" w:line="240" w:lineRule="auto"/>
              <w:jc w:val="center"/>
            </w:pPr>
            <w:r>
              <w:t>0.01</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0.02</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0.00</w:t>
            </w:r>
          </w:p>
        </w:tc>
        <w:tc>
          <w:tcPr>
            <w:tcW w:w="0" w:type="auto"/>
            <w:tcBorders>
              <w:top w:val="nil"/>
              <w:left w:val="nil"/>
              <w:bottom w:val="nil"/>
              <w:right w:val="dashed" w:sz="4" w:space="0" w:color="auto"/>
            </w:tcBorders>
            <w:vAlign w:val="bottom"/>
          </w:tcPr>
          <w:p w:rsidR="00B346F4" w:rsidRPr="002E1D64" w:rsidRDefault="00B346F4" w:rsidP="000F2FCE">
            <w:pPr>
              <w:spacing w:after="0" w:line="240" w:lineRule="auto"/>
              <w:jc w:val="center"/>
              <w:rPr>
                <w:b/>
              </w:rPr>
            </w:pPr>
            <w:r w:rsidRPr="002E1D64">
              <w:rPr>
                <w:b/>
              </w:rPr>
              <w:t>0.07</w:t>
            </w:r>
          </w:p>
        </w:tc>
        <w:tc>
          <w:tcPr>
            <w:tcW w:w="0" w:type="auto"/>
            <w:tcBorders>
              <w:top w:val="nil"/>
              <w:left w:val="dashed" w:sz="4" w:space="0" w:color="auto"/>
              <w:bottom w:val="nil"/>
              <w:right w:val="nil"/>
            </w:tcBorders>
            <w:shd w:val="clear" w:color="auto" w:fill="auto"/>
            <w:noWrap/>
            <w:vAlign w:val="bottom"/>
            <w:hideMark/>
          </w:tcPr>
          <w:p w:rsidR="00B346F4" w:rsidRPr="00E85CB7" w:rsidRDefault="00B346F4" w:rsidP="00E85CB7">
            <w:pPr>
              <w:spacing w:after="0" w:line="240" w:lineRule="auto"/>
              <w:jc w:val="center"/>
            </w:pPr>
            <w:r w:rsidRPr="00E85CB7">
              <w:t>0.20</w:t>
            </w:r>
          </w:p>
        </w:tc>
        <w:tc>
          <w:tcPr>
            <w:tcW w:w="0" w:type="auto"/>
            <w:tcBorders>
              <w:top w:val="nil"/>
              <w:left w:val="nil"/>
              <w:bottom w:val="nil"/>
              <w:right w:val="nil"/>
            </w:tcBorders>
            <w:shd w:val="clear" w:color="auto" w:fill="auto"/>
            <w:noWrap/>
            <w:vAlign w:val="bottom"/>
            <w:hideMark/>
          </w:tcPr>
          <w:p w:rsidR="00B346F4" w:rsidRPr="00E85CB7" w:rsidRDefault="00B346F4" w:rsidP="000F2FCE">
            <w:pPr>
              <w:spacing w:after="0" w:line="240" w:lineRule="auto"/>
              <w:jc w:val="center"/>
            </w:pPr>
            <w:r w:rsidRPr="00E85CB7">
              <w:t>0.02</w:t>
            </w:r>
          </w:p>
        </w:tc>
      </w:tr>
      <w:tr w:rsidR="002E1D64" w:rsidRPr="00246772"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nil"/>
              <w:right w:val="dashed" w:sz="4" w:space="0" w:color="auto"/>
            </w:tcBorders>
            <w:vAlign w:val="bottom"/>
          </w:tcPr>
          <w:p w:rsidR="00B346F4" w:rsidRPr="002E1D64" w:rsidRDefault="00B346F4" w:rsidP="000F2FCE">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B346F4" w:rsidRPr="00E85CB7" w:rsidRDefault="00B346F4" w:rsidP="009E4114">
            <w:pPr>
              <w:spacing w:after="0" w:line="240" w:lineRule="auto"/>
              <w:jc w:val="center"/>
            </w:pPr>
          </w:p>
        </w:tc>
        <w:tc>
          <w:tcPr>
            <w:tcW w:w="0" w:type="auto"/>
            <w:tcBorders>
              <w:top w:val="nil"/>
              <w:left w:val="nil"/>
              <w:bottom w:val="nil"/>
              <w:right w:val="nil"/>
            </w:tcBorders>
            <w:shd w:val="clear" w:color="auto" w:fill="auto"/>
            <w:noWrap/>
            <w:vAlign w:val="bottom"/>
            <w:hideMark/>
          </w:tcPr>
          <w:p w:rsidR="00B346F4" w:rsidRPr="00E85CB7" w:rsidRDefault="00B346F4" w:rsidP="009E4114">
            <w:pPr>
              <w:spacing w:after="0" w:line="240" w:lineRule="auto"/>
              <w:jc w:val="center"/>
            </w:pPr>
          </w:p>
        </w:tc>
      </w:tr>
      <w:tr w:rsidR="002E1D64" w:rsidRPr="00246772" w:rsidTr="00B346F4">
        <w:trPr>
          <w:trHeight w:val="300"/>
        </w:trPr>
        <w:tc>
          <w:tcPr>
            <w:tcW w:w="0" w:type="auto"/>
            <w:tcBorders>
              <w:top w:val="nil"/>
              <w:left w:val="nil"/>
              <w:right w:val="nil"/>
            </w:tcBorders>
            <w:shd w:val="clear" w:color="auto" w:fill="auto"/>
            <w:noWrap/>
            <w:vAlign w:val="bottom"/>
            <w:hideMark/>
          </w:tcPr>
          <w:p w:rsidR="00B346F4" w:rsidRPr="00246772" w:rsidRDefault="00B346F4" w:rsidP="009E4114">
            <w:pPr>
              <w:spacing w:after="0" w:line="240" w:lineRule="auto"/>
            </w:pPr>
            <w:r w:rsidRPr="00246772">
              <w:t xml:space="preserve">Research </w:t>
            </w:r>
            <w:r w:rsidR="002E1D64">
              <w:t>requirement</w:t>
            </w:r>
            <w:r w:rsidRPr="00246772">
              <w:t xml:space="preserve"> (¢/$)</w:t>
            </w:r>
          </w:p>
        </w:tc>
        <w:tc>
          <w:tcPr>
            <w:tcW w:w="0" w:type="auto"/>
            <w:tcBorders>
              <w:top w:val="nil"/>
              <w:left w:val="nil"/>
              <w:right w:val="nil"/>
            </w:tcBorders>
            <w:shd w:val="clear" w:color="auto" w:fill="auto"/>
            <w:noWrap/>
            <w:vAlign w:val="bottom"/>
            <w:hideMark/>
          </w:tcPr>
          <w:p w:rsidR="00B346F4" w:rsidRPr="00246772" w:rsidRDefault="00B346F4" w:rsidP="009E4114">
            <w:pPr>
              <w:spacing w:after="0" w:line="240" w:lineRule="auto"/>
              <w:jc w:val="center"/>
            </w:pPr>
            <w:r w:rsidRPr="00246772">
              <w:t>47</w:t>
            </w:r>
          </w:p>
        </w:tc>
        <w:tc>
          <w:tcPr>
            <w:tcW w:w="0" w:type="auto"/>
            <w:tcBorders>
              <w:top w:val="nil"/>
              <w:left w:val="nil"/>
              <w:right w:val="nil"/>
            </w:tcBorders>
            <w:shd w:val="clear" w:color="auto" w:fill="auto"/>
            <w:noWrap/>
            <w:vAlign w:val="bottom"/>
            <w:hideMark/>
          </w:tcPr>
          <w:p w:rsidR="00B346F4" w:rsidRPr="00246772" w:rsidRDefault="00B346F4" w:rsidP="009E4114">
            <w:pPr>
              <w:spacing w:after="0" w:line="240" w:lineRule="auto"/>
              <w:jc w:val="center"/>
            </w:pPr>
            <w:r w:rsidRPr="00246772">
              <w:t>-2</w:t>
            </w:r>
          </w:p>
        </w:tc>
        <w:tc>
          <w:tcPr>
            <w:tcW w:w="0" w:type="auto"/>
            <w:tcBorders>
              <w:top w:val="nil"/>
              <w:left w:val="nil"/>
              <w:right w:val="nil"/>
            </w:tcBorders>
            <w:shd w:val="clear" w:color="auto" w:fill="auto"/>
            <w:noWrap/>
            <w:vAlign w:val="bottom"/>
            <w:hideMark/>
          </w:tcPr>
          <w:p w:rsidR="00B346F4" w:rsidRPr="00246772" w:rsidRDefault="00C62DEB" w:rsidP="009E4114">
            <w:pPr>
              <w:spacing w:after="0" w:line="240" w:lineRule="auto"/>
              <w:jc w:val="center"/>
            </w:pPr>
            <w:r>
              <w:t>3</w:t>
            </w:r>
          </w:p>
        </w:tc>
        <w:tc>
          <w:tcPr>
            <w:tcW w:w="0" w:type="auto"/>
            <w:tcBorders>
              <w:top w:val="nil"/>
              <w:left w:val="nil"/>
              <w:right w:val="nil"/>
            </w:tcBorders>
            <w:shd w:val="clear" w:color="auto" w:fill="auto"/>
            <w:noWrap/>
            <w:vAlign w:val="bottom"/>
            <w:hideMark/>
          </w:tcPr>
          <w:p w:rsidR="00B346F4" w:rsidRPr="00246772" w:rsidRDefault="00B346F4" w:rsidP="009E4114">
            <w:pPr>
              <w:spacing w:after="0" w:line="240" w:lineRule="auto"/>
              <w:jc w:val="center"/>
            </w:pPr>
            <w:r w:rsidRPr="00246772">
              <w:t>5</w:t>
            </w:r>
          </w:p>
        </w:tc>
        <w:tc>
          <w:tcPr>
            <w:tcW w:w="0" w:type="auto"/>
            <w:tcBorders>
              <w:top w:val="nil"/>
              <w:left w:val="nil"/>
              <w:right w:val="nil"/>
            </w:tcBorders>
            <w:shd w:val="clear" w:color="auto" w:fill="auto"/>
            <w:noWrap/>
            <w:vAlign w:val="bottom"/>
            <w:hideMark/>
          </w:tcPr>
          <w:p w:rsidR="00B346F4" w:rsidRPr="00246772" w:rsidRDefault="00B346F4" w:rsidP="009E4114">
            <w:pPr>
              <w:spacing w:after="0" w:line="240" w:lineRule="auto"/>
              <w:jc w:val="center"/>
            </w:pPr>
            <w:r w:rsidRPr="00246772">
              <w:t>0</w:t>
            </w:r>
          </w:p>
        </w:tc>
        <w:tc>
          <w:tcPr>
            <w:tcW w:w="0" w:type="auto"/>
            <w:tcBorders>
              <w:top w:val="nil"/>
              <w:left w:val="nil"/>
              <w:right w:val="dashed" w:sz="4" w:space="0" w:color="auto"/>
            </w:tcBorders>
            <w:vAlign w:val="bottom"/>
          </w:tcPr>
          <w:p w:rsidR="00B346F4" w:rsidRPr="002E1D64" w:rsidRDefault="00B346F4" w:rsidP="00A02914">
            <w:pPr>
              <w:spacing w:after="0" w:line="240" w:lineRule="auto"/>
              <w:jc w:val="center"/>
              <w:rPr>
                <w:b/>
              </w:rPr>
            </w:pPr>
            <w:r w:rsidRPr="002E1D64">
              <w:rPr>
                <w:b/>
              </w:rPr>
              <w:t>4</w:t>
            </w:r>
            <w:r w:rsidR="00A02914" w:rsidRPr="002E1D64">
              <w:rPr>
                <w:b/>
              </w:rPr>
              <w:t>4</w:t>
            </w:r>
          </w:p>
        </w:tc>
        <w:tc>
          <w:tcPr>
            <w:tcW w:w="0" w:type="auto"/>
            <w:tcBorders>
              <w:top w:val="nil"/>
              <w:left w:val="dashed" w:sz="4" w:space="0" w:color="auto"/>
              <w:right w:val="nil"/>
            </w:tcBorders>
            <w:shd w:val="clear" w:color="auto" w:fill="auto"/>
            <w:noWrap/>
            <w:vAlign w:val="bottom"/>
            <w:hideMark/>
          </w:tcPr>
          <w:p w:rsidR="00B346F4" w:rsidRPr="00E85CB7" w:rsidRDefault="00B346F4" w:rsidP="00E85CB7">
            <w:pPr>
              <w:spacing w:after="0" w:line="240" w:lineRule="auto"/>
              <w:jc w:val="center"/>
            </w:pPr>
            <w:r w:rsidRPr="00E85CB7">
              <w:t>94</w:t>
            </w:r>
          </w:p>
        </w:tc>
        <w:tc>
          <w:tcPr>
            <w:tcW w:w="0" w:type="auto"/>
            <w:tcBorders>
              <w:top w:val="nil"/>
              <w:left w:val="nil"/>
              <w:right w:val="nil"/>
            </w:tcBorders>
            <w:shd w:val="clear" w:color="auto" w:fill="auto"/>
            <w:noWrap/>
            <w:vAlign w:val="bottom"/>
            <w:hideMark/>
          </w:tcPr>
          <w:p w:rsidR="00B346F4" w:rsidRPr="00E85CB7" w:rsidRDefault="00B346F4" w:rsidP="000F2FCE">
            <w:pPr>
              <w:spacing w:after="0" w:line="240" w:lineRule="auto"/>
              <w:jc w:val="center"/>
            </w:pPr>
            <w:r w:rsidRPr="00E85CB7">
              <w:t>3</w:t>
            </w:r>
          </w:p>
        </w:tc>
      </w:tr>
      <w:tr w:rsidR="002E1D64" w:rsidRPr="00246772" w:rsidTr="00B346F4">
        <w:trPr>
          <w:trHeight w:val="300"/>
        </w:trPr>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pPr>
            <w:r w:rsidRPr="00246772">
              <w:t>Intra-university spillover (¢/$)</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2</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w:t>
            </w:r>
          </w:p>
        </w:tc>
        <w:tc>
          <w:tcPr>
            <w:tcW w:w="0" w:type="auto"/>
            <w:tcBorders>
              <w:top w:val="nil"/>
              <w:left w:val="nil"/>
              <w:bottom w:val="nil"/>
              <w:right w:val="nil"/>
            </w:tcBorders>
            <w:shd w:val="clear" w:color="auto" w:fill="auto"/>
            <w:noWrap/>
            <w:vAlign w:val="bottom"/>
            <w:hideMark/>
          </w:tcPr>
          <w:p w:rsidR="00B346F4" w:rsidRPr="00246772" w:rsidRDefault="00B346F4" w:rsidP="009E4114">
            <w:pPr>
              <w:spacing w:after="0" w:line="240" w:lineRule="auto"/>
              <w:jc w:val="center"/>
            </w:pPr>
            <w:r w:rsidRPr="00246772">
              <w:t>0</w:t>
            </w:r>
          </w:p>
        </w:tc>
        <w:tc>
          <w:tcPr>
            <w:tcW w:w="0" w:type="auto"/>
            <w:tcBorders>
              <w:top w:val="nil"/>
              <w:left w:val="nil"/>
              <w:bottom w:val="nil"/>
              <w:right w:val="dashed" w:sz="4" w:space="0" w:color="auto"/>
            </w:tcBorders>
            <w:vAlign w:val="bottom"/>
          </w:tcPr>
          <w:p w:rsidR="00B346F4" w:rsidRPr="002E1D64" w:rsidRDefault="00B346F4" w:rsidP="000F2FCE">
            <w:pPr>
              <w:spacing w:after="0" w:line="240" w:lineRule="auto"/>
              <w:jc w:val="center"/>
              <w:rPr>
                <w:b/>
              </w:rPr>
            </w:pPr>
            <w:r w:rsidRPr="002E1D64">
              <w:rPr>
                <w:b/>
              </w:rPr>
              <w:t>1</w:t>
            </w:r>
          </w:p>
        </w:tc>
        <w:tc>
          <w:tcPr>
            <w:tcW w:w="0" w:type="auto"/>
            <w:tcBorders>
              <w:top w:val="nil"/>
              <w:left w:val="dashed" w:sz="4" w:space="0" w:color="auto"/>
              <w:bottom w:val="nil"/>
              <w:right w:val="nil"/>
            </w:tcBorders>
            <w:shd w:val="clear" w:color="auto" w:fill="auto"/>
            <w:noWrap/>
            <w:vAlign w:val="bottom"/>
            <w:hideMark/>
          </w:tcPr>
          <w:p w:rsidR="00B346F4" w:rsidRPr="00E85CB7" w:rsidRDefault="00B346F4" w:rsidP="00E85CB7">
            <w:pPr>
              <w:spacing w:after="0" w:line="240" w:lineRule="auto"/>
              <w:jc w:val="center"/>
            </w:pPr>
            <w:r w:rsidRPr="00E85CB7">
              <w:t>3</w:t>
            </w:r>
          </w:p>
        </w:tc>
        <w:tc>
          <w:tcPr>
            <w:tcW w:w="0" w:type="auto"/>
            <w:tcBorders>
              <w:top w:val="nil"/>
              <w:left w:val="nil"/>
              <w:bottom w:val="nil"/>
              <w:right w:val="nil"/>
            </w:tcBorders>
            <w:shd w:val="clear" w:color="auto" w:fill="auto"/>
            <w:noWrap/>
            <w:vAlign w:val="bottom"/>
            <w:hideMark/>
          </w:tcPr>
          <w:p w:rsidR="00B346F4" w:rsidRPr="00E85CB7" w:rsidRDefault="00B346F4" w:rsidP="000F2FCE">
            <w:pPr>
              <w:spacing w:after="0" w:line="240" w:lineRule="auto"/>
              <w:jc w:val="center"/>
            </w:pPr>
            <w:r w:rsidRPr="00E85CB7">
              <w:t>0</w:t>
            </w:r>
          </w:p>
        </w:tc>
      </w:tr>
      <w:tr w:rsidR="002E1D64" w:rsidRPr="00246772" w:rsidTr="00B346F4">
        <w:trPr>
          <w:trHeight w:val="300"/>
        </w:trPr>
        <w:tc>
          <w:tcPr>
            <w:tcW w:w="0" w:type="auto"/>
            <w:tcBorders>
              <w:top w:val="nil"/>
              <w:left w:val="nil"/>
              <w:bottom w:val="single" w:sz="4" w:space="0" w:color="auto"/>
              <w:right w:val="nil"/>
            </w:tcBorders>
            <w:shd w:val="clear" w:color="auto" w:fill="auto"/>
            <w:noWrap/>
            <w:vAlign w:val="bottom"/>
            <w:hideMark/>
          </w:tcPr>
          <w:p w:rsidR="00B346F4" w:rsidRPr="00246772" w:rsidRDefault="00B346F4" w:rsidP="009E4114">
            <w:pPr>
              <w:spacing w:after="0" w:line="240" w:lineRule="auto"/>
            </w:pPr>
          </w:p>
        </w:tc>
        <w:tc>
          <w:tcPr>
            <w:tcW w:w="0" w:type="auto"/>
            <w:tcBorders>
              <w:top w:val="nil"/>
              <w:left w:val="nil"/>
              <w:bottom w:val="single" w:sz="4" w:space="0" w:color="auto"/>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single" w:sz="4" w:space="0" w:color="auto"/>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single" w:sz="4" w:space="0" w:color="auto"/>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single" w:sz="4" w:space="0" w:color="auto"/>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single" w:sz="4" w:space="0" w:color="auto"/>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single" w:sz="4" w:space="0" w:color="auto"/>
              <w:right w:val="dashed" w:sz="4" w:space="0" w:color="auto"/>
            </w:tcBorders>
          </w:tcPr>
          <w:p w:rsidR="00B346F4" w:rsidRPr="00246772" w:rsidRDefault="00B346F4" w:rsidP="009E4114">
            <w:pPr>
              <w:spacing w:after="0" w:line="240" w:lineRule="auto"/>
              <w:jc w:val="center"/>
            </w:pPr>
          </w:p>
        </w:tc>
        <w:tc>
          <w:tcPr>
            <w:tcW w:w="0" w:type="auto"/>
            <w:tcBorders>
              <w:top w:val="nil"/>
              <w:left w:val="dashed" w:sz="4" w:space="0" w:color="auto"/>
              <w:bottom w:val="single" w:sz="4" w:space="0" w:color="auto"/>
              <w:right w:val="nil"/>
            </w:tcBorders>
            <w:shd w:val="clear" w:color="auto" w:fill="auto"/>
            <w:noWrap/>
            <w:vAlign w:val="bottom"/>
            <w:hideMark/>
          </w:tcPr>
          <w:p w:rsidR="00B346F4" w:rsidRPr="00246772" w:rsidRDefault="00B346F4" w:rsidP="009E4114">
            <w:pPr>
              <w:spacing w:after="0" w:line="240" w:lineRule="auto"/>
              <w:jc w:val="center"/>
            </w:pPr>
          </w:p>
        </w:tc>
        <w:tc>
          <w:tcPr>
            <w:tcW w:w="0" w:type="auto"/>
            <w:tcBorders>
              <w:top w:val="nil"/>
              <w:left w:val="nil"/>
              <w:bottom w:val="single" w:sz="4" w:space="0" w:color="auto"/>
              <w:right w:val="nil"/>
            </w:tcBorders>
            <w:shd w:val="clear" w:color="auto" w:fill="auto"/>
            <w:noWrap/>
            <w:vAlign w:val="bottom"/>
            <w:hideMark/>
          </w:tcPr>
          <w:p w:rsidR="00B346F4" w:rsidRPr="00246772" w:rsidRDefault="00B346F4" w:rsidP="009E4114">
            <w:pPr>
              <w:spacing w:after="0" w:line="240" w:lineRule="auto"/>
              <w:jc w:val="center"/>
            </w:pPr>
          </w:p>
        </w:tc>
      </w:tr>
    </w:tbl>
    <w:p w:rsidR="00004472" w:rsidRPr="006D27FF" w:rsidRDefault="00004472" w:rsidP="0061301D">
      <w:pPr>
        <w:jc w:val="both"/>
        <w:rPr>
          <w:sz w:val="20"/>
          <w:szCs w:val="20"/>
        </w:rPr>
      </w:pPr>
      <w:r w:rsidRPr="00004472">
        <w:rPr>
          <w:sz w:val="18"/>
          <w:szCs w:val="18"/>
          <w:vertAlign w:val="superscript"/>
        </w:rPr>
        <w:t>a</w:t>
      </w:r>
      <w:r w:rsidRPr="00004472">
        <w:rPr>
          <w:sz w:val="18"/>
          <w:szCs w:val="18"/>
        </w:rPr>
        <w:t xml:space="preserve"> </w:t>
      </w:r>
      <w:r>
        <w:rPr>
          <w:sz w:val="18"/>
          <w:szCs w:val="18"/>
        </w:rPr>
        <w:t xml:space="preserve">Real cost = Wages and salaries + Taxes + Imports; </w:t>
      </w:r>
      <w:r w:rsidRPr="00004472">
        <w:rPr>
          <w:sz w:val="18"/>
          <w:szCs w:val="18"/>
          <w:vertAlign w:val="superscript"/>
        </w:rPr>
        <w:t>b</w:t>
      </w:r>
      <w:r>
        <w:rPr>
          <w:sz w:val="18"/>
          <w:szCs w:val="18"/>
        </w:rPr>
        <w:t xml:space="preserve"> Surplus = Gross operating surplus + Increases in inventories</w:t>
      </w:r>
      <w:r w:rsidRPr="006D27FF">
        <w:rPr>
          <w:sz w:val="20"/>
          <w:szCs w:val="20"/>
        </w:rPr>
        <w:t>;</w:t>
      </w:r>
      <w:r w:rsidR="002E1D64" w:rsidRPr="006D27FF">
        <w:rPr>
          <w:sz w:val="20"/>
          <w:szCs w:val="20"/>
        </w:rPr>
        <w:t xml:space="preserve"> </w:t>
      </w:r>
      <w:r w:rsidR="002E1D64" w:rsidRPr="006D27FF">
        <w:rPr>
          <w:sz w:val="20"/>
          <w:szCs w:val="20"/>
          <w:vertAlign w:val="superscript"/>
        </w:rPr>
        <w:t>c</w:t>
      </w:r>
      <w:r w:rsidR="002E1D64" w:rsidRPr="006D27FF">
        <w:rPr>
          <w:sz w:val="20"/>
          <w:szCs w:val="20"/>
        </w:rPr>
        <w:t xml:space="preserve"> </w:t>
      </w:r>
      <w:r w:rsidR="006D27FF" w:rsidRPr="006D27FF">
        <w:rPr>
          <w:sz w:val="20"/>
          <w:szCs w:val="20"/>
        </w:rPr>
        <w:t xml:space="preserve">university supply-side requirements in terms of primary inputs </w:t>
      </w:r>
      <m:oMath>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U</m:t>
                      </m:r>
                    </m:sub>
                  </m:sSub>
                </m:e>
                <m:e>
                  <m:r>
                    <w:rPr>
                      <w:rFonts w:ascii="Cambria Math" w:hAnsi="Cambria Math"/>
                      <w:sz w:val="20"/>
                      <w:szCs w:val="20"/>
                    </w:rPr>
                    <m:t>0</m:t>
                  </m:r>
                </m:e>
              </m:mr>
            </m:m>
          </m:e>
        </m:d>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c</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c</m:t>
            </m:r>
          </m:sup>
        </m:sSup>
      </m:oMath>
      <w:r w:rsidR="0026609D" w:rsidRPr="006D27FF">
        <w:rPr>
          <w:sz w:val="20"/>
          <w:szCs w:val="20"/>
        </w:rPr>
        <w:t xml:space="preserve">, by components in </w:t>
      </w:r>
      <m:oMath>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U</m:t>
            </m:r>
          </m:sub>
        </m:sSub>
      </m:oMath>
      <w:r w:rsidR="00E01DF3" w:rsidRPr="006D27FF">
        <w:rPr>
          <w:sz w:val="20"/>
          <w:szCs w:val="20"/>
        </w:rPr>
        <w:t xml:space="preserve">; </w:t>
      </w:r>
      <w:r w:rsidR="00E01DF3" w:rsidRPr="006D27FF">
        <w:rPr>
          <w:sz w:val="20"/>
          <w:szCs w:val="20"/>
          <w:vertAlign w:val="superscript"/>
        </w:rPr>
        <w:t>d</w:t>
      </w:r>
      <w:r w:rsidR="00E01DF3" w:rsidRPr="006D27FF">
        <w:rPr>
          <w:sz w:val="20"/>
          <w:szCs w:val="20"/>
        </w:rPr>
        <w:t xml:space="preserve"> </w:t>
      </w:r>
      <w:r w:rsidR="006D27FF" w:rsidRPr="006D27FF">
        <w:rPr>
          <w:sz w:val="20"/>
          <w:szCs w:val="20"/>
        </w:rPr>
        <w:t xml:space="preserve">economy supply-side requirements in terms of primary inputs </w:t>
      </w:r>
      <m:oMath>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0</m:t>
                  </m:r>
                </m:e>
                <m:e>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A</m:t>
                      </m:r>
                    </m:sub>
                  </m:sSub>
                </m:e>
              </m:mr>
            </m:m>
          </m:e>
        </m:d>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c</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c</m:t>
            </m:r>
          </m:sup>
        </m:sSup>
      </m:oMath>
      <w:r w:rsidR="0026609D" w:rsidRPr="006D27FF">
        <w:rPr>
          <w:sz w:val="20"/>
          <w:szCs w:val="20"/>
        </w:rPr>
        <w:t xml:space="preserve">, by components in </w:t>
      </w:r>
      <m:oMath>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A</m:t>
            </m:r>
          </m:sub>
        </m:sSub>
        <m:r>
          <w:rPr>
            <w:rFonts w:ascii="Cambria Math" w:hAnsi="Cambria Math"/>
            <w:sz w:val="20"/>
            <w:szCs w:val="20"/>
          </w:rPr>
          <m:t>;</m:t>
        </m:r>
      </m:oMath>
      <w:r w:rsidR="006D27FF" w:rsidRPr="006D27FF">
        <w:rPr>
          <w:sz w:val="20"/>
          <w:szCs w:val="20"/>
        </w:rPr>
        <w:t xml:space="preserve"> </w:t>
      </w:r>
      <w:r w:rsidR="006D27FF" w:rsidRPr="006D27FF">
        <w:rPr>
          <w:sz w:val="20"/>
          <w:szCs w:val="20"/>
          <w:vertAlign w:val="superscript"/>
        </w:rPr>
        <w:t>e</w:t>
      </w:r>
      <w:r w:rsidR="006D27FF" w:rsidRPr="006D27FF">
        <w:rPr>
          <w:sz w:val="20"/>
          <w:szCs w:val="20"/>
        </w:rPr>
        <w:t xml:space="preserve"> university supply-side requirements in terms of primary inputs </w:t>
      </w:r>
      <m:oMath>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U</m:t>
            </m:r>
          </m:sub>
        </m:sSub>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o</m:t>
            </m:r>
          </m:sup>
        </m:sSup>
      </m:oMath>
      <w:r w:rsidR="006D27FF" w:rsidRPr="006D27FF">
        <w:rPr>
          <w:sz w:val="20"/>
          <w:szCs w:val="20"/>
        </w:rPr>
        <w:t xml:space="preserve">, by components in </w:t>
      </w:r>
      <m:oMath>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U</m:t>
            </m:r>
          </m:sub>
        </m:sSub>
      </m:oMath>
      <w:r w:rsidR="006D27FF" w:rsidRPr="006D27FF">
        <w:rPr>
          <w:sz w:val="20"/>
          <w:szCs w:val="20"/>
        </w:rPr>
        <w:t xml:space="preserve">; </w:t>
      </w:r>
      <w:r w:rsidR="006D27FF" w:rsidRPr="006D27FF">
        <w:rPr>
          <w:sz w:val="20"/>
          <w:szCs w:val="20"/>
          <w:vertAlign w:val="superscript"/>
        </w:rPr>
        <w:t>f</w:t>
      </w:r>
      <w:r w:rsidR="006D27FF">
        <w:rPr>
          <w:sz w:val="20"/>
          <w:szCs w:val="20"/>
        </w:rPr>
        <w:t xml:space="preserve"> </w:t>
      </w:r>
      <w:r w:rsidR="006D27FF" w:rsidRPr="006D27FF">
        <w:rPr>
          <w:sz w:val="20"/>
          <w:szCs w:val="20"/>
        </w:rPr>
        <w:t xml:space="preserve">university supply-side requirements in terms of operating inputs  </w:t>
      </w:r>
      <m:oMath>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AU</m:t>
            </m:r>
          </m:sub>
        </m:sSub>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o</m:t>
            </m:r>
          </m:sup>
        </m:sSup>
      </m:oMath>
      <w:r w:rsidR="006D27FF" w:rsidRPr="006D27FF">
        <w:rPr>
          <w:sz w:val="20"/>
          <w:szCs w:val="20"/>
        </w:rPr>
        <w:t xml:space="preserve">, total. </w:t>
      </w:r>
      <w:r w:rsidR="00F41BB2">
        <w:rPr>
          <w:sz w:val="20"/>
          <w:szCs w:val="20"/>
        </w:rPr>
        <w:t>Note that requirements labelled d are about equal to those labelled f</w:t>
      </w:r>
      <w:r w:rsidR="00ED360D">
        <w:rPr>
          <w:sz w:val="20"/>
          <w:szCs w:val="20"/>
        </w:rPr>
        <w:t xml:space="preserve"> (both in bold print)</w:t>
      </w:r>
      <w:r w:rsidR="00F41BB2">
        <w:rPr>
          <w:sz w:val="20"/>
          <w:szCs w:val="20"/>
        </w:rPr>
        <w:t>, as shown in the previous Section.</w:t>
      </w:r>
      <w:r w:rsidR="00B731B3">
        <w:rPr>
          <w:sz w:val="20"/>
          <w:szCs w:val="20"/>
        </w:rPr>
        <w:t xml:space="preserve"> Values may not add up due to rounding.</w:t>
      </w:r>
    </w:p>
    <w:p w:rsidR="00004472" w:rsidRDefault="00004472" w:rsidP="00BC0F9D">
      <w:pPr>
        <w:jc w:val="center"/>
      </w:pPr>
    </w:p>
    <w:p w:rsidR="00004472" w:rsidRDefault="00BC0F9D" w:rsidP="00BC0F9D">
      <w:pPr>
        <w:jc w:val="center"/>
      </w:pPr>
      <w:r w:rsidRPr="00246772">
        <w:t xml:space="preserve">Tab. 3: </w:t>
      </w:r>
      <w:r w:rsidR="006D6C8C">
        <w:t>Supply-side</w:t>
      </w:r>
      <w:r w:rsidRPr="00246772">
        <w:t xml:space="preserve"> </w:t>
      </w:r>
      <w:r w:rsidR="007B7465">
        <w:t>requirement</w:t>
      </w:r>
      <w:r w:rsidRPr="00246772">
        <w:t>s of a 5% increase in research demand.</w:t>
      </w:r>
    </w:p>
    <w:p w:rsidR="009E4114" w:rsidRPr="00246772" w:rsidRDefault="009E4114" w:rsidP="00AE294D">
      <w:pPr>
        <w:jc w:val="both"/>
      </w:pPr>
    </w:p>
    <w:p w:rsidR="009E4114" w:rsidRDefault="009E4114" w:rsidP="004153DB">
      <w:pPr>
        <w:sectPr w:rsidR="009E4114" w:rsidSect="009E4114">
          <w:pgSz w:w="16838" w:h="11906" w:orient="landscape"/>
          <w:pgMar w:top="1440" w:right="1440" w:bottom="1440" w:left="1440" w:header="709" w:footer="709" w:gutter="0"/>
          <w:cols w:space="708"/>
          <w:docGrid w:linePitch="360"/>
        </w:sectPr>
      </w:pPr>
    </w:p>
    <w:p w:rsidR="00901608" w:rsidRDefault="00901608" w:rsidP="00901608"/>
    <w:p w:rsidR="00901608" w:rsidRDefault="005129B5" w:rsidP="00901608">
      <w:pPr>
        <w:pStyle w:val="ListParagraph"/>
        <w:numPr>
          <w:ilvl w:val="2"/>
          <w:numId w:val="1"/>
        </w:numPr>
      </w:pPr>
      <w:bookmarkStart w:id="1" w:name="_Ref223276834"/>
      <w:r>
        <w:t>Increase in teaching</w:t>
      </w:r>
      <w:r w:rsidR="00901608">
        <w:t xml:space="preserve"> demand</w:t>
      </w:r>
      <w:bookmarkEnd w:id="1"/>
      <w:r w:rsidR="00901608">
        <w:t xml:space="preserve"> </w:t>
      </w:r>
    </w:p>
    <w:p w:rsidR="00901608" w:rsidRDefault="00901608" w:rsidP="00901608">
      <w:pPr>
        <w:jc w:val="both"/>
      </w:pPr>
      <w:r>
        <w:t xml:space="preserve">Assuming a constant input-output structure, a 5% increase in demand for </w:t>
      </w:r>
      <w:r w:rsidR="002204D7">
        <w:t>teaching through student enrolments</w:t>
      </w:r>
      <w:r>
        <w:t xml:space="preserve"> </w:t>
      </w:r>
      <w:r w:rsidR="00EA1603">
        <w:t>leads</w:t>
      </w:r>
      <w:r w:rsidR="009A0597">
        <w:t>, in the open model</w:t>
      </w:r>
      <w:r>
        <w:t>, on a per-dollar of revenue basis, to an increased requirement for uni</w:t>
      </w:r>
      <w:r w:rsidR="002204D7">
        <w:t>versity wages and salaries of 53</w:t>
      </w:r>
      <w:r>
        <w:t xml:space="preserve">¢, an increase in the production tax bill of 3¢, and an increase in operating </w:t>
      </w:r>
      <w:r w:rsidR="00154C6F">
        <w:t>inputs</w:t>
      </w:r>
      <w:r>
        <w:t xml:space="preserve"> fr</w:t>
      </w:r>
      <w:r w:rsidR="002204D7">
        <w:t>om the rest of the economy of 16</w:t>
      </w:r>
      <w:r>
        <w:t>¢</w:t>
      </w:r>
      <w:r w:rsidR="002204D7">
        <w:t xml:space="preserve"> (Tab. 4</w:t>
      </w:r>
      <w:r>
        <w:t xml:space="preserve">). </w:t>
      </w:r>
      <w:r w:rsidR="009A0597">
        <w:t>Total</w:t>
      </w:r>
      <w:r>
        <w:t xml:space="preserve"> real cost </w:t>
      </w:r>
      <w:r w:rsidR="00D452B6">
        <w:t>are hence 72¢, and net surplus is 28</w:t>
      </w:r>
      <w:r>
        <w:t>¢. The inp</w:t>
      </w:r>
      <w:r w:rsidR="00D452B6">
        <w:t xml:space="preserve">ut-output calculus </w:t>
      </w:r>
      <w:r w:rsidR="00A40823">
        <w:t xml:space="preserve">in the classical model </w:t>
      </w:r>
      <w:r w:rsidR="00D452B6">
        <w:t>traces the 16</w:t>
      </w:r>
      <w:r>
        <w:t xml:space="preserve">¢ operating </w:t>
      </w:r>
      <w:r w:rsidR="00154C6F">
        <w:t>inputs</w:t>
      </w:r>
      <w:r w:rsidR="00154C6F" w:rsidRPr="00246772">
        <w:t xml:space="preserve"> </w:t>
      </w:r>
      <w:r>
        <w:t xml:space="preserve">spilling into the </w:t>
      </w:r>
      <w:r w:rsidR="00F62E35">
        <w:t xml:space="preserve">Australian </w:t>
      </w:r>
      <w:r>
        <w:t>economy and shows that these end up</w:t>
      </w:r>
      <w:r w:rsidR="00D452B6">
        <w:t xml:space="preserve"> </w:t>
      </w:r>
      <w:r>
        <w:t xml:space="preserve">– </w:t>
      </w:r>
      <w:r w:rsidR="00D452B6">
        <w:t xml:space="preserve">again </w:t>
      </w:r>
      <w:r>
        <w:t xml:space="preserve">mostly </w:t>
      </w:r>
      <w:r w:rsidR="00D452B6">
        <w:t>in service sectors – as 7</w:t>
      </w:r>
      <w:r>
        <w:t>¢ wages an</w:t>
      </w:r>
      <w:r w:rsidR="00D452B6">
        <w:t>d salaries, 4¢ imports, and 5</w:t>
      </w:r>
      <w:r>
        <w:t xml:space="preserve">¢ </w:t>
      </w:r>
      <w:r w:rsidR="00D452B6">
        <w:t>surplus, and a further 1</w:t>
      </w:r>
      <w:r>
        <w:t>¢ of taxes.</w:t>
      </w:r>
    </w:p>
    <w:p w:rsidR="00901608" w:rsidRDefault="00901608" w:rsidP="00901608">
      <w:pPr>
        <w:jc w:val="both"/>
      </w:pPr>
      <w:r>
        <w:t xml:space="preserve">The 5% demand increase </w:t>
      </w:r>
      <w:r w:rsidR="00D452B6">
        <w:t xml:space="preserve">in teaching </w:t>
      </w:r>
      <w:r>
        <w:t>is worth $</w:t>
      </w:r>
      <w:r w:rsidR="00D452B6">
        <w:t>15.</w:t>
      </w:r>
      <w:r>
        <w:t>5m</w:t>
      </w:r>
      <w:r w:rsidR="00D452B6">
        <w:t xml:space="preserve"> in absolute terms, of which $11.2m </w:t>
      </w:r>
      <w:r w:rsidR="006021F5">
        <w:t xml:space="preserve">are </w:t>
      </w:r>
      <w:r w:rsidR="00D452B6">
        <w:t>incur</w:t>
      </w:r>
      <w:r w:rsidR="006021F5">
        <w:t>red</w:t>
      </w:r>
      <w:r w:rsidR="00D452B6">
        <w:t xml:space="preserve"> as real cost, and $4.</w:t>
      </w:r>
      <w:r>
        <w:t>3m as net surplus.</w:t>
      </w:r>
    </w:p>
    <w:p w:rsidR="00901608" w:rsidRDefault="00435847" w:rsidP="00901608">
      <w:pPr>
        <w:jc w:val="both"/>
      </w:pPr>
      <w:r>
        <w:t>Most</w:t>
      </w:r>
      <w:r w:rsidR="00452226" w:rsidRPr="00246772">
        <w:t xml:space="preserve"> of the </w:t>
      </w:r>
      <w:r w:rsidR="004566CA">
        <w:t xml:space="preserve">total </w:t>
      </w:r>
      <w:r w:rsidR="00452226" w:rsidRPr="00246772">
        <w:t xml:space="preserve">real cost for research – </w:t>
      </w:r>
      <w:r>
        <w:t>61</w:t>
      </w:r>
      <w:r w:rsidR="00452226" w:rsidRPr="00246772">
        <w:t xml:space="preserve">¢ out of </w:t>
      </w:r>
      <w:r w:rsidR="00452226">
        <w:t xml:space="preserve">the total </w:t>
      </w:r>
      <w:r w:rsidR="009A0597">
        <w:t xml:space="preserve">real </w:t>
      </w:r>
      <w:r w:rsidR="00452226">
        <w:t>cost of 72</w:t>
      </w:r>
      <w:r w:rsidR="00452226" w:rsidRPr="00246772">
        <w:t>¢</w:t>
      </w:r>
      <w:r w:rsidR="00452226">
        <w:t xml:space="preserve"> for </w:t>
      </w:r>
      <w:r w:rsidR="00452226" w:rsidRPr="00246772">
        <w:t xml:space="preserve">every dollar </w:t>
      </w:r>
      <w:r w:rsidR="00901608">
        <w:t xml:space="preserve">of </w:t>
      </w:r>
      <w:r w:rsidR="00D452B6">
        <w:t xml:space="preserve">student revenue – are </w:t>
      </w:r>
      <w:r w:rsidR="006021F5">
        <w:t>met by</w:t>
      </w:r>
      <w:r w:rsidR="00901608">
        <w:t xml:space="preserve"> the </w:t>
      </w:r>
      <w:r w:rsidR="00D452B6">
        <w:t xml:space="preserve">accounts of the </w:t>
      </w:r>
      <w:r w:rsidR="00901608">
        <w:t xml:space="preserve">units that received the </w:t>
      </w:r>
      <w:r w:rsidR="006021F5">
        <w:t xml:space="preserve">student fees in the first place, but </w:t>
      </w:r>
      <w:r>
        <w:t>11</w:t>
      </w:r>
      <w:r w:rsidR="00901608">
        <w:t xml:space="preserve">¢ spill over into other university units, </w:t>
      </w:r>
      <w:r w:rsidR="006021F5">
        <w:t xml:space="preserve">mostly into </w:t>
      </w:r>
      <w:r w:rsidR="00901608">
        <w:t>Human Resources</w:t>
      </w:r>
      <w:r>
        <w:t>,</w:t>
      </w:r>
      <w:r w:rsidR="006021F5">
        <w:t xml:space="preserve"> but also</w:t>
      </w:r>
      <w:r w:rsidR="00901608">
        <w:t xml:space="preserve"> </w:t>
      </w:r>
      <w:r w:rsidR="006021F5">
        <w:t xml:space="preserve">for Student Administration and Support, </w:t>
      </w:r>
      <w:r w:rsidR="00901608">
        <w:t>Ca</w:t>
      </w:r>
      <w:r w:rsidR="006021F5">
        <w:t xml:space="preserve">mpus Property and Services, </w:t>
      </w:r>
      <w:r w:rsidR="00901608">
        <w:t>ICT</w:t>
      </w:r>
      <w:r w:rsidR="006021F5">
        <w:t>, and Senior Management</w:t>
      </w:r>
      <w:r>
        <w:t>.</w:t>
      </w:r>
    </w:p>
    <w:p w:rsidR="009A0597" w:rsidRDefault="009A0597" w:rsidP="009A0597">
      <w:pPr>
        <w:jc w:val="both"/>
      </w:pPr>
    </w:p>
    <w:p w:rsidR="00154C6F" w:rsidRDefault="00154C6F" w:rsidP="009A0597">
      <w:pPr>
        <w:jc w:val="both"/>
        <w:sectPr w:rsidR="00154C6F" w:rsidSect="002567E9">
          <w:pgSz w:w="11906" w:h="16838"/>
          <w:pgMar w:top="1440" w:right="1440" w:bottom="1440" w:left="1440" w:header="708" w:footer="708" w:gutter="0"/>
          <w:cols w:space="708"/>
          <w:docGrid w:linePitch="360"/>
        </w:sectPr>
      </w:pPr>
    </w:p>
    <w:p w:rsidR="00901608" w:rsidRDefault="00901608" w:rsidP="00901608">
      <w:pPr>
        <w:jc w:val="both"/>
      </w:pPr>
    </w:p>
    <w:tbl>
      <w:tblPr>
        <w:tblW w:w="13309" w:type="dxa"/>
        <w:tblInd w:w="93" w:type="dxa"/>
        <w:tblLook w:val="04A0"/>
      </w:tblPr>
      <w:tblGrid>
        <w:gridCol w:w="2895"/>
        <w:gridCol w:w="1278"/>
        <w:gridCol w:w="1616"/>
        <w:gridCol w:w="1119"/>
        <w:gridCol w:w="1696"/>
        <w:gridCol w:w="976"/>
        <w:gridCol w:w="1403"/>
        <w:gridCol w:w="869"/>
        <w:gridCol w:w="1457"/>
      </w:tblGrid>
      <w:tr w:rsidR="00F92783" w:rsidRPr="009E4114" w:rsidTr="00133B57">
        <w:trPr>
          <w:trHeight w:val="810"/>
        </w:trPr>
        <w:tc>
          <w:tcPr>
            <w:tcW w:w="0" w:type="auto"/>
            <w:tcBorders>
              <w:top w:val="single" w:sz="4" w:space="0" w:color="auto"/>
              <w:left w:val="nil"/>
              <w:bottom w:val="single" w:sz="4" w:space="0" w:color="auto"/>
              <w:right w:val="nil"/>
            </w:tcBorders>
            <w:shd w:val="clear" w:color="auto" w:fill="auto"/>
            <w:noWrap/>
            <w:hideMark/>
          </w:tcPr>
          <w:p w:rsidR="00133B57" w:rsidRPr="009E4114" w:rsidRDefault="00133B57" w:rsidP="00901608">
            <w:pPr>
              <w:spacing w:after="0" w:line="240" w:lineRule="auto"/>
              <w:rPr>
                <w:rFonts w:eastAsia="Times New Roman" w:cs="Times New Roman"/>
                <w:color w:val="000000"/>
              </w:rPr>
            </w:pPr>
          </w:p>
        </w:tc>
        <w:tc>
          <w:tcPr>
            <w:tcW w:w="0" w:type="auto"/>
            <w:tcBorders>
              <w:top w:val="single" w:sz="4" w:space="0" w:color="auto"/>
              <w:left w:val="nil"/>
              <w:bottom w:val="single" w:sz="4" w:space="0" w:color="auto"/>
              <w:right w:val="nil"/>
            </w:tcBorders>
            <w:shd w:val="clear" w:color="auto" w:fill="auto"/>
            <w:hideMark/>
          </w:tcPr>
          <w:p w:rsidR="00133B57" w:rsidRPr="009E4114" w:rsidRDefault="00133B57" w:rsidP="00901608">
            <w:pPr>
              <w:spacing w:after="0" w:line="240" w:lineRule="auto"/>
              <w:jc w:val="center"/>
              <w:rPr>
                <w:rFonts w:eastAsia="Times New Roman" w:cs="Times New Roman"/>
              </w:rPr>
            </w:pPr>
            <w:r w:rsidRPr="009E4114">
              <w:rPr>
                <w:rFonts w:eastAsia="Times New Roman" w:cs="Times New Roman"/>
              </w:rPr>
              <w:t>Wages and salaries</w:t>
            </w:r>
          </w:p>
        </w:tc>
        <w:tc>
          <w:tcPr>
            <w:tcW w:w="0" w:type="auto"/>
            <w:tcBorders>
              <w:top w:val="single" w:sz="4" w:space="0" w:color="auto"/>
              <w:left w:val="nil"/>
              <w:bottom w:val="single" w:sz="4" w:space="0" w:color="auto"/>
              <w:right w:val="nil"/>
            </w:tcBorders>
            <w:shd w:val="clear" w:color="auto" w:fill="auto"/>
            <w:hideMark/>
          </w:tcPr>
          <w:p w:rsidR="00133B57" w:rsidRPr="009E4114" w:rsidRDefault="00F92783" w:rsidP="00901608">
            <w:pPr>
              <w:spacing w:after="0" w:line="240" w:lineRule="auto"/>
              <w:jc w:val="center"/>
              <w:rPr>
                <w:rFonts w:eastAsia="Times New Roman" w:cs="Times New Roman"/>
              </w:rPr>
            </w:pPr>
            <w:r>
              <w:rPr>
                <w:rFonts w:eastAsia="Times New Roman" w:cs="Times New Roman"/>
              </w:rPr>
              <w:t xml:space="preserve">+ </w:t>
            </w:r>
            <w:r w:rsidR="00133B57" w:rsidRPr="009E4114">
              <w:rPr>
                <w:rFonts w:eastAsia="Times New Roman" w:cs="Times New Roman"/>
              </w:rPr>
              <w:t>Gross operating surplus</w:t>
            </w:r>
          </w:p>
        </w:tc>
        <w:tc>
          <w:tcPr>
            <w:tcW w:w="0" w:type="auto"/>
            <w:tcBorders>
              <w:top w:val="single" w:sz="4" w:space="0" w:color="auto"/>
              <w:left w:val="nil"/>
              <w:bottom w:val="single" w:sz="4" w:space="0" w:color="auto"/>
              <w:right w:val="nil"/>
            </w:tcBorders>
            <w:shd w:val="clear" w:color="auto" w:fill="auto"/>
            <w:hideMark/>
          </w:tcPr>
          <w:p w:rsidR="00133B57" w:rsidRPr="009E4114" w:rsidRDefault="00F92783" w:rsidP="00133B57">
            <w:pPr>
              <w:spacing w:after="0" w:line="240" w:lineRule="auto"/>
              <w:jc w:val="center"/>
              <w:rPr>
                <w:rFonts w:eastAsia="Times New Roman" w:cs="Times New Roman"/>
              </w:rPr>
            </w:pPr>
            <w:r>
              <w:rPr>
                <w:rFonts w:eastAsia="Times New Roman" w:cs="Times New Roman"/>
              </w:rPr>
              <w:t xml:space="preserve">+ </w:t>
            </w:r>
            <w:r w:rsidR="00133B57" w:rsidRPr="009E4114">
              <w:rPr>
                <w:rFonts w:eastAsia="Times New Roman" w:cs="Times New Roman"/>
              </w:rPr>
              <w:t>Taxes</w:t>
            </w:r>
          </w:p>
        </w:tc>
        <w:tc>
          <w:tcPr>
            <w:tcW w:w="0" w:type="auto"/>
            <w:tcBorders>
              <w:top w:val="single" w:sz="4" w:space="0" w:color="auto"/>
              <w:left w:val="nil"/>
              <w:bottom w:val="single" w:sz="4" w:space="0" w:color="auto"/>
              <w:right w:val="nil"/>
            </w:tcBorders>
            <w:shd w:val="clear" w:color="auto" w:fill="auto"/>
            <w:hideMark/>
          </w:tcPr>
          <w:p w:rsidR="00133B57" w:rsidRPr="009E4114" w:rsidRDefault="00F92783" w:rsidP="00901608">
            <w:pPr>
              <w:spacing w:after="0" w:line="240" w:lineRule="auto"/>
              <w:jc w:val="center"/>
              <w:rPr>
                <w:rFonts w:eastAsia="Times New Roman" w:cs="Times New Roman"/>
              </w:rPr>
            </w:pPr>
            <w:r>
              <w:rPr>
                <w:rFonts w:eastAsia="Times New Roman" w:cs="Times New Roman"/>
              </w:rPr>
              <w:t xml:space="preserve">+ </w:t>
            </w:r>
            <w:r w:rsidR="00133B57" w:rsidRPr="009E4114">
              <w:rPr>
                <w:rFonts w:eastAsia="Times New Roman" w:cs="Times New Roman"/>
              </w:rPr>
              <w:t>Increases in inventories</w:t>
            </w:r>
          </w:p>
        </w:tc>
        <w:tc>
          <w:tcPr>
            <w:tcW w:w="0" w:type="auto"/>
            <w:tcBorders>
              <w:top w:val="single" w:sz="4" w:space="0" w:color="auto"/>
              <w:left w:val="nil"/>
              <w:bottom w:val="single" w:sz="4" w:space="0" w:color="auto"/>
              <w:right w:val="nil"/>
            </w:tcBorders>
            <w:shd w:val="clear" w:color="auto" w:fill="auto"/>
            <w:hideMark/>
          </w:tcPr>
          <w:p w:rsidR="00133B57" w:rsidRPr="009E4114" w:rsidRDefault="00F92783" w:rsidP="00901608">
            <w:pPr>
              <w:spacing w:after="0" w:line="240" w:lineRule="auto"/>
              <w:jc w:val="center"/>
              <w:rPr>
                <w:rFonts w:eastAsia="Times New Roman" w:cs="Times New Roman"/>
              </w:rPr>
            </w:pPr>
            <w:r>
              <w:rPr>
                <w:rFonts w:eastAsia="Times New Roman" w:cs="Times New Roman"/>
              </w:rPr>
              <w:t xml:space="preserve">+ </w:t>
            </w:r>
            <w:r w:rsidR="00133B57" w:rsidRPr="009E4114">
              <w:rPr>
                <w:rFonts w:eastAsia="Times New Roman" w:cs="Times New Roman"/>
              </w:rPr>
              <w:t>Imports</w:t>
            </w:r>
          </w:p>
        </w:tc>
        <w:tc>
          <w:tcPr>
            <w:tcW w:w="0" w:type="auto"/>
            <w:tcBorders>
              <w:top w:val="single" w:sz="4" w:space="0" w:color="auto"/>
              <w:left w:val="nil"/>
              <w:bottom w:val="single" w:sz="4" w:space="0" w:color="auto"/>
              <w:right w:val="dashed" w:sz="4" w:space="0" w:color="auto"/>
            </w:tcBorders>
          </w:tcPr>
          <w:p w:rsidR="00133B57" w:rsidRPr="00246772" w:rsidRDefault="00F92783" w:rsidP="00133B57">
            <w:pPr>
              <w:spacing w:after="0" w:line="240" w:lineRule="auto"/>
              <w:jc w:val="center"/>
            </w:pPr>
            <w:r>
              <w:t xml:space="preserve">+ </w:t>
            </w:r>
            <w:r w:rsidR="00133B57">
              <w:t>Operating inputs</w:t>
            </w:r>
          </w:p>
        </w:tc>
        <w:tc>
          <w:tcPr>
            <w:tcW w:w="0" w:type="auto"/>
            <w:tcBorders>
              <w:top w:val="single" w:sz="4" w:space="0" w:color="auto"/>
              <w:left w:val="dashed" w:sz="4" w:space="0" w:color="auto"/>
              <w:bottom w:val="single" w:sz="4" w:space="0" w:color="auto"/>
              <w:right w:val="nil"/>
            </w:tcBorders>
            <w:shd w:val="clear" w:color="auto" w:fill="auto"/>
            <w:hideMark/>
          </w:tcPr>
          <w:p w:rsidR="00133B57" w:rsidRPr="009E4114" w:rsidRDefault="00F92783" w:rsidP="00901608">
            <w:pPr>
              <w:spacing w:after="0" w:line="240" w:lineRule="auto"/>
              <w:jc w:val="center"/>
              <w:rPr>
                <w:rFonts w:eastAsia="Times New Roman" w:cs="Times New Roman"/>
              </w:rPr>
            </w:pPr>
            <w:r>
              <w:rPr>
                <w:rFonts w:eastAsia="Times New Roman" w:cs="Times New Roman"/>
              </w:rPr>
              <w:t xml:space="preserve">= </w:t>
            </w:r>
            <w:r w:rsidR="00133B57" w:rsidRPr="009E4114">
              <w:rPr>
                <w:rFonts w:eastAsia="Times New Roman" w:cs="Times New Roman"/>
              </w:rPr>
              <w:t>Real cost</w:t>
            </w:r>
            <w:r w:rsidR="00D31774">
              <w:rPr>
                <w:rFonts w:eastAsia="Times New Roman" w:cs="Times New Roman"/>
              </w:rPr>
              <w:t xml:space="preserve"> </w:t>
            </w:r>
            <w:r w:rsidR="00D31774" w:rsidRPr="00D31774">
              <w:rPr>
                <w:rFonts w:eastAsia="Times New Roman" w:cs="Times New Roman"/>
                <w:vertAlign w:val="superscript"/>
              </w:rPr>
              <w:t>a</w:t>
            </w:r>
          </w:p>
        </w:tc>
        <w:tc>
          <w:tcPr>
            <w:tcW w:w="0" w:type="auto"/>
            <w:tcBorders>
              <w:top w:val="single" w:sz="4" w:space="0" w:color="auto"/>
              <w:left w:val="nil"/>
              <w:bottom w:val="single" w:sz="4" w:space="0" w:color="auto"/>
              <w:right w:val="nil"/>
            </w:tcBorders>
            <w:shd w:val="clear" w:color="auto" w:fill="auto"/>
            <w:hideMark/>
          </w:tcPr>
          <w:p w:rsidR="00133B57" w:rsidRPr="009E4114" w:rsidRDefault="00F92783" w:rsidP="00901608">
            <w:pPr>
              <w:spacing w:after="0" w:line="240" w:lineRule="auto"/>
              <w:jc w:val="center"/>
              <w:rPr>
                <w:rFonts w:eastAsia="Times New Roman" w:cs="Times New Roman"/>
              </w:rPr>
            </w:pPr>
            <w:r>
              <w:rPr>
                <w:rFonts w:eastAsia="Times New Roman" w:cs="Times New Roman"/>
              </w:rPr>
              <w:t xml:space="preserve">+ </w:t>
            </w:r>
            <w:r w:rsidR="00133B57" w:rsidRPr="009E4114">
              <w:rPr>
                <w:rFonts w:eastAsia="Times New Roman" w:cs="Times New Roman"/>
              </w:rPr>
              <w:t>Surplus</w:t>
            </w:r>
            <w:r w:rsidR="00497FDD">
              <w:rPr>
                <w:rFonts w:eastAsia="Times New Roman" w:cs="Times New Roman"/>
              </w:rPr>
              <w:t>, to reserve</w:t>
            </w:r>
            <w:r w:rsidR="00F050E4">
              <w:rPr>
                <w:rFonts w:eastAsia="Times New Roman" w:cs="Times New Roman"/>
              </w:rPr>
              <w:t>s</w:t>
            </w:r>
            <w:r w:rsidR="00D31774">
              <w:rPr>
                <w:rFonts w:eastAsia="Times New Roman" w:cs="Times New Roman"/>
              </w:rPr>
              <w:t xml:space="preserve"> </w:t>
            </w:r>
            <w:r w:rsidR="00D31774">
              <w:rPr>
                <w:rFonts w:eastAsia="Times New Roman" w:cs="Times New Roman"/>
                <w:vertAlign w:val="superscript"/>
              </w:rPr>
              <w:t>b</w:t>
            </w:r>
          </w:p>
        </w:tc>
      </w:tr>
      <w:tr w:rsidR="00F92783" w:rsidRPr="009E4114" w:rsidTr="00133B57">
        <w:trPr>
          <w:trHeight w:val="300"/>
        </w:trPr>
        <w:tc>
          <w:tcPr>
            <w:tcW w:w="0" w:type="auto"/>
            <w:tcBorders>
              <w:top w:val="single" w:sz="4" w:space="0" w:color="auto"/>
              <w:left w:val="nil"/>
              <w:right w:val="nil"/>
            </w:tcBorders>
            <w:shd w:val="clear" w:color="auto" w:fill="auto"/>
            <w:noWrap/>
            <w:vAlign w:val="bottom"/>
            <w:hideMark/>
          </w:tcPr>
          <w:p w:rsidR="00133B57" w:rsidRPr="009E4114" w:rsidRDefault="00133B57" w:rsidP="00901608">
            <w:pPr>
              <w:spacing w:after="0" w:line="240" w:lineRule="auto"/>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133B57" w:rsidRPr="009E4114" w:rsidRDefault="00133B57" w:rsidP="00901608">
            <w:pPr>
              <w:spacing w:after="0" w:line="240" w:lineRule="auto"/>
              <w:jc w:val="center"/>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133B57" w:rsidRPr="009E4114" w:rsidRDefault="00133B57" w:rsidP="00901608">
            <w:pPr>
              <w:spacing w:after="0" w:line="240" w:lineRule="auto"/>
              <w:jc w:val="center"/>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133B57" w:rsidRPr="009E4114" w:rsidRDefault="00133B57" w:rsidP="00901608">
            <w:pPr>
              <w:spacing w:after="0" w:line="240" w:lineRule="auto"/>
              <w:jc w:val="center"/>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133B57" w:rsidRPr="009E4114" w:rsidRDefault="00133B57" w:rsidP="00901608">
            <w:pPr>
              <w:spacing w:after="0" w:line="240" w:lineRule="auto"/>
              <w:jc w:val="center"/>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133B57" w:rsidRPr="009E4114" w:rsidRDefault="00133B57" w:rsidP="00901608">
            <w:pPr>
              <w:spacing w:after="0" w:line="240" w:lineRule="auto"/>
              <w:jc w:val="center"/>
              <w:rPr>
                <w:rFonts w:eastAsia="Times New Roman" w:cs="Times New Roman"/>
                <w:color w:val="000000"/>
              </w:rPr>
            </w:pPr>
          </w:p>
        </w:tc>
        <w:tc>
          <w:tcPr>
            <w:tcW w:w="0" w:type="auto"/>
            <w:tcBorders>
              <w:top w:val="single" w:sz="4" w:space="0" w:color="auto"/>
              <w:left w:val="nil"/>
              <w:right w:val="dashed" w:sz="4" w:space="0" w:color="auto"/>
            </w:tcBorders>
          </w:tcPr>
          <w:p w:rsidR="00133B57" w:rsidRPr="00246772" w:rsidRDefault="00133B57" w:rsidP="002E3EB1">
            <w:pPr>
              <w:spacing w:after="0" w:line="240" w:lineRule="auto"/>
              <w:jc w:val="center"/>
            </w:pPr>
          </w:p>
        </w:tc>
        <w:tc>
          <w:tcPr>
            <w:tcW w:w="0" w:type="auto"/>
            <w:tcBorders>
              <w:top w:val="single" w:sz="4" w:space="0" w:color="auto"/>
              <w:left w:val="dashed" w:sz="4" w:space="0" w:color="auto"/>
              <w:right w:val="nil"/>
            </w:tcBorders>
            <w:shd w:val="clear" w:color="auto" w:fill="auto"/>
            <w:noWrap/>
            <w:vAlign w:val="bottom"/>
            <w:hideMark/>
          </w:tcPr>
          <w:p w:rsidR="00133B57" w:rsidRPr="009E4114" w:rsidRDefault="00133B57" w:rsidP="00901608">
            <w:pPr>
              <w:spacing w:after="0" w:line="240" w:lineRule="auto"/>
              <w:jc w:val="center"/>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133B57" w:rsidRPr="009E4114" w:rsidRDefault="00133B57" w:rsidP="00901608">
            <w:pPr>
              <w:spacing w:after="0" w:line="240" w:lineRule="auto"/>
              <w:jc w:val="center"/>
              <w:rPr>
                <w:rFonts w:eastAsia="Times New Roman" w:cs="Times New Roman"/>
                <w:color w:val="000000"/>
              </w:rPr>
            </w:pPr>
          </w:p>
        </w:tc>
      </w:tr>
      <w:tr w:rsidR="00F92783" w:rsidRPr="009E4114" w:rsidTr="00133B57">
        <w:trPr>
          <w:trHeight w:val="300"/>
        </w:trPr>
        <w:tc>
          <w:tcPr>
            <w:tcW w:w="0" w:type="auto"/>
            <w:tcBorders>
              <w:left w:val="nil"/>
              <w:bottom w:val="nil"/>
              <w:right w:val="nil"/>
            </w:tcBorders>
            <w:shd w:val="clear" w:color="auto" w:fill="auto"/>
            <w:noWrap/>
            <w:vAlign w:val="bottom"/>
            <w:hideMark/>
          </w:tcPr>
          <w:p w:rsidR="00133B57" w:rsidRPr="00133B57" w:rsidRDefault="00133B57" w:rsidP="00901608">
            <w:pPr>
              <w:spacing w:after="0" w:line="240" w:lineRule="auto"/>
              <w:rPr>
                <w:rFonts w:eastAsia="Times New Roman" w:cs="Times New Roman"/>
                <w:b/>
                <w:color w:val="000000"/>
              </w:rPr>
            </w:pPr>
            <w:r w:rsidRPr="00133B57">
              <w:rPr>
                <w:rFonts w:eastAsia="Times New Roman" w:cs="Times New Roman"/>
                <w:b/>
                <w:color w:val="000000"/>
              </w:rPr>
              <w:t>Classical model</w:t>
            </w: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left w:val="nil"/>
              <w:bottom w:val="nil"/>
              <w:right w:val="dashed" w:sz="4" w:space="0" w:color="auto"/>
            </w:tcBorders>
          </w:tcPr>
          <w:p w:rsidR="00133B57" w:rsidRPr="00133B57" w:rsidRDefault="00133B57" w:rsidP="002E3EB1">
            <w:pPr>
              <w:spacing w:after="0" w:line="240" w:lineRule="auto"/>
              <w:jc w:val="center"/>
            </w:pPr>
          </w:p>
        </w:tc>
        <w:tc>
          <w:tcPr>
            <w:tcW w:w="0" w:type="auto"/>
            <w:tcBorders>
              <w:left w:val="dashed" w:sz="4" w:space="0" w:color="auto"/>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b/>
                <w:color w:val="000000"/>
              </w:rPr>
            </w:pP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r>
      <w:tr w:rsidR="00F92783" w:rsidRPr="009E4114" w:rsidTr="00133B57">
        <w:trPr>
          <w:trHeight w:val="300"/>
        </w:trPr>
        <w:tc>
          <w:tcPr>
            <w:tcW w:w="0" w:type="auto"/>
            <w:tcBorders>
              <w:left w:val="nil"/>
              <w:bottom w:val="nil"/>
              <w:right w:val="nil"/>
            </w:tcBorders>
            <w:shd w:val="clear" w:color="auto" w:fill="auto"/>
            <w:noWrap/>
            <w:vAlign w:val="bottom"/>
            <w:hideMark/>
          </w:tcPr>
          <w:p w:rsidR="00133B57" w:rsidRPr="009E4114" w:rsidRDefault="00133B57" w:rsidP="00901608">
            <w:pPr>
              <w:spacing w:after="0" w:line="240" w:lineRule="auto"/>
              <w:rPr>
                <w:rFonts w:eastAsia="Times New Roman" w:cs="Times New Roman"/>
                <w:color w:val="000000"/>
              </w:rPr>
            </w:pPr>
            <w:r w:rsidRPr="009E4114">
              <w:rPr>
                <w:rFonts w:eastAsia="Times New Roman" w:cs="Times New Roman"/>
                <w:color w:val="000000"/>
              </w:rPr>
              <w:t xml:space="preserve">University </w:t>
            </w:r>
            <w:r w:rsidR="002E1D64">
              <w:rPr>
                <w:rFonts w:eastAsia="Times New Roman" w:cs="Times New Roman"/>
                <w:color w:val="000000"/>
              </w:rPr>
              <w:t>requirement</w:t>
            </w:r>
            <w:r w:rsidRPr="009E4114">
              <w:rPr>
                <w:rFonts w:eastAsia="Times New Roman" w:cs="Times New Roman"/>
                <w:color w:val="000000"/>
              </w:rPr>
              <w:t xml:space="preserve"> ($m)</w:t>
            </w:r>
            <w:r w:rsidR="00F92783">
              <w:rPr>
                <w:rFonts w:eastAsia="Times New Roman" w:cs="Times New Roman"/>
                <w:color w:val="000000"/>
              </w:rPr>
              <w:t xml:space="preserve"> </w:t>
            </w:r>
            <w:r w:rsidR="00F92783" w:rsidRPr="00F92783">
              <w:rPr>
                <w:rFonts w:eastAsia="Times New Roman" w:cs="Times New Roman"/>
                <w:color w:val="000000"/>
                <w:vertAlign w:val="superscript"/>
              </w:rPr>
              <w:t>c</w:t>
            </w: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r w:rsidRPr="002204D7">
              <w:rPr>
                <w:rFonts w:eastAsia="Times New Roman" w:cs="Times New Roman"/>
                <w:color w:val="000000"/>
              </w:rPr>
              <w:t>8.27</w:t>
            </w: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r w:rsidRPr="002204D7">
              <w:rPr>
                <w:rFonts w:eastAsia="Times New Roman" w:cs="Times New Roman"/>
                <w:color w:val="000000"/>
              </w:rPr>
              <w:t>1.50</w:t>
            </w:r>
          </w:p>
        </w:tc>
        <w:tc>
          <w:tcPr>
            <w:tcW w:w="0" w:type="auto"/>
            <w:tcBorders>
              <w:left w:val="nil"/>
              <w:bottom w:val="nil"/>
              <w:right w:val="nil"/>
            </w:tcBorders>
            <w:shd w:val="clear" w:color="auto" w:fill="auto"/>
            <w:noWrap/>
            <w:vAlign w:val="bottom"/>
            <w:hideMark/>
          </w:tcPr>
          <w:p w:rsidR="00133B57" w:rsidRPr="00133B57" w:rsidRDefault="00133B57" w:rsidP="00B0505F">
            <w:pPr>
              <w:spacing w:after="0" w:line="240" w:lineRule="auto"/>
              <w:jc w:val="center"/>
              <w:rPr>
                <w:rFonts w:eastAsia="Times New Roman" w:cs="Times New Roman"/>
                <w:color w:val="000000"/>
              </w:rPr>
            </w:pPr>
            <w:r w:rsidRPr="00133B57">
              <w:rPr>
                <w:rFonts w:eastAsia="Times New Roman" w:cs="Times New Roman"/>
                <w:color w:val="000000"/>
              </w:rPr>
              <w:t>0.</w:t>
            </w:r>
            <w:r w:rsidR="00B0505F">
              <w:rPr>
                <w:rFonts w:eastAsia="Times New Roman" w:cs="Times New Roman"/>
                <w:color w:val="000000"/>
              </w:rPr>
              <w:t>42</w:t>
            </w: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r w:rsidRPr="002204D7">
              <w:rPr>
                <w:rFonts w:eastAsia="Times New Roman" w:cs="Times New Roman"/>
                <w:color w:val="000000"/>
              </w:rPr>
              <w:t>2.80</w:t>
            </w:r>
          </w:p>
        </w:tc>
        <w:tc>
          <w:tcPr>
            <w:tcW w:w="0" w:type="auto"/>
            <w:tcBorders>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r w:rsidRPr="002204D7">
              <w:rPr>
                <w:rFonts w:eastAsia="Times New Roman" w:cs="Times New Roman"/>
                <w:color w:val="000000"/>
              </w:rPr>
              <w:t>0.01</w:t>
            </w:r>
          </w:p>
        </w:tc>
        <w:tc>
          <w:tcPr>
            <w:tcW w:w="0" w:type="auto"/>
            <w:tcBorders>
              <w:left w:val="nil"/>
              <w:bottom w:val="nil"/>
              <w:right w:val="dashed" w:sz="4" w:space="0" w:color="auto"/>
            </w:tcBorders>
          </w:tcPr>
          <w:p w:rsidR="00133B57" w:rsidRPr="00133B57" w:rsidRDefault="00133B57" w:rsidP="002E3EB1">
            <w:pPr>
              <w:spacing w:after="0" w:line="240" w:lineRule="auto"/>
              <w:jc w:val="center"/>
            </w:pPr>
          </w:p>
        </w:tc>
        <w:tc>
          <w:tcPr>
            <w:tcW w:w="0" w:type="auto"/>
            <w:tcBorders>
              <w:left w:val="dashed" w:sz="4" w:space="0" w:color="auto"/>
              <w:bottom w:val="nil"/>
              <w:right w:val="nil"/>
            </w:tcBorders>
            <w:shd w:val="clear" w:color="auto" w:fill="auto"/>
            <w:noWrap/>
            <w:vAlign w:val="bottom"/>
            <w:hideMark/>
          </w:tcPr>
          <w:p w:rsidR="00133B57" w:rsidRPr="000C3E2C" w:rsidRDefault="00133B57" w:rsidP="002204D7">
            <w:pPr>
              <w:spacing w:after="0" w:line="240" w:lineRule="auto"/>
              <w:jc w:val="center"/>
              <w:rPr>
                <w:rFonts w:eastAsia="Times New Roman" w:cs="Times New Roman"/>
                <w:color w:val="000000"/>
              </w:rPr>
            </w:pPr>
            <w:r w:rsidRPr="000C3E2C">
              <w:rPr>
                <w:rFonts w:eastAsia="Times New Roman" w:cs="Times New Roman"/>
                <w:color w:val="000000"/>
              </w:rPr>
              <w:t>8.70</w:t>
            </w:r>
          </w:p>
        </w:tc>
        <w:tc>
          <w:tcPr>
            <w:tcW w:w="0" w:type="auto"/>
            <w:tcBorders>
              <w:left w:val="nil"/>
              <w:bottom w:val="nil"/>
              <w:right w:val="nil"/>
            </w:tcBorders>
            <w:shd w:val="clear" w:color="auto" w:fill="auto"/>
            <w:noWrap/>
            <w:vAlign w:val="bottom"/>
            <w:hideMark/>
          </w:tcPr>
          <w:p w:rsidR="00133B57" w:rsidRPr="000C3E2C" w:rsidRDefault="00133B57" w:rsidP="002204D7">
            <w:pPr>
              <w:spacing w:after="0" w:line="240" w:lineRule="auto"/>
              <w:jc w:val="center"/>
              <w:rPr>
                <w:rFonts w:eastAsia="Times New Roman" w:cs="Times New Roman"/>
                <w:color w:val="000000"/>
              </w:rPr>
            </w:pPr>
            <w:r w:rsidRPr="000C3E2C">
              <w:rPr>
                <w:rFonts w:eastAsia="Times New Roman" w:cs="Times New Roman"/>
                <w:color w:val="000000"/>
              </w:rPr>
              <w:t>4.30</w:t>
            </w:r>
          </w:p>
        </w:tc>
      </w:tr>
      <w:tr w:rsidR="00F92783" w:rsidRPr="00F92783" w:rsidTr="00133B57">
        <w:trPr>
          <w:trHeight w:val="300"/>
        </w:trPr>
        <w:tc>
          <w:tcPr>
            <w:tcW w:w="0" w:type="auto"/>
            <w:tcBorders>
              <w:top w:val="nil"/>
              <w:left w:val="nil"/>
              <w:bottom w:val="nil"/>
              <w:right w:val="nil"/>
            </w:tcBorders>
            <w:shd w:val="clear" w:color="auto" w:fill="auto"/>
            <w:noWrap/>
            <w:vAlign w:val="bottom"/>
            <w:hideMark/>
          </w:tcPr>
          <w:p w:rsidR="00133B57" w:rsidRPr="00F92783" w:rsidRDefault="00133B57" w:rsidP="00901608">
            <w:pPr>
              <w:spacing w:after="0" w:line="240" w:lineRule="auto"/>
              <w:rPr>
                <w:rFonts w:eastAsia="Times New Roman" w:cs="Times New Roman"/>
                <w:color w:val="000000"/>
              </w:rPr>
            </w:pPr>
            <w:r w:rsidRPr="00F92783">
              <w:rPr>
                <w:rFonts w:eastAsia="Times New Roman" w:cs="Times New Roman"/>
                <w:color w:val="000000"/>
              </w:rPr>
              <w:t xml:space="preserve">Economy </w:t>
            </w:r>
            <w:r w:rsidR="002E1D64" w:rsidRPr="00F92783">
              <w:rPr>
                <w:rFonts w:eastAsia="Times New Roman" w:cs="Times New Roman"/>
                <w:color w:val="000000"/>
              </w:rPr>
              <w:t>requirement</w:t>
            </w:r>
            <w:r w:rsidRPr="00F92783">
              <w:rPr>
                <w:rFonts w:eastAsia="Times New Roman" w:cs="Times New Roman"/>
                <w:color w:val="000000"/>
              </w:rPr>
              <w:t xml:space="preserve"> ($m)</w:t>
            </w:r>
            <w:r w:rsidR="00E47752">
              <w:rPr>
                <w:rFonts w:eastAsia="Times New Roman" w:cs="Times New Roman"/>
                <w:color w:val="000000"/>
              </w:rPr>
              <w:t xml:space="preserve"> </w:t>
            </w:r>
            <w:r w:rsidR="00E47752" w:rsidRPr="00E47752">
              <w:rPr>
                <w:rFonts w:eastAsia="Times New Roman" w:cs="Times New Roman"/>
                <w:color w:val="000000"/>
                <w:vertAlign w:val="superscript"/>
              </w:rPr>
              <w:t>d</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color w:val="000000"/>
              </w:rPr>
            </w:pPr>
            <w:r w:rsidRPr="00F92783">
              <w:rPr>
                <w:rFonts w:eastAsia="Times New Roman" w:cs="Times New Roman"/>
                <w:color w:val="000000"/>
              </w:rPr>
              <w:t>1.06</w:t>
            </w:r>
          </w:p>
        </w:tc>
        <w:tc>
          <w:tcPr>
            <w:tcW w:w="0" w:type="auto"/>
            <w:tcBorders>
              <w:top w:val="nil"/>
              <w:left w:val="nil"/>
              <w:bottom w:val="nil"/>
              <w:right w:val="nil"/>
            </w:tcBorders>
            <w:shd w:val="clear" w:color="auto" w:fill="auto"/>
            <w:noWrap/>
            <w:vAlign w:val="bottom"/>
            <w:hideMark/>
          </w:tcPr>
          <w:p w:rsidR="00133B57" w:rsidRPr="00F92783" w:rsidRDefault="00B0505F" w:rsidP="00B0505F">
            <w:pPr>
              <w:spacing w:after="0" w:line="240" w:lineRule="auto"/>
              <w:jc w:val="center"/>
              <w:rPr>
                <w:rFonts w:eastAsia="Times New Roman" w:cs="Times New Roman"/>
                <w:color w:val="000000"/>
              </w:rPr>
            </w:pPr>
            <w:r w:rsidRPr="00F92783">
              <w:rPr>
                <w:rFonts w:eastAsia="Times New Roman" w:cs="Times New Roman"/>
                <w:color w:val="000000"/>
              </w:rPr>
              <w:t>0.73</w:t>
            </w:r>
          </w:p>
        </w:tc>
        <w:tc>
          <w:tcPr>
            <w:tcW w:w="0" w:type="auto"/>
            <w:tcBorders>
              <w:top w:val="nil"/>
              <w:left w:val="nil"/>
              <w:bottom w:val="nil"/>
              <w:right w:val="nil"/>
            </w:tcBorders>
            <w:shd w:val="clear" w:color="auto" w:fill="auto"/>
            <w:noWrap/>
            <w:vAlign w:val="bottom"/>
            <w:hideMark/>
          </w:tcPr>
          <w:p w:rsidR="00133B57" w:rsidRPr="00F92783" w:rsidRDefault="00133B57" w:rsidP="00B0505F">
            <w:pPr>
              <w:spacing w:after="0" w:line="240" w:lineRule="auto"/>
              <w:jc w:val="center"/>
              <w:rPr>
                <w:rFonts w:eastAsia="Times New Roman" w:cs="Times New Roman"/>
                <w:color w:val="000000"/>
              </w:rPr>
            </w:pPr>
            <w:r w:rsidRPr="00F92783">
              <w:rPr>
                <w:rFonts w:eastAsia="Times New Roman" w:cs="Times New Roman"/>
                <w:color w:val="000000"/>
              </w:rPr>
              <w:t>0.1</w:t>
            </w:r>
            <w:r w:rsidR="00B0505F" w:rsidRPr="00F92783">
              <w:rPr>
                <w:rFonts w:eastAsia="Times New Roman" w:cs="Times New Roman"/>
                <w:color w:val="000000"/>
              </w:rPr>
              <w:t>3</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color w:val="000000"/>
              </w:rPr>
            </w:pPr>
            <w:r w:rsidRPr="00F92783">
              <w:rPr>
                <w:rFonts w:eastAsia="Times New Roman" w:cs="Times New Roman"/>
                <w:color w:val="000000"/>
              </w:rPr>
              <w:t>0.01</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color w:val="000000"/>
              </w:rPr>
            </w:pPr>
            <w:r w:rsidRPr="00F92783">
              <w:rPr>
                <w:rFonts w:eastAsia="Times New Roman" w:cs="Times New Roman"/>
                <w:color w:val="000000"/>
              </w:rPr>
              <w:t>0.55</w:t>
            </w:r>
          </w:p>
        </w:tc>
        <w:tc>
          <w:tcPr>
            <w:tcW w:w="0" w:type="auto"/>
            <w:tcBorders>
              <w:top w:val="nil"/>
              <w:left w:val="nil"/>
              <w:bottom w:val="nil"/>
              <w:right w:val="dashed" w:sz="4" w:space="0" w:color="auto"/>
            </w:tcBorders>
          </w:tcPr>
          <w:p w:rsidR="00133B57" w:rsidRPr="00F92783" w:rsidRDefault="00133B57" w:rsidP="002E3EB1">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b/>
                <w:color w:val="000000"/>
              </w:rPr>
            </w:pPr>
            <w:r w:rsidRPr="00F92783">
              <w:rPr>
                <w:rFonts w:eastAsia="Times New Roman" w:cs="Times New Roman"/>
                <w:b/>
                <w:color w:val="000000"/>
              </w:rPr>
              <w:t>1.75</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b/>
                <w:color w:val="000000"/>
              </w:rPr>
            </w:pPr>
            <w:r w:rsidRPr="00F92783">
              <w:rPr>
                <w:rFonts w:eastAsia="Times New Roman" w:cs="Times New Roman"/>
                <w:b/>
                <w:color w:val="000000"/>
              </w:rPr>
              <w:t>0.73</w:t>
            </w:r>
          </w:p>
        </w:tc>
      </w:tr>
      <w:tr w:rsidR="00F92783" w:rsidRPr="009E4114" w:rsidTr="00133B57">
        <w:trPr>
          <w:trHeight w:val="300"/>
        </w:trPr>
        <w:tc>
          <w:tcPr>
            <w:tcW w:w="0" w:type="auto"/>
            <w:tcBorders>
              <w:top w:val="nil"/>
              <w:left w:val="nil"/>
              <w:bottom w:val="nil"/>
              <w:right w:val="nil"/>
            </w:tcBorders>
            <w:shd w:val="clear" w:color="auto" w:fill="auto"/>
            <w:noWrap/>
            <w:vAlign w:val="bottom"/>
            <w:hideMark/>
          </w:tcPr>
          <w:p w:rsidR="00133B57" w:rsidRPr="009E4114" w:rsidRDefault="00133B57" w:rsidP="00901608">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133B57" w:rsidRDefault="00133B57" w:rsidP="00133B5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tcPr>
          <w:p w:rsidR="00133B57" w:rsidRPr="00246772" w:rsidRDefault="00133B57" w:rsidP="002E3EB1">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r>
      <w:tr w:rsidR="00F92783" w:rsidRPr="009E4114" w:rsidTr="00133B57">
        <w:trPr>
          <w:trHeight w:val="300"/>
        </w:trPr>
        <w:tc>
          <w:tcPr>
            <w:tcW w:w="0" w:type="auto"/>
            <w:tcBorders>
              <w:top w:val="nil"/>
              <w:left w:val="nil"/>
              <w:bottom w:val="nil"/>
              <w:right w:val="nil"/>
            </w:tcBorders>
            <w:shd w:val="clear" w:color="auto" w:fill="auto"/>
            <w:noWrap/>
            <w:vAlign w:val="bottom"/>
            <w:hideMark/>
          </w:tcPr>
          <w:p w:rsidR="00133B57" w:rsidRPr="009E4114" w:rsidRDefault="00133B57" w:rsidP="00901608">
            <w:pPr>
              <w:spacing w:after="0" w:line="240" w:lineRule="auto"/>
              <w:rPr>
                <w:rFonts w:eastAsia="Times New Roman" w:cs="Times New Roman"/>
                <w:color w:val="000000"/>
              </w:rPr>
            </w:pPr>
            <w:r w:rsidRPr="009E4114">
              <w:rPr>
                <w:rFonts w:eastAsia="Times New Roman" w:cs="Times New Roman"/>
                <w:color w:val="000000"/>
              </w:rPr>
              <w:t xml:space="preserve">University </w:t>
            </w:r>
            <w:r w:rsidR="002E1D64">
              <w:rPr>
                <w:rFonts w:eastAsia="Times New Roman" w:cs="Times New Roman"/>
                <w:color w:val="000000"/>
              </w:rPr>
              <w:t>requirement</w:t>
            </w:r>
            <w:r w:rsidRPr="009E4114">
              <w:rPr>
                <w:rFonts w:eastAsia="Times New Roman" w:cs="Times New Roman"/>
                <w:color w:val="000000"/>
              </w:rPr>
              <w:t xml:space="preserve"> (¢/$)</w:t>
            </w:r>
            <w:r w:rsidR="00E47752">
              <w:rPr>
                <w:rFonts w:eastAsia="Times New Roman" w:cs="Times New Roman"/>
                <w:color w:val="000000"/>
              </w:rPr>
              <w:t xml:space="preserve"> </w:t>
            </w:r>
            <w:r w:rsidR="00E47752" w:rsidRPr="00E47752">
              <w:rPr>
                <w:rFonts w:eastAsia="Times New Roman" w:cs="Times New Roman"/>
                <w:color w:val="000000"/>
                <w:vertAlign w:val="superscript"/>
              </w:rPr>
              <w:t>c</w:t>
            </w: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r w:rsidRPr="002204D7">
              <w:rPr>
                <w:rFonts w:eastAsia="Times New Roman" w:cs="Times New Roman"/>
                <w:color w:val="000000"/>
              </w:rPr>
              <w:t>53</w:t>
            </w: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r w:rsidRPr="002204D7">
              <w:rPr>
                <w:rFonts w:eastAsia="Times New Roman" w:cs="Times New Roman"/>
                <w:color w:val="000000"/>
              </w:rPr>
              <w:t>10</w:t>
            </w:r>
          </w:p>
        </w:tc>
        <w:tc>
          <w:tcPr>
            <w:tcW w:w="0" w:type="auto"/>
            <w:tcBorders>
              <w:top w:val="nil"/>
              <w:left w:val="nil"/>
              <w:bottom w:val="nil"/>
              <w:right w:val="nil"/>
            </w:tcBorders>
            <w:shd w:val="clear" w:color="auto" w:fill="auto"/>
            <w:noWrap/>
            <w:vAlign w:val="bottom"/>
            <w:hideMark/>
          </w:tcPr>
          <w:p w:rsidR="00133B57" w:rsidRPr="00133B57" w:rsidRDefault="00B0505F" w:rsidP="00133B57">
            <w:pPr>
              <w:spacing w:after="0" w:line="240" w:lineRule="auto"/>
              <w:jc w:val="center"/>
              <w:rPr>
                <w:rFonts w:eastAsia="Times New Roman" w:cs="Times New Roman"/>
                <w:color w:val="000000"/>
              </w:rPr>
            </w:pPr>
            <w:r>
              <w:rPr>
                <w:rFonts w:eastAsia="Times New Roman" w:cs="Times New Roman"/>
                <w:color w:val="000000"/>
              </w:rPr>
              <w:t>3</w:t>
            </w: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r w:rsidRPr="002204D7">
              <w:rPr>
                <w:rFonts w:eastAsia="Times New Roman" w:cs="Times New Roman"/>
                <w:color w:val="000000"/>
              </w:rPr>
              <w:t>18</w:t>
            </w: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r w:rsidRPr="002204D7">
              <w:rPr>
                <w:rFonts w:eastAsia="Times New Roman" w:cs="Times New Roman"/>
                <w:color w:val="000000"/>
              </w:rPr>
              <w:t>0</w:t>
            </w:r>
          </w:p>
        </w:tc>
        <w:tc>
          <w:tcPr>
            <w:tcW w:w="0" w:type="auto"/>
            <w:tcBorders>
              <w:top w:val="nil"/>
              <w:left w:val="nil"/>
              <w:bottom w:val="nil"/>
              <w:right w:val="dashed" w:sz="4" w:space="0" w:color="auto"/>
            </w:tcBorders>
          </w:tcPr>
          <w:p w:rsidR="00133B57" w:rsidRPr="00133B57" w:rsidRDefault="00133B57" w:rsidP="002E3EB1">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133B57" w:rsidRPr="000C3E2C" w:rsidRDefault="00133B57" w:rsidP="002204D7">
            <w:pPr>
              <w:spacing w:after="0" w:line="240" w:lineRule="auto"/>
              <w:jc w:val="center"/>
              <w:rPr>
                <w:rFonts w:eastAsia="Times New Roman" w:cs="Times New Roman"/>
                <w:color w:val="000000"/>
              </w:rPr>
            </w:pPr>
            <w:r w:rsidRPr="000C3E2C">
              <w:rPr>
                <w:rFonts w:eastAsia="Times New Roman" w:cs="Times New Roman"/>
                <w:color w:val="000000"/>
              </w:rPr>
              <w:t>56</w:t>
            </w:r>
          </w:p>
        </w:tc>
        <w:tc>
          <w:tcPr>
            <w:tcW w:w="0" w:type="auto"/>
            <w:tcBorders>
              <w:top w:val="nil"/>
              <w:left w:val="nil"/>
              <w:bottom w:val="nil"/>
              <w:right w:val="nil"/>
            </w:tcBorders>
            <w:shd w:val="clear" w:color="auto" w:fill="auto"/>
            <w:noWrap/>
            <w:vAlign w:val="bottom"/>
            <w:hideMark/>
          </w:tcPr>
          <w:p w:rsidR="00133B57" w:rsidRPr="000C3E2C" w:rsidRDefault="00133B57" w:rsidP="002204D7">
            <w:pPr>
              <w:spacing w:after="0" w:line="240" w:lineRule="auto"/>
              <w:jc w:val="center"/>
              <w:rPr>
                <w:rFonts w:eastAsia="Times New Roman" w:cs="Times New Roman"/>
                <w:color w:val="000000"/>
              </w:rPr>
            </w:pPr>
            <w:r w:rsidRPr="000C3E2C">
              <w:rPr>
                <w:rFonts w:eastAsia="Times New Roman" w:cs="Times New Roman"/>
                <w:color w:val="000000"/>
              </w:rPr>
              <w:t>28</w:t>
            </w:r>
          </w:p>
        </w:tc>
      </w:tr>
      <w:tr w:rsidR="00F92783" w:rsidRPr="00F92783" w:rsidTr="00133B57">
        <w:trPr>
          <w:trHeight w:val="300"/>
        </w:trPr>
        <w:tc>
          <w:tcPr>
            <w:tcW w:w="0" w:type="auto"/>
            <w:tcBorders>
              <w:top w:val="nil"/>
              <w:left w:val="nil"/>
              <w:bottom w:val="nil"/>
              <w:right w:val="nil"/>
            </w:tcBorders>
            <w:shd w:val="clear" w:color="auto" w:fill="auto"/>
            <w:noWrap/>
            <w:vAlign w:val="bottom"/>
            <w:hideMark/>
          </w:tcPr>
          <w:p w:rsidR="00133B57" w:rsidRPr="00F92783" w:rsidRDefault="00133B57" w:rsidP="00901608">
            <w:pPr>
              <w:spacing w:after="0" w:line="240" w:lineRule="auto"/>
              <w:rPr>
                <w:rFonts w:eastAsia="Times New Roman" w:cs="Times New Roman"/>
                <w:color w:val="000000"/>
              </w:rPr>
            </w:pPr>
            <w:r w:rsidRPr="00F92783">
              <w:rPr>
                <w:rFonts w:eastAsia="Times New Roman" w:cs="Times New Roman"/>
                <w:color w:val="000000"/>
              </w:rPr>
              <w:t xml:space="preserve">Economy </w:t>
            </w:r>
            <w:r w:rsidR="002E1D64" w:rsidRPr="00F92783">
              <w:rPr>
                <w:rFonts w:eastAsia="Times New Roman" w:cs="Times New Roman"/>
                <w:color w:val="000000"/>
              </w:rPr>
              <w:t>requirement</w:t>
            </w:r>
            <w:r w:rsidRPr="00F92783">
              <w:rPr>
                <w:rFonts w:eastAsia="Times New Roman" w:cs="Times New Roman"/>
                <w:color w:val="000000"/>
              </w:rPr>
              <w:t xml:space="preserve"> (¢/$)</w:t>
            </w:r>
            <w:r w:rsidR="00E47752">
              <w:rPr>
                <w:rFonts w:eastAsia="Times New Roman" w:cs="Times New Roman"/>
                <w:color w:val="000000"/>
              </w:rPr>
              <w:t xml:space="preserve"> </w:t>
            </w:r>
            <w:r w:rsidR="00E47752" w:rsidRPr="00E47752">
              <w:rPr>
                <w:rFonts w:eastAsia="Times New Roman" w:cs="Times New Roman"/>
                <w:color w:val="000000"/>
                <w:vertAlign w:val="superscript"/>
              </w:rPr>
              <w:t>d</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color w:val="000000"/>
              </w:rPr>
            </w:pPr>
            <w:r w:rsidRPr="00F92783">
              <w:rPr>
                <w:rFonts w:eastAsia="Times New Roman" w:cs="Times New Roman"/>
                <w:color w:val="000000"/>
              </w:rPr>
              <w:t>7</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color w:val="000000"/>
              </w:rPr>
            </w:pPr>
            <w:r w:rsidRPr="00F92783">
              <w:rPr>
                <w:rFonts w:eastAsia="Times New Roman" w:cs="Times New Roman"/>
                <w:color w:val="000000"/>
              </w:rPr>
              <w:t>5</w:t>
            </w:r>
          </w:p>
        </w:tc>
        <w:tc>
          <w:tcPr>
            <w:tcW w:w="0" w:type="auto"/>
            <w:tcBorders>
              <w:top w:val="nil"/>
              <w:left w:val="nil"/>
              <w:bottom w:val="nil"/>
              <w:right w:val="nil"/>
            </w:tcBorders>
            <w:shd w:val="clear" w:color="auto" w:fill="auto"/>
            <w:noWrap/>
            <w:vAlign w:val="bottom"/>
            <w:hideMark/>
          </w:tcPr>
          <w:p w:rsidR="00133B57" w:rsidRPr="00F92783" w:rsidRDefault="00133B57" w:rsidP="00133B57">
            <w:pPr>
              <w:spacing w:after="0" w:line="240" w:lineRule="auto"/>
              <w:jc w:val="center"/>
              <w:rPr>
                <w:rFonts w:eastAsia="Times New Roman" w:cs="Times New Roman"/>
                <w:color w:val="000000"/>
              </w:rPr>
            </w:pPr>
            <w:r w:rsidRPr="00F92783">
              <w:rPr>
                <w:rFonts w:eastAsia="Times New Roman" w:cs="Times New Roman"/>
                <w:color w:val="000000"/>
              </w:rPr>
              <w:t>1</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color w:val="000000"/>
              </w:rPr>
            </w:pPr>
            <w:r w:rsidRPr="00F92783">
              <w:rPr>
                <w:rFonts w:eastAsia="Times New Roman" w:cs="Times New Roman"/>
                <w:color w:val="000000"/>
              </w:rPr>
              <w:t>0</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color w:val="000000"/>
              </w:rPr>
            </w:pPr>
            <w:r w:rsidRPr="00F92783">
              <w:rPr>
                <w:rFonts w:eastAsia="Times New Roman" w:cs="Times New Roman"/>
                <w:color w:val="000000"/>
              </w:rPr>
              <w:t>4</w:t>
            </w:r>
          </w:p>
        </w:tc>
        <w:tc>
          <w:tcPr>
            <w:tcW w:w="0" w:type="auto"/>
            <w:tcBorders>
              <w:top w:val="nil"/>
              <w:left w:val="nil"/>
              <w:bottom w:val="nil"/>
              <w:right w:val="dashed" w:sz="4" w:space="0" w:color="auto"/>
            </w:tcBorders>
          </w:tcPr>
          <w:p w:rsidR="00133B57" w:rsidRPr="00F92783" w:rsidRDefault="00133B57" w:rsidP="002E3EB1">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b/>
                <w:color w:val="000000"/>
              </w:rPr>
            </w:pPr>
            <w:r w:rsidRPr="00F92783">
              <w:rPr>
                <w:rFonts w:eastAsia="Times New Roman" w:cs="Times New Roman"/>
                <w:b/>
                <w:color w:val="000000"/>
              </w:rPr>
              <w:t>11</w:t>
            </w:r>
          </w:p>
        </w:tc>
        <w:tc>
          <w:tcPr>
            <w:tcW w:w="0" w:type="auto"/>
            <w:tcBorders>
              <w:top w:val="nil"/>
              <w:left w:val="nil"/>
              <w:bottom w:val="nil"/>
              <w:right w:val="nil"/>
            </w:tcBorders>
            <w:shd w:val="clear" w:color="auto" w:fill="auto"/>
            <w:noWrap/>
            <w:vAlign w:val="bottom"/>
            <w:hideMark/>
          </w:tcPr>
          <w:p w:rsidR="00133B57" w:rsidRPr="00F92783" w:rsidRDefault="00133B57" w:rsidP="002204D7">
            <w:pPr>
              <w:spacing w:after="0" w:line="240" w:lineRule="auto"/>
              <w:jc w:val="center"/>
              <w:rPr>
                <w:rFonts w:eastAsia="Times New Roman" w:cs="Times New Roman"/>
                <w:b/>
                <w:color w:val="000000"/>
              </w:rPr>
            </w:pPr>
            <w:r w:rsidRPr="00F92783">
              <w:rPr>
                <w:rFonts w:eastAsia="Times New Roman" w:cs="Times New Roman"/>
                <w:b/>
                <w:color w:val="000000"/>
              </w:rPr>
              <w:t>5</w:t>
            </w:r>
          </w:p>
        </w:tc>
      </w:tr>
      <w:tr w:rsidR="00F92783" w:rsidRPr="009E4114" w:rsidTr="00133B57">
        <w:trPr>
          <w:trHeight w:val="300"/>
        </w:trPr>
        <w:tc>
          <w:tcPr>
            <w:tcW w:w="0" w:type="auto"/>
            <w:tcBorders>
              <w:top w:val="nil"/>
              <w:left w:val="nil"/>
              <w:bottom w:val="nil"/>
              <w:right w:val="nil"/>
            </w:tcBorders>
            <w:shd w:val="clear" w:color="auto" w:fill="auto"/>
            <w:noWrap/>
            <w:vAlign w:val="bottom"/>
            <w:hideMark/>
          </w:tcPr>
          <w:p w:rsidR="00133B57" w:rsidRPr="009E4114" w:rsidRDefault="00133B57" w:rsidP="00901608">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133B57" w:rsidRDefault="00133B57" w:rsidP="00133B5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tcPr>
          <w:p w:rsidR="00133B57" w:rsidRPr="00246772" w:rsidRDefault="00133B57" w:rsidP="002E3EB1">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133B57" w:rsidRPr="002204D7" w:rsidRDefault="00133B57" w:rsidP="002204D7">
            <w:pPr>
              <w:spacing w:after="0" w:line="240" w:lineRule="auto"/>
              <w:jc w:val="center"/>
              <w:rPr>
                <w:rFonts w:eastAsia="Times New Roman" w:cs="Times New Roman"/>
                <w:color w:val="000000"/>
              </w:rPr>
            </w:pPr>
          </w:p>
        </w:tc>
      </w:tr>
      <w:tr w:rsidR="00F92783" w:rsidRPr="009E4114" w:rsidTr="000A5D28">
        <w:trPr>
          <w:trHeight w:val="300"/>
        </w:trPr>
        <w:tc>
          <w:tcPr>
            <w:tcW w:w="0" w:type="auto"/>
            <w:tcBorders>
              <w:top w:val="nil"/>
              <w:left w:val="nil"/>
              <w:bottom w:val="nil"/>
              <w:right w:val="nil"/>
            </w:tcBorders>
            <w:shd w:val="clear" w:color="auto" w:fill="auto"/>
            <w:noWrap/>
            <w:vAlign w:val="bottom"/>
            <w:hideMark/>
          </w:tcPr>
          <w:p w:rsidR="00D628DA" w:rsidRPr="00133B57" w:rsidRDefault="00D628DA" w:rsidP="00901608">
            <w:pPr>
              <w:spacing w:after="0" w:line="240" w:lineRule="auto"/>
              <w:rPr>
                <w:rFonts w:eastAsia="Times New Roman" w:cs="Times New Roman"/>
                <w:b/>
                <w:color w:val="000000"/>
              </w:rPr>
            </w:pPr>
            <w:r w:rsidRPr="00133B57">
              <w:rPr>
                <w:rFonts w:eastAsia="Times New Roman" w:cs="Times New Roman"/>
                <w:b/>
                <w:color w:val="000000"/>
              </w:rPr>
              <w:t>Open model</w:t>
            </w:r>
          </w:p>
        </w:tc>
        <w:tc>
          <w:tcPr>
            <w:tcW w:w="0" w:type="auto"/>
            <w:tcBorders>
              <w:top w:val="nil"/>
              <w:left w:val="nil"/>
              <w:bottom w:val="nil"/>
              <w:right w:val="nil"/>
            </w:tcBorders>
            <w:shd w:val="clear" w:color="auto" w:fill="auto"/>
            <w:noWrap/>
            <w:vAlign w:val="bottom"/>
            <w:hideMark/>
          </w:tcPr>
          <w:p w:rsidR="00D628DA" w:rsidRPr="00246772" w:rsidRDefault="00D628DA" w:rsidP="000A5D28">
            <w:pPr>
              <w:spacing w:after="0" w:line="240" w:lineRule="auto"/>
              <w:jc w:val="center"/>
            </w:pPr>
            <w:r>
              <w:rPr>
                <w:rFonts w:ascii="Times New Roman" w:hAnsi="Times New Roman" w:cs="Times New Roman"/>
              </w:rPr>
              <w:t>┌───</w:t>
            </w:r>
          </w:p>
        </w:tc>
        <w:tc>
          <w:tcPr>
            <w:tcW w:w="0" w:type="auto"/>
            <w:tcBorders>
              <w:top w:val="nil"/>
              <w:left w:val="nil"/>
              <w:bottom w:val="nil"/>
              <w:right w:val="nil"/>
            </w:tcBorders>
            <w:shd w:val="clear" w:color="auto" w:fill="auto"/>
            <w:vAlign w:val="bottom"/>
          </w:tcPr>
          <w:p w:rsidR="00D628DA" w:rsidRPr="00246772" w:rsidRDefault="00D628DA" w:rsidP="000A5D28">
            <w:pPr>
              <w:spacing w:after="0" w:line="240" w:lineRule="auto"/>
              <w:jc w:val="center"/>
            </w:pPr>
          </w:p>
        </w:tc>
        <w:tc>
          <w:tcPr>
            <w:tcW w:w="0" w:type="auto"/>
            <w:tcBorders>
              <w:top w:val="nil"/>
              <w:left w:val="nil"/>
              <w:bottom w:val="nil"/>
              <w:right w:val="nil"/>
            </w:tcBorders>
            <w:shd w:val="clear" w:color="auto" w:fill="auto"/>
            <w:vAlign w:val="bottom"/>
          </w:tcPr>
          <w:p w:rsidR="00D628DA" w:rsidRPr="00246772" w:rsidRDefault="00D628DA" w:rsidP="000A5D28">
            <w:pPr>
              <w:spacing w:after="0" w:line="240" w:lineRule="auto"/>
              <w:jc w:val="center"/>
            </w:pPr>
            <w:r>
              <w:t>University</w:t>
            </w:r>
          </w:p>
        </w:tc>
        <w:tc>
          <w:tcPr>
            <w:tcW w:w="0" w:type="auto"/>
            <w:tcBorders>
              <w:top w:val="nil"/>
              <w:left w:val="nil"/>
              <w:bottom w:val="nil"/>
              <w:right w:val="nil"/>
            </w:tcBorders>
            <w:shd w:val="clear" w:color="auto" w:fill="auto"/>
            <w:vAlign w:val="bottom"/>
          </w:tcPr>
          <w:p w:rsidR="00D628DA" w:rsidRPr="00F92783" w:rsidRDefault="00F92783" w:rsidP="00F92783">
            <w:pPr>
              <w:spacing w:after="0" w:line="240" w:lineRule="auto"/>
              <w:rPr>
                <w:vertAlign w:val="superscript"/>
              </w:rPr>
            </w:pPr>
            <w:r w:rsidRPr="00F92783">
              <w:rPr>
                <w:vertAlign w:val="superscript"/>
              </w:rPr>
              <w:t>e</w:t>
            </w:r>
          </w:p>
        </w:tc>
        <w:tc>
          <w:tcPr>
            <w:tcW w:w="0" w:type="auto"/>
            <w:tcBorders>
              <w:top w:val="nil"/>
              <w:left w:val="nil"/>
              <w:bottom w:val="nil"/>
              <w:right w:val="nil"/>
            </w:tcBorders>
            <w:shd w:val="clear" w:color="auto" w:fill="auto"/>
            <w:vAlign w:val="bottom"/>
          </w:tcPr>
          <w:p w:rsidR="00D628DA" w:rsidRPr="00246772" w:rsidRDefault="00D628DA" w:rsidP="000A5D28">
            <w:pPr>
              <w:spacing w:after="0" w:line="240" w:lineRule="auto"/>
              <w:jc w:val="right"/>
            </w:pPr>
            <w:r>
              <w:rPr>
                <w:rFonts w:ascii="Times New Roman" w:hAnsi="Times New Roman" w:cs="Times New Roman"/>
              </w:rPr>
              <w:t>───┐</w:t>
            </w:r>
          </w:p>
        </w:tc>
        <w:tc>
          <w:tcPr>
            <w:tcW w:w="0" w:type="auto"/>
            <w:tcBorders>
              <w:top w:val="nil"/>
              <w:left w:val="nil"/>
              <w:bottom w:val="nil"/>
              <w:right w:val="dashed" w:sz="4" w:space="0" w:color="auto"/>
            </w:tcBorders>
            <w:vAlign w:val="bottom"/>
          </w:tcPr>
          <w:p w:rsidR="00D628DA" w:rsidRPr="007F4188" w:rsidRDefault="00D628DA" w:rsidP="00452226">
            <w:pPr>
              <w:spacing w:after="0" w:line="240" w:lineRule="auto"/>
              <w:jc w:val="center"/>
              <w:rPr>
                <w:i/>
              </w:rPr>
            </w:pPr>
            <w:r w:rsidRPr="00F92783">
              <w:t>Economy</w:t>
            </w:r>
            <w:r w:rsidR="00D31774">
              <w:rPr>
                <w:rFonts w:eastAsia="Times New Roman" w:cs="Times New Roman"/>
              </w:rPr>
              <w:t xml:space="preserve"> </w:t>
            </w:r>
            <w:r w:rsidR="00F92783">
              <w:rPr>
                <w:rFonts w:eastAsia="Times New Roman" w:cs="Times New Roman"/>
                <w:vertAlign w:val="superscript"/>
              </w:rPr>
              <w:t>f</w:t>
            </w:r>
          </w:p>
        </w:tc>
        <w:tc>
          <w:tcPr>
            <w:tcW w:w="0" w:type="auto"/>
            <w:tcBorders>
              <w:top w:val="nil"/>
              <w:left w:val="dashed" w:sz="4" w:space="0" w:color="auto"/>
              <w:bottom w:val="nil"/>
              <w:right w:val="nil"/>
            </w:tcBorders>
            <w:shd w:val="clear" w:color="auto" w:fill="auto"/>
            <w:noWrap/>
            <w:vAlign w:val="bottom"/>
            <w:hideMark/>
          </w:tcPr>
          <w:p w:rsidR="00D628DA" w:rsidRPr="00452226" w:rsidRDefault="00D628DA" w:rsidP="00452226">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D628DA" w:rsidRPr="00452226" w:rsidRDefault="00D628DA" w:rsidP="00452226">
            <w:pPr>
              <w:spacing w:after="0" w:line="240" w:lineRule="auto"/>
              <w:jc w:val="center"/>
              <w:rPr>
                <w:rFonts w:eastAsia="Times New Roman" w:cs="Times New Roman"/>
                <w:color w:val="000000"/>
              </w:rPr>
            </w:pPr>
          </w:p>
        </w:tc>
      </w:tr>
      <w:tr w:rsidR="00F92783" w:rsidRPr="009E4114" w:rsidTr="00133B57">
        <w:trPr>
          <w:trHeight w:val="300"/>
        </w:trPr>
        <w:tc>
          <w:tcPr>
            <w:tcW w:w="0" w:type="auto"/>
            <w:tcBorders>
              <w:top w:val="nil"/>
              <w:left w:val="nil"/>
              <w:bottom w:val="nil"/>
              <w:right w:val="nil"/>
            </w:tcBorders>
            <w:shd w:val="clear" w:color="auto" w:fill="auto"/>
            <w:noWrap/>
            <w:vAlign w:val="bottom"/>
            <w:hideMark/>
          </w:tcPr>
          <w:p w:rsidR="00B0505F" w:rsidRPr="009E4114" w:rsidRDefault="00B0505F" w:rsidP="00901608">
            <w:pPr>
              <w:spacing w:after="0" w:line="240" w:lineRule="auto"/>
              <w:rPr>
                <w:rFonts w:eastAsia="Times New Roman" w:cs="Times New Roman"/>
                <w:color w:val="000000"/>
              </w:rPr>
            </w:pPr>
            <w:r>
              <w:rPr>
                <w:rFonts w:eastAsia="Times New Roman" w:cs="Times New Roman"/>
                <w:color w:val="000000"/>
              </w:rPr>
              <w:t>Teaching</w:t>
            </w:r>
            <w:r w:rsidRPr="009E4114">
              <w:rPr>
                <w:rFonts w:eastAsia="Times New Roman" w:cs="Times New Roman"/>
                <w:color w:val="000000"/>
              </w:rPr>
              <w:t xml:space="preserve"> </w:t>
            </w:r>
            <w:r w:rsidR="002E1D64">
              <w:rPr>
                <w:rFonts w:eastAsia="Times New Roman" w:cs="Times New Roman"/>
                <w:color w:val="000000"/>
              </w:rPr>
              <w:t>requirement</w:t>
            </w:r>
            <w:r w:rsidRPr="009E4114">
              <w:rPr>
                <w:rFonts w:eastAsia="Times New Roman" w:cs="Times New Roman"/>
                <w:color w:val="000000"/>
              </w:rPr>
              <w:t xml:space="preserve"> ($m)</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7.22</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1.50</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0.36</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2.62</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0.01</w:t>
            </w:r>
          </w:p>
        </w:tc>
        <w:tc>
          <w:tcPr>
            <w:tcW w:w="0" w:type="auto"/>
            <w:tcBorders>
              <w:top w:val="nil"/>
              <w:left w:val="nil"/>
              <w:bottom w:val="nil"/>
              <w:right w:val="dashed" w:sz="4" w:space="0" w:color="auto"/>
            </w:tcBorders>
            <w:vAlign w:val="bottom"/>
          </w:tcPr>
          <w:p w:rsidR="00B0505F" w:rsidRPr="000C3E2C" w:rsidRDefault="00B0505F" w:rsidP="006553FA">
            <w:pPr>
              <w:spacing w:after="0" w:line="240" w:lineRule="auto"/>
              <w:jc w:val="center"/>
              <w:rPr>
                <w:rFonts w:eastAsia="Times New Roman" w:cs="Times New Roman"/>
                <w:b/>
                <w:color w:val="000000"/>
              </w:rPr>
            </w:pPr>
            <w:r w:rsidRPr="000C3E2C">
              <w:rPr>
                <w:rFonts w:eastAsia="Times New Roman" w:cs="Times New Roman"/>
                <w:b/>
                <w:color w:val="000000"/>
              </w:rPr>
              <w:t>1.93</w:t>
            </w:r>
          </w:p>
        </w:tc>
        <w:tc>
          <w:tcPr>
            <w:tcW w:w="0" w:type="auto"/>
            <w:tcBorders>
              <w:top w:val="nil"/>
              <w:left w:val="dashed" w:sz="4" w:space="0" w:color="auto"/>
              <w:bottom w:val="nil"/>
              <w:right w:val="nil"/>
            </w:tcBorders>
            <w:shd w:val="clear" w:color="auto" w:fill="auto"/>
            <w:noWrap/>
            <w:vAlign w:val="bottom"/>
            <w:hideMark/>
          </w:tcPr>
          <w:p w:rsidR="00B0505F" w:rsidRPr="000C3E2C" w:rsidRDefault="00B0505F" w:rsidP="006553FA">
            <w:pPr>
              <w:spacing w:after="0" w:line="240" w:lineRule="auto"/>
              <w:jc w:val="center"/>
              <w:rPr>
                <w:rFonts w:eastAsia="Times New Roman" w:cs="Times New Roman"/>
                <w:color w:val="000000"/>
              </w:rPr>
            </w:pPr>
            <w:r w:rsidRPr="000C3E2C">
              <w:rPr>
                <w:rFonts w:eastAsia="Times New Roman" w:cs="Times New Roman"/>
                <w:color w:val="000000"/>
              </w:rPr>
              <w:t>9.52</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4.12</w:t>
            </w:r>
          </w:p>
        </w:tc>
      </w:tr>
      <w:tr w:rsidR="00F92783" w:rsidRPr="009E4114" w:rsidTr="00133B57">
        <w:trPr>
          <w:trHeight w:val="300"/>
        </w:trPr>
        <w:tc>
          <w:tcPr>
            <w:tcW w:w="0" w:type="auto"/>
            <w:tcBorders>
              <w:top w:val="nil"/>
              <w:left w:val="nil"/>
              <w:bottom w:val="nil"/>
              <w:right w:val="nil"/>
            </w:tcBorders>
            <w:shd w:val="clear" w:color="auto" w:fill="auto"/>
            <w:noWrap/>
            <w:vAlign w:val="bottom"/>
            <w:hideMark/>
          </w:tcPr>
          <w:p w:rsidR="00B0505F" w:rsidRPr="009E4114" w:rsidRDefault="00B0505F" w:rsidP="00901608">
            <w:pPr>
              <w:spacing w:after="0" w:line="240" w:lineRule="auto"/>
              <w:rPr>
                <w:rFonts w:eastAsia="Times New Roman" w:cs="Times New Roman"/>
                <w:color w:val="000000"/>
              </w:rPr>
            </w:pPr>
            <w:r w:rsidRPr="009E4114">
              <w:rPr>
                <w:rFonts w:eastAsia="Times New Roman" w:cs="Times New Roman"/>
                <w:color w:val="000000"/>
              </w:rPr>
              <w:t>Intra-university spillover ($m)</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1.05</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0.00</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0.06</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0.18</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0.00</w:t>
            </w:r>
          </w:p>
        </w:tc>
        <w:tc>
          <w:tcPr>
            <w:tcW w:w="0" w:type="auto"/>
            <w:tcBorders>
              <w:top w:val="nil"/>
              <w:left w:val="nil"/>
              <w:bottom w:val="nil"/>
              <w:right w:val="dashed" w:sz="4" w:space="0" w:color="auto"/>
            </w:tcBorders>
            <w:vAlign w:val="bottom"/>
          </w:tcPr>
          <w:p w:rsidR="00B0505F" w:rsidRPr="000C3E2C" w:rsidRDefault="00B0505F" w:rsidP="006553FA">
            <w:pPr>
              <w:spacing w:after="0" w:line="240" w:lineRule="auto"/>
              <w:jc w:val="center"/>
              <w:rPr>
                <w:rFonts w:eastAsia="Times New Roman" w:cs="Times New Roman"/>
                <w:b/>
                <w:color w:val="000000"/>
              </w:rPr>
            </w:pPr>
            <w:r w:rsidRPr="000C3E2C">
              <w:rPr>
                <w:rFonts w:eastAsia="Times New Roman" w:cs="Times New Roman"/>
                <w:b/>
                <w:color w:val="000000"/>
              </w:rPr>
              <w:t>0.55</w:t>
            </w:r>
          </w:p>
        </w:tc>
        <w:tc>
          <w:tcPr>
            <w:tcW w:w="0" w:type="auto"/>
            <w:tcBorders>
              <w:top w:val="nil"/>
              <w:left w:val="dashed" w:sz="4" w:space="0" w:color="auto"/>
              <w:bottom w:val="nil"/>
              <w:right w:val="nil"/>
            </w:tcBorders>
            <w:shd w:val="clear" w:color="auto" w:fill="auto"/>
            <w:noWrap/>
            <w:vAlign w:val="bottom"/>
            <w:hideMark/>
          </w:tcPr>
          <w:p w:rsidR="00B0505F" w:rsidRPr="000C3E2C" w:rsidRDefault="00B0505F" w:rsidP="006553FA">
            <w:pPr>
              <w:spacing w:after="0" w:line="240" w:lineRule="auto"/>
              <w:jc w:val="center"/>
              <w:rPr>
                <w:rFonts w:eastAsia="Times New Roman" w:cs="Times New Roman"/>
                <w:color w:val="000000"/>
              </w:rPr>
            </w:pPr>
            <w:r w:rsidRPr="000C3E2C">
              <w:rPr>
                <w:rFonts w:eastAsia="Times New Roman" w:cs="Times New Roman"/>
                <w:color w:val="000000"/>
              </w:rPr>
              <w:t>1.65</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0.18</w:t>
            </w:r>
          </w:p>
        </w:tc>
      </w:tr>
      <w:tr w:rsidR="00F92783" w:rsidRPr="009E4114" w:rsidTr="00133B57">
        <w:trPr>
          <w:trHeight w:val="300"/>
        </w:trPr>
        <w:tc>
          <w:tcPr>
            <w:tcW w:w="0" w:type="auto"/>
            <w:tcBorders>
              <w:top w:val="nil"/>
              <w:left w:val="nil"/>
              <w:bottom w:val="nil"/>
              <w:right w:val="nil"/>
            </w:tcBorders>
            <w:shd w:val="clear" w:color="auto" w:fill="auto"/>
            <w:noWrap/>
            <w:vAlign w:val="bottom"/>
            <w:hideMark/>
          </w:tcPr>
          <w:p w:rsidR="00B0505F" w:rsidRPr="009E4114" w:rsidRDefault="00B0505F" w:rsidP="00901608">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vAlign w:val="bottom"/>
          </w:tcPr>
          <w:p w:rsidR="00B0505F" w:rsidRPr="000C3E2C" w:rsidRDefault="00B0505F" w:rsidP="006553FA">
            <w:pPr>
              <w:spacing w:after="0" w:line="240" w:lineRule="auto"/>
              <w:jc w:val="center"/>
              <w:rPr>
                <w:rFonts w:eastAsia="Times New Roman" w:cs="Times New Roman"/>
                <w:b/>
                <w:color w:val="000000"/>
              </w:rPr>
            </w:pPr>
          </w:p>
        </w:tc>
        <w:tc>
          <w:tcPr>
            <w:tcW w:w="0" w:type="auto"/>
            <w:tcBorders>
              <w:top w:val="nil"/>
              <w:left w:val="dashed" w:sz="4" w:space="0" w:color="auto"/>
              <w:bottom w:val="nil"/>
              <w:right w:val="nil"/>
            </w:tcBorders>
            <w:shd w:val="clear" w:color="auto" w:fill="auto"/>
            <w:noWrap/>
            <w:vAlign w:val="bottom"/>
            <w:hideMark/>
          </w:tcPr>
          <w:p w:rsidR="00B0505F" w:rsidRPr="000C3E2C" w:rsidRDefault="00B0505F" w:rsidP="006553FA">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p>
        </w:tc>
      </w:tr>
      <w:tr w:rsidR="00F92783" w:rsidRPr="009E4114" w:rsidTr="00133B57">
        <w:trPr>
          <w:trHeight w:val="300"/>
        </w:trPr>
        <w:tc>
          <w:tcPr>
            <w:tcW w:w="0" w:type="auto"/>
            <w:tcBorders>
              <w:top w:val="nil"/>
              <w:left w:val="nil"/>
              <w:right w:val="nil"/>
            </w:tcBorders>
            <w:shd w:val="clear" w:color="auto" w:fill="auto"/>
            <w:noWrap/>
            <w:vAlign w:val="bottom"/>
            <w:hideMark/>
          </w:tcPr>
          <w:p w:rsidR="00B0505F" w:rsidRPr="009E4114" w:rsidRDefault="00B0505F" w:rsidP="00901608">
            <w:pPr>
              <w:spacing w:after="0" w:line="240" w:lineRule="auto"/>
              <w:rPr>
                <w:rFonts w:eastAsia="Times New Roman" w:cs="Times New Roman"/>
                <w:color w:val="000000"/>
              </w:rPr>
            </w:pPr>
            <w:r>
              <w:rPr>
                <w:rFonts w:eastAsia="Times New Roman" w:cs="Times New Roman"/>
                <w:color w:val="000000"/>
              </w:rPr>
              <w:t>Teaching</w:t>
            </w:r>
            <w:r w:rsidRPr="009E4114">
              <w:rPr>
                <w:rFonts w:eastAsia="Times New Roman" w:cs="Times New Roman"/>
                <w:color w:val="000000"/>
              </w:rPr>
              <w:t xml:space="preserve"> </w:t>
            </w:r>
            <w:r w:rsidR="002E1D64">
              <w:rPr>
                <w:rFonts w:eastAsia="Times New Roman" w:cs="Times New Roman"/>
                <w:color w:val="000000"/>
              </w:rPr>
              <w:t>requirement</w:t>
            </w:r>
            <w:r w:rsidRPr="009E4114">
              <w:rPr>
                <w:rFonts w:eastAsia="Times New Roman" w:cs="Times New Roman"/>
                <w:color w:val="000000"/>
              </w:rPr>
              <w:t xml:space="preserve"> (¢/$)</w:t>
            </w:r>
          </w:p>
        </w:tc>
        <w:tc>
          <w:tcPr>
            <w:tcW w:w="0" w:type="auto"/>
            <w:tcBorders>
              <w:top w:val="nil"/>
              <w:left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47</w:t>
            </w:r>
          </w:p>
        </w:tc>
        <w:tc>
          <w:tcPr>
            <w:tcW w:w="0" w:type="auto"/>
            <w:tcBorders>
              <w:top w:val="nil"/>
              <w:left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10</w:t>
            </w:r>
          </w:p>
        </w:tc>
        <w:tc>
          <w:tcPr>
            <w:tcW w:w="0" w:type="auto"/>
            <w:tcBorders>
              <w:top w:val="nil"/>
              <w:left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2</w:t>
            </w:r>
          </w:p>
        </w:tc>
        <w:tc>
          <w:tcPr>
            <w:tcW w:w="0" w:type="auto"/>
            <w:tcBorders>
              <w:top w:val="nil"/>
              <w:left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17</w:t>
            </w:r>
          </w:p>
        </w:tc>
        <w:tc>
          <w:tcPr>
            <w:tcW w:w="0" w:type="auto"/>
            <w:tcBorders>
              <w:top w:val="nil"/>
              <w:left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w:t>
            </w:r>
          </w:p>
        </w:tc>
        <w:tc>
          <w:tcPr>
            <w:tcW w:w="0" w:type="auto"/>
            <w:tcBorders>
              <w:top w:val="nil"/>
              <w:left w:val="nil"/>
              <w:right w:val="dashed" w:sz="4" w:space="0" w:color="auto"/>
            </w:tcBorders>
            <w:vAlign w:val="bottom"/>
          </w:tcPr>
          <w:p w:rsidR="00B0505F" w:rsidRPr="000C3E2C" w:rsidRDefault="00B0505F" w:rsidP="006553FA">
            <w:pPr>
              <w:spacing w:after="0" w:line="240" w:lineRule="auto"/>
              <w:jc w:val="center"/>
              <w:rPr>
                <w:rFonts w:eastAsia="Times New Roman" w:cs="Times New Roman"/>
                <w:b/>
                <w:color w:val="000000"/>
              </w:rPr>
            </w:pPr>
            <w:r w:rsidRPr="000C3E2C">
              <w:rPr>
                <w:rFonts w:eastAsia="Times New Roman" w:cs="Times New Roman"/>
                <w:b/>
                <w:color w:val="000000"/>
              </w:rPr>
              <w:t>12</w:t>
            </w:r>
          </w:p>
        </w:tc>
        <w:tc>
          <w:tcPr>
            <w:tcW w:w="0" w:type="auto"/>
            <w:tcBorders>
              <w:top w:val="nil"/>
              <w:left w:val="dashed" w:sz="4" w:space="0" w:color="auto"/>
              <w:right w:val="nil"/>
            </w:tcBorders>
            <w:shd w:val="clear" w:color="auto" w:fill="auto"/>
            <w:noWrap/>
            <w:vAlign w:val="bottom"/>
            <w:hideMark/>
          </w:tcPr>
          <w:p w:rsidR="00B0505F" w:rsidRPr="000C3E2C" w:rsidRDefault="00B0505F" w:rsidP="006553FA">
            <w:pPr>
              <w:spacing w:after="0" w:line="240" w:lineRule="auto"/>
              <w:jc w:val="center"/>
              <w:rPr>
                <w:rFonts w:eastAsia="Times New Roman" w:cs="Times New Roman"/>
                <w:color w:val="000000"/>
              </w:rPr>
            </w:pPr>
            <w:r w:rsidRPr="000C3E2C">
              <w:rPr>
                <w:rFonts w:eastAsia="Times New Roman" w:cs="Times New Roman"/>
                <w:color w:val="000000"/>
              </w:rPr>
              <w:t>61</w:t>
            </w:r>
          </w:p>
        </w:tc>
        <w:tc>
          <w:tcPr>
            <w:tcW w:w="0" w:type="auto"/>
            <w:tcBorders>
              <w:top w:val="nil"/>
              <w:left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27</w:t>
            </w:r>
          </w:p>
        </w:tc>
      </w:tr>
      <w:tr w:rsidR="00F92783" w:rsidRPr="009E4114" w:rsidTr="00133B57">
        <w:trPr>
          <w:trHeight w:val="300"/>
        </w:trPr>
        <w:tc>
          <w:tcPr>
            <w:tcW w:w="0" w:type="auto"/>
            <w:tcBorders>
              <w:top w:val="nil"/>
              <w:left w:val="nil"/>
              <w:bottom w:val="nil"/>
              <w:right w:val="nil"/>
            </w:tcBorders>
            <w:shd w:val="clear" w:color="auto" w:fill="auto"/>
            <w:noWrap/>
            <w:vAlign w:val="bottom"/>
            <w:hideMark/>
          </w:tcPr>
          <w:p w:rsidR="00B0505F" w:rsidRPr="009E4114" w:rsidRDefault="00B0505F" w:rsidP="00901608">
            <w:pPr>
              <w:spacing w:after="0" w:line="240" w:lineRule="auto"/>
              <w:rPr>
                <w:rFonts w:eastAsia="Times New Roman" w:cs="Times New Roman"/>
                <w:color w:val="000000"/>
              </w:rPr>
            </w:pPr>
            <w:r w:rsidRPr="009E4114">
              <w:rPr>
                <w:rFonts w:eastAsia="Times New Roman" w:cs="Times New Roman"/>
                <w:color w:val="000000"/>
              </w:rPr>
              <w:t>Intra-university spillover (¢/$)</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7</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1</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0</w:t>
            </w:r>
          </w:p>
        </w:tc>
        <w:tc>
          <w:tcPr>
            <w:tcW w:w="0" w:type="auto"/>
            <w:tcBorders>
              <w:top w:val="nil"/>
              <w:left w:val="nil"/>
              <w:bottom w:val="nil"/>
              <w:right w:val="dashed" w:sz="4" w:space="0" w:color="auto"/>
            </w:tcBorders>
            <w:vAlign w:val="bottom"/>
          </w:tcPr>
          <w:p w:rsidR="00B0505F" w:rsidRPr="000C3E2C" w:rsidRDefault="00B0505F" w:rsidP="006553FA">
            <w:pPr>
              <w:spacing w:after="0" w:line="240" w:lineRule="auto"/>
              <w:jc w:val="center"/>
              <w:rPr>
                <w:rFonts w:eastAsia="Times New Roman" w:cs="Times New Roman"/>
                <w:b/>
                <w:color w:val="000000"/>
              </w:rPr>
            </w:pPr>
            <w:r w:rsidRPr="000C3E2C">
              <w:rPr>
                <w:rFonts w:eastAsia="Times New Roman" w:cs="Times New Roman"/>
                <w:b/>
                <w:color w:val="000000"/>
              </w:rPr>
              <w:t>4</w:t>
            </w:r>
          </w:p>
        </w:tc>
        <w:tc>
          <w:tcPr>
            <w:tcW w:w="0" w:type="auto"/>
            <w:tcBorders>
              <w:top w:val="nil"/>
              <w:left w:val="dashed" w:sz="4" w:space="0" w:color="auto"/>
              <w:bottom w:val="nil"/>
              <w:right w:val="nil"/>
            </w:tcBorders>
            <w:shd w:val="clear" w:color="auto" w:fill="auto"/>
            <w:noWrap/>
            <w:vAlign w:val="bottom"/>
            <w:hideMark/>
          </w:tcPr>
          <w:p w:rsidR="00B0505F" w:rsidRPr="000C3E2C" w:rsidRDefault="00B0505F" w:rsidP="006553FA">
            <w:pPr>
              <w:spacing w:after="0" w:line="240" w:lineRule="auto"/>
              <w:jc w:val="center"/>
              <w:rPr>
                <w:rFonts w:eastAsia="Times New Roman" w:cs="Times New Roman"/>
                <w:color w:val="000000"/>
              </w:rPr>
            </w:pPr>
            <w:r w:rsidRPr="000C3E2C">
              <w:rPr>
                <w:rFonts w:eastAsia="Times New Roman" w:cs="Times New Roman"/>
                <w:color w:val="000000"/>
              </w:rPr>
              <w:t>11</w:t>
            </w:r>
          </w:p>
        </w:tc>
        <w:tc>
          <w:tcPr>
            <w:tcW w:w="0" w:type="auto"/>
            <w:tcBorders>
              <w:top w:val="nil"/>
              <w:left w:val="nil"/>
              <w:bottom w:val="nil"/>
              <w:right w:val="nil"/>
            </w:tcBorders>
            <w:shd w:val="clear" w:color="auto" w:fill="auto"/>
            <w:noWrap/>
            <w:vAlign w:val="bottom"/>
            <w:hideMark/>
          </w:tcPr>
          <w:p w:rsidR="00B0505F" w:rsidRPr="006553FA" w:rsidRDefault="00B0505F" w:rsidP="006553FA">
            <w:pPr>
              <w:spacing w:after="0" w:line="240" w:lineRule="auto"/>
              <w:jc w:val="center"/>
              <w:rPr>
                <w:rFonts w:eastAsia="Times New Roman" w:cs="Times New Roman"/>
                <w:color w:val="000000"/>
              </w:rPr>
            </w:pPr>
            <w:r w:rsidRPr="006553FA">
              <w:rPr>
                <w:rFonts w:eastAsia="Times New Roman" w:cs="Times New Roman"/>
                <w:color w:val="000000"/>
              </w:rPr>
              <w:t>1</w:t>
            </w:r>
          </w:p>
        </w:tc>
      </w:tr>
      <w:tr w:rsidR="00F92783" w:rsidRPr="009E4114" w:rsidTr="00133B57">
        <w:trPr>
          <w:trHeight w:val="300"/>
        </w:trPr>
        <w:tc>
          <w:tcPr>
            <w:tcW w:w="0" w:type="auto"/>
            <w:tcBorders>
              <w:top w:val="nil"/>
              <w:left w:val="nil"/>
              <w:bottom w:val="single" w:sz="4" w:space="0" w:color="auto"/>
              <w:right w:val="nil"/>
            </w:tcBorders>
            <w:shd w:val="clear" w:color="auto" w:fill="auto"/>
            <w:noWrap/>
            <w:vAlign w:val="bottom"/>
            <w:hideMark/>
          </w:tcPr>
          <w:p w:rsidR="00A02914" w:rsidRPr="009E4114" w:rsidRDefault="00A02914" w:rsidP="00901608">
            <w:pPr>
              <w:spacing w:after="0" w:line="240" w:lineRule="auto"/>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A02914" w:rsidRPr="009E4114" w:rsidRDefault="00A02914" w:rsidP="00901608">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A02914" w:rsidRPr="009E4114" w:rsidRDefault="00A02914" w:rsidP="00901608">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A02914" w:rsidRPr="009E4114" w:rsidRDefault="00A02914" w:rsidP="00901608">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A02914" w:rsidRPr="009E4114" w:rsidRDefault="00A02914" w:rsidP="00901608">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A02914" w:rsidRPr="009E4114" w:rsidRDefault="00A02914" w:rsidP="00901608">
            <w:pPr>
              <w:spacing w:after="0" w:line="240" w:lineRule="auto"/>
              <w:jc w:val="center"/>
              <w:rPr>
                <w:rFonts w:eastAsia="Times New Roman" w:cs="Times New Roman"/>
                <w:color w:val="000000"/>
              </w:rPr>
            </w:pPr>
          </w:p>
        </w:tc>
        <w:tc>
          <w:tcPr>
            <w:tcW w:w="0" w:type="auto"/>
            <w:tcBorders>
              <w:top w:val="nil"/>
              <w:left w:val="nil"/>
              <w:bottom w:val="single" w:sz="4" w:space="0" w:color="auto"/>
              <w:right w:val="dashed" w:sz="4" w:space="0" w:color="auto"/>
            </w:tcBorders>
          </w:tcPr>
          <w:p w:rsidR="00A02914" w:rsidRPr="00246772" w:rsidRDefault="00A02914" w:rsidP="002E3EB1">
            <w:pPr>
              <w:spacing w:after="0" w:line="240" w:lineRule="auto"/>
              <w:jc w:val="center"/>
            </w:pPr>
          </w:p>
        </w:tc>
        <w:tc>
          <w:tcPr>
            <w:tcW w:w="0" w:type="auto"/>
            <w:tcBorders>
              <w:top w:val="nil"/>
              <w:left w:val="dashed" w:sz="4" w:space="0" w:color="auto"/>
              <w:bottom w:val="single" w:sz="4" w:space="0" w:color="auto"/>
              <w:right w:val="nil"/>
            </w:tcBorders>
            <w:shd w:val="clear" w:color="auto" w:fill="auto"/>
            <w:noWrap/>
            <w:vAlign w:val="bottom"/>
            <w:hideMark/>
          </w:tcPr>
          <w:p w:rsidR="00A02914" w:rsidRPr="009E4114" w:rsidRDefault="00A02914" w:rsidP="00901608">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A02914" w:rsidRPr="009E4114" w:rsidRDefault="00A02914" w:rsidP="00901608">
            <w:pPr>
              <w:spacing w:after="0" w:line="240" w:lineRule="auto"/>
              <w:jc w:val="center"/>
              <w:rPr>
                <w:rFonts w:eastAsia="Times New Roman" w:cs="Times New Roman"/>
                <w:color w:val="000000"/>
              </w:rPr>
            </w:pPr>
          </w:p>
        </w:tc>
      </w:tr>
    </w:tbl>
    <w:p w:rsidR="00D31774" w:rsidRPr="00004472" w:rsidRDefault="00F92783" w:rsidP="0061301D">
      <w:pPr>
        <w:jc w:val="both"/>
        <w:rPr>
          <w:sz w:val="18"/>
          <w:szCs w:val="18"/>
        </w:rPr>
      </w:pPr>
      <w:r w:rsidRPr="00004472">
        <w:rPr>
          <w:sz w:val="18"/>
          <w:szCs w:val="18"/>
          <w:vertAlign w:val="superscript"/>
        </w:rPr>
        <w:t>a</w:t>
      </w:r>
      <w:r w:rsidRPr="00004472">
        <w:rPr>
          <w:sz w:val="18"/>
          <w:szCs w:val="18"/>
        </w:rPr>
        <w:t xml:space="preserve"> </w:t>
      </w:r>
      <w:r>
        <w:rPr>
          <w:sz w:val="18"/>
          <w:szCs w:val="18"/>
        </w:rPr>
        <w:t xml:space="preserve">Real cost = Wages and salaries + Taxes + Imports; </w:t>
      </w:r>
      <w:r w:rsidRPr="00004472">
        <w:rPr>
          <w:sz w:val="18"/>
          <w:szCs w:val="18"/>
          <w:vertAlign w:val="superscript"/>
        </w:rPr>
        <w:t>b</w:t>
      </w:r>
      <w:r>
        <w:rPr>
          <w:sz w:val="18"/>
          <w:szCs w:val="18"/>
        </w:rPr>
        <w:t xml:space="preserve"> Surplus = Gross operating surplus + Increases in inventories</w:t>
      </w:r>
      <w:r w:rsidRPr="006D27FF">
        <w:rPr>
          <w:sz w:val="20"/>
          <w:szCs w:val="20"/>
        </w:rPr>
        <w:t xml:space="preserve">; </w:t>
      </w:r>
      <w:r w:rsidRPr="006D27FF">
        <w:rPr>
          <w:sz w:val="20"/>
          <w:szCs w:val="20"/>
          <w:vertAlign w:val="superscript"/>
        </w:rPr>
        <w:t>c</w:t>
      </w:r>
      <w:r w:rsidRPr="006D27FF">
        <w:rPr>
          <w:sz w:val="20"/>
          <w:szCs w:val="20"/>
        </w:rPr>
        <w:t xml:space="preserve"> university supply-side requirements in terms of primary inputs </w:t>
      </w:r>
      <m:oMath>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U</m:t>
                      </m:r>
                    </m:sub>
                  </m:sSub>
                </m:e>
                <m:e>
                  <m:r>
                    <w:rPr>
                      <w:rFonts w:ascii="Cambria Math" w:hAnsi="Cambria Math"/>
                      <w:sz w:val="20"/>
                      <w:szCs w:val="20"/>
                    </w:rPr>
                    <m:t>0</m:t>
                  </m:r>
                </m:e>
              </m:mr>
            </m:m>
          </m:e>
        </m:d>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c</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c</m:t>
            </m:r>
          </m:sup>
        </m:sSup>
      </m:oMath>
      <w:r w:rsidRPr="006D27FF">
        <w:rPr>
          <w:sz w:val="20"/>
          <w:szCs w:val="20"/>
        </w:rPr>
        <w:t xml:space="preserve">, by components in </w:t>
      </w:r>
      <m:oMath>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U</m:t>
            </m:r>
          </m:sub>
        </m:sSub>
      </m:oMath>
      <w:r w:rsidRPr="006D27FF">
        <w:rPr>
          <w:sz w:val="20"/>
          <w:szCs w:val="20"/>
        </w:rPr>
        <w:t xml:space="preserve">; </w:t>
      </w:r>
      <w:r w:rsidRPr="006D27FF">
        <w:rPr>
          <w:sz w:val="20"/>
          <w:szCs w:val="20"/>
          <w:vertAlign w:val="superscript"/>
        </w:rPr>
        <w:t>d</w:t>
      </w:r>
      <w:r w:rsidRPr="006D27FF">
        <w:rPr>
          <w:sz w:val="20"/>
          <w:szCs w:val="20"/>
        </w:rPr>
        <w:t xml:space="preserve"> economy supply-side requirements in terms of primary inputs </w:t>
      </w:r>
      <m:oMath>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0</m:t>
                  </m:r>
                </m:e>
                <m:e>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A</m:t>
                      </m:r>
                    </m:sub>
                  </m:sSub>
                </m:e>
              </m:mr>
            </m:m>
          </m:e>
        </m:d>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c</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c</m:t>
            </m:r>
          </m:sup>
        </m:sSup>
      </m:oMath>
      <w:r w:rsidRPr="006D27FF">
        <w:rPr>
          <w:sz w:val="20"/>
          <w:szCs w:val="20"/>
        </w:rPr>
        <w:t xml:space="preserve">, by components in </w:t>
      </w:r>
      <m:oMath>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A</m:t>
            </m:r>
          </m:sub>
        </m:sSub>
        <m:r>
          <w:rPr>
            <w:rFonts w:ascii="Cambria Math" w:hAnsi="Cambria Math"/>
            <w:sz w:val="20"/>
            <w:szCs w:val="20"/>
          </w:rPr>
          <m:t>;</m:t>
        </m:r>
      </m:oMath>
      <w:r w:rsidRPr="006D27FF">
        <w:rPr>
          <w:sz w:val="20"/>
          <w:szCs w:val="20"/>
        </w:rPr>
        <w:t xml:space="preserve"> </w:t>
      </w:r>
      <w:r w:rsidRPr="006D27FF">
        <w:rPr>
          <w:sz w:val="20"/>
          <w:szCs w:val="20"/>
          <w:vertAlign w:val="superscript"/>
        </w:rPr>
        <w:t>e</w:t>
      </w:r>
      <w:r w:rsidRPr="006D27FF">
        <w:rPr>
          <w:sz w:val="20"/>
          <w:szCs w:val="20"/>
        </w:rPr>
        <w:t xml:space="preserve"> university supply-side requirements in terms of primary inputs </w:t>
      </w:r>
      <m:oMath>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U</m:t>
            </m:r>
          </m:sub>
        </m:sSub>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o</m:t>
            </m:r>
          </m:sup>
        </m:sSup>
      </m:oMath>
      <w:r w:rsidRPr="006D27FF">
        <w:rPr>
          <w:sz w:val="20"/>
          <w:szCs w:val="20"/>
        </w:rPr>
        <w:t xml:space="preserve">, by components in </w:t>
      </w:r>
      <m:oMath>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U</m:t>
            </m:r>
          </m:sub>
        </m:sSub>
      </m:oMath>
      <w:r w:rsidRPr="006D27FF">
        <w:rPr>
          <w:sz w:val="20"/>
          <w:szCs w:val="20"/>
        </w:rPr>
        <w:t xml:space="preserve">; </w:t>
      </w:r>
      <w:r w:rsidRPr="006D27FF">
        <w:rPr>
          <w:sz w:val="20"/>
          <w:szCs w:val="20"/>
          <w:vertAlign w:val="superscript"/>
        </w:rPr>
        <w:t>f</w:t>
      </w:r>
      <w:r>
        <w:rPr>
          <w:sz w:val="20"/>
          <w:szCs w:val="20"/>
        </w:rPr>
        <w:t xml:space="preserve"> </w:t>
      </w:r>
      <w:r w:rsidRPr="006D27FF">
        <w:rPr>
          <w:sz w:val="20"/>
          <w:szCs w:val="20"/>
        </w:rPr>
        <w:t xml:space="preserve">university supply-side requirements in terms of operating inputs  </w:t>
      </w:r>
      <m:oMath>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AU</m:t>
            </m:r>
          </m:sub>
        </m:sSub>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o</m:t>
            </m:r>
          </m:sup>
        </m:sSup>
      </m:oMath>
      <w:r w:rsidRPr="006D27FF">
        <w:rPr>
          <w:sz w:val="20"/>
          <w:szCs w:val="20"/>
        </w:rPr>
        <w:t xml:space="preserve">, total. </w:t>
      </w:r>
      <w:r>
        <w:rPr>
          <w:sz w:val="20"/>
          <w:szCs w:val="20"/>
        </w:rPr>
        <w:t>Note that requirements labelled d are about equal to those labelled f (both in bold print), as shown in the previous Section.</w:t>
      </w:r>
      <w:r w:rsidR="00B731B3">
        <w:rPr>
          <w:sz w:val="20"/>
          <w:szCs w:val="20"/>
        </w:rPr>
        <w:t xml:space="preserve"> Values may not add up due to rounding.</w:t>
      </w:r>
    </w:p>
    <w:p w:rsidR="00901608" w:rsidRDefault="00901608" w:rsidP="00901608">
      <w:pPr>
        <w:jc w:val="both"/>
      </w:pPr>
    </w:p>
    <w:p w:rsidR="00901608" w:rsidRDefault="00B0505F" w:rsidP="00901608">
      <w:pPr>
        <w:jc w:val="center"/>
      </w:pPr>
      <w:r w:rsidRPr="00B0505F">
        <w:t xml:space="preserve"> </w:t>
      </w:r>
      <w:r w:rsidR="002204D7">
        <w:t>Tab. 4</w:t>
      </w:r>
      <w:r w:rsidR="00901608">
        <w:t xml:space="preserve">: </w:t>
      </w:r>
      <w:r w:rsidR="006D6C8C">
        <w:t>Supply-side</w:t>
      </w:r>
      <w:r w:rsidR="00901608">
        <w:t xml:space="preserve"> </w:t>
      </w:r>
      <w:r w:rsidR="007B7465">
        <w:t>requirement</w:t>
      </w:r>
      <w:r w:rsidR="00901608">
        <w:t>s of a 5% increase in demand</w:t>
      </w:r>
      <w:r w:rsidR="002204D7">
        <w:t xml:space="preserve"> for teaching</w:t>
      </w:r>
      <w:r w:rsidR="00901608">
        <w:t>.</w:t>
      </w:r>
    </w:p>
    <w:p w:rsidR="00901608" w:rsidRDefault="00901608" w:rsidP="00E415C9">
      <w:pPr>
        <w:jc w:val="both"/>
        <w:sectPr w:rsidR="00901608" w:rsidSect="00901608">
          <w:pgSz w:w="16838" w:h="11906" w:orient="landscape"/>
          <w:pgMar w:top="1440" w:right="1440" w:bottom="1440" w:left="1440" w:header="709" w:footer="709" w:gutter="0"/>
          <w:cols w:space="708"/>
          <w:docGrid w:linePitch="360"/>
        </w:sectPr>
      </w:pPr>
    </w:p>
    <w:p w:rsidR="00246772" w:rsidRDefault="00246772" w:rsidP="00246772"/>
    <w:p w:rsidR="00246772" w:rsidRDefault="00246772" w:rsidP="007232EB">
      <w:pPr>
        <w:pStyle w:val="ListParagraph"/>
        <w:numPr>
          <w:ilvl w:val="2"/>
          <w:numId w:val="1"/>
        </w:numPr>
      </w:pPr>
      <w:r>
        <w:t xml:space="preserve">Increase in research </w:t>
      </w:r>
      <w:r w:rsidR="007232EB">
        <w:t>expenditure</w:t>
      </w:r>
      <w:r>
        <w:t xml:space="preserve"> </w:t>
      </w:r>
    </w:p>
    <w:p w:rsidR="006C55F9" w:rsidRDefault="006C55F9" w:rsidP="00246772">
      <w:pPr>
        <w:jc w:val="both"/>
      </w:pPr>
      <w:r>
        <w:t xml:space="preserve">The previous two </w:t>
      </w:r>
      <w:r w:rsidR="008A08BA">
        <w:t xml:space="preserve">demand-pull </w:t>
      </w:r>
      <w:r>
        <w:t>scenarios provided information about the extent of increased cost to meet increased demand</w:t>
      </w:r>
      <w:r w:rsidR="008A08BA">
        <w:t xml:space="preserve">, the extent of surplus, </w:t>
      </w:r>
      <w:r>
        <w:t>the sectors bearing those cost, and</w:t>
      </w:r>
      <w:r w:rsidR="008A08BA">
        <w:t xml:space="preserve"> possible cost spillovers</w:t>
      </w:r>
      <w:r>
        <w:t>.</w:t>
      </w:r>
      <w:r w:rsidR="004D4A71">
        <w:t xml:space="preserve"> </w:t>
      </w:r>
      <w:r w:rsidR="008A08BA">
        <w:t>The following two supply-push scenarios look the other way: They provide information about the extent of revenue required to absorb increased cost, and whether this</w:t>
      </w:r>
      <w:r w:rsidR="00825D28">
        <w:t xml:space="preserve"> revenue can be provided by increasing fees for final demanders</w:t>
      </w:r>
      <w:r w:rsidR="008A08BA">
        <w:t>, or whether a part of cost increases have to be met by drawing from reserves and cross-unit financing.</w:t>
      </w:r>
    </w:p>
    <w:p w:rsidR="00246772" w:rsidRDefault="00246772" w:rsidP="00246772">
      <w:pPr>
        <w:jc w:val="both"/>
      </w:pPr>
      <w:r>
        <w:t xml:space="preserve">Assuming a constant input-output structure, a 5% increase in </w:t>
      </w:r>
      <w:r w:rsidR="00B7142B">
        <w:t>expenditure</w:t>
      </w:r>
      <w:r>
        <w:t xml:space="preserve"> for research </w:t>
      </w:r>
      <w:r w:rsidR="00B7142B">
        <w:t xml:space="preserve">either </w:t>
      </w:r>
      <w:r>
        <w:t xml:space="preserve">through </w:t>
      </w:r>
      <w:r w:rsidR="00B7142B">
        <w:t>price/wage hikes or capacity expansion</w:t>
      </w:r>
      <w:r>
        <w:t xml:space="preserve"> </w:t>
      </w:r>
      <w:r w:rsidR="00B7142B">
        <w:t>require</w:t>
      </w:r>
      <w:r w:rsidR="00EA1603">
        <w:t>s</w:t>
      </w:r>
      <w:r w:rsidR="004566CA">
        <w:t>, in the open model</w:t>
      </w:r>
      <w:r>
        <w:t xml:space="preserve">, on a per-dollar of revenue basis, </w:t>
      </w:r>
      <w:r w:rsidR="00B7142B">
        <w:t>the forthcoming of 60¢ of government funding, 11¢ of overseas research contracts, 8¢ of funding by private individuals</w:t>
      </w:r>
      <w:r>
        <w:t xml:space="preserve">, and </w:t>
      </w:r>
      <w:r w:rsidR="00435847">
        <w:t>14</w:t>
      </w:r>
      <w:r w:rsidR="00B7142B">
        <w:t>¢ of research grants</w:t>
      </w:r>
      <w:r>
        <w:t xml:space="preserve"> </w:t>
      </w:r>
      <w:r w:rsidR="00B7142B">
        <w:t xml:space="preserve">from Australian industry (Tab. 5). </w:t>
      </w:r>
      <w:r w:rsidR="006F05E7">
        <w:t>Total</w:t>
      </w:r>
      <w:r w:rsidR="00B7142B">
        <w:t xml:space="preserve"> </w:t>
      </w:r>
      <w:r w:rsidR="00D66F35">
        <w:t>real revenue</w:t>
      </w:r>
      <w:r w:rsidR="00B7142B">
        <w:t xml:space="preserve"> required to meet the increased expenditure</w:t>
      </w:r>
      <w:r>
        <w:t xml:space="preserve"> </w:t>
      </w:r>
      <w:r w:rsidR="00B7142B">
        <w:t>is</w:t>
      </w:r>
      <w:r>
        <w:t xml:space="preserve"> he</w:t>
      </w:r>
      <w:r w:rsidR="00435847">
        <w:t>nce 9</w:t>
      </w:r>
      <w:r w:rsidR="00AB1251">
        <w:t>2</w:t>
      </w:r>
      <w:r>
        <w:t xml:space="preserve">¢, </w:t>
      </w:r>
      <w:r w:rsidR="008714F8">
        <w:t>and the remaining</w:t>
      </w:r>
      <w:r w:rsidR="00E17A16">
        <w:t xml:space="preserve"> 7</w:t>
      </w:r>
      <w:r>
        <w:t>¢</w:t>
      </w:r>
      <w:r w:rsidR="00E17A16">
        <w:t xml:space="preserve"> in every dollar of expenditure </w:t>
      </w:r>
      <w:r w:rsidR="008714F8">
        <w:t xml:space="preserve">needs to be drawn </w:t>
      </w:r>
      <w:r w:rsidR="00C9302F">
        <w:t>from</w:t>
      </w:r>
      <w:r w:rsidR="00E17A16">
        <w:t xml:space="preserve"> existing </w:t>
      </w:r>
      <w:r w:rsidR="00C9302F">
        <w:t>reserve</w:t>
      </w:r>
      <w:r w:rsidR="00E17A16">
        <w:t>s</w:t>
      </w:r>
      <w:r>
        <w:t>. The inp</w:t>
      </w:r>
      <w:r w:rsidR="00E17A16">
        <w:t xml:space="preserve">ut-output calculus </w:t>
      </w:r>
      <w:r w:rsidR="00EA1603">
        <w:t xml:space="preserve">in the classical model </w:t>
      </w:r>
      <w:r w:rsidR="00435847">
        <w:t>traces the 14</w:t>
      </w:r>
      <w:r>
        <w:t xml:space="preserve">¢ </w:t>
      </w:r>
      <w:r w:rsidR="00E17A16">
        <w:t>industry funding through the</w:t>
      </w:r>
      <w:r>
        <w:t xml:space="preserve"> Australian economy and shows that </w:t>
      </w:r>
      <w:r w:rsidR="00E17A16">
        <w:t>these are likely to come</w:t>
      </w:r>
      <w:r>
        <w:t xml:space="preserve"> mostly </w:t>
      </w:r>
      <w:r w:rsidR="00E17A16">
        <w:t>from service sectors that pay for this research through 7</w:t>
      </w:r>
      <w:r>
        <w:t xml:space="preserve">¢ </w:t>
      </w:r>
      <w:r w:rsidR="00E17A16">
        <w:t>of sales to private individuals, 3</w:t>
      </w:r>
      <w:r>
        <w:t xml:space="preserve">¢ </w:t>
      </w:r>
      <w:r w:rsidR="00E17A16">
        <w:t xml:space="preserve">sales to government, and </w:t>
      </w:r>
      <w:r>
        <w:t xml:space="preserve">2¢ of </w:t>
      </w:r>
      <w:r w:rsidR="00E17A16">
        <w:t>dividends from, and sales of capital assets</w:t>
      </w:r>
      <w:r>
        <w:t>.</w:t>
      </w:r>
    </w:p>
    <w:p w:rsidR="00246772" w:rsidRDefault="00246772" w:rsidP="00246772">
      <w:pPr>
        <w:jc w:val="both"/>
      </w:pPr>
      <w:r>
        <w:t xml:space="preserve">The 5% </w:t>
      </w:r>
      <w:r w:rsidR="00E17A16">
        <w:t>expenditure</w:t>
      </w:r>
      <w:r>
        <w:t xml:space="preserve"> increase in research </w:t>
      </w:r>
      <w:r w:rsidR="00E17A16">
        <w:t>is worth $6.8</w:t>
      </w:r>
      <w:r>
        <w:t>m in absolute terms</w:t>
      </w:r>
      <w:r w:rsidR="00E17A16">
        <w:t>, of which $6.3</w:t>
      </w:r>
      <w:r>
        <w:t xml:space="preserve">m </w:t>
      </w:r>
      <w:r w:rsidR="008714F8">
        <w:t>are</w:t>
      </w:r>
      <w:r w:rsidR="00E17A16">
        <w:t xml:space="preserve"> absorbed by </w:t>
      </w:r>
      <w:r w:rsidR="00D66F35">
        <w:t>real revenue</w:t>
      </w:r>
      <w:r w:rsidR="00E17A16">
        <w:t>, and $0.5</w:t>
      </w:r>
      <w:r>
        <w:t xml:space="preserve">m </w:t>
      </w:r>
      <w:r w:rsidR="00E17A16">
        <w:t xml:space="preserve">must be financed from existing </w:t>
      </w:r>
      <w:r w:rsidR="00C9302F">
        <w:t>reserve</w:t>
      </w:r>
      <w:r w:rsidR="00E17A16">
        <w:t>s</w:t>
      </w:r>
      <w:r>
        <w:t>.</w:t>
      </w:r>
    </w:p>
    <w:p w:rsidR="007232EB" w:rsidRDefault="005D3B42" w:rsidP="00246772">
      <w:pPr>
        <w:jc w:val="both"/>
      </w:pPr>
      <w:r>
        <w:t>For every dollar of their increased research expenditure, t</w:t>
      </w:r>
      <w:r w:rsidR="00E17A16">
        <w:t xml:space="preserve">he research units are able to generate </w:t>
      </w:r>
      <w:r>
        <w:t xml:space="preserve">86¢ </w:t>
      </w:r>
      <w:r w:rsidR="00AB1251">
        <w:t>out of 92</w:t>
      </w:r>
      <w:r w:rsidR="008714F8">
        <w:t xml:space="preserve">¢ </w:t>
      </w:r>
      <w:r>
        <w:t xml:space="preserve">of real revenue. They need to draw 2¢ from reserves directly, and need other units </w:t>
      </w:r>
      <w:r w:rsidR="00230B3F">
        <w:t xml:space="preserve">(mostly through Central Accounts) </w:t>
      </w:r>
      <w:r w:rsidR="00435847">
        <w:t>to generate 5</w:t>
      </w:r>
      <w:r>
        <w:t xml:space="preserve">¢ of real revenue </w:t>
      </w:r>
      <w:r w:rsidR="00246772">
        <w:t xml:space="preserve">and </w:t>
      </w:r>
      <w:r>
        <w:t>draw additional 5¢ from reserves. Total intra-university cross-financing for every dollar of re</w:t>
      </w:r>
      <w:r w:rsidR="00435847">
        <w:t>search may therefore be up to 12</w:t>
      </w:r>
      <w:r>
        <w:t>¢ (underlined figures).</w:t>
      </w:r>
    </w:p>
    <w:p w:rsidR="007232EB" w:rsidRDefault="007232EB" w:rsidP="00246772">
      <w:pPr>
        <w:jc w:val="both"/>
      </w:pPr>
    </w:p>
    <w:p w:rsidR="00D66F35" w:rsidRDefault="00D66F35" w:rsidP="00D66F35">
      <w:pPr>
        <w:jc w:val="both"/>
      </w:pPr>
    </w:p>
    <w:p w:rsidR="00D66F35" w:rsidRDefault="00D66F35" w:rsidP="00246772">
      <w:pPr>
        <w:jc w:val="both"/>
        <w:sectPr w:rsidR="00D66F35" w:rsidSect="002567E9">
          <w:pgSz w:w="11906" w:h="16838"/>
          <w:pgMar w:top="1440" w:right="1440" w:bottom="1440" w:left="1440" w:header="708" w:footer="708" w:gutter="0"/>
          <w:cols w:space="708"/>
          <w:docGrid w:linePitch="360"/>
        </w:sectPr>
      </w:pPr>
    </w:p>
    <w:p w:rsidR="00246772" w:rsidRDefault="00246772" w:rsidP="00246772">
      <w:pPr>
        <w:jc w:val="both"/>
      </w:pPr>
    </w:p>
    <w:tbl>
      <w:tblPr>
        <w:tblW w:w="15249" w:type="dxa"/>
        <w:tblInd w:w="93" w:type="dxa"/>
        <w:tblLook w:val="04A0"/>
      </w:tblPr>
      <w:tblGrid>
        <w:gridCol w:w="3469"/>
        <w:gridCol w:w="1269"/>
        <w:gridCol w:w="1790"/>
        <w:gridCol w:w="1537"/>
        <w:gridCol w:w="1845"/>
        <w:gridCol w:w="962"/>
        <w:gridCol w:w="1442"/>
        <w:gridCol w:w="1285"/>
        <w:gridCol w:w="1650"/>
      </w:tblGrid>
      <w:tr w:rsidR="006D6C8C" w:rsidRPr="009E4114" w:rsidTr="00133B57">
        <w:trPr>
          <w:trHeight w:val="810"/>
        </w:trPr>
        <w:tc>
          <w:tcPr>
            <w:tcW w:w="0" w:type="auto"/>
            <w:tcBorders>
              <w:top w:val="single" w:sz="4" w:space="0" w:color="auto"/>
              <w:left w:val="nil"/>
              <w:bottom w:val="single" w:sz="4" w:space="0" w:color="auto"/>
              <w:right w:val="nil"/>
            </w:tcBorders>
            <w:shd w:val="clear" w:color="auto" w:fill="auto"/>
            <w:noWrap/>
            <w:vAlign w:val="bottom"/>
            <w:hideMark/>
          </w:tcPr>
          <w:p w:rsidR="00452226" w:rsidRPr="007232EB" w:rsidRDefault="00452226" w:rsidP="007232EB">
            <w:pPr>
              <w:spacing w:after="0" w:line="240" w:lineRule="auto"/>
              <w:rPr>
                <w:rFonts w:eastAsia="Times New Roman" w:cs="Times New Roman"/>
                <w:color w:val="000000"/>
              </w:rPr>
            </w:pPr>
          </w:p>
        </w:tc>
        <w:tc>
          <w:tcPr>
            <w:tcW w:w="0" w:type="auto"/>
            <w:tcBorders>
              <w:top w:val="single" w:sz="4" w:space="0" w:color="auto"/>
              <w:left w:val="nil"/>
              <w:bottom w:val="single" w:sz="4" w:space="0" w:color="auto"/>
              <w:right w:val="nil"/>
            </w:tcBorders>
            <w:shd w:val="clear" w:color="auto" w:fill="auto"/>
            <w:hideMark/>
          </w:tcPr>
          <w:p w:rsidR="00452226" w:rsidRPr="007232EB" w:rsidRDefault="00452226" w:rsidP="009A212C">
            <w:pPr>
              <w:spacing w:after="0" w:line="240" w:lineRule="auto"/>
              <w:jc w:val="center"/>
              <w:rPr>
                <w:rFonts w:eastAsia="Times New Roman" w:cs="Times New Roman"/>
                <w:color w:val="000000"/>
              </w:rPr>
            </w:pPr>
            <w:r w:rsidRPr="007232EB">
              <w:rPr>
                <w:rFonts w:eastAsia="Times New Roman" w:cs="Times New Roman"/>
                <w:color w:val="000000"/>
              </w:rPr>
              <w:t xml:space="preserve">Private </w:t>
            </w:r>
            <w:r w:rsidR="009A212C">
              <w:rPr>
                <w:rFonts w:eastAsia="Times New Roman" w:cs="Times New Roman"/>
                <w:color w:val="000000"/>
              </w:rPr>
              <w:t>revenue</w:t>
            </w:r>
          </w:p>
        </w:tc>
        <w:tc>
          <w:tcPr>
            <w:tcW w:w="0" w:type="auto"/>
            <w:tcBorders>
              <w:top w:val="single" w:sz="4" w:space="0" w:color="auto"/>
              <w:left w:val="nil"/>
              <w:bottom w:val="single" w:sz="4" w:space="0" w:color="auto"/>
              <w:right w:val="nil"/>
            </w:tcBorders>
            <w:shd w:val="clear" w:color="auto" w:fill="auto"/>
            <w:hideMark/>
          </w:tcPr>
          <w:p w:rsidR="00452226" w:rsidRPr="007232EB" w:rsidRDefault="006D6C8C" w:rsidP="009A212C">
            <w:pPr>
              <w:spacing w:after="0" w:line="240" w:lineRule="auto"/>
              <w:jc w:val="center"/>
              <w:rPr>
                <w:rFonts w:eastAsia="Times New Roman" w:cs="Times New Roman"/>
                <w:color w:val="000000"/>
              </w:rPr>
            </w:pPr>
            <w:r>
              <w:rPr>
                <w:rFonts w:eastAsia="Times New Roman" w:cs="Times New Roman"/>
                <w:color w:val="000000"/>
              </w:rPr>
              <w:t xml:space="preserve">+ </w:t>
            </w:r>
            <w:r w:rsidR="00452226" w:rsidRPr="007232EB">
              <w:rPr>
                <w:rFonts w:eastAsia="Times New Roman" w:cs="Times New Roman"/>
                <w:color w:val="000000"/>
              </w:rPr>
              <w:t xml:space="preserve">Government </w:t>
            </w:r>
            <w:r w:rsidR="009A212C">
              <w:rPr>
                <w:rFonts w:eastAsia="Times New Roman" w:cs="Times New Roman"/>
                <w:color w:val="000000"/>
              </w:rPr>
              <w:t>revenue</w:t>
            </w:r>
          </w:p>
        </w:tc>
        <w:tc>
          <w:tcPr>
            <w:tcW w:w="0" w:type="auto"/>
            <w:tcBorders>
              <w:top w:val="single" w:sz="4" w:space="0" w:color="auto"/>
              <w:left w:val="nil"/>
              <w:bottom w:val="single" w:sz="4" w:space="0" w:color="auto"/>
              <w:right w:val="nil"/>
            </w:tcBorders>
            <w:shd w:val="clear" w:color="auto" w:fill="auto"/>
            <w:hideMark/>
          </w:tcPr>
          <w:p w:rsidR="00452226" w:rsidRPr="007232EB" w:rsidRDefault="006D6C8C" w:rsidP="007B7465">
            <w:pPr>
              <w:spacing w:after="0" w:line="240" w:lineRule="auto"/>
              <w:jc w:val="center"/>
              <w:rPr>
                <w:rFonts w:eastAsia="Times New Roman" w:cs="Times New Roman"/>
                <w:color w:val="000000"/>
              </w:rPr>
            </w:pPr>
            <w:r>
              <w:rPr>
                <w:rFonts w:eastAsia="Times New Roman" w:cs="Times New Roman"/>
                <w:color w:val="000000"/>
              </w:rPr>
              <w:t xml:space="preserve">+ </w:t>
            </w:r>
            <w:r w:rsidR="00452226" w:rsidRPr="007232EB">
              <w:rPr>
                <w:rFonts w:eastAsia="Times New Roman" w:cs="Times New Roman"/>
                <w:color w:val="000000"/>
              </w:rPr>
              <w:t>Gross fixed capital</w:t>
            </w:r>
          </w:p>
        </w:tc>
        <w:tc>
          <w:tcPr>
            <w:tcW w:w="0" w:type="auto"/>
            <w:tcBorders>
              <w:top w:val="single" w:sz="4" w:space="0" w:color="auto"/>
              <w:left w:val="nil"/>
              <w:bottom w:val="single" w:sz="4" w:space="0" w:color="auto"/>
              <w:right w:val="nil"/>
            </w:tcBorders>
            <w:shd w:val="clear" w:color="auto" w:fill="auto"/>
            <w:hideMark/>
          </w:tcPr>
          <w:p w:rsidR="00452226" w:rsidRPr="007232EB" w:rsidRDefault="006D6C8C" w:rsidP="007B7465">
            <w:pPr>
              <w:spacing w:after="0" w:line="240" w:lineRule="auto"/>
              <w:jc w:val="center"/>
              <w:rPr>
                <w:rFonts w:eastAsia="Times New Roman" w:cs="Times New Roman"/>
                <w:color w:val="000000"/>
              </w:rPr>
            </w:pPr>
            <w:r>
              <w:rPr>
                <w:rFonts w:eastAsia="Times New Roman" w:cs="Times New Roman"/>
                <w:color w:val="000000"/>
              </w:rPr>
              <w:t xml:space="preserve">+ </w:t>
            </w:r>
            <w:r w:rsidR="00452226" w:rsidRPr="007232EB">
              <w:rPr>
                <w:rFonts w:eastAsia="Times New Roman" w:cs="Times New Roman"/>
                <w:color w:val="000000"/>
              </w:rPr>
              <w:t>Decreases in inventories</w:t>
            </w:r>
          </w:p>
        </w:tc>
        <w:tc>
          <w:tcPr>
            <w:tcW w:w="0" w:type="auto"/>
            <w:tcBorders>
              <w:top w:val="single" w:sz="4" w:space="0" w:color="auto"/>
              <w:left w:val="nil"/>
              <w:bottom w:val="single" w:sz="4" w:space="0" w:color="auto"/>
              <w:right w:val="nil"/>
            </w:tcBorders>
            <w:shd w:val="clear" w:color="auto" w:fill="auto"/>
            <w:hideMark/>
          </w:tcPr>
          <w:p w:rsidR="00452226" w:rsidRPr="007232EB" w:rsidRDefault="006D6C8C" w:rsidP="007B7465">
            <w:pPr>
              <w:spacing w:after="0" w:line="240" w:lineRule="auto"/>
              <w:jc w:val="center"/>
              <w:rPr>
                <w:rFonts w:eastAsia="Times New Roman" w:cs="Times New Roman"/>
                <w:color w:val="000000"/>
              </w:rPr>
            </w:pPr>
            <w:r>
              <w:rPr>
                <w:rFonts w:eastAsia="Times New Roman" w:cs="Times New Roman"/>
                <w:color w:val="000000"/>
              </w:rPr>
              <w:t xml:space="preserve">+ </w:t>
            </w:r>
            <w:r w:rsidR="00452226" w:rsidRPr="007232EB">
              <w:rPr>
                <w:rFonts w:eastAsia="Times New Roman" w:cs="Times New Roman"/>
                <w:color w:val="000000"/>
              </w:rPr>
              <w:t>Exports</w:t>
            </w:r>
          </w:p>
        </w:tc>
        <w:tc>
          <w:tcPr>
            <w:tcW w:w="0" w:type="auto"/>
            <w:tcBorders>
              <w:top w:val="single" w:sz="4" w:space="0" w:color="auto"/>
              <w:left w:val="nil"/>
              <w:bottom w:val="single" w:sz="4" w:space="0" w:color="auto"/>
              <w:right w:val="dashed" w:sz="4" w:space="0" w:color="auto"/>
            </w:tcBorders>
          </w:tcPr>
          <w:p w:rsidR="00452226" w:rsidRPr="00246772" w:rsidRDefault="006D6C8C" w:rsidP="006F05E7">
            <w:pPr>
              <w:spacing w:after="0" w:line="240" w:lineRule="auto"/>
              <w:jc w:val="center"/>
            </w:pPr>
            <w:r>
              <w:t xml:space="preserve">+ </w:t>
            </w:r>
            <w:r w:rsidR="00452226">
              <w:t xml:space="preserve">Industry </w:t>
            </w:r>
            <w:r w:rsidR="006F05E7">
              <w:t>revenue</w:t>
            </w:r>
          </w:p>
        </w:tc>
        <w:tc>
          <w:tcPr>
            <w:tcW w:w="0" w:type="auto"/>
            <w:tcBorders>
              <w:top w:val="single" w:sz="4" w:space="0" w:color="auto"/>
              <w:left w:val="dashed" w:sz="4" w:space="0" w:color="auto"/>
              <w:bottom w:val="single" w:sz="4" w:space="0" w:color="auto"/>
              <w:right w:val="nil"/>
            </w:tcBorders>
            <w:shd w:val="clear" w:color="auto" w:fill="auto"/>
            <w:hideMark/>
          </w:tcPr>
          <w:p w:rsidR="00452226" w:rsidRPr="007232EB" w:rsidRDefault="006D6C8C" w:rsidP="007B7465">
            <w:pPr>
              <w:spacing w:after="0" w:line="240" w:lineRule="auto"/>
              <w:jc w:val="center"/>
              <w:rPr>
                <w:rFonts w:eastAsia="Times New Roman" w:cs="Times New Roman"/>
                <w:color w:val="000000"/>
              </w:rPr>
            </w:pPr>
            <w:r>
              <w:rPr>
                <w:rFonts w:eastAsia="Times New Roman" w:cs="Times New Roman"/>
                <w:color w:val="000000"/>
              </w:rPr>
              <w:t xml:space="preserve">= </w:t>
            </w:r>
            <w:r w:rsidR="00D66F35">
              <w:rPr>
                <w:rFonts w:eastAsia="Times New Roman" w:cs="Times New Roman"/>
                <w:color w:val="000000"/>
              </w:rPr>
              <w:t>Real revenue</w:t>
            </w:r>
            <w:r w:rsidR="00F67ECC">
              <w:rPr>
                <w:rFonts w:eastAsia="Times New Roman" w:cs="Times New Roman"/>
                <w:color w:val="000000"/>
              </w:rPr>
              <w:t xml:space="preserve"> </w:t>
            </w:r>
            <w:r w:rsidR="00F67ECC" w:rsidRPr="00F67ECC">
              <w:rPr>
                <w:rFonts w:eastAsia="Times New Roman" w:cs="Times New Roman"/>
                <w:color w:val="000000"/>
                <w:vertAlign w:val="superscript"/>
              </w:rPr>
              <w:t>a</w:t>
            </w:r>
          </w:p>
        </w:tc>
        <w:tc>
          <w:tcPr>
            <w:tcW w:w="0" w:type="auto"/>
            <w:tcBorders>
              <w:top w:val="single" w:sz="4" w:space="0" w:color="auto"/>
              <w:left w:val="nil"/>
              <w:bottom w:val="single" w:sz="4" w:space="0" w:color="auto"/>
              <w:right w:val="nil"/>
            </w:tcBorders>
            <w:shd w:val="clear" w:color="auto" w:fill="auto"/>
            <w:hideMark/>
          </w:tcPr>
          <w:p w:rsidR="00452226" w:rsidRPr="007232EB" w:rsidRDefault="006D6C8C" w:rsidP="007B7465">
            <w:pPr>
              <w:spacing w:after="0" w:line="240" w:lineRule="auto"/>
              <w:jc w:val="center"/>
              <w:rPr>
                <w:rFonts w:eastAsia="Times New Roman" w:cs="Times New Roman"/>
                <w:color w:val="000000"/>
              </w:rPr>
            </w:pPr>
            <w:r>
              <w:rPr>
                <w:rFonts w:eastAsia="Times New Roman" w:cs="Times New Roman"/>
                <w:color w:val="000000"/>
              </w:rPr>
              <w:t xml:space="preserve">+ </w:t>
            </w:r>
            <w:r w:rsidR="00F050E4">
              <w:rPr>
                <w:rFonts w:eastAsia="Times New Roman" w:cs="Times New Roman"/>
                <w:color w:val="000000"/>
              </w:rPr>
              <w:t xml:space="preserve">Deficit, from </w:t>
            </w:r>
            <w:r w:rsidR="00497FDD">
              <w:rPr>
                <w:rFonts w:eastAsia="Times New Roman" w:cs="Times New Roman"/>
                <w:color w:val="000000"/>
              </w:rPr>
              <w:t>reserve</w:t>
            </w:r>
            <w:r w:rsidR="00F050E4">
              <w:rPr>
                <w:rFonts w:eastAsia="Times New Roman" w:cs="Times New Roman"/>
                <w:color w:val="000000"/>
              </w:rPr>
              <w:t>s</w:t>
            </w:r>
            <w:r w:rsidR="00F67ECC">
              <w:rPr>
                <w:rFonts w:eastAsia="Times New Roman" w:cs="Times New Roman"/>
                <w:color w:val="000000"/>
              </w:rPr>
              <w:t xml:space="preserve"> </w:t>
            </w:r>
            <w:r w:rsidR="00F67ECC">
              <w:rPr>
                <w:rFonts w:eastAsia="Times New Roman" w:cs="Times New Roman"/>
                <w:color w:val="000000"/>
                <w:vertAlign w:val="superscript"/>
              </w:rPr>
              <w:t>b</w:t>
            </w:r>
          </w:p>
        </w:tc>
      </w:tr>
      <w:tr w:rsidR="006D6C8C" w:rsidRPr="009E4114" w:rsidTr="00133B57">
        <w:trPr>
          <w:trHeight w:val="300"/>
        </w:trPr>
        <w:tc>
          <w:tcPr>
            <w:tcW w:w="0" w:type="auto"/>
            <w:tcBorders>
              <w:top w:val="single" w:sz="4" w:space="0" w:color="auto"/>
              <w:left w:val="nil"/>
              <w:right w:val="nil"/>
            </w:tcBorders>
            <w:shd w:val="clear" w:color="auto" w:fill="auto"/>
            <w:noWrap/>
            <w:vAlign w:val="bottom"/>
            <w:hideMark/>
          </w:tcPr>
          <w:p w:rsidR="00452226" w:rsidRPr="007232EB" w:rsidRDefault="00452226" w:rsidP="007232EB">
            <w:pPr>
              <w:spacing w:after="0" w:line="240" w:lineRule="auto"/>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452226" w:rsidRPr="007232EB" w:rsidRDefault="00452226" w:rsidP="007232EB">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452226" w:rsidRPr="007232EB" w:rsidRDefault="00452226" w:rsidP="007232EB">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452226" w:rsidRPr="007232EB" w:rsidRDefault="00452226" w:rsidP="007232EB">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452226" w:rsidRPr="007232EB" w:rsidRDefault="00452226" w:rsidP="007232EB">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452226" w:rsidRPr="007232EB" w:rsidRDefault="00452226" w:rsidP="007232EB">
            <w:pPr>
              <w:spacing w:after="0" w:line="240" w:lineRule="auto"/>
              <w:jc w:val="right"/>
              <w:rPr>
                <w:rFonts w:eastAsia="Times New Roman" w:cs="Times New Roman"/>
                <w:color w:val="000000"/>
              </w:rPr>
            </w:pPr>
          </w:p>
        </w:tc>
        <w:tc>
          <w:tcPr>
            <w:tcW w:w="0" w:type="auto"/>
            <w:tcBorders>
              <w:top w:val="single" w:sz="4" w:space="0" w:color="auto"/>
              <w:left w:val="nil"/>
              <w:right w:val="dashed" w:sz="4" w:space="0" w:color="auto"/>
            </w:tcBorders>
          </w:tcPr>
          <w:p w:rsidR="00452226" w:rsidRPr="00246772" w:rsidRDefault="00452226" w:rsidP="002E3EB1">
            <w:pPr>
              <w:spacing w:after="0" w:line="240" w:lineRule="auto"/>
              <w:jc w:val="center"/>
            </w:pPr>
          </w:p>
        </w:tc>
        <w:tc>
          <w:tcPr>
            <w:tcW w:w="0" w:type="auto"/>
            <w:tcBorders>
              <w:top w:val="single" w:sz="4" w:space="0" w:color="auto"/>
              <w:left w:val="dashed" w:sz="4" w:space="0" w:color="auto"/>
              <w:right w:val="nil"/>
            </w:tcBorders>
            <w:shd w:val="clear" w:color="auto" w:fill="auto"/>
            <w:noWrap/>
            <w:vAlign w:val="bottom"/>
            <w:hideMark/>
          </w:tcPr>
          <w:p w:rsidR="00452226" w:rsidRPr="007232EB" w:rsidRDefault="00452226" w:rsidP="007232EB">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452226" w:rsidRPr="007232EB" w:rsidRDefault="00452226" w:rsidP="007232EB">
            <w:pPr>
              <w:spacing w:after="0" w:line="240" w:lineRule="auto"/>
              <w:jc w:val="right"/>
              <w:rPr>
                <w:rFonts w:eastAsia="Times New Roman" w:cs="Times New Roman"/>
                <w:color w:val="000000"/>
              </w:rPr>
            </w:pPr>
          </w:p>
        </w:tc>
      </w:tr>
      <w:tr w:rsidR="006D6C8C" w:rsidRPr="009E4114" w:rsidTr="00133B57">
        <w:trPr>
          <w:trHeight w:val="300"/>
        </w:trPr>
        <w:tc>
          <w:tcPr>
            <w:tcW w:w="0" w:type="auto"/>
            <w:tcBorders>
              <w:left w:val="nil"/>
              <w:right w:val="nil"/>
            </w:tcBorders>
            <w:shd w:val="clear" w:color="auto" w:fill="auto"/>
            <w:noWrap/>
            <w:vAlign w:val="bottom"/>
            <w:hideMark/>
          </w:tcPr>
          <w:p w:rsidR="00133B57" w:rsidRPr="00133B57" w:rsidRDefault="00133B57" w:rsidP="007232EB">
            <w:pPr>
              <w:spacing w:after="0" w:line="240" w:lineRule="auto"/>
              <w:rPr>
                <w:rFonts w:eastAsia="Times New Roman" w:cs="Times New Roman"/>
                <w:b/>
                <w:color w:val="000000"/>
              </w:rPr>
            </w:pPr>
            <w:r w:rsidRPr="00133B57">
              <w:rPr>
                <w:rFonts w:eastAsia="Times New Roman" w:cs="Times New Roman"/>
                <w:b/>
                <w:color w:val="000000"/>
              </w:rPr>
              <w:t>Classical model</w:t>
            </w:r>
          </w:p>
        </w:tc>
        <w:tc>
          <w:tcPr>
            <w:tcW w:w="0" w:type="auto"/>
            <w:tcBorders>
              <w:left w:val="nil"/>
              <w:right w:val="nil"/>
            </w:tcBorders>
            <w:shd w:val="clear" w:color="auto" w:fill="auto"/>
            <w:noWrap/>
            <w:vAlign w:val="bottom"/>
            <w:hideMark/>
          </w:tcPr>
          <w:p w:rsidR="00133B57" w:rsidRPr="007232EB" w:rsidRDefault="00133B57" w:rsidP="007B7465">
            <w:pPr>
              <w:spacing w:after="0" w:line="240" w:lineRule="auto"/>
              <w:jc w:val="center"/>
              <w:rPr>
                <w:rFonts w:eastAsia="Times New Roman" w:cs="Times New Roman"/>
                <w:color w:val="000000"/>
              </w:rPr>
            </w:pPr>
          </w:p>
        </w:tc>
        <w:tc>
          <w:tcPr>
            <w:tcW w:w="0" w:type="auto"/>
            <w:tcBorders>
              <w:left w:val="nil"/>
              <w:right w:val="nil"/>
            </w:tcBorders>
            <w:shd w:val="clear" w:color="auto" w:fill="auto"/>
            <w:noWrap/>
            <w:vAlign w:val="bottom"/>
            <w:hideMark/>
          </w:tcPr>
          <w:p w:rsidR="00133B57" w:rsidRPr="007232EB" w:rsidRDefault="00133B57" w:rsidP="007B7465">
            <w:pPr>
              <w:spacing w:after="0" w:line="240" w:lineRule="auto"/>
              <w:jc w:val="center"/>
              <w:rPr>
                <w:rFonts w:eastAsia="Times New Roman" w:cs="Times New Roman"/>
                <w:color w:val="000000"/>
              </w:rPr>
            </w:pPr>
          </w:p>
        </w:tc>
        <w:tc>
          <w:tcPr>
            <w:tcW w:w="0" w:type="auto"/>
            <w:tcBorders>
              <w:left w:val="nil"/>
              <w:right w:val="nil"/>
            </w:tcBorders>
            <w:shd w:val="clear" w:color="auto" w:fill="auto"/>
            <w:noWrap/>
            <w:vAlign w:val="bottom"/>
            <w:hideMark/>
          </w:tcPr>
          <w:p w:rsidR="00133B57" w:rsidRPr="007232EB" w:rsidRDefault="00133B57" w:rsidP="007B7465">
            <w:pPr>
              <w:spacing w:after="0" w:line="240" w:lineRule="auto"/>
              <w:jc w:val="center"/>
              <w:rPr>
                <w:rFonts w:eastAsia="Times New Roman" w:cs="Times New Roman"/>
                <w:color w:val="000000"/>
              </w:rPr>
            </w:pPr>
          </w:p>
        </w:tc>
        <w:tc>
          <w:tcPr>
            <w:tcW w:w="0" w:type="auto"/>
            <w:tcBorders>
              <w:left w:val="nil"/>
              <w:right w:val="nil"/>
            </w:tcBorders>
            <w:shd w:val="clear" w:color="auto" w:fill="auto"/>
            <w:noWrap/>
            <w:vAlign w:val="bottom"/>
            <w:hideMark/>
          </w:tcPr>
          <w:p w:rsidR="00133B57" w:rsidRPr="007232EB" w:rsidRDefault="00133B57" w:rsidP="007B7465">
            <w:pPr>
              <w:spacing w:after="0" w:line="240" w:lineRule="auto"/>
              <w:jc w:val="center"/>
              <w:rPr>
                <w:rFonts w:eastAsia="Times New Roman" w:cs="Times New Roman"/>
                <w:color w:val="000000"/>
              </w:rPr>
            </w:pPr>
          </w:p>
        </w:tc>
        <w:tc>
          <w:tcPr>
            <w:tcW w:w="0" w:type="auto"/>
            <w:tcBorders>
              <w:left w:val="nil"/>
              <w:right w:val="nil"/>
            </w:tcBorders>
            <w:shd w:val="clear" w:color="auto" w:fill="auto"/>
            <w:noWrap/>
            <w:vAlign w:val="bottom"/>
            <w:hideMark/>
          </w:tcPr>
          <w:p w:rsidR="00133B57" w:rsidRPr="007232EB" w:rsidRDefault="00133B57" w:rsidP="007B7465">
            <w:pPr>
              <w:spacing w:after="0" w:line="240" w:lineRule="auto"/>
              <w:jc w:val="center"/>
              <w:rPr>
                <w:rFonts w:eastAsia="Times New Roman" w:cs="Times New Roman"/>
                <w:color w:val="000000"/>
              </w:rPr>
            </w:pPr>
          </w:p>
        </w:tc>
        <w:tc>
          <w:tcPr>
            <w:tcW w:w="0" w:type="auto"/>
            <w:tcBorders>
              <w:left w:val="nil"/>
              <w:right w:val="dashed" w:sz="4" w:space="0" w:color="auto"/>
            </w:tcBorders>
          </w:tcPr>
          <w:p w:rsidR="00133B57" w:rsidRPr="000F2FCE" w:rsidRDefault="00133B57" w:rsidP="002E3EB1">
            <w:pPr>
              <w:spacing w:after="0" w:line="240" w:lineRule="auto"/>
              <w:jc w:val="center"/>
              <w:rPr>
                <w:b/>
              </w:rPr>
            </w:pPr>
          </w:p>
        </w:tc>
        <w:tc>
          <w:tcPr>
            <w:tcW w:w="0" w:type="auto"/>
            <w:tcBorders>
              <w:left w:val="dashed" w:sz="4" w:space="0" w:color="auto"/>
              <w:right w:val="nil"/>
            </w:tcBorders>
            <w:shd w:val="clear" w:color="auto" w:fill="auto"/>
            <w:noWrap/>
            <w:vAlign w:val="bottom"/>
            <w:hideMark/>
          </w:tcPr>
          <w:p w:rsidR="00133B57" w:rsidRPr="00CD1AAE" w:rsidRDefault="00133B57" w:rsidP="007B7465">
            <w:pPr>
              <w:spacing w:after="0" w:line="240" w:lineRule="auto"/>
              <w:jc w:val="center"/>
              <w:rPr>
                <w:rFonts w:eastAsia="Times New Roman" w:cs="Times New Roman"/>
                <w:b/>
                <w:color w:val="000000"/>
              </w:rPr>
            </w:pPr>
          </w:p>
        </w:tc>
        <w:tc>
          <w:tcPr>
            <w:tcW w:w="0" w:type="auto"/>
            <w:tcBorders>
              <w:left w:val="nil"/>
              <w:right w:val="nil"/>
            </w:tcBorders>
            <w:shd w:val="clear" w:color="auto" w:fill="auto"/>
            <w:noWrap/>
            <w:vAlign w:val="bottom"/>
            <w:hideMark/>
          </w:tcPr>
          <w:p w:rsidR="00133B57" w:rsidRPr="007232EB" w:rsidRDefault="00133B57" w:rsidP="007B7465">
            <w:pPr>
              <w:spacing w:after="0" w:line="240" w:lineRule="auto"/>
              <w:jc w:val="center"/>
              <w:rPr>
                <w:rFonts w:eastAsia="Times New Roman" w:cs="Times New Roman"/>
                <w:color w:val="000000"/>
              </w:rPr>
            </w:pPr>
          </w:p>
        </w:tc>
      </w:tr>
      <w:tr w:rsidR="006D6C8C" w:rsidRPr="009E4114" w:rsidTr="00133B57">
        <w:trPr>
          <w:trHeight w:val="300"/>
        </w:trPr>
        <w:tc>
          <w:tcPr>
            <w:tcW w:w="0" w:type="auto"/>
            <w:tcBorders>
              <w:left w:val="nil"/>
              <w:right w:val="nil"/>
            </w:tcBorders>
            <w:shd w:val="clear" w:color="auto" w:fill="auto"/>
            <w:noWrap/>
            <w:vAlign w:val="bottom"/>
            <w:hideMark/>
          </w:tcPr>
          <w:p w:rsidR="00452226" w:rsidRPr="007232EB" w:rsidRDefault="00452226" w:rsidP="007232EB">
            <w:pPr>
              <w:spacing w:after="0" w:line="240" w:lineRule="auto"/>
              <w:rPr>
                <w:rFonts w:eastAsia="Times New Roman" w:cs="Times New Roman"/>
                <w:color w:val="000000"/>
              </w:rPr>
            </w:pPr>
            <w:r w:rsidRPr="007232EB">
              <w:rPr>
                <w:rFonts w:eastAsia="Times New Roman" w:cs="Times New Roman"/>
                <w:color w:val="000000"/>
              </w:rPr>
              <w:t xml:space="preserve">University </w:t>
            </w:r>
            <w:r w:rsidR="002E1D64">
              <w:rPr>
                <w:rFonts w:eastAsia="Times New Roman" w:cs="Times New Roman"/>
                <w:color w:val="000000"/>
              </w:rPr>
              <w:t>requirement</w:t>
            </w:r>
            <w:r w:rsidRPr="007232EB">
              <w:rPr>
                <w:rFonts w:eastAsia="Times New Roman" w:cs="Times New Roman"/>
                <w:color w:val="000000"/>
              </w:rPr>
              <w:t xml:space="preserve"> ($m)</w:t>
            </w:r>
            <w:r w:rsidR="006D6C8C">
              <w:rPr>
                <w:rFonts w:eastAsia="Times New Roman" w:cs="Times New Roman"/>
                <w:color w:val="000000"/>
              </w:rPr>
              <w:t xml:space="preserve"> </w:t>
            </w:r>
            <w:r w:rsidR="006D6C8C" w:rsidRPr="006D6C8C">
              <w:rPr>
                <w:rFonts w:eastAsia="Times New Roman" w:cs="Times New Roman"/>
                <w:color w:val="000000"/>
                <w:vertAlign w:val="superscript"/>
              </w:rPr>
              <w:t>c</w:t>
            </w:r>
          </w:p>
        </w:tc>
        <w:tc>
          <w:tcPr>
            <w:tcW w:w="0" w:type="auto"/>
            <w:tcBorders>
              <w:left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0.55</w:t>
            </w:r>
          </w:p>
        </w:tc>
        <w:tc>
          <w:tcPr>
            <w:tcW w:w="0" w:type="auto"/>
            <w:tcBorders>
              <w:left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4.09</w:t>
            </w:r>
          </w:p>
        </w:tc>
        <w:tc>
          <w:tcPr>
            <w:tcW w:w="0" w:type="auto"/>
            <w:tcBorders>
              <w:left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0.21</w:t>
            </w:r>
          </w:p>
        </w:tc>
        <w:tc>
          <w:tcPr>
            <w:tcW w:w="0" w:type="auto"/>
            <w:tcBorders>
              <w:left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0.25</w:t>
            </w:r>
          </w:p>
        </w:tc>
        <w:tc>
          <w:tcPr>
            <w:tcW w:w="0" w:type="auto"/>
            <w:tcBorders>
              <w:left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0.73</w:t>
            </w:r>
          </w:p>
        </w:tc>
        <w:tc>
          <w:tcPr>
            <w:tcW w:w="0" w:type="auto"/>
            <w:tcBorders>
              <w:left w:val="nil"/>
              <w:right w:val="dashed" w:sz="4" w:space="0" w:color="auto"/>
            </w:tcBorders>
          </w:tcPr>
          <w:p w:rsidR="00452226" w:rsidRPr="000F2FCE" w:rsidRDefault="00452226" w:rsidP="002E3EB1">
            <w:pPr>
              <w:spacing w:after="0" w:line="240" w:lineRule="auto"/>
              <w:jc w:val="center"/>
              <w:rPr>
                <w:b/>
              </w:rPr>
            </w:pPr>
          </w:p>
        </w:tc>
        <w:tc>
          <w:tcPr>
            <w:tcW w:w="0" w:type="auto"/>
            <w:tcBorders>
              <w:left w:val="dashed" w:sz="4" w:space="0" w:color="auto"/>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5.37</w:t>
            </w:r>
          </w:p>
        </w:tc>
        <w:tc>
          <w:tcPr>
            <w:tcW w:w="0" w:type="auto"/>
            <w:tcBorders>
              <w:left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0.45</w:t>
            </w:r>
          </w:p>
        </w:tc>
      </w:tr>
      <w:tr w:rsidR="006D6C8C" w:rsidRPr="006D6C8C" w:rsidTr="00133B57">
        <w:trPr>
          <w:trHeight w:val="300"/>
        </w:trPr>
        <w:tc>
          <w:tcPr>
            <w:tcW w:w="0" w:type="auto"/>
            <w:tcBorders>
              <w:left w:val="nil"/>
              <w:bottom w:val="nil"/>
              <w:right w:val="nil"/>
            </w:tcBorders>
            <w:shd w:val="clear" w:color="auto" w:fill="auto"/>
            <w:noWrap/>
            <w:vAlign w:val="bottom"/>
            <w:hideMark/>
          </w:tcPr>
          <w:p w:rsidR="00452226" w:rsidRPr="006D6C8C" w:rsidRDefault="00452226" w:rsidP="007232EB">
            <w:pPr>
              <w:spacing w:after="0" w:line="240" w:lineRule="auto"/>
              <w:rPr>
                <w:rFonts w:eastAsia="Times New Roman" w:cs="Times New Roman"/>
                <w:color w:val="000000"/>
              </w:rPr>
            </w:pPr>
            <w:r w:rsidRPr="006D6C8C">
              <w:rPr>
                <w:rFonts w:eastAsia="Times New Roman" w:cs="Times New Roman"/>
                <w:color w:val="000000"/>
              </w:rPr>
              <w:t xml:space="preserve">Economy </w:t>
            </w:r>
            <w:r w:rsidR="002E1D64" w:rsidRPr="006D6C8C">
              <w:rPr>
                <w:rFonts w:eastAsia="Times New Roman" w:cs="Times New Roman"/>
                <w:color w:val="000000"/>
              </w:rPr>
              <w:t>requirement</w:t>
            </w:r>
            <w:r w:rsidRPr="006D6C8C">
              <w:rPr>
                <w:rFonts w:eastAsia="Times New Roman" w:cs="Times New Roman"/>
                <w:color w:val="000000"/>
              </w:rPr>
              <w:t xml:space="preserve"> ($m)</w:t>
            </w:r>
            <w:r w:rsidR="006D6C8C" w:rsidRPr="006D6C8C">
              <w:rPr>
                <w:rFonts w:eastAsia="Times New Roman" w:cs="Times New Roman"/>
                <w:color w:val="000000"/>
              </w:rPr>
              <w:t xml:space="preserve"> </w:t>
            </w:r>
            <w:r w:rsidR="006D6C8C" w:rsidRPr="006D6C8C">
              <w:rPr>
                <w:rFonts w:eastAsia="Times New Roman" w:cs="Times New Roman"/>
                <w:color w:val="000000"/>
                <w:vertAlign w:val="superscript"/>
              </w:rPr>
              <w:t>d</w:t>
            </w:r>
          </w:p>
        </w:tc>
        <w:tc>
          <w:tcPr>
            <w:tcW w:w="0" w:type="auto"/>
            <w:tcBorders>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0.46</w:t>
            </w:r>
          </w:p>
        </w:tc>
        <w:tc>
          <w:tcPr>
            <w:tcW w:w="0" w:type="auto"/>
            <w:tcBorders>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0.20</w:t>
            </w:r>
          </w:p>
        </w:tc>
        <w:tc>
          <w:tcPr>
            <w:tcW w:w="0" w:type="auto"/>
            <w:tcBorders>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0.17</w:t>
            </w:r>
          </w:p>
        </w:tc>
        <w:tc>
          <w:tcPr>
            <w:tcW w:w="0" w:type="auto"/>
            <w:tcBorders>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0.01</w:t>
            </w:r>
          </w:p>
        </w:tc>
        <w:tc>
          <w:tcPr>
            <w:tcW w:w="0" w:type="auto"/>
            <w:tcBorders>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0.02</w:t>
            </w:r>
          </w:p>
        </w:tc>
        <w:tc>
          <w:tcPr>
            <w:tcW w:w="0" w:type="auto"/>
            <w:tcBorders>
              <w:left w:val="nil"/>
              <w:bottom w:val="nil"/>
              <w:right w:val="dashed" w:sz="4" w:space="0" w:color="auto"/>
            </w:tcBorders>
          </w:tcPr>
          <w:p w:rsidR="00452226" w:rsidRPr="006D6C8C" w:rsidRDefault="00452226" w:rsidP="002E3EB1">
            <w:pPr>
              <w:spacing w:after="0" w:line="240" w:lineRule="auto"/>
              <w:jc w:val="center"/>
              <w:rPr>
                <w:b/>
              </w:rPr>
            </w:pPr>
          </w:p>
        </w:tc>
        <w:tc>
          <w:tcPr>
            <w:tcW w:w="0" w:type="auto"/>
            <w:tcBorders>
              <w:left w:val="dashed" w:sz="4" w:space="0" w:color="auto"/>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b/>
                <w:color w:val="000000"/>
              </w:rPr>
            </w:pPr>
            <w:r w:rsidRPr="006D6C8C">
              <w:rPr>
                <w:rFonts w:eastAsia="Times New Roman" w:cs="Times New Roman"/>
                <w:b/>
                <w:color w:val="000000"/>
              </w:rPr>
              <w:t>0.68</w:t>
            </w:r>
          </w:p>
        </w:tc>
        <w:tc>
          <w:tcPr>
            <w:tcW w:w="0" w:type="auto"/>
            <w:tcBorders>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b/>
                <w:color w:val="000000"/>
              </w:rPr>
            </w:pPr>
            <w:r w:rsidRPr="006D6C8C">
              <w:rPr>
                <w:rFonts w:eastAsia="Times New Roman" w:cs="Times New Roman"/>
                <w:b/>
                <w:color w:val="000000"/>
              </w:rPr>
              <w:t>0.18</w:t>
            </w:r>
          </w:p>
        </w:tc>
      </w:tr>
      <w:tr w:rsidR="006D6C8C" w:rsidRPr="009E4114" w:rsidTr="00133B57">
        <w:trPr>
          <w:trHeight w:val="300"/>
        </w:trPr>
        <w:tc>
          <w:tcPr>
            <w:tcW w:w="0" w:type="auto"/>
            <w:tcBorders>
              <w:top w:val="nil"/>
              <w:left w:val="nil"/>
              <w:bottom w:val="nil"/>
              <w:right w:val="nil"/>
            </w:tcBorders>
            <w:shd w:val="clear" w:color="auto" w:fill="auto"/>
            <w:noWrap/>
            <w:vAlign w:val="bottom"/>
            <w:hideMark/>
          </w:tcPr>
          <w:p w:rsidR="00452226" w:rsidRPr="007232EB" w:rsidRDefault="00452226" w:rsidP="007232EB">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tcPr>
          <w:p w:rsidR="00452226" w:rsidRPr="00246772" w:rsidRDefault="00452226" w:rsidP="002E3EB1">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r>
      <w:tr w:rsidR="006D6C8C" w:rsidRPr="009E4114" w:rsidTr="00133B57">
        <w:trPr>
          <w:trHeight w:val="300"/>
        </w:trPr>
        <w:tc>
          <w:tcPr>
            <w:tcW w:w="0" w:type="auto"/>
            <w:tcBorders>
              <w:top w:val="nil"/>
              <w:left w:val="nil"/>
              <w:bottom w:val="nil"/>
              <w:right w:val="nil"/>
            </w:tcBorders>
            <w:shd w:val="clear" w:color="auto" w:fill="auto"/>
            <w:noWrap/>
            <w:vAlign w:val="bottom"/>
            <w:hideMark/>
          </w:tcPr>
          <w:p w:rsidR="00452226" w:rsidRPr="007232EB" w:rsidRDefault="00452226" w:rsidP="007232EB">
            <w:pPr>
              <w:spacing w:after="0" w:line="240" w:lineRule="auto"/>
              <w:rPr>
                <w:rFonts w:eastAsia="Times New Roman" w:cs="Times New Roman"/>
                <w:color w:val="000000"/>
              </w:rPr>
            </w:pPr>
            <w:r w:rsidRPr="007232EB">
              <w:rPr>
                <w:rFonts w:eastAsia="Times New Roman" w:cs="Times New Roman"/>
                <w:color w:val="000000"/>
              </w:rPr>
              <w:t xml:space="preserve">University </w:t>
            </w:r>
            <w:r w:rsidR="002E1D64">
              <w:rPr>
                <w:rFonts w:eastAsia="Times New Roman" w:cs="Times New Roman"/>
                <w:color w:val="000000"/>
              </w:rPr>
              <w:t>requirement</w:t>
            </w:r>
            <w:r w:rsidRPr="007232EB">
              <w:rPr>
                <w:rFonts w:eastAsia="Times New Roman" w:cs="Times New Roman"/>
                <w:color w:val="000000"/>
              </w:rPr>
              <w:t xml:space="preserve"> (¢/$)</w:t>
            </w:r>
            <w:r w:rsidR="006D6C8C">
              <w:rPr>
                <w:rFonts w:eastAsia="Times New Roman" w:cs="Times New Roman"/>
                <w:color w:val="000000"/>
              </w:rPr>
              <w:t xml:space="preserve"> </w:t>
            </w:r>
            <w:r w:rsidR="006D6C8C" w:rsidRPr="006D6C8C">
              <w:rPr>
                <w:rFonts w:eastAsia="Times New Roman" w:cs="Times New Roman"/>
                <w:color w:val="000000"/>
                <w:vertAlign w:val="superscript"/>
              </w:rPr>
              <w:t>c</w:t>
            </w: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8</w:t>
            </w: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60</w:t>
            </w: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3</w:t>
            </w: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4</w:t>
            </w: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r w:rsidRPr="007232EB">
              <w:rPr>
                <w:rFonts w:eastAsia="Times New Roman" w:cs="Times New Roman"/>
                <w:color w:val="000000"/>
              </w:rPr>
              <w:t>11</w:t>
            </w:r>
          </w:p>
        </w:tc>
        <w:tc>
          <w:tcPr>
            <w:tcW w:w="0" w:type="auto"/>
            <w:tcBorders>
              <w:top w:val="nil"/>
              <w:left w:val="nil"/>
              <w:bottom w:val="nil"/>
              <w:right w:val="dashed" w:sz="4" w:space="0" w:color="auto"/>
            </w:tcBorders>
          </w:tcPr>
          <w:p w:rsidR="00452226" w:rsidRPr="000F2FCE" w:rsidRDefault="00452226" w:rsidP="002E3EB1">
            <w:pPr>
              <w:spacing w:after="0" w:line="240" w:lineRule="auto"/>
              <w:jc w:val="center"/>
              <w:rPr>
                <w:b/>
              </w:rPr>
            </w:pPr>
          </w:p>
        </w:tc>
        <w:tc>
          <w:tcPr>
            <w:tcW w:w="0" w:type="auto"/>
            <w:tcBorders>
              <w:top w:val="nil"/>
              <w:left w:val="dashed" w:sz="4" w:space="0" w:color="auto"/>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79</w:t>
            </w:r>
          </w:p>
        </w:tc>
        <w:tc>
          <w:tcPr>
            <w:tcW w:w="0" w:type="auto"/>
            <w:tcBorders>
              <w:top w:val="nil"/>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7</w:t>
            </w:r>
          </w:p>
        </w:tc>
      </w:tr>
      <w:tr w:rsidR="006D6C8C" w:rsidRPr="009E4114" w:rsidTr="00133B57">
        <w:trPr>
          <w:trHeight w:val="300"/>
        </w:trPr>
        <w:tc>
          <w:tcPr>
            <w:tcW w:w="0" w:type="auto"/>
            <w:tcBorders>
              <w:top w:val="nil"/>
              <w:left w:val="nil"/>
              <w:bottom w:val="nil"/>
              <w:right w:val="nil"/>
            </w:tcBorders>
            <w:shd w:val="clear" w:color="auto" w:fill="auto"/>
            <w:noWrap/>
            <w:vAlign w:val="bottom"/>
            <w:hideMark/>
          </w:tcPr>
          <w:p w:rsidR="00452226" w:rsidRPr="007232EB" w:rsidRDefault="00452226" w:rsidP="007232EB">
            <w:pPr>
              <w:spacing w:after="0" w:line="240" w:lineRule="auto"/>
              <w:rPr>
                <w:rFonts w:eastAsia="Times New Roman" w:cs="Times New Roman"/>
                <w:color w:val="000000"/>
              </w:rPr>
            </w:pPr>
            <w:r w:rsidRPr="007232EB">
              <w:rPr>
                <w:rFonts w:eastAsia="Times New Roman" w:cs="Times New Roman"/>
                <w:color w:val="000000"/>
              </w:rPr>
              <w:t xml:space="preserve">Economy </w:t>
            </w:r>
            <w:r w:rsidR="002E1D64">
              <w:rPr>
                <w:rFonts w:eastAsia="Times New Roman" w:cs="Times New Roman"/>
                <w:color w:val="000000"/>
              </w:rPr>
              <w:t>requirement</w:t>
            </w:r>
            <w:r w:rsidRPr="007232EB">
              <w:rPr>
                <w:rFonts w:eastAsia="Times New Roman" w:cs="Times New Roman"/>
                <w:color w:val="000000"/>
              </w:rPr>
              <w:t xml:space="preserve"> (¢/$)</w:t>
            </w:r>
            <w:r w:rsidR="006D6C8C">
              <w:rPr>
                <w:rFonts w:eastAsia="Times New Roman" w:cs="Times New Roman"/>
                <w:color w:val="000000"/>
              </w:rPr>
              <w:t xml:space="preserve"> </w:t>
            </w:r>
            <w:r w:rsidR="006D6C8C" w:rsidRPr="006D6C8C">
              <w:rPr>
                <w:rFonts w:eastAsia="Times New Roman" w:cs="Times New Roman"/>
                <w:color w:val="000000"/>
                <w:vertAlign w:val="superscript"/>
              </w:rPr>
              <w:t>d</w:t>
            </w:r>
          </w:p>
        </w:tc>
        <w:tc>
          <w:tcPr>
            <w:tcW w:w="0" w:type="auto"/>
            <w:tcBorders>
              <w:top w:val="nil"/>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7</w:t>
            </w:r>
          </w:p>
        </w:tc>
        <w:tc>
          <w:tcPr>
            <w:tcW w:w="0" w:type="auto"/>
            <w:tcBorders>
              <w:top w:val="nil"/>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3</w:t>
            </w:r>
          </w:p>
        </w:tc>
        <w:tc>
          <w:tcPr>
            <w:tcW w:w="0" w:type="auto"/>
            <w:tcBorders>
              <w:top w:val="nil"/>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2</w:t>
            </w:r>
          </w:p>
        </w:tc>
        <w:tc>
          <w:tcPr>
            <w:tcW w:w="0" w:type="auto"/>
            <w:tcBorders>
              <w:top w:val="nil"/>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0</w:t>
            </w:r>
          </w:p>
        </w:tc>
        <w:tc>
          <w:tcPr>
            <w:tcW w:w="0" w:type="auto"/>
            <w:tcBorders>
              <w:top w:val="nil"/>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color w:val="000000"/>
              </w:rPr>
            </w:pPr>
            <w:r w:rsidRPr="006D6C8C">
              <w:rPr>
                <w:rFonts w:eastAsia="Times New Roman" w:cs="Times New Roman"/>
                <w:color w:val="000000"/>
              </w:rPr>
              <w:t>0</w:t>
            </w:r>
          </w:p>
        </w:tc>
        <w:tc>
          <w:tcPr>
            <w:tcW w:w="0" w:type="auto"/>
            <w:tcBorders>
              <w:top w:val="nil"/>
              <w:left w:val="nil"/>
              <w:bottom w:val="nil"/>
              <w:right w:val="dashed" w:sz="4" w:space="0" w:color="auto"/>
            </w:tcBorders>
          </w:tcPr>
          <w:p w:rsidR="00452226" w:rsidRPr="006D6C8C" w:rsidRDefault="00452226" w:rsidP="002E3EB1">
            <w:pPr>
              <w:spacing w:after="0" w:line="240" w:lineRule="auto"/>
              <w:jc w:val="center"/>
              <w:rPr>
                <w:b/>
              </w:rPr>
            </w:pPr>
          </w:p>
        </w:tc>
        <w:tc>
          <w:tcPr>
            <w:tcW w:w="0" w:type="auto"/>
            <w:tcBorders>
              <w:top w:val="nil"/>
              <w:left w:val="dashed" w:sz="4" w:space="0" w:color="auto"/>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b/>
                <w:color w:val="000000"/>
              </w:rPr>
            </w:pPr>
            <w:r w:rsidRPr="006D6C8C">
              <w:rPr>
                <w:rFonts w:eastAsia="Times New Roman" w:cs="Times New Roman"/>
                <w:b/>
                <w:color w:val="000000"/>
              </w:rPr>
              <w:t>10</w:t>
            </w:r>
          </w:p>
        </w:tc>
        <w:tc>
          <w:tcPr>
            <w:tcW w:w="0" w:type="auto"/>
            <w:tcBorders>
              <w:top w:val="nil"/>
              <w:left w:val="nil"/>
              <w:bottom w:val="nil"/>
              <w:right w:val="nil"/>
            </w:tcBorders>
            <w:shd w:val="clear" w:color="auto" w:fill="auto"/>
            <w:noWrap/>
            <w:vAlign w:val="bottom"/>
            <w:hideMark/>
          </w:tcPr>
          <w:p w:rsidR="00452226" w:rsidRPr="006D6C8C" w:rsidRDefault="00452226" w:rsidP="007B7465">
            <w:pPr>
              <w:spacing w:after="0" w:line="240" w:lineRule="auto"/>
              <w:jc w:val="center"/>
              <w:rPr>
                <w:rFonts w:eastAsia="Times New Roman" w:cs="Times New Roman"/>
                <w:b/>
                <w:color w:val="000000"/>
              </w:rPr>
            </w:pPr>
            <w:r w:rsidRPr="006D6C8C">
              <w:rPr>
                <w:rFonts w:eastAsia="Times New Roman" w:cs="Times New Roman"/>
                <w:b/>
                <w:color w:val="000000"/>
              </w:rPr>
              <w:t>3</w:t>
            </w:r>
          </w:p>
        </w:tc>
      </w:tr>
      <w:tr w:rsidR="006D6C8C" w:rsidRPr="009E4114" w:rsidTr="00133B57">
        <w:trPr>
          <w:trHeight w:val="300"/>
        </w:trPr>
        <w:tc>
          <w:tcPr>
            <w:tcW w:w="0" w:type="auto"/>
            <w:tcBorders>
              <w:top w:val="nil"/>
              <w:left w:val="nil"/>
              <w:bottom w:val="nil"/>
              <w:right w:val="nil"/>
            </w:tcBorders>
            <w:shd w:val="clear" w:color="auto" w:fill="auto"/>
            <w:noWrap/>
            <w:vAlign w:val="bottom"/>
            <w:hideMark/>
          </w:tcPr>
          <w:p w:rsidR="00452226" w:rsidRPr="007232EB" w:rsidRDefault="00452226" w:rsidP="007232EB">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tcPr>
          <w:p w:rsidR="00452226" w:rsidRPr="00246772" w:rsidRDefault="00452226" w:rsidP="002E3EB1">
            <w:pPr>
              <w:spacing w:after="0" w:line="240" w:lineRule="auto"/>
              <w:jc w:val="center"/>
            </w:pPr>
          </w:p>
        </w:tc>
        <w:tc>
          <w:tcPr>
            <w:tcW w:w="0" w:type="auto"/>
            <w:tcBorders>
              <w:top w:val="nil"/>
              <w:left w:val="dashed" w:sz="4" w:space="0" w:color="auto"/>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r>
      <w:tr w:rsidR="006D6C8C" w:rsidRPr="009E4114" w:rsidTr="000A5D28">
        <w:trPr>
          <w:trHeight w:val="300"/>
        </w:trPr>
        <w:tc>
          <w:tcPr>
            <w:tcW w:w="0" w:type="auto"/>
            <w:tcBorders>
              <w:top w:val="nil"/>
              <w:left w:val="nil"/>
              <w:bottom w:val="nil"/>
              <w:right w:val="nil"/>
            </w:tcBorders>
            <w:shd w:val="clear" w:color="auto" w:fill="auto"/>
            <w:noWrap/>
            <w:vAlign w:val="bottom"/>
            <w:hideMark/>
          </w:tcPr>
          <w:p w:rsidR="00D628DA" w:rsidRPr="00133B57" w:rsidRDefault="00D628DA" w:rsidP="007232EB">
            <w:pPr>
              <w:spacing w:after="0" w:line="240" w:lineRule="auto"/>
              <w:rPr>
                <w:rFonts w:eastAsia="Times New Roman" w:cs="Times New Roman"/>
                <w:b/>
                <w:color w:val="000000"/>
              </w:rPr>
            </w:pPr>
            <w:r w:rsidRPr="00133B57">
              <w:rPr>
                <w:rFonts w:eastAsia="Times New Roman" w:cs="Times New Roman"/>
                <w:b/>
                <w:color w:val="000000"/>
              </w:rPr>
              <w:t>Open model</w:t>
            </w:r>
          </w:p>
        </w:tc>
        <w:tc>
          <w:tcPr>
            <w:tcW w:w="0" w:type="auto"/>
            <w:tcBorders>
              <w:top w:val="nil"/>
              <w:left w:val="nil"/>
              <w:bottom w:val="nil"/>
              <w:right w:val="nil"/>
            </w:tcBorders>
            <w:shd w:val="clear" w:color="auto" w:fill="auto"/>
            <w:noWrap/>
            <w:vAlign w:val="bottom"/>
            <w:hideMark/>
          </w:tcPr>
          <w:p w:rsidR="00D628DA" w:rsidRPr="00246772" w:rsidRDefault="00D628DA" w:rsidP="000A5D28">
            <w:pPr>
              <w:spacing w:after="0" w:line="240" w:lineRule="auto"/>
              <w:jc w:val="center"/>
            </w:pPr>
            <w:r>
              <w:rPr>
                <w:rFonts w:ascii="Times New Roman" w:hAnsi="Times New Roman" w:cs="Times New Roman"/>
              </w:rPr>
              <w:t>┌───</w:t>
            </w:r>
          </w:p>
        </w:tc>
        <w:tc>
          <w:tcPr>
            <w:tcW w:w="0" w:type="auto"/>
            <w:tcBorders>
              <w:top w:val="nil"/>
              <w:left w:val="nil"/>
              <w:bottom w:val="nil"/>
              <w:right w:val="nil"/>
            </w:tcBorders>
            <w:shd w:val="clear" w:color="auto" w:fill="auto"/>
            <w:vAlign w:val="bottom"/>
          </w:tcPr>
          <w:p w:rsidR="00D628DA" w:rsidRPr="00246772" w:rsidRDefault="00D628DA" w:rsidP="000A5D28">
            <w:pPr>
              <w:spacing w:after="0" w:line="240" w:lineRule="auto"/>
              <w:jc w:val="center"/>
            </w:pPr>
          </w:p>
        </w:tc>
        <w:tc>
          <w:tcPr>
            <w:tcW w:w="0" w:type="auto"/>
            <w:tcBorders>
              <w:top w:val="nil"/>
              <w:left w:val="nil"/>
              <w:bottom w:val="nil"/>
              <w:right w:val="nil"/>
            </w:tcBorders>
            <w:shd w:val="clear" w:color="auto" w:fill="auto"/>
            <w:vAlign w:val="bottom"/>
          </w:tcPr>
          <w:p w:rsidR="00D628DA" w:rsidRPr="00246772" w:rsidRDefault="00D628DA" w:rsidP="000A5D28">
            <w:pPr>
              <w:spacing w:after="0" w:line="240" w:lineRule="auto"/>
              <w:jc w:val="center"/>
            </w:pPr>
            <w:r>
              <w:t>University</w:t>
            </w:r>
          </w:p>
        </w:tc>
        <w:tc>
          <w:tcPr>
            <w:tcW w:w="0" w:type="auto"/>
            <w:tcBorders>
              <w:top w:val="nil"/>
              <w:left w:val="nil"/>
              <w:bottom w:val="nil"/>
              <w:right w:val="nil"/>
            </w:tcBorders>
            <w:shd w:val="clear" w:color="auto" w:fill="auto"/>
            <w:vAlign w:val="bottom"/>
          </w:tcPr>
          <w:p w:rsidR="00D628DA" w:rsidRPr="006D6C8C" w:rsidRDefault="006D6C8C" w:rsidP="006D6C8C">
            <w:pPr>
              <w:spacing w:after="0" w:line="240" w:lineRule="auto"/>
              <w:rPr>
                <w:vertAlign w:val="superscript"/>
              </w:rPr>
            </w:pPr>
            <w:r w:rsidRPr="006D6C8C">
              <w:rPr>
                <w:vertAlign w:val="superscript"/>
              </w:rPr>
              <w:t>e</w:t>
            </w:r>
          </w:p>
        </w:tc>
        <w:tc>
          <w:tcPr>
            <w:tcW w:w="0" w:type="auto"/>
            <w:tcBorders>
              <w:top w:val="nil"/>
              <w:left w:val="nil"/>
              <w:bottom w:val="nil"/>
              <w:right w:val="nil"/>
            </w:tcBorders>
            <w:shd w:val="clear" w:color="auto" w:fill="auto"/>
            <w:vAlign w:val="bottom"/>
          </w:tcPr>
          <w:p w:rsidR="00D628DA" w:rsidRPr="00246772" w:rsidRDefault="00D628DA" w:rsidP="000A5D28">
            <w:pPr>
              <w:spacing w:after="0" w:line="240" w:lineRule="auto"/>
              <w:jc w:val="right"/>
            </w:pPr>
            <w:r>
              <w:rPr>
                <w:rFonts w:ascii="Times New Roman" w:hAnsi="Times New Roman" w:cs="Times New Roman"/>
              </w:rPr>
              <w:t>───┐</w:t>
            </w:r>
          </w:p>
        </w:tc>
        <w:tc>
          <w:tcPr>
            <w:tcW w:w="0" w:type="auto"/>
            <w:tcBorders>
              <w:top w:val="nil"/>
              <w:left w:val="nil"/>
              <w:bottom w:val="nil"/>
              <w:right w:val="dashed" w:sz="4" w:space="0" w:color="auto"/>
            </w:tcBorders>
            <w:vAlign w:val="bottom"/>
          </w:tcPr>
          <w:p w:rsidR="00D628DA" w:rsidRPr="006D6C8C" w:rsidRDefault="00D628DA" w:rsidP="000A5D28">
            <w:pPr>
              <w:spacing w:after="0" w:line="240" w:lineRule="auto"/>
              <w:jc w:val="center"/>
            </w:pPr>
            <w:r w:rsidRPr="006D6C8C">
              <w:t>Economy</w:t>
            </w:r>
            <w:r w:rsidR="00F67ECC" w:rsidRPr="006D6C8C">
              <w:rPr>
                <w:rFonts w:eastAsia="Times New Roman" w:cs="Times New Roman"/>
                <w:color w:val="000000"/>
              </w:rPr>
              <w:t xml:space="preserve"> </w:t>
            </w:r>
            <w:r w:rsidR="006D6C8C" w:rsidRPr="006D6C8C">
              <w:rPr>
                <w:rFonts w:eastAsia="Times New Roman" w:cs="Times New Roman"/>
                <w:color w:val="000000"/>
                <w:vertAlign w:val="superscript"/>
              </w:rPr>
              <w:t>f</w:t>
            </w:r>
          </w:p>
        </w:tc>
        <w:tc>
          <w:tcPr>
            <w:tcW w:w="0" w:type="auto"/>
            <w:tcBorders>
              <w:top w:val="nil"/>
              <w:left w:val="dashed" w:sz="4" w:space="0" w:color="auto"/>
              <w:bottom w:val="nil"/>
              <w:right w:val="nil"/>
            </w:tcBorders>
            <w:shd w:val="clear" w:color="auto" w:fill="auto"/>
            <w:noWrap/>
            <w:vAlign w:val="bottom"/>
            <w:hideMark/>
          </w:tcPr>
          <w:p w:rsidR="00D628DA" w:rsidRPr="00452226" w:rsidRDefault="00D628DA" w:rsidP="00452226">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D628DA" w:rsidRPr="00452226" w:rsidRDefault="00D628DA" w:rsidP="00452226">
            <w:pPr>
              <w:spacing w:after="0" w:line="240" w:lineRule="auto"/>
              <w:jc w:val="center"/>
              <w:rPr>
                <w:rFonts w:eastAsia="Times New Roman" w:cs="Times New Roman"/>
                <w:color w:val="000000"/>
              </w:rPr>
            </w:pPr>
          </w:p>
        </w:tc>
      </w:tr>
      <w:tr w:rsidR="006D6C8C" w:rsidRPr="009E4114" w:rsidTr="000A5D28">
        <w:trPr>
          <w:trHeight w:val="300"/>
        </w:trPr>
        <w:tc>
          <w:tcPr>
            <w:tcW w:w="0" w:type="auto"/>
            <w:tcBorders>
              <w:top w:val="nil"/>
              <w:left w:val="nil"/>
              <w:bottom w:val="nil"/>
              <w:right w:val="nil"/>
            </w:tcBorders>
            <w:shd w:val="clear" w:color="auto" w:fill="auto"/>
            <w:noWrap/>
            <w:vAlign w:val="bottom"/>
            <w:hideMark/>
          </w:tcPr>
          <w:p w:rsidR="009E38C0" w:rsidRPr="007232EB" w:rsidRDefault="009E38C0" w:rsidP="007232EB">
            <w:pPr>
              <w:spacing w:after="0" w:line="240" w:lineRule="auto"/>
              <w:rPr>
                <w:rFonts w:eastAsia="Times New Roman" w:cs="Times New Roman"/>
                <w:color w:val="000000"/>
              </w:rPr>
            </w:pPr>
            <w:r w:rsidRPr="007232EB">
              <w:rPr>
                <w:rFonts w:eastAsia="Times New Roman" w:cs="Times New Roman"/>
                <w:color w:val="000000"/>
              </w:rPr>
              <w:t xml:space="preserve">Research </w:t>
            </w:r>
            <w:r w:rsidR="002E1D64">
              <w:rPr>
                <w:rFonts w:eastAsia="Times New Roman" w:cs="Times New Roman"/>
                <w:color w:val="000000"/>
              </w:rPr>
              <w:t>requirement</w:t>
            </w:r>
            <w:r w:rsidRPr="007232EB">
              <w:rPr>
                <w:rFonts w:eastAsia="Times New Roman" w:cs="Times New Roman"/>
                <w:color w:val="000000"/>
              </w:rPr>
              <w:t xml:space="preserve"> ($m)</w:t>
            </w:r>
          </w:p>
        </w:tc>
        <w:tc>
          <w:tcPr>
            <w:tcW w:w="0" w:type="auto"/>
            <w:tcBorders>
              <w:top w:val="nil"/>
              <w:left w:val="nil"/>
              <w:bottom w:val="nil"/>
              <w:right w:val="nil"/>
            </w:tcBorders>
            <w:shd w:val="clear" w:color="auto" w:fill="auto"/>
            <w:noWrap/>
            <w:vAlign w:val="bottom"/>
            <w:hideMark/>
          </w:tcPr>
          <w:p w:rsidR="009E38C0" w:rsidRPr="007232EB" w:rsidRDefault="009E38C0" w:rsidP="006553FA">
            <w:pPr>
              <w:spacing w:after="0" w:line="240" w:lineRule="auto"/>
              <w:jc w:val="center"/>
              <w:rPr>
                <w:rFonts w:eastAsia="Times New Roman" w:cs="Times New Roman"/>
                <w:color w:val="000000"/>
              </w:rPr>
            </w:pPr>
            <w:r w:rsidRPr="007232EB">
              <w:rPr>
                <w:rFonts w:eastAsia="Times New Roman" w:cs="Times New Roman"/>
                <w:color w:val="000000"/>
              </w:rPr>
              <w:t>0.4</w:t>
            </w:r>
            <w:r w:rsidR="006553FA">
              <w:rPr>
                <w:rFonts w:eastAsia="Times New Roman" w:cs="Times New Roman"/>
                <w:color w:val="000000"/>
              </w:rPr>
              <w:t>3</w:t>
            </w:r>
          </w:p>
        </w:tc>
        <w:tc>
          <w:tcPr>
            <w:tcW w:w="0" w:type="auto"/>
            <w:tcBorders>
              <w:top w:val="nil"/>
              <w:left w:val="nil"/>
              <w:bottom w:val="nil"/>
              <w:right w:val="nil"/>
            </w:tcBorders>
            <w:shd w:val="clear" w:color="auto" w:fill="auto"/>
            <w:noWrap/>
            <w:vAlign w:val="bottom"/>
            <w:hideMark/>
          </w:tcPr>
          <w:p w:rsidR="009E38C0" w:rsidRPr="007232EB" w:rsidRDefault="006553FA" w:rsidP="007B7465">
            <w:pPr>
              <w:spacing w:after="0" w:line="240" w:lineRule="auto"/>
              <w:jc w:val="center"/>
              <w:rPr>
                <w:rFonts w:eastAsia="Times New Roman" w:cs="Times New Roman"/>
                <w:color w:val="000000"/>
              </w:rPr>
            </w:pPr>
            <w:r>
              <w:rPr>
                <w:rFonts w:eastAsia="Times New Roman" w:cs="Times New Roman"/>
                <w:color w:val="000000"/>
              </w:rPr>
              <w:t>3.81</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0.00</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0.14</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0.67</w:t>
            </w:r>
          </w:p>
        </w:tc>
        <w:tc>
          <w:tcPr>
            <w:tcW w:w="0" w:type="auto"/>
            <w:tcBorders>
              <w:top w:val="nil"/>
              <w:left w:val="nil"/>
              <w:bottom w:val="nil"/>
              <w:right w:val="dashed" w:sz="4" w:space="0" w:color="auto"/>
            </w:tcBorders>
            <w:vAlign w:val="bottom"/>
          </w:tcPr>
          <w:p w:rsidR="009E38C0" w:rsidRPr="006D6C8C" w:rsidRDefault="00A9155C" w:rsidP="006553FA">
            <w:pPr>
              <w:spacing w:after="0" w:line="240" w:lineRule="auto"/>
              <w:jc w:val="center"/>
              <w:rPr>
                <w:rFonts w:eastAsia="Times New Roman" w:cs="Times New Roman"/>
                <w:b/>
                <w:color w:val="000000"/>
              </w:rPr>
            </w:pPr>
            <w:r w:rsidRPr="006D6C8C">
              <w:rPr>
                <w:rFonts w:eastAsia="Times New Roman" w:cs="Times New Roman"/>
                <w:b/>
                <w:color w:val="000000"/>
              </w:rPr>
              <w:t>0.9</w:t>
            </w:r>
            <w:r w:rsidR="006553FA" w:rsidRPr="006D6C8C">
              <w:rPr>
                <w:rFonts w:eastAsia="Times New Roman" w:cs="Times New Roman"/>
                <w:b/>
                <w:color w:val="000000"/>
              </w:rPr>
              <w:t>7</w:t>
            </w:r>
          </w:p>
        </w:tc>
        <w:tc>
          <w:tcPr>
            <w:tcW w:w="0" w:type="auto"/>
            <w:tcBorders>
              <w:top w:val="nil"/>
              <w:left w:val="dashed" w:sz="4" w:space="0" w:color="auto"/>
              <w:bottom w:val="nil"/>
              <w:right w:val="nil"/>
            </w:tcBorders>
            <w:shd w:val="clear" w:color="auto" w:fill="auto"/>
            <w:noWrap/>
            <w:hideMark/>
          </w:tcPr>
          <w:p w:rsidR="009E38C0" w:rsidRPr="006D6C8C" w:rsidRDefault="00A9155C" w:rsidP="009E38C0">
            <w:pPr>
              <w:spacing w:after="0" w:line="240" w:lineRule="auto"/>
              <w:jc w:val="center"/>
              <w:rPr>
                <w:rFonts w:eastAsia="Times New Roman" w:cs="Times New Roman"/>
                <w:color w:val="000000"/>
              </w:rPr>
            </w:pPr>
            <w:r w:rsidRPr="006D6C8C">
              <w:rPr>
                <w:rFonts w:eastAsia="Times New Roman" w:cs="Times New Roman"/>
                <w:color w:val="000000"/>
              </w:rPr>
              <w:t>5.88</w:t>
            </w:r>
          </w:p>
        </w:tc>
        <w:tc>
          <w:tcPr>
            <w:tcW w:w="0" w:type="auto"/>
            <w:tcBorders>
              <w:top w:val="nil"/>
              <w:left w:val="nil"/>
              <w:bottom w:val="nil"/>
              <w:right w:val="nil"/>
            </w:tcBorders>
            <w:shd w:val="clear" w:color="auto" w:fill="auto"/>
            <w:noWrap/>
            <w:hideMark/>
          </w:tcPr>
          <w:p w:rsidR="009E38C0" w:rsidRPr="009E38C0" w:rsidRDefault="009E38C0" w:rsidP="009E38C0">
            <w:pPr>
              <w:spacing w:after="0" w:line="240" w:lineRule="auto"/>
              <w:jc w:val="center"/>
              <w:rPr>
                <w:rFonts w:eastAsia="Times New Roman" w:cs="Times New Roman"/>
                <w:color w:val="000000"/>
              </w:rPr>
            </w:pPr>
            <w:r w:rsidRPr="009E38C0">
              <w:rPr>
                <w:rFonts w:eastAsia="Times New Roman" w:cs="Times New Roman"/>
                <w:color w:val="000000"/>
              </w:rPr>
              <w:t>0.15</w:t>
            </w:r>
          </w:p>
        </w:tc>
      </w:tr>
      <w:tr w:rsidR="006D6C8C" w:rsidRPr="009E4114" w:rsidTr="000A5D28">
        <w:trPr>
          <w:trHeight w:val="300"/>
        </w:trPr>
        <w:tc>
          <w:tcPr>
            <w:tcW w:w="0" w:type="auto"/>
            <w:tcBorders>
              <w:top w:val="nil"/>
              <w:left w:val="nil"/>
              <w:bottom w:val="nil"/>
              <w:right w:val="nil"/>
            </w:tcBorders>
            <w:shd w:val="clear" w:color="auto" w:fill="auto"/>
            <w:noWrap/>
            <w:vAlign w:val="bottom"/>
            <w:hideMark/>
          </w:tcPr>
          <w:p w:rsidR="009E38C0" w:rsidRPr="007232EB" w:rsidRDefault="009E38C0" w:rsidP="007232EB">
            <w:pPr>
              <w:spacing w:after="0" w:line="240" w:lineRule="auto"/>
              <w:rPr>
                <w:rFonts w:eastAsia="Times New Roman" w:cs="Times New Roman"/>
                <w:color w:val="000000"/>
              </w:rPr>
            </w:pPr>
            <w:r w:rsidRPr="007232EB">
              <w:rPr>
                <w:rFonts w:eastAsia="Times New Roman" w:cs="Times New Roman"/>
                <w:color w:val="000000"/>
              </w:rPr>
              <w:t>Intra-university cross-financing ($m)</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0.10</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0.29</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0.20</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0.10</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0.06</w:t>
            </w:r>
          </w:p>
        </w:tc>
        <w:tc>
          <w:tcPr>
            <w:tcW w:w="0" w:type="auto"/>
            <w:tcBorders>
              <w:top w:val="nil"/>
              <w:left w:val="nil"/>
              <w:bottom w:val="nil"/>
              <w:right w:val="dashed" w:sz="4" w:space="0" w:color="auto"/>
            </w:tcBorders>
            <w:vAlign w:val="bottom"/>
          </w:tcPr>
          <w:p w:rsidR="009E38C0" w:rsidRPr="006D6C8C" w:rsidRDefault="00A9155C" w:rsidP="00452226">
            <w:pPr>
              <w:spacing w:after="0" w:line="240" w:lineRule="auto"/>
              <w:jc w:val="center"/>
              <w:rPr>
                <w:rFonts w:eastAsia="Times New Roman" w:cs="Times New Roman"/>
                <w:b/>
                <w:color w:val="000000"/>
              </w:rPr>
            </w:pPr>
            <w:r w:rsidRPr="006D6C8C">
              <w:rPr>
                <w:rFonts w:eastAsia="Times New Roman" w:cs="Times New Roman"/>
                <w:b/>
                <w:color w:val="000000"/>
              </w:rPr>
              <w:t>-0.10</w:t>
            </w:r>
          </w:p>
        </w:tc>
        <w:tc>
          <w:tcPr>
            <w:tcW w:w="0" w:type="auto"/>
            <w:tcBorders>
              <w:top w:val="nil"/>
              <w:left w:val="dashed" w:sz="4" w:space="0" w:color="auto"/>
              <w:bottom w:val="nil"/>
              <w:right w:val="nil"/>
            </w:tcBorders>
            <w:shd w:val="clear" w:color="auto" w:fill="auto"/>
            <w:noWrap/>
            <w:hideMark/>
          </w:tcPr>
          <w:p w:rsidR="009E38C0" w:rsidRPr="006D6C8C" w:rsidRDefault="00A9155C" w:rsidP="006553FA">
            <w:pPr>
              <w:spacing w:after="0" w:line="240" w:lineRule="auto"/>
              <w:jc w:val="center"/>
              <w:rPr>
                <w:rFonts w:eastAsia="Times New Roman" w:cs="Times New Roman"/>
                <w:color w:val="000000"/>
              </w:rPr>
            </w:pPr>
            <w:r w:rsidRPr="006D6C8C">
              <w:rPr>
                <w:rFonts w:eastAsia="Times New Roman" w:cs="Times New Roman"/>
                <w:color w:val="000000"/>
              </w:rPr>
              <w:t>0.3</w:t>
            </w:r>
            <w:r w:rsidR="006553FA" w:rsidRPr="006D6C8C">
              <w:rPr>
                <w:rFonts w:eastAsia="Times New Roman" w:cs="Times New Roman"/>
                <w:color w:val="000000"/>
              </w:rPr>
              <w:t>5</w:t>
            </w:r>
          </w:p>
        </w:tc>
        <w:tc>
          <w:tcPr>
            <w:tcW w:w="0" w:type="auto"/>
            <w:tcBorders>
              <w:top w:val="nil"/>
              <w:left w:val="nil"/>
              <w:bottom w:val="nil"/>
              <w:right w:val="nil"/>
            </w:tcBorders>
            <w:shd w:val="clear" w:color="auto" w:fill="auto"/>
            <w:noWrap/>
            <w:hideMark/>
          </w:tcPr>
          <w:p w:rsidR="009E38C0" w:rsidRPr="009E38C0" w:rsidRDefault="009E38C0" w:rsidP="009E38C0">
            <w:pPr>
              <w:spacing w:after="0" w:line="240" w:lineRule="auto"/>
              <w:jc w:val="center"/>
              <w:rPr>
                <w:rFonts w:eastAsia="Times New Roman" w:cs="Times New Roman"/>
                <w:color w:val="000000"/>
              </w:rPr>
            </w:pPr>
            <w:r w:rsidRPr="009E38C0">
              <w:rPr>
                <w:rFonts w:eastAsia="Times New Roman" w:cs="Times New Roman"/>
                <w:color w:val="000000"/>
              </w:rPr>
              <w:t>0.31</w:t>
            </w:r>
          </w:p>
        </w:tc>
      </w:tr>
      <w:tr w:rsidR="006D6C8C" w:rsidRPr="009E4114" w:rsidTr="00133B57">
        <w:trPr>
          <w:trHeight w:val="300"/>
        </w:trPr>
        <w:tc>
          <w:tcPr>
            <w:tcW w:w="0" w:type="auto"/>
            <w:tcBorders>
              <w:top w:val="nil"/>
              <w:left w:val="nil"/>
              <w:bottom w:val="nil"/>
              <w:right w:val="nil"/>
            </w:tcBorders>
            <w:shd w:val="clear" w:color="auto" w:fill="auto"/>
            <w:noWrap/>
            <w:vAlign w:val="bottom"/>
            <w:hideMark/>
          </w:tcPr>
          <w:p w:rsidR="00452226" w:rsidRPr="007232EB" w:rsidRDefault="00452226" w:rsidP="007232EB">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7232EB" w:rsidRDefault="00452226" w:rsidP="007B7465">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vAlign w:val="bottom"/>
          </w:tcPr>
          <w:p w:rsidR="00452226" w:rsidRPr="006D6C8C" w:rsidRDefault="00452226" w:rsidP="00452226">
            <w:pPr>
              <w:spacing w:after="0" w:line="240" w:lineRule="auto"/>
              <w:jc w:val="center"/>
              <w:rPr>
                <w:rFonts w:eastAsia="Times New Roman" w:cs="Times New Roman"/>
                <w:b/>
                <w:color w:val="000000"/>
              </w:rPr>
            </w:pPr>
          </w:p>
        </w:tc>
        <w:tc>
          <w:tcPr>
            <w:tcW w:w="0" w:type="auto"/>
            <w:tcBorders>
              <w:top w:val="nil"/>
              <w:left w:val="dashed" w:sz="4" w:space="0" w:color="auto"/>
              <w:bottom w:val="nil"/>
              <w:right w:val="nil"/>
            </w:tcBorders>
            <w:shd w:val="clear" w:color="auto" w:fill="auto"/>
            <w:noWrap/>
            <w:vAlign w:val="bottom"/>
            <w:hideMark/>
          </w:tcPr>
          <w:p w:rsidR="00452226" w:rsidRPr="006D6C8C" w:rsidRDefault="00452226" w:rsidP="00452226">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452226" w:rsidRPr="009E38C0" w:rsidRDefault="00452226" w:rsidP="00452226">
            <w:pPr>
              <w:spacing w:after="0" w:line="240" w:lineRule="auto"/>
              <w:jc w:val="center"/>
              <w:rPr>
                <w:rFonts w:eastAsia="Times New Roman" w:cs="Times New Roman"/>
                <w:color w:val="000000"/>
              </w:rPr>
            </w:pPr>
          </w:p>
        </w:tc>
      </w:tr>
      <w:tr w:rsidR="006D6C8C" w:rsidRPr="009E4114" w:rsidTr="00133B57">
        <w:trPr>
          <w:trHeight w:val="300"/>
        </w:trPr>
        <w:tc>
          <w:tcPr>
            <w:tcW w:w="0" w:type="auto"/>
            <w:tcBorders>
              <w:top w:val="nil"/>
              <w:left w:val="nil"/>
              <w:bottom w:val="nil"/>
              <w:right w:val="nil"/>
            </w:tcBorders>
            <w:shd w:val="clear" w:color="auto" w:fill="auto"/>
            <w:noWrap/>
            <w:vAlign w:val="bottom"/>
            <w:hideMark/>
          </w:tcPr>
          <w:p w:rsidR="009E38C0" w:rsidRPr="007232EB" w:rsidRDefault="009E38C0" w:rsidP="007232EB">
            <w:pPr>
              <w:spacing w:after="0" w:line="240" w:lineRule="auto"/>
              <w:rPr>
                <w:rFonts w:eastAsia="Times New Roman" w:cs="Times New Roman"/>
                <w:color w:val="000000"/>
              </w:rPr>
            </w:pPr>
            <w:r w:rsidRPr="007232EB">
              <w:rPr>
                <w:rFonts w:eastAsia="Times New Roman" w:cs="Times New Roman"/>
                <w:color w:val="000000"/>
              </w:rPr>
              <w:t xml:space="preserve">Research </w:t>
            </w:r>
            <w:r w:rsidR="002E1D64">
              <w:rPr>
                <w:rFonts w:eastAsia="Times New Roman" w:cs="Times New Roman"/>
                <w:color w:val="000000"/>
              </w:rPr>
              <w:t>requirement</w:t>
            </w:r>
            <w:r w:rsidRPr="007232EB">
              <w:rPr>
                <w:rFonts w:eastAsia="Times New Roman" w:cs="Times New Roman"/>
                <w:color w:val="000000"/>
              </w:rPr>
              <w:t xml:space="preserve"> (¢/$)</w:t>
            </w:r>
          </w:p>
        </w:tc>
        <w:tc>
          <w:tcPr>
            <w:tcW w:w="0" w:type="auto"/>
            <w:tcBorders>
              <w:top w:val="nil"/>
              <w:left w:val="nil"/>
              <w:bottom w:val="nil"/>
              <w:right w:val="nil"/>
            </w:tcBorders>
            <w:shd w:val="clear" w:color="auto" w:fill="auto"/>
            <w:noWrap/>
            <w:vAlign w:val="bottom"/>
            <w:hideMark/>
          </w:tcPr>
          <w:p w:rsidR="009E38C0" w:rsidRPr="007232EB" w:rsidRDefault="006553FA" w:rsidP="007B7465">
            <w:pPr>
              <w:spacing w:after="0" w:line="240" w:lineRule="auto"/>
              <w:jc w:val="center"/>
              <w:rPr>
                <w:rFonts w:eastAsia="Times New Roman" w:cs="Times New Roman"/>
                <w:color w:val="000000"/>
              </w:rPr>
            </w:pPr>
            <w:r>
              <w:rPr>
                <w:rFonts w:eastAsia="Times New Roman" w:cs="Times New Roman"/>
                <w:color w:val="000000"/>
              </w:rPr>
              <w:t>6</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56</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0</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2</w:t>
            </w:r>
          </w:p>
        </w:tc>
        <w:tc>
          <w:tcPr>
            <w:tcW w:w="0" w:type="auto"/>
            <w:tcBorders>
              <w:top w:val="nil"/>
              <w:left w:val="nil"/>
              <w:bottom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10</w:t>
            </w:r>
          </w:p>
        </w:tc>
        <w:tc>
          <w:tcPr>
            <w:tcW w:w="0" w:type="auto"/>
            <w:tcBorders>
              <w:top w:val="nil"/>
              <w:left w:val="nil"/>
              <w:bottom w:val="nil"/>
              <w:right w:val="dashed" w:sz="4" w:space="0" w:color="auto"/>
            </w:tcBorders>
            <w:vAlign w:val="bottom"/>
          </w:tcPr>
          <w:p w:rsidR="009E38C0" w:rsidRPr="006D6C8C" w:rsidRDefault="00A9155C" w:rsidP="00452226">
            <w:pPr>
              <w:spacing w:after="0" w:line="240" w:lineRule="auto"/>
              <w:jc w:val="center"/>
              <w:rPr>
                <w:rFonts w:eastAsia="Times New Roman" w:cs="Times New Roman"/>
                <w:b/>
                <w:color w:val="000000"/>
              </w:rPr>
            </w:pPr>
            <w:r w:rsidRPr="006D6C8C">
              <w:rPr>
                <w:rFonts w:eastAsia="Times New Roman" w:cs="Times New Roman"/>
                <w:b/>
                <w:color w:val="000000"/>
              </w:rPr>
              <w:t>14</w:t>
            </w:r>
          </w:p>
        </w:tc>
        <w:tc>
          <w:tcPr>
            <w:tcW w:w="0" w:type="auto"/>
            <w:tcBorders>
              <w:top w:val="nil"/>
              <w:left w:val="dashed" w:sz="4" w:space="0" w:color="auto"/>
              <w:bottom w:val="nil"/>
              <w:right w:val="nil"/>
            </w:tcBorders>
            <w:shd w:val="clear" w:color="auto" w:fill="auto"/>
            <w:noWrap/>
            <w:vAlign w:val="bottom"/>
            <w:hideMark/>
          </w:tcPr>
          <w:p w:rsidR="009E38C0" w:rsidRPr="006D6C8C" w:rsidRDefault="009E38C0" w:rsidP="009E38C0">
            <w:pPr>
              <w:spacing w:after="0" w:line="240" w:lineRule="auto"/>
              <w:jc w:val="center"/>
              <w:rPr>
                <w:rFonts w:eastAsia="Times New Roman" w:cs="Times New Roman"/>
                <w:color w:val="000000"/>
              </w:rPr>
            </w:pPr>
            <w:r w:rsidRPr="006D6C8C">
              <w:rPr>
                <w:rFonts w:eastAsia="Times New Roman" w:cs="Times New Roman"/>
                <w:color w:val="000000"/>
              </w:rPr>
              <w:t>86</w:t>
            </w:r>
          </w:p>
        </w:tc>
        <w:tc>
          <w:tcPr>
            <w:tcW w:w="0" w:type="auto"/>
            <w:tcBorders>
              <w:top w:val="nil"/>
              <w:left w:val="nil"/>
              <w:bottom w:val="nil"/>
              <w:right w:val="nil"/>
            </w:tcBorders>
            <w:shd w:val="clear" w:color="auto" w:fill="auto"/>
            <w:noWrap/>
            <w:vAlign w:val="bottom"/>
            <w:hideMark/>
          </w:tcPr>
          <w:p w:rsidR="009E38C0" w:rsidRPr="00432F5A" w:rsidRDefault="009E38C0" w:rsidP="009E38C0">
            <w:pPr>
              <w:spacing w:after="0" w:line="240" w:lineRule="auto"/>
              <w:jc w:val="center"/>
              <w:rPr>
                <w:rFonts w:eastAsia="Times New Roman" w:cs="Times New Roman"/>
                <w:color w:val="000000"/>
                <w:u w:val="single"/>
              </w:rPr>
            </w:pPr>
            <w:r w:rsidRPr="00432F5A">
              <w:rPr>
                <w:rFonts w:eastAsia="Times New Roman" w:cs="Times New Roman"/>
                <w:color w:val="000000"/>
                <w:u w:val="single"/>
              </w:rPr>
              <w:t>2</w:t>
            </w:r>
          </w:p>
        </w:tc>
      </w:tr>
      <w:tr w:rsidR="006D6C8C" w:rsidRPr="009E4114" w:rsidTr="00133B57">
        <w:trPr>
          <w:trHeight w:val="300"/>
        </w:trPr>
        <w:tc>
          <w:tcPr>
            <w:tcW w:w="0" w:type="auto"/>
            <w:tcBorders>
              <w:top w:val="nil"/>
              <w:left w:val="nil"/>
              <w:right w:val="nil"/>
            </w:tcBorders>
            <w:shd w:val="clear" w:color="auto" w:fill="auto"/>
            <w:noWrap/>
            <w:vAlign w:val="bottom"/>
            <w:hideMark/>
          </w:tcPr>
          <w:p w:rsidR="009E38C0" w:rsidRPr="007232EB" w:rsidRDefault="009E38C0" w:rsidP="007232EB">
            <w:pPr>
              <w:spacing w:after="0" w:line="240" w:lineRule="auto"/>
              <w:rPr>
                <w:rFonts w:eastAsia="Times New Roman" w:cs="Times New Roman"/>
                <w:color w:val="000000"/>
              </w:rPr>
            </w:pPr>
            <w:r w:rsidRPr="007232EB">
              <w:rPr>
                <w:rFonts w:eastAsia="Times New Roman" w:cs="Times New Roman"/>
                <w:color w:val="000000"/>
              </w:rPr>
              <w:t>Intra-university cross-financing (¢/$)</w:t>
            </w:r>
          </w:p>
        </w:tc>
        <w:tc>
          <w:tcPr>
            <w:tcW w:w="0" w:type="auto"/>
            <w:tcBorders>
              <w:top w:val="nil"/>
              <w:left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1</w:t>
            </w:r>
          </w:p>
        </w:tc>
        <w:tc>
          <w:tcPr>
            <w:tcW w:w="0" w:type="auto"/>
            <w:tcBorders>
              <w:top w:val="nil"/>
              <w:left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4</w:t>
            </w:r>
          </w:p>
        </w:tc>
        <w:tc>
          <w:tcPr>
            <w:tcW w:w="0" w:type="auto"/>
            <w:tcBorders>
              <w:top w:val="nil"/>
              <w:left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3</w:t>
            </w:r>
          </w:p>
        </w:tc>
        <w:tc>
          <w:tcPr>
            <w:tcW w:w="0" w:type="auto"/>
            <w:tcBorders>
              <w:top w:val="nil"/>
              <w:left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2</w:t>
            </w:r>
          </w:p>
        </w:tc>
        <w:tc>
          <w:tcPr>
            <w:tcW w:w="0" w:type="auto"/>
            <w:tcBorders>
              <w:top w:val="nil"/>
              <w:left w:val="nil"/>
              <w:right w:val="nil"/>
            </w:tcBorders>
            <w:shd w:val="clear" w:color="auto" w:fill="auto"/>
            <w:noWrap/>
            <w:vAlign w:val="bottom"/>
            <w:hideMark/>
          </w:tcPr>
          <w:p w:rsidR="009E38C0" w:rsidRPr="007232EB" w:rsidRDefault="009E38C0" w:rsidP="007B7465">
            <w:pPr>
              <w:spacing w:after="0" w:line="240" w:lineRule="auto"/>
              <w:jc w:val="center"/>
              <w:rPr>
                <w:rFonts w:eastAsia="Times New Roman" w:cs="Times New Roman"/>
                <w:color w:val="000000"/>
              </w:rPr>
            </w:pPr>
            <w:r w:rsidRPr="007232EB">
              <w:rPr>
                <w:rFonts w:eastAsia="Times New Roman" w:cs="Times New Roman"/>
                <w:color w:val="000000"/>
              </w:rPr>
              <w:t>1</w:t>
            </w:r>
          </w:p>
        </w:tc>
        <w:tc>
          <w:tcPr>
            <w:tcW w:w="0" w:type="auto"/>
            <w:tcBorders>
              <w:top w:val="nil"/>
              <w:left w:val="nil"/>
              <w:right w:val="dashed" w:sz="4" w:space="0" w:color="auto"/>
            </w:tcBorders>
            <w:vAlign w:val="bottom"/>
          </w:tcPr>
          <w:p w:rsidR="009E38C0" w:rsidRPr="006D6C8C" w:rsidRDefault="00A9155C" w:rsidP="00452226">
            <w:pPr>
              <w:spacing w:after="0" w:line="240" w:lineRule="auto"/>
              <w:jc w:val="center"/>
              <w:rPr>
                <w:rFonts w:eastAsia="Times New Roman" w:cs="Times New Roman"/>
                <w:b/>
                <w:color w:val="000000"/>
              </w:rPr>
            </w:pPr>
            <w:r w:rsidRPr="006D6C8C">
              <w:rPr>
                <w:rFonts w:eastAsia="Times New Roman" w:cs="Times New Roman"/>
                <w:b/>
                <w:color w:val="000000"/>
              </w:rPr>
              <w:t>-1</w:t>
            </w:r>
          </w:p>
        </w:tc>
        <w:tc>
          <w:tcPr>
            <w:tcW w:w="0" w:type="auto"/>
            <w:tcBorders>
              <w:top w:val="nil"/>
              <w:left w:val="dashed" w:sz="4" w:space="0" w:color="auto"/>
              <w:right w:val="nil"/>
            </w:tcBorders>
            <w:shd w:val="clear" w:color="auto" w:fill="auto"/>
            <w:noWrap/>
            <w:vAlign w:val="bottom"/>
            <w:hideMark/>
          </w:tcPr>
          <w:p w:rsidR="009E38C0" w:rsidRPr="00432F5A" w:rsidRDefault="006553FA" w:rsidP="009E38C0">
            <w:pPr>
              <w:spacing w:after="0" w:line="240" w:lineRule="auto"/>
              <w:jc w:val="center"/>
              <w:rPr>
                <w:rFonts w:eastAsia="Times New Roman" w:cs="Times New Roman"/>
                <w:color w:val="000000"/>
                <w:u w:val="single"/>
              </w:rPr>
            </w:pPr>
            <w:r w:rsidRPr="00432F5A">
              <w:rPr>
                <w:rFonts w:eastAsia="Times New Roman" w:cs="Times New Roman"/>
                <w:color w:val="000000"/>
                <w:u w:val="single"/>
              </w:rPr>
              <w:t>5</w:t>
            </w:r>
          </w:p>
        </w:tc>
        <w:tc>
          <w:tcPr>
            <w:tcW w:w="0" w:type="auto"/>
            <w:tcBorders>
              <w:top w:val="nil"/>
              <w:left w:val="nil"/>
              <w:right w:val="nil"/>
            </w:tcBorders>
            <w:shd w:val="clear" w:color="auto" w:fill="auto"/>
            <w:noWrap/>
            <w:vAlign w:val="bottom"/>
            <w:hideMark/>
          </w:tcPr>
          <w:p w:rsidR="009E38C0" w:rsidRPr="00432F5A" w:rsidRDefault="009E38C0" w:rsidP="009E38C0">
            <w:pPr>
              <w:spacing w:after="0" w:line="240" w:lineRule="auto"/>
              <w:jc w:val="center"/>
              <w:rPr>
                <w:rFonts w:eastAsia="Times New Roman" w:cs="Times New Roman"/>
                <w:color w:val="000000"/>
                <w:u w:val="single"/>
              </w:rPr>
            </w:pPr>
            <w:r w:rsidRPr="00432F5A">
              <w:rPr>
                <w:rFonts w:eastAsia="Times New Roman" w:cs="Times New Roman"/>
                <w:color w:val="000000"/>
                <w:u w:val="single"/>
              </w:rPr>
              <w:t>5</w:t>
            </w:r>
          </w:p>
        </w:tc>
      </w:tr>
      <w:tr w:rsidR="006D6C8C" w:rsidRPr="009E4114" w:rsidTr="00133B57">
        <w:trPr>
          <w:trHeight w:val="300"/>
        </w:trPr>
        <w:tc>
          <w:tcPr>
            <w:tcW w:w="0" w:type="auto"/>
            <w:tcBorders>
              <w:top w:val="nil"/>
              <w:left w:val="nil"/>
              <w:bottom w:val="single" w:sz="4" w:space="0" w:color="auto"/>
              <w:right w:val="nil"/>
            </w:tcBorders>
            <w:shd w:val="clear" w:color="auto" w:fill="auto"/>
            <w:noWrap/>
            <w:vAlign w:val="bottom"/>
            <w:hideMark/>
          </w:tcPr>
          <w:p w:rsidR="00452226" w:rsidRPr="009E4114" w:rsidRDefault="00452226" w:rsidP="002E3EB1">
            <w:pPr>
              <w:spacing w:after="0" w:line="240" w:lineRule="auto"/>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452226" w:rsidRPr="009E4114" w:rsidRDefault="00452226" w:rsidP="002E3EB1">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452226" w:rsidRPr="009E4114" w:rsidRDefault="00452226" w:rsidP="002E3EB1">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452226" w:rsidRPr="009E4114" w:rsidRDefault="00452226" w:rsidP="002E3EB1">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452226" w:rsidRPr="009E4114" w:rsidRDefault="00452226" w:rsidP="002E3EB1">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452226" w:rsidRPr="009E4114" w:rsidRDefault="00452226" w:rsidP="002E3EB1">
            <w:pPr>
              <w:spacing w:after="0" w:line="240" w:lineRule="auto"/>
              <w:jc w:val="center"/>
              <w:rPr>
                <w:rFonts w:eastAsia="Times New Roman" w:cs="Times New Roman"/>
                <w:color w:val="000000"/>
              </w:rPr>
            </w:pPr>
          </w:p>
        </w:tc>
        <w:tc>
          <w:tcPr>
            <w:tcW w:w="0" w:type="auto"/>
            <w:tcBorders>
              <w:top w:val="nil"/>
              <w:left w:val="nil"/>
              <w:bottom w:val="single" w:sz="4" w:space="0" w:color="auto"/>
              <w:right w:val="dashed" w:sz="4" w:space="0" w:color="auto"/>
            </w:tcBorders>
          </w:tcPr>
          <w:p w:rsidR="00452226" w:rsidRPr="00246772" w:rsidRDefault="00452226" w:rsidP="002E3EB1">
            <w:pPr>
              <w:spacing w:after="0" w:line="240" w:lineRule="auto"/>
              <w:jc w:val="center"/>
            </w:pPr>
          </w:p>
        </w:tc>
        <w:tc>
          <w:tcPr>
            <w:tcW w:w="0" w:type="auto"/>
            <w:tcBorders>
              <w:top w:val="nil"/>
              <w:left w:val="dashed" w:sz="4" w:space="0" w:color="auto"/>
              <w:bottom w:val="single" w:sz="4" w:space="0" w:color="auto"/>
              <w:right w:val="nil"/>
            </w:tcBorders>
            <w:shd w:val="clear" w:color="auto" w:fill="auto"/>
            <w:noWrap/>
            <w:vAlign w:val="bottom"/>
            <w:hideMark/>
          </w:tcPr>
          <w:p w:rsidR="00452226" w:rsidRPr="006D6C8C" w:rsidRDefault="00452226" w:rsidP="002E3EB1">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452226" w:rsidRPr="009E4114" w:rsidRDefault="00452226" w:rsidP="002E3EB1">
            <w:pPr>
              <w:spacing w:after="0" w:line="240" w:lineRule="auto"/>
              <w:jc w:val="center"/>
              <w:rPr>
                <w:rFonts w:eastAsia="Times New Roman" w:cs="Times New Roman"/>
                <w:color w:val="000000"/>
              </w:rPr>
            </w:pPr>
          </w:p>
        </w:tc>
      </w:tr>
    </w:tbl>
    <w:p w:rsidR="006D6C8C" w:rsidRPr="008A6EB7" w:rsidRDefault="00F67ECC" w:rsidP="006D6C8C">
      <w:pPr>
        <w:jc w:val="both"/>
        <w:rPr>
          <w:sz w:val="20"/>
          <w:szCs w:val="20"/>
        </w:rPr>
      </w:pPr>
      <w:r w:rsidRPr="00004472">
        <w:rPr>
          <w:sz w:val="18"/>
          <w:szCs w:val="18"/>
          <w:vertAlign w:val="superscript"/>
        </w:rPr>
        <w:t>a</w:t>
      </w:r>
      <w:r w:rsidRPr="00004472">
        <w:rPr>
          <w:sz w:val="18"/>
          <w:szCs w:val="18"/>
        </w:rPr>
        <w:t xml:space="preserve"> </w:t>
      </w:r>
      <w:r w:rsidRPr="008A6EB7">
        <w:rPr>
          <w:sz w:val="20"/>
          <w:szCs w:val="20"/>
        </w:rPr>
        <w:t xml:space="preserve">Real revenue = Private revenue + Government revenue + Exports; </w:t>
      </w:r>
      <w:r w:rsidRPr="008A6EB7">
        <w:rPr>
          <w:sz w:val="20"/>
          <w:szCs w:val="20"/>
          <w:vertAlign w:val="superscript"/>
        </w:rPr>
        <w:t>b</w:t>
      </w:r>
      <w:r w:rsidRPr="008A6EB7">
        <w:rPr>
          <w:sz w:val="20"/>
          <w:szCs w:val="20"/>
        </w:rPr>
        <w:t xml:space="preserve"> Deficit = Gross fixed capital + Decreases in inventories; </w:t>
      </w:r>
      <w:r w:rsidR="006D6C8C" w:rsidRPr="008A6EB7">
        <w:rPr>
          <w:sz w:val="20"/>
          <w:szCs w:val="20"/>
          <w:vertAlign w:val="superscript"/>
        </w:rPr>
        <w:t>c</w:t>
      </w:r>
      <w:r w:rsidR="006D6C8C" w:rsidRPr="008A6EB7">
        <w:rPr>
          <w:sz w:val="20"/>
          <w:szCs w:val="20"/>
        </w:rPr>
        <w:t xml:space="preserve"> university demand-side requirements in terms of final demand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*c</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c</m:t>
            </m:r>
          </m:sup>
        </m:sSup>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U</m:t>
                      </m:r>
                    </m:sub>
                    <m:sup>
                      <m:r>
                        <w:rPr>
                          <w:rFonts w:ascii="Cambria Math" w:hAnsi="Cambria Math"/>
                          <w:sz w:val="20"/>
                          <w:szCs w:val="20"/>
                        </w:rPr>
                        <m:t>*</m:t>
                      </m:r>
                    </m:sup>
                  </m:sSubSup>
                </m:e>
              </m:mr>
              <m:mr>
                <m:e>
                  <m:r>
                    <w:rPr>
                      <w:rFonts w:ascii="Cambria Math" w:hAnsi="Cambria Math"/>
                      <w:sz w:val="20"/>
                      <w:szCs w:val="20"/>
                    </w:rPr>
                    <m:t>0</m:t>
                  </m:r>
                </m:e>
              </m:mr>
            </m:m>
          </m:e>
        </m:d>
      </m:oMath>
      <w:r w:rsidR="006D6C8C" w:rsidRPr="008A6EB7">
        <w:rPr>
          <w:sz w:val="20"/>
          <w:szCs w:val="20"/>
        </w:rPr>
        <w:t xml:space="preserve">, by components in </w:t>
      </w:r>
      <m:oMath>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U</m:t>
            </m:r>
          </m:sub>
          <m:sup>
            <m:r>
              <w:rPr>
                <w:rFonts w:ascii="Cambria Math" w:hAnsi="Cambria Math"/>
                <w:sz w:val="20"/>
                <w:szCs w:val="20"/>
              </w:rPr>
              <m:t>*</m:t>
            </m:r>
          </m:sup>
        </m:sSubSup>
      </m:oMath>
      <w:r w:rsidR="006D6C8C" w:rsidRPr="008A6EB7">
        <w:rPr>
          <w:sz w:val="20"/>
          <w:szCs w:val="20"/>
        </w:rPr>
        <w:t xml:space="preserve">; </w:t>
      </w:r>
      <w:r w:rsidR="006D6C8C" w:rsidRPr="008A6EB7">
        <w:rPr>
          <w:sz w:val="20"/>
          <w:szCs w:val="20"/>
          <w:vertAlign w:val="superscript"/>
        </w:rPr>
        <w:t>d</w:t>
      </w:r>
      <w:r w:rsidR="006D6C8C" w:rsidRPr="008A6EB7">
        <w:rPr>
          <w:sz w:val="20"/>
          <w:szCs w:val="20"/>
        </w:rPr>
        <w:t xml:space="preserve"> economy demand-side requirements in terms of final demand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*c</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c</m:t>
            </m:r>
          </m:sup>
        </m:sSup>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A</m:t>
                      </m:r>
                    </m:sub>
                    <m:sup>
                      <m:r>
                        <w:rPr>
                          <w:rFonts w:ascii="Cambria Math" w:hAnsi="Cambria Math"/>
                          <w:sz w:val="20"/>
                          <w:szCs w:val="20"/>
                        </w:rPr>
                        <m:t>*</m:t>
                      </m:r>
                    </m:sup>
                  </m:sSubSup>
                </m:e>
              </m:mr>
            </m:m>
          </m:e>
        </m:d>
      </m:oMath>
      <w:r w:rsidR="006D6C8C" w:rsidRPr="008A6EB7">
        <w:rPr>
          <w:sz w:val="20"/>
          <w:szCs w:val="20"/>
        </w:rPr>
        <w:t xml:space="preserve">, by components in </w:t>
      </w:r>
      <m:oMath>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A</m:t>
            </m:r>
          </m:sub>
          <m:sup>
            <m:r>
              <w:rPr>
                <w:rFonts w:ascii="Cambria Math" w:hAnsi="Cambria Math"/>
                <w:sz w:val="20"/>
                <w:szCs w:val="20"/>
              </w:rPr>
              <m:t>*</m:t>
            </m:r>
          </m:sup>
        </m:sSubSup>
        <m:r>
          <w:rPr>
            <w:rFonts w:ascii="Cambria Math" w:hAnsi="Cambria Math"/>
            <w:sz w:val="20"/>
            <w:szCs w:val="20"/>
          </w:rPr>
          <m:t>;</m:t>
        </m:r>
      </m:oMath>
      <w:r w:rsidR="006D6C8C" w:rsidRPr="008A6EB7">
        <w:rPr>
          <w:sz w:val="20"/>
          <w:szCs w:val="20"/>
        </w:rPr>
        <w:t xml:space="preserve"> </w:t>
      </w:r>
      <w:r w:rsidR="006D6C8C" w:rsidRPr="008A6EB7">
        <w:rPr>
          <w:sz w:val="20"/>
          <w:szCs w:val="20"/>
          <w:vertAlign w:val="superscript"/>
        </w:rPr>
        <w:t>e</w:t>
      </w:r>
      <w:r w:rsidR="006D6C8C" w:rsidRPr="008A6EB7">
        <w:rPr>
          <w:sz w:val="20"/>
          <w:szCs w:val="20"/>
        </w:rPr>
        <w:t xml:space="preserve"> university demand-side requirements in terms of final demand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*o</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o</m:t>
            </m:r>
          </m:sup>
        </m:sSup>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U</m:t>
            </m:r>
          </m:sub>
          <m:sup>
            <m:r>
              <w:rPr>
                <w:rFonts w:ascii="Cambria Math" w:hAnsi="Cambria Math"/>
                <w:sz w:val="20"/>
                <w:szCs w:val="20"/>
              </w:rPr>
              <m:t>*</m:t>
            </m:r>
          </m:sup>
        </m:sSubSup>
      </m:oMath>
      <w:r w:rsidR="006D6C8C" w:rsidRPr="008A6EB7">
        <w:rPr>
          <w:sz w:val="20"/>
          <w:szCs w:val="20"/>
        </w:rPr>
        <w:t xml:space="preserve">, by components in </w:t>
      </w:r>
      <m:oMath>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U</m:t>
            </m:r>
          </m:sub>
          <m:sup>
            <m:r>
              <w:rPr>
                <w:rFonts w:ascii="Cambria Math" w:hAnsi="Cambria Math"/>
                <w:sz w:val="20"/>
                <w:szCs w:val="20"/>
              </w:rPr>
              <m:t>*</m:t>
            </m:r>
          </m:sup>
        </m:sSubSup>
      </m:oMath>
      <w:r w:rsidR="006D6C8C" w:rsidRPr="008A6EB7">
        <w:rPr>
          <w:sz w:val="20"/>
          <w:szCs w:val="20"/>
        </w:rPr>
        <w:t xml:space="preserve">; </w:t>
      </w:r>
      <w:r w:rsidR="006D6C8C" w:rsidRPr="008A6EB7">
        <w:rPr>
          <w:sz w:val="20"/>
          <w:szCs w:val="20"/>
          <w:vertAlign w:val="superscript"/>
        </w:rPr>
        <w:t>f</w:t>
      </w:r>
      <w:r w:rsidR="006D6C8C" w:rsidRPr="008A6EB7">
        <w:rPr>
          <w:sz w:val="20"/>
          <w:szCs w:val="20"/>
        </w:rPr>
        <w:t xml:space="preserve"> university demand-side requirements in terms of industry revenue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*o</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o</m:t>
            </m:r>
          </m:sup>
        </m:sSup>
        <m:sSubSup>
          <m:sSubSupPr>
            <m:ctrlPr>
              <w:rPr>
                <w:rFonts w:ascii="Cambria Math" w:hAnsi="Cambria Math"/>
                <w:i/>
                <w:sz w:val="20"/>
                <w:szCs w:val="20"/>
              </w:rPr>
            </m:ctrlPr>
          </m:sSubSupPr>
          <m:e>
            <m:r>
              <m:rPr>
                <m:sty m:val="b"/>
              </m:rPr>
              <w:rPr>
                <w:rFonts w:ascii="Cambria Math" w:hAnsi="Cambria Math"/>
                <w:sz w:val="20"/>
                <w:szCs w:val="20"/>
              </w:rPr>
              <m:t>A</m:t>
            </m:r>
          </m:e>
          <m:sub>
            <m:r>
              <m:rPr>
                <m:sty m:val="p"/>
              </m:rPr>
              <w:rPr>
                <w:rFonts w:ascii="Cambria Math" w:hAnsi="Cambria Math"/>
                <w:sz w:val="20"/>
                <w:szCs w:val="20"/>
              </w:rPr>
              <m:t>UA</m:t>
            </m:r>
          </m:sub>
          <m:sup>
            <m:r>
              <w:rPr>
                <w:rFonts w:ascii="Cambria Math" w:hAnsi="Cambria Math"/>
                <w:sz w:val="20"/>
                <w:szCs w:val="20"/>
              </w:rPr>
              <m:t>*</m:t>
            </m:r>
          </m:sup>
        </m:sSubSup>
      </m:oMath>
      <w:r w:rsidR="006D6C8C" w:rsidRPr="008A6EB7">
        <w:rPr>
          <w:sz w:val="20"/>
          <w:szCs w:val="20"/>
        </w:rPr>
        <w:t>, total. Note that requirements labelled d are about equal to those labelled f (both in bold print), as shown in the previous Section.</w:t>
      </w:r>
      <w:r w:rsidR="00B731B3">
        <w:rPr>
          <w:sz w:val="20"/>
          <w:szCs w:val="20"/>
        </w:rPr>
        <w:t xml:space="preserve"> Values may not add up due to rounding.</w:t>
      </w:r>
    </w:p>
    <w:p w:rsidR="00F67ECC" w:rsidRPr="00004472" w:rsidRDefault="00F67ECC" w:rsidP="0061301D">
      <w:pPr>
        <w:jc w:val="both"/>
        <w:rPr>
          <w:sz w:val="18"/>
          <w:szCs w:val="18"/>
        </w:rPr>
      </w:pPr>
    </w:p>
    <w:p w:rsidR="00246772" w:rsidRDefault="00246772" w:rsidP="00246772">
      <w:pPr>
        <w:jc w:val="both"/>
      </w:pPr>
    </w:p>
    <w:p w:rsidR="00246772" w:rsidRDefault="006553FA" w:rsidP="00246772">
      <w:pPr>
        <w:jc w:val="center"/>
      </w:pPr>
      <w:r w:rsidRPr="006553FA">
        <w:t xml:space="preserve"> </w:t>
      </w:r>
      <w:r w:rsidR="00246772">
        <w:t xml:space="preserve">Tab. 5: </w:t>
      </w:r>
      <w:r w:rsidR="006D6C8C">
        <w:t>Demand-side</w:t>
      </w:r>
      <w:r w:rsidR="007B7465">
        <w:t xml:space="preserve"> requirement</w:t>
      </w:r>
      <w:r w:rsidR="006D6C8C">
        <w:t>s</w:t>
      </w:r>
      <w:r w:rsidR="00246772">
        <w:t xml:space="preserve"> of a 5% increase in research expenditure.</w:t>
      </w:r>
    </w:p>
    <w:p w:rsidR="007232EB" w:rsidRDefault="007232EB" w:rsidP="00246772">
      <w:pPr>
        <w:jc w:val="both"/>
        <w:sectPr w:rsidR="007232EB" w:rsidSect="007232EB">
          <w:pgSz w:w="16838" w:h="11906" w:orient="landscape"/>
          <w:pgMar w:top="1440" w:right="1440" w:bottom="1440" w:left="1440" w:header="709" w:footer="709" w:gutter="0"/>
          <w:cols w:space="708"/>
          <w:docGrid w:linePitch="360"/>
        </w:sectPr>
      </w:pPr>
    </w:p>
    <w:p w:rsidR="008D3140" w:rsidRDefault="008D3140" w:rsidP="008D3140"/>
    <w:p w:rsidR="008D3140" w:rsidRDefault="008D3140" w:rsidP="008D3140">
      <w:pPr>
        <w:pStyle w:val="ListParagraph"/>
        <w:numPr>
          <w:ilvl w:val="2"/>
          <w:numId w:val="1"/>
        </w:numPr>
      </w:pPr>
      <w:r>
        <w:t xml:space="preserve">Increase in </w:t>
      </w:r>
      <w:r w:rsidR="0073579C">
        <w:t>teaching</w:t>
      </w:r>
      <w:r>
        <w:t xml:space="preserve"> expenditure </w:t>
      </w:r>
    </w:p>
    <w:p w:rsidR="008D3140" w:rsidRDefault="008D3140" w:rsidP="008D3140">
      <w:pPr>
        <w:jc w:val="both"/>
      </w:pPr>
      <w:r>
        <w:t xml:space="preserve">Assuming a constant input-output structure, a 5% increase in expenditure for teaching either through price/wage hikes or capacity expansion requires, in the open model, on a per-dollar of revenue basis, the forthcoming of </w:t>
      </w:r>
      <w:r w:rsidR="0073579C">
        <w:t>33</w:t>
      </w:r>
      <w:r>
        <w:t xml:space="preserve">¢ of government funding, </w:t>
      </w:r>
      <w:r w:rsidR="0073579C">
        <w:t>24</w:t>
      </w:r>
      <w:r>
        <w:t xml:space="preserve">¢ </w:t>
      </w:r>
      <w:r w:rsidR="0073579C">
        <w:t>from</w:t>
      </w:r>
      <w:r>
        <w:t xml:space="preserve"> overseas </w:t>
      </w:r>
      <w:r w:rsidR="0073579C">
        <w:t>students</w:t>
      </w:r>
      <w:r>
        <w:t xml:space="preserve">, </w:t>
      </w:r>
      <w:r w:rsidR="0073579C">
        <w:t>19</w:t>
      </w:r>
      <w:r>
        <w:t xml:space="preserve">¢ </w:t>
      </w:r>
      <w:r w:rsidR="0073579C">
        <w:t>from domestic students</w:t>
      </w:r>
      <w:r>
        <w:t xml:space="preserve">, and </w:t>
      </w:r>
      <w:r w:rsidR="0073579C">
        <w:t>4¢ from Australian industry (Tab. 6</w:t>
      </w:r>
      <w:r>
        <w:t>). Total real revenue required to meet the increased expenditure is he</w:t>
      </w:r>
      <w:r w:rsidR="0073579C">
        <w:t>nce 81</w:t>
      </w:r>
      <w:r>
        <w:t>¢, and the remaining</w:t>
      </w:r>
      <w:r w:rsidR="0073579C">
        <w:t xml:space="preserve"> 19</w:t>
      </w:r>
      <w:r>
        <w:t xml:space="preserve">¢ in every dollar of expenditure needs to be drawn from existing reserves. The input-output calculus in the classical model </w:t>
      </w:r>
      <w:r w:rsidR="0073579C">
        <w:t>traces the 4</w:t>
      </w:r>
      <w:r>
        <w:t xml:space="preserve">¢ industry funding through the Australian economy and shows that these are likely to come mostly from </w:t>
      </w:r>
      <w:r w:rsidR="0073579C">
        <w:t xml:space="preserve">construction, trade and </w:t>
      </w:r>
      <w:r>
        <w:t>service sectors that</w:t>
      </w:r>
      <w:r w:rsidR="0073579C">
        <w:t xml:space="preserve"> pay for this research through 2</w:t>
      </w:r>
      <w:r>
        <w:t>¢ of</w:t>
      </w:r>
      <w:r w:rsidR="0073579C">
        <w:t xml:space="preserve"> sales to private individuals, 1</w:t>
      </w:r>
      <w:r>
        <w:t xml:space="preserve">¢ sales to government, and </w:t>
      </w:r>
      <w:r w:rsidR="0073579C">
        <w:t>1</w:t>
      </w:r>
      <w:r>
        <w:t>¢ of dividends from, and sales of capital assets.</w:t>
      </w:r>
    </w:p>
    <w:p w:rsidR="008D3140" w:rsidRDefault="008D3140" w:rsidP="008D3140">
      <w:pPr>
        <w:jc w:val="both"/>
      </w:pPr>
      <w:r>
        <w:t>The 5% expenditure increase in research is worth $</w:t>
      </w:r>
      <w:r w:rsidR="00A576A4">
        <w:t>15.4</w:t>
      </w:r>
      <w:r>
        <w:t>m in absolute terms</w:t>
      </w:r>
      <w:r w:rsidR="00A576A4">
        <w:t>, of which $12.4</w:t>
      </w:r>
      <w:r>
        <w:t>m are absorbed by real revenue</w:t>
      </w:r>
      <w:r w:rsidR="00A576A4">
        <w:t>, and $3</w:t>
      </w:r>
      <w:r>
        <w:t>m must be financed from existing reserves.</w:t>
      </w:r>
    </w:p>
    <w:p w:rsidR="008D3140" w:rsidRDefault="008D3140" w:rsidP="008D3140">
      <w:pPr>
        <w:jc w:val="both"/>
      </w:pPr>
      <w:r>
        <w:t xml:space="preserve">For every dollar of their increased </w:t>
      </w:r>
      <w:r w:rsidR="00A576A4">
        <w:t>teaching</w:t>
      </w:r>
      <w:r>
        <w:t xml:space="preserve"> expenditure, the </w:t>
      </w:r>
      <w:r w:rsidR="00A576A4">
        <w:t>teaching</w:t>
      </w:r>
      <w:r>
        <w:t xml:space="preserve"> units are able to generate </w:t>
      </w:r>
      <w:r w:rsidR="00A576A4">
        <w:t>7</w:t>
      </w:r>
      <w:r>
        <w:t xml:space="preserve">6¢ out of </w:t>
      </w:r>
      <w:r w:rsidR="00A576A4">
        <w:t>81</w:t>
      </w:r>
      <w:r>
        <w:t>¢ of real revenue</w:t>
      </w:r>
      <w:r w:rsidR="00A576A4">
        <w:t>. They need to draw 16</w:t>
      </w:r>
      <w:r>
        <w:t xml:space="preserve">¢ from reserves directly, and need other units </w:t>
      </w:r>
      <w:r w:rsidR="00230B3F">
        <w:t xml:space="preserve">(mostly through Central Accounts) </w:t>
      </w:r>
      <w:r w:rsidR="00A576A4">
        <w:t>to generate 4</w:t>
      </w:r>
      <w:r>
        <w:t xml:space="preserve">¢ of real revenue and </w:t>
      </w:r>
      <w:r w:rsidR="00A576A4">
        <w:t>draw additional 3</w:t>
      </w:r>
      <w:r>
        <w:t>¢ from reserves. Total intra-university cross-financing for every dollar of re</w:t>
      </w:r>
      <w:r w:rsidR="00A576A4">
        <w:t>search may the</w:t>
      </w:r>
      <w:r w:rsidR="006D27C8">
        <w:t>o</w:t>
      </w:r>
      <w:r w:rsidR="00A576A4">
        <w:t>re</w:t>
      </w:r>
      <w:r w:rsidR="006D27C8">
        <w:t>tically</w:t>
      </w:r>
      <w:r w:rsidR="00A576A4">
        <w:t xml:space="preserve"> be up to 24</w:t>
      </w:r>
      <w:r>
        <w:t>¢</w:t>
      </w:r>
      <w:r w:rsidR="006D27C8">
        <w:t xml:space="preserve">, however given the results from Sections </w:t>
      </w:r>
      <w:r w:rsidR="00C2157F">
        <w:fldChar w:fldCharType="begin"/>
      </w:r>
      <w:r w:rsidR="006D27C8">
        <w:instrText xml:space="preserve"> REF _Ref223276829 \r \h </w:instrText>
      </w:r>
      <w:r w:rsidR="00C2157F">
        <w:fldChar w:fldCharType="separate"/>
      </w:r>
      <w:r w:rsidR="001B68EA">
        <w:t>2.2.1</w:t>
      </w:r>
      <w:r w:rsidR="00C2157F">
        <w:fldChar w:fldCharType="end"/>
      </w:r>
      <w:r w:rsidR="006D27C8">
        <w:t xml:space="preserve"> and </w:t>
      </w:r>
      <w:r w:rsidR="00C2157F">
        <w:fldChar w:fldCharType="begin"/>
      </w:r>
      <w:r w:rsidR="006D27C8">
        <w:instrText xml:space="preserve"> REF _Ref223276834 \r \h </w:instrText>
      </w:r>
      <w:r w:rsidR="00C2157F">
        <w:fldChar w:fldCharType="separate"/>
      </w:r>
      <w:r w:rsidR="001B68EA">
        <w:t>2.2.2</w:t>
      </w:r>
      <w:r w:rsidR="00C2157F">
        <w:fldChar w:fldCharType="end"/>
      </w:r>
      <w:r w:rsidR="006D27C8">
        <w:t>, reserves</w:t>
      </w:r>
      <w:r>
        <w:t xml:space="preserve"> </w:t>
      </w:r>
      <w:r w:rsidR="006D27C8">
        <w:t xml:space="preserve">are likely to have been built up through teaching revenues, so that realistically, only about 4¢ of cross-financing occurs </w:t>
      </w:r>
      <w:r>
        <w:t>(underlined).</w:t>
      </w:r>
    </w:p>
    <w:p w:rsidR="008D3140" w:rsidRDefault="008D3140" w:rsidP="008D3140">
      <w:pPr>
        <w:jc w:val="both"/>
      </w:pPr>
    </w:p>
    <w:p w:rsidR="008D3140" w:rsidRDefault="008D3140" w:rsidP="008D3140">
      <w:pPr>
        <w:jc w:val="both"/>
      </w:pPr>
    </w:p>
    <w:p w:rsidR="008D3140" w:rsidRDefault="008D3140" w:rsidP="008D3140">
      <w:pPr>
        <w:jc w:val="both"/>
        <w:sectPr w:rsidR="008D3140" w:rsidSect="002567E9">
          <w:pgSz w:w="11906" w:h="16838"/>
          <w:pgMar w:top="1440" w:right="1440" w:bottom="1440" w:left="1440" w:header="708" w:footer="708" w:gutter="0"/>
          <w:cols w:space="708"/>
          <w:docGrid w:linePitch="360"/>
        </w:sectPr>
      </w:pPr>
    </w:p>
    <w:p w:rsidR="008D3140" w:rsidRDefault="008D3140" w:rsidP="008D3140">
      <w:pPr>
        <w:jc w:val="both"/>
      </w:pPr>
    </w:p>
    <w:tbl>
      <w:tblPr>
        <w:tblW w:w="15249" w:type="dxa"/>
        <w:tblInd w:w="93" w:type="dxa"/>
        <w:tblLook w:val="04A0"/>
      </w:tblPr>
      <w:tblGrid>
        <w:gridCol w:w="3469"/>
        <w:gridCol w:w="1272"/>
        <w:gridCol w:w="1792"/>
        <w:gridCol w:w="1539"/>
        <w:gridCol w:w="1848"/>
        <w:gridCol w:w="962"/>
        <w:gridCol w:w="1444"/>
        <w:gridCol w:w="1278"/>
        <w:gridCol w:w="1645"/>
      </w:tblGrid>
      <w:tr w:rsidR="00CD3C4B" w:rsidRPr="009E4114" w:rsidTr="007E1F20">
        <w:trPr>
          <w:trHeight w:val="810"/>
        </w:trPr>
        <w:tc>
          <w:tcPr>
            <w:tcW w:w="0" w:type="auto"/>
            <w:tcBorders>
              <w:top w:val="single" w:sz="4" w:space="0" w:color="auto"/>
              <w:left w:val="nil"/>
              <w:bottom w:val="single" w:sz="4" w:space="0" w:color="auto"/>
              <w:right w:val="nil"/>
            </w:tcBorders>
            <w:shd w:val="clear" w:color="auto" w:fill="auto"/>
            <w:noWrap/>
            <w:vAlign w:val="bottom"/>
            <w:hideMark/>
          </w:tcPr>
          <w:p w:rsidR="008D3140" w:rsidRPr="007232EB" w:rsidRDefault="008D3140" w:rsidP="007E1F20">
            <w:pPr>
              <w:spacing w:after="0" w:line="240" w:lineRule="auto"/>
              <w:rPr>
                <w:rFonts w:eastAsia="Times New Roman" w:cs="Times New Roman"/>
                <w:color w:val="000000"/>
              </w:rPr>
            </w:pPr>
          </w:p>
        </w:tc>
        <w:tc>
          <w:tcPr>
            <w:tcW w:w="0" w:type="auto"/>
            <w:tcBorders>
              <w:top w:val="single" w:sz="4" w:space="0" w:color="auto"/>
              <w:left w:val="nil"/>
              <w:bottom w:val="single" w:sz="4" w:space="0" w:color="auto"/>
              <w:right w:val="nil"/>
            </w:tcBorders>
            <w:shd w:val="clear" w:color="auto" w:fill="auto"/>
            <w:hideMark/>
          </w:tcPr>
          <w:p w:rsidR="008D3140" w:rsidRPr="007232EB" w:rsidRDefault="008D3140" w:rsidP="007E1F20">
            <w:pPr>
              <w:spacing w:after="0" w:line="240" w:lineRule="auto"/>
              <w:jc w:val="center"/>
              <w:rPr>
                <w:rFonts w:eastAsia="Times New Roman" w:cs="Times New Roman"/>
                <w:color w:val="000000"/>
              </w:rPr>
            </w:pPr>
            <w:r w:rsidRPr="007232EB">
              <w:rPr>
                <w:rFonts w:eastAsia="Times New Roman" w:cs="Times New Roman"/>
                <w:color w:val="000000"/>
              </w:rPr>
              <w:t xml:space="preserve">Private </w:t>
            </w:r>
            <w:r>
              <w:rPr>
                <w:rFonts w:eastAsia="Times New Roman" w:cs="Times New Roman"/>
                <w:color w:val="000000"/>
              </w:rPr>
              <w:t>revenue</w:t>
            </w:r>
          </w:p>
        </w:tc>
        <w:tc>
          <w:tcPr>
            <w:tcW w:w="0" w:type="auto"/>
            <w:tcBorders>
              <w:top w:val="single" w:sz="4" w:space="0" w:color="auto"/>
              <w:left w:val="nil"/>
              <w:bottom w:val="single" w:sz="4" w:space="0" w:color="auto"/>
              <w:right w:val="nil"/>
            </w:tcBorders>
            <w:shd w:val="clear" w:color="auto" w:fill="auto"/>
            <w:hideMark/>
          </w:tcPr>
          <w:p w:rsidR="008D3140" w:rsidRPr="007232EB" w:rsidRDefault="00CD3C4B" w:rsidP="007E1F20">
            <w:pPr>
              <w:spacing w:after="0" w:line="240" w:lineRule="auto"/>
              <w:jc w:val="center"/>
              <w:rPr>
                <w:rFonts w:eastAsia="Times New Roman" w:cs="Times New Roman"/>
                <w:color w:val="000000"/>
              </w:rPr>
            </w:pPr>
            <w:r>
              <w:rPr>
                <w:rFonts w:eastAsia="Times New Roman" w:cs="Times New Roman"/>
                <w:color w:val="000000"/>
              </w:rPr>
              <w:t xml:space="preserve">+ </w:t>
            </w:r>
            <w:r w:rsidR="008D3140" w:rsidRPr="007232EB">
              <w:rPr>
                <w:rFonts w:eastAsia="Times New Roman" w:cs="Times New Roman"/>
                <w:color w:val="000000"/>
              </w:rPr>
              <w:t xml:space="preserve">Government </w:t>
            </w:r>
            <w:r w:rsidR="008D3140">
              <w:rPr>
                <w:rFonts w:eastAsia="Times New Roman" w:cs="Times New Roman"/>
                <w:color w:val="000000"/>
              </w:rPr>
              <w:t>revenue</w:t>
            </w:r>
          </w:p>
        </w:tc>
        <w:tc>
          <w:tcPr>
            <w:tcW w:w="0" w:type="auto"/>
            <w:tcBorders>
              <w:top w:val="single" w:sz="4" w:space="0" w:color="auto"/>
              <w:left w:val="nil"/>
              <w:bottom w:val="single" w:sz="4" w:space="0" w:color="auto"/>
              <w:right w:val="nil"/>
            </w:tcBorders>
            <w:shd w:val="clear" w:color="auto" w:fill="auto"/>
            <w:hideMark/>
          </w:tcPr>
          <w:p w:rsidR="008D3140" w:rsidRPr="007232EB" w:rsidRDefault="00CD3C4B" w:rsidP="007E1F20">
            <w:pPr>
              <w:spacing w:after="0" w:line="240" w:lineRule="auto"/>
              <w:jc w:val="center"/>
              <w:rPr>
                <w:rFonts w:eastAsia="Times New Roman" w:cs="Times New Roman"/>
                <w:color w:val="000000"/>
              </w:rPr>
            </w:pPr>
            <w:r>
              <w:rPr>
                <w:rFonts w:eastAsia="Times New Roman" w:cs="Times New Roman"/>
                <w:color w:val="000000"/>
              </w:rPr>
              <w:t xml:space="preserve">+ </w:t>
            </w:r>
            <w:r w:rsidR="008D3140" w:rsidRPr="007232EB">
              <w:rPr>
                <w:rFonts w:eastAsia="Times New Roman" w:cs="Times New Roman"/>
                <w:color w:val="000000"/>
              </w:rPr>
              <w:t>Gross fixed capital</w:t>
            </w:r>
          </w:p>
        </w:tc>
        <w:tc>
          <w:tcPr>
            <w:tcW w:w="0" w:type="auto"/>
            <w:tcBorders>
              <w:top w:val="single" w:sz="4" w:space="0" w:color="auto"/>
              <w:left w:val="nil"/>
              <w:bottom w:val="single" w:sz="4" w:space="0" w:color="auto"/>
              <w:right w:val="nil"/>
            </w:tcBorders>
            <w:shd w:val="clear" w:color="auto" w:fill="auto"/>
            <w:hideMark/>
          </w:tcPr>
          <w:p w:rsidR="008D3140" w:rsidRPr="007232EB" w:rsidRDefault="00CD3C4B" w:rsidP="007E1F20">
            <w:pPr>
              <w:spacing w:after="0" w:line="240" w:lineRule="auto"/>
              <w:jc w:val="center"/>
              <w:rPr>
                <w:rFonts w:eastAsia="Times New Roman" w:cs="Times New Roman"/>
                <w:color w:val="000000"/>
              </w:rPr>
            </w:pPr>
            <w:r>
              <w:rPr>
                <w:rFonts w:eastAsia="Times New Roman" w:cs="Times New Roman"/>
                <w:color w:val="000000"/>
              </w:rPr>
              <w:t xml:space="preserve">+ </w:t>
            </w:r>
            <w:r w:rsidR="008D3140" w:rsidRPr="007232EB">
              <w:rPr>
                <w:rFonts w:eastAsia="Times New Roman" w:cs="Times New Roman"/>
                <w:color w:val="000000"/>
              </w:rPr>
              <w:t>Decreases in inventories</w:t>
            </w:r>
          </w:p>
        </w:tc>
        <w:tc>
          <w:tcPr>
            <w:tcW w:w="0" w:type="auto"/>
            <w:tcBorders>
              <w:top w:val="single" w:sz="4" w:space="0" w:color="auto"/>
              <w:left w:val="nil"/>
              <w:bottom w:val="single" w:sz="4" w:space="0" w:color="auto"/>
              <w:right w:val="nil"/>
            </w:tcBorders>
            <w:shd w:val="clear" w:color="auto" w:fill="auto"/>
            <w:hideMark/>
          </w:tcPr>
          <w:p w:rsidR="008D3140" w:rsidRPr="007232EB" w:rsidRDefault="00CD3C4B" w:rsidP="007E1F20">
            <w:pPr>
              <w:spacing w:after="0" w:line="240" w:lineRule="auto"/>
              <w:jc w:val="center"/>
              <w:rPr>
                <w:rFonts w:eastAsia="Times New Roman" w:cs="Times New Roman"/>
                <w:color w:val="000000"/>
              </w:rPr>
            </w:pPr>
            <w:r>
              <w:rPr>
                <w:rFonts w:eastAsia="Times New Roman" w:cs="Times New Roman"/>
                <w:color w:val="000000"/>
              </w:rPr>
              <w:t xml:space="preserve">+ </w:t>
            </w:r>
            <w:r w:rsidR="008D3140" w:rsidRPr="007232EB">
              <w:rPr>
                <w:rFonts w:eastAsia="Times New Roman" w:cs="Times New Roman"/>
                <w:color w:val="000000"/>
              </w:rPr>
              <w:t>Exports</w:t>
            </w:r>
          </w:p>
        </w:tc>
        <w:tc>
          <w:tcPr>
            <w:tcW w:w="0" w:type="auto"/>
            <w:tcBorders>
              <w:top w:val="single" w:sz="4" w:space="0" w:color="auto"/>
              <w:left w:val="nil"/>
              <w:bottom w:val="single" w:sz="4" w:space="0" w:color="auto"/>
              <w:right w:val="dashed" w:sz="4" w:space="0" w:color="auto"/>
            </w:tcBorders>
          </w:tcPr>
          <w:p w:rsidR="008D3140" w:rsidRPr="00246772" w:rsidRDefault="00CD3C4B" w:rsidP="007E1F20">
            <w:pPr>
              <w:spacing w:after="0" w:line="240" w:lineRule="auto"/>
              <w:jc w:val="center"/>
            </w:pPr>
            <w:r>
              <w:t xml:space="preserve">+ </w:t>
            </w:r>
            <w:r w:rsidR="008D3140">
              <w:t>Industry revenue</w:t>
            </w:r>
          </w:p>
        </w:tc>
        <w:tc>
          <w:tcPr>
            <w:tcW w:w="0" w:type="auto"/>
            <w:tcBorders>
              <w:top w:val="single" w:sz="4" w:space="0" w:color="auto"/>
              <w:left w:val="dashed" w:sz="4" w:space="0" w:color="auto"/>
              <w:bottom w:val="single" w:sz="4" w:space="0" w:color="auto"/>
              <w:right w:val="nil"/>
            </w:tcBorders>
            <w:shd w:val="clear" w:color="auto" w:fill="auto"/>
            <w:hideMark/>
          </w:tcPr>
          <w:p w:rsidR="008D3140" w:rsidRPr="007232EB" w:rsidRDefault="00CD3C4B" w:rsidP="007E1F20">
            <w:pPr>
              <w:spacing w:after="0" w:line="240" w:lineRule="auto"/>
              <w:jc w:val="center"/>
              <w:rPr>
                <w:rFonts w:eastAsia="Times New Roman" w:cs="Times New Roman"/>
                <w:color w:val="000000"/>
              </w:rPr>
            </w:pPr>
            <w:r>
              <w:rPr>
                <w:rFonts w:eastAsia="Times New Roman" w:cs="Times New Roman"/>
                <w:color w:val="000000"/>
              </w:rPr>
              <w:t xml:space="preserve">= </w:t>
            </w:r>
            <w:r w:rsidR="008D3140">
              <w:rPr>
                <w:rFonts w:eastAsia="Times New Roman" w:cs="Times New Roman"/>
                <w:color w:val="000000"/>
              </w:rPr>
              <w:t>Real revenue</w:t>
            </w:r>
            <w:r w:rsidR="0061301D" w:rsidRPr="0061301D">
              <w:rPr>
                <w:rFonts w:eastAsia="Times New Roman" w:cs="Times New Roman"/>
                <w:color w:val="000000"/>
                <w:vertAlign w:val="superscript"/>
              </w:rPr>
              <w:t xml:space="preserve"> a</w:t>
            </w:r>
          </w:p>
        </w:tc>
        <w:tc>
          <w:tcPr>
            <w:tcW w:w="0" w:type="auto"/>
            <w:tcBorders>
              <w:top w:val="single" w:sz="4" w:space="0" w:color="auto"/>
              <w:left w:val="nil"/>
              <w:bottom w:val="single" w:sz="4" w:space="0" w:color="auto"/>
              <w:right w:val="nil"/>
            </w:tcBorders>
            <w:shd w:val="clear" w:color="auto" w:fill="auto"/>
            <w:hideMark/>
          </w:tcPr>
          <w:p w:rsidR="008D3140" w:rsidRPr="007232EB" w:rsidRDefault="00CD3C4B" w:rsidP="007E1F20">
            <w:pPr>
              <w:spacing w:after="0" w:line="240" w:lineRule="auto"/>
              <w:jc w:val="center"/>
              <w:rPr>
                <w:rFonts w:eastAsia="Times New Roman" w:cs="Times New Roman"/>
                <w:color w:val="000000"/>
              </w:rPr>
            </w:pPr>
            <w:r>
              <w:rPr>
                <w:rFonts w:eastAsia="Times New Roman" w:cs="Times New Roman"/>
                <w:color w:val="000000"/>
              </w:rPr>
              <w:t xml:space="preserve">+ </w:t>
            </w:r>
            <w:r w:rsidR="008D3140">
              <w:rPr>
                <w:rFonts w:eastAsia="Times New Roman" w:cs="Times New Roman"/>
                <w:color w:val="000000"/>
              </w:rPr>
              <w:t>Deficit, from reserves</w:t>
            </w:r>
            <w:r w:rsidR="0061301D" w:rsidRPr="0061301D">
              <w:rPr>
                <w:rFonts w:eastAsia="Times New Roman" w:cs="Times New Roman"/>
                <w:color w:val="000000"/>
                <w:vertAlign w:val="superscript"/>
              </w:rPr>
              <w:t xml:space="preserve"> </w:t>
            </w:r>
            <w:r w:rsidR="0061301D">
              <w:rPr>
                <w:rFonts w:eastAsia="Times New Roman" w:cs="Times New Roman"/>
                <w:color w:val="000000"/>
                <w:vertAlign w:val="superscript"/>
              </w:rPr>
              <w:t>b</w:t>
            </w:r>
          </w:p>
        </w:tc>
      </w:tr>
      <w:tr w:rsidR="00CD3C4B" w:rsidRPr="009E4114" w:rsidTr="007E1F20">
        <w:trPr>
          <w:trHeight w:val="300"/>
        </w:trPr>
        <w:tc>
          <w:tcPr>
            <w:tcW w:w="0" w:type="auto"/>
            <w:tcBorders>
              <w:top w:val="single" w:sz="4" w:space="0" w:color="auto"/>
              <w:left w:val="nil"/>
              <w:right w:val="nil"/>
            </w:tcBorders>
            <w:shd w:val="clear" w:color="auto" w:fill="auto"/>
            <w:noWrap/>
            <w:vAlign w:val="bottom"/>
            <w:hideMark/>
          </w:tcPr>
          <w:p w:rsidR="008D3140" w:rsidRPr="007232EB" w:rsidRDefault="008D3140" w:rsidP="007E1F20">
            <w:pPr>
              <w:spacing w:after="0" w:line="240" w:lineRule="auto"/>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8D3140" w:rsidRPr="007232EB" w:rsidRDefault="008D3140" w:rsidP="007E1F20">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8D3140" w:rsidRPr="007232EB" w:rsidRDefault="008D3140" w:rsidP="007E1F20">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8D3140" w:rsidRPr="007232EB" w:rsidRDefault="008D3140" w:rsidP="007E1F20">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8D3140" w:rsidRPr="007232EB" w:rsidRDefault="008D3140" w:rsidP="007E1F20">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8D3140" w:rsidRPr="007232EB" w:rsidRDefault="008D3140" w:rsidP="007E1F20">
            <w:pPr>
              <w:spacing w:after="0" w:line="240" w:lineRule="auto"/>
              <w:jc w:val="right"/>
              <w:rPr>
                <w:rFonts w:eastAsia="Times New Roman" w:cs="Times New Roman"/>
                <w:color w:val="000000"/>
              </w:rPr>
            </w:pPr>
          </w:p>
        </w:tc>
        <w:tc>
          <w:tcPr>
            <w:tcW w:w="0" w:type="auto"/>
            <w:tcBorders>
              <w:top w:val="single" w:sz="4" w:space="0" w:color="auto"/>
              <w:left w:val="nil"/>
              <w:right w:val="dashed" w:sz="4" w:space="0" w:color="auto"/>
            </w:tcBorders>
          </w:tcPr>
          <w:p w:rsidR="008D3140" w:rsidRPr="00246772" w:rsidRDefault="008D3140" w:rsidP="007E1F20">
            <w:pPr>
              <w:spacing w:after="0" w:line="240" w:lineRule="auto"/>
              <w:jc w:val="center"/>
            </w:pPr>
          </w:p>
        </w:tc>
        <w:tc>
          <w:tcPr>
            <w:tcW w:w="0" w:type="auto"/>
            <w:tcBorders>
              <w:top w:val="single" w:sz="4" w:space="0" w:color="auto"/>
              <w:left w:val="dashed" w:sz="4" w:space="0" w:color="auto"/>
              <w:right w:val="nil"/>
            </w:tcBorders>
            <w:shd w:val="clear" w:color="auto" w:fill="auto"/>
            <w:noWrap/>
            <w:vAlign w:val="bottom"/>
            <w:hideMark/>
          </w:tcPr>
          <w:p w:rsidR="008D3140" w:rsidRPr="007232EB" w:rsidRDefault="008D3140" w:rsidP="007E1F20">
            <w:pPr>
              <w:spacing w:after="0" w:line="240" w:lineRule="auto"/>
              <w:jc w:val="right"/>
              <w:rPr>
                <w:rFonts w:eastAsia="Times New Roman" w:cs="Times New Roman"/>
                <w:color w:val="000000"/>
              </w:rPr>
            </w:pPr>
          </w:p>
        </w:tc>
        <w:tc>
          <w:tcPr>
            <w:tcW w:w="0" w:type="auto"/>
            <w:tcBorders>
              <w:top w:val="single" w:sz="4" w:space="0" w:color="auto"/>
              <w:left w:val="nil"/>
              <w:right w:val="nil"/>
            </w:tcBorders>
            <w:shd w:val="clear" w:color="auto" w:fill="auto"/>
            <w:noWrap/>
            <w:vAlign w:val="bottom"/>
            <w:hideMark/>
          </w:tcPr>
          <w:p w:rsidR="008D3140" w:rsidRPr="007232EB" w:rsidRDefault="008D3140" w:rsidP="007E1F20">
            <w:pPr>
              <w:spacing w:after="0" w:line="240" w:lineRule="auto"/>
              <w:jc w:val="right"/>
              <w:rPr>
                <w:rFonts w:eastAsia="Times New Roman" w:cs="Times New Roman"/>
                <w:color w:val="000000"/>
              </w:rPr>
            </w:pPr>
          </w:p>
        </w:tc>
      </w:tr>
      <w:tr w:rsidR="00CD3C4B" w:rsidRPr="009E4114" w:rsidTr="007E1F20">
        <w:trPr>
          <w:trHeight w:val="300"/>
        </w:trPr>
        <w:tc>
          <w:tcPr>
            <w:tcW w:w="0" w:type="auto"/>
            <w:tcBorders>
              <w:left w:val="nil"/>
              <w:right w:val="nil"/>
            </w:tcBorders>
            <w:shd w:val="clear" w:color="auto" w:fill="auto"/>
            <w:noWrap/>
            <w:vAlign w:val="bottom"/>
            <w:hideMark/>
          </w:tcPr>
          <w:p w:rsidR="008D3140" w:rsidRPr="00133B57" w:rsidRDefault="008D3140" w:rsidP="007E1F20">
            <w:pPr>
              <w:spacing w:after="0" w:line="240" w:lineRule="auto"/>
              <w:rPr>
                <w:rFonts w:eastAsia="Times New Roman" w:cs="Times New Roman"/>
                <w:b/>
                <w:color w:val="000000"/>
              </w:rPr>
            </w:pPr>
            <w:r w:rsidRPr="00133B57">
              <w:rPr>
                <w:rFonts w:eastAsia="Times New Roman" w:cs="Times New Roman"/>
                <w:b/>
                <w:color w:val="000000"/>
              </w:rPr>
              <w:t>Classical model</w:t>
            </w:r>
          </w:p>
        </w:tc>
        <w:tc>
          <w:tcPr>
            <w:tcW w:w="0" w:type="auto"/>
            <w:tcBorders>
              <w:left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left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left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left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left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left w:val="nil"/>
              <w:right w:val="dashed" w:sz="4" w:space="0" w:color="auto"/>
            </w:tcBorders>
          </w:tcPr>
          <w:p w:rsidR="008D3140" w:rsidRPr="000F2FCE" w:rsidRDefault="008D3140" w:rsidP="007E1F20">
            <w:pPr>
              <w:spacing w:after="0" w:line="240" w:lineRule="auto"/>
              <w:jc w:val="center"/>
              <w:rPr>
                <w:b/>
              </w:rPr>
            </w:pPr>
          </w:p>
        </w:tc>
        <w:tc>
          <w:tcPr>
            <w:tcW w:w="0" w:type="auto"/>
            <w:tcBorders>
              <w:left w:val="dashed" w:sz="4" w:space="0" w:color="auto"/>
              <w:right w:val="nil"/>
            </w:tcBorders>
            <w:shd w:val="clear" w:color="auto" w:fill="auto"/>
            <w:noWrap/>
            <w:vAlign w:val="bottom"/>
            <w:hideMark/>
          </w:tcPr>
          <w:p w:rsidR="008D3140" w:rsidRPr="00CD1AAE" w:rsidRDefault="008D3140" w:rsidP="007E1F20">
            <w:pPr>
              <w:spacing w:after="0" w:line="240" w:lineRule="auto"/>
              <w:jc w:val="center"/>
              <w:rPr>
                <w:rFonts w:eastAsia="Times New Roman" w:cs="Times New Roman"/>
                <w:b/>
                <w:color w:val="000000"/>
              </w:rPr>
            </w:pPr>
          </w:p>
        </w:tc>
        <w:tc>
          <w:tcPr>
            <w:tcW w:w="0" w:type="auto"/>
            <w:tcBorders>
              <w:left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r>
      <w:tr w:rsidR="00CD3C4B" w:rsidRPr="009E4114" w:rsidTr="007E1F20">
        <w:trPr>
          <w:trHeight w:val="300"/>
        </w:trPr>
        <w:tc>
          <w:tcPr>
            <w:tcW w:w="0" w:type="auto"/>
            <w:tcBorders>
              <w:left w:val="nil"/>
              <w:right w:val="nil"/>
            </w:tcBorders>
            <w:shd w:val="clear" w:color="auto" w:fill="auto"/>
            <w:noWrap/>
            <w:vAlign w:val="bottom"/>
            <w:hideMark/>
          </w:tcPr>
          <w:p w:rsidR="00A9155C" w:rsidRPr="007232EB" w:rsidRDefault="00A9155C" w:rsidP="007E1F20">
            <w:pPr>
              <w:spacing w:after="0" w:line="240" w:lineRule="auto"/>
              <w:rPr>
                <w:rFonts w:eastAsia="Times New Roman" w:cs="Times New Roman"/>
                <w:color w:val="000000"/>
              </w:rPr>
            </w:pPr>
            <w:r w:rsidRPr="007232EB">
              <w:rPr>
                <w:rFonts w:eastAsia="Times New Roman" w:cs="Times New Roman"/>
                <w:color w:val="000000"/>
              </w:rPr>
              <w:t xml:space="preserve">University </w:t>
            </w:r>
            <w:r w:rsidR="002E1D64">
              <w:rPr>
                <w:rFonts w:eastAsia="Times New Roman" w:cs="Times New Roman"/>
                <w:color w:val="000000"/>
              </w:rPr>
              <w:t>requirement</w:t>
            </w:r>
            <w:r w:rsidRPr="007232EB">
              <w:rPr>
                <w:rFonts w:eastAsia="Times New Roman" w:cs="Times New Roman"/>
                <w:color w:val="000000"/>
              </w:rPr>
              <w:t xml:space="preserve"> ($m)</w:t>
            </w:r>
            <w:r w:rsidR="008A6EB7">
              <w:rPr>
                <w:rFonts w:eastAsia="Times New Roman" w:cs="Times New Roman"/>
                <w:color w:val="000000"/>
              </w:rPr>
              <w:t xml:space="preserve"> </w:t>
            </w:r>
            <w:r w:rsidR="008A6EB7" w:rsidRPr="008A6EB7">
              <w:rPr>
                <w:rFonts w:eastAsia="Times New Roman" w:cs="Times New Roman"/>
                <w:color w:val="000000"/>
                <w:vertAlign w:val="superscript"/>
              </w:rPr>
              <w:t>c</w:t>
            </w:r>
          </w:p>
        </w:tc>
        <w:tc>
          <w:tcPr>
            <w:tcW w:w="0" w:type="auto"/>
            <w:tcBorders>
              <w:left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2.9</w:t>
            </w:r>
            <w:r w:rsidR="001521F0">
              <w:rPr>
                <w:rFonts w:eastAsia="Times New Roman" w:cs="Times New Roman"/>
                <w:color w:val="000000"/>
              </w:rPr>
              <w:t>1</w:t>
            </w:r>
          </w:p>
        </w:tc>
        <w:tc>
          <w:tcPr>
            <w:tcW w:w="0" w:type="auto"/>
            <w:tcBorders>
              <w:left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5.</w:t>
            </w:r>
            <w:r w:rsidR="001521F0">
              <w:rPr>
                <w:rFonts w:eastAsia="Times New Roman" w:cs="Times New Roman"/>
                <w:color w:val="000000"/>
              </w:rPr>
              <w:t>12</w:t>
            </w:r>
          </w:p>
        </w:tc>
        <w:tc>
          <w:tcPr>
            <w:tcW w:w="0" w:type="auto"/>
            <w:tcBorders>
              <w:left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2.11</w:t>
            </w:r>
          </w:p>
        </w:tc>
        <w:tc>
          <w:tcPr>
            <w:tcW w:w="0" w:type="auto"/>
            <w:tcBorders>
              <w:left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0.91</w:t>
            </w:r>
          </w:p>
        </w:tc>
        <w:tc>
          <w:tcPr>
            <w:tcW w:w="0" w:type="auto"/>
            <w:tcBorders>
              <w:left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3.78</w:t>
            </w:r>
          </w:p>
        </w:tc>
        <w:tc>
          <w:tcPr>
            <w:tcW w:w="0" w:type="auto"/>
            <w:tcBorders>
              <w:left w:val="nil"/>
              <w:right w:val="dashed" w:sz="4" w:space="0" w:color="auto"/>
            </w:tcBorders>
          </w:tcPr>
          <w:p w:rsidR="00A9155C" w:rsidRPr="00A9155C" w:rsidRDefault="00A9155C" w:rsidP="00A9155C">
            <w:pPr>
              <w:spacing w:after="0" w:line="240" w:lineRule="auto"/>
              <w:jc w:val="center"/>
              <w:rPr>
                <w:rFonts w:eastAsia="Times New Roman" w:cs="Times New Roman"/>
                <w:color w:val="000000"/>
              </w:rPr>
            </w:pPr>
          </w:p>
        </w:tc>
        <w:tc>
          <w:tcPr>
            <w:tcW w:w="0" w:type="auto"/>
            <w:tcBorders>
              <w:left w:val="dashed" w:sz="4" w:space="0" w:color="auto"/>
              <w:right w:val="nil"/>
            </w:tcBorders>
            <w:shd w:val="clear" w:color="auto" w:fill="auto"/>
            <w:noWrap/>
            <w:hideMark/>
          </w:tcPr>
          <w:p w:rsidR="00A9155C" w:rsidRPr="00A9155C" w:rsidRDefault="00A9155C" w:rsidP="00A9155C">
            <w:pPr>
              <w:spacing w:after="0" w:line="240" w:lineRule="auto"/>
              <w:jc w:val="center"/>
              <w:rPr>
                <w:rFonts w:eastAsia="Times New Roman" w:cs="Times New Roman"/>
                <w:b/>
                <w:color w:val="000000"/>
              </w:rPr>
            </w:pPr>
            <w:r w:rsidRPr="008A6EB7">
              <w:rPr>
                <w:rFonts w:eastAsia="Times New Roman" w:cs="Times New Roman"/>
                <w:color w:val="000000"/>
              </w:rPr>
              <w:t>11.81</w:t>
            </w:r>
          </w:p>
        </w:tc>
        <w:tc>
          <w:tcPr>
            <w:tcW w:w="0" w:type="auto"/>
            <w:tcBorders>
              <w:left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3.02</w:t>
            </w:r>
          </w:p>
        </w:tc>
      </w:tr>
      <w:tr w:rsidR="00CD3C4B" w:rsidRPr="008A6EB7" w:rsidTr="007E1F20">
        <w:trPr>
          <w:trHeight w:val="300"/>
        </w:trPr>
        <w:tc>
          <w:tcPr>
            <w:tcW w:w="0" w:type="auto"/>
            <w:tcBorders>
              <w:left w:val="nil"/>
              <w:bottom w:val="nil"/>
              <w:right w:val="nil"/>
            </w:tcBorders>
            <w:shd w:val="clear" w:color="auto" w:fill="auto"/>
            <w:noWrap/>
            <w:vAlign w:val="bottom"/>
            <w:hideMark/>
          </w:tcPr>
          <w:p w:rsidR="00A9155C" w:rsidRPr="008A6EB7" w:rsidRDefault="00A9155C" w:rsidP="007E1F20">
            <w:pPr>
              <w:spacing w:after="0" w:line="240" w:lineRule="auto"/>
              <w:rPr>
                <w:rFonts w:eastAsia="Times New Roman" w:cs="Times New Roman"/>
                <w:color w:val="000000"/>
              </w:rPr>
            </w:pPr>
            <w:r w:rsidRPr="008A6EB7">
              <w:rPr>
                <w:rFonts w:eastAsia="Times New Roman" w:cs="Times New Roman"/>
                <w:color w:val="000000"/>
              </w:rPr>
              <w:t xml:space="preserve">Economy </w:t>
            </w:r>
            <w:r w:rsidR="002E1D64" w:rsidRPr="008A6EB7">
              <w:rPr>
                <w:rFonts w:eastAsia="Times New Roman" w:cs="Times New Roman"/>
                <w:color w:val="000000"/>
              </w:rPr>
              <w:t>requirement</w:t>
            </w:r>
            <w:r w:rsidRPr="008A6EB7">
              <w:rPr>
                <w:rFonts w:eastAsia="Times New Roman" w:cs="Times New Roman"/>
                <w:color w:val="000000"/>
              </w:rPr>
              <w:t xml:space="preserve"> ($m)</w:t>
            </w:r>
            <w:r w:rsidR="008A6EB7" w:rsidRPr="008A6EB7">
              <w:rPr>
                <w:rFonts w:eastAsia="Times New Roman" w:cs="Times New Roman"/>
                <w:color w:val="000000"/>
              </w:rPr>
              <w:t xml:space="preserve"> </w:t>
            </w:r>
            <w:r w:rsidR="008A6EB7" w:rsidRPr="008A6EB7">
              <w:rPr>
                <w:rFonts w:eastAsia="Times New Roman" w:cs="Times New Roman"/>
                <w:color w:val="000000"/>
                <w:vertAlign w:val="superscript"/>
              </w:rPr>
              <w:t>d</w:t>
            </w:r>
          </w:p>
        </w:tc>
        <w:tc>
          <w:tcPr>
            <w:tcW w:w="0" w:type="auto"/>
            <w:tcBorders>
              <w:left w:val="nil"/>
              <w:bottom w:val="nil"/>
              <w:right w:val="nil"/>
            </w:tcBorders>
            <w:shd w:val="clear" w:color="auto" w:fill="auto"/>
            <w:noWrap/>
            <w:hideMark/>
          </w:tcPr>
          <w:p w:rsidR="00A9155C" w:rsidRPr="008A6EB7" w:rsidRDefault="00A9155C" w:rsidP="00A9155C">
            <w:pPr>
              <w:spacing w:after="0" w:line="240" w:lineRule="auto"/>
              <w:jc w:val="center"/>
              <w:rPr>
                <w:rFonts w:eastAsia="Times New Roman" w:cs="Times New Roman"/>
                <w:color w:val="000000"/>
              </w:rPr>
            </w:pPr>
            <w:r w:rsidRPr="008A6EB7">
              <w:rPr>
                <w:rFonts w:eastAsia="Times New Roman" w:cs="Times New Roman"/>
                <w:color w:val="000000"/>
              </w:rPr>
              <w:t>0.27</w:t>
            </w:r>
          </w:p>
        </w:tc>
        <w:tc>
          <w:tcPr>
            <w:tcW w:w="0" w:type="auto"/>
            <w:tcBorders>
              <w:left w:val="nil"/>
              <w:bottom w:val="nil"/>
              <w:right w:val="nil"/>
            </w:tcBorders>
            <w:shd w:val="clear" w:color="auto" w:fill="auto"/>
            <w:noWrap/>
            <w:hideMark/>
          </w:tcPr>
          <w:p w:rsidR="00A9155C" w:rsidRPr="008A6EB7" w:rsidRDefault="00A9155C" w:rsidP="00A9155C">
            <w:pPr>
              <w:spacing w:after="0" w:line="240" w:lineRule="auto"/>
              <w:jc w:val="center"/>
              <w:rPr>
                <w:rFonts w:eastAsia="Times New Roman" w:cs="Times New Roman"/>
                <w:color w:val="000000"/>
              </w:rPr>
            </w:pPr>
            <w:r w:rsidRPr="008A6EB7">
              <w:rPr>
                <w:rFonts w:eastAsia="Times New Roman" w:cs="Times New Roman"/>
                <w:color w:val="000000"/>
              </w:rPr>
              <w:t>0.15</w:t>
            </w:r>
          </w:p>
        </w:tc>
        <w:tc>
          <w:tcPr>
            <w:tcW w:w="0" w:type="auto"/>
            <w:tcBorders>
              <w:left w:val="nil"/>
              <w:bottom w:val="nil"/>
              <w:right w:val="nil"/>
            </w:tcBorders>
            <w:shd w:val="clear" w:color="auto" w:fill="auto"/>
            <w:noWrap/>
            <w:hideMark/>
          </w:tcPr>
          <w:p w:rsidR="00A9155C" w:rsidRPr="008A6EB7" w:rsidRDefault="00A9155C" w:rsidP="00A9155C">
            <w:pPr>
              <w:spacing w:after="0" w:line="240" w:lineRule="auto"/>
              <w:jc w:val="center"/>
              <w:rPr>
                <w:rFonts w:eastAsia="Times New Roman" w:cs="Times New Roman"/>
                <w:color w:val="000000"/>
              </w:rPr>
            </w:pPr>
            <w:r w:rsidRPr="008A6EB7">
              <w:rPr>
                <w:rFonts w:eastAsia="Times New Roman" w:cs="Times New Roman"/>
                <w:color w:val="000000"/>
              </w:rPr>
              <w:t>0.15</w:t>
            </w:r>
          </w:p>
        </w:tc>
        <w:tc>
          <w:tcPr>
            <w:tcW w:w="0" w:type="auto"/>
            <w:tcBorders>
              <w:left w:val="nil"/>
              <w:bottom w:val="nil"/>
              <w:right w:val="nil"/>
            </w:tcBorders>
            <w:shd w:val="clear" w:color="auto" w:fill="auto"/>
            <w:noWrap/>
            <w:hideMark/>
          </w:tcPr>
          <w:p w:rsidR="00A9155C" w:rsidRPr="008A6EB7" w:rsidRDefault="00A9155C" w:rsidP="00A9155C">
            <w:pPr>
              <w:spacing w:after="0" w:line="240" w:lineRule="auto"/>
              <w:jc w:val="center"/>
              <w:rPr>
                <w:rFonts w:eastAsia="Times New Roman" w:cs="Times New Roman"/>
                <w:color w:val="000000"/>
              </w:rPr>
            </w:pPr>
            <w:r w:rsidRPr="008A6EB7">
              <w:rPr>
                <w:rFonts w:eastAsia="Times New Roman" w:cs="Times New Roman"/>
                <w:color w:val="000000"/>
              </w:rPr>
              <w:t>0.01</w:t>
            </w:r>
          </w:p>
        </w:tc>
        <w:tc>
          <w:tcPr>
            <w:tcW w:w="0" w:type="auto"/>
            <w:tcBorders>
              <w:left w:val="nil"/>
              <w:bottom w:val="nil"/>
              <w:right w:val="nil"/>
            </w:tcBorders>
            <w:shd w:val="clear" w:color="auto" w:fill="auto"/>
            <w:noWrap/>
            <w:hideMark/>
          </w:tcPr>
          <w:p w:rsidR="00A9155C" w:rsidRPr="008A6EB7" w:rsidRDefault="00A9155C" w:rsidP="00A9155C">
            <w:pPr>
              <w:spacing w:after="0" w:line="240" w:lineRule="auto"/>
              <w:jc w:val="center"/>
              <w:rPr>
                <w:rFonts w:eastAsia="Times New Roman" w:cs="Times New Roman"/>
                <w:color w:val="000000"/>
              </w:rPr>
            </w:pPr>
            <w:r w:rsidRPr="008A6EB7">
              <w:rPr>
                <w:rFonts w:eastAsia="Times New Roman" w:cs="Times New Roman"/>
                <w:color w:val="000000"/>
              </w:rPr>
              <w:t>0.01</w:t>
            </w:r>
          </w:p>
        </w:tc>
        <w:tc>
          <w:tcPr>
            <w:tcW w:w="0" w:type="auto"/>
            <w:tcBorders>
              <w:left w:val="nil"/>
              <w:bottom w:val="nil"/>
              <w:right w:val="dashed" w:sz="4" w:space="0" w:color="auto"/>
            </w:tcBorders>
          </w:tcPr>
          <w:p w:rsidR="00A9155C" w:rsidRPr="008A6EB7" w:rsidRDefault="00A9155C" w:rsidP="00A9155C">
            <w:pPr>
              <w:spacing w:after="0" w:line="240" w:lineRule="auto"/>
              <w:jc w:val="center"/>
              <w:rPr>
                <w:rFonts w:eastAsia="Times New Roman" w:cs="Times New Roman"/>
                <w:color w:val="000000"/>
              </w:rPr>
            </w:pPr>
          </w:p>
        </w:tc>
        <w:tc>
          <w:tcPr>
            <w:tcW w:w="0" w:type="auto"/>
            <w:tcBorders>
              <w:left w:val="dashed" w:sz="4" w:space="0" w:color="auto"/>
              <w:bottom w:val="nil"/>
              <w:right w:val="nil"/>
            </w:tcBorders>
            <w:shd w:val="clear" w:color="auto" w:fill="auto"/>
            <w:noWrap/>
            <w:hideMark/>
          </w:tcPr>
          <w:p w:rsidR="00A9155C" w:rsidRPr="008A6EB7" w:rsidRDefault="00A9155C" w:rsidP="00A9155C">
            <w:pPr>
              <w:spacing w:after="0" w:line="240" w:lineRule="auto"/>
              <w:jc w:val="center"/>
              <w:rPr>
                <w:rFonts w:eastAsia="Times New Roman" w:cs="Times New Roman"/>
                <w:b/>
                <w:color w:val="000000"/>
              </w:rPr>
            </w:pPr>
            <w:r w:rsidRPr="008A6EB7">
              <w:rPr>
                <w:rFonts w:eastAsia="Times New Roman" w:cs="Times New Roman"/>
                <w:b/>
                <w:color w:val="000000"/>
              </w:rPr>
              <w:t>0.44</w:t>
            </w:r>
          </w:p>
        </w:tc>
        <w:tc>
          <w:tcPr>
            <w:tcW w:w="0" w:type="auto"/>
            <w:tcBorders>
              <w:left w:val="nil"/>
              <w:bottom w:val="nil"/>
              <w:right w:val="nil"/>
            </w:tcBorders>
            <w:shd w:val="clear" w:color="auto" w:fill="auto"/>
            <w:noWrap/>
            <w:hideMark/>
          </w:tcPr>
          <w:p w:rsidR="00A9155C" w:rsidRPr="008A6EB7" w:rsidRDefault="00A9155C" w:rsidP="00A9155C">
            <w:pPr>
              <w:spacing w:after="0" w:line="240" w:lineRule="auto"/>
              <w:jc w:val="center"/>
              <w:rPr>
                <w:rFonts w:eastAsia="Times New Roman" w:cs="Times New Roman"/>
                <w:b/>
                <w:color w:val="000000"/>
              </w:rPr>
            </w:pPr>
            <w:r w:rsidRPr="008A6EB7">
              <w:rPr>
                <w:rFonts w:eastAsia="Times New Roman" w:cs="Times New Roman"/>
                <w:b/>
                <w:color w:val="000000"/>
              </w:rPr>
              <w:t>0.15</w:t>
            </w:r>
          </w:p>
        </w:tc>
      </w:tr>
      <w:tr w:rsidR="00CD3C4B" w:rsidRPr="009E4114" w:rsidTr="007E1F20">
        <w:trPr>
          <w:trHeight w:val="300"/>
        </w:trPr>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tcPr>
          <w:p w:rsidR="008D3140" w:rsidRPr="00A9155C" w:rsidRDefault="008D3140" w:rsidP="007E1F20">
            <w:pPr>
              <w:spacing w:after="0" w:line="240" w:lineRule="auto"/>
              <w:jc w:val="center"/>
              <w:rPr>
                <w:rFonts w:eastAsia="Times New Roman" w:cs="Times New Roman"/>
                <w:color w:val="000000"/>
              </w:rPr>
            </w:pPr>
          </w:p>
        </w:tc>
        <w:tc>
          <w:tcPr>
            <w:tcW w:w="0" w:type="auto"/>
            <w:tcBorders>
              <w:top w:val="nil"/>
              <w:left w:val="dashed" w:sz="4" w:space="0" w:color="auto"/>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r>
      <w:tr w:rsidR="00CD3C4B" w:rsidRPr="009E4114" w:rsidTr="007E1F20">
        <w:trPr>
          <w:trHeight w:val="300"/>
        </w:trPr>
        <w:tc>
          <w:tcPr>
            <w:tcW w:w="0" w:type="auto"/>
            <w:tcBorders>
              <w:top w:val="nil"/>
              <w:left w:val="nil"/>
              <w:bottom w:val="nil"/>
              <w:right w:val="nil"/>
            </w:tcBorders>
            <w:shd w:val="clear" w:color="auto" w:fill="auto"/>
            <w:noWrap/>
            <w:vAlign w:val="bottom"/>
            <w:hideMark/>
          </w:tcPr>
          <w:p w:rsidR="00A9155C" w:rsidRPr="007232EB" w:rsidRDefault="00A9155C" w:rsidP="007E1F20">
            <w:pPr>
              <w:spacing w:after="0" w:line="240" w:lineRule="auto"/>
              <w:rPr>
                <w:rFonts w:eastAsia="Times New Roman" w:cs="Times New Roman"/>
                <w:color w:val="000000"/>
              </w:rPr>
            </w:pPr>
            <w:r w:rsidRPr="007232EB">
              <w:rPr>
                <w:rFonts w:eastAsia="Times New Roman" w:cs="Times New Roman"/>
                <w:color w:val="000000"/>
              </w:rPr>
              <w:t xml:space="preserve">University </w:t>
            </w:r>
            <w:r w:rsidR="002E1D64">
              <w:rPr>
                <w:rFonts w:eastAsia="Times New Roman" w:cs="Times New Roman"/>
                <w:color w:val="000000"/>
              </w:rPr>
              <w:t>requirement</w:t>
            </w:r>
            <w:r w:rsidRPr="007232EB">
              <w:rPr>
                <w:rFonts w:eastAsia="Times New Roman" w:cs="Times New Roman"/>
                <w:color w:val="000000"/>
              </w:rPr>
              <w:t xml:space="preserve"> (¢/$)</w:t>
            </w:r>
            <w:r w:rsidR="008A6EB7">
              <w:rPr>
                <w:rFonts w:eastAsia="Times New Roman" w:cs="Times New Roman"/>
                <w:color w:val="000000"/>
              </w:rPr>
              <w:t xml:space="preserve"> </w:t>
            </w:r>
            <w:r w:rsidR="008A6EB7" w:rsidRPr="008A6EB7">
              <w:rPr>
                <w:rFonts w:eastAsia="Times New Roman" w:cs="Times New Roman"/>
                <w:color w:val="000000"/>
                <w:vertAlign w:val="superscript"/>
              </w:rPr>
              <w:t>c</w:t>
            </w:r>
          </w:p>
        </w:tc>
        <w:tc>
          <w:tcPr>
            <w:tcW w:w="0" w:type="auto"/>
            <w:tcBorders>
              <w:top w:val="nil"/>
              <w:left w:val="nil"/>
              <w:bottom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19</w:t>
            </w:r>
          </w:p>
        </w:tc>
        <w:tc>
          <w:tcPr>
            <w:tcW w:w="0" w:type="auto"/>
            <w:tcBorders>
              <w:top w:val="nil"/>
              <w:left w:val="nil"/>
              <w:bottom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33</w:t>
            </w:r>
          </w:p>
        </w:tc>
        <w:tc>
          <w:tcPr>
            <w:tcW w:w="0" w:type="auto"/>
            <w:tcBorders>
              <w:top w:val="nil"/>
              <w:left w:val="nil"/>
              <w:bottom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14</w:t>
            </w:r>
          </w:p>
        </w:tc>
        <w:tc>
          <w:tcPr>
            <w:tcW w:w="0" w:type="auto"/>
            <w:tcBorders>
              <w:top w:val="nil"/>
              <w:left w:val="nil"/>
              <w:bottom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6</w:t>
            </w:r>
          </w:p>
        </w:tc>
        <w:tc>
          <w:tcPr>
            <w:tcW w:w="0" w:type="auto"/>
            <w:tcBorders>
              <w:top w:val="nil"/>
              <w:left w:val="nil"/>
              <w:bottom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24</w:t>
            </w:r>
          </w:p>
        </w:tc>
        <w:tc>
          <w:tcPr>
            <w:tcW w:w="0" w:type="auto"/>
            <w:tcBorders>
              <w:top w:val="nil"/>
              <w:left w:val="nil"/>
              <w:bottom w:val="nil"/>
              <w:right w:val="dashed" w:sz="4" w:space="0" w:color="auto"/>
            </w:tcBorders>
          </w:tcPr>
          <w:p w:rsidR="00A9155C" w:rsidRPr="00A9155C" w:rsidRDefault="00A9155C" w:rsidP="00A9155C">
            <w:pPr>
              <w:spacing w:after="0" w:line="240" w:lineRule="auto"/>
              <w:jc w:val="center"/>
              <w:rPr>
                <w:rFonts w:eastAsia="Times New Roman" w:cs="Times New Roman"/>
                <w:color w:val="000000"/>
              </w:rPr>
            </w:pPr>
          </w:p>
        </w:tc>
        <w:tc>
          <w:tcPr>
            <w:tcW w:w="0" w:type="auto"/>
            <w:tcBorders>
              <w:top w:val="nil"/>
              <w:left w:val="dashed" w:sz="4" w:space="0" w:color="auto"/>
              <w:bottom w:val="nil"/>
              <w:right w:val="nil"/>
            </w:tcBorders>
            <w:shd w:val="clear" w:color="auto" w:fill="auto"/>
            <w:noWrap/>
            <w:hideMark/>
          </w:tcPr>
          <w:p w:rsidR="00A9155C" w:rsidRPr="008A6EB7" w:rsidRDefault="00A9155C" w:rsidP="00A9155C">
            <w:pPr>
              <w:spacing w:after="0" w:line="240" w:lineRule="auto"/>
              <w:jc w:val="center"/>
              <w:rPr>
                <w:rFonts w:eastAsia="Times New Roman" w:cs="Times New Roman"/>
                <w:color w:val="000000"/>
              </w:rPr>
            </w:pPr>
            <w:r w:rsidRPr="008A6EB7">
              <w:rPr>
                <w:rFonts w:eastAsia="Times New Roman" w:cs="Times New Roman"/>
                <w:color w:val="000000"/>
              </w:rPr>
              <w:t>76</w:t>
            </w:r>
          </w:p>
        </w:tc>
        <w:tc>
          <w:tcPr>
            <w:tcW w:w="0" w:type="auto"/>
            <w:tcBorders>
              <w:top w:val="nil"/>
              <w:left w:val="nil"/>
              <w:bottom w:val="nil"/>
              <w:right w:val="nil"/>
            </w:tcBorders>
            <w:shd w:val="clear" w:color="auto" w:fill="auto"/>
            <w:noWrap/>
            <w:hideMark/>
          </w:tcPr>
          <w:p w:rsidR="00A9155C" w:rsidRPr="00A9155C" w:rsidRDefault="00A9155C" w:rsidP="00A9155C">
            <w:pPr>
              <w:spacing w:after="0" w:line="240" w:lineRule="auto"/>
              <w:jc w:val="center"/>
              <w:rPr>
                <w:rFonts w:eastAsia="Times New Roman" w:cs="Times New Roman"/>
                <w:color w:val="000000"/>
              </w:rPr>
            </w:pPr>
            <w:r w:rsidRPr="00A9155C">
              <w:rPr>
                <w:rFonts w:eastAsia="Times New Roman" w:cs="Times New Roman"/>
                <w:color w:val="000000"/>
              </w:rPr>
              <w:t>19</w:t>
            </w:r>
          </w:p>
        </w:tc>
      </w:tr>
      <w:tr w:rsidR="00CD3C4B" w:rsidRPr="009E4114" w:rsidTr="007E1F20">
        <w:trPr>
          <w:trHeight w:val="300"/>
        </w:trPr>
        <w:tc>
          <w:tcPr>
            <w:tcW w:w="0" w:type="auto"/>
            <w:tcBorders>
              <w:top w:val="nil"/>
              <w:left w:val="nil"/>
              <w:bottom w:val="nil"/>
              <w:right w:val="nil"/>
            </w:tcBorders>
            <w:shd w:val="clear" w:color="auto" w:fill="auto"/>
            <w:noWrap/>
            <w:vAlign w:val="bottom"/>
            <w:hideMark/>
          </w:tcPr>
          <w:p w:rsidR="00A9155C" w:rsidRPr="007232EB" w:rsidRDefault="00A9155C" w:rsidP="007E1F20">
            <w:pPr>
              <w:spacing w:after="0" w:line="240" w:lineRule="auto"/>
              <w:rPr>
                <w:rFonts w:eastAsia="Times New Roman" w:cs="Times New Roman"/>
                <w:color w:val="000000"/>
              </w:rPr>
            </w:pPr>
            <w:r w:rsidRPr="007232EB">
              <w:rPr>
                <w:rFonts w:eastAsia="Times New Roman" w:cs="Times New Roman"/>
                <w:color w:val="000000"/>
              </w:rPr>
              <w:t xml:space="preserve">Economy </w:t>
            </w:r>
            <w:r w:rsidR="002E1D64">
              <w:rPr>
                <w:rFonts w:eastAsia="Times New Roman" w:cs="Times New Roman"/>
                <w:color w:val="000000"/>
              </w:rPr>
              <w:t>requirement</w:t>
            </w:r>
            <w:r w:rsidRPr="007232EB">
              <w:rPr>
                <w:rFonts w:eastAsia="Times New Roman" w:cs="Times New Roman"/>
                <w:color w:val="000000"/>
              </w:rPr>
              <w:t xml:space="preserve"> (¢/$)</w:t>
            </w:r>
            <w:r w:rsidR="008A6EB7">
              <w:rPr>
                <w:rFonts w:eastAsia="Times New Roman" w:cs="Times New Roman"/>
                <w:color w:val="000000"/>
              </w:rPr>
              <w:t xml:space="preserve"> </w:t>
            </w:r>
            <w:r w:rsidR="008A6EB7" w:rsidRPr="008A6EB7">
              <w:rPr>
                <w:rFonts w:eastAsia="Times New Roman" w:cs="Times New Roman"/>
                <w:color w:val="000000"/>
                <w:vertAlign w:val="superscript"/>
              </w:rPr>
              <w:t>d</w:t>
            </w:r>
          </w:p>
        </w:tc>
        <w:tc>
          <w:tcPr>
            <w:tcW w:w="0" w:type="auto"/>
            <w:tcBorders>
              <w:top w:val="nil"/>
              <w:left w:val="nil"/>
              <w:bottom w:val="nil"/>
              <w:right w:val="nil"/>
            </w:tcBorders>
            <w:shd w:val="clear" w:color="auto" w:fill="auto"/>
            <w:noWrap/>
            <w:hideMark/>
          </w:tcPr>
          <w:p w:rsidR="00A9155C" w:rsidRPr="00CD3C4B" w:rsidRDefault="00A9155C" w:rsidP="00A9155C">
            <w:pPr>
              <w:spacing w:after="0" w:line="240" w:lineRule="auto"/>
              <w:jc w:val="center"/>
              <w:rPr>
                <w:rFonts w:eastAsia="Times New Roman" w:cs="Times New Roman"/>
                <w:color w:val="000000"/>
              </w:rPr>
            </w:pPr>
            <w:r w:rsidRPr="00CD3C4B">
              <w:rPr>
                <w:rFonts w:eastAsia="Times New Roman" w:cs="Times New Roman"/>
                <w:color w:val="000000"/>
              </w:rPr>
              <w:t>2</w:t>
            </w:r>
          </w:p>
        </w:tc>
        <w:tc>
          <w:tcPr>
            <w:tcW w:w="0" w:type="auto"/>
            <w:tcBorders>
              <w:top w:val="nil"/>
              <w:left w:val="nil"/>
              <w:bottom w:val="nil"/>
              <w:right w:val="nil"/>
            </w:tcBorders>
            <w:shd w:val="clear" w:color="auto" w:fill="auto"/>
            <w:noWrap/>
            <w:hideMark/>
          </w:tcPr>
          <w:p w:rsidR="00A9155C" w:rsidRPr="00CD3C4B" w:rsidRDefault="00A9155C" w:rsidP="00A9155C">
            <w:pPr>
              <w:spacing w:after="0" w:line="240" w:lineRule="auto"/>
              <w:jc w:val="center"/>
              <w:rPr>
                <w:rFonts w:eastAsia="Times New Roman" w:cs="Times New Roman"/>
                <w:color w:val="000000"/>
              </w:rPr>
            </w:pPr>
            <w:r w:rsidRPr="00CD3C4B">
              <w:rPr>
                <w:rFonts w:eastAsia="Times New Roman" w:cs="Times New Roman"/>
                <w:color w:val="000000"/>
              </w:rPr>
              <w:t>1</w:t>
            </w:r>
          </w:p>
        </w:tc>
        <w:tc>
          <w:tcPr>
            <w:tcW w:w="0" w:type="auto"/>
            <w:tcBorders>
              <w:top w:val="nil"/>
              <w:left w:val="nil"/>
              <w:bottom w:val="nil"/>
              <w:right w:val="nil"/>
            </w:tcBorders>
            <w:shd w:val="clear" w:color="auto" w:fill="auto"/>
            <w:noWrap/>
            <w:hideMark/>
          </w:tcPr>
          <w:p w:rsidR="00A9155C" w:rsidRPr="00CD3C4B" w:rsidRDefault="00A9155C" w:rsidP="00A9155C">
            <w:pPr>
              <w:spacing w:after="0" w:line="240" w:lineRule="auto"/>
              <w:jc w:val="center"/>
              <w:rPr>
                <w:rFonts w:eastAsia="Times New Roman" w:cs="Times New Roman"/>
                <w:color w:val="000000"/>
              </w:rPr>
            </w:pPr>
            <w:r w:rsidRPr="00CD3C4B">
              <w:rPr>
                <w:rFonts w:eastAsia="Times New Roman" w:cs="Times New Roman"/>
                <w:color w:val="000000"/>
              </w:rPr>
              <w:t>1</w:t>
            </w:r>
          </w:p>
        </w:tc>
        <w:tc>
          <w:tcPr>
            <w:tcW w:w="0" w:type="auto"/>
            <w:tcBorders>
              <w:top w:val="nil"/>
              <w:left w:val="nil"/>
              <w:bottom w:val="nil"/>
              <w:right w:val="nil"/>
            </w:tcBorders>
            <w:shd w:val="clear" w:color="auto" w:fill="auto"/>
            <w:noWrap/>
            <w:hideMark/>
          </w:tcPr>
          <w:p w:rsidR="00A9155C" w:rsidRPr="00CD3C4B" w:rsidRDefault="00A9155C" w:rsidP="00A9155C">
            <w:pPr>
              <w:spacing w:after="0" w:line="240" w:lineRule="auto"/>
              <w:jc w:val="center"/>
              <w:rPr>
                <w:rFonts w:eastAsia="Times New Roman" w:cs="Times New Roman"/>
                <w:color w:val="000000"/>
              </w:rPr>
            </w:pPr>
            <w:r w:rsidRPr="00CD3C4B">
              <w:rPr>
                <w:rFonts w:eastAsia="Times New Roman" w:cs="Times New Roman"/>
                <w:color w:val="000000"/>
              </w:rPr>
              <w:t>0</w:t>
            </w:r>
          </w:p>
        </w:tc>
        <w:tc>
          <w:tcPr>
            <w:tcW w:w="0" w:type="auto"/>
            <w:tcBorders>
              <w:top w:val="nil"/>
              <w:left w:val="nil"/>
              <w:bottom w:val="nil"/>
              <w:right w:val="nil"/>
            </w:tcBorders>
            <w:shd w:val="clear" w:color="auto" w:fill="auto"/>
            <w:noWrap/>
            <w:hideMark/>
          </w:tcPr>
          <w:p w:rsidR="00A9155C" w:rsidRPr="00CD3C4B" w:rsidRDefault="00A9155C" w:rsidP="00A9155C">
            <w:pPr>
              <w:spacing w:after="0" w:line="240" w:lineRule="auto"/>
              <w:jc w:val="center"/>
              <w:rPr>
                <w:rFonts w:eastAsia="Times New Roman" w:cs="Times New Roman"/>
                <w:color w:val="000000"/>
              </w:rPr>
            </w:pPr>
            <w:r w:rsidRPr="00CD3C4B">
              <w:rPr>
                <w:rFonts w:eastAsia="Times New Roman" w:cs="Times New Roman"/>
                <w:color w:val="000000"/>
              </w:rPr>
              <w:t>0</w:t>
            </w:r>
          </w:p>
        </w:tc>
        <w:tc>
          <w:tcPr>
            <w:tcW w:w="0" w:type="auto"/>
            <w:tcBorders>
              <w:top w:val="nil"/>
              <w:left w:val="nil"/>
              <w:bottom w:val="nil"/>
              <w:right w:val="dashed" w:sz="4" w:space="0" w:color="auto"/>
            </w:tcBorders>
          </w:tcPr>
          <w:p w:rsidR="00A9155C" w:rsidRPr="00CD3C4B" w:rsidRDefault="00A9155C" w:rsidP="00A9155C">
            <w:pPr>
              <w:spacing w:after="0" w:line="240" w:lineRule="auto"/>
              <w:jc w:val="center"/>
              <w:rPr>
                <w:rFonts w:eastAsia="Times New Roman" w:cs="Times New Roman"/>
                <w:color w:val="000000"/>
              </w:rPr>
            </w:pPr>
          </w:p>
        </w:tc>
        <w:tc>
          <w:tcPr>
            <w:tcW w:w="0" w:type="auto"/>
            <w:tcBorders>
              <w:top w:val="nil"/>
              <w:left w:val="dashed" w:sz="4" w:space="0" w:color="auto"/>
              <w:bottom w:val="nil"/>
              <w:right w:val="nil"/>
            </w:tcBorders>
            <w:shd w:val="clear" w:color="auto" w:fill="auto"/>
            <w:noWrap/>
            <w:hideMark/>
          </w:tcPr>
          <w:p w:rsidR="00A9155C" w:rsidRPr="00CD3C4B" w:rsidRDefault="00A9155C" w:rsidP="00A9155C">
            <w:pPr>
              <w:spacing w:after="0" w:line="240" w:lineRule="auto"/>
              <w:jc w:val="center"/>
              <w:rPr>
                <w:rFonts w:eastAsia="Times New Roman" w:cs="Times New Roman"/>
                <w:b/>
                <w:color w:val="000000"/>
              </w:rPr>
            </w:pPr>
            <w:r w:rsidRPr="00CD3C4B">
              <w:rPr>
                <w:rFonts w:eastAsia="Times New Roman" w:cs="Times New Roman"/>
                <w:b/>
                <w:color w:val="000000"/>
              </w:rPr>
              <w:t>3</w:t>
            </w:r>
          </w:p>
        </w:tc>
        <w:tc>
          <w:tcPr>
            <w:tcW w:w="0" w:type="auto"/>
            <w:tcBorders>
              <w:top w:val="nil"/>
              <w:left w:val="nil"/>
              <w:bottom w:val="nil"/>
              <w:right w:val="nil"/>
            </w:tcBorders>
            <w:shd w:val="clear" w:color="auto" w:fill="auto"/>
            <w:noWrap/>
            <w:hideMark/>
          </w:tcPr>
          <w:p w:rsidR="00A9155C" w:rsidRPr="00CD3C4B" w:rsidRDefault="00A9155C" w:rsidP="00A9155C">
            <w:pPr>
              <w:spacing w:after="0" w:line="240" w:lineRule="auto"/>
              <w:jc w:val="center"/>
              <w:rPr>
                <w:rFonts w:eastAsia="Times New Roman" w:cs="Times New Roman"/>
                <w:b/>
                <w:color w:val="000000"/>
              </w:rPr>
            </w:pPr>
            <w:r w:rsidRPr="00CD3C4B">
              <w:rPr>
                <w:rFonts w:eastAsia="Times New Roman" w:cs="Times New Roman"/>
                <w:b/>
                <w:color w:val="000000"/>
              </w:rPr>
              <w:t>1</w:t>
            </w:r>
          </w:p>
        </w:tc>
      </w:tr>
      <w:tr w:rsidR="00CD3C4B" w:rsidRPr="009E4114" w:rsidTr="007E1F20">
        <w:trPr>
          <w:trHeight w:val="300"/>
        </w:trPr>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tcPr>
          <w:p w:rsidR="008D3140" w:rsidRPr="00A9155C" w:rsidRDefault="008D3140" w:rsidP="007E1F20">
            <w:pPr>
              <w:spacing w:after="0" w:line="240" w:lineRule="auto"/>
              <w:jc w:val="center"/>
              <w:rPr>
                <w:rFonts w:eastAsia="Times New Roman" w:cs="Times New Roman"/>
                <w:color w:val="000000"/>
              </w:rPr>
            </w:pPr>
          </w:p>
        </w:tc>
        <w:tc>
          <w:tcPr>
            <w:tcW w:w="0" w:type="auto"/>
            <w:tcBorders>
              <w:top w:val="nil"/>
              <w:left w:val="dashed" w:sz="4" w:space="0" w:color="auto"/>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r>
      <w:tr w:rsidR="00CD3C4B" w:rsidRPr="009E4114" w:rsidTr="007E1F20">
        <w:trPr>
          <w:trHeight w:val="300"/>
        </w:trPr>
        <w:tc>
          <w:tcPr>
            <w:tcW w:w="0" w:type="auto"/>
            <w:tcBorders>
              <w:top w:val="nil"/>
              <w:left w:val="nil"/>
              <w:bottom w:val="nil"/>
              <w:right w:val="nil"/>
            </w:tcBorders>
            <w:shd w:val="clear" w:color="auto" w:fill="auto"/>
            <w:noWrap/>
            <w:vAlign w:val="bottom"/>
            <w:hideMark/>
          </w:tcPr>
          <w:p w:rsidR="00A9155C" w:rsidRPr="00133B57" w:rsidRDefault="00A9155C" w:rsidP="007E1F20">
            <w:pPr>
              <w:spacing w:after="0" w:line="240" w:lineRule="auto"/>
              <w:rPr>
                <w:rFonts w:eastAsia="Times New Roman" w:cs="Times New Roman"/>
                <w:b/>
                <w:color w:val="000000"/>
              </w:rPr>
            </w:pPr>
            <w:r w:rsidRPr="00133B57">
              <w:rPr>
                <w:rFonts w:eastAsia="Times New Roman" w:cs="Times New Roman"/>
                <w:b/>
                <w:color w:val="000000"/>
              </w:rPr>
              <w:t>Open model</w:t>
            </w:r>
          </w:p>
        </w:tc>
        <w:tc>
          <w:tcPr>
            <w:tcW w:w="0" w:type="auto"/>
            <w:tcBorders>
              <w:top w:val="nil"/>
              <w:left w:val="nil"/>
              <w:bottom w:val="nil"/>
              <w:right w:val="nil"/>
            </w:tcBorders>
            <w:shd w:val="clear" w:color="auto" w:fill="auto"/>
            <w:noWrap/>
            <w:vAlign w:val="bottom"/>
            <w:hideMark/>
          </w:tcPr>
          <w:p w:rsidR="00A9155C" w:rsidRPr="00246772" w:rsidRDefault="00A9155C" w:rsidP="007E1F20">
            <w:pPr>
              <w:spacing w:after="0" w:line="240" w:lineRule="auto"/>
              <w:jc w:val="center"/>
            </w:pPr>
            <w:r>
              <w:rPr>
                <w:rFonts w:ascii="Times New Roman" w:hAnsi="Times New Roman" w:cs="Times New Roman"/>
              </w:rPr>
              <w:t>┌───</w:t>
            </w:r>
          </w:p>
        </w:tc>
        <w:tc>
          <w:tcPr>
            <w:tcW w:w="0" w:type="auto"/>
            <w:tcBorders>
              <w:top w:val="nil"/>
              <w:left w:val="nil"/>
              <w:bottom w:val="nil"/>
              <w:right w:val="nil"/>
            </w:tcBorders>
            <w:shd w:val="clear" w:color="auto" w:fill="auto"/>
            <w:vAlign w:val="bottom"/>
          </w:tcPr>
          <w:p w:rsidR="00A9155C" w:rsidRPr="00246772" w:rsidRDefault="00A9155C" w:rsidP="007E1F20">
            <w:pPr>
              <w:spacing w:after="0" w:line="240" w:lineRule="auto"/>
              <w:jc w:val="center"/>
            </w:pPr>
          </w:p>
        </w:tc>
        <w:tc>
          <w:tcPr>
            <w:tcW w:w="0" w:type="auto"/>
            <w:tcBorders>
              <w:top w:val="nil"/>
              <w:left w:val="nil"/>
              <w:bottom w:val="nil"/>
              <w:right w:val="nil"/>
            </w:tcBorders>
            <w:shd w:val="clear" w:color="auto" w:fill="auto"/>
            <w:vAlign w:val="bottom"/>
          </w:tcPr>
          <w:p w:rsidR="00A9155C" w:rsidRPr="00246772" w:rsidRDefault="00A9155C" w:rsidP="007E1F20">
            <w:pPr>
              <w:spacing w:after="0" w:line="240" w:lineRule="auto"/>
              <w:jc w:val="center"/>
            </w:pPr>
            <w:r>
              <w:t>University</w:t>
            </w:r>
          </w:p>
        </w:tc>
        <w:tc>
          <w:tcPr>
            <w:tcW w:w="0" w:type="auto"/>
            <w:tcBorders>
              <w:top w:val="nil"/>
              <w:left w:val="nil"/>
              <w:bottom w:val="nil"/>
              <w:right w:val="nil"/>
            </w:tcBorders>
            <w:shd w:val="clear" w:color="auto" w:fill="auto"/>
            <w:vAlign w:val="bottom"/>
          </w:tcPr>
          <w:p w:rsidR="00A9155C" w:rsidRPr="008A6EB7" w:rsidRDefault="008A6EB7" w:rsidP="008A6EB7">
            <w:pPr>
              <w:spacing w:after="0" w:line="240" w:lineRule="auto"/>
              <w:rPr>
                <w:vertAlign w:val="superscript"/>
              </w:rPr>
            </w:pPr>
            <w:r w:rsidRPr="008A6EB7">
              <w:rPr>
                <w:vertAlign w:val="superscript"/>
              </w:rPr>
              <w:t>e</w:t>
            </w:r>
          </w:p>
        </w:tc>
        <w:tc>
          <w:tcPr>
            <w:tcW w:w="0" w:type="auto"/>
            <w:tcBorders>
              <w:top w:val="nil"/>
              <w:left w:val="nil"/>
              <w:bottom w:val="nil"/>
              <w:right w:val="nil"/>
            </w:tcBorders>
            <w:shd w:val="clear" w:color="auto" w:fill="auto"/>
            <w:vAlign w:val="bottom"/>
          </w:tcPr>
          <w:p w:rsidR="00A9155C" w:rsidRPr="00246772" w:rsidRDefault="00A9155C" w:rsidP="007E1F20">
            <w:pPr>
              <w:spacing w:after="0" w:line="240" w:lineRule="auto"/>
              <w:jc w:val="right"/>
            </w:pPr>
            <w:r>
              <w:rPr>
                <w:rFonts w:ascii="Times New Roman" w:hAnsi="Times New Roman" w:cs="Times New Roman"/>
              </w:rPr>
              <w:t>───┐</w:t>
            </w:r>
          </w:p>
        </w:tc>
        <w:tc>
          <w:tcPr>
            <w:tcW w:w="0" w:type="auto"/>
            <w:tcBorders>
              <w:top w:val="nil"/>
              <w:left w:val="nil"/>
              <w:bottom w:val="nil"/>
              <w:right w:val="dashed" w:sz="4" w:space="0" w:color="auto"/>
            </w:tcBorders>
            <w:vAlign w:val="bottom"/>
          </w:tcPr>
          <w:p w:rsidR="00A9155C" w:rsidRPr="00A9155C" w:rsidRDefault="00A9155C" w:rsidP="007E1F20">
            <w:pPr>
              <w:spacing w:after="0" w:line="240" w:lineRule="auto"/>
              <w:jc w:val="center"/>
              <w:rPr>
                <w:rFonts w:eastAsia="Times New Roman" w:cs="Times New Roman"/>
                <w:i/>
                <w:color w:val="000000"/>
              </w:rPr>
            </w:pPr>
            <w:r w:rsidRPr="008A6EB7">
              <w:rPr>
                <w:rFonts w:eastAsia="Times New Roman" w:cs="Times New Roman"/>
                <w:color w:val="000000"/>
              </w:rPr>
              <w:t>Economy</w:t>
            </w:r>
            <w:r w:rsidR="0061301D" w:rsidRPr="0061301D">
              <w:rPr>
                <w:rFonts w:eastAsia="Times New Roman" w:cs="Times New Roman"/>
                <w:color w:val="000000"/>
                <w:vertAlign w:val="superscript"/>
              </w:rPr>
              <w:t xml:space="preserve"> </w:t>
            </w:r>
            <w:r w:rsidR="008A6EB7">
              <w:rPr>
                <w:rFonts w:eastAsia="Times New Roman" w:cs="Times New Roman"/>
                <w:color w:val="000000"/>
                <w:vertAlign w:val="superscript"/>
              </w:rPr>
              <w:t>f</w:t>
            </w:r>
          </w:p>
        </w:tc>
        <w:tc>
          <w:tcPr>
            <w:tcW w:w="0" w:type="auto"/>
            <w:tcBorders>
              <w:top w:val="nil"/>
              <w:left w:val="dashed" w:sz="4" w:space="0" w:color="auto"/>
              <w:bottom w:val="nil"/>
              <w:right w:val="nil"/>
            </w:tcBorders>
            <w:shd w:val="clear" w:color="auto" w:fill="auto"/>
            <w:noWrap/>
            <w:vAlign w:val="bottom"/>
            <w:hideMark/>
          </w:tcPr>
          <w:p w:rsidR="00A9155C" w:rsidRPr="00452226" w:rsidRDefault="00A9155C"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A9155C" w:rsidRPr="00452226" w:rsidRDefault="00A9155C" w:rsidP="007E1F20">
            <w:pPr>
              <w:spacing w:after="0" w:line="240" w:lineRule="auto"/>
              <w:jc w:val="center"/>
              <w:rPr>
                <w:rFonts w:eastAsia="Times New Roman" w:cs="Times New Roman"/>
                <w:color w:val="000000"/>
              </w:rPr>
            </w:pPr>
          </w:p>
        </w:tc>
      </w:tr>
      <w:tr w:rsidR="00CD3C4B" w:rsidRPr="009E4114" w:rsidTr="007E1F20">
        <w:trPr>
          <w:trHeight w:val="300"/>
        </w:trPr>
        <w:tc>
          <w:tcPr>
            <w:tcW w:w="0" w:type="auto"/>
            <w:tcBorders>
              <w:top w:val="nil"/>
              <w:left w:val="nil"/>
              <w:bottom w:val="nil"/>
              <w:right w:val="nil"/>
            </w:tcBorders>
            <w:shd w:val="clear" w:color="auto" w:fill="auto"/>
            <w:noWrap/>
            <w:vAlign w:val="bottom"/>
            <w:hideMark/>
          </w:tcPr>
          <w:p w:rsidR="00A576A4" w:rsidRPr="007232EB" w:rsidRDefault="00A576A4" w:rsidP="007E1F20">
            <w:pPr>
              <w:spacing w:after="0" w:line="240" w:lineRule="auto"/>
              <w:rPr>
                <w:rFonts w:eastAsia="Times New Roman" w:cs="Times New Roman"/>
                <w:color w:val="000000"/>
              </w:rPr>
            </w:pPr>
            <w:r>
              <w:rPr>
                <w:rFonts w:eastAsia="Times New Roman" w:cs="Times New Roman"/>
                <w:color w:val="000000"/>
              </w:rPr>
              <w:t>Teaching</w:t>
            </w:r>
            <w:r w:rsidRPr="007232EB">
              <w:rPr>
                <w:rFonts w:eastAsia="Times New Roman" w:cs="Times New Roman"/>
                <w:color w:val="000000"/>
              </w:rPr>
              <w:t xml:space="preserve"> </w:t>
            </w:r>
            <w:r w:rsidR="002E1D64">
              <w:rPr>
                <w:rFonts w:eastAsia="Times New Roman" w:cs="Times New Roman"/>
                <w:color w:val="000000"/>
              </w:rPr>
              <w:t>requirement</w:t>
            </w:r>
            <w:r w:rsidRPr="007232EB">
              <w:rPr>
                <w:rFonts w:eastAsia="Times New Roman" w:cs="Times New Roman"/>
                <w:color w:val="000000"/>
              </w:rPr>
              <w:t xml:space="preserve"> ($m)</w:t>
            </w:r>
          </w:p>
        </w:tc>
        <w:tc>
          <w:tcPr>
            <w:tcW w:w="0" w:type="auto"/>
            <w:tcBorders>
              <w:top w:val="nil"/>
              <w:left w:val="nil"/>
              <w:bottom w:val="nil"/>
              <w:right w:val="nil"/>
            </w:tcBorders>
            <w:shd w:val="clear" w:color="auto" w:fill="auto"/>
            <w:noWrap/>
            <w:hideMark/>
          </w:tcPr>
          <w:p w:rsidR="00A576A4" w:rsidRPr="00A9155C" w:rsidRDefault="00CA6F12" w:rsidP="00A9155C">
            <w:pPr>
              <w:spacing w:after="0" w:line="240" w:lineRule="auto"/>
              <w:jc w:val="center"/>
              <w:rPr>
                <w:rFonts w:eastAsia="Times New Roman" w:cs="Times New Roman"/>
                <w:color w:val="000000"/>
              </w:rPr>
            </w:pPr>
            <w:r>
              <w:rPr>
                <w:rFonts w:eastAsia="Times New Roman" w:cs="Times New Roman"/>
                <w:color w:val="000000"/>
              </w:rPr>
              <w:t>2.61</w:t>
            </w:r>
          </w:p>
        </w:tc>
        <w:tc>
          <w:tcPr>
            <w:tcW w:w="0" w:type="auto"/>
            <w:tcBorders>
              <w:top w:val="nil"/>
              <w:left w:val="nil"/>
              <w:bottom w:val="nil"/>
              <w:right w:val="nil"/>
            </w:tcBorders>
            <w:shd w:val="clear" w:color="auto" w:fill="auto"/>
            <w:noWrap/>
            <w:hideMark/>
          </w:tcPr>
          <w:p w:rsidR="00A576A4" w:rsidRPr="00A9155C" w:rsidRDefault="00CA6F12" w:rsidP="00A9155C">
            <w:pPr>
              <w:spacing w:after="0" w:line="240" w:lineRule="auto"/>
              <w:jc w:val="center"/>
              <w:rPr>
                <w:rFonts w:eastAsia="Times New Roman" w:cs="Times New Roman"/>
                <w:color w:val="000000"/>
              </w:rPr>
            </w:pPr>
            <w:r>
              <w:rPr>
                <w:rFonts w:eastAsia="Times New Roman" w:cs="Times New Roman"/>
                <w:color w:val="000000"/>
              </w:rPr>
              <w:t>4.82</w:t>
            </w:r>
          </w:p>
        </w:tc>
        <w:tc>
          <w:tcPr>
            <w:tcW w:w="0" w:type="auto"/>
            <w:tcBorders>
              <w:top w:val="nil"/>
              <w:left w:val="nil"/>
              <w:bottom w:val="nil"/>
              <w:right w:val="nil"/>
            </w:tcBorders>
            <w:shd w:val="clear" w:color="auto" w:fill="auto"/>
            <w:noWrap/>
            <w:hideMark/>
          </w:tcPr>
          <w:p w:rsidR="00A576A4" w:rsidRPr="00A9155C" w:rsidRDefault="00CA6F12" w:rsidP="00A9155C">
            <w:pPr>
              <w:spacing w:after="0" w:line="240" w:lineRule="auto"/>
              <w:jc w:val="center"/>
              <w:rPr>
                <w:rFonts w:eastAsia="Times New Roman" w:cs="Times New Roman"/>
                <w:color w:val="000000"/>
              </w:rPr>
            </w:pPr>
            <w:r>
              <w:rPr>
                <w:rFonts w:eastAsia="Times New Roman" w:cs="Times New Roman"/>
                <w:color w:val="000000"/>
              </w:rPr>
              <w:t>1.71</w:t>
            </w:r>
          </w:p>
        </w:tc>
        <w:tc>
          <w:tcPr>
            <w:tcW w:w="0" w:type="auto"/>
            <w:tcBorders>
              <w:top w:val="nil"/>
              <w:left w:val="nil"/>
              <w:bottom w:val="nil"/>
              <w:right w:val="nil"/>
            </w:tcBorders>
            <w:shd w:val="clear" w:color="auto" w:fill="auto"/>
            <w:noWrap/>
            <w:hideMark/>
          </w:tcPr>
          <w:p w:rsidR="00A576A4" w:rsidRPr="00A9155C" w:rsidRDefault="00CA6F12" w:rsidP="00A9155C">
            <w:pPr>
              <w:spacing w:after="0" w:line="240" w:lineRule="auto"/>
              <w:jc w:val="center"/>
              <w:rPr>
                <w:rFonts w:eastAsia="Times New Roman" w:cs="Times New Roman"/>
                <w:color w:val="000000"/>
              </w:rPr>
            </w:pPr>
            <w:r>
              <w:rPr>
                <w:rFonts w:eastAsia="Times New Roman" w:cs="Times New Roman"/>
                <w:color w:val="000000"/>
              </w:rPr>
              <w:t>0.78</w:t>
            </w:r>
          </w:p>
        </w:tc>
        <w:tc>
          <w:tcPr>
            <w:tcW w:w="0" w:type="auto"/>
            <w:tcBorders>
              <w:top w:val="nil"/>
              <w:left w:val="nil"/>
              <w:bottom w:val="nil"/>
              <w:right w:val="nil"/>
            </w:tcBorders>
            <w:shd w:val="clear" w:color="auto" w:fill="auto"/>
            <w:noWrap/>
            <w:hideMark/>
          </w:tcPr>
          <w:p w:rsidR="00A576A4" w:rsidRPr="00A9155C" w:rsidRDefault="00CA6F12" w:rsidP="00A9155C">
            <w:pPr>
              <w:spacing w:after="0" w:line="240" w:lineRule="auto"/>
              <w:jc w:val="center"/>
              <w:rPr>
                <w:rFonts w:eastAsia="Times New Roman" w:cs="Times New Roman"/>
                <w:color w:val="000000"/>
              </w:rPr>
            </w:pPr>
            <w:r>
              <w:rPr>
                <w:rFonts w:eastAsia="Times New Roman" w:cs="Times New Roman"/>
                <w:color w:val="000000"/>
              </w:rPr>
              <w:t>3.69</w:t>
            </w:r>
          </w:p>
        </w:tc>
        <w:tc>
          <w:tcPr>
            <w:tcW w:w="0" w:type="auto"/>
            <w:tcBorders>
              <w:top w:val="nil"/>
              <w:left w:val="nil"/>
              <w:bottom w:val="nil"/>
              <w:right w:val="dashed" w:sz="4" w:space="0" w:color="auto"/>
            </w:tcBorders>
          </w:tcPr>
          <w:p w:rsidR="00A576A4" w:rsidRPr="00CD3C4B" w:rsidRDefault="00A576A4" w:rsidP="00CA6F12">
            <w:pPr>
              <w:spacing w:after="0" w:line="240" w:lineRule="auto"/>
              <w:jc w:val="center"/>
              <w:rPr>
                <w:rFonts w:eastAsia="Times New Roman" w:cs="Times New Roman"/>
                <w:b/>
                <w:color w:val="000000"/>
              </w:rPr>
            </w:pPr>
            <w:r w:rsidRPr="00CD3C4B">
              <w:rPr>
                <w:rFonts w:eastAsia="Times New Roman" w:cs="Times New Roman"/>
                <w:b/>
                <w:color w:val="000000"/>
              </w:rPr>
              <w:t>0.</w:t>
            </w:r>
            <w:r w:rsidR="00CA6F12" w:rsidRPr="00CD3C4B">
              <w:rPr>
                <w:rFonts w:eastAsia="Times New Roman" w:cs="Times New Roman"/>
                <w:b/>
                <w:color w:val="000000"/>
              </w:rPr>
              <w:t>60</w:t>
            </w:r>
          </w:p>
        </w:tc>
        <w:tc>
          <w:tcPr>
            <w:tcW w:w="0" w:type="auto"/>
            <w:tcBorders>
              <w:top w:val="nil"/>
              <w:left w:val="dashed" w:sz="4" w:space="0" w:color="auto"/>
              <w:bottom w:val="nil"/>
              <w:right w:val="nil"/>
            </w:tcBorders>
            <w:shd w:val="clear" w:color="auto" w:fill="auto"/>
            <w:noWrap/>
            <w:hideMark/>
          </w:tcPr>
          <w:p w:rsidR="00A576A4" w:rsidRPr="006D27C8" w:rsidRDefault="00A576A4" w:rsidP="006D27C8">
            <w:pPr>
              <w:spacing w:after="0" w:line="240" w:lineRule="auto"/>
              <w:jc w:val="center"/>
              <w:rPr>
                <w:rFonts w:eastAsia="Times New Roman" w:cs="Times New Roman"/>
                <w:b/>
                <w:color w:val="000000"/>
              </w:rPr>
            </w:pPr>
            <w:r w:rsidRPr="008A6EB7">
              <w:rPr>
                <w:rFonts w:eastAsia="Times New Roman" w:cs="Times New Roman"/>
                <w:color w:val="000000"/>
              </w:rPr>
              <w:t>11.72</w:t>
            </w:r>
          </w:p>
        </w:tc>
        <w:tc>
          <w:tcPr>
            <w:tcW w:w="0" w:type="auto"/>
            <w:tcBorders>
              <w:top w:val="nil"/>
              <w:left w:val="nil"/>
              <w:bottom w:val="nil"/>
              <w:right w:val="nil"/>
            </w:tcBorders>
            <w:shd w:val="clear" w:color="auto" w:fill="auto"/>
            <w:noWrap/>
            <w:hideMark/>
          </w:tcPr>
          <w:p w:rsidR="00A576A4" w:rsidRPr="006D27C8" w:rsidRDefault="00A576A4" w:rsidP="006D27C8">
            <w:pPr>
              <w:spacing w:after="0" w:line="240" w:lineRule="auto"/>
              <w:jc w:val="center"/>
              <w:rPr>
                <w:rFonts w:eastAsia="Times New Roman" w:cs="Times New Roman"/>
                <w:color w:val="000000"/>
              </w:rPr>
            </w:pPr>
            <w:r w:rsidRPr="006D27C8">
              <w:rPr>
                <w:rFonts w:eastAsia="Times New Roman" w:cs="Times New Roman"/>
                <w:color w:val="000000"/>
              </w:rPr>
              <w:t>2.49</w:t>
            </w:r>
          </w:p>
        </w:tc>
      </w:tr>
      <w:tr w:rsidR="00CD3C4B" w:rsidRPr="008A6EB7" w:rsidTr="007E1F20">
        <w:trPr>
          <w:trHeight w:val="300"/>
        </w:trPr>
        <w:tc>
          <w:tcPr>
            <w:tcW w:w="0" w:type="auto"/>
            <w:tcBorders>
              <w:top w:val="nil"/>
              <w:left w:val="nil"/>
              <w:bottom w:val="nil"/>
              <w:right w:val="nil"/>
            </w:tcBorders>
            <w:shd w:val="clear" w:color="auto" w:fill="auto"/>
            <w:noWrap/>
            <w:vAlign w:val="bottom"/>
            <w:hideMark/>
          </w:tcPr>
          <w:p w:rsidR="00A576A4" w:rsidRPr="008A6EB7" w:rsidRDefault="00A576A4" w:rsidP="007E1F20">
            <w:pPr>
              <w:spacing w:after="0" w:line="240" w:lineRule="auto"/>
              <w:rPr>
                <w:rFonts w:eastAsia="Times New Roman" w:cs="Times New Roman"/>
                <w:color w:val="000000"/>
              </w:rPr>
            </w:pPr>
            <w:r w:rsidRPr="008A6EB7">
              <w:rPr>
                <w:rFonts w:eastAsia="Times New Roman" w:cs="Times New Roman"/>
                <w:color w:val="000000"/>
              </w:rPr>
              <w:t>Intra-university cross-financing ($m)</w:t>
            </w:r>
          </w:p>
        </w:tc>
        <w:tc>
          <w:tcPr>
            <w:tcW w:w="0" w:type="auto"/>
            <w:tcBorders>
              <w:top w:val="nil"/>
              <w:left w:val="nil"/>
              <w:bottom w:val="nil"/>
              <w:right w:val="nil"/>
            </w:tcBorders>
            <w:shd w:val="clear" w:color="auto" w:fill="auto"/>
            <w:noWrap/>
            <w:hideMark/>
          </w:tcPr>
          <w:p w:rsidR="00A576A4" w:rsidRPr="008A6EB7" w:rsidRDefault="00CA6F12" w:rsidP="00A9155C">
            <w:pPr>
              <w:spacing w:after="0" w:line="240" w:lineRule="auto"/>
              <w:jc w:val="center"/>
              <w:rPr>
                <w:rFonts w:eastAsia="Times New Roman" w:cs="Times New Roman"/>
                <w:color w:val="000000"/>
              </w:rPr>
            </w:pPr>
            <w:r w:rsidRPr="008A6EB7">
              <w:rPr>
                <w:rFonts w:eastAsia="Times New Roman" w:cs="Times New Roman"/>
                <w:color w:val="000000"/>
              </w:rPr>
              <w:t>0.29</w:t>
            </w:r>
          </w:p>
        </w:tc>
        <w:tc>
          <w:tcPr>
            <w:tcW w:w="0" w:type="auto"/>
            <w:tcBorders>
              <w:top w:val="nil"/>
              <w:left w:val="nil"/>
              <w:bottom w:val="nil"/>
              <w:right w:val="nil"/>
            </w:tcBorders>
            <w:shd w:val="clear" w:color="auto" w:fill="auto"/>
            <w:noWrap/>
            <w:hideMark/>
          </w:tcPr>
          <w:p w:rsidR="00A576A4" w:rsidRPr="008A6EB7" w:rsidRDefault="00CA6F12" w:rsidP="00A9155C">
            <w:pPr>
              <w:spacing w:after="0" w:line="240" w:lineRule="auto"/>
              <w:jc w:val="center"/>
              <w:rPr>
                <w:rFonts w:eastAsia="Times New Roman" w:cs="Times New Roman"/>
                <w:color w:val="000000"/>
              </w:rPr>
            </w:pPr>
            <w:r w:rsidRPr="008A6EB7">
              <w:rPr>
                <w:rFonts w:eastAsia="Times New Roman" w:cs="Times New Roman"/>
                <w:color w:val="000000"/>
              </w:rPr>
              <w:t>0.30</w:t>
            </w:r>
          </w:p>
        </w:tc>
        <w:tc>
          <w:tcPr>
            <w:tcW w:w="0" w:type="auto"/>
            <w:tcBorders>
              <w:top w:val="nil"/>
              <w:left w:val="nil"/>
              <w:bottom w:val="nil"/>
              <w:right w:val="nil"/>
            </w:tcBorders>
            <w:shd w:val="clear" w:color="auto" w:fill="auto"/>
            <w:noWrap/>
            <w:hideMark/>
          </w:tcPr>
          <w:p w:rsidR="00A576A4" w:rsidRPr="008A6EB7" w:rsidRDefault="00CA6F12" w:rsidP="00A9155C">
            <w:pPr>
              <w:spacing w:after="0" w:line="240" w:lineRule="auto"/>
              <w:jc w:val="center"/>
              <w:rPr>
                <w:rFonts w:eastAsia="Times New Roman" w:cs="Times New Roman"/>
                <w:color w:val="000000"/>
              </w:rPr>
            </w:pPr>
            <w:r w:rsidRPr="008A6EB7">
              <w:rPr>
                <w:rFonts w:eastAsia="Times New Roman" w:cs="Times New Roman"/>
                <w:color w:val="000000"/>
              </w:rPr>
              <w:t>0.40</w:t>
            </w:r>
          </w:p>
        </w:tc>
        <w:tc>
          <w:tcPr>
            <w:tcW w:w="0" w:type="auto"/>
            <w:tcBorders>
              <w:top w:val="nil"/>
              <w:left w:val="nil"/>
              <w:bottom w:val="nil"/>
              <w:right w:val="nil"/>
            </w:tcBorders>
            <w:shd w:val="clear" w:color="auto" w:fill="auto"/>
            <w:noWrap/>
            <w:hideMark/>
          </w:tcPr>
          <w:p w:rsidR="00A576A4" w:rsidRPr="008A6EB7" w:rsidRDefault="00CA6F12" w:rsidP="00A9155C">
            <w:pPr>
              <w:spacing w:after="0" w:line="240" w:lineRule="auto"/>
              <w:jc w:val="center"/>
              <w:rPr>
                <w:rFonts w:eastAsia="Times New Roman" w:cs="Times New Roman"/>
                <w:color w:val="000000"/>
              </w:rPr>
            </w:pPr>
            <w:r w:rsidRPr="008A6EB7">
              <w:rPr>
                <w:rFonts w:eastAsia="Times New Roman" w:cs="Times New Roman"/>
                <w:color w:val="000000"/>
              </w:rPr>
              <w:t>0.13</w:t>
            </w:r>
          </w:p>
        </w:tc>
        <w:tc>
          <w:tcPr>
            <w:tcW w:w="0" w:type="auto"/>
            <w:tcBorders>
              <w:top w:val="nil"/>
              <w:left w:val="nil"/>
              <w:bottom w:val="nil"/>
              <w:right w:val="nil"/>
            </w:tcBorders>
            <w:shd w:val="clear" w:color="auto" w:fill="auto"/>
            <w:noWrap/>
            <w:hideMark/>
          </w:tcPr>
          <w:p w:rsidR="00A576A4" w:rsidRPr="008A6EB7" w:rsidRDefault="00CA6F12" w:rsidP="00A9155C">
            <w:pPr>
              <w:spacing w:after="0" w:line="240" w:lineRule="auto"/>
              <w:jc w:val="center"/>
              <w:rPr>
                <w:rFonts w:eastAsia="Times New Roman" w:cs="Times New Roman"/>
                <w:color w:val="000000"/>
              </w:rPr>
            </w:pPr>
            <w:r w:rsidRPr="008A6EB7">
              <w:rPr>
                <w:rFonts w:eastAsia="Times New Roman" w:cs="Times New Roman"/>
                <w:color w:val="000000"/>
              </w:rPr>
              <w:t>0.09</w:t>
            </w:r>
          </w:p>
        </w:tc>
        <w:tc>
          <w:tcPr>
            <w:tcW w:w="0" w:type="auto"/>
            <w:tcBorders>
              <w:top w:val="nil"/>
              <w:left w:val="nil"/>
              <w:bottom w:val="nil"/>
              <w:right w:val="dashed" w:sz="4" w:space="0" w:color="auto"/>
            </w:tcBorders>
          </w:tcPr>
          <w:p w:rsidR="00A576A4" w:rsidRPr="00CD3C4B" w:rsidRDefault="00A576A4" w:rsidP="006D27C8">
            <w:pPr>
              <w:spacing w:after="0" w:line="240" w:lineRule="auto"/>
              <w:jc w:val="center"/>
              <w:rPr>
                <w:rFonts w:eastAsia="Times New Roman" w:cs="Times New Roman"/>
                <w:b/>
                <w:color w:val="000000"/>
              </w:rPr>
            </w:pPr>
            <w:r w:rsidRPr="00CD3C4B">
              <w:rPr>
                <w:rFonts w:eastAsia="Times New Roman" w:cs="Times New Roman"/>
                <w:b/>
                <w:color w:val="000000"/>
              </w:rPr>
              <w:t>-0.01</w:t>
            </w:r>
          </w:p>
        </w:tc>
        <w:tc>
          <w:tcPr>
            <w:tcW w:w="0" w:type="auto"/>
            <w:tcBorders>
              <w:top w:val="nil"/>
              <w:left w:val="dashed" w:sz="4" w:space="0" w:color="auto"/>
              <w:bottom w:val="nil"/>
              <w:right w:val="nil"/>
            </w:tcBorders>
            <w:shd w:val="clear" w:color="auto" w:fill="auto"/>
            <w:noWrap/>
            <w:hideMark/>
          </w:tcPr>
          <w:p w:rsidR="00A576A4" w:rsidRPr="00CD3C4B" w:rsidRDefault="00A576A4" w:rsidP="006D27C8">
            <w:pPr>
              <w:spacing w:after="0" w:line="240" w:lineRule="auto"/>
              <w:jc w:val="center"/>
              <w:rPr>
                <w:rFonts w:eastAsia="Times New Roman" w:cs="Times New Roman"/>
                <w:color w:val="000000"/>
              </w:rPr>
            </w:pPr>
            <w:r w:rsidRPr="00CD3C4B">
              <w:rPr>
                <w:rFonts w:eastAsia="Times New Roman" w:cs="Times New Roman"/>
                <w:color w:val="000000"/>
              </w:rPr>
              <w:t>0.68</w:t>
            </w:r>
          </w:p>
        </w:tc>
        <w:tc>
          <w:tcPr>
            <w:tcW w:w="0" w:type="auto"/>
            <w:tcBorders>
              <w:top w:val="nil"/>
              <w:left w:val="nil"/>
              <w:bottom w:val="nil"/>
              <w:right w:val="nil"/>
            </w:tcBorders>
            <w:shd w:val="clear" w:color="auto" w:fill="auto"/>
            <w:noWrap/>
            <w:hideMark/>
          </w:tcPr>
          <w:p w:rsidR="00A576A4" w:rsidRPr="008A6EB7" w:rsidRDefault="00A576A4" w:rsidP="006D27C8">
            <w:pPr>
              <w:spacing w:after="0" w:line="240" w:lineRule="auto"/>
              <w:jc w:val="center"/>
              <w:rPr>
                <w:rFonts w:eastAsia="Times New Roman" w:cs="Times New Roman"/>
                <w:color w:val="000000"/>
              </w:rPr>
            </w:pPr>
            <w:r w:rsidRPr="008A6EB7">
              <w:rPr>
                <w:rFonts w:eastAsia="Times New Roman" w:cs="Times New Roman"/>
                <w:color w:val="000000"/>
              </w:rPr>
              <w:t>0.53</w:t>
            </w:r>
          </w:p>
        </w:tc>
      </w:tr>
      <w:tr w:rsidR="00CD3C4B" w:rsidRPr="009E4114" w:rsidTr="007E1F20">
        <w:trPr>
          <w:trHeight w:val="300"/>
        </w:trPr>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7232E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dashed" w:sz="4" w:space="0" w:color="auto"/>
            </w:tcBorders>
            <w:vAlign w:val="bottom"/>
          </w:tcPr>
          <w:p w:rsidR="008D3140" w:rsidRPr="00CD3C4B" w:rsidRDefault="008D3140" w:rsidP="007E1F20">
            <w:pPr>
              <w:spacing w:after="0" w:line="240" w:lineRule="auto"/>
              <w:jc w:val="center"/>
              <w:rPr>
                <w:rFonts w:eastAsia="Times New Roman" w:cs="Times New Roman"/>
                <w:b/>
                <w:color w:val="000000"/>
              </w:rPr>
            </w:pPr>
          </w:p>
        </w:tc>
        <w:tc>
          <w:tcPr>
            <w:tcW w:w="0" w:type="auto"/>
            <w:tcBorders>
              <w:top w:val="nil"/>
              <w:left w:val="dashed" w:sz="4" w:space="0" w:color="auto"/>
              <w:bottom w:val="nil"/>
              <w:right w:val="nil"/>
            </w:tcBorders>
            <w:shd w:val="clear" w:color="auto" w:fill="auto"/>
            <w:noWrap/>
            <w:vAlign w:val="bottom"/>
            <w:hideMark/>
          </w:tcPr>
          <w:p w:rsidR="008D3140" w:rsidRPr="00CD3C4B" w:rsidRDefault="008D3140" w:rsidP="007E1F20">
            <w:pPr>
              <w:spacing w:after="0" w:line="240" w:lineRule="auto"/>
              <w:jc w:val="center"/>
              <w:rPr>
                <w:rFonts w:eastAsia="Times New Roman" w:cs="Times New Roman"/>
                <w:color w:val="000000"/>
              </w:rPr>
            </w:pPr>
          </w:p>
        </w:tc>
        <w:tc>
          <w:tcPr>
            <w:tcW w:w="0" w:type="auto"/>
            <w:tcBorders>
              <w:top w:val="nil"/>
              <w:left w:val="nil"/>
              <w:bottom w:val="nil"/>
              <w:right w:val="nil"/>
            </w:tcBorders>
            <w:shd w:val="clear" w:color="auto" w:fill="auto"/>
            <w:noWrap/>
            <w:vAlign w:val="bottom"/>
            <w:hideMark/>
          </w:tcPr>
          <w:p w:rsidR="008D3140" w:rsidRPr="006D27C8" w:rsidRDefault="008D3140" w:rsidP="007E1F20">
            <w:pPr>
              <w:spacing w:after="0" w:line="240" w:lineRule="auto"/>
              <w:jc w:val="center"/>
              <w:rPr>
                <w:rFonts w:eastAsia="Times New Roman" w:cs="Times New Roman"/>
                <w:color w:val="000000"/>
              </w:rPr>
            </w:pPr>
          </w:p>
        </w:tc>
      </w:tr>
      <w:tr w:rsidR="00CD3C4B" w:rsidRPr="009E4114" w:rsidTr="007E1F20">
        <w:trPr>
          <w:trHeight w:val="300"/>
        </w:trPr>
        <w:tc>
          <w:tcPr>
            <w:tcW w:w="0" w:type="auto"/>
            <w:tcBorders>
              <w:top w:val="nil"/>
              <w:left w:val="nil"/>
              <w:bottom w:val="nil"/>
              <w:right w:val="nil"/>
            </w:tcBorders>
            <w:shd w:val="clear" w:color="auto" w:fill="auto"/>
            <w:noWrap/>
            <w:vAlign w:val="bottom"/>
            <w:hideMark/>
          </w:tcPr>
          <w:p w:rsidR="006D27C8" w:rsidRPr="007232EB" w:rsidRDefault="006D27C8" w:rsidP="007E1F20">
            <w:pPr>
              <w:spacing w:after="0" w:line="240" w:lineRule="auto"/>
              <w:rPr>
                <w:rFonts w:eastAsia="Times New Roman" w:cs="Times New Roman"/>
                <w:color w:val="000000"/>
              </w:rPr>
            </w:pPr>
            <w:r>
              <w:rPr>
                <w:rFonts w:eastAsia="Times New Roman" w:cs="Times New Roman"/>
                <w:color w:val="000000"/>
              </w:rPr>
              <w:t>Teaching</w:t>
            </w:r>
            <w:r w:rsidRPr="007232EB">
              <w:rPr>
                <w:rFonts w:eastAsia="Times New Roman" w:cs="Times New Roman"/>
                <w:color w:val="000000"/>
              </w:rPr>
              <w:t xml:space="preserve"> </w:t>
            </w:r>
            <w:r w:rsidR="002E1D64">
              <w:rPr>
                <w:rFonts w:eastAsia="Times New Roman" w:cs="Times New Roman"/>
                <w:color w:val="000000"/>
              </w:rPr>
              <w:t>requirement</w:t>
            </w:r>
            <w:r w:rsidRPr="007232EB">
              <w:rPr>
                <w:rFonts w:eastAsia="Times New Roman" w:cs="Times New Roman"/>
                <w:color w:val="000000"/>
              </w:rPr>
              <w:t xml:space="preserve"> (¢/$)</w:t>
            </w:r>
          </w:p>
        </w:tc>
        <w:tc>
          <w:tcPr>
            <w:tcW w:w="0" w:type="auto"/>
            <w:tcBorders>
              <w:top w:val="nil"/>
              <w:left w:val="nil"/>
              <w:bottom w:val="nil"/>
              <w:right w:val="nil"/>
            </w:tcBorders>
            <w:shd w:val="clear" w:color="auto" w:fill="auto"/>
            <w:noWrap/>
            <w:hideMark/>
          </w:tcPr>
          <w:p w:rsidR="006D27C8" w:rsidRPr="00A9155C" w:rsidRDefault="00CA6F12" w:rsidP="00A9155C">
            <w:pPr>
              <w:spacing w:after="0" w:line="240" w:lineRule="auto"/>
              <w:jc w:val="center"/>
              <w:rPr>
                <w:rFonts w:eastAsia="Times New Roman" w:cs="Times New Roman"/>
                <w:color w:val="000000"/>
              </w:rPr>
            </w:pPr>
            <w:r>
              <w:rPr>
                <w:rFonts w:eastAsia="Times New Roman" w:cs="Times New Roman"/>
                <w:color w:val="000000"/>
              </w:rPr>
              <w:t>17</w:t>
            </w:r>
          </w:p>
        </w:tc>
        <w:tc>
          <w:tcPr>
            <w:tcW w:w="0" w:type="auto"/>
            <w:tcBorders>
              <w:top w:val="nil"/>
              <w:left w:val="nil"/>
              <w:bottom w:val="nil"/>
              <w:right w:val="nil"/>
            </w:tcBorders>
            <w:shd w:val="clear" w:color="auto" w:fill="auto"/>
            <w:noWrap/>
            <w:hideMark/>
          </w:tcPr>
          <w:p w:rsidR="006D27C8" w:rsidRPr="00A9155C" w:rsidRDefault="00CA6F12" w:rsidP="00A9155C">
            <w:pPr>
              <w:spacing w:after="0" w:line="240" w:lineRule="auto"/>
              <w:jc w:val="center"/>
              <w:rPr>
                <w:rFonts w:eastAsia="Times New Roman" w:cs="Times New Roman"/>
                <w:color w:val="000000"/>
              </w:rPr>
            </w:pPr>
            <w:r>
              <w:rPr>
                <w:rFonts w:eastAsia="Times New Roman" w:cs="Times New Roman"/>
                <w:color w:val="000000"/>
              </w:rPr>
              <w:t>3</w:t>
            </w:r>
            <w:r w:rsidR="006D27C8" w:rsidRPr="00A9155C">
              <w:rPr>
                <w:rFonts w:eastAsia="Times New Roman" w:cs="Times New Roman"/>
                <w:color w:val="000000"/>
              </w:rPr>
              <w:t>1</w:t>
            </w:r>
          </w:p>
        </w:tc>
        <w:tc>
          <w:tcPr>
            <w:tcW w:w="0" w:type="auto"/>
            <w:tcBorders>
              <w:top w:val="nil"/>
              <w:left w:val="nil"/>
              <w:bottom w:val="nil"/>
              <w:right w:val="nil"/>
            </w:tcBorders>
            <w:shd w:val="clear" w:color="auto" w:fill="auto"/>
            <w:noWrap/>
            <w:hideMark/>
          </w:tcPr>
          <w:p w:rsidR="006D27C8" w:rsidRPr="00A9155C" w:rsidRDefault="001521F0" w:rsidP="00A9155C">
            <w:pPr>
              <w:spacing w:after="0" w:line="240" w:lineRule="auto"/>
              <w:jc w:val="center"/>
              <w:rPr>
                <w:rFonts w:eastAsia="Times New Roman" w:cs="Times New Roman"/>
                <w:color w:val="000000"/>
              </w:rPr>
            </w:pPr>
            <w:r>
              <w:rPr>
                <w:rFonts w:eastAsia="Times New Roman" w:cs="Times New Roman"/>
                <w:color w:val="000000"/>
              </w:rPr>
              <w:t>1</w:t>
            </w:r>
            <w:r w:rsidR="00CA6F12">
              <w:rPr>
                <w:rFonts w:eastAsia="Times New Roman" w:cs="Times New Roman"/>
                <w:color w:val="000000"/>
              </w:rPr>
              <w:t>1</w:t>
            </w:r>
          </w:p>
        </w:tc>
        <w:tc>
          <w:tcPr>
            <w:tcW w:w="0" w:type="auto"/>
            <w:tcBorders>
              <w:top w:val="nil"/>
              <w:left w:val="nil"/>
              <w:bottom w:val="nil"/>
              <w:right w:val="nil"/>
            </w:tcBorders>
            <w:shd w:val="clear" w:color="auto" w:fill="auto"/>
            <w:noWrap/>
            <w:hideMark/>
          </w:tcPr>
          <w:p w:rsidR="006D27C8" w:rsidRPr="00A9155C" w:rsidRDefault="001521F0" w:rsidP="00A9155C">
            <w:pPr>
              <w:spacing w:after="0" w:line="240" w:lineRule="auto"/>
              <w:jc w:val="center"/>
              <w:rPr>
                <w:rFonts w:eastAsia="Times New Roman" w:cs="Times New Roman"/>
                <w:color w:val="000000"/>
              </w:rPr>
            </w:pPr>
            <w:r>
              <w:rPr>
                <w:rFonts w:eastAsia="Times New Roman" w:cs="Times New Roman"/>
                <w:color w:val="000000"/>
              </w:rPr>
              <w:t>5</w:t>
            </w:r>
          </w:p>
        </w:tc>
        <w:tc>
          <w:tcPr>
            <w:tcW w:w="0" w:type="auto"/>
            <w:tcBorders>
              <w:top w:val="nil"/>
              <w:left w:val="nil"/>
              <w:bottom w:val="nil"/>
              <w:right w:val="nil"/>
            </w:tcBorders>
            <w:shd w:val="clear" w:color="auto" w:fill="auto"/>
            <w:noWrap/>
            <w:hideMark/>
          </w:tcPr>
          <w:p w:rsidR="006D27C8" w:rsidRPr="00A9155C" w:rsidRDefault="006D27C8" w:rsidP="00A9155C">
            <w:pPr>
              <w:spacing w:after="0" w:line="240" w:lineRule="auto"/>
              <w:jc w:val="center"/>
              <w:rPr>
                <w:rFonts w:eastAsia="Times New Roman" w:cs="Times New Roman"/>
                <w:color w:val="000000"/>
              </w:rPr>
            </w:pPr>
            <w:r w:rsidRPr="00A9155C">
              <w:rPr>
                <w:rFonts w:eastAsia="Times New Roman" w:cs="Times New Roman"/>
                <w:color w:val="000000"/>
              </w:rPr>
              <w:t>2</w:t>
            </w:r>
            <w:r w:rsidR="001521F0">
              <w:rPr>
                <w:rFonts w:eastAsia="Times New Roman" w:cs="Times New Roman"/>
                <w:color w:val="000000"/>
              </w:rPr>
              <w:t>4</w:t>
            </w:r>
          </w:p>
        </w:tc>
        <w:tc>
          <w:tcPr>
            <w:tcW w:w="0" w:type="auto"/>
            <w:tcBorders>
              <w:top w:val="nil"/>
              <w:left w:val="nil"/>
              <w:bottom w:val="nil"/>
              <w:right w:val="dashed" w:sz="4" w:space="0" w:color="auto"/>
            </w:tcBorders>
          </w:tcPr>
          <w:p w:rsidR="006D27C8" w:rsidRPr="00CD3C4B" w:rsidRDefault="006D27C8" w:rsidP="006D27C8">
            <w:pPr>
              <w:spacing w:after="0" w:line="240" w:lineRule="auto"/>
              <w:jc w:val="center"/>
              <w:rPr>
                <w:rFonts w:eastAsia="Times New Roman" w:cs="Times New Roman"/>
                <w:b/>
                <w:color w:val="000000"/>
              </w:rPr>
            </w:pPr>
            <w:r w:rsidRPr="00CD3C4B">
              <w:rPr>
                <w:rFonts w:eastAsia="Times New Roman" w:cs="Times New Roman"/>
                <w:b/>
                <w:color w:val="000000"/>
              </w:rPr>
              <w:t>4</w:t>
            </w:r>
          </w:p>
        </w:tc>
        <w:tc>
          <w:tcPr>
            <w:tcW w:w="0" w:type="auto"/>
            <w:tcBorders>
              <w:top w:val="nil"/>
              <w:left w:val="dashed" w:sz="4" w:space="0" w:color="auto"/>
              <w:bottom w:val="nil"/>
              <w:right w:val="nil"/>
            </w:tcBorders>
            <w:shd w:val="clear" w:color="auto" w:fill="auto"/>
            <w:noWrap/>
            <w:hideMark/>
          </w:tcPr>
          <w:p w:rsidR="006D27C8" w:rsidRPr="00CD3C4B" w:rsidRDefault="006D27C8" w:rsidP="006D27C8">
            <w:pPr>
              <w:spacing w:after="0" w:line="240" w:lineRule="auto"/>
              <w:jc w:val="center"/>
              <w:rPr>
                <w:rFonts w:eastAsia="Times New Roman" w:cs="Times New Roman"/>
                <w:color w:val="000000"/>
              </w:rPr>
            </w:pPr>
            <w:r w:rsidRPr="00CD3C4B">
              <w:rPr>
                <w:rFonts w:eastAsia="Times New Roman" w:cs="Times New Roman"/>
                <w:color w:val="000000"/>
              </w:rPr>
              <w:t>76</w:t>
            </w:r>
          </w:p>
        </w:tc>
        <w:tc>
          <w:tcPr>
            <w:tcW w:w="0" w:type="auto"/>
            <w:tcBorders>
              <w:top w:val="nil"/>
              <w:left w:val="nil"/>
              <w:bottom w:val="nil"/>
              <w:right w:val="nil"/>
            </w:tcBorders>
            <w:shd w:val="clear" w:color="auto" w:fill="auto"/>
            <w:noWrap/>
            <w:hideMark/>
          </w:tcPr>
          <w:p w:rsidR="006D27C8" w:rsidRPr="006D27C8" w:rsidRDefault="006D27C8" w:rsidP="006D27C8">
            <w:pPr>
              <w:spacing w:after="0" w:line="240" w:lineRule="auto"/>
              <w:jc w:val="center"/>
              <w:rPr>
                <w:rFonts w:eastAsia="Times New Roman" w:cs="Times New Roman"/>
                <w:color w:val="000000"/>
              </w:rPr>
            </w:pPr>
            <w:r w:rsidRPr="006D27C8">
              <w:rPr>
                <w:rFonts w:eastAsia="Times New Roman" w:cs="Times New Roman"/>
                <w:color w:val="000000"/>
              </w:rPr>
              <w:t>16</w:t>
            </w:r>
          </w:p>
        </w:tc>
      </w:tr>
      <w:tr w:rsidR="00CD3C4B" w:rsidRPr="009E4114" w:rsidTr="007E1F20">
        <w:trPr>
          <w:trHeight w:val="300"/>
        </w:trPr>
        <w:tc>
          <w:tcPr>
            <w:tcW w:w="0" w:type="auto"/>
            <w:tcBorders>
              <w:top w:val="nil"/>
              <w:left w:val="nil"/>
              <w:right w:val="nil"/>
            </w:tcBorders>
            <w:shd w:val="clear" w:color="auto" w:fill="auto"/>
            <w:noWrap/>
            <w:vAlign w:val="bottom"/>
            <w:hideMark/>
          </w:tcPr>
          <w:p w:rsidR="006D27C8" w:rsidRPr="007232EB" w:rsidRDefault="006D27C8" w:rsidP="007E1F20">
            <w:pPr>
              <w:spacing w:after="0" w:line="240" w:lineRule="auto"/>
              <w:rPr>
                <w:rFonts w:eastAsia="Times New Roman" w:cs="Times New Roman"/>
                <w:color w:val="000000"/>
              </w:rPr>
            </w:pPr>
            <w:r w:rsidRPr="007232EB">
              <w:rPr>
                <w:rFonts w:eastAsia="Times New Roman" w:cs="Times New Roman"/>
                <w:color w:val="000000"/>
              </w:rPr>
              <w:t>Intra-university cross-financing (¢/$)</w:t>
            </w:r>
          </w:p>
        </w:tc>
        <w:tc>
          <w:tcPr>
            <w:tcW w:w="0" w:type="auto"/>
            <w:tcBorders>
              <w:top w:val="nil"/>
              <w:left w:val="nil"/>
              <w:right w:val="nil"/>
            </w:tcBorders>
            <w:shd w:val="clear" w:color="auto" w:fill="auto"/>
            <w:noWrap/>
            <w:hideMark/>
          </w:tcPr>
          <w:p w:rsidR="006D27C8" w:rsidRPr="00A9155C" w:rsidRDefault="00CA6F12" w:rsidP="00A9155C">
            <w:pPr>
              <w:spacing w:after="0" w:line="240" w:lineRule="auto"/>
              <w:jc w:val="center"/>
              <w:rPr>
                <w:rFonts w:eastAsia="Times New Roman" w:cs="Times New Roman"/>
                <w:color w:val="000000"/>
              </w:rPr>
            </w:pPr>
            <w:r>
              <w:rPr>
                <w:rFonts w:eastAsia="Times New Roman" w:cs="Times New Roman"/>
                <w:color w:val="000000"/>
              </w:rPr>
              <w:t>2</w:t>
            </w:r>
          </w:p>
        </w:tc>
        <w:tc>
          <w:tcPr>
            <w:tcW w:w="0" w:type="auto"/>
            <w:tcBorders>
              <w:top w:val="nil"/>
              <w:left w:val="nil"/>
              <w:right w:val="nil"/>
            </w:tcBorders>
            <w:shd w:val="clear" w:color="auto" w:fill="auto"/>
            <w:noWrap/>
            <w:hideMark/>
          </w:tcPr>
          <w:p w:rsidR="006D27C8" w:rsidRPr="00A9155C" w:rsidRDefault="006D27C8" w:rsidP="00A9155C">
            <w:pPr>
              <w:spacing w:after="0" w:line="240" w:lineRule="auto"/>
              <w:jc w:val="center"/>
              <w:rPr>
                <w:rFonts w:eastAsia="Times New Roman" w:cs="Times New Roman"/>
                <w:color w:val="000000"/>
              </w:rPr>
            </w:pPr>
            <w:r w:rsidRPr="00A9155C">
              <w:rPr>
                <w:rFonts w:eastAsia="Times New Roman" w:cs="Times New Roman"/>
                <w:color w:val="000000"/>
              </w:rPr>
              <w:t>2</w:t>
            </w:r>
          </w:p>
        </w:tc>
        <w:tc>
          <w:tcPr>
            <w:tcW w:w="0" w:type="auto"/>
            <w:tcBorders>
              <w:top w:val="nil"/>
              <w:left w:val="nil"/>
              <w:right w:val="nil"/>
            </w:tcBorders>
            <w:shd w:val="clear" w:color="auto" w:fill="auto"/>
            <w:noWrap/>
            <w:hideMark/>
          </w:tcPr>
          <w:p w:rsidR="006D27C8" w:rsidRPr="00A9155C" w:rsidRDefault="001521F0" w:rsidP="00A9155C">
            <w:pPr>
              <w:spacing w:after="0" w:line="240" w:lineRule="auto"/>
              <w:jc w:val="center"/>
              <w:rPr>
                <w:rFonts w:eastAsia="Times New Roman" w:cs="Times New Roman"/>
                <w:color w:val="000000"/>
              </w:rPr>
            </w:pPr>
            <w:r>
              <w:rPr>
                <w:rFonts w:eastAsia="Times New Roman" w:cs="Times New Roman"/>
                <w:color w:val="000000"/>
              </w:rPr>
              <w:t>3</w:t>
            </w:r>
          </w:p>
        </w:tc>
        <w:tc>
          <w:tcPr>
            <w:tcW w:w="0" w:type="auto"/>
            <w:tcBorders>
              <w:top w:val="nil"/>
              <w:left w:val="nil"/>
              <w:right w:val="nil"/>
            </w:tcBorders>
            <w:shd w:val="clear" w:color="auto" w:fill="auto"/>
            <w:noWrap/>
            <w:hideMark/>
          </w:tcPr>
          <w:p w:rsidR="006D27C8" w:rsidRPr="00A9155C" w:rsidRDefault="001521F0" w:rsidP="00A9155C">
            <w:pPr>
              <w:spacing w:after="0" w:line="240" w:lineRule="auto"/>
              <w:jc w:val="center"/>
              <w:rPr>
                <w:rFonts w:eastAsia="Times New Roman" w:cs="Times New Roman"/>
                <w:color w:val="000000"/>
              </w:rPr>
            </w:pPr>
            <w:r>
              <w:rPr>
                <w:rFonts w:eastAsia="Times New Roman" w:cs="Times New Roman"/>
                <w:color w:val="000000"/>
              </w:rPr>
              <w:t>1</w:t>
            </w:r>
          </w:p>
        </w:tc>
        <w:tc>
          <w:tcPr>
            <w:tcW w:w="0" w:type="auto"/>
            <w:tcBorders>
              <w:top w:val="nil"/>
              <w:left w:val="nil"/>
              <w:right w:val="nil"/>
            </w:tcBorders>
            <w:shd w:val="clear" w:color="auto" w:fill="auto"/>
            <w:noWrap/>
            <w:hideMark/>
          </w:tcPr>
          <w:p w:rsidR="006D27C8" w:rsidRPr="00A9155C" w:rsidRDefault="001521F0" w:rsidP="00A9155C">
            <w:pPr>
              <w:spacing w:after="0" w:line="240" w:lineRule="auto"/>
              <w:jc w:val="center"/>
              <w:rPr>
                <w:rFonts w:eastAsia="Times New Roman" w:cs="Times New Roman"/>
                <w:color w:val="000000"/>
              </w:rPr>
            </w:pPr>
            <w:r>
              <w:rPr>
                <w:rFonts w:eastAsia="Times New Roman" w:cs="Times New Roman"/>
                <w:color w:val="000000"/>
              </w:rPr>
              <w:t>1</w:t>
            </w:r>
          </w:p>
        </w:tc>
        <w:tc>
          <w:tcPr>
            <w:tcW w:w="0" w:type="auto"/>
            <w:tcBorders>
              <w:top w:val="nil"/>
              <w:left w:val="nil"/>
              <w:right w:val="dashed" w:sz="4" w:space="0" w:color="auto"/>
            </w:tcBorders>
          </w:tcPr>
          <w:p w:rsidR="006D27C8" w:rsidRPr="00CD3C4B" w:rsidRDefault="006D27C8" w:rsidP="006D27C8">
            <w:pPr>
              <w:spacing w:after="0" w:line="240" w:lineRule="auto"/>
              <w:jc w:val="center"/>
              <w:rPr>
                <w:rFonts w:eastAsia="Times New Roman" w:cs="Times New Roman"/>
                <w:b/>
                <w:color w:val="000000"/>
              </w:rPr>
            </w:pPr>
            <w:r w:rsidRPr="00CD3C4B">
              <w:rPr>
                <w:rFonts w:eastAsia="Times New Roman" w:cs="Times New Roman"/>
                <w:b/>
                <w:color w:val="000000"/>
              </w:rPr>
              <w:t>0</w:t>
            </w:r>
          </w:p>
        </w:tc>
        <w:tc>
          <w:tcPr>
            <w:tcW w:w="0" w:type="auto"/>
            <w:tcBorders>
              <w:top w:val="nil"/>
              <w:left w:val="dashed" w:sz="4" w:space="0" w:color="auto"/>
              <w:right w:val="nil"/>
            </w:tcBorders>
            <w:shd w:val="clear" w:color="auto" w:fill="auto"/>
            <w:noWrap/>
            <w:hideMark/>
          </w:tcPr>
          <w:p w:rsidR="006D27C8" w:rsidRPr="00CD3C4B" w:rsidRDefault="006D27C8" w:rsidP="006D27C8">
            <w:pPr>
              <w:spacing w:after="0" w:line="240" w:lineRule="auto"/>
              <w:jc w:val="center"/>
              <w:rPr>
                <w:rFonts w:eastAsia="Times New Roman" w:cs="Times New Roman"/>
                <w:color w:val="000000"/>
                <w:u w:val="single"/>
              </w:rPr>
            </w:pPr>
            <w:r w:rsidRPr="00CD3C4B">
              <w:rPr>
                <w:rFonts w:eastAsia="Times New Roman" w:cs="Times New Roman"/>
                <w:color w:val="000000"/>
                <w:u w:val="single"/>
              </w:rPr>
              <w:t>4</w:t>
            </w:r>
          </w:p>
        </w:tc>
        <w:tc>
          <w:tcPr>
            <w:tcW w:w="0" w:type="auto"/>
            <w:tcBorders>
              <w:top w:val="nil"/>
              <w:left w:val="nil"/>
              <w:right w:val="nil"/>
            </w:tcBorders>
            <w:shd w:val="clear" w:color="auto" w:fill="auto"/>
            <w:noWrap/>
            <w:hideMark/>
          </w:tcPr>
          <w:p w:rsidR="006D27C8" w:rsidRPr="006D27C8" w:rsidRDefault="006D27C8" w:rsidP="006D27C8">
            <w:pPr>
              <w:spacing w:after="0" w:line="240" w:lineRule="auto"/>
              <w:jc w:val="center"/>
              <w:rPr>
                <w:rFonts w:eastAsia="Times New Roman" w:cs="Times New Roman"/>
                <w:color w:val="000000"/>
              </w:rPr>
            </w:pPr>
            <w:r w:rsidRPr="006D27C8">
              <w:rPr>
                <w:rFonts w:eastAsia="Times New Roman" w:cs="Times New Roman"/>
                <w:color w:val="000000"/>
              </w:rPr>
              <w:t>3</w:t>
            </w:r>
          </w:p>
        </w:tc>
      </w:tr>
      <w:tr w:rsidR="00CD3C4B" w:rsidRPr="009E4114" w:rsidTr="007E1F20">
        <w:trPr>
          <w:trHeight w:val="300"/>
        </w:trPr>
        <w:tc>
          <w:tcPr>
            <w:tcW w:w="0" w:type="auto"/>
            <w:tcBorders>
              <w:top w:val="nil"/>
              <w:left w:val="nil"/>
              <w:bottom w:val="single" w:sz="4" w:space="0" w:color="auto"/>
              <w:right w:val="nil"/>
            </w:tcBorders>
            <w:shd w:val="clear" w:color="auto" w:fill="auto"/>
            <w:noWrap/>
            <w:vAlign w:val="bottom"/>
            <w:hideMark/>
          </w:tcPr>
          <w:p w:rsidR="008D3140" w:rsidRPr="009E4114" w:rsidRDefault="008D3140" w:rsidP="007E1F20">
            <w:pPr>
              <w:spacing w:after="0" w:line="240" w:lineRule="auto"/>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8D3140" w:rsidRPr="009E4114" w:rsidRDefault="008D3140" w:rsidP="007E1F20">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8D3140" w:rsidRPr="009E4114" w:rsidRDefault="008D3140" w:rsidP="007E1F20">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8D3140" w:rsidRPr="009E4114" w:rsidRDefault="008D3140" w:rsidP="007E1F20">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8D3140" w:rsidRPr="009E4114" w:rsidRDefault="008D3140" w:rsidP="007E1F20">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8D3140" w:rsidRPr="009E4114" w:rsidRDefault="008D3140" w:rsidP="007E1F20">
            <w:pPr>
              <w:spacing w:after="0" w:line="240" w:lineRule="auto"/>
              <w:jc w:val="center"/>
              <w:rPr>
                <w:rFonts w:eastAsia="Times New Roman" w:cs="Times New Roman"/>
                <w:color w:val="000000"/>
              </w:rPr>
            </w:pPr>
          </w:p>
        </w:tc>
        <w:tc>
          <w:tcPr>
            <w:tcW w:w="0" w:type="auto"/>
            <w:tcBorders>
              <w:top w:val="nil"/>
              <w:left w:val="nil"/>
              <w:bottom w:val="single" w:sz="4" w:space="0" w:color="auto"/>
              <w:right w:val="dashed" w:sz="4" w:space="0" w:color="auto"/>
            </w:tcBorders>
          </w:tcPr>
          <w:p w:rsidR="008D3140" w:rsidRPr="00246772" w:rsidRDefault="008D3140" w:rsidP="007E1F20">
            <w:pPr>
              <w:spacing w:after="0" w:line="240" w:lineRule="auto"/>
              <w:jc w:val="center"/>
            </w:pPr>
          </w:p>
        </w:tc>
        <w:tc>
          <w:tcPr>
            <w:tcW w:w="0" w:type="auto"/>
            <w:tcBorders>
              <w:top w:val="nil"/>
              <w:left w:val="dashed" w:sz="4" w:space="0" w:color="auto"/>
              <w:bottom w:val="single" w:sz="4" w:space="0" w:color="auto"/>
              <w:right w:val="nil"/>
            </w:tcBorders>
            <w:shd w:val="clear" w:color="auto" w:fill="auto"/>
            <w:noWrap/>
            <w:vAlign w:val="bottom"/>
            <w:hideMark/>
          </w:tcPr>
          <w:p w:rsidR="008D3140" w:rsidRPr="009E4114" w:rsidRDefault="008D3140" w:rsidP="007E1F20">
            <w:pPr>
              <w:spacing w:after="0" w:line="240" w:lineRule="auto"/>
              <w:jc w:val="center"/>
              <w:rPr>
                <w:rFonts w:eastAsia="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rsidR="008D3140" w:rsidRPr="009E4114" w:rsidRDefault="008D3140" w:rsidP="007E1F20">
            <w:pPr>
              <w:spacing w:after="0" w:line="240" w:lineRule="auto"/>
              <w:jc w:val="center"/>
              <w:rPr>
                <w:rFonts w:eastAsia="Times New Roman" w:cs="Times New Roman"/>
                <w:color w:val="000000"/>
              </w:rPr>
            </w:pPr>
          </w:p>
        </w:tc>
      </w:tr>
    </w:tbl>
    <w:p w:rsidR="008A6EB7" w:rsidRPr="008A6EB7" w:rsidRDefault="008A6EB7" w:rsidP="008A6EB7">
      <w:pPr>
        <w:jc w:val="both"/>
        <w:rPr>
          <w:sz w:val="20"/>
          <w:szCs w:val="20"/>
        </w:rPr>
      </w:pPr>
      <w:r w:rsidRPr="00004472">
        <w:rPr>
          <w:sz w:val="18"/>
          <w:szCs w:val="18"/>
          <w:vertAlign w:val="superscript"/>
        </w:rPr>
        <w:t>a</w:t>
      </w:r>
      <w:r w:rsidRPr="00004472">
        <w:rPr>
          <w:sz w:val="18"/>
          <w:szCs w:val="18"/>
        </w:rPr>
        <w:t xml:space="preserve"> </w:t>
      </w:r>
      <w:r w:rsidRPr="008A6EB7">
        <w:rPr>
          <w:sz w:val="20"/>
          <w:szCs w:val="20"/>
        </w:rPr>
        <w:t xml:space="preserve">Real revenue = Private revenue + Government revenue + Exports; </w:t>
      </w:r>
      <w:r w:rsidRPr="008A6EB7">
        <w:rPr>
          <w:sz w:val="20"/>
          <w:szCs w:val="20"/>
          <w:vertAlign w:val="superscript"/>
        </w:rPr>
        <w:t>b</w:t>
      </w:r>
      <w:r w:rsidRPr="008A6EB7">
        <w:rPr>
          <w:sz w:val="20"/>
          <w:szCs w:val="20"/>
        </w:rPr>
        <w:t xml:space="preserve"> Deficit = Gross fixed capital + Decreases in inventories; </w:t>
      </w:r>
      <w:r w:rsidRPr="008A6EB7">
        <w:rPr>
          <w:sz w:val="20"/>
          <w:szCs w:val="20"/>
          <w:vertAlign w:val="superscript"/>
        </w:rPr>
        <w:t>c</w:t>
      </w:r>
      <w:r w:rsidRPr="008A6EB7">
        <w:rPr>
          <w:sz w:val="20"/>
          <w:szCs w:val="20"/>
        </w:rPr>
        <w:t xml:space="preserve"> university demand-side requirements in terms of final demand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*c</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c</m:t>
            </m:r>
          </m:sup>
        </m:sSup>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U</m:t>
                      </m:r>
                    </m:sub>
                    <m:sup>
                      <m:r>
                        <w:rPr>
                          <w:rFonts w:ascii="Cambria Math" w:hAnsi="Cambria Math"/>
                          <w:sz w:val="20"/>
                          <w:szCs w:val="20"/>
                        </w:rPr>
                        <m:t>*</m:t>
                      </m:r>
                    </m:sup>
                  </m:sSubSup>
                </m:e>
              </m:mr>
              <m:mr>
                <m:e>
                  <m:r>
                    <w:rPr>
                      <w:rFonts w:ascii="Cambria Math" w:hAnsi="Cambria Math"/>
                      <w:sz w:val="20"/>
                      <w:szCs w:val="20"/>
                    </w:rPr>
                    <m:t>0</m:t>
                  </m:r>
                </m:e>
              </m:mr>
            </m:m>
          </m:e>
        </m:d>
      </m:oMath>
      <w:r w:rsidRPr="008A6EB7">
        <w:rPr>
          <w:sz w:val="20"/>
          <w:szCs w:val="20"/>
        </w:rPr>
        <w:t xml:space="preserve">, by components in </w:t>
      </w:r>
      <m:oMath>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U</m:t>
            </m:r>
          </m:sub>
          <m:sup>
            <m:r>
              <w:rPr>
                <w:rFonts w:ascii="Cambria Math" w:hAnsi="Cambria Math"/>
                <w:sz w:val="20"/>
                <w:szCs w:val="20"/>
              </w:rPr>
              <m:t>*</m:t>
            </m:r>
          </m:sup>
        </m:sSubSup>
      </m:oMath>
      <w:r w:rsidRPr="008A6EB7">
        <w:rPr>
          <w:sz w:val="20"/>
          <w:szCs w:val="20"/>
        </w:rPr>
        <w:t xml:space="preserve">; </w:t>
      </w:r>
      <w:r w:rsidRPr="008A6EB7">
        <w:rPr>
          <w:sz w:val="20"/>
          <w:szCs w:val="20"/>
          <w:vertAlign w:val="superscript"/>
        </w:rPr>
        <w:t>d</w:t>
      </w:r>
      <w:r w:rsidRPr="008A6EB7">
        <w:rPr>
          <w:sz w:val="20"/>
          <w:szCs w:val="20"/>
        </w:rPr>
        <w:t xml:space="preserve"> economy demand-side requirements in terms of final demand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*c</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c</m:t>
            </m:r>
          </m:sup>
        </m:sSup>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A</m:t>
                      </m:r>
                    </m:sub>
                    <m:sup>
                      <m:r>
                        <w:rPr>
                          <w:rFonts w:ascii="Cambria Math" w:hAnsi="Cambria Math"/>
                          <w:sz w:val="20"/>
                          <w:szCs w:val="20"/>
                        </w:rPr>
                        <m:t>*</m:t>
                      </m:r>
                    </m:sup>
                  </m:sSubSup>
                </m:e>
              </m:mr>
            </m:m>
          </m:e>
        </m:d>
      </m:oMath>
      <w:r w:rsidRPr="008A6EB7">
        <w:rPr>
          <w:sz w:val="20"/>
          <w:szCs w:val="20"/>
        </w:rPr>
        <w:t xml:space="preserve">, by components in </w:t>
      </w:r>
      <m:oMath>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A</m:t>
            </m:r>
          </m:sub>
          <m:sup>
            <m:r>
              <w:rPr>
                <w:rFonts w:ascii="Cambria Math" w:hAnsi="Cambria Math"/>
                <w:sz w:val="20"/>
                <w:szCs w:val="20"/>
              </w:rPr>
              <m:t>*</m:t>
            </m:r>
          </m:sup>
        </m:sSubSup>
        <m:r>
          <w:rPr>
            <w:rFonts w:ascii="Cambria Math" w:hAnsi="Cambria Math"/>
            <w:sz w:val="20"/>
            <w:szCs w:val="20"/>
          </w:rPr>
          <m:t>;</m:t>
        </m:r>
      </m:oMath>
      <w:r w:rsidRPr="008A6EB7">
        <w:rPr>
          <w:sz w:val="20"/>
          <w:szCs w:val="20"/>
        </w:rPr>
        <w:t xml:space="preserve"> </w:t>
      </w:r>
      <w:r w:rsidRPr="008A6EB7">
        <w:rPr>
          <w:sz w:val="20"/>
          <w:szCs w:val="20"/>
          <w:vertAlign w:val="superscript"/>
        </w:rPr>
        <w:t>e</w:t>
      </w:r>
      <w:r w:rsidRPr="008A6EB7">
        <w:rPr>
          <w:sz w:val="20"/>
          <w:szCs w:val="20"/>
        </w:rPr>
        <w:t xml:space="preserve"> university demand-side requirements in terms of final demand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*o</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o</m:t>
            </m:r>
          </m:sup>
        </m:sSup>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U</m:t>
            </m:r>
          </m:sub>
          <m:sup>
            <m:r>
              <w:rPr>
                <w:rFonts w:ascii="Cambria Math" w:hAnsi="Cambria Math"/>
                <w:sz w:val="20"/>
                <w:szCs w:val="20"/>
              </w:rPr>
              <m:t>*</m:t>
            </m:r>
          </m:sup>
        </m:sSubSup>
      </m:oMath>
      <w:r w:rsidRPr="008A6EB7">
        <w:rPr>
          <w:sz w:val="20"/>
          <w:szCs w:val="20"/>
        </w:rPr>
        <w:t xml:space="preserve">, by components in </w:t>
      </w:r>
      <m:oMath>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U</m:t>
            </m:r>
          </m:sub>
          <m:sup>
            <m:r>
              <w:rPr>
                <w:rFonts w:ascii="Cambria Math" w:hAnsi="Cambria Math"/>
                <w:sz w:val="20"/>
                <w:szCs w:val="20"/>
              </w:rPr>
              <m:t>*</m:t>
            </m:r>
          </m:sup>
        </m:sSubSup>
      </m:oMath>
      <w:r w:rsidRPr="008A6EB7">
        <w:rPr>
          <w:sz w:val="20"/>
          <w:szCs w:val="20"/>
        </w:rPr>
        <w:t xml:space="preserve">; </w:t>
      </w:r>
      <w:r w:rsidRPr="008A6EB7">
        <w:rPr>
          <w:sz w:val="20"/>
          <w:szCs w:val="20"/>
          <w:vertAlign w:val="superscript"/>
        </w:rPr>
        <w:t>f</w:t>
      </w:r>
      <w:r w:rsidRPr="008A6EB7">
        <w:rPr>
          <w:sz w:val="20"/>
          <w:szCs w:val="20"/>
        </w:rPr>
        <w:t xml:space="preserve"> university demand-side requirements in terms of industry revenue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*o</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o</m:t>
            </m:r>
          </m:sup>
        </m:sSup>
        <m:sSubSup>
          <m:sSubSupPr>
            <m:ctrlPr>
              <w:rPr>
                <w:rFonts w:ascii="Cambria Math" w:hAnsi="Cambria Math"/>
                <w:i/>
                <w:sz w:val="20"/>
                <w:szCs w:val="20"/>
              </w:rPr>
            </m:ctrlPr>
          </m:sSubSupPr>
          <m:e>
            <m:r>
              <m:rPr>
                <m:sty m:val="b"/>
              </m:rPr>
              <w:rPr>
                <w:rFonts w:ascii="Cambria Math" w:hAnsi="Cambria Math"/>
                <w:sz w:val="20"/>
                <w:szCs w:val="20"/>
              </w:rPr>
              <m:t>A</m:t>
            </m:r>
          </m:e>
          <m:sub>
            <m:r>
              <m:rPr>
                <m:sty m:val="p"/>
              </m:rPr>
              <w:rPr>
                <w:rFonts w:ascii="Cambria Math" w:hAnsi="Cambria Math"/>
                <w:sz w:val="20"/>
                <w:szCs w:val="20"/>
              </w:rPr>
              <m:t>UA</m:t>
            </m:r>
          </m:sub>
          <m:sup>
            <m:r>
              <w:rPr>
                <w:rFonts w:ascii="Cambria Math" w:hAnsi="Cambria Math"/>
                <w:sz w:val="20"/>
                <w:szCs w:val="20"/>
              </w:rPr>
              <m:t>*</m:t>
            </m:r>
          </m:sup>
        </m:sSubSup>
      </m:oMath>
      <w:r w:rsidRPr="008A6EB7">
        <w:rPr>
          <w:sz w:val="20"/>
          <w:szCs w:val="20"/>
        </w:rPr>
        <w:t>, total. Note that requirements labelled d are about equal to those labelled f (both in bold print), as shown in the previous Section.</w:t>
      </w:r>
      <w:r w:rsidR="00B731B3">
        <w:rPr>
          <w:sz w:val="20"/>
          <w:szCs w:val="20"/>
        </w:rPr>
        <w:t xml:space="preserve"> Values may not add up due to rounding.</w:t>
      </w:r>
    </w:p>
    <w:p w:rsidR="008D3140" w:rsidRDefault="008D3140" w:rsidP="008D3140">
      <w:pPr>
        <w:jc w:val="both"/>
      </w:pPr>
    </w:p>
    <w:p w:rsidR="008D3140" w:rsidRDefault="001521F0" w:rsidP="008D3140">
      <w:pPr>
        <w:jc w:val="center"/>
      </w:pPr>
      <w:r w:rsidRPr="001521F0">
        <w:t xml:space="preserve"> </w:t>
      </w:r>
      <w:r w:rsidR="00A9155C">
        <w:t>Tab. 6</w:t>
      </w:r>
      <w:r w:rsidR="008D3140">
        <w:t xml:space="preserve">: </w:t>
      </w:r>
      <w:r w:rsidR="008A6EB7">
        <w:t>Demand-side</w:t>
      </w:r>
      <w:r w:rsidR="008D3140">
        <w:t xml:space="preserve"> requirement</w:t>
      </w:r>
      <w:r w:rsidR="008A6EB7">
        <w:t>s</w:t>
      </w:r>
      <w:r w:rsidR="008D3140">
        <w:t xml:space="preserve"> of a 5% increase in teaching expenditure.</w:t>
      </w:r>
    </w:p>
    <w:p w:rsidR="008D3140" w:rsidRDefault="008D3140" w:rsidP="00246772">
      <w:pPr>
        <w:jc w:val="both"/>
        <w:sectPr w:rsidR="008D3140" w:rsidSect="008D3140">
          <w:pgSz w:w="16838" w:h="11906" w:orient="landscape"/>
          <w:pgMar w:top="1440" w:right="1440" w:bottom="1440" w:left="1440" w:header="709" w:footer="709" w:gutter="0"/>
          <w:cols w:space="708"/>
          <w:docGrid w:linePitch="360"/>
        </w:sectPr>
      </w:pPr>
    </w:p>
    <w:p w:rsidR="004B745F" w:rsidRDefault="004B745F" w:rsidP="004B745F">
      <w:pPr>
        <w:pStyle w:val="ListParagraph"/>
        <w:numPr>
          <w:ilvl w:val="2"/>
          <w:numId w:val="1"/>
        </w:numPr>
      </w:pPr>
      <w:r>
        <w:lastRenderedPageBreak/>
        <w:t xml:space="preserve">Summary of scenarios </w:t>
      </w:r>
    </w:p>
    <w:p w:rsidR="00D84642" w:rsidRDefault="00314E18" w:rsidP="00E415C9">
      <w:pPr>
        <w:jc w:val="both"/>
        <w:rPr>
          <w:rFonts w:eastAsia="Times New Roman" w:cs="Times New Roman"/>
          <w:color w:val="000000"/>
        </w:rPr>
      </w:pPr>
      <w:r>
        <w:t>Increases in demand for research lead to about equal increases in wages and operating inputs, whereas increases in demand for teaching lead mainly to increases in wages, and also to surplus (Tab. 7). On a per-dollar basis, teaching’s surplus is about nine times higher at 28</w:t>
      </w:r>
      <w:r w:rsidRPr="007232EB">
        <w:rPr>
          <w:rFonts w:eastAsia="Times New Roman" w:cs="Times New Roman"/>
          <w:color w:val="000000"/>
        </w:rPr>
        <w:t>¢</w:t>
      </w:r>
      <w:r>
        <w:rPr>
          <w:rFonts w:eastAsia="Times New Roman" w:cs="Times New Roman"/>
          <w:color w:val="000000"/>
        </w:rPr>
        <w:t xml:space="preserve">/$ than that of research, where instead </w:t>
      </w:r>
      <w:r w:rsidR="002D1B16">
        <w:t>97</w:t>
      </w:r>
      <w:r w:rsidR="002D1B16" w:rsidRPr="007232EB">
        <w:rPr>
          <w:rFonts w:eastAsia="Times New Roman" w:cs="Times New Roman"/>
          <w:color w:val="000000"/>
        </w:rPr>
        <w:t>¢</w:t>
      </w:r>
      <w:r w:rsidR="002D1B16">
        <w:rPr>
          <w:rFonts w:eastAsia="Times New Roman" w:cs="Times New Roman"/>
          <w:color w:val="000000"/>
        </w:rPr>
        <w:t xml:space="preserve">/$ </w:t>
      </w:r>
      <w:r>
        <w:rPr>
          <w:rFonts w:eastAsia="Times New Roman" w:cs="Times New Roman"/>
          <w:color w:val="000000"/>
        </w:rPr>
        <w:t>of revenues are spent.</w:t>
      </w:r>
      <w:r w:rsidR="00D84642">
        <w:rPr>
          <w:rFonts w:eastAsia="Times New Roman" w:cs="Times New Roman"/>
          <w:color w:val="000000"/>
        </w:rPr>
        <w:t xml:space="preserve"> </w:t>
      </w:r>
    </w:p>
    <w:p w:rsidR="00314E18" w:rsidRDefault="00D84642" w:rsidP="00E415C9">
      <w:pPr>
        <w:jc w:val="both"/>
      </w:pPr>
      <w:r>
        <w:rPr>
          <w:rFonts w:eastAsia="Times New Roman" w:cs="Times New Roman"/>
          <w:color w:val="000000"/>
        </w:rPr>
        <w:t xml:space="preserve">Note that in applying input-output analysis, these total effects are the sum of direct </w:t>
      </w:r>
      <w:r w:rsidR="00431529">
        <w:rPr>
          <w:rFonts w:eastAsia="Times New Roman" w:cs="Times New Roman"/>
          <w:color w:val="000000"/>
        </w:rPr>
        <w:t>transactions</w:t>
      </w:r>
      <w:r>
        <w:rPr>
          <w:rFonts w:eastAsia="Times New Roman" w:cs="Times New Roman"/>
          <w:color w:val="000000"/>
        </w:rPr>
        <w:t xml:space="preserve"> occurring in the unit that experiences the demand increase, and indirect repercussions throughout the university, facilitated by interdependences between the university’s business units. This is demonstrated by the internal transfers in Tab. 7, which are especially high in the case of teaching revenues, which are collected to a large extent by Central Accounts, and then distributed amongst university faculties according to an internal funding model.</w:t>
      </w:r>
      <w:r w:rsidR="00F02E68">
        <w:rPr>
          <w:rFonts w:eastAsia="Times New Roman" w:cs="Times New Roman"/>
          <w:color w:val="000000"/>
        </w:rPr>
        <w:t xml:space="preserve"> Almost </w:t>
      </w:r>
      <w:r w:rsidR="00F02E68">
        <w:t>60</w:t>
      </w:r>
      <w:r w:rsidR="00F02E68" w:rsidRPr="007232EB">
        <w:rPr>
          <w:rFonts w:eastAsia="Times New Roman" w:cs="Times New Roman"/>
          <w:color w:val="000000"/>
        </w:rPr>
        <w:t>¢</w:t>
      </w:r>
      <w:r w:rsidR="00F02E68">
        <w:rPr>
          <w:rFonts w:eastAsia="Times New Roman" w:cs="Times New Roman"/>
          <w:color w:val="000000"/>
        </w:rPr>
        <w:t xml:space="preserve"> in every dollar of teaching revenues undergo intermediate transactions</w:t>
      </w:r>
      <w:r w:rsidR="00891966">
        <w:rPr>
          <w:rFonts w:eastAsia="Times New Roman" w:cs="Times New Roman"/>
          <w:color w:val="000000"/>
        </w:rPr>
        <w:t xml:space="preserve">, whilst for research it is </w:t>
      </w:r>
      <w:r w:rsidR="00891966">
        <w:t>7</w:t>
      </w:r>
      <w:r w:rsidR="00891966" w:rsidRPr="007232EB">
        <w:rPr>
          <w:rFonts w:eastAsia="Times New Roman" w:cs="Times New Roman"/>
          <w:color w:val="000000"/>
        </w:rPr>
        <w:t>¢</w:t>
      </w:r>
      <w:r w:rsidR="00F02E68">
        <w:rPr>
          <w:rFonts w:eastAsia="Times New Roman" w:cs="Times New Roman"/>
          <w:color w:val="000000"/>
        </w:rPr>
        <w:t>.</w:t>
      </w:r>
      <w:r w:rsidR="0007758F">
        <w:rPr>
          <w:rFonts w:eastAsia="Times New Roman" w:cs="Times New Roman"/>
          <w:color w:val="000000"/>
        </w:rPr>
        <w:t xml:space="preserve"> This circumstance underlines the need for an input-output model that can deal with the complexities of such a highly cross-financing business system.</w:t>
      </w:r>
    </w:p>
    <w:p w:rsidR="0088123F" w:rsidRDefault="0088123F" w:rsidP="0088123F">
      <w:pPr>
        <w:jc w:val="both"/>
        <w:rPr>
          <w:rFonts w:eastAsia="Times New Roman" w:cs="Times New Roman"/>
          <w:color w:val="000000"/>
        </w:rPr>
      </w:pPr>
      <w:r>
        <w:t>On a per-dollar basis, increases in expenditure for research require 93</w:t>
      </w:r>
      <w:r w:rsidRPr="007232EB">
        <w:rPr>
          <w:rFonts w:eastAsia="Times New Roman" w:cs="Times New Roman"/>
          <w:color w:val="000000"/>
        </w:rPr>
        <w:t>¢</w:t>
      </w:r>
      <w:r>
        <w:rPr>
          <w:rFonts w:eastAsia="Times New Roman" w:cs="Times New Roman"/>
          <w:color w:val="000000"/>
        </w:rPr>
        <w:t xml:space="preserve"> to come forth</w:t>
      </w:r>
      <w:r>
        <w:t xml:space="preserve"> as revenue for services, and need to </w:t>
      </w:r>
      <w:r w:rsidR="00BD2A96">
        <w:t>meet the deficit of</w:t>
      </w:r>
      <w:r>
        <w:t xml:space="preserve"> 7</w:t>
      </w:r>
      <w:r w:rsidRPr="007232EB">
        <w:rPr>
          <w:rFonts w:eastAsia="Times New Roman" w:cs="Times New Roman"/>
          <w:color w:val="000000"/>
        </w:rPr>
        <w:t>¢</w:t>
      </w:r>
      <w:r>
        <w:rPr>
          <w:rFonts w:eastAsia="Times New Roman" w:cs="Times New Roman"/>
          <w:color w:val="000000"/>
        </w:rPr>
        <w:t xml:space="preserve">/$ from reserves. </w:t>
      </w:r>
      <w:r>
        <w:t>Increases in teaching expenditure are matched by only 81</w:t>
      </w:r>
      <w:r w:rsidRPr="007232EB">
        <w:rPr>
          <w:rFonts w:eastAsia="Times New Roman" w:cs="Times New Roman"/>
          <w:color w:val="000000"/>
        </w:rPr>
        <w:t>¢</w:t>
      </w:r>
      <w:r>
        <w:rPr>
          <w:rFonts w:eastAsia="Times New Roman" w:cs="Times New Roman"/>
          <w:color w:val="000000"/>
        </w:rPr>
        <w:t xml:space="preserve">/$ of fees and grants, and hence need </w:t>
      </w:r>
      <w:r>
        <w:t>to draw another 19</w:t>
      </w:r>
      <w:r w:rsidRPr="007232EB">
        <w:rPr>
          <w:rFonts w:eastAsia="Times New Roman" w:cs="Times New Roman"/>
          <w:color w:val="000000"/>
        </w:rPr>
        <w:t>¢</w:t>
      </w:r>
      <w:r>
        <w:rPr>
          <w:rFonts w:eastAsia="Times New Roman" w:cs="Times New Roman"/>
          <w:color w:val="000000"/>
        </w:rPr>
        <w:t>/$ from reserves.</w:t>
      </w:r>
      <w:r w:rsidR="00891966">
        <w:rPr>
          <w:rFonts w:eastAsia="Times New Roman" w:cs="Times New Roman"/>
          <w:color w:val="000000"/>
        </w:rPr>
        <w:t xml:space="preserve"> Once again, these effects include direct </w:t>
      </w:r>
      <w:r w:rsidR="00431529">
        <w:rPr>
          <w:rFonts w:eastAsia="Times New Roman" w:cs="Times New Roman"/>
          <w:color w:val="000000"/>
        </w:rPr>
        <w:t>transaction</w:t>
      </w:r>
      <w:r w:rsidR="00891966">
        <w:rPr>
          <w:rFonts w:eastAsia="Times New Roman" w:cs="Times New Roman"/>
          <w:color w:val="000000"/>
        </w:rPr>
        <w:t>s and indirect repercussions.</w:t>
      </w:r>
    </w:p>
    <w:p w:rsidR="002D1B16" w:rsidRDefault="00BD2A96" w:rsidP="00E415C9">
      <w:pPr>
        <w:jc w:val="both"/>
      </w:pPr>
      <w:r>
        <w:t xml:space="preserve">After subtracting deficits from surpluses, </w:t>
      </w:r>
      <w:r w:rsidR="0088123F">
        <w:t xml:space="preserve">teaching makes a </w:t>
      </w:r>
      <w:r>
        <w:t xml:space="preserve">net </w:t>
      </w:r>
      <w:r w:rsidR="0088123F">
        <w:t>surplus of about 9</w:t>
      </w:r>
      <w:r w:rsidR="0088123F" w:rsidRPr="007232EB">
        <w:rPr>
          <w:rFonts w:eastAsia="Times New Roman" w:cs="Times New Roman"/>
          <w:color w:val="000000"/>
        </w:rPr>
        <w:t>¢</w:t>
      </w:r>
      <w:r w:rsidR="0088123F">
        <w:rPr>
          <w:rFonts w:eastAsia="Times New Roman" w:cs="Times New Roman"/>
          <w:color w:val="000000"/>
        </w:rPr>
        <w:t xml:space="preserve"> for every dollar of turnover, whilst research runs up a </w:t>
      </w:r>
      <w:r>
        <w:rPr>
          <w:rFonts w:eastAsia="Times New Roman" w:cs="Times New Roman"/>
          <w:color w:val="000000"/>
        </w:rPr>
        <w:t xml:space="preserve">net </w:t>
      </w:r>
      <w:r w:rsidR="0088123F">
        <w:rPr>
          <w:rFonts w:eastAsia="Times New Roman" w:cs="Times New Roman"/>
          <w:color w:val="000000"/>
        </w:rPr>
        <w:t>deficit of about 4</w:t>
      </w:r>
      <w:r w:rsidR="0088123F" w:rsidRPr="007232EB">
        <w:rPr>
          <w:rFonts w:eastAsia="Times New Roman" w:cs="Times New Roman"/>
          <w:color w:val="000000"/>
        </w:rPr>
        <w:t>¢</w:t>
      </w:r>
      <w:r w:rsidR="0088123F">
        <w:rPr>
          <w:rFonts w:eastAsia="Times New Roman" w:cs="Times New Roman"/>
          <w:color w:val="000000"/>
        </w:rPr>
        <w:t xml:space="preserve">/$. </w:t>
      </w:r>
      <w:r w:rsidR="00891966">
        <w:rPr>
          <w:rFonts w:eastAsia="Times New Roman" w:cs="Times New Roman"/>
          <w:color w:val="000000"/>
        </w:rPr>
        <w:t xml:space="preserve">These figures agree well with the more detailed estimates of cross-financing flows in Tabs. 5 and 6. </w:t>
      </w:r>
    </w:p>
    <w:p w:rsidR="00497FDD" w:rsidRDefault="00891966" w:rsidP="00E415C9">
      <w:pPr>
        <w:jc w:val="both"/>
      </w:pPr>
      <w:r>
        <w:t xml:space="preserve">These scenario results hold for research and business units as a whole; results may vary substantially if single faculties are examined. </w:t>
      </w:r>
      <w:r w:rsidR="001F48E5">
        <w:t>Finally, neither research nor teaching supply-pushes rely as much on capital revenue as university activities in general. The high capital multiplier of 46</w:t>
      </w:r>
      <w:r w:rsidR="001F48E5" w:rsidRPr="007232EB">
        <w:rPr>
          <w:rFonts w:eastAsia="Times New Roman" w:cs="Times New Roman"/>
          <w:color w:val="000000"/>
        </w:rPr>
        <w:t>¢</w:t>
      </w:r>
      <w:r w:rsidR="001F48E5">
        <w:rPr>
          <w:rFonts w:eastAsia="Times New Roman" w:cs="Times New Roman"/>
          <w:color w:val="000000"/>
        </w:rPr>
        <w:t xml:space="preserve">/$ in Tab. 2 stems from significant infrastructure works that are financed mainly through revenues from capital assets. </w:t>
      </w:r>
    </w:p>
    <w:p w:rsidR="004B745F" w:rsidRDefault="004B745F" w:rsidP="00E415C9">
      <w:pPr>
        <w:jc w:val="both"/>
      </w:pPr>
    </w:p>
    <w:p w:rsidR="004B745F" w:rsidRDefault="004B745F" w:rsidP="00E415C9">
      <w:pPr>
        <w:jc w:val="both"/>
        <w:sectPr w:rsidR="004B745F" w:rsidSect="002567E9">
          <w:pgSz w:w="11906" w:h="16838"/>
          <w:pgMar w:top="1440" w:right="1440" w:bottom="1440" w:left="1440" w:header="708" w:footer="708" w:gutter="0"/>
          <w:cols w:space="708"/>
          <w:docGrid w:linePitch="360"/>
        </w:sectPr>
      </w:pPr>
    </w:p>
    <w:tbl>
      <w:tblPr>
        <w:tblW w:w="0" w:type="auto"/>
        <w:tblInd w:w="84" w:type="dxa"/>
        <w:tblLook w:val="04A0"/>
      </w:tblPr>
      <w:tblGrid>
        <w:gridCol w:w="1481"/>
        <w:gridCol w:w="913"/>
        <w:gridCol w:w="1169"/>
        <w:gridCol w:w="1423"/>
        <w:gridCol w:w="222"/>
        <w:gridCol w:w="1180"/>
        <w:gridCol w:w="1079"/>
        <w:gridCol w:w="1102"/>
        <w:gridCol w:w="1070"/>
        <w:gridCol w:w="222"/>
        <w:gridCol w:w="1321"/>
        <w:gridCol w:w="1152"/>
        <w:gridCol w:w="222"/>
        <w:gridCol w:w="1534"/>
      </w:tblGrid>
      <w:tr w:rsidR="00340DFE" w:rsidRPr="00340DFE" w:rsidTr="004427EC">
        <w:trPr>
          <w:trHeight w:val="300"/>
        </w:trPr>
        <w:tc>
          <w:tcPr>
            <w:tcW w:w="0" w:type="auto"/>
            <w:tcBorders>
              <w:top w:val="single" w:sz="4" w:space="0" w:color="auto"/>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gridSpan w:val="7"/>
            <w:tcBorders>
              <w:top w:val="single" w:sz="4" w:space="0" w:color="auto"/>
              <w:left w:val="single" w:sz="4" w:space="0" w:color="auto"/>
              <w:bottom w:val="nil"/>
              <w:right w:val="nil"/>
            </w:tcBorders>
            <w:shd w:val="clear" w:color="auto" w:fill="auto"/>
            <w:noWrap/>
            <w:vAlign w:val="bottom"/>
            <w:hideMark/>
          </w:tcPr>
          <w:p w:rsidR="00340DFE" w:rsidRPr="00340DFE" w:rsidRDefault="00340DFE" w:rsidP="00A63CE4">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U</w:t>
            </w:r>
            <w:r w:rsidR="00A63CE4">
              <w:rPr>
                <w:rFonts w:eastAsia="Times New Roman" w:cs="Times New Roman"/>
                <w:b/>
                <w:bCs/>
                <w:color w:val="000000"/>
                <w:sz w:val="20"/>
                <w:szCs w:val="20"/>
              </w:rPr>
              <w:t>niversity</w:t>
            </w:r>
            <w:r w:rsidRPr="00340DFE">
              <w:rPr>
                <w:rFonts w:eastAsia="Times New Roman" w:cs="Times New Roman"/>
                <w:b/>
                <w:bCs/>
                <w:color w:val="000000"/>
                <w:sz w:val="20"/>
                <w:szCs w:val="20"/>
              </w:rPr>
              <w:t xml:space="preserve"> </w:t>
            </w:r>
            <w:r w:rsidR="002E1D64">
              <w:rPr>
                <w:rFonts w:eastAsia="Times New Roman" w:cs="Times New Roman"/>
                <w:b/>
                <w:bCs/>
                <w:color w:val="000000"/>
                <w:sz w:val="20"/>
                <w:szCs w:val="20"/>
              </w:rPr>
              <w:t>requirement</w:t>
            </w:r>
            <w:r w:rsidRPr="00340DFE">
              <w:rPr>
                <w:rFonts w:eastAsia="Times New Roman" w:cs="Times New Roman"/>
                <w:b/>
                <w:bCs/>
                <w:color w:val="000000"/>
                <w:sz w:val="20"/>
                <w:szCs w:val="20"/>
              </w:rPr>
              <w:t>s</w:t>
            </w:r>
          </w:p>
        </w:tc>
        <w:tc>
          <w:tcPr>
            <w:tcW w:w="0" w:type="auto"/>
            <w:tcBorders>
              <w:top w:val="single" w:sz="4" w:space="0" w:color="auto"/>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gridSpan w:val="2"/>
            <w:tcBorders>
              <w:top w:val="single" w:sz="4" w:space="0" w:color="auto"/>
              <w:left w:val="single" w:sz="4" w:space="0" w:color="auto"/>
              <w:bottom w:val="nil"/>
              <w:right w:val="single" w:sz="4" w:space="0" w:color="auto"/>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 xml:space="preserve">Economy </w:t>
            </w:r>
            <w:r w:rsidR="002E1D64">
              <w:rPr>
                <w:rFonts w:eastAsia="Times New Roman" w:cs="Times New Roman"/>
                <w:b/>
                <w:bCs/>
                <w:color w:val="000000"/>
                <w:sz w:val="20"/>
                <w:szCs w:val="20"/>
              </w:rPr>
              <w:t>requirement</w:t>
            </w:r>
            <w:r w:rsidRPr="00340DFE">
              <w:rPr>
                <w:rFonts w:eastAsia="Times New Roman" w:cs="Times New Roman"/>
                <w:b/>
                <w:bCs/>
                <w:color w:val="000000"/>
                <w:sz w:val="20"/>
                <w:szCs w:val="20"/>
              </w:rPr>
              <w:t>s</w:t>
            </w:r>
          </w:p>
        </w:tc>
        <w:tc>
          <w:tcPr>
            <w:tcW w:w="0" w:type="auto"/>
            <w:tcBorders>
              <w:top w:val="single" w:sz="4" w:space="0" w:color="auto"/>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D4A71">
        <w:trPr>
          <w:trHeight w:val="120"/>
        </w:trPr>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 </w:t>
            </w: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b/>
                <w:bCs/>
                <w:color w:val="000000"/>
                <w:sz w:val="20"/>
                <w:szCs w:val="20"/>
              </w:rPr>
            </w:pPr>
            <w:r w:rsidRPr="00340DFE">
              <w:rPr>
                <w:rFonts w:eastAsia="Times New Roman" w:cs="Times New Roman"/>
                <w:b/>
                <w:bCs/>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D4A71">
        <w:trPr>
          <w:trHeight w:val="300"/>
        </w:trPr>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b/>
                <w:color w:val="000000"/>
                <w:sz w:val="20"/>
                <w:szCs w:val="20"/>
              </w:rPr>
            </w:pPr>
            <w:bookmarkStart w:id="2" w:name="RANGE!A3:N22"/>
            <w:bookmarkEnd w:id="2"/>
            <w:r w:rsidRPr="00340DFE">
              <w:rPr>
                <w:rFonts w:eastAsia="Times New Roman" w:cs="Times New Roman"/>
                <w:b/>
                <w:color w:val="000000"/>
                <w:sz w:val="20"/>
                <w:szCs w:val="20"/>
              </w:rPr>
              <w:t>Demand-pull</w:t>
            </w: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gridSpan w:val="5"/>
            <w:tcBorders>
              <w:top w:val="nil"/>
              <w:left w:val="single" w:sz="4" w:space="0" w:color="auto"/>
              <w:bottom w:val="nil"/>
              <w:right w:val="dashed" w:sz="4" w:space="0" w:color="auto"/>
            </w:tcBorders>
            <w:shd w:val="clear" w:color="auto" w:fill="auto"/>
            <w:noWrap/>
            <w:vAlign w:val="bottom"/>
            <w:hideMark/>
          </w:tcPr>
          <w:p w:rsidR="00340DFE" w:rsidRPr="00340DFE" w:rsidRDefault="00340DFE" w:rsidP="000A5D28">
            <w:pPr>
              <w:spacing w:after="0" w:line="240" w:lineRule="auto"/>
              <w:jc w:val="center"/>
              <w:rPr>
                <w:rFonts w:eastAsia="Times New Roman" w:cs="Times New Roman"/>
                <w:b/>
                <w:bCs/>
                <w:color w:val="000000"/>
                <w:sz w:val="20"/>
                <w:szCs w:val="20"/>
              </w:rPr>
            </w:pPr>
            <w:r>
              <w:rPr>
                <w:rFonts w:ascii="Times New Roman" w:hAnsi="Times New Roman" w:cs="Times New Roman"/>
              </w:rPr>
              <w:t xml:space="preserve">┌───            </w:t>
            </w:r>
            <w:r w:rsidR="000A5D28">
              <w:rPr>
                <w:rFonts w:ascii="Times New Roman" w:hAnsi="Times New Roman" w:cs="Times New Roman"/>
              </w:rPr>
              <w:t xml:space="preserve">    </w:t>
            </w:r>
            <w:r>
              <w:rPr>
                <w:rFonts w:ascii="Times New Roman" w:hAnsi="Times New Roman" w:cs="Times New Roman"/>
              </w:rPr>
              <w:t xml:space="preserve">    </w:t>
            </w:r>
            <w:r>
              <w:rPr>
                <w:rFonts w:eastAsia="Times New Roman" w:cs="Times New Roman"/>
                <w:b/>
                <w:bCs/>
                <w:color w:val="000000"/>
                <w:sz w:val="20"/>
                <w:szCs w:val="20"/>
              </w:rPr>
              <w:t xml:space="preserve">Real cost      </w:t>
            </w:r>
            <w:r w:rsidR="000A5D28">
              <w:rPr>
                <w:rFonts w:eastAsia="Times New Roman" w:cs="Times New Roman"/>
                <w:b/>
                <w:bCs/>
                <w:color w:val="000000"/>
                <w:sz w:val="20"/>
                <w:szCs w:val="20"/>
              </w:rPr>
              <w:t xml:space="preserve">     </w:t>
            </w:r>
            <w:r>
              <w:rPr>
                <w:rFonts w:eastAsia="Times New Roman" w:cs="Times New Roman"/>
                <w:b/>
                <w:bCs/>
                <w:color w:val="000000"/>
                <w:sz w:val="20"/>
                <w:szCs w:val="20"/>
              </w:rPr>
              <w:t xml:space="preserve">          </w:t>
            </w:r>
            <w:r>
              <w:rPr>
                <w:rFonts w:ascii="Times New Roman" w:hAnsi="Times New Roman" w:cs="Times New Roman"/>
              </w:rPr>
              <w:t>───┐</w:t>
            </w:r>
          </w:p>
        </w:tc>
        <w:tc>
          <w:tcPr>
            <w:tcW w:w="0" w:type="auto"/>
            <w:tcBorders>
              <w:top w:val="nil"/>
              <w:left w:val="dashed" w:sz="4" w:space="0" w:color="auto"/>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Surplus</w:t>
            </w: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D4A71">
        <w:trPr>
          <w:trHeight w:val="300"/>
        </w:trPr>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gridSpan w:val="2"/>
            <w:tcBorders>
              <w:top w:val="nil"/>
              <w:left w:val="single" w:sz="4" w:space="0" w:color="auto"/>
              <w:bottom w:val="nil"/>
              <w:right w:val="nil"/>
            </w:tcBorders>
            <w:shd w:val="clear" w:color="auto" w:fill="auto"/>
            <w:noWrap/>
            <w:vAlign w:val="bottom"/>
            <w:hideMark/>
          </w:tcPr>
          <w:p w:rsidR="00340DFE" w:rsidRPr="00340DFE" w:rsidRDefault="00D84642" w:rsidP="00340DFE">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C</w:t>
            </w:r>
            <w:r w:rsidR="00340DFE" w:rsidRPr="00340DFE">
              <w:rPr>
                <w:rFonts w:eastAsia="Times New Roman" w:cs="Times New Roman"/>
                <w:b/>
                <w:bCs/>
                <w:color w:val="000000"/>
                <w:sz w:val="20"/>
                <w:szCs w:val="20"/>
              </w:rPr>
              <w:t>lassical</w:t>
            </w: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gridSpan w:val="2"/>
            <w:tcBorders>
              <w:top w:val="nil"/>
              <w:left w:val="nil"/>
              <w:bottom w:val="nil"/>
              <w:right w:val="dashed" w:sz="4" w:space="0" w:color="auto"/>
            </w:tcBorders>
            <w:shd w:val="clear" w:color="auto" w:fill="auto"/>
            <w:noWrap/>
            <w:vAlign w:val="bottom"/>
            <w:hideMark/>
          </w:tcPr>
          <w:p w:rsidR="00340DFE" w:rsidRPr="00340DFE" w:rsidRDefault="004D39C2" w:rsidP="00340DFE">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O</w:t>
            </w:r>
            <w:r w:rsidR="00340DFE" w:rsidRPr="00340DFE">
              <w:rPr>
                <w:rFonts w:eastAsia="Times New Roman" w:cs="Times New Roman"/>
                <w:b/>
                <w:bCs/>
                <w:color w:val="000000"/>
                <w:sz w:val="20"/>
                <w:szCs w:val="20"/>
              </w:rPr>
              <w:t>pen</w:t>
            </w:r>
          </w:p>
        </w:tc>
        <w:tc>
          <w:tcPr>
            <w:tcW w:w="0" w:type="auto"/>
            <w:tcBorders>
              <w:top w:val="nil"/>
              <w:left w:val="dashed"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b/>
                <w:bCs/>
                <w:color w:val="000000"/>
                <w:sz w:val="20"/>
                <w:szCs w:val="20"/>
              </w:rPr>
            </w:pPr>
            <w:r w:rsidRPr="00340DFE">
              <w:rPr>
                <w:rFonts w:eastAsia="Times New Roman" w:cs="Times New Roman"/>
                <w:b/>
                <w:bCs/>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427EC">
        <w:trPr>
          <w:trHeight w:val="600"/>
        </w:trPr>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single" w:sz="4" w:space="0" w:color="auto"/>
            </w:tcBorders>
            <w:shd w:val="clear" w:color="auto" w:fill="auto"/>
            <w:vAlign w:val="bottom"/>
            <w:hideMark/>
          </w:tcPr>
          <w:p w:rsidR="00A2195A" w:rsidRDefault="00340DFE" w:rsidP="00A2195A">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1</w:t>
            </w:r>
            <w:r w:rsidR="00A2195A">
              <w:rPr>
                <w:rFonts w:eastAsia="Times New Roman" w:cs="Times New Roman"/>
                <w:color w:val="000000"/>
                <w:sz w:val="20"/>
                <w:szCs w:val="20"/>
              </w:rPr>
              <w:t xml:space="preserve"> =</w:t>
            </w:r>
          </w:p>
          <w:p w:rsidR="00340DFE" w:rsidRPr="00340DFE" w:rsidRDefault="00A2195A" w:rsidP="00340DFE">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w:t>
            </w:r>
          </w:p>
        </w:tc>
        <w:tc>
          <w:tcPr>
            <w:tcW w:w="0" w:type="auto"/>
            <w:tcBorders>
              <w:top w:val="nil"/>
              <w:left w:val="single" w:sz="4" w:space="0" w:color="auto"/>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2</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3</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 xml:space="preserve">4 = </w:t>
            </w:r>
          </w:p>
          <w:p w:rsidR="00340DFE" w:rsidRP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8 + 9</w:t>
            </w:r>
          </w:p>
        </w:tc>
        <w:tc>
          <w:tcPr>
            <w:tcW w:w="0" w:type="auto"/>
            <w:tcBorders>
              <w:top w:val="nil"/>
              <w:left w:val="nil"/>
              <w:right w:val="dashed" w:sz="4" w:space="0" w:color="auto"/>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 xml:space="preserve">5 = </w:t>
            </w:r>
          </w:p>
          <w:p w:rsidR="00340DFE" w:rsidRP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2 + 3 + 4</w:t>
            </w:r>
          </w:p>
        </w:tc>
        <w:tc>
          <w:tcPr>
            <w:tcW w:w="0" w:type="auto"/>
            <w:tcBorders>
              <w:top w:val="nil"/>
              <w:left w:val="dashed" w:sz="4" w:space="0" w:color="auto"/>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6</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7</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single" w:sz="4" w:space="0" w:color="auto"/>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8</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single" w:sz="4" w:space="0" w:color="auto"/>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9</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single" w:sz="4" w:space="0" w:color="auto"/>
              <w:right w:val="nil"/>
            </w:tcBorders>
            <w:shd w:val="clear" w:color="auto" w:fill="auto"/>
            <w:vAlign w:val="bottom"/>
            <w:hideMark/>
          </w:tcPr>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 xml:space="preserve">10 = </w:t>
            </w:r>
          </w:p>
          <w:p w:rsidR="00340DFE" w:rsidRP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5 + 6 = 1</w:t>
            </w:r>
          </w:p>
        </w:tc>
      </w:tr>
      <w:tr w:rsidR="000A5D28" w:rsidRPr="00340DFE" w:rsidTr="004427EC">
        <w:trPr>
          <w:trHeight w:val="660"/>
        </w:trPr>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single" w:sz="4" w:space="0" w:color="auto"/>
            </w:tcBorders>
            <w:shd w:val="clear" w:color="auto" w:fill="auto"/>
            <w:vAlign w:val="bottom"/>
            <w:hideMark/>
          </w:tcPr>
          <w:p w:rsidR="00340DFE" w:rsidRP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Total pull</w:t>
            </w:r>
          </w:p>
        </w:tc>
        <w:tc>
          <w:tcPr>
            <w:tcW w:w="0" w:type="auto"/>
            <w:tcBorders>
              <w:top w:val="nil"/>
              <w:left w:val="single" w:sz="4" w:space="0" w:color="auto"/>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Wages and salaries</w:t>
            </w: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 + Taxes</w:t>
            </w: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 + Operating inputs</w:t>
            </w:r>
          </w:p>
        </w:tc>
        <w:tc>
          <w:tcPr>
            <w:tcW w:w="0" w:type="auto"/>
            <w:tcBorders>
              <w:top w:val="nil"/>
              <w:left w:val="nil"/>
              <w:right w:val="dashed" w:sz="4" w:space="0" w:color="auto"/>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 = Total real cost</w:t>
            </w:r>
          </w:p>
        </w:tc>
        <w:tc>
          <w:tcPr>
            <w:tcW w:w="0" w:type="auto"/>
            <w:tcBorders>
              <w:top w:val="nil"/>
              <w:left w:val="dashed" w:sz="4" w:space="0" w:color="auto"/>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Surplus, to reserves</w:t>
            </w: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Internal transfers</w:t>
            </w: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single" w:sz="4" w:space="0" w:color="auto"/>
              <w:right w:val="nil"/>
            </w:tcBorders>
            <w:shd w:val="clear" w:color="auto" w:fill="auto"/>
            <w:vAlign w:val="bottom"/>
            <w:hideMark/>
          </w:tcPr>
          <w:p w:rsidR="00340DFE" w:rsidRPr="00340DFE" w:rsidRDefault="00340DFE" w:rsidP="004D4A71">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Economy </w:t>
            </w:r>
            <w:r w:rsidR="004D4A71">
              <w:rPr>
                <w:rFonts w:eastAsia="Times New Roman" w:cs="Times New Roman"/>
                <w:color w:val="000000"/>
                <w:sz w:val="20"/>
                <w:szCs w:val="20"/>
              </w:rPr>
              <w:t>primary inputs</w:t>
            </w:r>
          </w:p>
        </w:tc>
        <w:tc>
          <w:tcPr>
            <w:tcW w:w="0" w:type="auto"/>
            <w:tcBorders>
              <w:top w:val="nil"/>
              <w:left w:val="nil"/>
              <w:right w:val="single" w:sz="4" w:space="0" w:color="auto"/>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Economy imports</w:t>
            </w:r>
          </w:p>
        </w:tc>
        <w:tc>
          <w:tcPr>
            <w:tcW w:w="0" w:type="auto"/>
            <w:tcBorders>
              <w:top w:val="nil"/>
              <w:left w:val="single" w:sz="4" w:space="0" w:color="auto"/>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Total input-output </w:t>
            </w:r>
            <w:r w:rsidR="002E1D64">
              <w:rPr>
                <w:rFonts w:eastAsia="Times New Roman" w:cs="Times New Roman"/>
                <w:color w:val="000000"/>
                <w:sz w:val="20"/>
                <w:szCs w:val="20"/>
              </w:rPr>
              <w:t>requirement</w:t>
            </w:r>
          </w:p>
        </w:tc>
      </w:tr>
      <w:tr w:rsidR="000A5D28" w:rsidRPr="00340DFE" w:rsidTr="004427EC">
        <w:trPr>
          <w:trHeight w:hRule="exact" w:val="113"/>
        </w:trPr>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dashed"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dashed"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 </w:t>
            </w:r>
          </w:p>
        </w:tc>
        <w:tc>
          <w:tcPr>
            <w:tcW w:w="0" w:type="auto"/>
            <w:tcBorders>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D4A71">
        <w:trPr>
          <w:trHeight w:val="330"/>
        </w:trPr>
        <w:tc>
          <w:tcPr>
            <w:tcW w:w="0" w:type="auto"/>
            <w:vMerge w:val="restart"/>
            <w:tcBorders>
              <w:top w:val="nil"/>
              <w:left w:val="nil"/>
              <w:right w:val="nil"/>
            </w:tcBorders>
            <w:shd w:val="clear" w:color="auto" w:fill="auto"/>
            <w:vAlign w:val="bottom"/>
            <w:hideMark/>
          </w:tcPr>
          <w:p w:rsidR="000A5D28" w:rsidRPr="00340DFE" w:rsidRDefault="000A5D28"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5% Research demand</w:t>
            </w:r>
          </w:p>
        </w:tc>
        <w:tc>
          <w:tcPr>
            <w:tcW w:w="0" w:type="auto"/>
            <w:vMerge w:val="restart"/>
            <w:tcBorders>
              <w:top w:val="nil"/>
              <w:left w:val="nil"/>
              <w:right w:val="single" w:sz="4" w:space="0" w:color="auto"/>
            </w:tcBorders>
            <w:shd w:val="clear" w:color="auto" w:fill="auto"/>
            <w:noWrap/>
            <w:vAlign w:val="center"/>
            <w:hideMark/>
          </w:tcPr>
          <w:p w:rsidR="000A5D28" w:rsidRPr="00340DFE" w:rsidRDefault="000A5D28" w:rsidP="000A5D28">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6.9</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3.4</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0.2</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3.1</w:t>
            </w:r>
          </w:p>
        </w:tc>
        <w:tc>
          <w:tcPr>
            <w:tcW w:w="0" w:type="auto"/>
            <w:tcBorders>
              <w:top w:val="nil"/>
              <w:left w:val="nil"/>
              <w:bottom w:val="nil"/>
              <w:right w:val="dashed"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6.7</w:t>
            </w:r>
          </w:p>
        </w:tc>
        <w:tc>
          <w:tcPr>
            <w:tcW w:w="0" w:type="auto"/>
            <w:tcBorders>
              <w:top w:val="nil"/>
              <w:left w:val="dashed"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0.2</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0.5</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2.4</w:t>
            </w:r>
          </w:p>
        </w:tc>
        <w:tc>
          <w:tcPr>
            <w:tcW w:w="0" w:type="auto"/>
            <w:tcBorders>
              <w:top w:val="nil"/>
              <w:left w:val="nil"/>
              <w:bottom w:val="nil"/>
              <w:right w:val="single"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0.7</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6.9</w:t>
            </w:r>
          </w:p>
        </w:tc>
      </w:tr>
      <w:tr w:rsidR="000A5D28" w:rsidRPr="00340DFE" w:rsidTr="004D4A71">
        <w:trPr>
          <w:trHeight w:val="330"/>
        </w:trPr>
        <w:tc>
          <w:tcPr>
            <w:tcW w:w="0" w:type="auto"/>
            <w:vMerge/>
            <w:tcBorders>
              <w:left w:val="nil"/>
              <w:bottom w:val="nil"/>
              <w:right w:val="nil"/>
            </w:tcBorders>
            <w:shd w:val="clear" w:color="auto" w:fill="auto"/>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vMerge/>
            <w:tcBorders>
              <w:left w:val="nil"/>
              <w:bottom w:val="nil"/>
              <w:right w:val="single" w:sz="4" w:space="0" w:color="auto"/>
            </w:tcBorders>
            <w:shd w:val="clear" w:color="auto" w:fill="auto"/>
            <w:noWrap/>
            <w:vAlign w:val="bottom"/>
            <w:hideMark/>
          </w:tcPr>
          <w:p w:rsidR="000A5D28" w:rsidRPr="00340DFE" w:rsidRDefault="000A5D28" w:rsidP="000A5D28">
            <w:pPr>
              <w:spacing w:after="0" w:line="240" w:lineRule="auto"/>
              <w:jc w:val="right"/>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49¢/$</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3¢/$</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45¢/$</w:t>
            </w:r>
          </w:p>
        </w:tc>
        <w:tc>
          <w:tcPr>
            <w:tcW w:w="0" w:type="auto"/>
            <w:tcBorders>
              <w:top w:val="nil"/>
              <w:left w:val="nil"/>
              <w:bottom w:val="nil"/>
              <w:right w:val="dashed"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97¢/$</w:t>
            </w:r>
          </w:p>
        </w:tc>
        <w:tc>
          <w:tcPr>
            <w:tcW w:w="0" w:type="auto"/>
            <w:tcBorders>
              <w:top w:val="nil"/>
              <w:left w:val="dashed"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3¢/$</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34¢/$</w:t>
            </w:r>
          </w:p>
        </w:tc>
        <w:tc>
          <w:tcPr>
            <w:tcW w:w="0" w:type="auto"/>
            <w:tcBorders>
              <w:top w:val="nil"/>
              <w:left w:val="nil"/>
              <w:bottom w:val="nil"/>
              <w:right w:val="single"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11¢/$</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100¢/$</w:t>
            </w:r>
          </w:p>
        </w:tc>
      </w:tr>
      <w:tr w:rsidR="000A5D28" w:rsidRPr="00340DFE" w:rsidTr="004D4A71">
        <w:trPr>
          <w:trHeight w:hRule="exact" w:val="113"/>
        </w:trPr>
        <w:tc>
          <w:tcPr>
            <w:tcW w:w="0" w:type="auto"/>
            <w:tcBorders>
              <w:top w:val="nil"/>
              <w:left w:val="nil"/>
              <w:bottom w:val="nil"/>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single" w:sz="4" w:space="0" w:color="auto"/>
            </w:tcBorders>
            <w:shd w:val="clear" w:color="auto" w:fill="auto"/>
            <w:noWrap/>
            <w:vAlign w:val="bottom"/>
            <w:hideMark/>
          </w:tcPr>
          <w:p w:rsidR="00340DFE" w:rsidRPr="00340DFE" w:rsidRDefault="00340DFE" w:rsidP="000A5D28">
            <w:pPr>
              <w:spacing w:after="0" w:line="240" w:lineRule="auto"/>
              <w:jc w:val="right"/>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dashed" w:sz="4" w:space="0" w:color="auto"/>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dashed" w:sz="4" w:space="0" w:color="auto"/>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r>
      <w:tr w:rsidR="000A5D28" w:rsidRPr="00340DFE" w:rsidTr="004D4A71">
        <w:trPr>
          <w:trHeight w:val="330"/>
        </w:trPr>
        <w:tc>
          <w:tcPr>
            <w:tcW w:w="0" w:type="auto"/>
            <w:vMerge w:val="restart"/>
            <w:tcBorders>
              <w:top w:val="nil"/>
              <w:left w:val="nil"/>
              <w:right w:val="nil"/>
            </w:tcBorders>
            <w:shd w:val="clear" w:color="auto" w:fill="auto"/>
            <w:vAlign w:val="bottom"/>
            <w:hideMark/>
          </w:tcPr>
          <w:p w:rsidR="000A5D28" w:rsidRPr="00340DFE" w:rsidRDefault="000A5D28"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5% Teaching demand</w:t>
            </w:r>
          </w:p>
        </w:tc>
        <w:tc>
          <w:tcPr>
            <w:tcW w:w="0" w:type="auto"/>
            <w:vMerge w:val="restart"/>
            <w:tcBorders>
              <w:top w:val="nil"/>
              <w:left w:val="nil"/>
              <w:right w:val="single" w:sz="4" w:space="0" w:color="auto"/>
            </w:tcBorders>
            <w:shd w:val="clear" w:color="auto" w:fill="auto"/>
            <w:noWrap/>
            <w:vAlign w:val="center"/>
            <w:hideMark/>
          </w:tcPr>
          <w:p w:rsidR="000A5D28" w:rsidRPr="00340DFE" w:rsidRDefault="000A5D28" w:rsidP="000A5D28">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15.5</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8.3</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0.4</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2.5</w:t>
            </w:r>
          </w:p>
        </w:tc>
        <w:tc>
          <w:tcPr>
            <w:tcW w:w="0" w:type="auto"/>
            <w:tcBorders>
              <w:top w:val="nil"/>
              <w:left w:val="nil"/>
              <w:bottom w:val="nil"/>
              <w:right w:val="dashed"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11.2</w:t>
            </w:r>
          </w:p>
        </w:tc>
        <w:tc>
          <w:tcPr>
            <w:tcW w:w="0" w:type="auto"/>
            <w:tcBorders>
              <w:top w:val="nil"/>
              <w:left w:val="dashed"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4.3</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9.2</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1.9</w:t>
            </w:r>
          </w:p>
        </w:tc>
        <w:tc>
          <w:tcPr>
            <w:tcW w:w="0" w:type="auto"/>
            <w:tcBorders>
              <w:top w:val="nil"/>
              <w:left w:val="nil"/>
              <w:bottom w:val="nil"/>
              <w:right w:val="single"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0.6</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15.5</w:t>
            </w:r>
          </w:p>
        </w:tc>
      </w:tr>
      <w:tr w:rsidR="000A5D28" w:rsidRPr="00340DFE" w:rsidTr="004D4A71">
        <w:trPr>
          <w:trHeight w:val="330"/>
        </w:trPr>
        <w:tc>
          <w:tcPr>
            <w:tcW w:w="0" w:type="auto"/>
            <w:vMerge/>
            <w:tcBorders>
              <w:left w:val="nil"/>
              <w:bottom w:val="nil"/>
              <w:right w:val="nil"/>
            </w:tcBorders>
            <w:shd w:val="clear" w:color="auto" w:fill="auto"/>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vMerge/>
            <w:tcBorders>
              <w:left w:val="nil"/>
              <w:bottom w:val="nil"/>
              <w:right w:val="single" w:sz="4" w:space="0" w:color="auto"/>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53¢/$</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3¢/$</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16¢/$</w:t>
            </w:r>
          </w:p>
        </w:tc>
        <w:tc>
          <w:tcPr>
            <w:tcW w:w="0" w:type="auto"/>
            <w:tcBorders>
              <w:top w:val="nil"/>
              <w:left w:val="nil"/>
              <w:bottom w:val="nil"/>
              <w:right w:val="dashed"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72¢/$</w:t>
            </w:r>
          </w:p>
        </w:tc>
        <w:tc>
          <w:tcPr>
            <w:tcW w:w="0" w:type="auto"/>
            <w:tcBorders>
              <w:top w:val="nil"/>
              <w:left w:val="dashed"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28¢/$</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12¢/$</w:t>
            </w:r>
          </w:p>
        </w:tc>
        <w:tc>
          <w:tcPr>
            <w:tcW w:w="0" w:type="auto"/>
            <w:tcBorders>
              <w:top w:val="nil"/>
              <w:left w:val="nil"/>
              <w:bottom w:val="nil"/>
              <w:right w:val="single"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4¢/$</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100¢/$</w:t>
            </w:r>
          </w:p>
        </w:tc>
      </w:tr>
      <w:tr w:rsidR="000A5D28" w:rsidRPr="00340DFE" w:rsidTr="00440A57">
        <w:trPr>
          <w:trHeight w:hRule="exact" w:val="283"/>
        </w:trPr>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 </w:t>
            </w: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427EC">
        <w:trPr>
          <w:trHeight w:val="330"/>
        </w:trPr>
        <w:tc>
          <w:tcPr>
            <w:tcW w:w="0" w:type="auto"/>
            <w:tcBorders>
              <w:left w:val="nil"/>
              <w:bottom w:val="nil"/>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r>
              <w:rPr>
                <w:rFonts w:eastAsia="Times New Roman" w:cs="Times New Roman"/>
                <w:b/>
                <w:color w:val="000000"/>
                <w:sz w:val="20"/>
                <w:szCs w:val="20"/>
              </w:rPr>
              <w:t>Supply-push</w:t>
            </w: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gridSpan w:val="5"/>
            <w:tcBorders>
              <w:left w:val="single" w:sz="4" w:space="0" w:color="auto"/>
              <w:bottom w:val="nil"/>
              <w:right w:val="dashed" w:sz="4" w:space="0" w:color="auto"/>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r>
              <w:rPr>
                <w:rFonts w:ascii="Times New Roman" w:hAnsi="Times New Roman" w:cs="Times New Roman"/>
              </w:rPr>
              <w:t xml:space="preserve">┌───             </w:t>
            </w:r>
            <w:r w:rsidR="000A5D28">
              <w:rPr>
                <w:rFonts w:ascii="Times New Roman" w:hAnsi="Times New Roman" w:cs="Times New Roman"/>
              </w:rPr>
              <w:t xml:space="preserve"> </w:t>
            </w:r>
            <w:r>
              <w:rPr>
                <w:rFonts w:ascii="Times New Roman" w:hAnsi="Times New Roman" w:cs="Times New Roman"/>
              </w:rPr>
              <w:t xml:space="preserve">   </w:t>
            </w:r>
            <w:r>
              <w:rPr>
                <w:rFonts w:eastAsia="Times New Roman" w:cs="Times New Roman"/>
                <w:b/>
                <w:bCs/>
                <w:color w:val="000000"/>
                <w:sz w:val="20"/>
                <w:szCs w:val="20"/>
              </w:rPr>
              <w:t xml:space="preserve">Real revenue                  </w:t>
            </w:r>
            <w:r>
              <w:rPr>
                <w:rFonts w:ascii="Times New Roman" w:hAnsi="Times New Roman" w:cs="Times New Roman"/>
              </w:rPr>
              <w:t>───┐</w:t>
            </w:r>
          </w:p>
        </w:tc>
        <w:tc>
          <w:tcPr>
            <w:tcW w:w="0" w:type="auto"/>
            <w:tcBorders>
              <w:left w:val="dashed" w:sz="4" w:space="0" w:color="auto"/>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Deficit</w:t>
            </w: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 </w:t>
            </w:r>
          </w:p>
        </w:tc>
        <w:tc>
          <w:tcPr>
            <w:tcW w:w="0" w:type="auto"/>
            <w:tcBorders>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D4A71">
        <w:trPr>
          <w:trHeight w:val="330"/>
        </w:trPr>
        <w:tc>
          <w:tcPr>
            <w:tcW w:w="0" w:type="auto"/>
            <w:tcBorders>
              <w:top w:val="nil"/>
              <w:left w:val="nil"/>
              <w:bottom w:val="nil"/>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gridSpan w:val="2"/>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classical</w:t>
            </w: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center"/>
              <w:rPr>
                <w:rFonts w:eastAsia="Times New Roman" w:cs="Times New Roman"/>
                <w:b/>
                <w:bCs/>
                <w:color w:val="000000"/>
                <w:sz w:val="20"/>
                <w:szCs w:val="20"/>
              </w:rPr>
            </w:pPr>
          </w:p>
        </w:tc>
        <w:tc>
          <w:tcPr>
            <w:tcW w:w="0" w:type="auto"/>
            <w:gridSpan w:val="2"/>
            <w:tcBorders>
              <w:top w:val="nil"/>
              <w:left w:val="nil"/>
              <w:bottom w:val="nil"/>
              <w:right w:val="dashed" w:sz="4" w:space="0" w:color="auto"/>
            </w:tcBorders>
            <w:shd w:val="clear" w:color="auto" w:fill="auto"/>
            <w:noWrap/>
            <w:vAlign w:val="bottom"/>
            <w:hideMark/>
          </w:tcPr>
          <w:p w:rsidR="00340DFE" w:rsidRPr="00340DFE" w:rsidRDefault="004D39C2" w:rsidP="00340DFE">
            <w:pPr>
              <w:spacing w:after="0" w:line="240" w:lineRule="auto"/>
              <w:jc w:val="center"/>
              <w:rPr>
                <w:rFonts w:eastAsia="Times New Roman" w:cs="Times New Roman"/>
                <w:b/>
                <w:bCs/>
                <w:color w:val="000000"/>
                <w:sz w:val="20"/>
                <w:szCs w:val="20"/>
              </w:rPr>
            </w:pPr>
            <w:r w:rsidRPr="00340DFE">
              <w:rPr>
                <w:rFonts w:eastAsia="Times New Roman" w:cs="Times New Roman"/>
                <w:b/>
                <w:bCs/>
                <w:color w:val="000000"/>
                <w:sz w:val="20"/>
                <w:szCs w:val="20"/>
              </w:rPr>
              <w:t>O</w:t>
            </w:r>
            <w:r w:rsidR="00340DFE" w:rsidRPr="00340DFE">
              <w:rPr>
                <w:rFonts w:eastAsia="Times New Roman" w:cs="Times New Roman"/>
                <w:b/>
                <w:bCs/>
                <w:color w:val="000000"/>
                <w:sz w:val="20"/>
                <w:szCs w:val="20"/>
              </w:rPr>
              <w:t>pen</w:t>
            </w:r>
          </w:p>
        </w:tc>
        <w:tc>
          <w:tcPr>
            <w:tcW w:w="0" w:type="auto"/>
            <w:tcBorders>
              <w:top w:val="nil"/>
              <w:left w:val="dashed"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b/>
                <w:bCs/>
                <w:color w:val="000000"/>
                <w:sz w:val="20"/>
                <w:szCs w:val="20"/>
              </w:rPr>
            </w:pPr>
            <w:r w:rsidRPr="00340DFE">
              <w:rPr>
                <w:rFonts w:eastAsia="Times New Roman" w:cs="Times New Roman"/>
                <w:b/>
                <w:bCs/>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427EC">
        <w:trPr>
          <w:trHeight w:val="330"/>
        </w:trPr>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single" w:sz="4" w:space="0" w:color="auto"/>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1</w:t>
            </w:r>
            <w:r w:rsidR="00A2195A">
              <w:rPr>
                <w:rFonts w:eastAsia="Times New Roman" w:cs="Times New Roman"/>
                <w:color w:val="000000"/>
                <w:sz w:val="20"/>
                <w:szCs w:val="20"/>
              </w:rPr>
              <w:t xml:space="preserve"> =</w:t>
            </w:r>
          </w:p>
          <w:p w:rsidR="00340DFE" w:rsidRPr="00340DFE" w:rsidRDefault="00A2195A" w:rsidP="00340DFE">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w:t>
            </w:r>
          </w:p>
        </w:tc>
        <w:tc>
          <w:tcPr>
            <w:tcW w:w="0" w:type="auto"/>
            <w:tcBorders>
              <w:top w:val="nil"/>
              <w:left w:val="single" w:sz="4" w:space="0" w:color="auto"/>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2</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3</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 xml:space="preserve">4 = </w:t>
            </w:r>
          </w:p>
          <w:p w:rsidR="00340DFE" w:rsidRP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8 + 9</w:t>
            </w:r>
          </w:p>
        </w:tc>
        <w:tc>
          <w:tcPr>
            <w:tcW w:w="0" w:type="auto"/>
            <w:tcBorders>
              <w:top w:val="nil"/>
              <w:left w:val="nil"/>
              <w:right w:val="dashed" w:sz="4" w:space="0" w:color="auto"/>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 xml:space="preserve">5 = </w:t>
            </w:r>
          </w:p>
          <w:p w:rsidR="00340DFE" w:rsidRP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2 + 3 + 4</w:t>
            </w:r>
          </w:p>
        </w:tc>
        <w:tc>
          <w:tcPr>
            <w:tcW w:w="0" w:type="auto"/>
            <w:tcBorders>
              <w:top w:val="nil"/>
              <w:left w:val="dashed" w:sz="4" w:space="0" w:color="auto"/>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6</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7</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single" w:sz="4" w:space="0" w:color="auto"/>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8</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single" w:sz="4" w:space="0" w:color="auto"/>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9</w:t>
            </w:r>
          </w:p>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single" w:sz="4" w:space="0" w:color="auto"/>
              <w:right w:val="nil"/>
            </w:tcBorders>
            <w:shd w:val="clear" w:color="auto" w:fill="auto"/>
            <w:vAlign w:val="bottom"/>
            <w:hideMark/>
          </w:tcPr>
          <w:p w:rsidR="00340DFE" w:rsidRPr="00340DFE" w:rsidRDefault="00340DFE" w:rsidP="00340DFE">
            <w:pPr>
              <w:spacing w:after="0" w:line="240" w:lineRule="auto"/>
              <w:jc w:val="center"/>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 xml:space="preserve">10 = </w:t>
            </w:r>
          </w:p>
          <w:p w:rsidR="00340DFE" w:rsidRP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5 + 6 = 1</w:t>
            </w:r>
          </w:p>
        </w:tc>
      </w:tr>
      <w:tr w:rsidR="000A5D28" w:rsidRPr="00340DFE" w:rsidTr="004427EC">
        <w:trPr>
          <w:trHeight w:val="885"/>
        </w:trPr>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right w:val="single" w:sz="4" w:space="0" w:color="auto"/>
            </w:tcBorders>
            <w:shd w:val="clear" w:color="auto" w:fill="auto"/>
            <w:vAlign w:val="bottom"/>
            <w:hideMark/>
          </w:tcPr>
          <w:p w:rsidR="00340DFE" w:rsidRPr="00340DFE" w:rsidRDefault="00340DFE" w:rsidP="00340DFE">
            <w:pPr>
              <w:spacing w:after="0" w:line="240" w:lineRule="auto"/>
              <w:jc w:val="center"/>
              <w:rPr>
                <w:rFonts w:eastAsia="Times New Roman" w:cs="Times New Roman"/>
                <w:color w:val="000000"/>
                <w:sz w:val="20"/>
                <w:szCs w:val="20"/>
              </w:rPr>
            </w:pPr>
            <w:r w:rsidRPr="00340DFE">
              <w:rPr>
                <w:rFonts w:eastAsia="Times New Roman" w:cs="Times New Roman"/>
                <w:color w:val="000000"/>
                <w:sz w:val="20"/>
                <w:szCs w:val="20"/>
              </w:rPr>
              <w:t>Total push</w:t>
            </w:r>
          </w:p>
        </w:tc>
        <w:tc>
          <w:tcPr>
            <w:tcW w:w="0" w:type="auto"/>
            <w:tcBorders>
              <w:top w:val="nil"/>
              <w:left w:val="single" w:sz="4" w:space="0" w:color="auto"/>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Private revenue &amp; exports</w:t>
            </w: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 + Government revenue</w:t>
            </w: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 + Industry revenue</w:t>
            </w:r>
          </w:p>
        </w:tc>
        <w:tc>
          <w:tcPr>
            <w:tcW w:w="0" w:type="auto"/>
            <w:tcBorders>
              <w:top w:val="nil"/>
              <w:left w:val="nil"/>
              <w:right w:val="dashed" w:sz="4" w:space="0" w:color="auto"/>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 = Total real revenue</w:t>
            </w:r>
          </w:p>
        </w:tc>
        <w:tc>
          <w:tcPr>
            <w:tcW w:w="0" w:type="auto"/>
            <w:tcBorders>
              <w:top w:val="nil"/>
              <w:left w:val="dashed" w:sz="4" w:space="0" w:color="auto"/>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Deficit, from reserves</w:t>
            </w: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Internal transfers</w:t>
            </w:r>
          </w:p>
        </w:tc>
        <w:tc>
          <w:tcPr>
            <w:tcW w:w="0" w:type="auto"/>
            <w:tcBorders>
              <w:top w:val="nil"/>
              <w:left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single" w:sz="4" w:space="0" w:color="auto"/>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Economy    final demand</w:t>
            </w:r>
          </w:p>
        </w:tc>
        <w:tc>
          <w:tcPr>
            <w:tcW w:w="0" w:type="auto"/>
            <w:tcBorders>
              <w:top w:val="nil"/>
              <w:left w:val="nil"/>
              <w:right w:val="single" w:sz="4" w:space="0" w:color="auto"/>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Economy exports</w:t>
            </w:r>
          </w:p>
        </w:tc>
        <w:tc>
          <w:tcPr>
            <w:tcW w:w="0" w:type="auto"/>
            <w:tcBorders>
              <w:top w:val="nil"/>
              <w:left w:val="single" w:sz="4" w:space="0" w:color="auto"/>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right w:val="nil"/>
            </w:tcBorders>
            <w:shd w:val="clear" w:color="auto" w:fill="auto"/>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xml:space="preserve">Total input-output </w:t>
            </w:r>
            <w:r w:rsidR="002E1D64">
              <w:rPr>
                <w:rFonts w:eastAsia="Times New Roman" w:cs="Times New Roman"/>
                <w:color w:val="000000"/>
                <w:sz w:val="20"/>
                <w:szCs w:val="20"/>
              </w:rPr>
              <w:t>requirement</w:t>
            </w:r>
          </w:p>
        </w:tc>
      </w:tr>
      <w:tr w:rsidR="000A5D28" w:rsidRPr="00340DFE" w:rsidTr="004427EC">
        <w:trPr>
          <w:trHeight w:hRule="exact" w:val="113"/>
        </w:trPr>
        <w:tc>
          <w:tcPr>
            <w:tcW w:w="0" w:type="auto"/>
            <w:tcBorders>
              <w:left w:val="nil"/>
              <w:bottom w:val="nil"/>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dashed"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dashed"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 </w:t>
            </w:r>
          </w:p>
        </w:tc>
        <w:tc>
          <w:tcPr>
            <w:tcW w:w="0" w:type="auto"/>
            <w:tcBorders>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r>
      <w:tr w:rsidR="000A5D28" w:rsidRPr="00340DFE" w:rsidTr="004D4A71">
        <w:trPr>
          <w:trHeight w:val="330"/>
        </w:trPr>
        <w:tc>
          <w:tcPr>
            <w:tcW w:w="0" w:type="auto"/>
            <w:vMerge w:val="restart"/>
            <w:tcBorders>
              <w:top w:val="nil"/>
              <w:left w:val="nil"/>
              <w:right w:val="nil"/>
            </w:tcBorders>
            <w:shd w:val="clear" w:color="auto" w:fill="auto"/>
            <w:vAlign w:val="bottom"/>
            <w:hideMark/>
          </w:tcPr>
          <w:p w:rsidR="000A5D28" w:rsidRPr="00340DFE" w:rsidRDefault="000A5D28"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5% Research expenditure</w:t>
            </w:r>
          </w:p>
        </w:tc>
        <w:tc>
          <w:tcPr>
            <w:tcW w:w="0" w:type="auto"/>
            <w:vMerge w:val="restart"/>
            <w:tcBorders>
              <w:top w:val="nil"/>
              <w:left w:val="nil"/>
              <w:right w:val="single" w:sz="4" w:space="0" w:color="auto"/>
            </w:tcBorders>
            <w:shd w:val="clear" w:color="auto" w:fill="auto"/>
            <w:noWrap/>
            <w:vAlign w:val="center"/>
            <w:hideMark/>
          </w:tcPr>
          <w:p w:rsidR="000A5D28" w:rsidRPr="00340DFE" w:rsidRDefault="000A5D28" w:rsidP="000A5D28">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6.8</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1.3</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4.1</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1.0</w:t>
            </w:r>
          </w:p>
        </w:tc>
        <w:tc>
          <w:tcPr>
            <w:tcW w:w="0" w:type="auto"/>
            <w:tcBorders>
              <w:top w:val="nil"/>
              <w:left w:val="nil"/>
              <w:bottom w:val="nil"/>
              <w:right w:val="dashed"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6.4</w:t>
            </w:r>
          </w:p>
        </w:tc>
        <w:tc>
          <w:tcPr>
            <w:tcW w:w="0" w:type="auto"/>
            <w:tcBorders>
              <w:top w:val="nil"/>
              <w:left w:val="dashed"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0.5</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1.3</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0.8</w:t>
            </w:r>
          </w:p>
        </w:tc>
        <w:tc>
          <w:tcPr>
            <w:tcW w:w="0" w:type="auto"/>
            <w:tcBorders>
              <w:top w:val="nil"/>
              <w:left w:val="nil"/>
              <w:bottom w:val="nil"/>
              <w:right w:val="single"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0.1</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6.8</w:t>
            </w:r>
          </w:p>
        </w:tc>
      </w:tr>
      <w:tr w:rsidR="000A5D28" w:rsidRPr="00340DFE" w:rsidTr="004D4A71">
        <w:trPr>
          <w:trHeight w:val="330"/>
        </w:trPr>
        <w:tc>
          <w:tcPr>
            <w:tcW w:w="0" w:type="auto"/>
            <w:vMerge/>
            <w:tcBorders>
              <w:left w:val="nil"/>
              <w:bottom w:val="nil"/>
              <w:right w:val="nil"/>
            </w:tcBorders>
            <w:shd w:val="clear" w:color="auto" w:fill="auto"/>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vMerge/>
            <w:tcBorders>
              <w:left w:val="nil"/>
              <w:bottom w:val="nil"/>
              <w:right w:val="single" w:sz="4" w:space="0" w:color="auto"/>
            </w:tcBorders>
            <w:shd w:val="clear" w:color="auto" w:fill="auto"/>
            <w:noWrap/>
            <w:vAlign w:val="center"/>
            <w:hideMark/>
          </w:tcPr>
          <w:p w:rsidR="000A5D28" w:rsidRPr="00340DFE" w:rsidRDefault="000A5D28" w:rsidP="000A5D28">
            <w:pPr>
              <w:spacing w:after="0" w:line="240" w:lineRule="auto"/>
              <w:jc w:val="right"/>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19¢/$</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60¢/$</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14¢/$</w:t>
            </w:r>
          </w:p>
        </w:tc>
        <w:tc>
          <w:tcPr>
            <w:tcW w:w="0" w:type="auto"/>
            <w:tcBorders>
              <w:top w:val="nil"/>
              <w:left w:val="nil"/>
              <w:bottom w:val="nil"/>
              <w:right w:val="dashed"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93¢/$</w:t>
            </w:r>
          </w:p>
        </w:tc>
        <w:tc>
          <w:tcPr>
            <w:tcW w:w="0" w:type="auto"/>
            <w:tcBorders>
              <w:top w:val="nil"/>
              <w:left w:val="dashed"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7¢/$</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12¢/$</w:t>
            </w:r>
          </w:p>
        </w:tc>
        <w:tc>
          <w:tcPr>
            <w:tcW w:w="0" w:type="auto"/>
            <w:tcBorders>
              <w:top w:val="nil"/>
              <w:left w:val="nil"/>
              <w:bottom w:val="nil"/>
              <w:right w:val="single"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2¢/$</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100¢/$</w:t>
            </w:r>
          </w:p>
        </w:tc>
      </w:tr>
      <w:tr w:rsidR="000A5D28" w:rsidRPr="00340DFE" w:rsidTr="004D4A71">
        <w:trPr>
          <w:trHeight w:hRule="exact" w:val="113"/>
        </w:trPr>
        <w:tc>
          <w:tcPr>
            <w:tcW w:w="0" w:type="auto"/>
            <w:tcBorders>
              <w:top w:val="nil"/>
              <w:left w:val="nil"/>
              <w:bottom w:val="nil"/>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340DFE" w:rsidRPr="00340DFE" w:rsidRDefault="00340DFE" w:rsidP="000A5D28">
            <w:pPr>
              <w:spacing w:after="0" w:line="240" w:lineRule="auto"/>
              <w:jc w:val="right"/>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dashed" w:sz="4" w:space="0" w:color="auto"/>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dashed" w:sz="4" w:space="0" w:color="auto"/>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r>
      <w:tr w:rsidR="000A5D28" w:rsidRPr="00340DFE" w:rsidTr="004D4A71">
        <w:trPr>
          <w:trHeight w:val="330"/>
        </w:trPr>
        <w:tc>
          <w:tcPr>
            <w:tcW w:w="0" w:type="auto"/>
            <w:vMerge w:val="restart"/>
            <w:tcBorders>
              <w:top w:val="nil"/>
              <w:left w:val="nil"/>
              <w:right w:val="nil"/>
            </w:tcBorders>
            <w:shd w:val="clear" w:color="auto" w:fill="auto"/>
            <w:vAlign w:val="bottom"/>
            <w:hideMark/>
          </w:tcPr>
          <w:p w:rsidR="000A5D28" w:rsidRPr="00340DFE" w:rsidRDefault="000A5D28" w:rsidP="00340DFE">
            <w:pPr>
              <w:spacing w:after="0" w:line="240" w:lineRule="auto"/>
              <w:rPr>
                <w:rFonts w:eastAsia="Times New Roman" w:cs="Times New Roman"/>
                <w:color w:val="000000"/>
                <w:sz w:val="20"/>
                <w:szCs w:val="20"/>
              </w:rPr>
            </w:pPr>
            <w:r w:rsidRPr="00340DFE">
              <w:rPr>
                <w:rFonts w:eastAsia="Times New Roman" w:cs="Times New Roman"/>
                <w:color w:val="000000"/>
                <w:sz w:val="20"/>
                <w:szCs w:val="20"/>
              </w:rPr>
              <w:t>5% Teaching expenditure</w:t>
            </w:r>
          </w:p>
        </w:tc>
        <w:tc>
          <w:tcPr>
            <w:tcW w:w="0" w:type="auto"/>
            <w:vMerge w:val="restart"/>
            <w:tcBorders>
              <w:top w:val="nil"/>
              <w:left w:val="nil"/>
              <w:right w:val="single" w:sz="4" w:space="0" w:color="auto"/>
            </w:tcBorders>
            <w:shd w:val="clear" w:color="auto" w:fill="auto"/>
            <w:noWrap/>
            <w:vAlign w:val="center"/>
            <w:hideMark/>
          </w:tcPr>
          <w:p w:rsidR="000A5D28" w:rsidRPr="00340DFE" w:rsidRDefault="000A5D28" w:rsidP="000A5D28">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15.5</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6.7</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5.1</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0.7</w:t>
            </w:r>
          </w:p>
        </w:tc>
        <w:tc>
          <w:tcPr>
            <w:tcW w:w="0" w:type="auto"/>
            <w:tcBorders>
              <w:top w:val="nil"/>
              <w:left w:val="nil"/>
              <w:bottom w:val="nil"/>
              <w:right w:val="dashed"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12.5</w:t>
            </w:r>
          </w:p>
        </w:tc>
        <w:tc>
          <w:tcPr>
            <w:tcW w:w="0" w:type="auto"/>
            <w:tcBorders>
              <w:top w:val="nil"/>
              <w:left w:val="dashed"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3.0</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9.7</w:t>
            </w: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0.6</w:t>
            </w:r>
          </w:p>
        </w:tc>
        <w:tc>
          <w:tcPr>
            <w:tcW w:w="0" w:type="auto"/>
            <w:tcBorders>
              <w:top w:val="nil"/>
              <w:left w:val="nil"/>
              <w:right w:val="single"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0.1</w:t>
            </w:r>
          </w:p>
        </w:tc>
        <w:tc>
          <w:tcPr>
            <w:tcW w:w="0" w:type="auto"/>
            <w:tcBorders>
              <w:top w:val="nil"/>
              <w:left w:val="single" w:sz="4" w:space="0" w:color="auto"/>
              <w:bottom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$m 15.5</w:t>
            </w:r>
          </w:p>
        </w:tc>
      </w:tr>
      <w:tr w:rsidR="000A5D28" w:rsidRPr="00340DFE" w:rsidTr="004D4A71">
        <w:trPr>
          <w:trHeight w:val="330"/>
        </w:trPr>
        <w:tc>
          <w:tcPr>
            <w:tcW w:w="0" w:type="auto"/>
            <w:vMerge/>
            <w:tcBorders>
              <w:left w:val="nil"/>
              <w:right w:val="nil"/>
            </w:tcBorders>
            <w:shd w:val="clear" w:color="auto" w:fill="auto"/>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vMerge/>
            <w:tcBorders>
              <w:left w:val="nil"/>
              <w:right w:val="single" w:sz="4" w:space="0" w:color="auto"/>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43¢/$</w:t>
            </w:r>
          </w:p>
        </w:tc>
        <w:tc>
          <w:tcPr>
            <w:tcW w:w="0" w:type="auto"/>
            <w:tcBorders>
              <w:top w:val="nil"/>
              <w:left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33¢/$</w:t>
            </w:r>
          </w:p>
        </w:tc>
        <w:tc>
          <w:tcPr>
            <w:tcW w:w="0" w:type="auto"/>
            <w:tcBorders>
              <w:top w:val="nil"/>
              <w:left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4¢/$</w:t>
            </w:r>
          </w:p>
        </w:tc>
        <w:tc>
          <w:tcPr>
            <w:tcW w:w="0" w:type="auto"/>
            <w:tcBorders>
              <w:top w:val="nil"/>
              <w:left w:val="nil"/>
              <w:right w:val="dashed"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81¢/$</w:t>
            </w:r>
          </w:p>
        </w:tc>
        <w:tc>
          <w:tcPr>
            <w:tcW w:w="0" w:type="auto"/>
            <w:tcBorders>
              <w:top w:val="nil"/>
              <w:left w:val="dashed" w:sz="4" w:space="0" w:color="auto"/>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19¢/$</w:t>
            </w:r>
          </w:p>
        </w:tc>
        <w:tc>
          <w:tcPr>
            <w:tcW w:w="0" w:type="auto"/>
            <w:tcBorders>
              <w:top w:val="nil"/>
              <w:left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0A5D28" w:rsidRPr="00340DFE" w:rsidRDefault="000A5D28" w:rsidP="00340DFE">
            <w:pPr>
              <w:spacing w:after="0" w:line="240" w:lineRule="auto"/>
              <w:rPr>
                <w:rFonts w:eastAsia="Times New Roman" w:cs="Times New Roman"/>
                <w:color w:val="000000"/>
                <w:sz w:val="20"/>
                <w:szCs w:val="20"/>
              </w:rPr>
            </w:pPr>
          </w:p>
        </w:tc>
        <w:tc>
          <w:tcPr>
            <w:tcW w:w="0" w:type="auto"/>
            <w:tcBorders>
              <w:top w:val="nil"/>
              <w:left w:val="single" w:sz="4" w:space="0" w:color="auto"/>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4¢/$</w:t>
            </w:r>
          </w:p>
        </w:tc>
        <w:tc>
          <w:tcPr>
            <w:tcW w:w="0" w:type="auto"/>
            <w:tcBorders>
              <w:top w:val="nil"/>
              <w:left w:val="nil"/>
              <w:right w:val="single" w:sz="4" w:space="0" w:color="auto"/>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0¢/$</w:t>
            </w:r>
          </w:p>
        </w:tc>
        <w:tc>
          <w:tcPr>
            <w:tcW w:w="0" w:type="auto"/>
            <w:tcBorders>
              <w:top w:val="nil"/>
              <w:left w:val="single" w:sz="4" w:space="0" w:color="auto"/>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p>
        </w:tc>
        <w:tc>
          <w:tcPr>
            <w:tcW w:w="0" w:type="auto"/>
            <w:tcBorders>
              <w:top w:val="nil"/>
              <w:left w:val="nil"/>
              <w:right w:val="nil"/>
            </w:tcBorders>
            <w:shd w:val="clear" w:color="auto" w:fill="auto"/>
            <w:noWrap/>
            <w:vAlign w:val="bottom"/>
            <w:hideMark/>
          </w:tcPr>
          <w:p w:rsidR="000A5D28" w:rsidRPr="00340DFE" w:rsidRDefault="000A5D28" w:rsidP="00340DFE">
            <w:pPr>
              <w:spacing w:after="0" w:line="240" w:lineRule="auto"/>
              <w:jc w:val="right"/>
              <w:rPr>
                <w:rFonts w:eastAsia="Times New Roman" w:cs="Times New Roman"/>
                <w:color w:val="000000"/>
                <w:sz w:val="20"/>
                <w:szCs w:val="20"/>
              </w:rPr>
            </w:pPr>
            <w:r w:rsidRPr="00340DFE">
              <w:rPr>
                <w:rFonts w:eastAsia="Times New Roman" w:cs="Times New Roman"/>
                <w:color w:val="000000"/>
                <w:sz w:val="20"/>
                <w:szCs w:val="20"/>
              </w:rPr>
              <w:t>100¢/$</w:t>
            </w:r>
          </w:p>
        </w:tc>
      </w:tr>
      <w:tr w:rsidR="000A5D28" w:rsidRPr="00340DFE" w:rsidTr="00A63CE4">
        <w:trPr>
          <w:trHeight w:hRule="exact" w:val="113"/>
        </w:trPr>
        <w:tc>
          <w:tcPr>
            <w:tcW w:w="0" w:type="auto"/>
            <w:tcBorders>
              <w:top w:val="nil"/>
              <w:left w:val="nil"/>
              <w:bottom w:val="single" w:sz="4" w:space="0" w:color="auto"/>
              <w:right w:val="nil"/>
            </w:tcBorders>
            <w:shd w:val="clear" w:color="auto" w:fill="auto"/>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single" w:sz="4" w:space="0" w:color="auto"/>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bottom w:val="single" w:sz="4" w:space="0" w:color="auto"/>
            </w:tcBorders>
            <w:shd w:val="clear" w:color="auto" w:fill="auto"/>
            <w:noWrap/>
            <w:vAlign w:val="bottom"/>
            <w:hideMark/>
          </w:tcPr>
          <w:p w:rsidR="00340DFE" w:rsidRPr="00340DFE" w:rsidRDefault="00340DFE" w:rsidP="00340DFE">
            <w:pPr>
              <w:spacing w:after="0" w:line="240" w:lineRule="auto"/>
              <w:rPr>
                <w:rFonts w:eastAsia="Times New Roman" w:cs="Times New Roman"/>
                <w:color w:val="000000"/>
                <w:sz w:val="20"/>
                <w:szCs w:val="20"/>
              </w:rPr>
            </w:pPr>
          </w:p>
        </w:tc>
        <w:tc>
          <w:tcPr>
            <w:tcW w:w="0" w:type="auto"/>
            <w:tcBorders>
              <w:top w:val="nil"/>
              <w:bottom w:val="single" w:sz="4" w:space="0" w:color="auto"/>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bottom w:val="single" w:sz="4" w:space="0" w:color="auto"/>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bottom w:val="single" w:sz="4" w:space="0" w:color="auto"/>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340DFE" w:rsidRPr="00340DFE" w:rsidRDefault="00340DFE" w:rsidP="00340DFE">
            <w:pPr>
              <w:spacing w:after="0" w:line="240" w:lineRule="auto"/>
              <w:jc w:val="right"/>
              <w:rPr>
                <w:rFonts w:eastAsia="Times New Roman" w:cs="Times New Roman"/>
                <w:color w:val="000000"/>
                <w:sz w:val="20"/>
                <w:szCs w:val="20"/>
              </w:rPr>
            </w:pPr>
          </w:p>
        </w:tc>
      </w:tr>
    </w:tbl>
    <w:p w:rsidR="00A63CE4" w:rsidRDefault="00A63CE4" w:rsidP="00E415C9">
      <w:pPr>
        <w:jc w:val="both"/>
      </w:pPr>
    </w:p>
    <w:p w:rsidR="00A63CE4" w:rsidRDefault="00A63CE4" w:rsidP="00A63CE4">
      <w:pPr>
        <w:jc w:val="center"/>
      </w:pPr>
      <w:r>
        <w:t>Tab. 7: Summary of scenarios.</w:t>
      </w:r>
    </w:p>
    <w:p w:rsidR="00A63CE4" w:rsidRDefault="00A63CE4" w:rsidP="00E415C9">
      <w:pPr>
        <w:jc w:val="both"/>
        <w:sectPr w:rsidR="00A63CE4" w:rsidSect="00497FDD">
          <w:pgSz w:w="16838" w:h="11906" w:orient="landscape"/>
          <w:pgMar w:top="1440" w:right="1440" w:bottom="1440" w:left="1440" w:header="709" w:footer="709" w:gutter="0"/>
          <w:cols w:space="708"/>
          <w:docGrid w:linePitch="360"/>
        </w:sectPr>
      </w:pPr>
    </w:p>
    <w:p w:rsidR="00E04848" w:rsidRDefault="00E04848" w:rsidP="00E04848">
      <w:pPr>
        <w:pStyle w:val="ListParagraph"/>
        <w:jc w:val="both"/>
      </w:pPr>
    </w:p>
    <w:p w:rsidR="00E04848" w:rsidRDefault="00E04848" w:rsidP="00E04848">
      <w:pPr>
        <w:pStyle w:val="ListParagraph"/>
        <w:jc w:val="both"/>
      </w:pPr>
    </w:p>
    <w:p w:rsidR="00532949" w:rsidRPr="00532949" w:rsidRDefault="00532949" w:rsidP="00532949">
      <w:pPr>
        <w:pStyle w:val="ListParagraph"/>
        <w:numPr>
          <w:ilvl w:val="1"/>
          <w:numId w:val="1"/>
        </w:numPr>
        <w:jc w:val="both"/>
      </w:pPr>
      <w:r w:rsidRPr="00532949">
        <w:t>Structural Path Analysis</w:t>
      </w:r>
    </w:p>
    <w:p w:rsidR="00532949" w:rsidRDefault="00532949" w:rsidP="00532949">
      <w:pPr>
        <w:jc w:val="both"/>
      </w:pPr>
      <w:r w:rsidRPr="00532949">
        <w:t>The resul</w:t>
      </w:r>
      <w:r>
        <w:t>ts presented in the previous Section can be decomposed further in order to evaluate in which sub-sectors of the university or the economy the financial effects occur, and via which supply chains they are facilitated. As explained in the methodology Section, this decomposition can be carried out using Structural Path Analysis (SPA). For the sake of brevity, we will only show the two demand-push scenarios.</w:t>
      </w:r>
      <w:r w:rsidR="006111D7">
        <w:t xml:space="preserve"> For detailed examples of supply-push SPAs and possible interpretations see </w:t>
      </w:r>
      <w:r w:rsidR="006111D7">
        <w:fldChar w:fldCharType="begin"/>
      </w:r>
      <w:r w:rsidR="006111D7">
        <w:instrText xml:space="preserve"> ADDIN EN.CITE &lt;EndNote&gt;&lt;Cite&gt;&lt;Author&gt;Lenzen&lt;/Author&gt;&lt;Year&gt;2010&lt;/Year&gt;&lt;RecNum&gt;4592&lt;/RecNum&gt;&lt;record&gt;&lt;rec-number&gt;4592&lt;/rec-number&gt;&lt;foreign-keys&gt;&lt;key app="EN" db-id="taawaxs5fzprace5p9jv25fnt2vd5xt2d520"&gt;4592&lt;/key&gt;&lt;/foreign-keys&gt;&lt;ref-type name="Journal Article"&gt;17&lt;/ref-type&gt;&lt;contributors&gt;&lt;authors&gt;&lt;author&gt;Lenzen, M&lt;/author&gt;&lt;author&gt;Murray, J.&lt;/author&gt;&lt;/authors&gt;&lt;/contributors&gt;&lt;titles&gt;&lt;title&gt;Conceptualising environmental responsibility&lt;/title&gt;&lt;secondary-title&gt;Ecological Economics&lt;/secondary-title&gt;&lt;/titles&gt;&lt;periodical&gt;&lt;full-title&gt;Ecological Economics&lt;/full-title&gt;&lt;/periodical&gt;&lt;pages&gt;in press&lt;/pages&gt;&lt;dates&gt;&lt;year&gt;2010&lt;/year&gt;&lt;/dates&gt;&lt;urls&gt;&lt;/urls&gt;&lt;/record&gt;&lt;/Cite&gt;&lt;/EndNote&gt;</w:instrText>
      </w:r>
      <w:r w:rsidR="006111D7">
        <w:fldChar w:fldCharType="separate"/>
      </w:r>
      <w:r w:rsidR="006111D7">
        <w:t>Lenzen and Murray 2010</w:t>
      </w:r>
      <w:r w:rsidR="006111D7">
        <w:fldChar w:fldCharType="end"/>
      </w:r>
      <w:r w:rsidR="006111D7">
        <w:t>.</w:t>
      </w:r>
    </w:p>
    <w:p w:rsidR="005730C9" w:rsidRDefault="005730C9" w:rsidP="00532949">
      <w:pPr>
        <w:jc w:val="both"/>
      </w:pPr>
      <w:r>
        <w:t>SPA results are usually presented as ranked lists, showing the ranked supply chains as a succession of nodes, connected with arrows (‘&lt;’), starting from the right with the sector exerting the demand pull, followed by the sector that initially bears, and then passes on this pull, and so on, until the final, exogenous primary input requirement. The value of the path is expressed in terms of that primary input, for example $ of wages and salaries. A path of order 1 contains one node between the sector exerting the demand-pull and the primary input, and so on.</w:t>
      </w:r>
      <w:r w:rsidR="00CE3304">
        <w:t xml:space="preserve"> The ‘percentages in the total’ refer to the sum of the university and economy </w:t>
      </w:r>
      <w:r w:rsidR="002E1D64">
        <w:t>requirement</w:t>
      </w:r>
      <w:r w:rsidR="00CE3304">
        <w:t>s (in $m), listed in the rightmost two columns (real cost and surplus) in Tabs. 3 and 4, respectively.</w:t>
      </w:r>
    </w:p>
    <w:p w:rsidR="00E04848" w:rsidRDefault="00E04848" w:rsidP="00532949">
      <w:pPr>
        <w:jc w:val="both"/>
      </w:pPr>
    </w:p>
    <w:p w:rsidR="00532949" w:rsidRDefault="00532949" w:rsidP="00532949">
      <w:pPr>
        <w:pStyle w:val="ListParagraph"/>
        <w:numPr>
          <w:ilvl w:val="2"/>
          <w:numId w:val="1"/>
        </w:numPr>
      </w:pPr>
      <w:r>
        <w:t>Increase in research demand</w:t>
      </w:r>
    </w:p>
    <w:p w:rsidR="008E04CE" w:rsidRDefault="0076571F" w:rsidP="00532949">
      <w:pPr>
        <w:jc w:val="both"/>
      </w:pPr>
      <w:r>
        <w:t xml:space="preserve">A 5% in research demand is overwhelmingly financed by the government through research grants, and to a lesser extent by private individuals through </w:t>
      </w:r>
      <w:r w:rsidR="00F12BC8">
        <w:t>donations by individuals and foundations, and sales of university assets and publications</w:t>
      </w:r>
      <w:r>
        <w:t xml:space="preserve"> (Tab. 8).</w:t>
      </w:r>
      <w:r w:rsidR="008E04CE">
        <w:t xml:space="preserve"> The injected funds are mostly used directly by the receiving research unit to pay for wages and salaries. The paths ranking 5</w:t>
      </w:r>
      <w:r w:rsidR="008E04CE" w:rsidRPr="008E04CE">
        <w:rPr>
          <w:vertAlign w:val="superscript"/>
        </w:rPr>
        <w:t>th</w:t>
      </w:r>
      <w:r w:rsidR="008E04CE">
        <w:t>, 11</w:t>
      </w:r>
      <w:r w:rsidR="008E04CE" w:rsidRPr="008E04CE">
        <w:rPr>
          <w:vertAlign w:val="superscript"/>
        </w:rPr>
        <w:t>th</w:t>
      </w:r>
      <w:r w:rsidR="008E04CE">
        <w:t xml:space="preserve"> and 18</w:t>
      </w:r>
      <w:r w:rsidR="008E04CE" w:rsidRPr="008E04CE">
        <w:rPr>
          <w:vertAlign w:val="superscript"/>
        </w:rPr>
        <w:t>th</w:t>
      </w:r>
      <w:r w:rsidR="008E04CE">
        <w:t xml:space="preserve"> are funds that the Faculty of Medicine receives for collaborative research projects where part of the funds are passed on to other universities (‘Education’ sector of the economy), community health centres and hospitals. Similar effects are recorded in paths ranked 12</w:t>
      </w:r>
      <w:r w:rsidR="008E04CE" w:rsidRPr="008E04CE">
        <w:rPr>
          <w:vertAlign w:val="superscript"/>
        </w:rPr>
        <w:t>th</w:t>
      </w:r>
      <w:r w:rsidR="008E04CE">
        <w:t xml:space="preserve"> and 13</w:t>
      </w:r>
      <w:r w:rsidR="008E04CE" w:rsidRPr="008E04CE">
        <w:rPr>
          <w:vertAlign w:val="superscript"/>
        </w:rPr>
        <w:t>th</w:t>
      </w:r>
      <w:r w:rsidR="008E04CE">
        <w:t>. The 10</w:t>
      </w:r>
      <w:r w:rsidR="008E04CE" w:rsidRPr="008E04CE">
        <w:rPr>
          <w:vertAlign w:val="superscript"/>
        </w:rPr>
        <w:t>th</w:t>
      </w:r>
      <w:r w:rsidR="008E04CE">
        <w:t>- and 17</w:t>
      </w:r>
      <w:r w:rsidR="008E04CE" w:rsidRPr="008E04CE">
        <w:rPr>
          <w:vertAlign w:val="superscript"/>
        </w:rPr>
        <w:t>th</w:t>
      </w:r>
      <w:r w:rsidR="008E04CE">
        <w:t xml:space="preserve">-ranking paths represent funding received by university units, which is temporarily held to pay for future expenses. </w:t>
      </w:r>
      <w:r w:rsidR="00EC1999">
        <w:t xml:space="preserve">Paths 14 and 16 represent the tax burden of the two faculties with the highest turnover. </w:t>
      </w:r>
      <w:r w:rsidR="008E04CE">
        <w:t>The path ranked 20</w:t>
      </w:r>
      <w:r w:rsidR="008E04CE" w:rsidRPr="008E04CE">
        <w:rPr>
          <w:vertAlign w:val="superscript"/>
        </w:rPr>
        <w:t>th</w:t>
      </w:r>
      <w:r w:rsidR="008E04CE">
        <w:t xml:space="preserve"> reflects the equipment-intensive nature of science research as well as the fact that Australia imports much specialised equipment, rather than producing it domestically.</w:t>
      </w:r>
    </w:p>
    <w:p w:rsidR="00EC1999" w:rsidRDefault="00EC1999" w:rsidP="00EC1999">
      <w:pPr>
        <w:jc w:val="both"/>
      </w:pPr>
    </w:p>
    <w:p w:rsidR="00EC1999" w:rsidRDefault="00EC1999" w:rsidP="00532949">
      <w:pPr>
        <w:jc w:val="both"/>
      </w:pPr>
    </w:p>
    <w:p w:rsidR="0076571F" w:rsidRDefault="008E04CE" w:rsidP="00532949">
      <w:pPr>
        <w:jc w:val="both"/>
        <w:sectPr w:rsidR="0076571F" w:rsidSect="002567E9">
          <w:pgSz w:w="11906" w:h="16838"/>
          <w:pgMar w:top="1440" w:right="1440" w:bottom="1440" w:left="1440" w:header="708" w:footer="708" w:gutter="0"/>
          <w:cols w:space="708"/>
          <w:docGrid w:linePitch="360"/>
        </w:sectPr>
      </w:pPr>
      <w:r>
        <w:t xml:space="preserve"> </w:t>
      </w:r>
    </w:p>
    <w:p w:rsidR="00F67F24" w:rsidRDefault="00F67F24" w:rsidP="00532949">
      <w:pPr>
        <w:jc w:val="both"/>
      </w:pPr>
    </w:p>
    <w:p w:rsidR="0000184A" w:rsidRDefault="0000184A" w:rsidP="00532949">
      <w:pPr>
        <w:jc w:val="both"/>
      </w:pPr>
    </w:p>
    <w:p w:rsidR="0000184A" w:rsidRDefault="00F67F24" w:rsidP="00532949">
      <w:pPr>
        <w:jc w:val="both"/>
      </w:pPr>
      <w:r w:rsidRPr="00F67F24">
        <w:rPr>
          <w:noProof/>
        </w:rPr>
        <w:drawing>
          <wp:inline distT="0" distB="0" distL="0" distR="0">
            <wp:extent cx="8981442" cy="33680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8983432" cy="3368786"/>
                    </a:xfrm>
                    <a:prstGeom prst="rect">
                      <a:avLst/>
                    </a:prstGeom>
                    <a:noFill/>
                    <a:ln w="9525">
                      <a:noFill/>
                      <a:miter lim="800000"/>
                      <a:headEnd/>
                      <a:tailEnd/>
                    </a:ln>
                  </pic:spPr>
                </pic:pic>
              </a:graphicData>
            </a:graphic>
          </wp:inline>
        </w:drawing>
      </w:r>
    </w:p>
    <w:p w:rsidR="0000184A" w:rsidRDefault="0000184A" w:rsidP="00532949">
      <w:pPr>
        <w:jc w:val="both"/>
      </w:pPr>
    </w:p>
    <w:p w:rsidR="0000184A" w:rsidRDefault="0000184A" w:rsidP="0000184A">
      <w:pPr>
        <w:jc w:val="center"/>
      </w:pPr>
      <w:r>
        <w:t>Tab. 8: Structural Path Analysis of research demand-pull.</w:t>
      </w:r>
    </w:p>
    <w:p w:rsidR="0000184A" w:rsidRDefault="0000184A" w:rsidP="00532949">
      <w:pPr>
        <w:jc w:val="both"/>
        <w:sectPr w:rsidR="0000184A" w:rsidSect="0000184A">
          <w:pgSz w:w="16838" w:h="11906" w:orient="landscape"/>
          <w:pgMar w:top="1440" w:right="1440" w:bottom="1440" w:left="1440" w:header="709" w:footer="709" w:gutter="0"/>
          <w:cols w:space="708"/>
          <w:docGrid w:linePitch="360"/>
        </w:sectPr>
      </w:pPr>
      <w:r>
        <w:t xml:space="preserve"> </w:t>
      </w:r>
    </w:p>
    <w:p w:rsidR="005730C9" w:rsidRDefault="005730C9" w:rsidP="005730C9">
      <w:pPr>
        <w:pStyle w:val="ListParagraph"/>
        <w:ind w:left="1080"/>
      </w:pPr>
    </w:p>
    <w:p w:rsidR="005730C9" w:rsidRDefault="005730C9" w:rsidP="005730C9">
      <w:pPr>
        <w:pStyle w:val="ListParagraph"/>
        <w:numPr>
          <w:ilvl w:val="2"/>
          <w:numId w:val="1"/>
        </w:numPr>
      </w:pPr>
      <w:r>
        <w:t>Increase in teaching demand</w:t>
      </w:r>
    </w:p>
    <w:p w:rsidR="005730C9" w:rsidRDefault="005730C9" w:rsidP="00CE3304">
      <w:pPr>
        <w:ind w:left="360"/>
        <w:jc w:val="both"/>
      </w:pPr>
      <w:r>
        <w:t xml:space="preserve">As with research, university teaching is overwhelmingly financed through government operating grants that, in the case of the University of Sydney, are passed through Central Accounts before disbursed to the various teaching units </w:t>
      </w:r>
      <w:r w:rsidR="00FC2424">
        <w:t xml:space="preserve">according to a funding formula </w:t>
      </w:r>
      <w:r>
        <w:t xml:space="preserve">(paths ranked 4th and lower in Tab. 9). Central Accounts is also responsible for distributing funds to centralised university services such as human resources, Senior Executives (PVCc, DVCs, VCs, CFO), ICT services, campus property, and student support. </w:t>
      </w:r>
      <w:r w:rsidR="00FC2424">
        <w:t xml:space="preserve">The path ranked 2nd </w:t>
      </w:r>
      <w:r w:rsidR="00D372B2">
        <w:t>are wages paid centrally for a whole range of campus functions</w:t>
      </w:r>
      <w:r w:rsidR="00FC2424">
        <w:t xml:space="preserve">. </w:t>
      </w:r>
      <w:r>
        <w:t xml:space="preserve">The top and third paths show the surplus the University has recorded during the 2007 financial year, which is earmarked for expanding building and other capital. These expenditures are probably not linked to the operating grant revenue, but these paths appear because these operating grants for teaching are pooled with other income, for example investment income. </w:t>
      </w:r>
      <w:r w:rsidR="00FC2424">
        <w:t>The top three paths demonstrate a shortcoming of the university’s accounting system in that the pooling of various revenues before their disbursement for different internal purposes hinders the unambiguous allocation of expenditures to particular revenues, and thus creates obstacles for activity-based accounting.</w:t>
      </w:r>
    </w:p>
    <w:p w:rsidR="00CE3304" w:rsidRDefault="00CE3304" w:rsidP="00CE3304">
      <w:pPr>
        <w:ind w:left="360"/>
        <w:jc w:val="both"/>
        <w:sectPr w:rsidR="00CE3304" w:rsidSect="005730C9">
          <w:pgSz w:w="11906" w:h="16838"/>
          <w:pgMar w:top="1440" w:right="1440" w:bottom="1440" w:left="1440" w:header="709" w:footer="709" w:gutter="0"/>
          <w:cols w:space="708"/>
          <w:docGrid w:linePitch="360"/>
        </w:sectPr>
      </w:pPr>
    </w:p>
    <w:p w:rsidR="00E04848" w:rsidRDefault="00E04848" w:rsidP="005730C9">
      <w:pPr>
        <w:ind w:left="360"/>
      </w:pPr>
    </w:p>
    <w:p w:rsidR="00532949" w:rsidRDefault="005F1CBD" w:rsidP="00532949">
      <w:pPr>
        <w:jc w:val="both"/>
      </w:pPr>
      <w:r w:rsidRPr="005F1CBD">
        <w:rPr>
          <w:noProof/>
        </w:rPr>
        <w:drawing>
          <wp:inline distT="0" distB="0" distL="0" distR="0">
            <wp:extent cx="9033510" cy="338756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9035511" cy="3388316"/>
                    </a:xfrm>
                    <a:prstGeom prst="rect">
                      <a:avLst/>
                    </a:prstGeom>
                    <a:noFill/>
                    <a:ln w="9525">
                      <a:noFill/>
                      <a:miter lim="800000"/>
                      <a:headEnd/>
                      <a:tailEnd/>
                    </a:ln>
                  </pic:spPr>
                </pic:pic>
              </a:graphicData>
            </a:graphic>
          </wp:inline>
        </w:drawing>
      </w:r>
    </w:p>
    <w:p w:rsidR="005F1CBD" w:rsidRDefault="005F1CBD" w:rsidP="005F1CBD">
      <w:pPr>
        <w:jc w:val="center"/>
      </w:pPr>
    </w:p>
    <w:p w:rsidR="005F1CBD" w:rsidRDefault="005F1CBD" w:rsidP="005F1CBD">
      <w:pPr>
        <w:jc w:val="center"/>
      </w:pPr>
      <w:r>
        <w:t>Tab. 9: Structural Path Analysis of teaching demand-pull.</w:t>
      </w:r>
    </w:p>
    <w:p w:rsidR="005F1CBD" w:rsidRPr="00532949" w:rsidRDefault="005F1CBD" w:rsidP="00532949">
      <w:pPr>
        <w:jc w:val="both"/>
      </w:pPr>
    </w:p>
    <w:p w:rsidR="005F1CBD" w:rsidRDefault="005F1CBD" w:rsidP="00532949">
      <w:pPr>
        <w:ind w:left="360"/>
        <w:rPr>
          <w:b/>
        </w:rPr>
        <w:sectPr w:rsidR="005F1CBD" w:rsidSect="005F1CBD">
          <w:pgSz w:w="16838" w:h="11906" w:orient="landscape"/>
          <w:pgMar w:top="1440" w:right="1440" w:bottom="1440" w:left="1440" w:header="709" w:footer="709" w:gutter="0"/>
          <w:cols w:space="708"/>
          <w:docGrid w:linePitch="360"/>
        </w:sectPr>
      </w:pPr>
    </w:p>
    <w:p w:rsidR="004153DB" w:rsidRPr="00FD77FF" w:rsidRDefault="001B512F" w:rsidP="007258DE">
      <w:pPr>
        <w:pStyle w:val="ListParagraph"/>
        <w:numPr>
          <w:ilvl w:val="0"/>
          <w:numId w:val="1"/>
        </w:numPr>
        <w:rPr>
          <w:b/>
        </w:rPr>
      </w:pPr>
      <w:r w:rsidRPr="00FD77FF">
        <w:rPr>
          <w:b/>
        </w:rPr>
        <w:lastRenderedPageBreak/>
        <w:t>Application to</w:t>
      </w:r>
      <w:r w:rsidR="0097555A" w:rsidRPr="00FD77FF">
        <w:rPr>
          <w:b/>
        </w:rPr>
        <w:t xml:space="preserve"> strategic planning</w:t>
      </w:r>
      <w:r w:rsidR="002F0587">
        <w:rPr>
          <w:b/>
        </w:rPr>
        <w:t xml:space="preserve"> – </w:t>
      </w:r>
      <w:r w:rsidR="0010284B">
        <w:rPr>
          <w:b/>
        </w:rPr>
        <w:t>outlook</w:t>
      </w:r>
      <w:r w:rsidR="002F0587">
        <w:rPr>
          <w:b/>
        </w:rPr>
        <w:t xml:space="preserve"> and conclusions</w:t>
      </w:r>
    </w:p>
    <w:p w:rsidR="00C03DDC" w:rsidRDefault="00C03DDC" w:rsidP="00C03DDC">
      <w:pPr>
        <w:ind w:left="360"/>
      </w:pPr>
    </w:p>
    <w:p w:rsidR="0046579D" w:rsidRDefault="0046579D" w:rsidP="006F1059">
      <w:pPr>
        <w:jc w:val="both"/>
      </w:pPr>
      <w:r>
        <w:t xml:space="preserve">Whilst the technical part of this paper has concentrated on the construction and usage of a monetary enterprise input-output model, </w:t>
      </w:r>
      <w:r w:rsidR="0010284B">
        <w:t xml:space="preserve">its implications go beyond financial analyses. </w:t>
      </w:r>
      <w:r w:rsidR="006F1059">
        <w:t xml:space="preserve">Recent ambitions to enhance the attractiveness of universities to students have resulted in university performance not being measured solely in financial terms, but more and more importantly in terms of environmental sustainability and social responsibility. For example, </w:t>
      </w:r>
      <w:r w:rsidR="00C2157F">
        <w:fldChar w:fldCharType="begin"/>
      </w:r>
      <w:r w:rsidR="006111D7">
        <w:instrText xml:space="preserve"> ADDIN EN.CITE &lt;EndNote&gt;&lt;Cite&gt;&lt;Author&gt;Clarke&lt;/Author&gt;&lt;Year&gt;2009&lt;/Year&gt;&lt;RecNum&gt;4474&lt;/RecNum&gt;&lt;record&gt;&lt;rec-number&gt;4474&lt;/rec-number&gt;&lt;foreign-keys&gt;&lt;key app="EN" db-id="taawaxs5fzprace5p9jv25fnt2vd5xt2d520"&gt;4474&lt;/key&gt;&lt;/foreign-keys&gt;&lt;ref-type name="Journal Article"&gt;17&lt;/ref-type&gt;&lt;contributors&gt;&lt;authors&gt;&lt;author&gt;Clarke, A.&lt;/author&gt;&lt;author&gt;Kouri, R.&lt;/author&gt;&lt;/authors&gt;&lt;/contributors&gt;&lt;titles&gt;&lt;title&gt;Choosing an appropriate university or college environmental management system&lt;/title&gt;&lt;secondary-title&gt;Journal of Cleaner Production&lt;/secondary-title&gt;&lt;/titles&gt;&lt;periodical&gt;&lt;full-title&gt;Journal of Cleaner Production&lt;/full-title&gt;&lt;/periodical&gt;&lt;pages&gt;971-984&lt;/pages&gt;&lt;volume&gt;17&lt;/volume&gt;&lt;dates&gt;&lt;year&gt;2009&lt;/year&gt;&lt;/dates&gt;&lt;urls&gt;&lt;/urls&gt;&lt;/record&gt;&lt;/Cite&gt;&lt;/EndNote&gt;</w:instrText>
      </w:r>
      <w:r w:rsidR="00C2157F">
        <w:fldChar w:fldCharType="separate"/>
      </w:r>
      <w:r w:rsidR="006F1059">
        <w:t>Clarke and Kouri 2009</w:t>
      </w:r>
      <w:r w:rsidR="00C2157F">
        <w:fldChar w:fldCharType="end"/>
      </w:r>
      <w:r w:rsidR="006F1059">
        <w:t xml:space="preserve"> report on stakeholder surveys conducted by KPMG and others, demonstrating that higher education institutions are driven towards more effective environmental management systems by diverse factors such as compliance and liability, student and employee pressure for change, financial donor requirements, community concerns, and initiatives at competing universities. In response, organisations were placing more emphasis on assuming leadership, on becoming role models in research and teaching, and on improving their community and student image. The long-term perception was that initial investments were paid off by tangible benefits, such as high employee morale, increase in market shares, reduced liability, and cost savings. </w:t>
      </w:r>
      <w:r w:rsidR="00C2157F">
        <w:fldChar w:fldCharType="begin"/>
      </w:r>
      <w:r w:rsidR="006111D7">
        <w:instrText xml:space="preserve"> ADDIN EN.CITE &lt;EndNote&gt;&lt;Cite&gt;&lt;Author&gt;Clarke&lt;/Author&gt;&lt;Year&gt;2009&lt;/Year&gt;&lt;RecNum&gt;4474&lt;/RecNum&gt;&lt;record&gt;&lt;rec-number&gt;4474&lt;/rec-number&gt;&lt;foreign-keys&gt;&lt;key app="EN" db-id="taawaxs5fzprace5p9jv25fnt2vd5xt2d520"&gt;4474&lt;/key&gt;&lt;/foreign-keys&gt;&lt;ref-type name="Journal Article"&gt;17&lt;/ref-type&gt;&lt;contributors&gt;&lt;authors&gt;&lt;author&gt;Clarke, A.&lt;/author&gt;&lt;author&gt;Kouri, R.&lt;/author&gt;&lt;/authors&gt;&lt;/contributors&gt;&lt;titles&gt;&lt;title&gt;Choosing an appropriate university or college environmental management system&lt;/title&gt;&lt;secondary-title&gt;Journal of Cleaner Production&lt;/secondary-title&gt;&lt;/titles&gt;&lt;periodical&gt;&lt;full-title&gt;Journal of Cleaner Production&lt;/full-title&gt;&lt;/periodical&gt;&lt;pages&gt;971-984&lt;/pages&gt;&lt;volume&gt;17&lt;/volume&gt;&lt;dates&gt;&lt;year&gt;2009&lt;/year&gt;&lt;/dates&gt;&lt;urls&gt;&lt;/urls&gt;&lt;/record&gt;&lt;/Cite&gt;&lt;/EndNote&gt;</w:instrText>
      </w:r>
      <w:r w:rsidR="00C2157F">
        <w:fldChar w:fldCharType="separate"/>
      </w:r>
      <w:r w:rsidR="006F1059">
        <w:t>Clarke and Kouri 2009</w:t>
      </w:r>
      <w:r w:rsidR="00C2157F">
        <w:fldChar w:fldCharType="end"/>
      </w:r>
      <w:r w:rsidR="006F1059">
        <w:t xml:space="preserve"> also found that successful management systems in a range of countries included policy vision, expert planning, organised implementation, continuous checking including audits, monitoring, management review, and preventive and corrective action, and that these tasks involved students, staff, faculty, and senior management alike. Such shifts in focus call for a broadening </w:t>
      </w:r>
      <w:r w:rsidR="00EF3C79">
        <w:t xml:space="preserve">and integration </w:t>
      </w:r>
      <w:r w:rsidR="006F1059">
        <w:t>of organisational financial accounting and responsibility, to include</w:t>
      </w:r>
      <w:r w:rsidR="00853844">
        <w:t xml:space="preserve"> </w:t>
      </w:r>
      <w:r w:rsidR="006F1059">
        <w:t xml:space="preserve">social and environmental objectives, </w:t>
      </w:r>
      <w:r w:rsidR="00853844">
        <w:t xml:space="preserve">cross-campus as well as for the wider economy. </w:t>
      </w:r>
      <w:r w:rsidR="00EF3C79">
        <w:t>Hierarchically nested, multi-region enterprise input-output models with social and environmental satellite accounts are ideal frameworks to meet these needs.</w:t>
      </w:r>
      <w:r>
        <w:t xml:space="preserve"> </w:t>
      </w:r>
    </w:p>
    <w:p w:rsidR="006F1059" w:rsidRDefault="0046579D" w:rsidP="006F1059">
      <w:pPr>
        <w:jc w:val="both"/>
      </w:pPr>
      <w:r>
        <w:t xml:space="preserve">In fact, our enterprise model has already been generalised by adding physical satellite accounts as in Leontief’s basic idea </w:t>
      </w:r>
      <w:r w:rsidRPr="00D273C9">
        <w:t>(</w:t>
      </w:r>
      <w:r w:rsidR="00C2157F">
        <w:fldChar w:fldCharType="begin"/>
      </w:r>
      <w:r w:rsidR="006111D7">
        <w:instrText xml:space="preserve"> ADDIN EN.CITE &lt;EndNote&gt;&lt;Cite&gt;&lt;Author&gt;Baboulet&lt;/Author&gt;&lt;Year&gt;2009&lt;/Year&gt;&lt;RecNum&gt;4493&lt;/RecNum&gt;&lt;record&gt;&lt;rec-number&gt;4493&lt;/rec-number&gt;&lt;foreign-keys&gt;&lt;key app="EN" db-id="taawaxs5fzprace5p9jv25fnt2vd5xt2d520"&gt;4493&lt;/key&gt;&lt;/foreign-keys&gt;&lt;ref-type name="Journal Article"&gt;17&lt;/ref-type&gt;&lt;contributors&gt;&lt;authors&gt;&lt;author&gt;Baboulet, O.&lt;/author&gt;&lt;author&gt;Lenzen, M.&lt;/author&gt;&lt;/authors&gt;&lt;/contributors&gt;&lt;titles&gt;&lt;title&gt;An application of the path exchange method for hybrid LCA&lt;/title&gt;&lt;secondary-title&gt;Journal of Cleaner Production&lt;/secondary-title&gt;&lt;/titles&gt;&lt;periodical&gt;&lt;full-title&gt;Journal of Cleaner Production&lt;/full-title&gt;&lt;/periodical&gt;&lt;pages&gt;submitted&lt;/pages&gt;&lt;dates&gt;&lt;year&gt;2009&lt;/year&gt;&lt;/dates&gt;&lt;urls&gt;&lt;/urls&gt;&lt;/record&gt;&lt;/Cite&gt;&lt;/EndNote&gt;</w:instrText>
      </w:r>
      <w:r w:rsidR="00C2157F">
        <w:fldChar w:fldCharType="separate"/>
      </w:r>
      <w:r>
        <w:t>Baboulet and Lenzen 2009</w:t>
      </w:r>
      <w:r w:rsidR="00C2157F">
        <w:fldChar w:fldCharType="end"/>
      </w:r>
      <w:r w:rsidR="007910C7">
        <w:t xml:space="preserve">, for a list of available physical data see </w:t>
      </w:r>
      <w:r w:rsidR="00C2157F">
        <w:fldChar w:fldCharType="begin"/>
      </w:r>
      <w:r w:rsidR="006111D7">
        <w:instrText xml:space="preserve"> ADDIN EN.CITE &lt;EndNote&gt;&lt;Cite&gt;&lt;Author&gt;ISA&lt;/Author&gt;&lt;Year&gt;2010&lt;/Year&gt;&lt;RecNum&gt;4571&lt;/RecNum&gt;&lt;record&gt;&lt;rec-number&gt;4571&lt;/rec-number&gt;&lt;foreign-keys&gt;&lt;key app="EN" db-id="taawaxs5fzprace5p9jv25fnt2vd5xt2d520"&gt;4571&lt;/key&gt;&lt;/foreign-keys&gt;&lt;ref-type name="Report"&gt;27&lt;/ref-type&gt;&lt;contributors&gt;&lt;authors&gt;&lt;author&gt;ISA,&lt;/author&gt;&lt;/authors&gt;&lt;/contributors&gt;&lt;titles&gt;&lt;title&gt;Indicators&lt;/title&gt;&lt;/titles&gt;&lt;dates&gt;&lt;year&gt;2010&lt;/year&gt;&lt;/dates&gt;&lt;pub-location&gt;Sydney, Australia&lt;/pub-location&gt;&lt;publisher&gt;ISA, The University of Sydney&lt;/publisher&gt;&lt;isbn&gt;6, Internet site www.isa.org.usyd.edu.au/research/InformationSheets/ISATBLInfo6_v1.pdf&lt;/isbn&gt;&lt;work-type&gt;Information Sheet&lt;/work-type&gt;&lt;urls&gt;&lt;/urls&gt;&lt;/record&gt;&lt;/Cite&gt;&lt;/EndNote&gt;</w:instrText>
      </w:r>
      <w:r w:rsidR="00C2157F">
        <w:fldChar w:fldCharType="separate"/>
      </w:r>
      <w:r w:rsidR="0010284B">
        <w:t>ISA 2010</w:t>
      </w:r>
      <w:r w:rsidR="00C2157F">
        <w:fldChar w:fldCharType="end"/>
      </w:r>
      <w:r>
        <w:t>), and the University of Sydney has already published its Triple Bottom Line report based on input-output analysis (</w:t>
      </w:r>
      <w:r w:rsidR="00C2157F">
        <w:fldChar w:fldCharType="begin"/>
      </w:r>
      <w:r w:rsidR="006111D7">
        <w:instrText xml:space="preserve"> ADDIN EN.CITE &lt;EndNote&gt;&lt;Cite&gt;&lt;Author&gt;Dey&lt;/Author&gt;&lt;Year&gt;2008&lt;/Year&gt;&lt;RecNum&gt;4590&lt;/RecNum&gt;&lt;record&gt;&lt;rec-number&gt;4590&lt;/rec-number&gt;&lt;foreign-keys&gt;&lt;key app="EN" db-id="taawaxs5fzprace5p9jv25fnt2vd5xt2d520"&gt;4590&lt;/key&gt;&lt;/foreign-keys&gt;&lt;ref-type name="Book Section"&gt;5&lt;/ref-type&gt;&lt;contributors&gt;&lt;authors&gt;&lt;author&gt;Dey, C&lt;/author&gt;&lt;author&gt;Lenzen, M&lt;/author&gt;&lt;/authors&gt;&lt;/contributors&gt;&lt;titles&gt;&lt;title&gt;TBL Performance&lt;/title&gt;&lt;secondary-title&gt;Annual Report 2008&lt;/secondary-title&gt;&lt;/titles&gt;&lt;pages&gt;12&lt;/pages&gt;&lt;dates&gt;&lt;year&gt;2008&lt;/year&gt;&lt;/dates&gt;&lt;pub-location&gt;Internet site www.usyd.edu.au/about/publications/annual_report/2008/sustainable_annual_report_2008.pdf, Sydney, Australia&lt;/pub-location&gt;&lt;publisher&gt;The University of Sydney&lt;/publisher&gt;&lt;urls&gt;&lt;/urls&gt;&lt;/record&gt;&lt;/Cite&gt;&lt;/EndNote&gt;</w:instrText>
      </w:r>
      <w:r w:rsidR="00C2157F">
        <w:fldChar w:fldCharType="separate"/>
      </w:r>
      <w:r>
        <w:t>Dey and Lenzen 2008</w:t>
      </w:r>
      <w:r w:rsidR="00C2157F">
        <w:fldChar w:fldCharType="end"/>
      </w:r>
      <w:r>
        <w:t>). Physical quantities in most recent generalised input-output models often include greenhouse gas emissions and other environmental information, however in the case of a university, one could envisage analysing knowledge flow-on effects,</w:t>
      </w:r>
      <w:r w:rsidRPr="00FD77FF">
        <w:t xml:space="preserve"> </w:t>
      </w:r>
      <w:r>
        <w:t>for example in the form of R&amp;D expenditure (</w:t>
      </w:r>
      <w:r w:rsidR="00C2157F">
        <w:fldChar w:fldCharType="begin"/>
      </w:r>
      <w:r w:rsidR="006111D7">
        <w:instrText xml:space="preserve"> ADDIN EN.CITE &lt;EndNote&gt;&lt;Cite&gt;&lt;Author&gt;Hauknes&lt;/Author&gt;&lt;Year&gt;2009&lt;/Year&gt;&lt;RecNum&gt;4088&lt;/RecNum&gt;&lt;record&gt;&lt;rec-number&gt;4088&lt;/rec-number&gt;&lt;foreign-keys&gt;&lt;key app="EN" db-id="taawaxs5fzprace5p9jv25fnt2vd5xt2d520"&gt;4088&lt;/key&gt;&lt;/foreign-keys&gt;&lt;ref-type name="Journal Article"&gt;17&lt;/ref-type&gt;&lt;contributors&gt;&lt;authors&gt;&lt;author&gt;Hauknes, Johan&lt;/author&gt;&lt;author&gt;Knell, Mark&lt;/author&gt;&lt;/authors&gt;&lt;/contributors&gt;&lt;titles&gt;&lt;title&gt;Embodied knowledge and sectoral linkages: An input-output approach to the interaction of high- and low-tech industries&lt;/title&gt;&lt;secondary-title&gt;Research Policy&lt;/secondary-title&gt;&lt;/titles&gt;&lt;periodical&gt;&lt;full-title&gt;Research Policy&lt;/full-title&gt;&lt;/periodical&gt;&lt;volume&gt;In Press, Corrected Proof&lt;/volume&gt;&lt;keywords&gt;&lt;keyword&gt;Technology&lt;/keyword&gt;&lt;keyword&gt;R&amp;amp;D&lt;/keyword&gt;&lt;keyword&gt;Embodied knowledge&lt;/keyword&gt;&lt;keyword&gt;Input-output economics&lt;/keyword&gt;&lt;keyword&gt;Pavitt classification&lt;/keyword&gt;&lt;/keywords&gt;&lt;dates&gt;&lt;year&gt;2009&lt;/year&gt;&lt;/dates&gt;&lt;isbn&gt;0048-7333&lt;/isbn&gt;&lt;urls&gt;&lt;related-urls&gt;&lt;url&gt;http://www.sciencedirect.com/science/article/B6V77-4V11HS8-1/2/ff0f1cc7948418868607dd7a0265162d&lt;/url&gt;&lt;/related-urls&gt;&lt;/urls&gt;&lt;/record&gt;&lt;/Cite&gt;&lt;/EndNote&gt;</w:instrText>
      </w:r>
      <w:r w:rsidR="00C2157F">
        <w:fldChar w:fldCharType="separate"/>
      </w:r>
      <w:r>
        <w:t>Hauknes and Knell 2009</w:t>
      </w:r>
      <w:r w:rsidR="00C2157F">
        <w:fldChar w:fldCharType="end"/>
      </w:r>
      <w:r>
        <w:t>), or patents (</w:t>
      </w:r>
      <w:r w:rsidR="00C2157F">
        <w:fldChar w:fldCharType="begin"/>
      </w:r>
      <w:r w:rsidR="006111D7">
        <w:instrText xml:space="preserve"> ADDIN EN.CITE &lt;EndNote&gt;&lt;Cite&gt;&lt;Author&gt;Hanel&lt;/Author&gt;&lt;Year&gt;1994&lt;/Year&gt;&lt;RecNum&gt;4087&lt;/RecNum&gt;&lt;record&gt;&lt;rec-number&gt;4087&lt;/rec-number&gt;&lt;foreign-keys&gt;&lt;key app="EN" db-id="taawaxs5fzprace5p9jv25fnt2vd5xt2d520"&gt;4087&lt;/key&gt;&lt;/foreign-keys&gt;&lt;ref-type name="Journal Article"&gt;17&lt;/ref-type&gt;&lt;contributors&gt;&lt;authors&gt;&lt;author&gt;Hanel, Petr&lt;/author&gt;&lt;/authors&gt;&lt;/contributors&gt;&lt;titles&gt;&lt;title&gt;Interindustry flows of technology: an analysis of the Canadian patent matrix and input-output matrix for 1978-1989&lt;/title&gt;&lt;secondary-title&gt;Technovation&lt;/secondary-title&gt;&lt;/titles&gt;&lt;periodical&gt;&lt;full-title&gt;Technovation&lt;/full-title&gt;&lt;/periodical&gt;&lt;pages&gt;529-548&lt;/pages&gt;&lt;volume&gt;14&lt;/volume&gt;&lt;number&gt;8&lt;/number&gt;&lt;dates&gt;&lt;year&gt;1994&lt;/year&gt;&lt;/dates&gt;&lt;isbn&gt;0166-4972&lt;/isbn&gt;&lt;urls&gt;&lt;related-urls&gt;&lt;url&gt;http://www.sciencedirect.com/science/article/B6V8B-45V2CS7-4/2/ac7be7edfa30112cce10a00901c0ed1d&lt;/url&gt;&lt;/related-urls&gt;&lt;/urls&gt;&lt;/record&gt;&lt;/Cite&gt;&lt;/EndNote&gt;</w:instrText>
      </w:r>
      <w:r w:rsidR="00C2157F">
        <w:fldChar w:fldCharType="separate"/>
      </w:r>
      <w:r>
        <w:t>Hanel 1994</w:t>
      </w:r>
      <w:r w:rsidR="00C2157F">
        <w:fldChar w:fldCharType="end"/>
      </w:r>
      <w:r>
        <w:t>).</w:t>
      </w:r>
    </w:p>
    <w:p w:rsidR="009F2EFF" w:rsidRDefault="00EF3C79" w:rsidP="009F2EFF">
      <w:pPr>
        <w:jc w:val="both"/>
      </w:pPr>
      <w:r>
        <w:t>Governments are equally important to students in being a stakeholder in universities, and it is as well in governments’ interest to ensure that higher education contributes to strengthening national skill bases and competitiveness. In this respect, t</w:t>
      </w:r>
      <w:r w:rsidR="00BE0C86">
        <w:t xml:space="preserve">he capability of the enterprise input-output model </w:t>
      </w:r>
      <w:r>
        <w:t xml:space="preserve">described above </w:t>
      </w:r>
      <w:r w:rsidR="00BE0C86">
        <w:t xml:space="preserve">was used by the University of Sydney in responding to the Australian Federal Government on the findings of the </w:t>
      </w:r>
      <w:r w:rsidR="00BE0C86" w:rsidRPr="00BE0C86">
        <w:t>Bradley review of higher education and the Cutler review of the national innovation system</w:t>
      </w:r>
      <w:r w:rsidR="00BE0C86">
        <w:t xml:space="preserve">. Bradley's report provided </w:t>
      </w:r>
      <w:r w:rsidR="009F2EFF">
        <w:t>indicative costs of</w:t>
      </w:r>
      <w:r w:rsidR="00BE0C86">
        <w:t xml:space="preserve"> proposals </w:t>
      </w:r>
      <w:r w:rsidR="009F2EFF">
        <w:t xml:space="preserve">to boost Australia’s higher education sector, for example </w:t>
      </w:r>
      <w:r w:rsidR="00BE0C86">
        <w:t xml:space="preserve">an increase of </w:t>
      </w:r>
      <w:r w:rsidR="009F2EFF">
        <w:t xml:space="preserve">10% </w:t>
      </w:r>
      <w:r w:rsidR="00BE0C86">
        <w:t>in the government's grants to institutions for teaching and learning.</w:t>
      </w:r>
      <w:r w:rsidR="009F2EFF">
        <w:t xml:space="preserve"> Considering that the government was facing difficult economic conditions, and hence had to borrow for any increased funding for higher education, a battle ensued in general over the size of the total package, and in particular over the funding rate per student, more adequate indexation, increased stipends, and more adequate funding of the indirect costs of research. </w:t>
      </w:r>
    </w:p>
    <w:p w:rsidR="009F2EFF" w:rsidRDefault="009F2EFF" w:rsidP="009F2EFF">
      <w:pPr>
        <w:jc w:val="both"/>
      </w:pPr>
      <w:r>
        <w:lastRenderedPageBreak/>
        <w:t xml:space="preserve">With regard to the last issue – indirect costs </w:t>
      </w:r>
      <w:r w:rsidR="00EF3C79">
        <w:t xml:space="preserve">but also benefits </w:t>
      </w:r>
      <w:r>
        <w:t xml:space="preserve">of research – the government </w:t>
      </w:r>
      <w:r w:rsidR="0062269D">
        <w:t>did not want mere</w:t>
      </w:r>
      <w:r>
        <w:t xml:space="preserve"> illustrations of the problems resulting from lack of full funding for research</w:t>
      </w:r>
      <w:r w:rsidR="0062269D">
        <w:t>, teaching and learning, or</w:t>
      </w:r>
      <w:r>
        <w:t xml:space="preserve"> examples </w:t>
      </w:r>
      <w:r w:rsidR="0062269D">
        <w:t>for</w:t>
      </w:r>
      <w:r>
        <w:t xml:space="preserve"> </w:t>
      </w:r>
      <w:r w:rsidR="0062269D">
        <w:t>initiatives</w:t>
      </w:r>
      <w:r>
        <w:t xml:space="preserve"> </w:t>
      </w:r>
      <w:r w:rsidR="0062269D">
        <w:t>that would</w:t>
      </w:r>
      <w:r>
        <w:t xml:space="preserve"> be </w:t>
      </w:r>
      <w:r w:rsidR="0062269D">
        <w:t>carried out</w:t>
      </w:r>
      <w:r>
        <w:t xml:space="preserve"> with more adequate funding.  </w:t>
      </w:r>
      <w:r w:rsidR="00700265">
        <w:t>R</w:t>
      </w:r>
      <w:r w:rsidR="0062269D">
        <w:t>equired were authoritative</w:t>
      </w:r>
      <w:r>
        <w:t xml:space="preserve"> estimates of the extent to which </w:t>
      </w:r>
      <w:r w:rsidR="0062269D">
        <w:t>inadequate</w:t>
      </w:r>
      <w:r>
        <w:t xml:space="preserve"> funding</w:t>
      </w:r>
      <w:r w:rsidR="0062269D">
        <w:t xml:space="preserve"> was affecting research, teaching and learning</w:t>
      </w:r>
      <w:r>
        <w:t xml:space="preserve">, </w:t>
      </w:r>
      <w:r w:rsidR="0062269D">
        <w:t>and the wider economic benefits of adopting the Bradley proposals, with emphasis on long-term</w:t>
      </w:r>
      <w:r w:rsidR="00EF3C79">
        <w:t xml:space="preserve"> systemic sustainability.</w:t>
      </w:r>
      <w:r>
        <w:t xml:space="preserve"> </w:t>
      </w:r>
      <w:r w:rsidR="00FB6E19">
        <w:t>To this end, especially the results in Tabs. 3-7 represented striking evidence for under- and cross-funding of research. Hence</w:t>
      </w:r>
      <w:r w:rsidR="002F0587">
        <w:t>, the input-output analyses presented in the previous Section proved to be an ideal tool, and were hence used in preparing the University of Sydney’s</w:t>
      </w:r>
      <w:r w:rsidR="006F1059">
        <w:t xml:space="preserve"> </w:t>
      </w:r>
      <w:r w:rsidR="002F0587">
        <w:t>response to the government.</w:t>
      </w:r>
    </w:p>
    <w:p w:rsidR="00E055FB" w:rsidRDefault="00E055FB" w:rsidP="009F2EFF">
      <w:pPr>
        <w:jc w:val="both"/>
      </w:pPr>
      <w:r>
        <w:t xml:space="preserve">Finally, the Australian Government requested similarly sound estimates of indirect effects of projects that applied for funding from its </w:t>
      </w:r>
      <w:r w:rsidRPr="00E055FB">
        <w:t>Education Investment Fund</w:t>
      </w:r>
      <w:r>
        <w:t xml:space="preserve"> (</w:t>
      </w:r>
      <w:r w:rsidR="00C2157F">
        <w:fldChar w:fldCharType="begin"/>
      </w:r>
      <w:r w:rsidR="006111D7">
        <w:instrText xml:space="preserve"> ADDIN EN.CITE &lt;EndNote&gt;&lt;Cite&gt;&lt;Author&gt;DEEWR&lt;/Author&gt;&lt;Year&gt;2010&lt;/Year&gt;&lt;RecNum&gt;4591&lt;/RecNum&gt;&lt;record&gt;&lt;rec-number&gt;4591&lt;/rec-number&gt;&lt;foreign-keys&gt;&lt;key app="EN" db-id="taawaxs5fzprace5p9jv25fnt2vd5xt2d520"&gt;4591&lt;/key&gt;&lt;/foreign-keys&gt;&lt;ref-type name="Report"&gt;27&lt;/ref-type&gt;&lt;contributors&gt;&lt;authors&gt;&lt;author&gt;DEEWR,&lt;/author&gt;&lt;/authors&gt;&lt;/contributors&gt;&lt;titles&gt;&lt;title&gt;Education Investment Fund&lt;/title&gt;&lt;/titles&gt;&lt;dates&gt;&lt;year&gt;2010&lt;/year&gt;&lt;/dates&gt;&lt;pub-location&gt;Canberra, Australia&lt;/pub-location&gt;&lt;publisher&gt;Department of Education, Employment, and Workplace Relations, Australian Government&lt;/publisher&gt;&lt;isbn&gt;www.heef.deewr.gov.au/EIF/&lt;/isbn&gt;&lt;work-type&gt;Internet site&lt;/work-type&gt;&lt;urls&gt;&lt;/urls&gt;&lt;/record&gt;&lt;/Cite&gt;&lt;/EndNote&gt;</w:instrText>
      </w:r>
      <w:r w:rsidR="00C2157F">
        <w:fldChar w:fldCharType="separate"/>
      </w:r>
      <w:r>
        <w:t>DEEWR 2010</w:t>
      </w:r>
      <w:r w:rsidR="00C2157F">
        <w:fldChar w:fldCharType="end"/>
      </w:r>
      <w:r>
        <w:t>). Once again, the enterprise model was used to strengthen the University’s applications.</w:t>
      </w:r>
    </w:p>
    <w:p w:rsidR="00F840B8" w:rsidRDefault="00991D0D" w:rsidP="00820569">
      <w:pPr>
        <w:jc w:val="both"/>
      </w:pPr>
      <w:r>
        <w:t>These examples may highlight the usefulness of enterprise input-output models in meeting market challenges as well as in negotiating with government. Obviously, t</w:t>
      </w:r>
      <w:r w:rsidR="00BE5FED">
        <w:t>he results in this paper are reported at a</w:t>
      </w:r>
      <w:r w:rsidR="00C03DDC">
        <w:t>n</w:t>
      </w:r>
      <w:r w:rsidR="00BE5FED">
        <w:t xml:space="preserve"> aggregated</w:t>
      </w:r>
      <w:r>
        <w:t>, university-wide</w:t>
      </w:r>
      <w:r w:rsidR="00BE5FED">
        <w:t xml:space="preserve"> level only for the sake of brevity; scenario exercises can be undertaken at the faculty, school, or even account level. </w:t>
      </w:r>
      <w:r>
        <w:t>In addition to financial modelling, input-output analysis can form</w:t>
      </w:r>
      <w:r w:rsidR="00BE5FED">
        <w:t xml:space="preserve"> the backbone</w:t>
      </w:r>
      <w:r w:rsidR="00F840B8">
        <w:t xml:space="preserve"> of an integrated approach to measure not only </w:t>
      </w:r>
      <w:r>
        <w:t>a</w:t>
      </w:r>
      <w:r w:rsidR="00F840B8">
        <w:t xml:space="preserve"> university’s carbon footprint, but also other environmental </w:t>
      </w:r>
      <w:r w:rsidR="000409EF">
        <w:t>indicators</w:t>
      </w:r>
      <w:r w:rsidR="00F840B8">
        <w:t xml:space="preserve"> (water</w:t>
      </w:r>
      <w:r w:rsidR="00BE5FED">
        <w:t>, land, biodiversity, etc), as well as</w:t>
      </w:r>
      <w:r w:rsidR="00F840B8">
        <w:t xml:space="preserve"> its social </w:t>
      </w:r>
      <w:r w:rsidR="000409EF">
        <w:t>outcomes</w:t>
      </w:r>
      <w:r w:rsidR="00F840B8">
        <w:t xml:space="preserve"> (employment, degrees, publications, etc). </w:t>
      </w:r>
      <w:r w:rsidR="000409EF">
        <w:t>Because of their mathematical structure, input-output accounting</w:t>
      </w:r>
      <w:r w:rsidR="00F840B8">
        <w:t xml:space="preserve"> ensures that these environmental and social objectives are measured in consistency with the financial accounts, thus providing comparability, and allowing decision-makers to identify trade-offs between different aspects of </w:t>
      </w:r>
      <w:r w:rsidR="000409EF">
        <w:t>a</w:t>
      </w:r>
      <w:r w:rsidR="00F840B8">
        <w:t xml:space="preserve"> university’s Triple Bottom Line.</w:t>
      </w:r>
      <w:r w:rsidR="00BE5FED">
        <w:t xml:space="preserve"> In fact</w:t>
      </w:r>
      <w:r w:rsidR="00F840B8">
        <w:t xml:space="preserve">, </w:t>
      </w:r>
      <w:r w:rsidR="000409EF">
        <w:t>Sydney U</w:t>
      </w:r>
      <w:r w:rsidR="00F840B8">
        <w:t>niversity’s financial reporting and planning systems and its environmental and social reporting systems</w:t>
      </w:r>
      <w:r w:rsidR="00BE5FED">
        <w:t xml:space="preserve"> are seen to</w:t>
      </w:r>
      <w:r w:rsidR="00F840B8">
        <w:t xml:space="preserve"> become one consistent unit, </w:t>
      </w:r>
      <w:r w:rsidR="00BE5FED">
        <w:t xml:space="preserve">which reflects the very spirit of the integration that the United Nations envisaged in the creation of the System of Environmental and Economic Accounts (SEEA; </w:t>
      </w:r>
      <w:r w:rsidR="00C2157F">
        <w:fldChar w:fldCharType="begin"/>
      </w:r>
      <w:r w:rsidR="006111D7">
        <w:instrText xml:space="preserve"> ADDIN EN.CITE &lt;EndNote&gt;&lt;Cite&gt;&lt;Author&gt;UNSD&lt;/Author&gt;&lt;Year&gt;2003&lt;/Year&gt;&lt;RecNum&gt;2975&lt;/RecNum&gt;&lt;record&gt;&lt;rec-number&gt;2975&lt;/rec-number&gt;&lt;foreign-keys&gt;&lt;key app="EN" db-id="taawaxs5fzprace5p9jv25fnt2vd5xt2d520"&gt;2975&lt;/key&gt;&lt;/foreign-keys&gt;&lt;ref-type name="Report"&gt;27&lt;/ref-type&gt;&lt;contributors&gt;&lt;authors&gt;&lt;author&gt;UNSD,&lt;/author&gt;&lt;/authors&gt;&lt;/contributors&gt;&lt;titles&gt;&lt;title&gt;Handbook of National Accounting: Integrated Environmental and Economic Accounting&lt;/title&gt;&lt;/titles&gt;&lt;dates&gt;&lt;year&gt;2003&lt;/year&gt;&lt;/dates&gt;&lt;pub-location&gt;New York, USA&lt;/pub-location&gt;&lt;publisher&gt;United Nations Statistics Division&lt;/publisher&gt;&lt;isbn&gt;http://unstats.un.org/unsd/envAccounting/seea2003.pdf&lt;/isbn&gt;&lt;work-type&gt;Internet site&lt;/work-type&gt;&lt;urls&gt;&lt;/urls&gt;&lt;/record&gt;&lt;/Cite&gt;&lt;/EndNote&gt;</w:instrText>
      </w:r>
      <w:r w:rsidR="00C2157F">
        <w:fldChar w:fldCharType="separate"/>
      </w:r>
      <w:r w:rsidR="00BE5FED">
        <w:t>UNSD 2003</w:t>
      </w:r>
      <w:r w:rsidR="00C2157F">
        <w:fldChar w:fldCharType="end"/>
      </w:r>
      <w:r w:rsidR="00BE5FED">
        <w:t>)</w:t>
      </w:r>
      <w:r w:rsidR="00C03DDC">
        <w:t>, and their integration with business accounts (</w:t>
      </w:r>
      <w:r w:rsidR="00C2157F">
        <w:fldChar w:fldCharType="begin"/>
      </w:r>
      <w:r w:rsidR="006111D7">
        <w:instrText xml:space="preserve"> ADDIN EN.CITE &lt;EndNote&gt;&lt;Cite&gt;&lt;Author&gt;UNSD&lt;/Author&gt;&lt;Year&gt;2000&lt;/Year&gt;&lt;RecNum&gt;3225&lt;/RecNum&gt;&lt;record&gt;&lt;rec-number&gt;3225&lt;/rec-number&gt;&lt;foreign-keys&gt;&lt;key app="EN" db-id="taawaxs5fzprace5p9jv25fnt2vd5xt2d520"&gt;3225&lt;/key&gt;&lt;/foreign-keys&gt;&lt;ref-type name="Book"&gt;6&lt;/ref-type&gt;&lt;contributors&gt;&lt;authors&gt;&lt;author&gt;UNSD,&lt;/author&gt;&lt;/authors&gt;&lt;secondary-authors&gt;&lt;author&gt;United Nations,&lt;/author&gt;&lt;/secondary-authors&gt;&lt;/contributors&gt;&lt;titles&gt;&lt;title&gt;Links between business accounting and national accounting&lt;/title&gt;&lt;secondary-title&gt;Studies in Methods Series F, No. 76 - Handbook of National Accounting&lt;/secondary-title&gt;&lt;/titles&gt;&lt;dates&gt;&lt;year&gt;2000&lt;/year&gt;&lt;/dates&gt;&lt;pub-location&gt;New York, USA&lt;/pub-location&gt;&lt;publisher&gt;United Nations Department for Economic and Social Affairs Statistics Division&lt;/publisher&gt;&lt;urls&gt;&lt;/urls&gt;&lt;/record&gt;&lt;/Cite&gt;&lt;/EndNote&gt;</w:instrText>
      </w:r>
      <w:r w:rsidR="00C2157F">
        <w:fldChar w:fldCharType="separate"/>
      </w:r>
      <w:r w:rsidR="00D10591">
        <w:t>UNSD 2000</w:t>
      </w:r>
      <w:r w:rsidR="00C2157F">
        <w:fldChar w:fldCharType="end"/>
      </w:r>
      <w:r w:rsidR="00C03DDC">
        <w:t>)</w:t>
      </w:r>
      <w:r w:rsidR="00BE5FED">
        <w:t>.</w:t>
      </w:r>
    </w:p>
    <w:p w:rsidR="007258DE" w:rsidRDefault="007258DE" w:rsidP="00820569">
      <w:pPr>
        <w:jc w:val="both"/>
      </w:pPr>
    </w:p>
    <w:p w:rsidR="00891966" w:rsidRDefault="00891966" w:rsidP="00820569">
      <w:pPr>
        <w:jc w:val="both"/>
      </w:pPr>
    </w:p>
    <w:p w:rsidR="007258DE" w:rsidRDefault="007258DE" w:rsidP="007258DE">
      <w:pPr>
        <w:jc w:val="both"/>
        <w:rPr>
          <w:b/>
        </w:rPr>
      </w:pPr>
      <w:r>
        <w:rPr>
          <w:b/>
        </w:rPr>
        <w:t>Acknowledgements</w:t>
      </w:r>
    </w:p>
    <w:p w:rsidR="007258DE" w:rsidRPr="007258DE" w:rsidRDefault="007258DE" w:rsidP="007258DE">
      <w:pPr>
        <w:jc w:val="both"/>
      </w:pPr>
      <w:r w:rsidRPr="007258DE">
        <w:t xml:space="preserve">The </w:t>
      </w:r>
      <w:r>
        <w:t xml:space="preserve">authors thank Garry English, Christina Fava, Kubra Gul, Mark Easson, and Sukumar Narayanan for assistance with the University of Sydney’s financial data, and for valuable advice. </w:t>
      </w:r>
      <w:r w:rsidR="008B249F">
        <w:t xml:space="preserve">Linda Schofield, Christopher Dey, </w:t>
      </w:r>
      <w:r w:rsidR="00851EBF">
        <w:t xml:space="preserve">Deborrah Lambourne, </w:t>
      </w:r>
      <w:r w:rsidR="008B249F">
        <w:t>Tess Howes</w:t>
      </w:r>
      <w:r w:rsidR="00B61029">
        <w:t>, and Stefan Wisniowski</w:t>
      </w:r>
      <w:r w:rsidR="008B249F">
        <w:t xml:space="preserve"> </w:t>
      </w:r>
      <w:r w:rsidR="00B61029">
        <w:t>have provided ongoing advice and support</w:t>
      </w:r>
      <w:r w:rsidR="008B249F">
        <w:t xml:space="preserve">. </w:t>
      </w:r>
      <w:r>
        <w:t>The Australian input-output data were compiled by Richard Wood</w:t>
      </w:r>
      <w:r w:rsidR="008B249F">
        <w:t xml:space="preserve"> and Ting Yu</w:t>
      </w:r>
      <w:r>
        <w:t>.</w:t>
      </w:r>
    </w:p>
    <w:p w:rsidR="00C135F9" w:rsidRPr="00FD77FF" w:rsidRDefault="00C135F9" w:rsidP="00820569">
      <w:pPr>
        <w:jc w:val="both"/>
        <w:rPr>
          <w:b/>
        </w:rPr>
      </w:pPr>
      <w:r>
        <w:br w:type="column"/>
      </w:r>
      <w:r w:rsidRPr="00FD77FF">
        <w:rPr>
          <w:b/>
        </w:rPr>
        <w:lastRenderedPageBreak/>
        <w:t>References</w:t>
      </w:r>
    </w:p>
    <w:p w:rsidR="006111D7" w:rsidRPr="006111D7" w:rsidRDefault="00C2157F" w:rsidP="006111D7">
      <w:pPr>
        <w:spacing w:after="0" w:line="240" w:lineRule="auto"/>
        <w:ind w:left="720" w:hanging="720"/>
        <w:jc w:val="both"/>
        <w:rPr>
          <w:rFonts w:ascii="Calibri" w:hAnsi="Calibri"/>
        </w:rPr>
      </w:pPr>
      <w:r>
        <w:fldChar w:fldCharType="begin"/>
      </w:r>
      <w:r w:rsidR="00C135F9">
        <w:instrText xml:space="preserve"> ADDIN EN.REFLIST </w:instrText>
      </w:r>
      <w:r>
        <w:fldChar w:fldCharType="separate"/>
      </w:r>
      <w:r w:rsidR="006111D7" w:rsidRPr="006111D7">
        <w:rPr>
          <w:rFonts w:ascii="Calibri" w:hAnsi="Calibri"/>
        </w:rPr>
        <w:t xml:space="preserve">ABS (2008) </w:t>
      </w:r>
      <w:r w:rsidR="006111D7" w:rsidRPr="006111D7">
        <w:rPr>
          <w:rFonts w:ascii="Calibri" w:hAnsi="Calibri"/>
          <w:i/>
        </w:rPr>
        <w:t>Australian National Accounts, Input-Output Tables, 2004-05</w:t>
      </w:r>
      <w:r w:rsidR="006111D7" w:rsidRPr="006111D7">
        <w:rPr>
          <w:rFonts w:ascii="Calibri" w:hAnsi="Calibri"/>
        </w:rPr>
        <w:t>. ABS Catalogue No. 5209.0.55.001, Canberra, Australia, Australian Bureau of Statistics.</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Albino, V., E. Dietzenbacher and S. Kühtz (2003) Analysing materials and energy flows in an industrial district using an enterprise input-output model. </w:t>
      </w:r>
      <w:r w:rsidRPr="006111D7">
        <w:rPr>
          <w:rFonts w:ascii="Calibri" w:hAnsi="Calibri"/>
          <w:i/>
        </w:rPr>
        <w:t>Economic Systems Research</w:t>
      </w:r>
      <w:r w:rsidRPr="006111D7">
        <w:rPr>
          <w:rFonts w:ascii="Calibri" w:hAnsi="Calibri"/>
        </w:rPr>
        <w:t xml:space="preserve"> 15, 457-480.</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Albino, V. and S. Kühtz (2004) Enterprise input-output model for local sustainable development--the case of a tiles manufacturer in Italy. </w:t>
      </w:r>
      <w:r w:rsidRPr="006111D7">
        <w:rPr>
          <w:rFonts w:ascii="Calibri" w:hAnsi="Calibri"/>
          <w:i/>
        </w:rPr>
        <w:t>Resources, Conservation and Recycling</w:t>
      </w:r>
      <w:r w:rsidRPr="006111D7">
        <w:rPr>
          <w:rFonts w:ascii="Calibri" w:hAnsi="Calibri"/>
        </w:rPr>
        <w:t xml:space="preserve"> 41, 165-176.</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Baboulet, O. and M. Lenzen (2009) An application of the path exchange method for hybrid LCA. </w:t>
      </w:r>
      <w:r w:rsidRPr="006111D7">
        <w:rPr>
          <w:rFonts w:ascii="Calibri" w:hAnsi="Calibri"/>
          <w:i/>
        </w:rPr>
        <w:t>Journal of Cleaner Production</w:t>
      </w:r>
      <w:r w:rsidRPr="006111D7">
        <w:rPr>
          <w:rFonts w:ascii="Calibri" w:hAnsi="Calibri"/>
        </w:rPr>
        <w:t>, submitted.</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Billings, R.B. and J.L. Katz (1982) A technique to obtain accurate impact multipliers for individual firms by means of existing input-output models. </w:t>
      </w:r>
      <w:r w:rsidRPr="006111D7">
        <w:rPr>
          <w:rFonts w:ascii="Calibri" w:hAnsi="Calibri"/>
          <w:i/>
        </w:rPr>
        <w:t>Environment and Planning A</w:t>
      </w:r>
      <w:r w:rsidRPr="006111D7">
        <w:rPr>
          <w:rFonts w:ascii="Calibri" w:hAnsi="Calibri"/>
        </w:rPr>
        <w:t xml:space="preserve"> 14, 739-744.</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Brownrigg, M. (1973) The economic impact of a new university. </w:t>
      </w:r>
      <w:r w:rsidRPr="006111D7">
        <w:rPr>
          <w:rFonts w:ascii="Calibri" w:hAnsi="Calibri"/>
          <w:i/>
        </w:rPr>
        <w:t>Scottish Journal of Political Economy</w:t>
      </w:r>
      <w:r w:rsidRPr="006111D7">
        <w:rPr>
          <w:rFonts w:ascii="Calibri" w:hAnsi="Calibri"/>
        </w:rPr>
        <w:t xml:space="preserve"> 20, 123-129.</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Clarke, A. and R. Kouri (2009) Choosing an appropriate university or college environmental management system. </w:t>
      </w:r>
      <w:r w:rsidRPr="006111D7">
        <w:rPr>
          <w:rFonts w:ascii="Calibri" w:hAnsi="Calibri"/>
          <w:i/>
        </w:rPr>
        <w:t>Journal of Cleaner Production</w:t>
      </w:r>
      <w:r w:rsidRPr="006111D7">
        <w:rPr>
          <w:rFonts w:ascii="Calibri" w:hAnsi="Calibri"/>
        </w:rPr>
        <w:t xml:space="preserve"> 17, 971-984.</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Correa, H. and J. Craft (1999) Input-output analysis for organizational human resources management. </w:t>
      </w:r>
      <w:r w:rsidRPr="006111D7">
        <w:rPr>
          <w:rFonts w:ascii="Calibri" w:hAnsi="Calibri"/>
          <w:i/>
        </w:rPr>
        <w:t>Omega</w:t>
      </w:r>
      <w:r w:rsidRPr="006111D7">
        <w:rPr>
          <w:rFonts w:ascii="Calibri" w:hAnsi="Calibri"/>
        </w:rPr>
        <w:t xml:space="preserve"> 27, 87-99.</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Crama, Y., J. Defourny and J. Gazon (1984) Structural decomposition of multipliers in input-output or social accounting matrix analysis. </w:t>
      </w:r>
      <w:r w:rsidRPr="006111D7">
        <w:rPr>
          <w:rFonts w:ascii="Calibri" w:hAnsi="Calibri"/>
          <w:i/>
        </w:rPr>
        <w:t>Economie Appliquée</w:t>
      </w:r>
      <w:r w:rsidRPr="006111D7">
        <w:rPr>
          <w:rFonts w:ascii="Calibri" w:hAnsi="Calibri"/>
        </w:rPr>
        <w:t xml:space="preserve"> 37, 215-222.</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DEEWR (2010) </w:t>
      </w:r>
      <w:r w:rsidRPr="006111D7">
        <w:rPr>
          <w:rFonts w:ascii="Calibri" w:hAnsi="Calibri"/>
          <w:i/>
        </w:rPr>
        <w:t>Education Investment Fund</w:t>
      </w:r>
      <w:r w:rsidRPr="006111D7">
        <w:rPr>
          <w:rFonts w:ascii="Calibri" w:hAnsi="Calibri"/>
        </w:rPr>
        <w:t xml:space="preserve">. Internet site </w:t>
      </w:r>
      <w:hyperlink r:id="rId20" w:history="1">
        <w:r w:rsidRPr="006111D7">
          <w:rPr>
            <w:rStyle w:val="Hyperlink"/>
            <w:rFonts w:ascii="Calibri" w:hAnsi="Calibri"/>
          </w:rPr>
          <w:t>www.heef.deewr.gov.au/EIF/</w:t>
        </w:r>
      </w:hyperlink>
      <w:r w:rsidRPr="006111D7">
        <w:rPr>
          <w:rFonts w:ascii="Calibri" w:hAnsi="Calibri"/>
        </w:rPr>
        <w:t>, Canberra, Australia, Department of Education, Employment, and Workplace Relations, Australian Government.</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Defourny, J. and E. Thorbecke (1984) Structural path analysis and multiplier decomposition within a social accounting matrix framework. </w:t>
      </w:r>
      <w:r w:rsidRPr="006111D7">
        <w:rPr>
          <w:rFonts w:ascii="Calibri" w:hAnsi="Calibri"/>
          <w:i/>
        </w:rPr>
        <w:t>Economic Journal</w:t>
      </w:r>
      <w:r w:rsidRPr="006111D7">
        <w:rPr>
          <w:rFonts w:ascii="Calibri" w:hAnsi="Calibri"/>
        </w:rPr>
        <w:t xml:space="preserve"> 94, 111-136.</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Dey, C. and M. Lenzen (2008) TBL Performance. </w:t>
      </w:r>
      <w:r w:rsidRPr="006111D7">
        <w:rPr>
          <w:rFonts w:ascii="Calibri" w:hAnsi="Calibri"/>
          <w:i/>
        </w:rPr>
        <w:t>Annual Report 2008</w:t>
      </w:r>
      <w:r w:rsidRPr="006111D7">
        <w:rPr>
          <w:rFonts w:ascii="Calibri" w:hAnsi="Calibri"/>
        </w:rPr>
        <w:t xml:space="preserve">. Internet site </w:t>
      </w:r>
      <w:hyperlink r:id="rId21" w:history="1">
        <w:r w:rsidRPr="006111D7">
          <w:rPr>
            <w:rStyle w:val="Hyperlink"/>
            <w:rFonts w:ascii="Calibri" w:hAnsi="Calibri"/>
          </w:rPr>
          <w:t>www.usyd.edu.au/about/publications/annual_report/2008/sustainable_annual_report_2008.pdf</w:t>
        </w:r>
      </w:hyperlink>
      <w:r w:rsidRPr="006111D7">
        <w:rPr>
          <w:rFonts w:ascii="Calibri" w:hAnsi="Calibri"/>
        </w:rPr>
        <w:t>, Sydney, Australia, The University of Sydney,</w:t>
      </w:r>
      <w:r w:rsidRPr="006111D7">
        <w:rPr>
          <w:rFonts w:ascii="Calibri" w:hAnsi="Calibri"/>
          <w:b/>
        </w:rPr>
        <w:t xml:space="preserve"> </w:t>
      </w:r>
      <w:r w:rsidRPr="006111D7">
        <w:rPr>
          <w:rFonts w:ascii="Calibri" w:hAnsi="Calibri"/>
        </w:rPr>
        <w:t>12.</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Dietzenbacher, E. (1989) On the relationship between the supply-driven and the demand-driven input-output model. </w:t>
      </w:r>
      <w:r w:rsidRPr="006111D7">
        <w:rPr>
          <w:rFonts w:ascii="Calibri" w:hAnsi="Calibri"/>
          <w:i/>
        </w:rPr>
        <w:t>Environment and Planning A</w:t>
      </w:r>
      <w:r w:rsidRPr="006111D7">
        <w:rPr>
          <w:rFonts w:ascii="Calibri" w:hAnsi="Calibri"/>
        </w:rPr>
        <w:t xml:space="preserve"> 21, 1533-1539.</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Dietzenbacher, E. (1997) In vindication of the Ghosh model: a reinterpretation as a price model. </w:t>
      </w:r>
      <w:r w:rsidRPr="006111D7">
        <w:rPr>
          <w:rFonts w:ascii="Calibri" w:hAnsi="Calibri"/>
          <w:i/>
        </w:rPr>
        <w:t>Journal of Regional Science</w:t>
      </w:r>
      <w:r w:rsidRPr="006111D7">
        <w:rPr>
          <w:rFonts w:ascii="Calibri" w:hAnsi="Calibri"/>
        </w:rPr>
        <w:t xml:space="preserve"> 37, 629-651.</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Farag, S.M. (1967) </w:t>
      </w:r>
      <w:r w:rsidRPr="006111D7">
        <w:rPr>
          <w:rFonts w:ascii="Calibri" w:hAnsi="Calibri"/>
          <w:i/>
        </w:rPr>
        <w:t>Input-output analysis: applications to business and accounting</w:t>
      </w:r>
      <w:r w:rsidRPr="006111D7">
        <w:rPr>
          <w:rFonts w:ascii="Calibri" w:hAnsi="Calibri"/>
        </w:rPr>
        <w:t>. Urbana, USA, Center for International Education and Research in Accounting.</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Foran, B., M. Lenzen and C. Dey (2005a) </w:t>
      </w:r>
      <w:r w:rsidRPr="006111D7">
        <w:rPr>
          <w:rFonts w:ascii="Calibri" w:hAnsi="Calibri"/>
          <w:i/>
        </w:rPr>
        <w:t>Balancing Act - A Triple Bottom Line Account of the Australian Economy</w:t>
      </w:r>
      <w:r w:rsidRPr="006111D7">
        <w:rPr>
          <w:rFonts w:ascii="Calibri" w:hAnsi="Calibri"/>
        </w:rPr>
        <w:t xml:space="preserve">. Internet site </w:t>
      </w:r>
      <w:hyperlink r:id="rId22" w:history="1">
        <w:r w:rsidRPr="006111D7">
          <w:rPr>
            <w:rStyle w:val="Hyperlink"/>
            <w:rFonts w:ascii="Calibri" w:hAnsi="Calibri"/>
          </w:rPr>
          <w:t>http://www.isa.org.usyd.edu.au</w:t>
        </w:r>
      </w:hyperlink>
      <w:r w:rsidRPr="006111D7">
        <w:rPr>
          <w:rFonts w:ascii="Calibri" w:hAnsi="Calibri"/>
        </w:rPr>
        <w:t>, Canberra, ACT, Australia, CSIRO Resource Futures and The University of Sydney.</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Foran, B., M. Lenzen, C. Dey and M. Bilek (2005b) Integrating Sustainable Chain Management with Triple Bottom Line Reporting. </w:t>
      </w:r>
      <w:r w:rsidRPr="006111D7">
        <w:rPr>
          <w:rFonts w:ascii="Calibri" w:hAnsi="Calibri"/>
          <w:i/>
        </w:rPr>
        <w:t>Ecological Economics</w:t>
      </w:r>
      <w:r w:rsidRPr="006111D7">
        <w:rPr>
          <w:rFonts w:ascii="Calibri" w:hAnsi="Calibri"/>
        </w:rPr>
        <w:t xml:space="preserve"> 52, 143-157.</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Gallego, B. and M. Lenzen (2005) A consistent input-output formulation of shared consumer and producer responsibility. </w:t>
      </w:r>
      <w:r w:rsidRPr="006111D7">
        <w:rPr>
          <w:rFonts w:ascii="Calibri" w:hAnsi="Calibri"/>
          <w:i/>
        </w:rPr>
        <w:t>Economic Systems Research</w:t>
      </w:r>
      <w:r w:rsidRPr="006111D7">
        <w:rPr>
          <w:rFonts w:ascii="Calibri" w:hAnsi="Calibri"/>
        </w:rPr>
        <w:t xml:space="preserve"> 17, 365-391.</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Gallego, B. and M. Lenzen (2008) Estimating generalised regional input-output systems: A case study of Australia. In: M. Ruth and B. Davidsdottir (eds.) </w:t>
      </w:r>
      <w:r w:rsidRPr="006111D7">
        <w:rPr>
          <w:rFonts w:ascii="Calibri" w:hAnsi="Calibri"/>
          <w:i/>
        </w:rPr>
        <w:t>Dynamics of Industrial Ecosystems</w:t>
      </w:r>
      <w:r w:rsidRPr="006111D7">
        <w:rPr>
          <w:rFonts w:ascii="Calibri" w:hAnsi="Calibri"/>
        </w:rPr>
        <w:t>. Boston, MA, USA, MIT Press,</w:t>
      </w:r>
      <w:r w:rsidRPr="006111D7">
        <w:rPr>
          <w:rFonts w:ascii="Calibri" w:hAnsi="Calibri"/>
          <w:b/>
        </w:rPr>
        <w:t xml:space="preserve"> </w:t>
      </w:r>
      <w:r w:rsidRPr="006111D7">
        <w:rPr>
          <w:rFonts w:ascii="Calibri" w:hAnsi="Calibri"/>
        </w:rPr>
        <w:t>in press.</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Ghosh, A. (1958) Input-output approach in an allocation system. </w:t>
      </w:r>
      <w:r w:rsidRPr="006111D7">
        <w:rPr>
          <w:rFonts w:ascii="Calibri" w:hAnsi="Calibri"/>
          <w:i/>
        </w:rPr>
        <w:t>Economica</w:t>
      </w:r>
      <w:r w:rsidRPr="006111D7">
        <w:rPr>
          <w:rFonts w:ascii="Calibri" w:hAnsi="Calibri"/>
        </w:rPr>
        <w:t xml:space="preserve"> XXV.</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Grubbstrom, R.W. and O. Tang (2000) An overview of input-output analysis applied to production-inventory systems. </w:t>
      </w:r>
      <w:r w:rsidRPr="006111D7">
        <w:rPr>
          <w:rFonts w:ascii="Calibri" w:hAnsi="Calibri"/>
          <w:i/>
        </w:rPr>
        <w:t>Economic Systems Research</w:t>
      </w:r>
      <w:r w:rsidRPr="006111D7">
        <w:rPr>
          <w:rFonts w:ascii="Calibri" w:hAnsi="Calibri"/>
        </w:rPr>
        <w:t xml:space="preserve"> 12, 3-25.</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Hanel, P. (1994) Interindustry flows of technology: an analysis of the Canadian patent matrix and input-output matrix for 1978-1989. </w:t>
      </w:r>
      <w:r w:rsidRPr="006111D7">
        <w:rPr>
          <w:rFonts w:ascii="Calibri" w:hAnsi="Calibri"/>
          <w:i/>
        </w:rPr>
        <w:t>Technovation</w:t>
      </w:r>
      <w:r w:rsidRPr="006111D7">
        <w:rPr>
          <w:rFonts w:ascii="Calibri" w:hAnsi="Calibri"/>
        </w:rPr>
        <w:t xml:space="preserve"> 14, 529-548.</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Hauknes, J. and M. Knell (2009) Embodied knowledge and sectoral linkages: An input-output approach to the interaction of high- and low-tech industries. </w:t>
      </w:r>
      <w:r w:rsidRPr="006111D7">
        <w:rPr>
          <w:rFonts w:ascii="Calibri" w:hAnsi="Calibri"/>
          <w:i/>
        </w:rPr>
        <w:t>Research Policy</w:t>
      </w:r>
      <w:r w:rsidRPr="006111D7">
        <w:rPr>
          <w:rFonts w:ascii="Calibri" w:hAnsi="Calibri"/>
        </w:rPr>
        <w:t xml:space="preserve"> In Press, Corrected Proof.</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lastRenderedPageBreak/>
        <w:t xml:space="preserve">Heijungs, R. and S. Suh (2002) </w:t>
      </w:r>
      <w:r w:rsidRPr="006111D7">
        <w:rPr>
          <w:rFonts w:ascii="Calibri" w:hAnsi="Calibri"/>
          <w:i/>
        </w:rPr>
        <w:t>The computational structure of life cycle assessment</w:t>
      </w:r>
      <w:r w:rsidRPr="006111D7">
        <w:rPr>
          <w:rFonts w:ascii="Calibri" w:hAnsi="Calibri"/>
        </w:rPr>
        <w:t>. Dordrecht, Netherlands, Kluwer Academic Publishers.</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ISA (2010) </w:t>
      </w:r>
      <w:r w:rsidRPr="006111D7">
        <w:rPr>
          <w:rFonts w:ascii="Calibri" w:hAnsi="Calibri"/>
          <w:i/>
        </w:rPr>
        <w:t>Indicators</w:t>
      </w:r>
      <w:r w:rsidRPr="006111D7">
        <w:rPr>
          <w:rFonts w:ascii="Calibri" w:hAnsi="Calibri"/>
        </w:rPr>
        <w:t xml:space="preserve">. Information Sheet 6, Internet site </w:t>
      </w:r>
      <w:hyperlink r:id="rId23" w:history="1">
        <w:r w:rsidRPr="006111D7">
          <w:rPr>
            <w:rStyle w:val="Hyperlink"/>
            <w:rFonts w:ascii="Calibri" w:hAnsi="Calibri"/>
          </w:rPr>
          <w:t>www.isa.org.usyd.edu.au/research/InformationSheets/ISATBLInfo6_v1.pdf</w:t>
        </w:r>
      </w:hyperlink>
      <w:r w:rsidRPr="006111D7">
        <w:rPr>
          <w:rFonts w:ascii="Calibri" w:hAnsi="Calibri"/>
        </w:rPr>
        <w:t>, Sydney, Australia, ISA, The University of Sydney.</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Katz, J.L. (1980) The relationship between type I and type II income multipliers in an input-output model. </w:t>
      </w:r>
      <w:r w:rsidRPr="006111D7">
        <w:rPr>
          <w:rFonts w:ascii="Calibri" w:hAnsi="Calibri"/>
          <w:i/>
        </w:rPr>
        <w:t>International Regional Science Review</w:t>
      </w:r>
      <w:r w:rsidRPr="006111D7">
        <w:rPr>
          <w:rFonts w:ascii="Calibri" w:hAnsi="Calibri"/>
        </w:rPr>
        <w:t xml:space="preserve"> 5, 51-56.</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Lave, L.B. (2006) Enterprise and Materials Flow Input-Output Analysis. In: C.T. Hendrickson, L.B. Lave and H.S. Matthews (eds.) </w:t>
      </w:r>
      <w:r w:rsidRPr="006111D7">
        <w:rPr>
          <w:rFonts w:ascii="Calibri" w:hAnsi="Calibri"/>
          <w:i/>
        </w:rPr>
        <w:t>Environmental life cycle assessment of goods and services - an input-output approach</w:t>
      </w:r>
      <w:r w:rsidRPr="006111D7">
        <w:rPr>
          <w:rFonts w:ascii="Calibri" w:hAnsi="Calibri"/>
        </w:rPr>
        <w:t>. Washington, D.C., USA, Resources for the Future,</w:t>
      </w:r>
      <w:r w:rsidRPr="006111D7">
        <w:rPr>
          <w:rFonts w:ascii="Calibri" w:hAnsi="Calibri"/>
          <w:b/>
        </w:rPr>
        <w:t xml:space="preserve"> </w:t>
      </w:r>
      <w:r w:rsidRPr="006111D7">
        <w:rPr>
          <w:rFonts w:ascii="Calibri" w:hAnsi="Calibri"/>
        </w:rPr>
        <w:t>179-183.</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Lenzen, M. (2002) A guide for compiling inventories in hybrid LCA: some Australian results. </w:t>
      </w:r>
      <w:r w:rsidRPr="006111D7">
        <w:rPr>
          <w:rFonts w:ascii="Calibri" w:hAnsi="Calibri"/>
          <w:i/>
        </w:rPr>
        <w:t>Journal of Cleaner Production</w:t>
      </w:r>
      <w:r w:rsidRPr="006111D7">
        <w:rPr>
          <w:rFonts w:ascii="Calibri" w:hAnsi="Calibri"/>
        </w:rPr>
        <w:t xml:space="preserve"> 10, 545-572.</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Lenzen, M. (2006) Structural Path Analysis of ecosystem networks. </w:t>
      </w:r>
      <w:r w:rsidRPr="006111D7">
        <w:rPr>
          <w:rFonts w:ascii="Calibri" w:hAnsi="Calibri"/>
          <w:i/>
        </w:rPr>
        <w:t>Ecological Modelling</w:t>
      </w:r>
      <w:r w:rsidRPr="006111D7">
        <w:rPr>
          <w:rFonts w:ascii="Calibri" w:hAnsi="Calibri"/>
        </w:rPr>
        <w:t xml:space="preserve"> 200, 334-342.</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Lenzen, M. (2008) Sustainable island businesses: a case study of Norfolk Island. </w:t>
      </w:r>
      <w:r w:rsidRPr="006111D7">
        <w:rPr>
          <w:rFonts w:ascii="Calibri" w:hAnsi="Calibri"/>
          <w:i/>
        </w:rPr>
        <w:t>Journal of Cleaner Production</w:t>
      </w:r>
      <w:r w:rsidRPr="006111D7">
        <w:rPr>
          <w:rFonts w:ascii="Calibri" w:hAnsi="Calibri"/>
        </w:rPr>
        <w:t xml:space="preserve"> 16, 2018-2035.</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Lenzen, M., B. Gallego and R. Wood (2009) Matrix balancing under conflicting information. </w:t>
      </w:r>
      <w:r w:rsidRPr="006111D7">
        <w:rPr>
          <w:rFonts w:ascii="Calibri" w:hAnsi="Calibri"/>
          <w:i/>
        </w:rPr>
        <w:t>Economic Systems Research</w:t>
      </w:r>
      <w:r w:rsidRPr="006111D7">
        <w:rPr>
          <w:rFonts w:ascii="Calibri" w:hAnsi="Calibri"/>
        </w:rPr>
        <w:t xml:space="preserve"> 21, 23-44.</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Lenzen, M. and J. Murray (2010) Conceptualising environmental responsibility. </w:t>
      </w:r>
      <w:r w:rsidRPr="006111D7">
        <w:rPr>
          <w:rFonts w:ascii="Calibri" w:hAnsi="Calibri"/>
          <w:i/>
        </w:rPr>
        <w:t>Ecological Economics</w:t>
      </w:r>
      <w:r w:rsidRPr="006111D7">
        <w:rPr>
          <w:rFonts w:ascii="Calibri" w:hAnsi="Calibri"/>
        </w:rPr>
        <w:t>, in press.</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Lenzen, M. and R. Schaeffer (2004) Interrelational income distribution in Brazil. </w:t>
      </w:r>
      <w:r w:rsidRPr="006111D7">
        <w:rPr>
          <w:rFonts w:ascii="Calibri" w:hAnsi="Calibri"/>
          <w:i/>
        </w:rPr>
        <w:t>Developing Economies</w:t>
      </w:r>
      <w:r w:rsidRPr="006111D7">
        <w:rPr>
          <w:rFonts w:ascii="Calibri" w:hAnsi="Calibri"/>
        </w:rPr>
        <w:t xml:space="preserve"> XLII, 371-391.</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Lenzen, M. and G. Treloar (2005) Endogenising capital: a comparison of two methods. </w:t>
      </w:r>
      <w:r w:rsidRPr="006111D7">
        <w:rPr>
          <w:rFonts w:ascii="Calibri" w:hAnsi="Calibri"/>
          <w:i/>
        </w:rPr>
        <w:t>Journal of Applied Input-Output Analysis</w:t>
      </w:r>
      <w:r w:rsidRPr="006111D7">
        <w:rPr>
          <w:rFonts w:ascii="Calibri" w:hAnsi="Calibri"/>
        </w:rPr>
        <w:t xml:space="preserve"> 10, 1-11.</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Leontief, W. (1936) Quantitative input and output relations in the economic system of the United States. </w:t>
      </w:r>
      <w:r w:rsidRPr="006111D7">
        <w:rPr>
          <w:rFonts w:ascii="Calibri" w:hAnsi="Calibri"/>
          <w:i/>
        </w:rPr>
        <w:t>Review of Economics and Statistics</w:t>
      </w:r>
      <w:r w:rsidRPr="006111D7">
        <w:rPr>
          <w:rFonts w:ascii="Calibri" w:hAnsi="Calibri"/>
        </w:rPr>
        <w:t xml:space="preserve"> 18, 105-125.</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Li, J., R. Tong and Y. Wang (2008) Transregional enterprise input-output model and its application in production decision-making. </w:t>
      </w:r>
      <w:r w:rsidRPr="006111D7">
        <w:rPr>
          <w:rFonts w:ascii="Calibri" w:hAnsi="Calibri"/>
          <w:i/>
        </w:rPr>
        <w:t>CCCM '08, ISECS International Colloquium on Computing, Communication, Control, and Management</w:t>
      </w:r>
      <w:r w:rsidRPr="006111D7">
        <w:rPr>
          <w:rFonts w:ascii="Calibri" w:hAnsi="Calibri"/>
        </w:rPr>
        <w:t xml:space="preserve"> 3, 211-215.</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Lichty, R.W. and W.A. Jesswein (1978) Assessing university impacts using interindustry analysis. </w:t>
      </w:r>
      <w:r w:rsidRPr="006111D7">
        <w:rPr>
          <w:rFonts w:ascii="Calibri" w:hAnsi="Calibri"/>
          <w:i/>
        </w:rPr>
        <w:t>Growth and Change</w:t>
      </w:r>
      <w:r w:rsidRPr="006111D7">
        <w:rPr>
          <w:rFonts w:ascii="Calibri" w:hAnsi="Calibri"/>
        </w:rPr>
        <w:t xml:space="preserve"> 9, 24-28.</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Lin, X. and K.R. Polenske (1998) Input-output modeling of production processes for business management. </w:t>
      </w:r>
      <w:r w:rsidRPr="006111D7">
        <w:rPr>
          <w:rFonts w:ascii="Calibri" w:hAnsi="Calibri"/>
          <w:i/>
        </w:rPr>
        <w:t>Structural Change and Economic Dynamics</w:t>
      </w:r>
      <w:r w:rsidRPr="006111D7">
        <w:rPr>
          <w:rFonts w:ascii="Calibri" w:hAnsi="Calibri"/>
        </w:rPr>
        <w:t xml:space="preserve"> 9, 205-226.</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Marangoni, G. and G. Fezzi (2002) Input-output for management control: the case of GlaxoSmithKline. </w:t>
      </w:r>
      <w:r w:rsidRPr="006111D7">
        <w:rPr>
          <w:rFonts w:ascii="Calibri" w:hAnsi="Calibri"/>
          <w:i/>
        </w:rPr>
        <w:t>Economic Systems Research</w:t>
      </w:r>
      <w:r w:rsidRPr="006111D7">
        <w:rPr>
          <w:rFonts w:ascii="Calibri" w:hAnsi="Calibri"/>
        </w:rPr>
        <w:t xml:space="preserve"> 14, 245-256.</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Miller, R.E. (1980) The relationship between type I and type II income multipliers in an input-output model: a comment. </w:t>
      </w:r>
      <w:r w:rsidRPr="006111D7">
        <w:rPr>
          <w:rFonts w:ascii="Calibri" w:hAnsi="Calibri"/>
          <w:i/>
        </w:rPr>
        <w:t>International Regional Science Review</w:t>
      </w:r>
      <w:r w:rsidRPr="006111D7">
        <w:rPr>
          <w:rFonts w:ascii="Calibri" w:hAnsi="Calibri"/>
        </w:rPr>
        <w:t xml:space="preserve"> 5, 185-188.</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Miyazawa, K. (1966) Internal and external matrix multipliers in the input-output model. </w:t>
      </w:r>
      <w:r w:rsidRPr="006111D7">
        <w:rPr>
          <w:rFonts w:ascii="Calibri" w:hAnsi="Calibri"/>
          <w:i/>
        </w:rPr>
        <w:t>Hitotsubashi Journal of Economics</w:t>
      </w:r>
      <w:r w:rsidRPr="006111D7">
        <w:rPr>
          <w:rFonts w:ascii="Calibri" w:hAnsi="Calibri"/>
        </w:rPr>
        <w:t xml:space="preserve"> 7, 38-55.</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Miyazawa, K. (1968) Input-output analysis and interrelational income multiplier as a matrix. </w:t>
      </w:r>
      <w:r w:rsidRPr="006111D7">
        <w:rPr>
          <w:rFonts w:ascii="Calibri" w:hAnsi="Calibri"/>
          <w:i/>
        </w:rPr>
        <w:t>Hitotsubashi Journal of Economics</w:t>
      </w:r>
      <w:r w:rsidRPr="006111D7">
        <w:rPr>
          <w:rFonts w:ascii="Calibri" w:hAnsi="Calibri"/>
        </w:rPr>
        <w:t xml:space="preserve"> 18, 39-58.</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Oosterhaven, J. (1988) On the plausibility of the supply-driven input-output model. </w:t>
      </w:r>
      <w:r w:rsidRPr="006111D7">
        <w:rPr>
          <w:rFonts w:ascii="Calibri" w:hAnsi="Calibri"/>
          <w:i/>
        </w:rPr>
        <w:t>Journal of Regional Science</w:t>
      </w:r>
      <w:r w:rsidRPr="006111D7">
        <w:rPr>
          <w:rFonts w:ascii="Calibri" w:hAnsi="Calibri"/>
        </w:rPr>
        <w:t xml:space="preserve"> 28, 203-217.</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Oosterhaven, J. (1989) The supply-driven input-output model: a new interpretation but still implausible. </w:t>
      </w:r>
      <w:r w:rsidRPr="006111D7">
        <w:rPr>
          <w:rFonts w:ascii="Calibri" w:hAnsi="Calibri"/>
          <w:i/>
        </w:rPr>
        <w:t>Journal of Regional Science</w:t>
      </w:r>
      <w:r w:rsidRPr="006111D7">
        <w:rPr>
          <w:rFonts w:ascii="Calibri" w:hAnsi="Calibri"/>
        </w:rPr>
        <w:t xml:space="preserve"> 29, 459-465.</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Peters, G.P. and E.G. Hertwich (2006) Structural studies of international trade: environmental impacts of Norway. </w:t>
      </w:r>
      <w:r w:rsidRPr="006111D7">
        <w:rPr>
          <w:rFonts w:ascii="Calibri" w:hAnsi="Calibri"/>
          <w:i/>
        </w:rPr>
        <w:t>Economic Systems Research</w:t>
      </w:r>
      <w:r w:rsidRPr="006111D7">
        <w:rPr>
          <w:rFonts w:ascii="Calibri" w:hAnsi="Calibri"/>
        </w:rPr>
        <w:t xml:space="preserve"> 18, 155-181.</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Polenske, K.R. (1997) Linked system of enterprise, regional and national input-output accounts for policy analysis. In: M. Chatterji (ed.) </w:t>
      </w:r>
      <w:r w:rsidRPr="006111D7">
        <w:rPr>
          <w:rFonts w:ascii="Calibri" w:hAnsi="Calibri"/>
          <w:i/>
        </w:rPr>
        <w:t>Regional Science: Perspectives for the Future</w:t>
      </w:r>
      <w:r w:rsidRPr="006111D7">
        <w:rPr>
          <w:rFonts w:ascii="Calibri" w:hAnsi="Calibri"/>
        </w:rPr>
        <w:t>. Houndmills, Basingstoke, UK, Macmillan Press Ltd,</w:t>
      </w:r>
      <w:r w:rsidRPr="006111D7">
        <w:rPr>
          <w:rFonts w:ascii="Calibri" w:hAnsi="Calibri"/>
          <w:b/>
        </w:rPr>
        <w:t xml:space="preserve"> </w:t>
      </w:r>
      <w:r w:rsidRPr="006111D7">
        <w:rPr>
          <w:rFonts w:ascii="Calibri" w:hAnsi="Calibri"/>
        </w:rPr>
        <w:t>26-42.</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lastRenderedPageBreak/>
        <w:t xml:space="preserve">Round, J.I. (1988) Multipliers and feedback effects in interregional input-output models. </w:t>
      </w:r>
      <w:r w:rsidRPr="006111D7">
        <w:rPr>
          <w:rFonts w:ascii="Calibri" w:hAnsi="Calibri"/>
          <w:i/>
        </w:rPr>
        <w:t>Ricerche Economiche</w:t>
      </w:r>
      <w:r w:rsidRPr="006111D7">
        <w:rPr>
          <w:rFonts w:ascii="Calibri" w:hAnsi="Calibri"/>
        </w:rPr>
        <w:t xml:space="preserve"> XLII, 311-324.</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Suh, S. (2004) Functions, commodities and environmental impacts in an ecological-economic model. </w:t>
      </w:r>
      <w:r w:rsidRPr="006111D7">
        <w:rPr>
          <w:rFonts w:ascii="Calibri" w:hAnsi="Calibri"/>
          <w:i/>
        </w:rPr>
        <w:t>Ecological Economics</w:t>
      </w:r>
      <w:r w:rsidRPr="006111D7">
        <w:rPr>
          <w:rFonts w:ascii="Calibri" w:hAnsi="Calibri"/>
        </w:rPr>
        <w:t xml:space="preserve"> 48, 451-467.</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Suh, S. and R. Heijungs (2007) Power series expansion and structural analysis for Life Cycle Assessment. </w:t>
      </w:r>
      <w:r w:rsidRPr="006111D7">
        <w:rPr>
          <w:rFonts w:ascii="Calibri" w:hAnsi="Calibri"/>
          <w:i/>
        </w:rPr>
        <w:t>International Journal of Life Cycle Assessment</w:t>
      </w:r>
      <w:r w:rsidRPr="006111D7">
        <w:rPr>
          <w:rFonts w:ascii="Calibri" w:hAnsi="Calibri"/>
        </w:rPr>
        <w:t xml:space="preserve"> 12, 381-390.</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Tiebout, C.M. (1967) Input-output and the firm: a technique for using national and regional tables. </w:t>
      </w:r>
      <w:r w:rsidRPr="006111D7">
        <w:rPr>
          <w:rFonts w:ascii="Calibri" w:hAnsi="Calibri"/>
          <w:i/>
        </w:rPr>
        <w:t>Review of Economics and Statistics</w:t>
      </w:r>
      <w:r w:rsidRPr="006111D7">
        <w:rPr>
          <w:rFonts w:ascii="Calibri" w:hAnsi="Calibri"/>
        </w:rPr>
        <w:t xml:space="preserve"> 49, 260-262.</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Treloar, G. (1997) Extracting embodied energy paths from input-output tables: towards an input-output-based hybrid energy analysis method. </w:t>
      </w:r>
      <w:r w:rsidRPr="006111D7">
        <w:rPr>
          <w:rFonts w:ascii="Calibri" w:hAnsi="Calibri"/>
          <w:i/>
        </w:rPr>
        <w:t>Economic Systems Research</w:t>
      </w:r>
      <w:r w:rsidRPr="006111D7">
        <w:rPr>
          <w:rFonts w:ascii="Calibri" w:hAnsi="Calibri"/>
        </w:rPr>
        <w:t xml:space="preserve"> 9, 375-391.</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UNSD (2000) </w:t>
      </w:r>
      <w:r w:rsidRPr="006111D7">
        <w:rPr>
          <w:rFonts w:ascii="Calibri" w:hAnsi="Calibri"/>
          <w:i/>
        </w:rPr>
        <w:t>Links between business accounting and national accounting</w:t>
      </w:r>
      <w:r w:rsidRPr="006111D7">
        <w:rPr>
          <w:rFonts w:ascii="Calibri" w:hAnsi="Calibri"/>
        </w:rPr>
        <w:t>. New York, USA, United Nations Department for Economic and Social Affairs Statistics Division.</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UNSD (2003) </w:t>
      </w:r>
      <w:r w:rsidRPr="006111D7">
        <w:rPr>
          <w:rFonts w:ascii="Calibri" w:hAnsi="Calibri"/>
          <w:i/>
        </w:rPr>
        <w:t>Handbook of National Accounting: Integrated Environmental and Economic Accounting</w:t>
      </w:r>
      <w:r w:rsidRPr="006111D7">
        <w:rPr>
          <w:rFonts w:ascii="Calibri" w:hAnsi="Calibri"/>
        </w:rPr>
        <w:t xml:space="preserve">. Internet site </w:t>
      </w:r>
      <w:hyperlink r:id="rId24" w:history="1">
        <w:r w:rsidRPr="006111D7">
          <w:rPr>
            <w:rStyle w:val="Hyperlink"/>
            <w:rFonts w:ascii="Calibri" w:hAnsi="Calibri"/>
          </w:rPr>
          <w:t>http://unstats.un.org/unsd/envAccounting/seea2003.pdf</w:t>
        </w:r>
      </w:hyperlink>
      <w:r w:rsidRPr="006111D7">
        <w:rPr>
          <w:rFonts w:ascii="Calibri" w:hAnsi="Calibri"/>
        </w:rPr>
        <w:t>, New York, USA, United Nations Statistics Division.</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Venetoulis, J. (2001) Assessing the ecological impact of a university. </w:t>
      </w:r>
      <w:r w:rsidRPr="006111D7">
        <w:rPr>
          <w:rFonts w:ascii="Calibri" w:hAnsi="Calibri"/>
          <w:i/>
        </w:rPr>
        <w:t>International Journal of Sustainability in Higher Education</w:t>
      </w:r>
      <w:r w:rsidRPr="006111D7">
        <w:rPr>
          <w:rFonts w:ascii="Calibri" w:hAnsi="Calibri"/>
        </w:rPr>
        <w:t xml:space="preserve"> 2, 180-196.</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Viebahn, P. (2000) Sustainable university - Auf dem Weg zu einem universitären Agendaprozess. </w:t>
      </w:r>
      <w:r w:rsidRPr="006111D7">
        <w:rPr>
          <w:rFonts w:ascii="Calibri" w:hAnsi="Calibri"/>
          <w:i/>
        </w:rPr>
        <w:t>Umweltwissenschaften und Schadstoff-Forschung - Zeitschrift für Umweltchemie und Ökotoxikologie</w:t>
      </w:r>
      <w:r w:rsidRPr="006111D7">
        <w:rPr>
          <w:rFonts w:ascii="Calibri" w:hAnsi="Calibri"/>
        </w:rPr>
        <w:t xml:space="preserve"> 12, 284.</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Wilson, J.H. and R. Raymond (1973) The economic impact of a university upon the local community. </w:t>
      </w:r>
      <w:r w:rsidRPr="006111D7">
        <w:rPr>
          <w:rFonts w:ascii="Calibri" w:hAnsi="Calibri"/>
          <w:i/>
        </w:rPr>
        <w:t>Annals of Regional Science</w:t>
      </w:r>
      <w:r w:rsidRPr="006111D7">
        <w:rPr>
          <w:rFonts w:ascii="Calibri" w:hAnsi="Calibri"/>
        </w:rPr>
        <w:t xml:space="preserve"> 7, 130-142.</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Wood, R. and M. Lenzen (2003) An application of an improved ecological footprint method and structural path analysis in a comparative institutional study. </w:t>
      </w:r>
      <w:r w:rsidRPr="006111D7">
        <w:rPr>
          <w:rFonts w:ascii="Calibri" w:hAnsi="Calibri"/>
          <w:i/>
        </w:rPr>
        <w:t>Local Environment</w:t>
      </w:r>
      <w:r w:rsidRPr="006111D7">
        <w:rPr>
          <w:rFonts w:ascii="Calibri" w:hAnsi="Calibri"/>
        </w:rPr>
        <w:t xml:space="preserve"> 8, 365-384.</w:t>
      </w:r>
    </w:p>
    <w:p w:rsidR="006111D7" w:rsidRPr="006111D7" w:rsidRDefault="006111D7" w:rsidP="006111D7">
      <w:pPr>
        <w:spacing w:after="0" w:line="240" w:lineRule="auto"/>
        <w:ind w:left="720" w:hanging="720"/>
        <w:jc w:val="both"/>
        <w:rPr>
          <w:rFonts w:ascii="Calibri" w:hAnsi="Calibri"/>
        </w:rPr>
      </w:pPr>
      <w:r w:rsidRPr="006111D7">
        <w:rPr>
          <w:rFonts w:ascii="Calibri" w:hAnsi="Calibri"/>
        </w:rPr>
        <w:t xml:space="preserve">Yu, T., M. Lenzen, C. Dey and J. Badcock (2009) Automatically estimating and updating input-output tables. In: J.D. Velásquez, S.A. Ríos, R.J. Howlett and L.C. Jain (eds.) </w:t>
      </w:r>
      <w:r w:rsidRPr="006111D7">
        <w:rPr>
          <w:rFonts w:ascii="Calibri" w:hAnsi="Calibri"/>
          <w:i/>
        </w:rPr>
        <w:t>Knowledge-Based and Intelligent Information and Engineering Systems</w:t>
      </w:r>
      <w:r w:rsidRPr="006111D7">
        <w:rPr>
          <w:rFonts w:ascii="Calibri" w:hAnsi="Calibri"/>
        </w:rPr>
        <w:t>. Berlin, Springer,</w:t>
      </w:r>
      <w:r w:rsidRPr="006111D7">
        <w:rPr>
          <w:rFonts w:ascii="Calibri" w:hAnsi="Calibri"/>
          <w:b/>
        </w:rPr>
        <w:t xml:space="preserve"> </w:t>
      </w:r>
      <w:r w:rsidRPr="006111D7">
        <w:rPr>
          <w:rFonts w:ascii="Calibri" w:hAnsi="Calibri"/>
        </w:rPr>
        <w:t>42-49.</w:t>
      </w:r>
    </w:p>
    <w:p w:rsidR="006111D7" w:rsidRDefault="006111D7" w:rsidP="006111D7">
      <w:pPr>
        <w:spacing w:after="0" w:line="240" w:lineRule="auto"/>
        <w:ind w:left="720" w:hanging="720"/>
        <w:jc w:val="both"/>
        <w:rPr>
          <w:rFonts w:ascii="Calibri" w:hAnsi="Calibri"/>
        </w:rPr>
      </w:pPr>
    </w:p>
    <w:p w:rsidR="0097555A" w:rsidRDefault="00C2157F" w:rsidP="00820569">
      <w:pPr>
        <w:jc w:val="both"/>
      </w:pPr>
      <w:r>
        <w:fldChar w:fldCharType="end"/>
      </w:r>
    </w:p>
    <w:sectPr w:rsidR="0097555A" w:rsidSect="002567E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4E9" w:rsidRDefault="00C364E9" w:rsidP="000412BF">
      <w:pPr>
        <w:spacing w:after="0" w:line="240" w:lineRule="auto"/>
      </w:pPr>
      <w:r>
        <w:separator/>
      </w:r>
    </w:p>
  </w:endnote>
  <w:endnote w:type="continuationSeparator" w:id="0">
    <w:p w:rsidR="00C364E9" w:rsidRDefault="00C364E9" w:rsidP="00041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8670"/>
      <w:docPartObj>
        <w:docPartGallery w:val="Page Numbers (Bottom of Page)"/>
        <w:docPartUnique/>
      </w:docPartObj>
    </w:sdtPr>
    <w:sdtContent>
      <w:p w:rsidR="00DB6010" w:rsidRDefault="00DB6010">
        <w:pPr>
          <w:pStyle w:val="Footer"/>
          <w:jc w:val="center"/>
        </w:pPr>
        <w:fldSimple w:instr=" PAGE   \* MERGEFORMAT ">
          <w:r w:rsidR="001368B8">
            <w:rPr>
              <w:noProof/>
            </w:rPr>
            <w:t>5</w:t>
          </w:r>
        </w:fldSimple>
      </w:p>
    </w:sdtContent>
  </w:sdt>
  <w:p w:rsidR="00DB6010" w:rsidRDefault="00DB6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4E9" w:rsidRDefault="00C364E9" w:rsidP="000412BF">
      <w:pPr>
        <w:spacing w:after="0" w:line="240" w:lineRule="auto"/>
      </w:pPr>
      <w:r>
        <w:separator/>
      </w:r>
    </w:p>
  </w:footnote>
  <w:footnote w:type="continuationSeparator" w:id="0">
    <w:p w:rsidR="00C364E9" w:rsidRDefault="00C364E9" w:rsidP="000412BF">
      <w:pPr>
        <w:spacing w:after="0" w:line="240" w:lineRule="auto"/>
      </w:pPr>
      <w:r>
        <w:continuationSeparator/>
      </w:r>
    </w:p>
  </w:footnote>
  <w:footnote w:id="1">
    <w:p w:rsidR="00DB6010" w:rsidRDefault="00DB6010" w:rsidP="00DB6010">
      <w:pPr>
        <w:pStyle w:val="FootnoteText"/>
        <w:jc w:val="both"/>
      </w:pPr>
      <w:r>
        <w:rPr>
          <w:rStyle w:val="FootnoteReference"/>
        </w:rPr>
        <w:footnoteRef/>
      </w:r>
      <w:r>
        <w:t xml:space="preserve"> Final demand consists of private final consumption, government final consumption, gross fixed capital expenditure, decreases in inventories, and exports. Primary inputs consist of wages &amp; salaries, gross operating surplus, taxes, increases in inventories, and imports. These categories are the same for the University and the Australian economy.</w:t>
      </w:r>
    </w:p>
  </w:footnote>
  <w:footnote w:id="2">
    <w:p w:rsidR="00DB6010" w:rsidRDefault="00DB6010" w:rsidP="00DB6010">
      <w:pPr>
        <w:pStyle w:val="FootnoteText"/>
        <w:jc w:val="both"/>
      </w:pPr>
      <w:r>
        <w:rPr>
          <w:rStyle w:val="FootnoteReference"/>
        </w:rPr>
        <w:footnoteRef/>
      </w:r>
      <w:r>
        <w:t xml:space="preserve"> Dentistry, medicine, nursing, pharmacy, science, agriculture, architecture, engineering, economics, arts, education, law, each split into research, teaching, consulting, community outreach and administrative functions.</w:t>
      </w:r>
    </w:p>
  </w:footnote>
  <w:footnote w:id="3">
    <w:p w:rsidR="00DB6010" w:rsidRPr="00790A78" w:rsidRDefault="00DB6010" w:rsidP="00B374F8">
      <w:pPr>
        <w:pStyle w:val="FootnoteText"/>
        <w:keepLines/>
        <w:jc w:val="both"/>
      </w:pPr>
      <w:r w:rsidRPr="00790A78">
        <w:rPr>
          <w:rStyle w:val="FootnoteReference"/>
        </w:rPr>
        <w:footnoteRef/>
      </w:r>
      <w:r w:rsidRPr="00790A78">
        <w:t xml:space="preserve"> </w:t>
      </w:r>
      <w:r>
        <w:t xml:space="preserve">We do not examine a final-demand closure on the open, </w:t>
      </w:r>
      <w:r w:rsidRPr="00790A78">
        <w:t>intra-University model</w:t>
      </w:r>
      <w:r>
        <w:t>.</w:t>
      </w:r>
      <w:r w:rsidRPr="00790A78">
        <w:t xml:space="preserve"> Such a model would examine intra-University flows plus household feedback loops. For the</w:t>
      </w:r>
      <w:r>
        <w:t>se loops</w:t>
      </w:r>
      <w:r w:rsidRPr="00790A78">
        <w:t xml:space="preserve"> on</w:t>
      </w:r>
      <w:r>
        <w:t>e would need to assume that th</w:t>
      </w:r>
      <w:r w:rsidRPr="00790A78">
        <w:t xml:space="preserve">e </w:t>
      </w:r>
      <w:r>
        <w:t xml:space="preserve">staff members </w:t>
      </w:r>
      <w:r w:rsidRPr="00790A78">
        <w:t xml:space="preserve">earning their wages </w:t>
      </w:r>
      <w:r>
        <w:t xml:space="preserve">and salaries </w:t>
      </w:r>
      <w:r w:rsidRPr="00790A78">
        <w:t xml:space="preserve">at the University are </w:t>
      </w:r>
      <w:r>
        <w:t xml:space="preserve">also students </w:t>
      </w:r>
      <w:r w:rsidRPr="00790A78">
        <w:t>enrolling in courses. This is unlikely to be the case.</w:t>
      </w:r>
    </w:p>
  </w:footnote>
  <w:footnote w:id="4">
    <w:p w:rsidR="00DB6010" w:rsidRDefault="00DB6010">
      <w:pPr>
        <w:pStyle w:val="FootnoteText"/>
      </w:pPr>
      <w:r>
        <w:rPr>
          <w:rStyle w:val="FootnoteReference"/>
        </w:rPr>
        <w:footnoteRef/>
      </w:r>
      <w:r>
        <w:t xml:space="preserve"> The supply-push model can however be interpreted as an </w:t>
      </w:r>
      <w:r>
        <w:rPr>
          <w:i/>
        </w:rPr>
        <w:t>ex-post</w:t>
      </w:r>
      <w:r>
        <w:t xml:space="preserve"> quantity model (</w:t>
      </w:r>
      <w:r>
        <w:fldChar w:fldCharType="begin"/>
      </w:r>
      <w:r>
        <w:instrText xml:space="preserve"> ADDIN EN.CITE &lt;EndNote&gt;&lt;Cite&gt;&lt;Author&gt;Gallego&lt;/Author&gt;&lt;Year&gt;2005&lt;/Year&gt;&lt;RecNum&gt;2369&lt;/RecNum&gt;&lt;record&gt;&lt;rec-number&gt;2369&lt;/rec-number&gt;&lt;foreign-keys&gt;&lt;key app="EN" db-id="taawaxs5fzprace5p9jv25fnt2vd5xt2d520"&gt;2369&lt;/key&gt;&lt;/foreign-keys&gt;&lt;ref-type name="Journal Article"&gt;17&lt;/ref-type&gt;&lt;contributors&gt;&lt;authors&gt;&lt;author&gt;Gallego, B.&lt;/author&gt;&lt;author&gt;Lenzen, M.&lt;/author&gt;&lt;/authors&gt;&lt;/contributors&gt;&lt;titles&gt;&lt;title&gt;A consistent input-output formulation of shared consumer and producer responsibility&lt;/title&gt;&lt;secondary-title&gt;Economic Systems Research&lt;/secondary-title&gt;&lt;/titles&gt;&lt;periodical&gt;&lt;full-title&gt;Economic Systems Research&lt;/full-title&gt;&lt;/periodical&gt;&lt;pages&gt;365-391&lt;/pages&gt;&lt;volume&gt;17&lt;/volume&gt;&lt;number&gt;4&lt;/number&gt;&lt;dates&gt;&lt;year&gt;2005&lt;/year&gt;&lt;/dates&gt;&lt;urls&gt;&lt;/urls&gt;&lt;/record&gt;&lt;/Cite&gt;&lt;/EndNote&gt;</w:instrText>
      </w:r>
      <w:r>
        <w:fldChar w:fldCharType="separate"/>
      </w:r>
      <w:r>
        <w:t>Gallego and Lenzen 2005</w:t>
      </w:r>
      <w:r>
        <w:fldChar w:fldCharType="end"/>
      </w:r>
      <w:r>
        <w:t>).</w:t>
      </w:r>
    </w:p>
  </w:footnote>
  <w:footnote w:id="5">
    <w:p w:rsidR="00DB6010" w:rsidRDefault="00DB6010">
      <w:pPr>
        <w:pStyle w:val="FootnoteText"/>
      </w:pPr>
      <w:r>
        <w:rPr>
          <w:rStyle w:val="FootnoteReference"/>
        </w:rPr>
        <w:footnoteRef/>
      </w:r>
      <w:r>
        <w:t xml:space="preserve"> Also sometimes referred to as production layers, or tiers.</w:t>
      </w:r>
    </w:p>
  </w:footnote>
  <w:footnote w:id="6">
    <w:p w:rsidR="00DB6010" w:rsidRPr="005A4FCA" w:rsidRDefault="00DB6010" w:rsidP="005A4FCA">
      <w:pPr>
        <w:autoSpaceDE w:val="0"/>
        <w:autoSpaceDN w:val="0"/>
        <w:adjustRightInd w:val="0"/>
        <w:spacing w:after="0" w:line="240" w:lineRule="auto"/>
        <w:jc w:val="both"/>
        <w:rPr>
          <w:sz w:val="20"/>
          <w:szCs w:val="20"/>
        </w:rPr>
      </w:pPr>
      <w:r>
        <w:rPr>
          <w:rStyle w:val="FootnoteReference"/>
        </w:rPr>
        <w:footnoteRef/>
      </w:r>
      <w:r>
        <w:t xml:space="preserve"> </w:t>
      </w:r>
      <w:r w:rsidRPr="00EE3A74">
        <w:rPr>
          <w:sz w:val="20"/>
          <w:szCs w:val="20"/>
        </w:rPr>
        <w:t>Th</w:t>
      </w:r>
      <w:r>
        <w:rPr>
          <w:sz w:val="20"/>
          <w:szCs w:val="20"/>
        </w:rPr>
        <w:t xml:space="preserve">is can be shown mathematically, using the basic input-output relationship </w:t>
      </w:r>
      <w:r w:rsidRPr="00EE3A74">
        <w:rPr>
          <w:b/>
          <w:sz w:val="20"/>
          <w:szCs w:val="20"/>
        </w:rPr>
        <w:t>x</w:t>
      </w:r>
      <w:r>
        <w:rPr>
          <w:sz w:val="20"/>
          <w:szCs w:val="20"/>
        </w:rPr>
        <w:t xml:space="preserve"> = </w:t>
      </w:r>
      <w:r w:rsidRPr="00EE3A74">
        <w:rPr>
          <w:b/>
          <w:sz w:val="20"/>
          <w:szCs w:val="20"/>
        </w:rPr>
        <w:t>Ly</w:t>
      </w:r>
      <w:r>
        <w:rPr>
          <w:sz w:val="20"/>
          <w:szCs w:val="20"/>
        </w:rPr>
        <w:t xml:space="preserve">, where </w:t>
      </w:r>
      <w:r w:rsidRPr="00EE3A74">
        <w:rPr>
          <w:b/>
          <w:sz w:val="20"/>
          <w:szCs w:val="20"/>
        </w:rPr>
        <w:t>x</w:t>
      </w:r>
      <w:r>
        <w:rPr>
          <w:sz w:val="20"/>
          <w:szCs w:val="20"/>
        </w:rPr>
        <w:t xml:space="preserve"> is gross output, </w:t>
      </w:r>
      <w:r w:rsidRPr="00EE3A74">
        <w:rPr>
          <w:b/>
          <w:sz w:val="20"/>
          <w:szCs w:val="20"/>
        </w:rPr>
        <w:t>L</w:t>
      </w:r>
      <w:r>
        <w:rPr>
          <w:sz w:val="20"/>
          <w:szCs w:val="20"/>
        </w:rPr>
        <w:t xml:space="preserve"> is the Leontief inverse, and </w:t>
      </w:r>
      <w:r w:rsidRPr="00EE3A74">
        <w:rPr>
          <w:b/>
          <w:sz w:val="20"/>
          <w:szCs w:val="20"/>
        </w:rPr>
        <w:t>y</w:t>
      </w:r>
      <w:r>
        <w:rPr>
          <w:sz w:val="20"/>
          <w:szCs w:val="20"/>
        </w:rPr>
        <w:t xml:space="preserve"> is final demand, and the National Accounting Identity </w:t>
      </w:r>
      <w:r>
        <w:rPr>
          <w:i/>
          <w:sz w:val="20"/>
          <w:szCs w:val="20"/>
        </w:rPr>
        <w:t>P</w:t>
      </w:r>
      <w:r>
        <w:rPr>
          <w:sz w:val="20"/>
          <w:szCs w:val="20"/>
        </w:rPr>
        <w:t xml:space="preserve"> = </w:t>
      </w:r>
      <w:r w:rsidRPr="00EE3A74">
        <w:rPr>
          <w:i/>
          <w:sz w:val="20"/>
          <w:szCs w:val="20"/>
        </w:rPr>
        <w:t>GDP</w:t>
      </w:r>
      <w:r>
        <w:rPr>
          <w:sz w:val="20"/>
          <w:szCs w:val="20"/>
        </w:rPr>
        <w:t xml:space="preserve"> + </w:t>
      </w:r>
      <w:r w:rsidRPr="00EE3A74">
        <w:rPr>
          <w:i/>
          <w:sz w:val="20"/>
          <w:szCs w:val="20"/>
        </w:rPr>
        <w:t>M</w:t>
      </w:r>
      <w:r>
        <w:rPr>
          <w:sz w:val="20"/>
          <w:szCs w:val="20"/>
        </w:rPr>
        <w:t xml:space="preserve"> = </w:t>
      </w:r>
      <w:r w:rsidRPr="00EE3A74">
        <w:rPr>
          <w:i/>
          <w:sz w:val="20"/>
          <w:szCs w:val="20"/>
        </w:rPr>
        <w:t>GNE</w:t>
      </w:r>
      <w:r>
        <w:rPr>
          <w:sz w:val="20"/>
          <w:szCs w:val="20"/>
        </w:rPr>
        <w:t xml:space="preserve"> + </w:t>
      </w:r>
      <w:r w:rsidRPr="00EE3A74">
        <w:rPr>
          <w:i/>
          <w:sz w:val="20"/>
          <w:szCs w:val="20"/>
        </w:rPr>
        <w:t>X</w:t>
      </w:r>
      <w:r>
        <w:rPr>
          <w:i/>
          <w:sz w:val="20"/>
          <w:szCs w:val="20"/>
        </w:rPr>
        <w:t xml:space="preserve"> </w:t>
      </w:r>
      <w:r w:rsidRPr="00EE3A74">
        <w:rPr>
          <w:sz w:val="20"/>
          <w:szCs w:val="20"/>
        </w:rPr>
        <w:t>=</w:t>
      </w:r>
      <w:r>
        <w:rPr>
          <w:i/>
          <w:sz w:val="20"/>
          <w:szCs w:val="20"/>
        </w:rPr>
        <w:t xml:space="preserve"> Y</w:t>
      </w:r>
      <w:r>
        <w:rPr>
          <w:sz w:val="20"/>
          <w:szCs w:val="20"/>
        </w:rPr>
        <w:t xml:space="preserve">, where </w:t>
      </w:r>
      <w:r>
        <w:rPr>
          <w:i/>
          <w:sz w:val="20"/>
          <w:szCs w:val="20"/>
        </w:rPr>
        <w:t>P</w:t>
      </w:r>
      <w:r>
        <w:rPr>
          <w:sz w:val="20"/>
          <w:szCs w:val="20"/>
        </w:rPr>
        <w:t xml:space="preserve"> are primary inputs, </w:t>
      </w:r>
      <w:r>
        <w:rPr>
          <w:i/>
          <w:sz w:val="20"/>
          <w:szCs w:val="20"/>
        </w:rPr>
        <w:t>GDP</w:t>
      </w:r>
      <w:r>
        <w:rPr>
          <w:sz w:val="20"/>
          <w:szCs w:val="20"/>
        </w:rPr>
        <w:t xml:space="preserve"> is Gross Domestic Product, </w:t>
      </w:r>
      <w:r>
        <w:rPr>
          <w:i/>
          <w:sz w:val="20"/>
          <w:szCs w:val="20"/>
        </w:rPr>
        <w:t>M</w:t>
      </w:r>
      <w:r>
        <w:rPr>
          <w:sz w:val="20"/>
          <w:szCs w:val="20"/>
        </w:rPr>
        <w:t xml:space="preserve"> are imports, </w:t>
      </w:r>
      <w:r>
        <w:rPr>
          <w:i/>
          <w:sz w:val="20"/>
          <w:szCs w:val="20"/>
        </w:rPr>
        <w:t>GNE</w:t>
      </w:r>
      <w:r>
        <w:rPr>
          <w:sz w:val="20"/>
          <w:szCs w:val="20"/>
        </w:rPr>
        <w:t xml:space="preserve"> is Gross National Expenditure, </w:t>
      </w:r>
      <w:r>
        <w:rPr>
          <w:i/>
          <w:sz w:val="20"/>
          <w:szCs w:val="20"/>
        </w:rPr>
        <w:t>X</w:t>
      </w:r>
      <w:r>
        <w:rPr>
          <w:sz w:val="20"/>
          <w:szCs w:val="20"/>
        </w:rPr>
        <w:t xml:space="preserve"> are exports, and </w:t>
      </w:r>
      <w:r>
        <w:rPr>
          <w:i/>
          <w:sz w:val="20"/>
          <w:szCs w:val="20"/>
        </w:rPr>
        <w:t>Y</w:t>
      </w:r>
      <w:r>
        <w:rPr>
          <w:sz w:val="20"/>
          <w:szCs w:val="20"/>
        </w:rPr>
        <w:t xml:space="preserve"> is final demand. Denoting wages with </w:t>
      </w:r>
      <w:r w:rsidRPr="003D7C73">
        <w:rPr>
          <w:b/>
          <w:sz w:val="20"/>
          <w:szCs w:val="20"/>
        </w:rPr>
        <w:t>W</w:t>
      </w:r>
      <w:r>
        <w:rPr>
          <w:sz w:val="20"/>
          <w:szCs w:val="20"/>
        </w:rPr>
        <w:t xml:space="preserve">, surplus and inventory changes with </w:t>
      </w:r>
      <w:r w:rsidRPr="003D7C73">
        <w:rPr>
          <w:b/>
          <w:sz w:val="20"/>
          <w:szCs w:val="20"/>
        </w:rPr>
        <w:t>S</w:t>
      </w:r>
      <w:r>
        <w:rPr>
          <w:sz w:val="20"/>
          <w:szCs w:val="20"/>
        </w:rPr>
        <w:t xml:space="preserve">, and taxes with </w:t>
      </w:r>
      <w:r w:rsidRPr="003D7C73">
        <w:rPr>
          <w:b/>
          <w:sz w:val="20"/>
          <w:szCs w:val="20"/>
        </w:rPr>
        <w:t>T</w:t>
      </w:r>
      <w:r>
        <w:rPr>
          <w:sz w:val="20"/>
          <w:szCs w:val="20"/>
        </w:rPr>
        <w:t>, and their intensities with corresponding lowercase letters (</w:t>
      </w:r>
      <w:r w:rsidRPr="003D7C73">
        <w:rPr>
          <w:b/>
          <w:sz w:val="20"/>
          <w:szCs w:val="20"/>
        </w:rPr>
        <w:t>w</w:t>
      </w:r>
      <w:r w:rsidRPr="003D7C73">
        <w:rPr>
          <w:sz w:val="20"/>
          <w:szCs w:val="20"/>
          <w:vertAlign w:val="superscript"/>
        </w:rPr>
        <w:t>t</w:t>
      </w:r>
      <w:r>
        <w:rPr>
          <w:sz w:val="20"/>
          <w:szCs w:val="20"/>
        </w:rPr>
        <w:t xml:space="preserve"> = </w:t>
      </w:r>
      <w:r w:rsidRPr="003D7C73">
        <w:rPr>
          <w:b/>
          <w:sz w:val="20"/>
          <w:szCs w:val="20"/>
        </w:rPr>
        <w:t>W</w:t>
      </w:r>
      <w:r w:rsidRPr="003D7C73">
        <w:rPr>
          <w:sz w:val="20"/>
          <w:szCs w:val="20"/>
          <w:vertAlign w:val="superscript"/>
        </w:rPr>
        <w:t>t</w:t>
      </w:r>
      <m:oMath>
        <m:acc>
          <m:accPr>
            <m:ctrlPr>
              <w:rPr>
                <w:rFonts w:ascii="Cambria Math" w:hAnsi="Cambria Math"/>
                <w:i/>
                <w:sz w:val="20"/>
                <w:szCs w:val="20"/>
              </w:rPr>
            </m:ctrlPr>
          </m:accPr>
          <m:e>
            <m:r>
              <m:rPr>
                <m:sty m:val="b"/>
              </m:rPr>
              <w:rPr>
                <w:rFonts w:ascii="Cambria Math" w:hAnsi="Cambria Math"/>
                <w:sz w:val="20"/>
                <w:szCs w:val="20"/>
              </w:rPr>
              <m:t>x</m:t>
            </m:r>
          </m:e>
        </m:acc>
      </m:oMath>
      <w:r w:rsidRPr="003D7C73">
        <w:rPr>
          <w:sz w:val="20"/>
          <w:szCs w:val="20"/>
          <w:vertAlign w:val="superscript"/>
        </w:rPr>
        <w:t>-1</w:t>
      </w:r>
      <w:r>
        <w:rPr>
          <w:sz w:val="20"/>
          <w:szCs w:val="20"/>
        </w:rPr>
        <w:t xml:space="preserve">, etc), we find </w:t>
      </w:r>
      <w:r>
        <w:rPr>
          <w:i/>
          <w:sz w:val="20"/>
          <w:szCs w:val="20"/>
        </w:rPr>
        <w:t>P</w:t>
      </w:r>
      <w:r>
        <w:rPr>
          <w:sz w:val="20"/>
          <w:szCs w:val="20"/>
        </w:rPr>
        <w:t> = ( </w:t>
      </w:r>
      <w:r w:rsidRPr="003D7C73">
        <w:rPr>
          <w:b/>
          <w:sz w:val="20"/>
          <w:szCs w:val="20"/>
        </w:rPr>
        <w:t>W</w:t>
      </w:r>
      <w:r>
        <w:rPr>
          <w:sz w:val="20"/>
          <w:szCs w:val="20"/>
        </w:rPr>
        <w:t> + </w:t>
      </w:r>
      <w:r w:rsidRPr="003D7C73">
        <w:rPr>
          <w:b/>
          <w:sz w:val="20"/>
          <w:szCs w:val="20"/>
        </w:rPr>
        <w:t>S</w:t>
      </w:r>
      <w:r>
        <w:rPr>
          <w:sz w:val="20"/>
          <w:szCs w:val="20"/>
        </w:rPr>
        <w:t> + </w:t>
      </w:r>
      <w:r w:rsidRPr="003D7C73">
        <w:rPr>
          <w:b/>
          <w:sz w:val="20"/>
          <w:szCs w:val="20"/>
        </w:rPr>
        <w:t>T</w:t>
      </w:r>
      <w:r>
        <w:rPr>
          <w:sz w:val="20"/>
          <w:szCs w:val="20"/>
        </w:rPr>
        <w:t> + </w:t>
      </w:r>
      <w:r w:rsidRPr="003D7C73">
        <w:rPr>
          <w:b/>
          <w:sz w:val="20"/>
          <w:szCs w:val="20"/>
        </w:rPr>
        <w:t>M</w:t>
      </w:r>
      <w:r>
        <w:rPr>
          <w:sz w:val="20"/>
          <w:szCs w:val="20"/>
        </w:rPr>
        <w:t> )</w:t>
      </w:r>
      <w:r w:rsidRPr="003D7C73">
        <w:rPr>
          <w:sz w:val="20"/>
          <w:szCs w:val="20"/>
          <w:vertAlign w:val="superscript"/>
        </w:rPr>
        <w:t>t</w:t>
      </w:r>
      <w:r>
        <w:t> </w:t>
      </w:r>
      <w:r w:rsidRPr="003D7C73">
        <w:rPr>
          <w:b/>
          <w:sz w:val="20"/>
          <w:szCs w:val="20"/>
        </w:rPr>
        <w:t>1</w:t>
      </w:r>
      <w:r w:rsidRPr="003D7C73">
        <w:rPr>
          <w:sz w:val="20"/>
          <w:szCs w:val="20"/>
        </w:rPr>
        <w:t xml:space="preserve"> </w:t>
      </w:r>
      <w:r>
        <w:rPr>
          <w:sz w:val="20"/>
          <w:szCs w:val="20"/>
        </w:rPr>
        <w:t xml:space="preserve">= </w:t>
      </w:r>
      <w:r w:rsidRPr="00EE3A74">
        <w:rPr>
          <w:sz w:val="20"/>
          <w:szCs w:val="20"/>
        </w:rPr>
        <w:t xml:space="preserve">( </w:t>
      </w:r>
      <w:r>
        <w:rPr>
          <w:b/>
          <w:sz w:val="20"/>
          <w:szCs w:val="20"/>
        </w:rPr>
        <w:t>w</w:t>
      </w:r>
      <w:r w:rsidRPr="00EE3A74">
        <w:rPr>
          <w:sz w:val="20"/>
          <w:szCs w:val="20"/>
        </w:rPr>
        <w:t xml:space="preserve"> + </w:t>
      </w:r>
      <w:r>
        <w:rPr>
          <w:b/>
          <w:sz w:val="20"/>
          <w:szCs w:val="20"/>
        </w:rPr>
        <w:t>s</w:t>
      </w:r>
      <w:r w:rsidRPr="00EE3A74">
        <w:rPr>
          <w:sz w:val="20"/>
          <w:szCs w:val="20"/>
        </w:rPr>
        <w:t xml:space="preserve"> + </w:t>
      </w:r>
      <w:r>
        <w:rPr>
          <w:b/>
          <w:sz w:val="20"/>
          <w:szCs w:val="20"/>
        </w:rPr>
        <w:t>t</w:t>
      </w:r>
      <w:r w:rsidRPr="00EE3A74">
        <w:rPr>
          <w:sz w:val="20"/>
          <w:szCs w:val="20"/>
        </w:rPr>
        <w:t xml:space="preserve"> + </w:t>
      </w:r>
      <w:r>
        <w:rPr>
          <w:b/>
          <w:sz w:val="20"/>
          <w:szCs w:val="20"/>
        </w:rPr>
        <w:t>m</w:t>
      </w:r>
      <w:r w:rsidRPr="00EE3A74">
        <w:rPr>
          <w:sz w:val="20"/>
          <w:szCs w:val="20"/>
        </w:rPr>
        <w:t xml:space="preserve"> )</w:t>
      </w:r>
      <w:r w:rsidRPr="003D7C73">
        <w:rPr>
          <w:sz w:val="20"/>
          <w:szCs w:val="20"/>
          <w:vertAlign w:val="superscript"/>
        </w:rPr>
        <w:t>t</w:t>
      </w:r>
      <w:r w:rsidRPr="00EE3A74">
        <w:rPr>
          <w:sz w:val="20"/>
          <w:szCs w:val="20"/>
        </w:rPr>
        <w:t xml:space="preserve"> </w:t>
      </w:r>
      <w:r>
        <w:rPr>
          <w:b/>
          <w:sz w:val="20"/>
          <w:szCs w:val="20"/>
        </w:rPr>
        <w:t>x</w:t>
      </w:r>
      <w:r>
        <w:rPr>
          <w:sz w:val="20"/>
          <w:szCs w:val="20"/>
        </w:rPr>
        <w:t xml:space="preserve"> = </w:t>
      </w:r>
      <w:r w:rsidRPr="00EE3A74">
        <w:rPr>
          <w:sz w:val="20"/>
          <w:szCs w:val="20"/>
        </w:rPr>
        <w:t xml:space="preserve">( </w:t>
      </w:r>
      <w:r>
        <w:rPr>
          <w:b/>
          <w:sz w:val="20"/>
          <w:szCs w:val="20"/>
        </w:rPr>
        <w:t>w</w:t>
      </w:r>
      <w:r w:rsidRPr="00EE3A74">
        <w:rPr>
          <w:sz w:val="20"/>
          <w:szCs w:val="20"/>
        </w:rPr>
        <w:t xml:space="preserve"> + </w:t>
      </w:r>
      <w:r>
        <w:rPr>
          <w:b/>
          <w:sz w:val="20"/>
          <w:szCs w:val="20"/>
        </w:rPr>
        <w:t>s</w:t>
      </w:r>
      <w:r w:rsidRPr="00EE3A74">
        <w:rPr>
          <w:sz w:val="20"/>
          <w:szCs w:val="20"/>
        </w:rPr>
        <w:t xml:space="preserve"> + </w:t>
      </w:r>
      <w:r>
        <w:rPr>
          <w:b/>
          <w:sz w:val="20"/>
          <w:szCs w:val="20"/>
        </w:rPr>
        <w:t>t</w:t>
      </w:r>
      <w:r w:rsidRPr="00EE3A74">
        <w:rPr>
          <w:sz w:val="20"/>
          <w:szCs w:val="20"/>
        </w:rPr>
        <w:t xml:space="preserve"> + </w:t>
      </w:r>
      <w:r>
        <w:rPr>
          <w:b/>
          <w:sz w:val="20"/>
          <w:szCs w:val="20"/>
        </w:rPr>
        <w:t>m</w:t>
      </w:r>
      <w:r w:rsidRPr="00EE3A74">
        <w:rPr>
          <w:sz w:val="20"/>
          <w:szCs w:val="20"/>
        </w:rPr>
        <w:t xml:space="preserve"> )</w:t>
      </w:r>
      <w:r w:rsidRPr="003D7C73">
        <w:rPr>
          <w:sz w:val="20"/>
          <w:szCs w:val="20"/>
          <w:vertAlign w:val="superscript"/>
        </w:rPr>
        <w:t>t</w:t>
      </w:r>
      <w:r w:rsidRPr="00EE3A74">
        <w:rPr>
          <w:sz w:val="20"/>
          <w:szCs w:val="20"/>
        </w:rPr>
        <w:t xml:space="preserve"> </w:t>
      </w:r>
      <w:r>
        <w:rPr>
          <w:b/>
          <w:sz w:val="20"/>
          <w:szCs w:val="20"/>
        </w:rPr>
        <w:t>Ly</w:t>
      </w:r>
      <w:r>
        <w:rPr>
          <w:sz w:val="20"/>
          <w:szCs w:val="20"/>
        </w:rPr>
        <w:t xml:space="preserve"> = </w:t>
      </w:r>
      <w:r w:rsidRPr="00EE3A74">
        <w:rPr>
          <w:sz w:val="20"/>
          <w:szCs w:val="20"/>
        </w:rPr>
        <w:t xml:space="preserve">( </w:t>
      </w:r>
      <w:r>
        <w:rPr>
          <w:b/>
          <w:sz w:val="20"/>
          <w:szCs w:val="20"/>
        </w:rPr>
        <w:t>w</w:t>
      </w:r>
      <w:r w:rsidRPr="003D7C73">
        <w:rPr>
          <w:sz w:val="20"/>
          <w:szCs w:val="20"/>
          <w:vertAlign w:val="superscript"/>
        </w:rPr>
        <w:t>t</w:t>
      </w:r>
      <w:r>
        <w:rPr>
          <w:b/>
          <w:sz w:val="20"/>
          <w:szCs w:val="20"/>
        </w:rPr>
        <w:t>L</w:t>
      </w:r>
      <w:r w:rsidRPr="00EE3A74">
        <w:rPr>
          <w:sz w:val="20"/>
          <w:szCs w:val="20"/>
        </w:rPr>
        <w:t xml:space="preserve"> + </w:t>
      </w:r>
      <w:r>
        <w:rPr>
          <w:b/>
          <w:sz w:val="20"/>
          <w:szCs w:val="20"/>
        </w:rPr>
        <w:t>s</w:t>
      </w:r>
      <w:r w:rsidRPr="003D7C73">
        <w:rPr>
          <w:sz w:val="20"/>
          <w:szCs w:val="20"/>
          <w:vertAlign w:val="superscript"/>
        </w:rPr>
        <w:t>t</w:t>
      </w:r>
      <w:r>
        <w:rPr>
          <w:b/>
          <w:sz w:val="20"/>
          <w:szCs w:val="20"/>
        </w:rPr>
        <w:t>L</w:t>
      </w:r>
      <w:r w:rsidRPr="00EE3A74">
        <w:rPr>
          <w:sz w:val="20"/>
          <w:szCs w:val="20"/>
        </w:rPr>
        <w:t xml:space="preserve"> + </w:t>
      </w:r>
      <w:r>
        <w:rPr>
          <w:b/>
          <w:sz w:val="20"/>
          <w:szCs w:val="20"/>
        </w:rPr>
        <w:t>t</w:t>
      </w:r>
      <w:r w:rsidRPr="003D7C73">
        <w:rPr>
          <w:sz w:val="20"/>
          <w:szCs w:val="20"/>
          <w:vertAlign w:val="superscript"/>
        </w:rPr>
        <w:t>t</w:t>
      </w:r>
      <w:r>
        <w:rPr>
          <w:b/>
          <w:sz w:val="20"/>
          <w:szCs w:val="20"/>
        </w:rPr>
        <w:t>L</w:t>
      </w:r>
      <w:r w:rsidRPr="00EE3A74">
        <w:rPr>
          <w:sz w:val="20"/>
          <w:szCs w:val="20"/>
        </w:rPr>
        <w:t xml:space="preserve"> + </w:t>
      </w:r>
      <w:r>
        <w:rPr>
          <w:b/>
          <w:sz w:val="20"/>
          <w:szCs w:val="20"/>
        </w:rPr>
        <w:t>m</w:t>
      </w:r>
      <w:r w:rsidRPr="003D7C73">
        <w:rPr>
          <w:sz w:val="20"/>
          <w:szCs w:val="20"/>
          <w:vertAlign w:val="superscript"/>
        </w:rPr>
        <w:t>t</w:t>
      </w:r>
      <w:r>
        <w:rPr>
          <w:b/>
          <w:sz w:val="20"/>
          <w:szCs w:val="20"/>
        </w:rPr>
        <w:t>L</w:t>
      </w:r>
      <w:r w:rsidRPr="00EE3A74">
        <w:rPr>
          <w:sz w:val="20"/>
          <w:szCs w:val="20"/>
        </w:rPr>
        <w:t xml:space="preserve"> ) </w:t>
      </w:r>
      <w:r>
        <w:rPr>
          <w:b/>
          <w:sz w:val="20"/>
          <w:szCs w:val="20"/>
        </w:rPr>
        <w:t>y</w:t>
      </w:r>
      <w:r>
        <w:rPr>
          <w:sz w:val="20"/>
          <w:szCs w:val="20"/>
        </w:rPr>
        <w:t xml:space="preserve"> = </w:t>
      </w:r>
      <w:r w:rsidRPr="003D7C73">
        <w:rPr>
          <w:i/>
          <w:sz w:val="20"/>
          <w:szCs w:val="20"/>
        </w:rPr>
        <w:t>Y</w:t>
      </w:r>
      <w:r>
        <w:rPr>
          <w:sz w:val="20"/>
          <w:szCs w:val="20"/>
        </w:rPr>
        <w:t xml:space="preserve">, which is equivalent to </w:t>
      </w:r>
      <w:r w:rsidRPr="00EE3A74">
        <w:rPr>
          <w:sz w:val="20"/>
          <w:szCs w:val="20"/>
        </w:rPr>
        <w:t>(</w:t>
      </w:r>
      <w:r>
        <w:rPr>
          <w:b/>
          <w:sz w:val="20"/>
          <w:szCs w:val="20"/>
        </w:rPr>
        <w:t>w</w:t>
      </w:r>
      <w:r w:rsidRPr="003D7C73">
        <w:rPr>
          <w:sz w:val="20"/>
          <w:szCs w:val="20"/>
          <w:vertAlign w:val="superscript"/>
        </w:rPr>
        <w:t>t</w:t>
      </w:r>
      <w:r>
        <w:rPr>
          <w:b/>
          <w:sz w:val="20"/>
          <w:szCs w:val="20"/>
        </w:rPr>
        <w:t>L</w:t>
      </w:r>
      <w:r w:rsidRPr="00EE3A74">
        <w:rPr>
          <w:sz w:val="20"/>
          <w:szCs w:val="20"/>
        </w:rPr>
        <w:t xml:space="preserve"> + </w:t>
      </w:r>
      <w:r>
        <w:rPr>
          <w:b/>
          <w:sz w:val="20"/>
          <w:szCs w:val="20"/>
        </w:rPr>
        <w:t>s</w:t>
      </w:r>
      <w:r w:rsidRPr="003D7C73">
        <w:rPr>
          <w:sz w:val="20"/>
          <w:szCs w:val="20"/>
          <w:vertAlign w:val="superscript"/>
        </w:rPr>
        <w:t>t</w:t>
      </w:r>
      <w:r>
        <w:rPr>
          <w:b/>
          <w:sz w:val="20"/>
          <w:szCs w:val="20"/>
        </w:rPr>
        <w:t>L</w:t>
      </w:r>
      <w:r w:rsidRPr="00EE3A74">
        <w:rPr>
          <w:sz w:val="20"/>
          <w:szCs w:val="20"/>
        </w:rPr>
        <w:t xml:space="preserve"> + </w:t>
      </w:r>
      <w:r>
        <w:rPr>
          <w:b/>
          <w:sz w:val="20"/>
          <w:szCs w:val="20"/>
        </w:rPr>
        <w:t>t</w:t>
      </w:r>
      <w:r w:rsidRPr="003D7C73">
        <w:rPr>
          <w:sz w:val="20"/>
          <w:szCs w:val="20"/>
          <w:vertAlign w:val="superscript"/>
        </w:rPr>
        <w:t>t</w:t>
      </w:r>
      <w:r>
        <w:rPr>
          <w:b/>
          <w:sz w:val="20"/>
          <w:szCs w:val="20"/>
        </w:rPr>
        <w:t>L</w:t>
      </w:r>
      <w:r w:rsidRPr="00EE3A74">
        <w:rPr>
          <w:sz w:val="20"/>
          <w:szCs w:val="20"/>
        </w:rPr>
        <w:t xml:space="preserve"> + </w:t>
      </w:r>
      <w:r>
        <w:rPr>
          <w:b/>
          <w:sz w:val="20"/>
          <w:szCs w:val="20"/>
        </w:rPr>
        <w:t>m</w:t>
      </w:r>
      <w:r w:rsidRPr="003D7C73">
        <w:rPr>
          <w:sz w:val="20"/>
          <w:szCs w:val="20"/>
          <w:vertAlign w:val="superscript"/>
        </w:rPr>
        <w:t>t</w:t>
      </w:r>
      <w:r>
        <w:rPr>
          <w:b/>
          <w:sz w:val="20"/>
          <w:szCs w:val="20"/>
        </w:rPr>
        <w:t xml:space="preserve">L </w:t>
      </w:r>
      <w:r w:rsidRPr="00EE3A74">
        <w:rPr>
          <w:sz w:val="20"/>
          <w:szCs w:val="20"/>
        </w:rPr>
        <w:t>)</w:t>
      </w:r>
      <w:r>
        <w:rPr>
          <w:sz w:val="20"/>
          <w:szCs w:val="20"/>
        </w:rPr>
        <w:t xml:space="preserve"> = </w:t>
      </w:r>
      <w:r w:rsidRPr="003D7C73">
        <w:rPr>
          <w:b/>
          <w:sz w:val="20"/>
          <w:szCs w:val="20"/>
        </w:rPr>
        <w:t>1</w:t>
      </w:r>
      <w:r w:rsidRPr="003D7C73">
        <w:rPr>
          <w:sz w:val="20"/>
          <w:szCs w:val="20"/>
          <w:vertAlign w:val="superscript"/>
        </w:rPr>
        <w:t>t</w:t>
      </w:r>
      <w:r>
        <w:rPr>
          <w:b/>
          <w:sz w:val="20"/>
          <w:szCs w:val="20"/>
        </w:rPr>
        <w:t xml:space="preserve"> </w:t>
      </w:r>
      <w:r w:rsidRPr="003D7C73">
        <w:rPr>
          <w:sz w:val="20"/>
          <w:szCs w:val="20"/>
        </w:rPr>
        <w:t xml:space="preserve">= </w:t>
      </w:r>
      <w:r>
        <w:rPr>
          <w:sz w:val="20"/>
          <w:szCs w:val="20"/>
        </w:rPr>
        <w:t xml:space="preserve">{1,1,…,1}, where the superscript </w:t>
      </w:r>
      <w:r>
        <w:rPr>
          <w:sz w:val="20"/>
          <w:szCs w:val="20"/>
          <w:vertAlign w:val="superscript"/>
        </w:rPr>
        <w:t>t</w:t>
      </w:r>
      <w:r>
        <w:rPr>
          <w:sz w:val="20"/>
          <w:szCs w:val="20"/>
        </w:rPr>
        <w:t xml:space="preserve"> denotes transposition, and the hat symbol </w:t>
      </w:r>
      <w:r w:rsidRPr="003D7C73">
        <w:rPr>
          <w:sz w:val="20"/>
          <w:szCs w:val="20"/>
          <w:vertAlign w:val="superscript"/>
        </w:rPr>
        <w:t>^</w:t>
      </w:r>
      <w:r>
        <w:rPr>
          <w:sz w:val="20"/>
          <w:szCs w:val="20"/>
        </w:rPr>
        <w:t xml:space="preserve"> denotes a diagonal matrix.</w:t>
      </w:r>
    </w:p>
  </w:footnote>
  <w:footnote w:id="7">
    <w:p w:rsidR="00DB6010" w:rsidRDefault="00DB6010" w:rsidP="002E4394">
      <w:pPr>
        <w:autoSpaceDE w:val="0"/>
        <w:autoSpaceDN w:val="0"/>
        <w:adjustRightInd w:val="0"/>
        <w:spacing w:after="0" w:line="240" w:lineRule="auto"/>
        <w:jc w:val="both"/>
      </w:pPr>
      <w:r>
        <w:rPr>
          <w:rStyle w:val="FootnoteReference"/>
        </w:rPr>
        <w:footnoteRef/>
      </w:r>
      <w:r>
        <w:t xml:space="preserve"> </w:t>
      </w:r>
      <w:r w:rsidRPr="00EE3A74">
        <w:rPr>
          <w:sz w:val="20"/>
          <w:szCs w:val="20"/>
        </w:rPr>
        <w:t>Th</w:t>
      </w:r>
      <w:r>
        <w:rPr>
          <w:sz w:val="20"/>
          <w:szCs w:val="20"/>
        </w:rPr>
        <w:t>is can be shown mathematically, as in the demand-pull case.</w:t>
      </w:r>
    </w:p>
  </w:footnote>
  <w:footnote w:id="8">
    <w:p w:rsidR="00DB6010" w:rsidRPr="008426DC" w:rsidRDefault="00DB6010" w:rsidP="008426DC">
      <w:pPr>
        <w:jc w:val="both"/>
        <w:rPr>
          <w:sz w:val="20"/>
          <w:szCs w:val="20"/>
        </w:rPr>
      </w:pPr>
      <w:r>
        <w:rPr>
          <w:rStyle w:val="FootnoteReference"/>
        </w:rPr>
        <w:footnoteRef/>
      </w:r>
      <w:r>
        <w:t xml:space="preserve"> </w:t>
      </w:r>
      <w:r w:rsidRPr="008426DC">
        <w:rPr>
          <w:sz w:val="20"/>
          <w:szCs w:val="20"/>
        </w:rPr>
        <w:t xml:space="preserve">Mathematically the above relationships are expressed as </w:t>
      </w:r>
      <m:oMath>
        <m:r>
          <m:rPr>
            <m:sty m:val="bi"/>
          </m:rPr>
          <w:rPr>
            <w:rFonts w:ascii="Cambria Math" w:hAnsi="Cambria Math"/>
            <w:sz w:val="20"/>
            <w:szCs w:val="20"/>
          </w:rPr>
          <m:t>1</m:t>
        </m:r>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0</m:t>
                  </m:r>
                </m:e>
                <m:e>
                  <m:sSub>
                    <m:sSubPr>
                      <m:ctrlPr>
                        <w:rPr>
                          <w:rFonts w:ascii="Cambria Math" w:hAnsi="Cambria Math"/>
                          <w:i/>
                          <w:sz w:val="20"/>
                          <w:szCs w:val="20"/>
                        </w:rPr>
                      </m:ctrlPr>
                    </m:sSubPr>
                    <m:e>
                      <m:r>
                        <m:rPr>
                          <m:sty m:val="b"/>
                        </m:rPr>
                        <w:rPr>
                          <w:rFonts w:ascii="Cambria Math" w:hAnsi="Cambria Math"/>
                          <w:sz w:val="20"/>
                          <w:szCs w:val="20"/>
                        </w:rPr>
                        <m:t>φ</m:t>
                      </m:r>
                    </m:e>
                    <m:sub>
                      <m:r>
                        <m:rPr>
                          <m:sty m:val="p"/>
                        </m:rPr>
                        <w:rPr>
                          <w:rFonts w:ascii="Cambria Math" w:hAnsi="Cambria Math"/>
                          <w:sz w:val="20"/>
                          <w:szCs w:val="20"/>
                        </w:rPr>
                        <m:t>A</m:t>
                      </m:r>
                    </m:sub>
                  </m:sSub>
                </m:e>
              </m:mr>
            </m:m>
          </m:e>
        </m:d>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c</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c</m:t>
            </m:r>
          </m:sup>
        </m:sSup>
        <m:r>
          <m:rPr>
            <m:sty m:val="p"/>
          </m:rPr>
          <w:rPr>
            <w:rFonts w:ascii="Cambria Math" w:hAnsi="Cambria Math"/>
            <w:sz w:val="20"/>
            <w:szCs w:val="20"/>
          </w:rPr>
          <m:t>≈</m:t>
        </m:r>
        <m:r>
          <m:rPr>
            <m:sty m:val="bi"/>
          </m:rPr>
          <w:rPr>
            <w:rFonts w:ascii="Cambria Math" w:hAnsi="Cambria Math"/>
            <w:sz w:val="20"/>
            <w:szCs w:val="20"/>
          </w:rPr>
          <m:t>1'</m:t>
        </m:r>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AU</m:t>
            </m:r>
          </m:sub>
        </m:sSub>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y</m:t>
            </m:r>
          </m:e>
          <m:sup>
            <m:r>
              <m:rPr>
                <m:sty m:val="p"/>
              </m:rPr>
              <w:rPr>
                <w:rFonts w:ascii="Cambria Math" w:hAnsi="Cambria Math"/>
                <w:sz w:val="20"/>
                <w:szCs w:val="20"/>
              </w:rPr>
              <m:t>o</m:t>
            </m:r>
          </m:sup>
        </m:sSup>
      </m:oMath>
      <w:r w:rsidRPr="008426DC">
        <w:rPr>
          <w:sz w:val="20"/>
          <w:szCs w:val="20"/>
        </w:rPr>
        <w:t xml:space="preserve"> and </w:t>
      </w:r>
      <m:oMath>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*c</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c</m:t>
            </m:r>
          </m:sup>
        </m:sSup>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sSubSup>
                    <m:sSubSupPr>
                      <m:ctrlPr>
                        <w:rPr>
                          <w:rFonts w:ascii="Cambria Math" w:hAnsi="Cambria Math"/>
                          <w:i/>
                          <w:sz w:val="20"/>
                          <w:szCs w:val="20"/>
                        </w:rPr>
                      </m:ctrlPr>
                    </m:sSubSupPr>
                    <m:e>
                      <m:r>
                        <m:rPr>
                          <m:sty m:val="b"/>
                        </m:rPr>
                        <w:rPr>
                          <w:rFonts w:ascii="Cambria Math" w:hAnsi="Cambria Math"/>
                          <w:sz w:val="20"/>
                          <w:szCs w:val="20"/>
                        </w:rPr>
                        <m:t>ψ</m:t>
                      </m:r>
                    </m:e>
                    <m:sub>
                      <m:r>
                        <m:rPr>
                          <m:sty m:val="p"/>
                        </m:rPr>
                        <w:rPr>
                          <w:rFonts w:ascii="Cambria Math" w:hAnsi="Cambria Math"/>
                          <w:sz w:val="20"/>
                          <w:szCs w:val="20"/>
                        </w:rPr>
                        <m:t>A</m:t>
                      </m:r>
                    </m:sub>
                    <m:sup>
                      <m:r>
                        <w:rPr>
                          <w:rFonts w:ascii="Cambria Math" w:hAnsi="Cambria Math"/>
                          <w:sz w:val="20"/>
                          <w:szCs w:val="20"/>
                        </w:rPr>
                        <m:t>*</m:t>
                      </m:r>
                    </m:sup>
                  </m:sSubSup>
                </m:e>
              </m:mr>
            </m:m>
          </m:e>
        </m:d>
        <m:r>
          <m:rPr>
            <m:sty m:val="bi"/>
          </m:rPr>
          <w:rPr>
            <w:rFonts w:ascii="Cambria Math" w:hAnsi="Cambria Math"/>
            <w:sz w:val="20"/>
            <w:szCs w:val="20"/>
          </w:rPr>
          <m:t>1</m:t>
        </m:r>
        <m:r>
          <m:rPr>
            <m:sty m:val="p"/>
          </m:rP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m:t>
            </m:r>
            <m:r>
              <m:rPr>
                <m:sty m:val="b"/>
              </m:rPr>
              <w:rPr>
                <w:rFonts w:ascii="Cambria Math" w:hAnsi="Cambria Math"/>
                <w:sz w:val="20"/>
                <w:szCs w:val="20"/>
              </w:rPr>
              <m:t>v</m:t>
            </m:r>
          </m:e>
          <m:sup>
            <m:r>
              <m:rPr>
                <m:sty m:val="p"/>
              </m:rPr>
              <w:rPr>
                <w:rFonts w:ascii="Cambria Math" w:hAnsi="Cambria Math"/>
                <w:sz w:val="20"/>
                <w:szCs w:val="20"/>
              </w:rPr>
              <m:t>*o</m:t>
            </m:r>
          </m:sup>
        </m:sSup>
        <m:sSup>
          <m:sSupPr>
            <m:ctrlPr>
              <w:rPr>
                <w:rFonts w:ascii="Cambria Math" w:hAnsi="Cambria Math"/>
                <w:i/>
                <w:sz w:val="20"/>
                <w:szCs w:val="20"/>
              </w:rPr>
            </m:ctrlPr>
          </m:sSupPr>
          <m:e>
            <m:r>
              <m:rPr>
                <m:sty m:val="b"/>
              </m:rPr>
              <w:rPr>
                <w:rFonts w:ascii="Cambria Math" w:hAnsi="Cambria Math"/>
                <w:sz w:val="20"/>
                <w:szCs w:val="20"/>
              </w:rPr>
              <m:t>G</m:t>
            </m:r>
          </m:e>
          <m:sup>
            <m:r>
              <m:rPr>
                <m:sty m:val="p"/>
              </m:rPr>
              <w:rPr>
                <w:rFonts w:ascii="Cambria Math" w:hAnsi="Cambria Math"/>
                <w:sz w:val="20"/>
                <w:szCs w:val="20"/>
              </w:rPr>
              <m:t>o</m:t>
            </m:r>
          </m:sup>
        </m:sSup>
        <m:sSubSup>
          <m:sSubSupPr>
            <m:ctrlPr>
              <w:rPr>
                <w:rFonts w:ascii="Cambria Math" w:hAnsi="Cambria Math"/>
                <w:i/>
                <w:sz w:val="20"/>
                <w:szCs w:val="20"/>
              </w:rPr>
            </m:ctrlPr>
          </m:sSubSupPr>
          <m:e>
            <m:r>
              <m:rPr>
                <m:sty m:val="b"/>
              </m:rPr>
              <w:rPr>
                <w:rFonts w:ascii="Cambria Math" w:hAnsi="Cambria Math"/>
                <w:sz w:val="20"/>
                <w:szCs w:val="20"/>
              </w:rPr>
              <m:t>A</m:t>
            </m:r>
          </m:e>
          <m:sub>
            <m:r>
              <m:rPr>
                <m:sty m:val="p"/>
              </m:rPr>
              <w:rPr>
                <w:rFonts w:ascii="Cambria Math" w:hAnsi="Cambria Math"/>
                <w:sz w:val="20"/>
                <w:szCs w:val="20"/>
              </w:rPr>
              <m:t>UA</m:t>
            </m:r>
          </m:sub>
          <m:sup>
            <m:r>
              <w:rPr>
                <w:rFonts w:ascii="Cambria Math" w:hAnsi="Cambria Math"/>
                <w:sz w:val="20"/>
                <w:szCs w:val="20"/>
              </w:rPr>
              <m:t>*</m:t>
            </m:r>
          </m:sup>
        </m:sSubSup>
        <m:r>
          <m:rPr>
            <m:sty m:val="bi"/>
          </m:rPr>
          <w:rPr>
            <w:rFonts w:ascii="Cambria Math" w:hAnsi="Cambria Math"/>
            <w:sz w:val="20"/>
            <w:szCs w:val="20"/>
          </w:rPr>
          <m:t>1</m:t>
        </m:r>
      </m:oMath>
      <w:r w:rsidRPr="008426DC">
        <w:rPr>
          <w:sz w:val="20"/>
          <w:szCs w:val="20"/>
        </w:rPr>
        <w:t>.</w:t>
      </w:r>
      <w:r w:rsidRPr="008426DC">
        <w:rPr>
          <w:rStyle w:val="FootnoteReference"/>
          <w:sz w:val="20"/>
          <w:szCs w:val="20"/>
        </w:rPr>
        <w:footnoteRef/>
      </w:r>
      <w:r w:rsidRPr="008426DC">
        <w:rPr>
          <w:sz w:val="20"/>
          <w:szCs w:val="20"/>
        </w:rPr>
        <w:t xml:space="preserve"> They</w:t>
      </w:r>
      <w:r>
        <w:rPr>
          <w:sz w:val="20"/>
          <w:szCs w:val="20"/>
        </w:rPr>
        <w:t xml:space="preserve"> can be proven using</w:t>
      </w:r>
      <w:r w:rsidRPr="008426DC">
        <w:rPr>
          <w:sz w:val="20"/>
          <w:szCs w:val="20"/>
        </w:rPr>
        <w:t xml:space="preserve"> partitioned inverses. For example, </w:t>
      </w:r>
      <w:r w:rsidRPr="008426DC">
        <w:rPr>
          <w:sz w:val="20"/>
          <w:szCs w:val="20"/>
        </w:rPr>
        <w:fldChar w:fldCharType="begin"/>
      </w:r>
      <w:r>
        <w:rPr>
          <w:sz w:val="20"/>
          <w:szCs w:val="20"/>
        </w:rPr>
        <w:instrText xml:space="preserve"> ADDIN EN.CITE &lt;EndNote&gt;&lt;Cite&gt;&lt;Author&gt;Miyazawa&lt;/Author&gt;&lt;Year&gt;1966&lt;/Year&gt;&lt;RecNum&gt;1014&lt;/RecNum&gt;&lt;record&gt;&lt;rec-number&gt;1014&lt;/rec-number&gt;&lt;foreign-keys&gt;&lt;key app="EN" db-id="taawaxs5fzprace5p9jv25fnt2vd5xt2d520"&gt;1014&lt;/key&gt;&lt;/foreign-keys&gt;&lt;ref-type name="Journal Article"&gt;17&lt;/ref-type&gt;&lt;contributors&gt;&lt;authors&gt;&lt;author&gt;Miyazawa, K.&lt;/author&gt;&lt;/authors&gt;&lt;/contributors&gt;&lt;titles&gt;&lt;title&gt;Internal and external matrix multipliers in the input-output model&lt;/title&gt;&lt;secondary-title&gt;Hitotsubashi Journal of Economics&lt;/secondary-title&gt;&lt;/titles&gt;&lt;pages&gt;38-55&lt;/pages&gt;&lt;volume&gt;7&lt;/volume&gt;&lt;number&gt;1&lt;/number&gt;&lt;dates&gt;&lt;year&gt;1966&lt;/year&gt;&lt;/dates&gt;&lt;urls&gt;&lt;/urls&gt;&lt;/record&gt;&lt;/Cite&gt;&lt;/EndNote&gt;</w:instrText>
      </w:r>
      <w:r w:rsidRPr="008426DC">
        <w:rPr>
          <w:sz w:val="20"/>
          <w:szCs w:val="20"/>
        </w:rPr>
        <w:fldChar w:fldCharType="separate"/>
      </w:r>
      <w:r w:rsidRPr="008426DC">
        <w:rPr>
          <w:sz w:val="20"/>
          <w:szCs w:val="20"/>
        </w:rPr>
        <w:t>Miyazawa 1966</w:t>
      </w:r>
      <w:r w:rsidRPr="008426DC">
        <w:rPr>
          <w:sz w:val="20"/>
          <w:szCs w:val="20"/>
        </w:rPr>
        <w:fldChar w:fldCharType="end"/>
      </w:r>
      <w:r w:rsidRPr="008426DC">
        <w:rPr>
          <w:sz w:val="20"/>
          <w:szCs w:val="20"/>
        </w:rPr>
        <w:t xml:space="preserve"> has shown that the Leontief inverse can be partitioned as</w:t>
      </w:r>
    </w:p>
    <w:p w:rsidR="00DB6010" w:rsidRPr="008426DC" w:rsidRDefault="00DB6010" w:rsidP="008426DC">
      <w:pPr>
        <w:tabs>
          <w:tab w:val="left" w:pos="284"/>
        </w:tabs>
        <w:jc w:val="both"/>
        <w:rPr>
          <w:sz w:val="20"/>
          <w:szCs w:val="20"/>
        </w:rPr>
      </w:pPr>
      <m:oMath>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c</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m:rPr>
                    <m:sty m:val="b"/>
                  </m:rPr>
                  <w:rPr>
                    <w:rFonts w:ascii="Cambria Math" w:hAnsi="Cambria Math"/>
                    <w:sz w:val="20"/>
                    <w:szCs w:val="20"/>
                  </w:rPr>
                  <m:t>I</m:t>
                </m:r>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m:rPr>
                                  <m:sty m:val="b"/>
                                </m:rPr>
                                <w:rPr>
                                  <w:rFonts w:ascii="Cambria Math" w:hAnsi="Cambria Math"/>
                                  <w:sz w:val="20"/>
                                  <w:szCs w:val="20"/>
                                </w:rPr>
                                <m:t>T</m:t>
                              </m:r>
                            </m:e>
                            <m:sub>
                              <m:r>
                                <m:rPr>
                                  <m:sty m:val="p"/>
                                </m:rPr>
                                <w:rPr>
                                  <w:rFonts w:ascii="Cambria Math" w:hAnsi="Cambria Math"/>
                                  <w:sz w:val="20"/>
                                  <w:szCs w:val="20"/>
                                </w:rPr>
                                <m:t>UU</m:t>
                              </m:r>
                            </m:sub>
                          </m:sSub>
                        </m:e>
                        <m:e>
                          <m:sSub>
                            <m:sSubPr>
                              <m:ctrlPr>
                                <w:rPr>
                                  <w:rFonts w:ascii="Cambria Math" w:hAnsi="Cambria Math"/>
                                  <w:i/>
                                  <w:sz w:val="20"/>
                                  <w:szCs w:val="20"/>
                                </w:rPr>
                              </m:ctrlPr>
                            </m:sSubPr>
                            <m:e>
                              <m:r>
                                <m:rPr>
                                  <m:sty m:val="b"/>
                                </m:rPr>
                                <w:rPr>
                                  <w:rFonts w:ascii="Cambria Math" w:hAnsi="Cambria Math"/>
                                  <w:sz w:val="20"/>
                                  <w:szCs w:val="20"/>
                                </w:rPr>
                                <m:t>T</m:t>
                              </m:r>
                            </m:e>
                            <m:sub>
                              <m:r>
                                <m:rPr>
                                  <m:sty m:val="p"/>
                                </m:rPr>
                                <w:rPr>
                                  <w:rFonts w:ascii="Cambria Math" w:hAnsi="Cambria Math"/>
                                  <w:sz w:val="20"/>
                                  <w:szCs w:val="20"/>
                                </w:rPr>
                                <m:t>UA</m:t>
                              </m:r>
                            </m:sub>
                          </m:sSub>
                        </m:e>
                      </m:mr>
                      <m:mr>
                        <m:e>
                          <m:sSub>
                            <m:sSubPr>
                              <m:ctrlPr>
                                <w:rPr>
                                  <w:rFonts w:ascii="Cambria Math" w:hAnsi="Cambria Math"/>
                                  <w:i/>
                                  <w:sz w:val="20"/>
                                  <w:szCs w:val="20"/>
                                </w:rPr>
                              </m:ctrlPr>
                            </m:sSubPr>
                            <m:e>
                              <m:r>
                                <m:rPr>
                                  <m:sty m:val="b"/>
                                </m:rPr>
                                <w:rPr>
                                  <w:rFonts w:ascii="Cambria Math" w:hAnsi="Cambria Math"/>
                                  <w:sz w:val="20"/>
                                  <w:szCs w:val="20"/>
                                </w:rPr>
                                <m:t>T</m:t>
                              </m:r>
                            </m:e>
                            <m:sub>
                              <m:r>
                                <m:rPr>
                                  <m:sty m:val="p"/>
                                </m:rPr>
                                <w:rPr>
                                  <w:rFonts w:ascii="Cambria Math" w:hAnsi="Cambria Math"/>
                                  <w:sz w:val="20"/>
                                  <w:szCs w:val="20"/>
                                </w:rPr>
                                <m:t>AU</m:t>
                              </m:r>
                            </m:sub>
                          </m:sSub>
                        </m:e>
                        <m:e>
                          <m:sSub>
                            <m:sSubPr>
                              <m:ctrlPr>
                                <w:rPr>
                                  <w:rFonts w:ascii="Cambria Math" w:hAnsi="Cambria Math"/>
                                  <w:i/>
                                  <w:sz w:val="20"/>
                                  <w:szCs w:val="20"/>
                                </w:rPr>
                              </m:ctrlPr>
                            </m:sSubPr>
                            <m:e>
                              <m:r>
                                <m:rPr>
                                  <m:sty m:val="b"/>
                                </m:rPr>
                                <w:rPr>
                                  <w:rFonts w:ascii="Cambria Math" w:hAnsi="Cambria Math"/>
                                  <w:sz w:val="20"/>
                                  <w:szCs w:val="20"/>
                                </w:rPr>
                                <m:t>T</m:t>
                              </m:r>
                            </m:e>
                            <m:sub>
                              <m:r>
                                <m:rPr>
                                  <m:sty m:val="p"/>
                                </m:rPr>
                                <w:rPr>
                                  <w:rFonts w:ascii="Cambria Math" w:hAnsi="Cambria Math"/>
                                  <w:sz w:val="20"/>
                                  <w:szCs w:val="20"/>
                                </w:rPr>
                                <m:t>AA</m:t>
                              </m:r>
                            </m:sub>
                          </m:sSub>
                        </m:e>
                      </m:mr>
                    </m:m>
                  </m:e>
                </m:d>
                <m:sSup>
                  <m:sSupPr>
                    <m:ctrlPr>
                      <w:rPr>
                        <w:rFonts w:ascii="Cambria Math" w:hAnsi="Cambria Math"/>
                        <w:i/>
                        <w:sz w:val="20"/>
                        <w:szCs w:val="20"/>
                      </w:rPr>
                    </m:ctrlPr>
                  </m:sSupPr>
                  <m:e>
                    <m:acc>
                      <m:accPr>
                        <m:ctrlPr>
                          <w:rPr>
                            <w:rFonts w:ascii="Cambria Math" w:hAnsi="Cambria Math"/>
                            <w:i/>
                            <w:sz w:val="20"/>
                            <w:szCs w:val="20"/>
                          </w:rPr>
                        </m:ctrlPr>
                      </m:accPr>
                      <m:e>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rPr>
                                      </m:ctrlPr>
                                    </m:sSubPr>
                                    <m:e>
                                      <m:r>
                                        <m:rPr>
                                          <m:sty m:val="b"/>
                                        </m:rPr>
                                        <w:rPr>
                                          <w:rFonts w:ascii="Cambria Math" w:hAnsi="Cambria Math"/>
                                          <w:sz w:val="20"/>
                                          <w:szCs w:val="20"/>
                                        </w:rPr>
                                        <m:t>x</m:t>
                                      </m:r>
                                    </m:e>
                                    <m:sub>
                                      <m:r>
                                        <m:rPr>
                                          <m:sty m:val="p"/>
                                        </m:rPr>
                                        <w:rPr>
                                          <w:rFonts w:ascii="Cambria Math" w:hAnsi="Cambria Math"/>
                                          <w:sz w:val="20"/>
                                          <w:szCs w:val="20"/>
                                        </w:rPr>
                                        <m:t>U</m:t>
                                      </m:r>
                                    </m:sub>
                                  </m:sSub>
                                </m:e>
                              </m:mr>
                              <m:mr>
                                <m:e>
                                  <m:sSub>
                                    <m:sSubPr>
                                      <m:ctrlPr>
                                        <w:rPr>
                                          <w:rFonts w:ascii="Cambria Math" w:hAnsi="Cambria Math"/>
                                          <w:i/>
                                          <w:sz w:val="20"/>
                                          <w:szCs w:val="20"/>
                                        </w:rPr>
                                      </m:ctrlPr>
                                    </m:sSubPr>
                                    <m:e>
                                      <m:r>
                                        <m:rPr>
                                          <m:sty m:val="b"/>
                                        </m:rPr>
                                        <w:rPr>
                                          <w:rFonts w:ascii="Cambria Math" w:hAnsi="Cambria Math"/>
                                          <w:sz w:val="20"/>
                                          <w:szCs w:val="20"/>
                                        </w:rPr>
                                        <m:t>x</m:t>
                                      </m:r>
                                    </m:e>
                                    <m:sub>
                                      <m:r>
                                        <m:rPr>
                                          <m:sty m:val="p"/>
                                        </m:rPr>
                                        <w:rPr>
                                          <w:rFonts w:ascii="Cambria Math" w:hAnsi="Cambria Math"/>
                                          <w:sz w:val="20"/>
                                          <w:szCs w:val="20"/>
                                        </w:rPr>
                                        <m:t>A</m:t>
                                      </m:r>
                                    </m:sub>
                                  </m:sSub>
                                </m:e>
                              </m:mr>
                            </m:m>
                          </m:e>
                        </m:d>
                      </m:e>
                    </m:acc>
                  </m:e>
                  <m:sup>
                    <m:r>
                      <w:rPr>
                        <w:rFonts w:ascii="Cambria Math" w:hAnsi="Cambria Math"/>
                        <w:sz w:val="20"/>
                        <w:szCs w:val="20"/>
                      </w:rPr>
                      <m:t>-1</m:t>
                    </m:r>
                  </m:sup>
                </m:sSup>
              </m:e>
            </m:d>
          </m:e>
          <m:sup>
            <m:r>
              <w:rPr>
                <w:rFonts w:ascii="Cambria Math" w:hAnsi="Cambria Math"/>
                <w:sz w:val="20"/>
                <w:szCs w:val="20"/>
              </w:rPr>
              <m:t>-1</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sty m:val="b"/>
                        </m:rPr>
                        <w:rPr>
                          <w:rFonts w:ascii="Cambria Math" w:hAnsi="Cambria Math"/>
                          <w:sz w:val="20"/>
                          <w:szCs w:val="20"/>
                        </w:rPr>
                        <m:t>I</m:t>
                      </m:r>
                      <m:r>
                        <w:rPr>
                          <w:rFonts w:ascii="Cambria Math" w:hAnsi="Cambria Math"/>
                          <w:sz w:val="20"/>
                          <w:szCs w:val="20"/>
                        </w:rPr>
                        <m:t>-</m:t>
                      </m:r>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UU</m:t>
                          </m:r>
                        </m:sub>
                      </m:sSub>
                    </m:e>
                    <m:e>
                      <m:r>
                        <w:rPr>
                          <w:rFonts w:ascii="Cambria Math" w:hAnsi="Cambria Math"/>
                          <w:sz w:val="20"/>
                          <w:szCs w:val="20"/>
                        </w:rPr>
                        <m:t>-</m:t>
                      </m:r>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UA</m:t>
                          </m:r>
                        </m:sub>
                      </m:sSub>
                    </m:e>
                  </m:mr>
                  <m:mr>
                    <m:e>
                      <m:r>
                        <w:rPr>
                          <w:rFonts w:ascii="Cambria Math" w:hAnsi="Cambria Math"/>
                          <w:sz w:val="20"/>
                          <w:szCs w:val="20"/>
                        </w:rPr>
                        <m:t>-</m:t>
                      </m:r>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AU</m:t>
                          </m:r>
                        </m:sub>
                      </m:sSub>
                    </m:e>
                    <m:e>
                      <m:r>
                        <m:rPr>
                          <m:sty m:val="b"/>
                        </m:rPr>
                        <w:rPr>
                          <w:rFonts w:ascii="Cambria Math" w:hAnsi="Cambria Math"/>
                          <w:sz w:val="20"/>
                          <w:szCs w:val="20"/>
                        </w:rPr>
                        <m:t>I</m:t>
                      </m:r>
                      <m:r>
                        <w:rPr>
                          <w:rFonts w:ascii="Cambria Math" w:hAnsi="Cambria Math"/>
                          <w:sz w:val="20"/>
                          <w:szCs w:val="20"/>
                        </w:rPr>
                        <m:t>-</m:t>
                      </m:r>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AA</m:t>
                          </m:r>
                        </m:sub>
                      </m:sSub>
                    </m:e>
                  </m:mr>
                </m:m>
              </m:e>
            </m:d>
          </m:e>
          <m:sup>
            <m:r>
              <w:rPr>
                <w:rFonts w:ascii="Cambria Math" w:hAnsi="Cambria Math"/>
                <w:sz w:val="20"/>
                <w:szCs w:val="20"/>
              </w:rPr>
              <m:t>-1</m:t>
            </m:r>
          </m:sup>
        </m:sSup>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d>
                    <m:dPr>
                      <m:ctrlPr>
                        <w:rPr>
                          <w:rFonts w:ascii="Cambria Math" w:hAnsi="Cambria Math"/>
                          <w:b/>
                          <w:sz w:val="20"/>
                          <w:szCs w:val="20"/>
                        </w:rPr>
                      </m:ctrlPr>
                    </m:dPr>
                    <m:e>
                      <m:r>
                        <m:rPr>
                          <m:sty m:val="b"/>
                        </m:rPr>
                        <w:rPr>
                          <w:rFonts w:ascii="Cambria Math" w:hAnsi="Cambria Math"/>
                          <w:sz w:val="20"/>
                          <w:szCs w:val="20"/>
                        </w:rPr>
                        <m:t>I</m:t>
                      </m:r>
                      <m:r>
                        <w:rPr>
                          <w:rFonts w:ascii="Cambria Math" w:hAnsi="Cambria Math"/>
                          <w:sz w:val="20"/>
                          <w:szCs w:val="20"/>
                        </w:rPr>
                        <m:t>+</m:t>
                      </m:r>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UA</m:t>
                          </m:r>
                        </m:sub>
                      </m:sSub>
                      <m:r>
                        <m:rPr>
                          <m:sty m:val="b"/>
                        </m:rPr>
                        <w:rPr>
                          <w:rFonts w:ascii="Cambria Math" w:hAnsi="Cambria Math"/>
                          <w:sz w:val="20"/>
                          <w:szCs w:val="20"/>
                        </w:rPr>
                        <m:t>K</m:t>
                      </m:r>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AU</m:t>
                          </m:r>
                        </m:sub>
                      </m:sSub>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e>
                  </m:d>
                </m:e>
                <m:e>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UA</m:t>
                      </m:r>
                    </m:sub>
                  </m:sSub>
                  <m:r>
                    <m:rPr>
                      <m:sty m:val="b"/>
                    </m:rPr>
                    <w:rPr>
                      <w:rFonts w:ascii="Cambria Math" w:hAnsi="Cambria Math"/>
                      <w:sz w:val="20"/>
                      <w:szCs w:val="20"/>
                    </w:rPr>
                    <m:t>K</m:t>
                  </m:r>
                </m:e>
              </m:mr>
              <m:mr>
                <m:e>
                  <m:r>
                    <m:rPr>
                      <m:sty m:val="b"/>
                    </m:rPr>
                    <w:rPr>
                      <w:rFonts w:ascii="Cambria Math" w:hAnsi="Cambria Math"/>
                      <w:sz w:val="20"/>
                      <w:szCs w:val="20"/>
                    </w:rPr>
                    <m:t>K</m:t>
                  </m:r>
                  <m:sSub>
                    <m:sSubPr>
                      <m:ctrlPr>
                        <w:rPr>
                          <w:rFonts w:ascii="Cambria Math" w:hAnsi="Cambria Math"/>
                          <w:i/>
                          <w:sz w:val="20"/>
                          <w:szCs w:val="20"/>
                        </w:rPr>
                      </m:ctrlPr>
                    </m:sSubPr>
                    <m:e>
                      <m:r>
                        <m:rPr>
                          <m:sty m:val="b"/>
                        </m:rPr>
                        <w:rPr>
                          <w:rFonts w:ascii="Cambria Math" w:hAnsi="Cambria Math"/>
                          <w:sz w:val="20"/>
                          <w:szCs w:val="20"/>
                        </w:rPr>
                        <m:t>A</m:t>
                      </m:r>
                    </m:e>
                    <m:sub>
                      <m:r>
                        <m:rPr>
                          <m:sty m:val="p"/>
                        </m:rPr>
                        <w:rPr>
                          <w:rFonts w:ascii="Cambria Math" w:hAnsi="Cambria Math"/>
                          <w:sz w:val="20"/>
                          <w:szCs w:val="20"/>
                        </w:rPr>
                        <m:t>AU</m:t>
                      </m:r>
                    </m:sub>
                  </m:sSub>
                  <m:sSup>
                    <m:sSupPr>
                      <m:ctrlPr>
                        <w:rPr>
                          <w:rFonts w:ascii="Cambria Math" w:hAnsi="Cambria Math"/>
                          <w:i/>
                          <w:sz w:val="20"/>
                          <w:szCs w:val="20"/>
                        </w:rPr>
                      </m:ctrlPr>
                    </m:sSupPr>
                    <m:e>
                      <m:r>
                        <m:rPr>
                          <m:sty m:val="b"/>
                        </m:rPr>
                        <w:rPr>
                          <w:rFonts w:ascii="Cambria Math" w:hAnsi="Cambria Math"/>
                          <w:sz w:val="20"/>
                          <w:szCs w:val="20"/>
                        </w:rPr>
                        <m:t>L</m:t>
                      </m:r>
                    </m:e>
                    <m:sup>
                      <m:r>
                        <m:rPr>
                          <m:sty m:val="p"/>
                        </m:rPr>
                        <w:rPr>
                          <w:rFonts w:ascii="Cambria Math" w:hAnsi="Cambria Math"/>
                          <w:sz w:val="20"/>
                          <w:szCs w:val="20"/>
                        </w:rPr>
                        <m:t>o</m:t>
                      </m:r>
                    </m:sup>
                  </m:sSup>
                </m:e>
                <m:e>
                  <m:r>
                    <m:rPr>
                      <m:sty m:val="b"/>
                    </m:rPr>
                    <w:rPr>
                      <w:rFonts w:ascii="Cambria Math" w:hAnsi="Cambria Math"/>
                      <w:sz w:val="20"/>
                      <w:szCs w:val="20"/>
                    </w:rPr>
                    <m:t>K</m:t>
                  </m:r>
                </m:e>
              </m:mr>
            </m:m>
          </m:e>
        </m:d>
      </m:oMath>
      <w:r w:rsidRPr="008426DC">
        <w:rPr>
          <w:sz w:val="20"/>
          <w:szCs w:val="20"/>
        </w:rPr>
        <w:t>,</w:t>
      </w:r>
    </w:p>
    <w:p w:rsidR="00DB6010" w:rsidRPr="008426DC" w:rsidRDefault="00DB6010" w:rsidP="008426DC">
      <w:pPr>
        <w:pStyle w:val="FootnoteText"/>
        <w:jc w:val="both"/>
      </w:pPr>
      <w:r w:rsidRPr="008426DC">
        <w:t xml:space="preserve">where </w:t>
      </w:r>
      <m:oMath>
        <m:r>
          <m:rPr>
            <m:sty m:val="b"/>
          </m:rPr>
          <w:rPr>
            <w:rFonts w:ascii="Cambria Math" w:hAnsi="Cambria Math"/>
          </w:rPr>
          <m:t>K</m:t>
        </m:r>
        <m:r>
          <w:rPr>
            <w:rFonts w:ascii="Cambria Math" w:hAnsi="Cambria Math"/>
          </w:rPr>
          <m:t>=</m:t>
        </m:r>
        <m:sSup>
          <m:sSupPr>
            <m:ctrlPr>
              <w:rPr>
                <w:rFonts w:ascii="Cambria Math" w:hAnsi="Cambria Math"/>
                <w:b/>
              </w:rPr>
            </m:ctrlPr>
          </m:sSupPr>
          <m:e>
            <m:d>
              <m:dPr>
                <m:ctrlPr>
                  <w:rPr>
                    <w:rFonts w:ascii="Cambria Math" w:hAnsi="Cambria Math"/>
                    <w:b/>
                  </w:rPr>
                </m:ctrlPr>
              </m:dPr>
              <m:e>
                <m:r>
                  <m:rPr>
                    <m:sty m:val="b"/>
                  </m:rPr>
                  <w:rPr>
                    <w:rFonts w:ascii="Cambria Math" w:hAnsi="Cambria Math"/>
                  </w:rPr>
                  <m:t>I</m:t>
                </m:r>
                <m:r>
                  <w:rPr>
                    <w:rFonts w:ascii="Cambria Math" w:hAnsi="Cambria Math"/>
                  </w:rPr>
                  <m:t>-</m:t>
                </m:r>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AA</m:t>
                    </m:r>
                  </m:sub>
                </m:sSub>
                <m:r>
                  <w:rPr>
                    <w:rFonts w:ascii="Cambria Math" w:hAnsi="Cambria Math"/>
                  </w:rPr>
                  <m:t>-</m:t>
                </m:r>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AU</m:t>
                    </m:r>
                  </m:sub>
                </m:sSub>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o</m:t>
                    </m:r>
                  </m:sup>
                </m:sSup>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UA</m:t>
                    </m:r>
                  </m:sub>
                </m:sSub>
              </m:e>
            </m:d>
          </m:e>
          <m:sup>
            <m:r>
              <m:rPr>
                <m:sty m:val="b"/>
              </m:rPr>
              <w:rPr>
                <w:rFonts w:ascii="Cambria Math" w:hAnsi="Cambria Math"/>
              </w:rPr>
              <m:t>-1</m:t>
            </m:r>
          </m:sup>
        </m:sSup>
      </m:oMath>
      <w:r w:rsidRPr="008426DC">
        <w:t xml:space="preserve">. In our application the mean values for the </w:t>
      </w:r>
      <w:r w:rsidRPr="008426DC">
        <w:rPr>
          <w:b/>
        </w:rPr>
        <w:t>A</w:t>
      </w:r>
      <w:r w:rsidRPr="008426DC">
        <w:t xml:space="preserve"> coefficients are</w:t>
      </w:r>
      <w: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m:rPr>
                    <m:sty m:val="p"/>
                  </m:rPr>
                  <w:rPr>
                    <w:rFonts w:ascii="Cambria Math" w:hAnsi="Cambria Math"/>
                  </w:rPr>
                  <m:t>UU</m:t>
                </m:r>
              </m:sub>
            </m:sSub>
          </m:e>
        </m:acc>
        <m:r>
          <w:rPr>
            <w:rFonts w:ascii="Cambria Math" w:hAnsi="Cambria Math"/>
          </w:rPr>
          <m:t xml:space="preserve">=0.001,  </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m:rPr>
                    <m:sty m:val="p"/>
                  </m:rPr>
                  <w:rPr>
                    <w:rFonts w:ascii="Cambria Math" w:hAnsi="Cambria Math"/>
                  </w:rPr>
                  <m:t>UA</m:t>
                </m:r>
              </m:sub>
            </m:sSub>
          </m:e>
        </m:acc>
        <m:r>
          <w:rPr>
            <w:rFonts w:ascii="Cambria Math" w:hAnsi="Cambria Math"/>
          </w:rPr>
          <m:t xml:space="preserve">=0.005, </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m:rPr>
                    <m:sty m:val="p"/>
                  </m:rPr>
                  <w:rPr>
                    <w:rFonts w:ascii="Cambria Math" w:hAnsi="Cambria Math"/>
                  </w:rPr>
                  <m:t>AU</m:t>
                </m:r>
              </m:sub>
            </m:sSub>
          </m:e>
        </m:acc>
        <m:r>
          <w:rPr>
            <w:rFonts w:ascii="Cambria Math" w:hAnsi="Cambria Math"/>
          </w:rPr>
          <m:t xml:space="preserve">=0.01, </m:t>
        </m:r>
        <m:r>
          <m:rPr>
            <m:sty m:val="p"/>
          </m:rPr>
          <w:rPr>
            <w:rFonts w:ascii="Cambria Math" w:hAnsi="Cambria Math"/>
          </w:rPr>
          <m:t>and</m:t>
        </m:r>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m:rPr>
                    <m:sty m:val="p"/>
                  </m:rPr>
                  <w:rPr>
                    <w:rFonts w:ascii="Cambria Math" w:hAnsi="Cambria Math"/>
                  </w:rPr>
                  <m:t>AA</m:t>
                </m:r>
              </m:sub>
            </m:sSub>
          </m:e>
        </m:acc>
        <m:r>
          <w:rPr>
            <w:rFonts w:ascii="Cambria Math" w:hAnsi="Cambria Math"/>
          </w:rPr>
          <m:t>=0.03</m:t>
        </m:r>
      </m:oMath>
      <w:r w:rsidRPr="008426DC">
        <w:t xml:space="preserve">, so that the interregional feedback loops represented by </w:t>
      </w:r>
      <m:oMath>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AU</m:t>
            </m:r>
          </m:sub>
        </m:sSub>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o</m:t>
            </m:r>
          </m:sup>
        </m:sSup>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UA</m:t>
            </m:r>
          </m:sub>
        </m:sSub>
      </m:oMath>
      <w:r w:rsidRPr="008426DC">
        <w:t xml:space="preserve">are small compared to intermediate demand in Australia, and  </w:t>
      </w:r>
      <m:oMath>
        <m:r>
          <m:rPr>
            <m:sty m:val="b"/>
          </m:rPr>
          <w:rPr>
            <w:rFonts w:ascii="Cambria Math" w:hAnsi="Cambria Math"/>
          </w:rPr>
          <m:t>K</m:t>
        </m:r>
        <m:r>
          <m:rPr>
            <m:sty m:val="p"/>
          </m:rPr>
          <w:rPr>
            <w:rFonts w:ascii="Cambria Math" w:hAnsi="Cambria Math"/>
          </w:rPr>
          <m:t>≈</m:t>
        </m:r>
        <m:sSup>
          <m:sSupPr>
            <m:ctrlPr>
              <w:rPr>
                <w:rFonts w:ascii="Cambria Math" w:hAnsi="Cambria Math"/>
                <w:b/>
              </w:rPr>
            </m:ctrlPr>
          </m:sSupPr>
          <m:e>
            <m:d>
              <m:dPr>
                <m:ctrlPr>
                  <w:rPr>
                    <w:rFonts w:ascii="Cambria Math" w:hAnsi="Cambria Math"/>
                    <w:b/>
                  </w:rPr>
                </m:ctrlPr>
              </m:dPr>
              <m:e>
                <m:r>
                  <m:rPr>
                    <m:sty m:val="b"/>
                  </m:rPr>
                  <w:rPr>
                    <w:rFonts w:ascii="Cambria Math" w:hAnsi="Cambria Math"/>
                  </w:rPr>
                  <m:t>I</m:t>
                </m:r>
                <m:r>
                  <w:rPr>
                    <w:rFonts w:ascii="Cambria Math" w:hAnsi="Cambria Math"/>
                  </w:rPr>
                  <m:t>-</m:t>
                </m:r>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AA</m:t>
                    </m:r>
                  </m:sub>
                </m:sSub>
              </m:e>
            </m:d>
          </m:e>
          <m:sup>
            <m:r>
              <m:rPr>
                <m:sty m:val="b"/>
              </m:rPr>
              <w:rPr>
                <w:rFonts w:ascii="Cambria Math" w:hAnsi="Cambria Math"/>
              </w:rPr>
              <m:t>-1</m:t>
            </m:r>
          </m:sup>
        </m:sSup>
        <m:r>
          <m:rPr>
            <m:sty m:val="b"/>
          </m:rPr>
          <w:rPr>
            <w:rFonts w:ascii="Cambria Math" w:hAnsi="Cambria Math"/>
          </w:rPr>
          <m:t>=</m:t>
        </m:r>
        <m:sSub>
          <m:sSubPr>
            <m:ctrlPr>
              <w:rPr>
                <w:rFonts w:ascii="Cambria Math" w:hAnsi="Cambria Math"/>
                <w:b/>
              </w:rPr>
            </m:ctrlPr>
          </m:sSubPr>
          <m:e>
            <m:r>
              <m:rPr>
                <m:sty m:val="b"/>
              </m:rPr>
              <w:rPr>
                <w:rFonts w:ascii="Cambria Math" w:hAnsi="Cambria Math"/>
              </w:rPr>
              <m:t>L</m:t>
            </m:r>
          </m:e>
          <m:sub>
            <m:r>
              <m:rPr>
                <m:sty m:val="p"/>
              </m:rPr>
              <w:rPr>
                <w:rFonts w:ascii="Cambria Math" w:hAnsi="Cambria Math"/>
              </w:rPr>
              <m:t>AA</m:t>
            </m:r>
          </m:sub>
        </m:sSub>
      </m:oMath>
      <w:r w:rsidRPr="008426DC">
        <w:t xml:space="preserve">. Similarly, we encounter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m:rPr>
                    <m:sty m:val="p"/>
                  </m:rPr>
                  <w:rPr>
                    <w:rFonts w:ascii="Cambria Math" w:hAnsi="Cambria Math"/>
                  </w:rPr>
                  <m:t>UA</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m:rPr>
                    <m:sty m:val="p"/>
                  </m:rPr>
                  <w:rPr>
                    <w:rFonts w:ascii="Cambria Math" w:hAnsi="Cambria Math"/>
                  </w:rPr>
                  <m:t>U</m:t>
                </m:r>
              </m:sub>
            </m:sSub>
          </m:e>
        </m:acc>
      </m:oMath>
      <w:r w:rsidRPr="008426DC">
        <w:t xml:space="preserve"> so that </w:t>
      </w:r>
      <m:oMath>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o</m:t>
            </m:r>
          </m:sup>
        </m:sSup>
        <m:r>
          <m:rPr>
            <m:sty m:val="p"/>
          </m:rPr>
          <w:rPr>
            <w:rFonts w:ascii="Cambria Math" w:hAnsi="Cambria Math"/>
          </w:rPr>
          <m:t>≈</m:t>
        </m:r>
        <m:sSub>
          <m:sSubPr>
            <m:ctrlPr>
              <w:rPr>
                <w:rFonts w:ascii="Cambria Math" w:hAnsi="Cambria Math"/>
                <w:i/>
              </w:rPr>
            </m:ctrlPr>
          </m:sSubPr>
          <m:e>
            <m:r>
              <w:rPr>
                <w:rFonts w:ascii="Cambria Math" w:hAnsi="Cambria Math"/>
              </w:rPr>
              <m:t>∆</m:t>
            </m:r>
            <m:r>
              <m:rPr>
                <m:sty m:val="b"/>
              </m:rPr>
              <w:rPr>
                <w:rFonts w:ascii="Cambria Math" w:hAnsi="Cambria Math"/>
              </w:rPr>
              <m:t>y</m:t>
            </m:r>
          </m:e>
          <m:sub>
            <m:r>
              <m:rPr>
                <m:sty m:val="p"/>
              </m:rPr>
              <w:rPr>
                <w:rFonts w:ascii="Cambria Math" w:hAnsi="Cambria Math"/>
              </w:rPr>
              <m:t>U</m:t>
            </m:r>
          </m:sub>
        </m:sSub>
        <m:r>
          <m:rPr>
            <m:sty m:val="bi"/>
          </m:rPr>
          <w:rPr>
            <w:rFonts w:ascii="Cambria Math" w:hAnsi="Cambria Math"/>
          </w:rPr>
          <m:t>1</m:t>
        </m:r>
      </m:oMath>
      <w:r w:rsidRPr="008426DC">
        <w:t>.</w:t>
      </w:r>
      <w:r w:rsidRPr="008426DC">
        <w:rPr>
          <w:b/>
        </w:rPr>
        <w:t xml:space="preserve"> </w:t>
      </w:r>
      <w:r w:rsidRPr="008426DC">
        <w:t xml:space="preserve">Therefore, </w:t>
      </w:r>
      <m:oMath>
        <m:r>
          <m:rPr>
            <m:sty m:val="bi"/>
          </m:rPr>
          <w:rPr>
            <w:rFonts w:ascii="Cambria Math" w:hAnsi="Cambria Math"/>
          </w:rPr>
          <m:t>1</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sSub>
                    <m:sSubPr>
                      <m:ctrlPr>
                        <w:rPr>
                          <w:rFonts w:ascii="Cambria Math" w:hAnsi="Cambria Math"/>
                          <w:i/>
                        </w:rPr>
                      </m:ctrlPr>
                    </m:sSubPr>
                    <m:e>
                      <m:r>
                        <m:rPr>
                          <m:sty m:val="b"/>
                        </m:rPr>
                        <w:rPr>
                          <w:rFonts w:ascii="Cambria Math" w:hAnsi="Cambria Math"/>
                        </w:rPr>
                        <m:t>φ</m:t>
                      </m:r>
                    </m:e>
                    <m:sub>
                      <m:r>
                        <m:rPr>
                          <m:sty m:val="p"/>
                        </m:rPr>
                        <w:rPr>
                          <w:rFonts w:ascii="Cambria Math" w:hAnsi="Cambria Math"/>
                        </w:rPr>
                        <m:t>A</m:t>
                      </m:r>
                    </m:sub>
                  </m:sSub>
                </m:e>
              </m:mr>
            </m:m>
          </m:e>
        </m:d>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c</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c</m:t>
            </m:r>
          </m:sup>
        </m:sSup>
        <m:r>
          <m:rPr>
            <m:sty m:val="p"/>
          </m:rPr>
          <w:rPr>
            <w:rFonts w:ascii="Cambria Math" w:hAnsi="Cambria Math"/>
          </w:rPr>
          <m:t>≈</m:t>
        </m:r>
        <m:r>
          <m:rPr>
            <m:sty m:val="bi"/>
          </m:rPr>
          <w:rPr>
            <w:rFonts w:ascii="Cambria Math" w:hAnsi="Cambria Math"/>
          </w:rPr>
          <m:t>1</m:t>
        </m:r>
        <m:r>
          <w:rPr>
            <w:rFonts w:ascii="Cambria Math" w:hAnsi="Cambria Math"/>
          </w:rPr>
          <m:t>'</m:t>
        </m:r>
        <m:sSub>
          <m:sSubPr>
            <m:ctrlPr>
              <w:rPr>
                <w:rFonts w:ascii="Cambria Math" w:hAnsi="Cambria Math"/>
                <w:i/>
              </w:rPr>
            </m:ctrlPr>
          </m:sSubPr>
          <m:e>
            <m:r>
              <m:rPr>
                <m:sty m:val="b"/>
              </m:rPr>
              <w:rPr>
                <w:rFonts w:ascii="Cambria Math" w:hAnsi="Cambria Math"/>
              </w:rPr>
              <m:t>φ</m:t>
            </m:r>
          </m:e>
          <m:sub>
            <m:r>
              <m:rPr>
                <m:sty m:val="p"/>
              </m:rPr>
              <w:rPr>
                <w:rFonts w:ascii="Cambria Math" w:hAnsi="Cambria Math"/>
              </w:rPr>
              <m:t>A</m:t>
            </m:r>
          </m:sub>
        </m:sSub>
        <m:sSub>
          <m:sSubPr>
            <m:ctrlPr>
              <w:rPr>
                <w:rFonts w:ascii="Cambria Math" w:hAnsi="Cambria Math"/>
                <w:b/>
              </w:rPr>
            </m:ctrlPr>
          </m:sSubPr>
          <m:e>
            <m:r>
              <m:rPr>
                <m:sty m:val="b"/>
              </m:rPr>
              <w:rPr>
                <w:rFonts w:ascii="Cambria Math" w:hAnsi="Cambria Math"/>
              </w:rPr>
              <m:t>L</m:t>
            </m:r>
          </m:e>
          <m:sub>
            <m:r>
              <m:rPr>
                <m:sty m:val="p"/>
              </m:rPr>
              <w:rPr>
                <w:rFonts w:ascii="Cambria Math" w:hAnsi="Cambria Math"/>
              </w:rPr>
              <m:t>AA</m:t>
            </m:r>
          </m:sub>
        </m:sSub>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AU</m:t>
            </m:r>
          </m:sub>
        </m:sSub>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o</m:t>
            </m:r>
          </m:sup>
        </m:sSup>
        <m:sSub>
          <m:sSubPr>
            <m:ctrlPr>
              <w:rPr>
                <w:rFonts w:ascii="Cambria Math" w:hAnsi="Cambria Math"/>
                <w:i/>
              </w:rPr>
            </m:ctrlPr>
          </m:sSubPr>
          <m:e>
            <m:r>
              <w:rPr>
                <w:rFonts w:ascii="Cambria Math" w:hAnsi="Cambria Math"/>
              </w:rPr>
              <m:t>∆</m:t>
            </m:r>
            <m:r>
              <m:rPr>
                <m:sty m:val="b"/>
              </m:rPr>
              <w:rPr>
                <w:rFonts w:ascii="Cambria Math" w:hAnsi="Cambria Math"/>
              </w:rPr>
              <m:t>y</m:t>
            </m:r>
          </m:e>
          <m:sub>
            <m:r>
              <m:rPr>
                <m:sty m:val="p"/>
              </m:rPr>
              <w:rPr>
                <w:rFonts w:ascii="Cambria Math" w:hAnsi="Cambria Math"/>
              </w:rPr>
              <m:t>U</m:t>
            </m:r>
          </m:sub>
        </m:sSub>
        <m:r>
          <m:rPr>
            <m:sty m:val="bi"/>
          </m:rPr>
          <w:rPr>
            <w:rFonts w:ascii="Cambria Math" w:hAnsi="Cambria Math"/>
          </w:rPr>
          <m:t>1</m:t>
        </m:r>
        <m:r>
          <m:rPr>
            <m:sty m:val="p"/>
          </m:rPr>
          <w:rPr>
            <w:rFonts w:ascii="Cambria Math" w:hAnsi="Cambria Math"/>
          </w:rPr>
          <m:t>=</m:t>
        </m:r>
        <m:r>
          <m:rPr>
            <m:sty m:val="bi"/>
          </m:rPr>
          <w:rPr>
            <w:rFonts w:ascii="Cambria Math" w:hAnsi="Cambria Math"/>
          </w:rPr>
          <m:t>1'</m:t>
        </m:r>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AU</m:t>
            </m:r>
          </m:sub>
        </m:sSub>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o</m:t>
            </m:r>
          </m:sup>
        </m:sSup>
        <m:sSub>
          <m:sSubPr>
            <m:ctrlPr>
              <w:rPr>
                <w:rFonts w:ascii="Cambria Math" w:hAnsi="Cambria Math"/>
                <w:i/>
              </w:rPr>
            </m:ctrlPr>
          </m:sSubPr>
          <m:e>
            <m:r>
              <w:rPr>
                <w:rFonts w:ascii="Cambria Math" w:hAnsi="Cambria Math"/>
              </w:rPr>
              <m:t>∆</m:t>
            </m:r>
            <m:r>
              <m:rPr>
                <m:sty m:val="b"/>
              </m:rPr>
              <w:rPr>
                <w:rFonts w:ascii="Cambria Math" w:hAnsi="Cambria Math"/>
              </w:rPr>
              <m:t>y</m:t>
            </m:r>
          </m:e>
          <m:sub>
            <m:r>
              <m:rPr>
                <m:sty m:val="p"/>
              </m:rPr>
              <w:rPr>
                <w:rFonts w:ascii="Cambria Math" w:hAnsi="Cambria Math"/>
              </w:rPr>
              <m:t>U</m:t>
            </m:r>
          </m:sub>
        </m:sSub>
        <m:r>
          <m:rPr>
            <m:sty m:val="bi"/>
          </m:rPr>
          <w:rPr>
            <w:rFonts w:ascii="Cambria Math" w:hAnsi="Cambria Math"/>
          </w:rPr>
          <m:t>1</m:t>
        </m:r>
        <m:r>
          <m:rPr>
            <m:sty m:val="p"/>
          </m:rPr>
          <w:rPr>
            <w:rFonts w:ascii="Cambria Math" w:hAnsi="Cambria Math"/>
          </w:rPr>
          <m:t>≈</m:t>
        </m:r>
        <m:r>
          <m:rPr>
            <m:sty m:val="bi"/>
          </m:rPr>
          <w:rPr>
            <w:rFonts w:ascii="Cambria Math" w:hAnsi="Cambria Math"/>
          </w:rPr>
          <m:t xml:space="preserve"> 1'</m:t>
        </m:r>
        <m:sSub>
          <m:sSubPr>
            <m:ctrlPr>
              <w:rPr>
                <w:rFonts w:ascii="Cambria Math" w:hAnsi="Cambria Math"/>
                <w:i/>
              </w:rPr>
            </m:ctrlPr>
          </m:sSubPr>
          <m:e>
            <m:r>
              <m:rPr>
                <m:sty m:val="b"/>
              </m:rPr>
              <w:rPr>
                <w:rFonts w:ascii="Cambria Math" w:hAnsi="Cambria Math"/>
              </w:rPr>
              <m:t>A</m:t>
            </m:r>
          </m:e>
          <m:sub>
            <m:r>
              <m:rPr>
                <m:sty m:val="p"/>
              </m:rPr>
              <w:rPr>
                <w:rFonts w:ascii="Cambria Math" w:hAnsi="Cambria Math"/>
              </w:rPr>
              <m:t>AU</m:t>
            </m:r>
          </m:sub>
        </m:sSub>
        <m:sSup>
          <m:sSupPr>
            <m:ctrlPr>
              <w:rPr>
                <w:rFonts w:ascii="Cambria Math" w:hAnsi="Cambria Math"/>
                <w:i/>
              </w:rPr>
            </m:ctrlPr>
          </m:sSupPr>
          <m:e>
            <m:r>
              <m:rPr>
                <m:sty m:val="b"/>
              </m:rPr>
              <w:rPr>
                <w:rFonts w:ascii="Cambria Math" w:hAnsi="Cambria Math"/>
              </w:rPr>
              <m:t>L</m:t>
            </m:r>
          </m:e>
          <m:sup>
            <m:r>
              <m:rPr>
                <m:sty m:val="p"/>
              </m:rPr>
              <w:rPr>
                <w:rFonts w:ascii="Cambria Math" w:hAnsi="Cambria Math"/>
              </w:rPr>
              <m:t>o</m:t>
            </m:r>
          </m:sup>
        </m:sSup>
        <m:sSup>
          <m:sSupPr>
            <m:ctrlPr>
              <w:rPr>
                <w:rFonts w:ascii="Cambria Math" w:hAnsi="Cambria Math"/>
                <w:i/>
              </w:rPr>
            </m:ctrlPr>
          </m:sSupPr>
          <m:e>
            <m:r>
              <w:rPr>
                <w:rFonts w:ascii="Cambria Math" w:hAnsi="Cambria Math"/>
              </w:rPr>
              <m:t>∆</m:t>
            </m:r>
            <m:r>
              <m:rPr>
                <m:sty m:val="b"/>
              </m:rPr>
              <w:rPr>
                <w:rFonts w:ascii="Cambria Math" w:hAnsi="Cambria Math"/>
              </w:rPr>
              <m:t>y</m:t>
            </m:r>
          </m:e>
          <m:sup>
            <m:r>
              <m:rPr>
                <m:sty m:val="p"/>
              </m:rPr>
              <w:rPr>
                <w:rFonts w:ascii="Cambria Math" w:hAnsi="Cambria Math"/>
              </w:rPr>
              <m:t>o</m:t>
            </m:r>
          </m:sup>
        </m:sSup>
      </m:oMath>
      <w:r w:rsidRPr="008426DC">
        <w:t>, which had to be shown. The proof for the supply-push relationship proceeds correspondingly.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10" w:rsidRPr="00411428" w:rsidRDefault="00DB6010" w:rsidP="00411428">
    <w:pPr>
      <w:pStyle w:val="Header"/>
      <w:jc w:val="center"/>
      <w:rPr>
        <w:sz w:val="16"/>
        <w:szCs w:val="16"/>
      </w:rPr>
    </w:pPr>
    <w:r>
      <w:rPr>
        <w:sz w:val="16"/>
        <w:szCs w:val="16"/>
      </w:rPr>
      <w:t>S</w:t>
    </w:r>
    <w:r w:rsidRPr="00411428">
      <w:rPr>
        <w:sz w:val="16"/>
        <w:szCs w:val="16"/>
      </w:rPr>
      <w:t xml:space="preserve">ubmitted to </w:t>
    </w:r>
    <w:r w:rsidRPr="00411428">
      <w:rPr>
        <w:i/>
        <w:sz w:val="16"/>
        <w:szCs w:val="16"/>
      </w:rPr>
      <w:t>Economic Systems Research</w:t>
    </w:r>
    <w:r w:rsidRPr="00411428">
      <w:rPr>
        <w:sz w:val="16"/>
        <w:szCs w:val="16"/>
      </w:rPr>
      <w:t xml:space="preserve"> – </w:t>
    </w:r>
    <w:r w:rsidRPr="00411428">
      <w:rPr>
        <w:b/>
        <w:sz w:val="16"/>
        <w:szCs w:val="16"/>
      </w:rPr>
      <w:t>do not cite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6C7"/>
    <w:multiLevelType w:val="hybridMultilevel"/>
    <w:tmpl w:val="2F484E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D376B8"/>
    <w:multiLevelType w:val="hybridMultilevel"/>
    <w:tmpl w:val="A12C9C52"/>
    <w:lvl w:ilvl="0" w:tplc="0C090003">
      <w:start w:val="1"/>
      <w:numFmt w:val="bullet"/>
      <w:lvlText w:val="o"/>
      <w:lvlJc w:val="left"/>
      <w:pPr>
        <w:ind w:left="771" w:hanging="360"/>
      </w:pPr>
      <w:rPr>
        <w:rFonts w:ascii="Courier New" w:hAnsi="Courier New" w:cs="Courier New"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nsid w:val="169B731F"/>
    <w:multiLevelType w:val="hybridMultilevel"/>
    <w:tmpl w:val="4D88B2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CA7DC6"/>
    <w:multiLevelType w:val="multilevel"/>
    <w:tmpl w:val="F91C3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1E130FF"/>
    <w:multiLevelType w:val="multilevel"/>
    <w:tmpl w:val="F91C3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3357C84"/>
    <w:multiLevelType w:val="multilevel"/>
    <w:tmpl w:val="F91C3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5927F69"/>
    <w:multiLevelType w:val="multilevel"/>
    <w:tmpl w:val="F91C3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EE82828"/>
    <w:multiLevelType w:val="multilevel"/>
    <w:tmpl w:val="F91C3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0"/>
  </w:num>
  <w:num w:numId="3">
    <w:abstractNumId w:val="6"/>
  </w:num>
  <w:num w:numId="4">
    <w:abstractNumId w:val="7"/>
  </w:num>
  <w:num w:numId="5">
    <w:abstractNumId w:val="3"/>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docVars>
    <w:docVar w:name="EN.InstantFormat" w:val="T"/>
    <w:docVar w:name="EN.Layout" w:val="슐슑슒슓슕슖슗슘슙슚슞슡슣스슦슧슨슭슳슸싂싄싅싇싈싉싋싌싎싏싐싖신싡싢십쌇쌝쌞쌲썈썟썲썳쎋쎛쎜쎶쎷쎸쎹쎺쎻쎼쎽쎾쎿쏀쏁쏃쏄쏅쏆쏇쏟쏦쏭쏴쏵쏼쐃쐊쐑쐒쐙쐠쐡쐨쐩쐪쐫쐱쐷쐸쐾쑄쑉쑊쑋쑑쑖쑗쑞쑟쑠쑡쑢쑣쑤쑥쑦쑧쑨쑩쑫쑬쑭쑮쑯쒇쒏쒖쒝쒞쒥쒭쒴쒻쒼쓃쓊쓋쓓쓔쓕쓖쓜쓢쓣쓨쓮쓴쓵쓶쓻씀씁씈씉씊씋씌씍씎씏씐씑씒씓씔씕씖씗씘씙씷씸씹씺앓웴짢짣짿츾츿칀칂칃칄칆칇캁캃캄캠펠펡펢펤펥폟폠폡퐠퐡"/>
    <w:docVar w:name="EN.Libraries" w:val="&lt;ENLibraries&gt;&lt;Libraries&gt;&lt;item&gt;ecolecon-Converted.enl&lt;/item&gt;&lt;/Libraries&gt;&lt;/ENLibraries&gt;"/>
  </w:docVars>
  <w:rsids>
    <w:rsidRoot w:val="002F5BD5"/>
    <w:rsid w:val="0000184A"/>
    <w:rsid w:val="00004472"/>
    <w:rsid w:val="000203EA"/>
    <w:rsid w:val="000409EF"/>
    <w:rsid w:val="000412BF"/>
    <w:rsid w:val="00070B28"/>
    <w:rsid w:val="00072AD4"/>
    <w:rsid w:val="0007758F"/>
    <w:rsid w:val="000A25FA"/>
    <w:rsid w:val="000A4D3B"/>
    <w:rsid w:val="000A5D28"/>
    <w:rsid w:val="000B7975"/>
    <w:rsid w:val="000C3E2C"/>
    <w:rsid w:val="000E7EF7"/>
    <w:rsid w:val="000F2FCE"/>
    <w:rsid w:val="0010284B"/>
    <w:rsid w:val="001151D9"/>
    <w:rsid w:val="0011603F"/>
    <w:rsid w:val="00133B57"/>
    <w:rsid w:val="001342D2"/>
    <w:rsid w:val="001368B8"/>
    <w:rsid w:val="00145A2C"/>
    <w:rsid w:val="001521F0"/>
    <w:rsid w:val="00154C6F"/>
    <w:rsid w:val="0017537F"/>
    <w:rsid w:val="00186575"/>
    <w:rsid w:val="001868ED"/>
    <w:rsid w:val="00187048"/>
    <w:rsid w:val="00187571"/>
    <w:rsid w:val="00187942"/>
    <w:rsid w:val="001B512F"/>
    <w:rsid w:val="001B68EA"/>
    <w:rsid w:val="001D29C7"/>
    <w:rsid w:val="001D5DB9"/>
    <w:rsid w:val="001E40D0"/>
    <w:rsid w:val="001E78DD"/>
    <w:rsid w:val="001F48A6"/>
    <w:rsid w:val="001F48E5"/>
    <w:rsid w:val="001F496C"/>
    <w:rsid w:val="00206E2B"/>
    <w:rsid w:val="002204D7"/>
    <w:rsid w:val="00230B3F"/>
    <w:rsid w:val="00242E8D"/>
    <w:rsid w:val="00246772"/>
    <w:rsid w:val="002567E9"/>
    <w:rsid w:val="00265121"/>
    <w:rsid w:val="0026609D"/>
    <w:rsid w:val="0027085D"/>
    <w:rsid w:val="0028541A"/>
    <w:rsid w:val="002A1219"/>
    <w:rsid w:val="002B1AEA"/>
    <w:rsid w:val="002B52B7"/>
    <w:rsid w:val="002C1108"/>
    <w:rsid w:val="002C4A49"/>
    <w:rsid w:val="002D1B16"/>
    <w:rsid w:val="002E1D64"/>
    <w:rsid w:val="002E3EB1"/>
    <w:rsid w:val="002E4394"/>
    <w:rsid w:val="002F0587"/>
    <w:rsid w:val="002F1013"/>
    <w:rsid w:val="002F5BD5"/>
    <w:rsid w:val="002F784D"/>
    <w:rsid w:val="003029EF"/>
    <w:rsid w:val="003061E0"/>
    <w:rsid w:val="003065D0"/>
    <w:rsid w:val="00311DB0"/>
    <w:rsid w:val="00314E18"/>
    <w:rsid w:val="00325C9E"/>
    <w:rsid w:val="00332AEF"/>
    <w:rsid w:val="00340DFE"/>
    <w:rsid w:val="003412AB"/>
    <w:rsid w:val="003A24B1"/>
    <w:rsid w:val="003B0EF8"/>
    <w:rsid w:val="003D2C75"/>
    <w:rsid w:val="003D7C73"/>
    <w:rsid w:val="003F43FF"/>
    <w:rsid w:val="003F72E5"/>
    <w:rsid w:val="00411428"/>
    <w:rsid w:val="0041230B"/>
    <w:rsid w:val="004153DB"/>
    <w:rsid w:val="00417CB4"/>
    <w:rsid w:val="00423243"/>
    <w:rsid w:val="00431529"/>
    <w:rsid w:val="00432F5A"/>
    <w:rsid w:val="00435847"/>
    <w:rsid w:val="00440A57"/>
    <w:rsid w:val="004424D8"/>
    <w:rsid w:val="004427EC"/>
    <w:rsid w:val="00452226"/>
    <w:rsid w:val="004566CA"/>
    <w:rsid w:val="0046579D"/>
    <w:rsid w:val="00475767"/>
    <w:rsid w:val="00476B71"/>
    <w:rsid w:val="00482F15"/>
    <w:rsid w:val="00497FDD"/>
    <w:rsid w:val="004A6E58"/>
    <w:rsid w:val="004A78CE"/>
    <w:rsid w:val="004B0737"/>
    <w:rsid w:val="004B745F"/>
    <w:rsid w:val="004C313C"/>
    <w:rsid w:val="004C5371"/>
    <w:rsid w:val="004C6D86"/>
    <w:rsid w:val="004C731C"/>
    <w:rsid w:val="004D39C2"/>
    <w:rsid w:val="004D4A71"/>
    <w:rsid w:val="004E57C8"/>
    <w:rsid w:val="004F0AD6"/>
    <w:rsid w:val="00506C8C"/>
    <w:rsid w:val="005129B5"/>
    <w:rsid w:val="00515DEC"/>
    <w:rsid w:val="00527CAD"/>
    <w:rsid w:val="00532949"/>
    <w:rsid w:val="005379F2"/>
    <w:rsid w:val="00541447"/>
    <w:rsid w:val="005730C9"/>
    <w:rsid w:val="0057775F"/>
    <w:rsid w:val="00582E8D"/>
    <w:rsid w:val="00593F08"/>
    <w:rsid w:val="005A4FCA"/>
    <w:rsid w:val="005C2753"/>
    <w:rsid w:val="005C5970"/>
    <w:rsid w:val="005D3B42"/>
    <w:rsid w:val="005F1CBD"/>
    <w:rsid w:val="006021F5"/>
    <w:rsid w:val="006111D7"/>
    <w:rsid w:val="0061301D"/>
    <w:rsid w:val="0062269D"/>
    <w:rsid w:val="0063726C"/>
    <w:rsid w:val="00642470"/>
    <w:rsid w:val="00653B41"/>
    <w:rsid w:val="00653D39"/>
    <w:rsid w:val="006553FA"/>
    <w:rsid w:val="00676455"/>
    <w:rsid w:val="00687BBC"/>
    <w:rsid w:val="00695FCF"/>
    <w:rsid w:val="006B0B3E"/>
    <w:rsid w:val="006B5F57"/>
    <w:rsid w:val="006C00EA"/>
    <w:rsid w:val="006C13D1"/>
    <w:rsid w:val="006C19EE"/>
    <w:rsid w:val="006C2149"/>
    <w:rsid w:val="006C43E2"/>
    <w:rsid w:val="006C55F9"/>
    <w:rsid w:val="006D27C8"/>
    <w:rsid w:val="006D27FF"/>
    <w:rsid w:val="006D6C8C"/>
    <w:rsid w:val="006E3C0E"/>
    <w:rsid w:val="006F05E7"/>
    <w:rsid w:val="006F1059"/>
    <w:rsid w:val="006F1348"/>
    <w:rsid w:val="006F4F9A"/>
    <w:rsid w:val="00700265"/>
    <w:rsid w:val="00704220"/>
    <w:rsid w:val="007119C6"/>
    <w:rsid w:val="007232EB"/>
    <w:rsid w:val="007238EA"/>
    <w:rsid w:val="007258DE"/>
    <w:rsid w:val="00730501"/>
    <w:rsid w:val="0073579C"/>
    <w:rsid w:val="0074223C"/>
    <w:rsid w:val="007579E8"/>
    <w:rsid w:val="00761206"/>
    <w:rsid w:val="0076571F"/>
    <w:rsid w:val="00790A78"/>
    <w:rsid w:val="007910C7"/>
    <w:rsid w:val="007930D9"/>
    <w:rsid w:val="007A4E71"/>
    <w:rsid w:val="007B7465"/>
    <w:rsid w:val="007C3437"/>
    <w:rsid w:val="007C3546"/>
    <w:rsid w:val="007C50CE"/>
    <w:rsid w:val="007C71DB"/>
    <w:rsid w:val="007C7A46"/>
    <w:rsid w:val="007E1F20"/>
    <w:rsid w:val="007F4188"/>
    <w:rsid w:val="00803AFF"/>
    <w:rsid w:val="0080446E"/>
    <w:rsid w:val="00820569"/>
    <w:rsid w:val="00823019"/>
    <w:rsid w:val="00825D28"/>
    <w:rsid w:val="00826132"/>
    <w:rsid w:val="00832A72"/>
    <w:rsid w:val="00834170"/>
    <w:rsid w:val="0084065C"/>
    <w:rsid w:val="008426DC"/>
    <w:rsid w:val="008465B0"/>
    <w:rsid w:val="00851EBF"/>
    <w:rsid w:val="00852446"/>
    <w:rsid w:val="00853844"/>
    <w:rsid w:val="008714F8"/>
    <w:rsid w:val="00871C8C"/>
    <w:rsid w:val="00876A06"/>
    <w:rsid w:val="00876FB9"/>
    <w:rsid w:val="0088123F"/>
    <w:rsid w:val="00881781"/>
    <w:rsid w:val="00884AAB"/>
    <w:rsid w:val="00891966"/>
    <w:rsid w:val="008963CB"/>
    <w:rsid w:val="008A08BA"/>
    <w:rsid w:val="008A6EB7"/>
    <w:rsid w:val="008B249F"/>
    <w:rsid w:val="008D29B9"/>
    <w:rsid w:val="008D3140"/>
    <w:rsid w:val="008D653F"/>
    <w:rsid w:val="008E04CE"/>
    <w:rsid w:val="008E2005"/>
    <w:rsid w:val="008F36AA"/>
    <w:rsid w:val="008F64DB"/>
    <w:rsid w:val="00901608"/>
    <w:rsid w:val="0092434B"/>
    <w:rsid w:val="009355FE"/>
    <w:rsid w:val="0095077F"/>
    <w:rsid w:val="0096677F"/>
    <w:rsid w:val="00966EB6"/>
    <w:rsid w:val="0097555A"/>
    <w:rsid w:val="009804CE"/>
    <w:rsid w:val="00983D9F"/>
    <w:rsid w:val="00987A52"/>
    <w:rsid w:val="00991D0D"/>
    <w:rsid w:val="00992480"/>
    <w:rsid w:val="009A0597"/>
    <w:rsid w:val="009A212C"/>
    <w:rsid w:val="009A7C95"/>
    <w:rsid w:val="009C09C7"/>
    <w:rsid w:val="009C395C"/>
    <w:rsid w:val="009C7054"/>
    <w:rsid w:val="009E38C0"/>
    <w:rsid w:val="009E4114"/>
    <w:rsid w:val="009E6367"/>
    <w:rsid w:val="009F2EFF"/>
    <w:rsid w:val="009F3094"/>
    <w:rsid w:val="00A02914"/>
    <w:rsid w:val="00A042F6"/>
    <w:rsid w:val="00A144E7"/>
    <w:rsid w:val="00A2195A"/>
    <w:rsid w:val="00A37373"/>
    <w:rsid w:val="00A40823"/>
    <w:rsid w:val="00A576A4"/>
    <w:rsid w:val="00A60CB8"/>
    <w:rsid w:val="00A61D29"/>
    <w:rsid w:val="00A63CE4"/>
    <w:rsid w:val="00A63FE7"/>
    <w:rsid w:val="00A74C65"/>
    <w:rsid w:val="00A8292D"/>
    <w:rsid w:val="00A9155C"/>
    <w:rsid w:val="00A928A3"/>
    <w:rsid w:val="00AA334A"/>
    <w:rsid w:val="00AB1251"/>
    <w:rsid w:val="00AB6B0E"/>
    <w:rsid w:val="00AE294D"/>
    <w:rsid w:val="00B018CE"/>
    <w:rsid w:val="00B0505F"/>
    <w:rsid w:val="00B10378"/>
    <w:rsid w:val="00B150D0"/>
    <w:rsid w:val="00B309E5"/>
    <w:rsid w:val="00B346F4"/>
    <w:rsid w:val="00B355D7"/>
    <w:rsid w:val="00B36B6B"/>
    <w:rsid w:val="00B374F8"/>
    <w:rsid w:val="00B46108"/>
    <w:rsid w:val="00B518CA"/>
    <w:rsid w:val="00B548BC"/>
    <w:rsid w:val="00B54A30"/>
    <w:rsid w:val="00B61029"/>
    <w:rsid w:val="00B7142B"/>
    <w:rsid w:val="00B731B3"/>
    <w:rsid w:val="00B9457A"/>
    <w:rsid w:val="00BA1533"/>
    <w:rsid w:val="00BA27A8"/>
    <w:rsid w:val="00BA3CBA"/>
    <w:rsid w:val="00BA544C"/>
    <w:rsid w:val="00BC0F9D"/>
    <w:rsid w:val="00BC574F"/>
    <w:rsid w:val="00BC5BE7"/>
    <w:rsid w:val="00BD2A96"/>
    <w:rsid w:val="00BE0C86"/>
    <w:rsid w:val="00BE1B39"/>
    <w:rsid w:val="00BE5FED"/>
    <w:rsid w:val="00BF0EE9"/>
    <w:rsid w:val="00C0194D"/>
    <w:rsid w:val="00C03DDC"/>
    <w:rsid w:val="00C135F9"/>
    <w:rsid w:val="00C2157F"/>
    <w:rsid w:val="00C22C5C"/>
    <w:rsid w:val="00C364E9"/>
    <w:rsid w:val="00C37BE3"/>
    <w:rsid w:val="00C42324"/>
    <w:rsid w:val="00C516B8"/>
    <w:rsid w:val="00C56EC8"/>
    <w:rsid w:val="00C62DEB"/>
    <w:rsid w:val="00C7724A"/>
    <w:rsid w:val="00C9180D"/>
    <w:rsid w:val="00C9302F"/>
    <w:rsid w:val="00C97DE4"/>
    <w:rsid w:val="00CA1A73"/>
    <w:rsid w:val="00CA6F12"/>
    <w:rsid w:val="00CB191D"/>
    <w:rsid w:val="00CB7EC4"/>
    <w:rsid w:val="00CC074F"/>
    <w:rsid w:val="00CC08B1"/>
    <w:rsid w:val="00CD1AAE"/>
    <w:rsid w:val="00CD3C4B"/>
    <w:rsid w:val="00CE3304"/>
    <w:rsid w:val="00CF1B36"/>
    <w:rsid w:val="00CF2379"/>
    <w:rsid w:val="00CF2E41"/>
    <w:rsid w:val="00CF45CA"/>
    <w:rsid w:val="00D0163D"/>
    <w:rsid w:val="00D01E1F"/>
    <w:rsid w:val="00D03CD9"/>
    <w:rsid w:val="00D10591"/>
    <w:rsid w:val="00D106CD"/>
    <w:rsid w:val="00D15619"/>
    <w:rsid w:val="00D22378"/>
    <w:rsid w:val="00D273C9"/>
    <w:rsid w:val="00D31774"/>
    <w:rsid w:val="00D372B2"/>
    <w:rsid w:val="00D4147B"/>
    <w:rsid w:val="00D452B6"/>
    <w:rsid w:val="00D57686"/>
    <w:rsid w:val="00D628DA"/>
    <w:rsid w:val="00D66F35"/>
    <w:rsid w:val="00D72F94"/>
    <w:rsid w:val="00D817D9"/>
    <w:rsid w:val="00D84642"/>
    <w:rsid w:val="00D85888"/>
    <w:rsid w:val="00D90397"/>
    <w:rsid w:val="00D95C9C"/>
    <w:rsid w:val="00DB1F43"/>
    <w:rsid w:val="00DB549E"/>
    <w:rsid w:val="00DB6010"/>
    <w:rsid w:val="00DB617E"/>
    <w:rsid w:val="00DC0171"/>
    <w:rsid w:val="00DF1636"/>
    <w:rsid w:val="00E01DF3"/>
    <w:rsid w:val="00E04848"/>
    <w:rsid w:val="00E055FB"/>
    <w:rsid w:val="00E17A16"/>
    <w:rsid w:val="00E249FA"/>
    <w:rsid w:val="00E415C9"/>
    <w:rsid w:val="00E44222"/>
    <w:rsid w:val="00E47752"/>
    <w:rsid w:val="00E56AD6"/>
    <w:rsid w:val="00E6245A"/>
    <w:rsid w:val="00E62656"/>
    <w:rsid w:val="00E81629"/>
    <w:rsid w:val="00E8354B"/>
    <w:rsid w:val="00E85CB7"/>
    <w:rsid w:val="00E92B01"/>
    <w:rsid w:val="00EA105D"/>
    <w:rsid w:val="00EA1603"/>
    <w:rsid w:val="00EB1AD6"/>
    <w:rsid w:val="00EC1999"/>
    <w:rsid w:val="00EC6D92"/>
    <w:rsid w:val="00ED360D"/>
    <w:rsid w:val="00EE3A74"/>
    <w:rsid w:val="00EE4005"/>
    <w:rsid w:val="00EF3C79"/>
    <w:rsid w:val="00F02E68"/>
    <w:rsid w:val="00F050E4"/>
    <w:rsid w:val="00F10008"/>
    <w:rsid w:val="00F12BC8"/>
    <w:rsid w:val="00F23CEA"/>
    <w:rsid w:val="00F26B27"/>
    <w:rsid w:val="00F41BB2"/>
    <w:rsid w:val="00F42498"/>
    <w:rsid w:val="00F60B32"/>
    <w:rsid w:val="00F62E35"/>
    <w:rsid w:val="00F6548D"/>
    <w:rsid w:val="00F67ECC"/>
    <w:rsid w:val="00F67F24"/>
    <w:rsid w:val="00F840B8"/>
    <w:rsid w:val="00F84D5D"/>
    <w:rsid w:val="00F87834"/>
    <w:rsid w:val="00F906F7"/>
    <w:rsid w:val="00F92783"/>
    <w:rsid w:val="00FB6E19"/>
    <w:rsid w:val="00FC2424"/>
    <w:rsid w:val="00FC3B19"/>
    <w:rsid w:val="00FD77FF"/>
    <w:rsid w:val="00FE28EE"/>
    <w:rsid w:val="00FF04A1"/>
    <w:rsid w:val="00FF4B5E"/>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E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3DB"/>
    <w:pPr>
      <w:ind w:left="720"/>
      <w:contextualSpacing/>
    </w:pPr>
  </w:style>
  <w:style w:type="paragraph" w:styleId="FootnoteText">
    <w:name w:val="footnote text"/>
    <w:basedOn w:val="Normal"/>
    <w:link w:val="FootnoteTextChar"/>
    <w:uiPriority w:val="99"/>
    <w:semiHidden/>
    <w:unhideWhenUsed/>
    <w:rsid w:val="000412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2BF"/>
    <w:rPr>
      <w:sz w:val="20"/>
      <w:szCs w:val="20"/>
    </w:rPr>
  </w:style>
  <w:style w:type="character" w:styleId="FootnoteReference">
    <w:name w:val="footnote reference"/>
    <w:basedOn w:val="DefaultParagraphFont"/>
    <w:uiPriority w:val="99"/>
    <w:semiHidden/>
    <w:unhideWhenUsed/>
    <w:rsid w:val="000412BF"/>
    <w:rPr>
      <w:vertAlign w:val="superscript"/>
    </w:rPr>
  </w:style>
  <w:style w:type="character" w:styleId="Hyperlink">
    <w:name w:val="Hyperlink"/>
    <w:basedOn w:val="DefaultParagraphFont"/>
    <w:uiPriority w:val="99"/>
    <w:unhideWhenUsed/>
    <w:rsid w:val="000412BF"/>
    <w:rPr>
      <w:color w:val="0000FF" w:themeColor="hyperlink"/>
      <w:u w:val="single"/>
    </w:rPr>
  </w:style>
  <w:style w:type="paragraph" w:styleId="BalloonText">
    <w:name w:val="Balloon Text"/>
    <w:basedOn w:val="Normal"/>
    <w:link w:val="BalloonTextChar"/>
    <w:uiPriority w:val="99"/>
    <w:semiHidden/>
    <w:unhideWhenUsed/>
    <w:rsid w:val="00A82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92D"/>
    <w:rPr>
      <w:rFonts w:ascii="Tahoma" w:hAnsi="Tahoma" w:cs="Tahoma"/>
      <w:sz w:val="16"/>
      <w:szCs w:val="16"/>
    </w:rPr>
  </w:style>
  <w:style w:type="character" w:styleId="PlaceholderText">
    <w:name w:val="Placeholder Text"/>
    <w:basedOn w:val="DefaultParagraphFont"/>
    <w:uiPriority w:val="99"/>
    <w:semiHidden/>
    <w:rsid w:val="003D7C73"/>
    <w:rPr>
      <w:color w:val="808080"/>
    </w:rPr>
  </w:style>
  <w:style w:type="paragraph" w:styleId="Header">
    <w:name w:val="header"/>
    <w:basedOn w:val="Normal"/>
    <w:link w:val="HeaderChar"/>
    <w:uiPriority w:val="99"/>
    <w:semiHidden/>
    <w:unhideWhenUsed/>
    <w:rsid w:val="004114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1428"/>
  </w:style>
  <w:style w:type="paragraph" w:styleId="Footer">
    <w:name w:val="footer"/>
    <w:basedOn w:val="Normal"/>
    <w:link w:val="FooterChar"/>
    <w:uiPriority w:val="99"/>
    <w:unhideWhenUsed/>
    <w:rsid w:val="00411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428"/>
  </w:style>
  <w:style w:type="paragraph" w:styleId="BodyText2">
    <w:name w:val="Body Text 2"/>
    <w:basedOn w:val="Normal"/>
    <w:link w:val="BodyText2Char"/>
    <w:uiPriority w:val="99"/>
    <w:rsid w:val="00DF1636"/>
    <w:pPr>
      <w:autoSpaceDE w:val="0"/>
      <w:autoSpaceDN w:val="0"/>
      <w:spacing w:after="0" w:line="240" w:lineRule="auto"/>
      <w:jc w:val="center"/>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uiPriority w:val="99"/>
    <w:rsid w:val="00DF163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11479835">
      <w:bodyDiv w:val="1"/>
      <w:marLeft w:val="0"/>
      <w:marRight w:val="0"/>
      <w:marTop w:val="0"/>
      <w:marBottom w:val="0"/>
      <w:divBdr>
        <w:top w:val="none" w:sz="0" w:space="0" w:color="auto"/>
        <w:left w:val="none" w:sz="0" w:space="0" w:color="auto"/>
        <w:bottom w:val="none" w:sz="0" w:space="0" w:color="auto"/>
        <w:right w:val="none" w:sz="0" w:space="0" w:color="auto"/>
      </w:divBdr>
    </w:div>
    <w:div w:id="526794199">
      <w:bodyDiv w:val="1"/>
      <w:marLeft w:val="0"/>
      <w:marRight w:val="0"/>
      <w:marTop w:val="0"/>
      <w:marBottom w:val="0"/>
      <w:divBdr>
        <w:top w:val="none" w:sz="0" w:space="0" w:color="auto"/>
        <w:left w:val="none" w:sz="0" w:space="0" w:color="auto"/>
        <w:bottom w:val="none" w:sz="0" w:space="0" w:color="auto"/>
        <w:right w:val="none" w:sz="0" w:space="0" w:color="auto"/>
      </w:divBdr>
    </w:div>
    <w:div w:id="542793281">
      <w:bodyDiv w:val="1"/>
      <w:marLeft w:val="0"/>
      <w:marRight w:val="0"/>
      <w:marTop w:val="0"/>
      <w:marBottom w:val="0"/>
      <w:divBdr>
        <w:top w:val="none" w:sz="0" w:space="0" w:color="auto"/>
        <w:left w:val="none" w:sz="0" w:space="0" w:color="auto"/>
        <w:bottom w:val="none" w:sz="0" w:space="0" w:color="auto"/>
        <w:right w:val="none" w:sz="0" w:space="0" w:color="auto"/>
      </w:divBdr>
    </w:div>
    <w:div w:id="1461068054">
      <w:bodyDiv w:val="1"/>
      <w:marLeft w:val="0"/>
      <w:marRight w:val="0"/>
      <w:marTop w:val="0"/>
      <w:marBottom w:val="0"/>
      <w:divBdr>
        <w:top w:val="none" w:sz="0" w:space="0" w:color="auto"/>
        <w:left w:val="none" w:sz="0" w:space="0" w:color="auto"/>
        <w:bottom w:val="none" w:sz="0" w:space="0" w:color="auto"/>
        <w:right w:val="none" w:sz="0" w:space="0" w:color="auto"/>
      </w:divBdr>
    </w:div>
    <w:div w:id="2015716834">
      <w:bodyDiv w:val="1"/>
      <w:marLeft w:val="0"/>
      <w:marRight w:val="0"/>
      <w:marTop w:val="0"/>
      <w:marBottom w:val="0"/>
      <w:divBdr>
        <w:top w:val="none" w:sz="0" w:space="0" w:color="auto"/>
        <w:left w:val="none" w:sz="0" w:space="0" w:color="auto"/>
        <w:bottom w:val="none" w:sz="0" w:space="0" w:color="auto"/>
        <w:right w:val="none" w:sz="0" w:space="0" w:color="auto"/>
      </w:divBdr>
    </w:div>
    <w:div w:id="20271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usyd.edu.au/about/publications/annual_report/2008/sustainable_annual_report_2008.pdf"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heef.deewr.gov.au/E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unstats.un.org/unsd/envAccounting/seea2003.pdf"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isa.org.usyd.edu.au/research/InformationSheets/ISATBLInfo6_v1.pdf" TargetMode="External"/><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hyperlink" Target="http://www.isa.org.usyd.edu.au"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3790D"/>
    <w:rsid w:val="001205C7"/>
    <w:rsid w:val="0063790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5C7"/>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B60E5-D12D-4CF4-B68F-9EA7717E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31</Pages>
  <Words>13222</Words>
  <Characters>73388</Characters>
  <Application>Microsoft Office Word</Application>
  <DocSecurity>0</DocSecurity>
  <Lines>2621</Lines>
  <Paragraphs>1170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81</cp:revision>
  <dcterms:created xsi:type="dcterms:W3CDTF">2009-12-08T11:05:00Z</dcterms:created>
  <dcterms:modified xsi:type="dcterms:W3CDTF">2010-01-24T13:16:00Z</dcterms:modified>
</cp:coreProperties>
</file>