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92D" w:rsidRPr="00F05BED" w:rsidRDefault="004F6D2E" w:rsidP="00F05BED">
      <w:pPr>
        <w:spacing w:line="320" w:lineRule="atLeast"/>
        <w:jc w:val="center"/>
        <w:rPr>
          <w:rStyle w:val="Strong"/>
          <w:sz w:val="22"/>
          <w:szCs w:val="22"/>
        </w:rPr>
      </w:pPr>
      <w:r w:rsidRPr="00F05BED">
        <w:rPr>
          <w:rStyle w:val="Strong"/>
          <w:sz w:val="22"/>
          <w:szCs w:val="22"/>
        </w:rPr>
        <w:t>Contribution of t</w:t>
      </w:r>
      <w:r w:rsidR="004C192D" w:rsidRPr="00F05BED">
        <w:rPr>
          <w:rStyle w:val="Strong"/>
          <w:sz w:val="22"/>
          <w:szCs w:val="22"/>
        </w:rPr>
        <w:t xml:space="preserve">ransport </w:t>
      </w:r>
      <w:r w:rsidR="00774721" w:rsidRPr="00F05BED">
        <w:rPr>
          <w:rStyle w:val="Strong"/>
          <w:sz w:val="22"/>
          <w:szCs w:val="22"/>
        </w:rPr>
        <w:t>p</w:t>
      </w:r>
      <w:r w:rsidR="004C192D" w:rsidRPr="00F05BED">
        <w:rPr>
          <w:rStyle w:val="Strong"/>
          <w:sz w:val="22"/>
          <w:szCs w:val="22"/>
        </w:rPr>
        <w:t>roductivity</w:t>
      </w:r>
      <w:r w:rsidRPr="00F05BED">
        <w:rPr>
          <w:rStyle w:val="Strong"/>
          <w:sz w:val="22"/>
          <w:szCs w:val="22"/>
        </w:rPr>
        <w:t xml:space="preserve"> to economic growth in New Zealand</w:t>
      </w:r>
    </w:p>
    <w:p w:rsidR="00F52F2F" w:rsidRPr="00F05BED" w:rsidRDefault="00F52F2F" w:rsidP="00F05BED">
      <w:pPr>
        <w:spacing w:line="320" w:lineRule="atLeast"/>
        <w:jc w:val="center"/>
        <w:rPr>
          <w:b/>
          <w:sz w:val="22"/>
          <w:szCs w:val="22"/>
        </w:rPr>
      </w:pPr>
    </w:p>
    <w:p w:rsidR="00C10AC5" w:rsidRPr="00F05BED" w:rsidRDefault="00C10AC5" w:rsidP="00F05BED">
      <w:pPr>
        <w:spacing w:line="320" w:lineRule="atLeast"/>
        <w:jc w:val="center"/>
        <w:rPr>
          <w:sz w:val="22"/>
          <w:szCs w:val="22"/>
        </w:rPr>
      </w:pPr>
      <w:r w:rsidRPr="00F05BED">
        <w:rPr>
          <w:sz w:val="22"/>
          <w:szCs w:val="22"/>
        </w:rPr>
        <w:t xml:space="preserve">Tantri Tantirigama </w:t>
      </w:r>
      <w:r w:rsidR="00A466CA">
        <w:rPr>
          <w:sz w:val="22"/>
          <w:szCs w:val="22"/>
        </w:rPr>
        <w:t>and</w:t>
      </w:r>
      <w:r w:rsidR="00A466CA" w:rsidRPr="00F05BED">
        <w:rPr>
          <w:sz w:val="22"/>
          <w:szCs w:val="22"/>
        </w:rPr>
        <w:t xml:space="preserve"> </w:t>
      </w:r>
      <w:r w:rsidRPr="00F05BED">
        <w:rPr>
          <w:sz w:val="22"/>
          <w:szCs w:val="22"/>
        </w:rPr>
        <w:t>Joanne Leung</w:t>
      </w:r>
    </w:p>
    <w:p w:rsidR="00C10AC5" w:rsidRPr="00F05BED" w:rsidRDefault="00C10AC5" w:rsidP="00F05BED">
      <w:pPr>
        <w:spacing w:line="320" w:lineRule="atLeast"/>
        <w:jc w:val="center"/>
        <w:rPr>
          <w:sz w:val="22"/>
          <w:szCs w:val="22"/>
        </w:rPr>
      </w:pPr>
      <w:r w:rsidRPr="00F05BED">
        <w:rPr>
          <w:sz w:val="22"/>
          <w:szCs w:val="22"/>
        </w:rPr>
        <w:t>Ministry of Transport, New Zealand</w:t>
      </w:r>
    </w:p>
    <w:p w:rsidR="000B34A2" w:rsidRPr="00F05BED" w:rsidRDefault="000B34A2" w:rsidP="00F05BED">
      <w:pPr>
        <w:spacing w:line="320" w:lineRule="atLeast"/>
        <w:jc w:val="center"/>
        <w:rPr>
          <w:b/>
          <w:sz w:val="22"/>
          <w:szCs w:val="22"/>
        </w:rPr>
      </w:pPr>
    </w:p>
    <w:p w:rsidR="007F329B" w:rsidRPr="00F05BED" w:rsidRDefault="007F329B" w:rsidP="00F05BED">
      <w:pPr>
        <w:spacing w:line="320" w:lineRule="atLeast"/>
        <w:jc w:val="center"/>
        <w:rPr>
          <w:b/>
          <w:sz w:val="26"/>
          <w:szCs w:val="26"/>
        </w:rPr>
      </w:pPr>
      <w:r w:rsidRPr="00F05BED">
        <w:rPr>
          <w:b/>
          <w:sz w:val="26"/>
          <w:szCs w:val="26"/>
        </w:rPr>
        <w:t>Abstract</w:t>
      </w:r>
    </w:p>
    <w:p w:rsidR="00F52F2F" w:rsidRPr="00F05BED" w:rsidRDefault="00F52F2F" w:rsidP="00F05BED">
      <w:pPr>
        <w:spacing w:line="320" w:lineRule="atLeast"/>
        <w:rPr>
          <w:sz w:val="22"/>
          <w:szCs w:val="22"/>
        </w:rPr>
      </w:pPr>
    </w:p>
    <w:p w:rsidR="007F329B" w:rsidRPr="00F05BED" w:rsidRDefault="007F329B" w:rsidP="00F05BED">
      <w:pPr>
        <w:spacing w:line="320" w:lineRule="atLeast"/>
        <w:rPr>
          <w:sz w:val="22"/>
          <w:szCs w:val="22"/>
        </w:rPr>
      </w:pPr>
      <w:r w:rsidRPr="00F05BED">
        <w:rPr>
          <w:sz w:val="22"/>
          <w:szCs w:val="22"/>
        </w:rPr>
        <w:t>In response to the recent economic recession, governments worldwide have been using infrastructure as a means to accelerate the rate of economic growth. The key question is: how much do transport and transport infrastructure contribute to the growth of the economy? While there are many economic analyses on the economic benefits from specific infrastructure investment projects, these analyses seldom look at the overall effects from a national perspective. The purpose of this paper is to gain a better understanding of the economic impacts of transport and transport infrastructure in New Zealand using: (a) input-output approach</w:t>
      </w:r>
      <w:r w:rsidR="006C3CBB">
        <w:rPr>
          <w:sz w:val="22"/>
          <w:szCs w:val="22"/>
        </w:rPr>
        <w:t>es</w:t>
      </w:r>
      <w:r w:rsidRPr="00F05BED">
        <w:rPr>
          <w:sz w:val="22"/>
          <w:szCs w:val="22"/>
        </w:rPr>
        <w:t xml:space="preserve">; and (b) a </w:t>
      </w:r>
      <w:r w:rsidR="008D48E6" w:rsidRPr="00F05BED">
        <w:rPr>
          <w:sz w:val="22"/>
          <w:szCs w:val="22"/>
        </w:rPr>
        <w:t xml:space="preserve">time series </w:t>
      </w:r>
      <w:r w:rsidR="006C3CBB">
        <w:rPr>
          <w:sz w:val="22"/>
          <w:szCs w:val="22"/>
        </w:rPr>
        <w:t>analysis</w:t>
      </w:r>
      <w:r w:rsidRPr="00F05BED">
        <w:rPr>
          <w:sz w:val="22"/>
          <w:szCs w:val="22"/>
        </w:rPr>
        <w:t xml:space="preserve">. </w:t>
      </w:r>
    </w:p>
    <w:p w:rsidR="007F329B" w:rsidRPr="00F05BED" w:rsidRDefault="007F329B" w:rsidP="00F05BED">
      <w:pPr>
        <w:spacing w:line="320" w:lineRule="atLeast"/>
        <w:rPr>
          <w:sz w:val="22"/>
          <w:szCs w:val="22"/>
        </w:rPr>
      </w:pPr>
    </w:p>
    <w:p w:rsidR="004705FB" w:rsidRPr="00F05BED" w:rsidRDefault="007F329B" w:rsidP="004705FB">
      <w:pPr>
        <w:spacing w:line="320" w:lineRule="atLeast"/>
        <w:rPr>
          <w:rFonts w:cs="Arial"/>
          <w:sz w:val="22"/>
          <w:szCs w:val="22"/>
          <w:lang w:eastAsia="en-NZ"/>
        </w:rPr>
      </w:pPr>
      <w:r w:rsidRPr="004705FB">
        <w:rPr>
          <w:sz w:val="22"/>
          <w:szCs w:val="22"/>
        </w:rPr>
        <w:t>The first part of th</w:t>
      </w:r>
      <w:r w:rsidR="00C158C4" w:rsidRPr="004705FB">
        <w:rPr>
          <w:sz w:val="22"/>
          <w:szCs w:val="22"/>
        </w:rPr>
        <w:t>e</w:t>
      </w:r>
      <w:r w:rsidRPr="004705FB">
        <w:rPr>
          <w:sz w:val="22"/>
          <w:szCs w:val="22"/>
        </w:rPr>
        <w:t xml:space="preserve"> paper utilise</w:t>
      </w:r>
      <w:r w:rsidR="008D48E6" w:rsidRPr="004705FB">
        <w:rPr>
          <w:sz w:val="22"/>
          <w:szCs w:val="22"/>
        </w:rPr>
        <w:t>s</w:t>
      </w:r>
      <w:r w:rsidRPr="004705FB">
        <w:rPr>
          <w:sz w:val="22"/>
          <w:szCs w:val="22"/>
        </w:rPr>
        <w:t xml:space="preserve"> the </w:t>
      </w:r>
      <w:r w:rsidR="00A466CA">
        <w:rPr>
          <w:sz w:val="22"/>
          <w:szCs w:val="22"/>
        </w:rPr>
        <w:t>i</w:t>
      </w:r>
      <w:r w:rsidR="00A466CA" w:rsidRPr="004705FB">
        <w:rPr>
          <w:sz w:val="22"/>
          <w:szCs w:val="22"/>
        </w:rPr>
        <w:t>nput</w:t>
      </w:r>
      <w:r w:rsidRPr="004705FB">
        <w:rPr>
          <w:sz w:val="22"/>
          <w:szCs w:val="22"/>
        </w:rPr>
        <w:t>-</w:t>
      </w:r>
      <w:r w:rsidR="00A466CA">
        <w:rPr>
          <w:sz w:val="22"/>
          <w:szCs w:val="22"/>
        </w:rPr>
        <w:t>o</w:t>
      </w:r>
      <w:r w:rsidR="00A466CA" w:rsidRPr="004705FB">
        <w:rPr>
          <w:sz w:val="22"/>
          <w:szCs w:val="22"/>
        </w:rPr>
        <w:t xml:space="preserve">utput </w:t>
      </w:r>
      <w:r w:rsidRPr="004705FB">
        <w:rPr>
          <w:sz w:val="22"/>
          <w:szCs w:val="22"/>
        </w:rPr>
        <w:t xml:space="preserve">tables for 1996, 2003 and 2007 to estimate the multi-factor productivity (MFP) for the transport </w:t>
      </w:r>
      <w:r w:rsidR="00A24058">
        <w:rPr>
          <w:sz w:val="22"/>
          <w:szCs w:val="22"/>
        </w:rPr>
        <w:t xml:space="preserve">industry </w:t>
      </w:r>
      <w:r w:rsidRPr="004705FB">
        <w:rPr>
          <w:sz w:val="22"/>
          <w:szCs w:val="22"/>
        </w:rPr>
        <w:t xml:space="preserve">at a disaggregated level, using both a gross output-based MFP measure and a </w:t>
      </w:r>
      <w:r w:rsidR="00461DA9" w:rsidRPr="004705FB">
        <w:rPr>
          <w:sz w:val="22"/>
          <w:szCs w:val="22"/>
        </w:rPr>
        <w:t>value-added</w:t>
      </w:r>
      <w:r w:rsidRPr="004705FB">
        <w:rPr>
          <w:sz w:val="22"/>
          <w:szCs w:val="22"/>
        </w:rPr>
        <w:t xml:space="preserve">-based MFP measure. </w:t>
      </w:r>
      <w:r w:rsidR="004705FB">
        <w:rPr>
          <w:sz w:val="22"/>
          <w:szCs w:val="22"/>
        </w:rPr>
        <w:t xml:space="preserve">Our analysis found that the transport </w:t>
      </w:r>
      <w:r w:rsidR="00A24058">
        <w:rPr>
          <w:sz w:val="22"/>
          <w:szCs w:val="22"/>
        </w:rPr>
        <w:t xml:space="preserve">industry </w:t>
      </w:r>
      <w:r w:rsidR="004705FB">
        <w:rPr>
          <w:sz w:val="22"/>
          <w:szCs w:val="22"/>
        </w:rPr>
        <w:t>as a whole displayed productivity gains over the periods from 1996 to 2003 and to 2007. ‘</w:t>
      </w:r>
      <w:r w:rsidR="00657BC2">
        <w:rPr>
          <w:sz w:val="22"/>
          <w:szCs w:val="22"/>
        </w:rPr>
        <w:t>W</w:t>
      </w:r>
      <w:r w:rsidR="004705FB" w:rsidRPr="00D73A09">
        <w:rPr>
          <w:rFonts w:cs="Arial"/>
          <w:sz w:val="22"/>
          <w:szCs w:val="22"/>
          <w:lang w:eastAsia="en-NZ"/>
        </w:rPr>
        <w:t xml:space="preserve">ater </w:t>
      </w:r>
      <w:r w:rsidR="004705FB">
        <w:rPr>
          <w:rFonts w:cs="Arial"/>
          <w:sz w:val="22"/>
          <w:szCs w:val="22"/>
          <w:lang w:eastAsia="en-NZ"/>
        </w:rPr>
        <w:t>and</w:t>
      </w:r>
      <w:r w:rsidR="004705FB" w:rsidRPr="00D73A09">
        <w:rPr>
          <w:rFonts w:cs="Arial"/>
          <w:sz w:val="22"/>
          <w:szCs w:val="22"/>
          <w:lang w:eastAsia="en-NZ"/>
        </w:rPr>
        <w:t xml:space="preserve"> air transport</w:t>
      </w:r>
      <w:r w:rsidR="004705FB">
        <w:rPr>
          <w:rFonts w:cs="Arial"/>
          <w:sz w:val="22"/>
          <w:szCs w:val="22"/>
          <w:lang w:eastAsia="en-NZ"/>
        </w:rPr>
        <w:t>’</w:t>
      </w:r>
      <w:r w:rsidR="004705FB" w:rsidRPr="00D73A09">
        <w:rPr>
          <w:rFonts w:cs="Arial"/>
          <w:sz w:val="22"/>
          <w:szCs w:val="22"/>
          <w:lang w:eastAsia="en-NZ"/>
        </w:rPr>
        <w:t xml:space="preserve"> sub-</w:t>
      </w:r>
      <w:r w:rsidR="004705FB">
        <w:rPr>
          <w:rFonts w:cs="Arial"/>
          <w:sz w:val="22"/>
          <w:szCs w:val="22"/>
          <w:lang w:eastAsia="en-NZ"/>
        </w:rPr>
        <w:t>group</w:t>
      </w:r>
      <w:r w:rsidR="004705FB" w:rsidRPr="00D73A09">
        <w:rPr>
          <w:rFonts w:cs="Arial"/>
          <w:sz w:val="22"/>
          <w:szCs w:val="22"/>
          <w:lang w:eastAsia="en-NZ"/>
        </w:rPr>
        <w:t xml:space="preserve"> shows the highest productivity gains from 2003 to 2007</w:t>
      </w:r>
      <w:r w:rsidR="004705FB">
        <w:rPr>
          <w:rFonts w:cs="Arial"/>
          <w:sz w:val="22"/>
          <w:szCs w:val="22"/>
          <w:lang w:eastAsia="en-NZ"/>
        </w:rPr>
        <w:t xml:space="preserve">.  Efficient use of labour inputs has been </w:t>
      </w:r>
      <w:r w:rsidR="00717DA6">
        <w:rPr>
          <w:rFonts w:cs="Arial"/>
          <w:sz w:val="22"/>
          <w:szCs w:val="22"/>
          <w:lang w:eastAsia="en-NZ"/>
        </w:rPr>
        <w:t>a major</w:t>
      </w:r>
      <w:r w:rsidR="00A24058">
        <w:rPr>
          <w:rFonts w:cs="Arial"/>
          <w:sz w:val="22"/>
          <w:szCs w:val="22"/>
          <w:lang w:eastAsia="en-NZ"/>
        </w:rPr>
        <w:t xml:space="preserve"> driver </w:t>
      </w:r>
      <w:r w:rsidR="004705FB">
        <w:rPr>
          <w:rFonts w:cs="Arial"/>
          <w:sz w:val="22"/>
          <w:szCs w:val="22"/>
          <w:lang w:eastAsia="en-NZ"/>
        </w:rPr>
        <w:t>f</w:t>
      </w:r>
      <w:r w:rsidR="00A24058">
        <w:rPr>
          <w:rFonts w:cs="Arial"/>
          <w:sz w:val="22"/>
          <w:szCs w:val="22"/>
          <w:lang w:eastAsia="en-NZ"/>
        </w:rPr>
        <w:t>or</w:t>
      </w:r>
      <w:r w:rsidR="004705FB">
        <w:rPr>
          <w:rFonts w:cs="Arial"/>
          <w:sz w:val="22"/>
          <w:szCs w:val="22"/>
          <w:lang w:eastAsia="en-NZ"/>
        </w:rPr>
        <w:t xml:space="preserve"> </w:t>
      </w:r>
      <w:r w:rsidR="00A21B24">
        <w:rPr>
          <w:rFonts w:cs="Arial"/>
          <w:sz w:val="22"/>
          <w:szCs w:val="22"/>
          <w:lang w:eastAsia="en-NZ"/>
        </w:rPr>
        <w:t xml:space="preserve">the </w:t>
      </w:r>
      <w:r w:rsidR="00717DA6">
        <w:rPr>
          <w:rFonts w:cs="Arial"/>
          <w:sz w:val="22"/>
          <w:szCs w:val="22"/>
          <w:lang w:eastAsia="en-NZ"/>
        </w:rPr>
        <w:t xml:space="preserve">estimated </w:t>
      </w:r>
      <w:r w:rsidR="004705FB">
        <w:rPr>
          <w:rFonts w:cs="Arial"/>
          <w:sz w:val="22"/>
          <w:szCs w:val="22"/>
          <w:lang w:eastAsia="en-NZ"/>
        </w:rPr>
        <w:t>improvement</w:t>
      </w:r>
      <w:r w:rsidR="00717DA6">
        <w:rPr>
          <w:rFonts w:cs="Arial"/>
          <w:sz w:val="22"/>
          <w:szCs w:val="22"/>
          <w:lang w:eastAsia="en-NZ"/>
        </w:rPr>
        <w:t>s</w:t>
      </w:r>
      <w:r w:rsidR="004705FB">
        <w:rPr>
          <w:rFonts w:cs="Arial"/>
          <w:sz w:val="22"/>
          <w:szCs w:val="22"/>
          <w:lang w:eastAsia="en-NZ"/>
        </w:rPr>
        <w:t xml:space="preserve"> for </w:t>
      </w:r>
      <w:r w:rsidR="00717DA6">
        <w:rPr>
          <w:rFonts w:cs="Arial"/>
          <w:sz w:val="22"/>
          <w:szCs w:val="22"/>
          <w:lang w:eastAsia="en-NZ"/>
        </w:rPr>
        <w:t xml:space="preserve">the transport </w:t>
      </w:r>
      <w:r w:rsidR="00A24058">
        <w:rPr>
          <w:rFonts w:cs="Arial"/>
          <w:sz w:val="22"/>
          <w:szCs w:val="22"/>
          <w:lang w:eastAsia="en-NZ"/>
        </w:rPr>
        <w:t>industry</w:t>
      </w:r>
      <w:r w:rsidR="00717DA6">
        <w:rPr>
          <w:rFonts w:cs="Arial"/>
          <w:sz w:val="22"/>
          <w:szCs w:val="22"/>
          <w:lang w:eastAsia="en-NZ"/>
        </w:rPr>
        <w:t xml:space="preserve"> as a whole and for </w:t>
      </w:r>
      <w:r w:rsidR="00A24058">
        <w:rPr>
          <w:rFonts w:cs="Arial"/>
          <w:sz w:val="22"/>
          <w:szCs w:val="22"/>
          <w:lang w:eastAsia="en-NZ"/>
        </w:rPr>
        <w:t xml:space="preserve">its industry </w:t>
      </w:r>
      <w:r w:rsidR="004705FB">
        <w:rPr>
          <w:rFonts w:cs="Arial"/>
          <w:sz w:val="22"/>
          <w:szCs w:val="22"/>
          <w:lang w:eastAsia="en-NZ"/>
        </w:rPr>
        <w:t>sub-</w:t>
      </w:r>
      <w:r w:rsidR="00A24058">
        <w:rPr>
          <w:rFonts w:cs="Arial"/>
          <w:sz w:val="22"/>
          <w:szCs w:val="22"/>
          <w:lang w:eastAsia="en-NZ"/>
        </w:rPr>
        <w:t>groups</w:t>
      </w:r>
      <w:r w:rsidR="004705FB">
        <w:rPr>
          <w:rFonts w:cs="Arial"/>
          <w:sz w:val="22"/>
          <w:szCs w:val="22"/>
          <w:lang w:eastAsia="en-NZ"/>
        </w:rPr>
        <w:t xml:space="preserve">. </w:t>
      </w:r>
    </w:p>
    <w:p w:rsidR="004705FB" w:rsidRDefault="004705FB" w:rsidP="004705FB">
      <w:pPr>
        <w:autoSpaceDE w:val="0"/>
        <w:autoSpaceDN w:val="0"/>
        <w:adjustRightInd w:val="0"/>
        <w:spacing w:line="320" w:lineRule="atLeast"/>
        <w:rPr>
          <w:rFonts w:cs="Arial"/>
          <w:sz w:val="22"/>
          <w:szCs w:val="22"/>
          <w:lang w:eastAsia="en-NZ"/>
        </w:rPr>
      </w:pPr>
    </w:p>
    <w:p w:rsidR="004705FB" w:rsidRDefault="00717DA6" w:rsidP="004705FB">
      <w:pPr>
        <w:autoSpaceDE w:val="0"/>
        <w:autoSpaceDN w:val="0"/>
        <w:adjustRightInd w:val="0"/>
        <w:spacing w:line="320" w:lineRule="atLeast"/>
        <w:rPr>
          <w:rFonts w:cs="Arial"/>
          <w:sz w:val="22"/>
          <w:szCs w:val="22"/>
          <w:lang w:eastAsia="en-NZ"/>
        </w:rPr>
      </w:pPr>
      <w:r w:rsidRPr="004705FB">
        <w:rPr>
          <w:sz w:val="22"/>
          <w:szCs w:val="22"/>
        </w:rPr>
        <w:t>The second part of the paper attempts to separately ide</w:t>
      </w:r>
      <w:r>
        <w:rPr>
          <w:sz w:val="22"/>
          <w:szCs w:val="22"/>
        </w:rPr>
        <w:t>ntify the relative contribution</w:t>
      </w:r>
      <w:r w:rsidRPr="004705FB">
        <w:rPr>
          <w:sz w:val="22"/>
          <w:szCs w:val="22"/>
        </w:rPr>
        <w:t xml:space="preserve"> from </w:t>
      </w:r>
      <w:r>
        <w:rPr>
          <w:sz w:val="22"/>
          <w:szCs w:val="22"/>
        </w:rPr>
        <w:t xml:space="preserve">productive </w:t>
      </w:r>
      <w:r w:rsidRPr="004705FB">
        <w:rPr>
          <w:sz w:val="22"/>
          <w:szCs w:val="22"/>
        </w:rPr>
        <w:t xml:space="preserve">road </w:t>
      </w:r>
      <w:r>
        <w:rPr>
          <w:sz w:val="22"/>
          <w:szCs w:val="22"/>
        </w:rPr>
        <w:t xml:space="preserve">infrastructure capital stock </w:t>
      </w:r>
      <w:r w:rsidRPr="004705FB">
        <w:rPr>
          <w:sz w:val="22"/>
          <w:szCs w:val="22"/>
        </w:rPr>
        <w:t>to economic growth. The econometric analysis is carried out using data from 1972 to 2009.</w:t>
      </w:r>
      <w:r>
        <w:rPr>
          <w:sz w:val="22"/>
          <w:szCs w:val="22"/>
        </w:rPr>
        <w:t xml:space="preserve"> </w:t>
      </w:r>
      <w:r w:rsidR="004705FB">
        <w:rPr>
          <w:rFonts w:cs="Arial"/>
          <w:sz w:val="22"/>
          <w:szCs w:val="22"/>
          <w:lang w:eastAsia="en-NZ"/>
        </w:rPr>
        <w:t xml:space="preserve">Our analysis found </w:t>
      </w:r>
      <w:r w:rsidR="005428D8">
        <w:rPr>
          <w:rFonts w:cs="Arial"/>
          <w:sz w:val="22"/>
          <w:szCs w:val="22"/>
          <w:lang w:eastAsia="en-NZ"/>
        </w:rPr>
        <w:t xml:space="preserve">that </w:t>
      </w:r>
      <w:r w:rsidR="004705FB">
        <w:rPr>
          <w:rFonts w:cs="Arial"/>
          <w:sz w:val="22"/>
          <w:szCs w:val="22"/>
          <w:lang w:eastAsia="en-NZ"/>
        </w:rPr>
        <w:t xml:space="preserve">increase in </w:t>
      </w:r>
      <w:r w:rsidR="005428D8">
        <w:rPr>
          <w:rFonts w:cs="Arial"/>
          <w:sz w:val="22"/>
          <w:szCs w:val="22"/>
          <w:lang w:eastAsia="en-NZ"/>
        </w:rPr>
        <w:t xml:space="preserve">net </w:t>
      </w:r>
      <w:r w:rsidR="004705FB">
        <w:rPr>
          <w:rFonts w:cs="Arial"/>
          <w:sz w:val="22"/>
          <w:szCs w:val="22"/>
          <w:lang w:eastAsia="en-NZ"/>
        </w:rPr>
        <w:t xml:space="preserve">productive road </w:t>
      </w:r>
      <w:r>
        <w:rPr>
          <w:rFonts w:cs="Arial"/>
          <w:sz w:val="22"/>
          <w:szCs w:val="22"/>
          <w:lang w:eastAsia="en-NZ"/>
        </w:rPr>
        <w:t xml:space="preserve">infrastructure capital </w:t>
      </w:r>
      <w:r w:rsidR="004705FB">
        <w:rPr>
          <w:rFonts w:cs="Arial"/>
          <w:sz w:val="22"/>
          <w:szCs w:val="22"/>
          <w:lang w:eastAsia="en-NZ"/>
        </w:rPr>
        <w:t xml:space="preserve">stock can enhance </w:t>
      </w:r>
      <w:r w:rsidR="00CB37C1">
        <w:rPr>
          <w:rFonts w:cs="Arial"/>
          <w:sz w:val="22"/>
          <w:szCs w:val="22"/>
          <w:lang w:eastAsia="en-NZ"/>
        </w:rPr>
        <w:t xml:space="preserve">New Zealand </w:t>
      </w:r>
      <w:r w:rsidR="004705FB">
        <w:rPr>
          <w:rFonts w:cs="Arial"/>
          <w:sz w:val="22"/>
          <w:szCs w:val="22"/>
          <w:lang w:eastAsia="en-NZ"/>
        </w:rPr>
        <w:t>G</w:t>
      </w:r>
      <w:r w:rsidR="00CB37C1">
        <w:rPr>
          <w:rFonts w:cs="Arial"/>
          <w:sz w:val="22"/>
          <w:szCs w:val="22"/>
          <w:lang w:eastAsia="en-NZ"/>
        </w:rPr>
        <w:t xml:space="preserve">ross </w:t>
      </w:r>
      <w:r w:rsidR="004705FB">
        <w:rPr>
          <w:rFonts w:cs="Arial"/>
          <w:sz w:val="22"/>
          <w:szCs w:val="22"/>
          <w:lang w:eastAsia="en-NZ"/>
        </w:rPr>
        <w:t>D</w:t>
      </w:r>
      <w:r w:rsidR="00CB37C1">
        <w:rPr>
          <w:rFonts w:cs="Arial"/>
          <w:sz w:val="22"/>
          <w:szCs w:val="22"/>
          <w:lang w:eastAsia="en-NZ"/>
        </w:rPr>
        <w:t xml:space="preserve">omestic </w:t>
      </w:r>
      <w:r w:rsidR="004705FB">
        <w:rPr>
          <w:rFonts w:cs="Arial"/>
          <w:sz w:val="22"/>
          <w:szCs w:val="22"/>
          <w:lang w:eastAsia="en-NZ"/>
        </w:rPr>
        <w:t>P</w:t>
      </w:r>
      <w:r w:rsidR="00CB37C1">
        <w:rPr>
          <w:rFonts w:cs="Arial"/>
          <w:sz w:val="22"/>
          <w:szCs w:val="22"/>
          <w:lang w:eastAsia="en-NZ"/>
        </w:rPr>
        <w:t>roduct</w:t>
      </w:r>
      <w:r w:rsidR="004705FB">
        <w:rPr>
          <w:rFonts w:cs="Arial"/>
          <w:sz w:val="22"/>
          <w:szCs w:val="22"/>
          <w:lang w:eastAsia="en-NZ"/>
        </w:rPr>
        <w:t xml:space="preserve">. </w:t>
      </w:r>
    </w:p>
    <w:p w:rsidR="004705FB" w:rsidRPr="00F05BED" w:rsidRDefault="004705FB" w:rsidP="00F05BED">
      <w:pPr>
        <w:spacing w:line="320" w:lineRule="atLeast"/>
        <w:rPr>
          <w:sz w:val="22"/>
          <w:szCs w:val="22"/>
        </w:rPr>
      </w:pPr>
    </w:p>
    <w:p w:rsidR="000B34A2" w:rsidRPr="00F05BED" w:rsidRDefault="000B34A2" w:rsidP="00F05BED">
      <w:pPr>
        <w:spacing w:line="320" w:lineRule="atLeast"/>
        <w:rPr>
          <w:sz w:val="22"/>
          <w:szCs w:val="22"/>
        </w:rPr>
      </w:pPr>
    </w:p>
    <w:p w:rsidR="007F329B" w:rsidRPr="00F05BED" w:rsidRDefault="007F329B" w:rsidP="00F05BED">
      <w:pPr>
        <w:spacing w:line="320" w:lineRule="atLeast"/>
        <w:rPr>
          <w:b/>
          <w:sz w:val="22"/>
          <w:szCs w:val="22"/>
          <w:lang w:eastAsia="en-NZ"/>
        </w:rPr>
      </w:pPr>
      <w:r w:rsidRPr="00F05BED">
        <w:rPr>
          <w:sz w:val="22"/>
          <w:szCs w:val="22"/>
        </w:rPr>
        <w:t>Key words: Transport</w:t>
      </w:r>
      <w:r w:rsidR="00BA270F">
        <w:rPr>
          <w:sz w:val="22"/>
          <w:szCs w:val="22"/>
        </w:rPr>
        <w:t xml:space="preserve"> and economic growth</w:t>
      </w:r>
      <w:r w:rsidR="00657BC2">
        <w:rPr>
          <w:sz w:val="22"/>
          <w:szCs w:val="22"/>
        </w:rPr>
        <w:t>,</w:t>
      </w:r>
      <w:r w:rsidRPr="00F05BED">
        <w:rPr>
          <w:sz w:val="22"/>
          <w:szCs w:val="22"/>
        </w:rPr>
        <w:t xml:space="preserve"> </w:t>
      </w:r>
      <w:r w:rsidR="00657BC2">
        <w:rPr>
          <w:sz w:val="22"/>
          <w:szCs w:val="22"/>
        </w:rPr>
        <w:t xml:space="preserve">multi-factor </w:t>
      </w:r>
      <w:r w:rsidRPr="00F05BED">
        <w:rPr>
          <w:sz w:val="22"/>
          <w:szCs w:val="22"/>
        </w:rPr>
        <w:t>productivity, Economic impacts of road infrastructure</w:t>
      </w:r>
      <w:r w:rsidRPr="00F05BED">
        <w:rPr>
          <w:sz w:val="22"/>
          <w:szCs w:val="22"/>
          <w:lang w:eastAsia="en-NZ"/>
        </w:rPr>
        <w:br w:type="page"/>
      </w:r>
    </w:p>
    <w:p w:rsidR="000F3D27" w:rsidRPr="00F05BED" w:rsidRDefault="00F05BED" w:rsidP="00F05BED">
      <w:pPr>
        <w:pStyle w:val="Heading2"/>
        <w:spacing w:before="0" w:after="0" w:line="320" w:lineRule="atLeast"/>
        <w:rPr>
          <w:sz w:val="26"/>
          <w:szCs w:val="26"/>
          <w:lang w:eastAsia="en-NZ"/>
        </w:rPr>
      </w:pPr>
      <w:r>
        <w:rPr>
          <w:sz w:val="26"/>
          <w:szCs w:val="26"/>
          <w:lang w:eastAsia="en-NZ"/>
        </w:rPr>
        <w:lastRenderedPageBreak/>
        <w:t>1</w:t>
      </w:r>
      <w:r>
        <w:rPr>
          <w:sz w:val="26"/>
          <w:szCs w:val="26"/>
          <w:lang w:eastAsia="en-NZ"/>
        </w:rPr>
        <w:tab/>
      </w:r>
      <w:r w:rsidR="000F3D27" w:rsidRPr="00F05BED">
        <w:rPr>
          <w:sz w:val="26"/>
          <w:szCs w:val="26"/>
          <w:lang w:eastAsia="en-NZ"/>
        </w:rPr>
        <w:t>Introduction</w:t>
      </w:r>
    </w:p>
    <w:p w:rsidR="00806D6B" w:rsidRPr="00F05BED" w:rsidRDefault="00F04732" w:rsidP="00F05BED">
      <w:pPr>
        <w:autoSpaceDE w:val="0"/>
        <w:autoSpaceDN w:val="0"/>
        <w:adjustRightInd w:val="0"/>
        <w:spacing w:line="320" w:lineRule="atLeast"/>
        <w:rPr>
          <w:rFonts w:cs="Arial"/>
          <w:sz w:val="22"/>
          <w:szCs w:val="22"/>
          <w:lang w:eastAsia="en-NZ"/>
        </w:rPr>
      </w:pPr>
      <w:r w:rsidRPr="00F05BED">
        <w:rPr>
          <w:rFonts w:cs="Arial"/>
          <w:sz w:val="22"/>
          <w:szCs w:val="22"/>
          <w:lang w:eastAsia="en-NZ"/>
        </w:rPr>
        <w:t>New Zealand</w:t>
      </w:r>
      <w:r w:rsidR="00AA2CEA" w:rsidRPr="00F05BED">
        <w:rPr>
          <w:rFonts w:cs="Arial"/>
          <w:sz w:val="22"/>
          <w:szCs w:val="22"/>
          <w:lang w:eastAsia="en-NZ"/>
        </w:rPr>
        <w:t>’s</w:t>
      </w:r>
      <w:r w:rsidRPr="00F05BED">
        <w:rPr>
          <w:rFonts w:cs="Arial"/>
          <w:sz w:val="22"/>
          <w:szCs w:val="22"/>
          <w:lang w:eastAsia="en-NZ"/>
        </w:rPr>
        <w:t xml:space="preserve"> </w:t>
      </w:r>
      <w:r w:rsidR="004705FB">
        <w:rPr>
          <w:rFonts w:cs="Arial"/>
          <w:sz w:val="22"/>
          <w:szCs w:val="22"/>
          <w:lang w:eastAsia="en-NZ"/>
        </w:rPr>
        <w:t>‘</w:t>
      </w:r>
      <w:r w:rsidR="00A466CA">
        <w:rPr>
          <w:rFonts w:cs="Arial"/>
          <w:sz w:val="22"/>
          <w:szCs w:val="22"/>
          <w:lang w:eastAsia="en-NZ"/>
        </w:rPr>
        <w:t>t</w:t>
      </w:r>
      <w:r w:rsidR="00A466CA" w:rsidRPr="00F05BED">
        <w:rPr>
          <w:rFonts w:cs="Arial"/>
          <w:sz w:val="22"/>
          <w:szCs w:val="22"/>
          <w:lang w:eastAsia="en-NZ"/>
        </w:rPr>
        <w:t xml:space="preserve">ransport </w:t>
      </w:r>
      <w:r w:rsidR="00AA2CEA" w:rsidRPr="00F05BED">
        <w:rPr>
          <w:rFonts w:cs="Arial"/>
          <w:sz w:val="22"/>
          <w:szCs w:val="22"/>
          <w:lang w:eastAsia="en-NZ"/>
        </w:rPr>
        <w:t xml:space="preserve">and </w:t>
      </w:r>
      <w:r w:rsidR="00A466CA">
        <w:rPr>
          <w:rFonts w:cs="Arial"/>
          <w:sz w:val="22"/>
          <w:szCs w:val="22"/>
          <w:lang w:eastAsia="en-NZ"/>
        </w:rPr>
        <w:t>s</w:t>
      </w:r>
      <w:r w:rsidR="00A466CA" w:rsidRPr="00F05BED">
        <w:rPr>
          <w:rFonts w:cs="Arial"/>
          <w:sz w:val="22"/>
          <w:szCs w:val="22"/>
          <w:lang w:eastAsia="en-NZ"/>
        </w:rPr>
        <w:t>torage</w:t>
      </w:r>
      <w:r w:rsidR="00A466CA">
        <w:rPr>
          <w:rFonts w:cs="Arial"/>
          <w:sz w:val="22"/>
          <w:szCs w:val="22"/>
          <w:lang w:eastAsia="en-NZ"/>
        </w:rPr>
        <w:t>’</w:t>
      </w:r>
      <w:r w:rsidR="00A466CA" w:rsidRPr="00F05BED">
        <w:rPr>
          <w:rFonts w:cs="Arial"/>
          <w:sz w:val="22"/>
          <w:szCs w:val="22"/>
          <w:lang w:eastAsia="en-NZ"/>
        </w:rPr>
        <w:t xml:space="preserve"> </w:t>
      </w:r>
      <w:r w:rsidR="00AA2CEA" w:rsidRPr="00F05BED">
        <w:rPr>
          <w:rFonts w:cs="Arial"/>
          <w:sz w:val="22"/>
          <w:szCs w:val="22"/>
          <w:lang w:eastAsia="en-NZ"/>
        </w:rPr>
        <w:t xml:space="preserve">industry </w:t>
      </w:r>
      <w:r w:rsidRPr="00F05BED">
        <w:rPr>
          <w:rFonts w:cs="Arial"/>
          <w:sz w:val="22"/>
          <w:szCs w:val="22"/>
          <w:lang w:eastAsia="en-NZ"/>
        </w:rPr>
        <w:t>contribute</w:t>
      </w:r>
      <w:r w:rsidR="00AA2CEA" w:rsidRPr="00F05BED">
        <w:rPr>
          <w:rFonts w:cs="Arial"/>
          <w:sz w:val="22"/>
          <w:szCs w:val="22"/>
          <w:lang w:eastAsia="en-NZ"/>
        </w:rPr>
        <w:t>s</w:t>
      </w:r>
      <w:r w:rsidRPr="00F05BED">
        <w:rPr>
          <w:rFonts w:cs="Arial"/>
          <w:sz w:val="22"/>
          <w:szCs w:val="22"/>
          <w:lang w:eastAsia="en-NZ"/>
        </w:rPr>
        <w:t xml:space="preserve"> to about </w:t>
      </w:r>
      <w:r w:rsidR="00A466CA">
        <w:rPr>
          <w:rFonts w:cs="Arial"/>
          <w:sz w:val="22"/>
          <w:szCs w:val="22"/>
          <w:lang w:eastAsia="en-NZ"/>
        </w:rPr>
        <w:t>five</w:t>
      </w:r>
      <w:r w:rsidR="00A466CA" w:rsidRPr="00F05BED">
        <w:rPr>
          <w:rFonts w:cs="Arial"/>
          <w:sz w:val="22"/>
          <w:szCs w:val="22"/>
          <w:lang w:eastAsia="en-NZ"/>
        </w:rPr>
        <w:t xml:space="preserve"> </w:t>
      </w:r>
      <w:r w:rsidRPr="00F05BED">
        <w:rPr>
          <w:rFonts w:cs="Arial"/>
          <w:sz w:val="22"/>
          <w:szCs w:val="22"/>
          <w:lang w:eastAsia="en-NZ"/>
        </w:rPr>
        <w:t>percent of G</w:t>
      </w:r>
      <w:r w:rsidR="004705FB">
        <w:rPr>
          <w:rFonts w:cs="Arial"/>
          <w:sz w:val="22"/>
          <w:szCs w:val="22"/>
          <w:lang w:eastAsia="en-NZ"/>
        </w:rPr>
        <w:t xml:space="preserve">ross </w:t>
      </w:r>
      <w:r w:rsidRPr="00F05BED">
        <w:rPr>
          <w:rFonts w:cs="Arial"/>
          <w:sz w:val="22"/>
          <w:szCs w:val="22"/>
          <w:lang w:eastAsia="en-NZ"/>
        </w:rPr>
        <w:t>D</w:t>
      </w:r>
      <w:r w:rsidR="004705FB">
        <w:rPr>
          <w:rFonts w:cs="Arial"/>
          <w:sz w:val="22"/>
          <w:szCs w:val="22"/>
          <w:lang w:eastAsia="en-NZ"/>
        </w:rPr>
        <w:t xml:space="preserve">omestic </w:t>
      </w:r>
      <w:r w:rsidRPr="00F05BED">
        <w:rPr>
          <w:rFonts w:cs="Arial"/>
          <w:sz w:val="22"/>
          <w:szCs w:val="22"/>
          <w:lang w:eastAsia="en-NZ"/>
        </w:rPr>
        <w:t>P</w:t>
      </w:r>
      <w:r w:rsidR="004705FB">
        <w:rPr>
          <w:rFonts w:cs="Arial"/>
          <w:sz w:val="22"/>
          <w:szCs w:val="22"/>
          <w:lang w:eastAsia="en-NZ"/>
        </w:rPr>
        <w:t>roduct (GDP)</w:t>
      </w:r>
      <w:r w:rsidR="00A466CA">
        <w:rPr>
          <w:rFonts w:cs="Arial"/>
          <w:sz w:val="22"/>
          <w:szCs w:val="22"/>
          <w:lang w:eastAsia="en-NZ"/>
        </w:rPr>
        <w:t>,</w:t>
      </w:r>
      <w:r w:rsidR="00AA2CEA" w:rsidRPr="00F05BED">
        <w:rPr>
          <w:rFonts w:cs="Arial"/>
          <w:sz w:val="22"/>
          <w:szCs w:val="22"/>
          <w:lang w:eastAsia="en-NZ"/>
        </w:rPr>
        <w:t xml:space="preserve"> and the total </w:t>
      </w:r>
      <w:r w:rsidRPr="00F05BED">
        <w:rPr>
          <w:rFonts w:cs="Arial"/>
          <w:sz w:val="22"/>
          <w:szCs w:val="22"/>
          <w:lang w:eastAsia="en-NZ"/>
        </w:rPr>
        <w:t xml:space="preserve">employment </w:t>
      </w:r>
      <w:r w:rsidR="00AA2CEA" w:rsidRPr="00F05BED">
        <w:rPr>
          <w:rFonts w:cs="Arial"/>
          <w:sz w:val="22"/>
          <w:szCs w:val="22"/>
          <w:lang w:eastAsia="en-NZ"/>
        </w:rPr>
        <w:t xml:space="preserve">for this industry also makes up of </w:t>
      </w:r>
      <w:r w:rsidR="00A466CA">
        <w:rPr>
          <w:rFonts w:cs="Arial"/>
          <w:sz w:val="22"/>
          <w:szCs w:val="22"/>
          <w:lang w:eastAsia="en-NZ"/>
        </w:rPr>
        <w:t>five</w:t>
      </w:r>
      <w:r w:rsidR="00A466CA" w:rsidRPr="00F05BED">
        <w:rPr>
          <w:rFonts w:cs="Arial"/>
          <w:sz w:val="22"/>
          <w:szCs w:val="22"/>
          <w:lang w:eastAsia="en-NZ"/>
        </w:rPr>
        <w:t xml:space="preserve"> </w:t>
      </w:r>
      <w:r w:rsidR="00F730E1" w:rsidRPr="00F05BED">
        <w:rPr>
          <w:rFonts w:cs="Arial"/>
          <w:sz w:val="22"/>
          <w:szCs w:val="22"/>
          <w:lang w:eastAsia="en-NZ"/>
        </w:rPr>
        <w:t>percent</w:t>
      </w:r>
      <w:r w:rsidRPr="00F05BED">
        <w:rPr>
          <w:rFonts w:cs="Arial"/>
          <w:sz w:val="22"/>
          <w:szCs w:val="22"/>
          <w:lang w:eastAsia="en-NZ"/>
        </w:rPr>
        <w:t xml:space="preserve"> </w:t>
      </w:r>
      <w:r w:rsidR="00C158C4" w:rsidRPr="00F05BED">
        <w:rPr>
          <w:rFonts w:cs="Arial"/>
          <w:sz w:val="22"/>
          <w:szCs w:val="22"/>
          <w:lang w:eastAsia="en-NZ"/>
        </w:rPr>
        <w:t xml:space="preserve">of </w:t>
      </w:r>
      <w:r w:rsidRPr="00F05BED">
        <w:rPr>
          <w:rFonts w:cs="Arial"/>
          <w:sz w:val="22"/>
          <w:szCs w:val="22"/>
          <w:lang w:eastAsia="en-NZ"/>
        </w:rPr>
        <w:t xml:space="preserve">total employment in New Zealand. </w:t>
      </w:r>
      <w:r w:rsidR="00AA2CEA" w:rsidRPr="00F05BED">
        <w:rPr>
          <w:rFonts w:cs="Arial"/>
          <w:sz w:val="22"/>
          <w:szCs w:val="22"/>
          <w:lang w:eastAsia="en-NZ"/>
        </w:rPr>
        <w:t>The ratio of</w:t>
      </w:r>
      <w:r w:rsidRPr="00F05BED">
        <w:rPr>
          <w:rFonts w:cs="Arial"/>
          <w:sz w:val="22"/>
          <w:szCs w:val="22"/>
          <w:lang w:eastAsia="en-NZ"/>
        </w:rPr>
        <w:t xml:space="preserve"> labour </w:t>
      </w:r>
      <w:r w:rsidR="00AA2CEA" w:rsidRPr="00F05BED">
        <w:rPr>
          <w:rFonts w:cs="Arial"/>
          <w:sz w:val="22"/>
          <w:szCs w:val="22"/>
          <w:lang w:eastAsia="en-NZ"/>
        </w:rPr>
        <w:t xml:space="preserve">to </w:t>
      </w:r>
      <w:r w:rsidRPr="00F05BED">
        <w:rPr>
          <w:rFonts w:cs="Arial"/>
          <w:sz w:val="22"/>
          <w:szCs w:val="22"/>
          <w:lang w:eastAsia="en-NZ"/>
        </w:rPr>
        <w:t xml:space="preserve">capital </w:t>
      </w:r>
      <w:r w:rsidR="00AA2CEA" w:rsidRPr="00F05BED">
        <w:rPr>
          <w:rFonts w:cs="Arial"/>
          <w:sz w:val="22"/>
          <w:szCs w:val="22"/>
          <w:lang w:eastAsia="en-NZ"/>
        </w:rPr>
        <w:t xml:space="preserve">(based on </w:t>
      </w:r>
      <w:r w:rsidRPr="00F05BED">
        <w:rPr>
          <w:rFonts w:cs="Arial"/>
          <w:sz w:val="22"/>
          <w:szCs w:val="22"/>
          <w:lang w:eastAsia="en-NZ"/>
        </w:rPr>
        <w:t>earnings</w:t>
      </w:r>
      <w:r w:rsidR="00AA2CEA" w:rsidRPr="00F05BED">
        <w:rPr>
          <w:rFonts w:cs="Arial"/>
          <w:sz w:val="22"/>
          <w:szCs w:val="22"/>
          <w:lang w:eastAsia="en-NZ"/>
        </w:rPr>
        <w:t xml:space="preserve">) </w:t>
      </w:r>
      <w:r w:rsidRPr="00F05BED">
        <w:rPr>
          <w:rFonts w:cs="Arial"/>
          <w:sz w:val="22"/>
          <w:szCs w:val="22"/>
          <w:lang w:eastAsia="en-NZ"/>
        </w:rPr>
        <w:t xml:space="preserve">has been </w:t>
      </w:r>
      <w:r w:rsidR="00367B1D" w:rsidRPr="00F05BED">
        <w:rPr>
          <w:rFonts w:cs="Arial"/>
          <w:sz w:val="22"/>
          <w:szCs w:val="22"/>
          <w:lang w:eastAsia="en-NZ"/>
        </w:rPr>
        <w:t xml:space="preserve">between 1.5 and 2.5 </w:t>
      </w:r>
      <w:r w:rsidRPr="00F05BED">
        <w:rPr>
          <w:rFonts w:cs="Arial"/>
          <w:sz w:val="22"/>
          <w:szCs w:val="22"/>
          <w:lang w:eastAsia="en-NZ"/>
        </w:rPr>
        <w:t xml:space="preserve">during last </w:t>
      </w:r>
      <w:r w:rsidR="004705FB">
        <w:rPr>
          <w:rFonts w:cs="Arial"/>
          <w:sz w:val="22"/>
          <w:szCs w:val="22"/>
          <w:lang w:eastAsia="en-NZ"/>
        </w:rPr>
        <w:t>decade</w:t>
      </w:r>
      <w:r w:rsidRPr="00F05BED">
        <w:rPr>
          <w:rFonts w:cs="Arial"/>
          <w:sz w:val="22"/>
          <w:szCs w:val="22"/>
          <w:lang w:eastAsia="en-NZ"/>
        </w:rPr>
        <w:t xml:space="preserve">. </w:t>
      </w:r>
      <w:r w:rsidR="002904B3" w:rsidRPr="00F05BED">
        <w:rPr>
          <w:rFonts w:cs="Arial"/>
          <w:sz w:val="22"/>
          <w:szCs w:val="22"/>
          <w:lang w:eastAsia="en-NZ"/>
        </w:rPr>
        <w:t xml:space="preserve">To fund </w:t>
      </w:r>
      <w:r w:rsidR="007B7FC4">
        <w:rPr>
          <w:rFonts w:cs="Arial"/>
          <w:sz w:val="22"/>
          <w:szCs w:val="22"/>
          <w:lang w:eastAsia="en-NZ"/>
        </w:rPr>
        <w:t xml:space="preserve">a large </w:t>
      </w:r>
      <w:r w:rsidR="002904B3" w:rsidRPr="00F05BED">
        <w:rPr>
          <w:rFonts w:cs="Arial"/>
          <w:sz w:val="22"/>
          <w:szCs w:val="22"/>
          <w:lang w:eastAsia="en-NZ"/>
        </w:rPr>
        <w:t xml:space="preserve">transport programme, road users are levied via fixed and variable charging such as road user charges, fuel excise duties and vehicle registration fees. During the year ended June 2010, approximately $2.5 billion of revenue was generated by road users. </w:t>
      </w:r>
      <w:r w:rsidR="00FC5C80" w:rsidRPr="00F05BED">
        <w:rPr>
          <w:rFonts w:cs="Arial"/>
          <w:sz w:val="22"/>
          <w:szCs w:val="22"/>
          <w:lang w:eastAsia="en-NZ"/>
        </w:rPr>
        <w:t xml:space="preserve">Around 80 percent of this revenue is allocated to the construction and maintenance of highways and local roads. </w:t>
      </w:r>
      <w:r w:rsidR="004705FB">
        <w:rPr>
          <w:rFonts w:cs="Arial"/>
          <w:sz w:val="22"/>
          <w:szCs w:val="22"/>
          <w:lang w:eastAsia="en-NZ"/>
        </w:rPr>
        <w:t xml:space="preserve">This </w:t>
      </w:r>
      <w:r w:rsidR="00657BC2">
        <w:rPr>
          <w:rFonts w:cs="Arial"/>
          <w:sz w:val="22"/>
          <w:szCs w:val="22"/>
          <w:lang w:eastAsia="en-NZ"/>
        </w:rPr>
        <w:t xml:space="preserve">expenditure </w:t>
      </w:r>
      <w:r w:rsidR="004705FB">
        <w:rPr>
          <w:rFonts w:cs="Arial"/>
          <w:sz w:val="22"/>
          <w:szCs w:val="22"/>
          <w:lang w:eastAsia="en-NZ"/>
        </w:rPr>
        <w:t>represents</w:t>
      </w:r>
      <w:r w:rsidR="002904B3" w:rsidRPr="00F05BED">
        <w:rPr>
          <w:rFonts w:cs="Arial"/>
          <w:sz w:val="22"/>
          <w:szCs w:val="22"/>
          <w:lang w:eastAsia="en-NZ"/>
        </w:rPr>
        <w:t xml:space="preserve"> approximately </w:t>
      </w:r>
      <w:r w:rsidR="006760F7" w:rsidRPr="00F05BED">
        <w:rPr>
          <w:rFonts w:cs="Arial"/>
          <w:sz w:val="22"/>
          <w:szCs w:val="22"/>
          <w:lang w:eastAsia="en-NZ"/>
        </w:rPr>
        <w:t>1.4 percent of total gross national expenditure.</w:t>
      </w:r>
    </w:p>
    <w:p w:rsidR="00806D6B" w:rsidRPr="00F05BED" w:rsidRDefault="00806D6B" w:rsidP="00F05BED">
      <w:pPr>
        <w:autoSpaceDE w:val="0"/>
        <w:autoSpaceDN w:val="0"/>
        <w:adjustRightInd w:val="0"/>
        <w:spacing w:line="320" w:lineRule="atLeast"/>
        <w:rPr>
          <w:rFonts w:cs="Arial"/>
          <w:sz w:val="22"/>
          <w:szCs w:val="22"/>
          <w:lang w:eastAsia="en-NZ"/>
        </w:rPr>
      </w:pPr>
    </w:p>
    <w:p w:rsidR="00711E5C" w:rsidRPr="00F05BED" w:rsidRDefault="004C70C0" w:rsidP="00F05BED">
      <w:pPr>
        <w:autoSpaceDE w:val="0"/>
        <w:autoSpaceDN w:val="0"/>
        <w:adjustRightInd w:val="0"/>
        <w:spacing w:line="320" w:lineRule="atLeast"/>
        <w:rPr>
          <w:rFonts w:cs="Arial"/>
          <w:sz w:val="22"/>
          <w:szCs w:val="22"/>
          <w:lang w:eastAsia="en-NZ"/>
        </w:rPr>
      </w:pPr>
      <w:r w:rsidRPr="00F05BED">
        <w:rPr>
          <w:rFonts w:cs="Arial"/>
          <w:sz w:val="22"/>
          <w:szCs w:val="22"/>
          <w:lang w:eastAsia="en-NZ"/>
        </w:rPr>
        <w:t>T</w:t>
      </w:r>
      <w:r w:rsidR="00806D6B" w:rsidRPr="00F05BED">
        <w:rPr>
          <w:rFonts w:cs="Arial"/>
          <w:sz w:val="22"/>
          <w:szCs w:val="22"/>
          <w:lang w:eastAsia="en-NZ"/>
        </w:rPr>
        <w:t xml:space="preserve">ransport plays an important role </w:t>
      </w:r>
      <w:r w:rsidR="004B34C7" w:rsidRPr="00F05BED">
        <w:rPr>
          <w:rFonts w:cs="Arial"/>
          <w:sz w:val="22"/>
          <w:szCs w:val="22"/>
          <w:lang w:eastAsia="en-NZ"/>
        </w:rPr>
        <w:t xml:space="preserve">in the economy </w:t>
      </w:r>
      <w:r w:rsidR="00806D6B" w:rsidRPr="00F05BED">
        <w:rPr>
          <w:rFonts w:cs="Arial"/>
          <w:sz w:val="22"/>
          <w:szCs w:val="22"/>
          <w:lang w:eastAsia="en-NZ"/>
        </w:rPr>
        <w:t xml:space="preserve">by facilitating </w:t>
      </w:r>
      <w:r w:rsidR="00561221" w:rsidRPr="00F05BED">
        <w:rPr>
          <w:rFonts w:cs="Arial"/>
          <w:sz w:val="22"/>
          <w:szCs w:val="22"/>
          <w:lang w:eastAsia="en-NZ"/>
        </w:rPr>
        <w:t xml:space="preserve">the </w:t>
      </w:r>
      <w:r w:rsidR="004B34C7" w:rsidRPr="00F05BED">
        <w:rPr>
          <w:rFonts w:cs="Arial"/>
          <w:sz w:val="22"/>
          <w:szCs w:val="22"/>
          <w:lang w:eastAsia="en-NZ"/>
        </w:rPr>
        <w:t>movements of</w:t>
      </w:r>
      <w:r w:rsidR="00806D6B" w:rsidRPr="00F05BED">
        <w:rPr>
          <w:rFonts w:cs="Arial"/>
          <w:sz w:val="22"/>
          <w:szCs w:val="22"/>
          <w:lang w:eastAsia="en-NZ"/>
        </w:rPr>
        <w:t xml:space="preserve"> people and goods</w:t>
      </w:r>
      <w:r w:rsidR="00C158C4" w:rsidRPr="00F05BED">
        <w:rPr>
          <w:rFonts w:cs="Arial"/>
          <w:sz w:val="22"/>
          <w:szCs w:val="22"/>
          <w:lang w:eastAsia="en-NZ"/>
        </w:rPr>
        <w:t>.</w:t>
      </w:r>
      <w:r w:rsidR="004B34C7" w:rsidRPr="00F05BED">
        <w:rPr>
          <w:rFonts w:cs="Arial"/>
          <w:sz w:val="22"/>
          <w:szCs w:val="22"/>
          <w:lang w:eastAsia="en-NZ"/>
        </w:rPr>
        <w:t xml:space="preserve"> However</w:t>
      </w:r>
      <w:r w:rsidR="00806D6B" w:rsidRPr="00F05BED">
        <w:rPr>
          <w:rFonts w:cs="Arial"/>
          <w:sz w:val="22"/>
          <w:szCs w:val="22"/>
          <w:lang w:eastAsia="en-NZ"/>
        </w:rPr>
        <w:t xml:space="preserve">, its </w:t>
      </w:r>
      <w:r w:rsidR="004B34C7" w:rsidRPr="00F05BED">
        <w:rPr>
          <w:rFonts w:cs="Arial"/>
          <w:sz w:val="22"/>
          <w:szCs w:val="22"/>
          <w:lang w:eastAsia="en-NZ"/>
        </w:rPr>
        <w:t xml:space="preserve">actual </w:t>
      </w:r>
      <w:r w:rsidR="00806D6B" w:rsidRPr="00F05BED">
        <w:rPr>
          <w:rFonts w:cs="Arial"/>
          <w:sz w:val="22"/>
          <w:szCs w:val="22"/>
          <w:lang w:eastAsia="en-NZ"/>
        </w:rPr>
        <w:t>contribut</w:t>
      </w:r>
      <w:r w:rsidR="00462903" w:rsidRPr="00F05BED">
        <w:rPr>
          <w:rFonts w:cs="Arial"/>
          <w:sz w:val="22"/>
          <w:szCs w:val="22"/>
          <w:lang w:eastAsia="en-NZ"/>
        </w:rPr>
        <w:t>ion</w:t>
      </w:r>
      <w:r w:rsidR="00806D6B" w:rsidRPr="00F05BED">
        <w:rPr>
          <w:rFonts w:cs="Arial"/>
          <w:sz w:val="22"/>
          <w:szCs w:val="22"/>
          <w:lang w:eastAsia="en-NZ"/>
        </w:rPr>
        <w:t xml:space="preserve"> to economic growth </w:t>
      </w:r>
      <w:r w:rsidR="004B34C7" w:rsidRPr="00F05BED">
        <w:rPr>
          <w:rFonts w:cs="Arial"/>
          <w:sz w:val="22"/>
          <w:szCs w:val="22"/>
          <w:lang w:eastAsia="en-NZ"/>
        </w:rPr>
        <w:t xml:space="preserve">and productivity </w:t>
      </w:r>
      <w:r w:rsidR="00806D6B" w:rsidRPr="00F05BED">
        <w:rPr>
          <w:rFonts w:cs="Arial"/>
          <w:sz w:val="22"/>
          <w:szCs w:val="22"/>
          <w:lang w:eastAsia="en-NZ"/>
        </w:rPr>
        <w:t xml:space="preserve">has </w:t>
      </w:r>
      <w:r w:rsidR="004B34C7" w:rsidRPr="00F05BED">
        <w:rPr>
          <w:rFonts w:cs="Arial"/>
          <w:sz w:val="22"/>
          <w:szCs w:val="22"/>
          <w:lang w:eastAsia="en-NZ"/>
        </w:rPr>
        <w:t xml:space="preserve">not </w:t>
      </w:r>
      <w:r w:rsidR="00806D6B" w:rsidRPr="00F05BED">
        <w:rPr>
          <w:rFonts w:cs="Arial"/>
          <w:sz w:val="22"/>
          <w:szCs w:val="22"/>
          <w:lang w:eastAsia="en-NZ"/>
        </w:rPr>
        <w:t xml:space="preserve">been </w:t>
      </w:r>
      <w:r w:rsidR="004B34C7" w:rsidRPr="00F05BED">
        <w:rPr>
          <w:rFonts w:cs="Arial"/>
          <w:sz w:val="22"/>
          <w:szCs w:val="22"/>
          <w:lang w:eastAsia="en-NZ"/>
        </w:rPr>
        <w:t>fully understood</w:t>
      </w:r>
      <w:r w:rsidR="00806D6B" w:rsidRPr="00F05BED">
        <w:rPr>
          <w:rFonts w:cs="Arial"/>
          <w:sz w:val="22"/>
          <w:szCs w:val="22"/>
          <w:lang w:eastAsia="en-NZ"/>
        </w:rPr>
        <w:t xml:space="preserve">. Statistics New Zealand </w:t>
      </w:r>
      <w:r w:rsidR="00FD2143" w:rsidRPr="00F05BED">
        <w:rPr>
          <w:rFonts w:cs="Arial"/>
          <w:sz w:val="22"/>
          <w:szCs w:val="22"/>
          <w:lang w:eastAsia="en-NZ"/>
        </w:rPr>
        <w:t xml:space="preserve">(SNZ) </w:t>
      </w:r>
      <w:r w:rsidR="004B34C7" w:rsidRPr="00F05BED">
        <w:rPr>
          <w:rFonts w:cs="Arial"/>
          <w:sz w:val="22"/>
          <w:szCs w:val="22"/>
          <w:lang w:eastAsia="en-NZ"/>
        </w:rPr>
        <w:t>publishe</w:t>
      </w:r>
      <w:r w:rsidR="00C158C4" w:rsidRPr="00F05BED">
        <w:rPr>
          <w:rFonts w:cs="Arial"/>
          <w:sz w:val="22"/>
          <w:szCs w:val="22"/>
          <w:lang w:eastAsia="en-NZ"/>
        </w:rPr>
        <w:t>s</w:t>
      </w:r>
      <w:r w:rsidR="004B34C7" w:rsidRPr="00F05BED">
        <w:rPr>
          <w:rFonts w:cs="Arial"/>
          <w:sz w:val="22"/>
          <w:szCs w:val="22"/>
          <w:lang w:eastAsia="en-NZ"/>
        </w:rPr>
        <w:t xml:space="preserve"> labour, capital and multi-factor productivity indicators for</w:t>
      </w:r>
      <w:r w:rsidR="00FC5C80" w:rsidRPr="00F05BED">
        <w:rPr>
          <w:rFonts w:cs="Arial"/>
          <w:sz w:val="22"/>
          <w:szCs w:val="22"/>
          <w:lang w:eastAsia="en-NZ"/>
        </w:rPr>
        <w:t xml:space="preserve"> </w:t>
      </w:r>
      <w:r w:rsidR="00A466CA">
        <w:rPr>
          <w:rFonts w:cs="Arial"/>
          <w:sz w:val="22"/>
          <w:szCs w:val="22"/>
          <w:lang w:eastAsia="en-NZ"/>
        </w:rPr>
        <w:t>‘t</w:t>
      </w:r>
      <w:r w:rsidR="00A466CA" w:rsidRPr="00F05BED">
        <w:rPr>
          <w:rFonts w:cs="Arial"/>
          <w:sz w:val="22"/>
          <w:szCs w:val="22"/>
          <w:lang w:eastAsia="en-NZ"/>
        </w:rPr>
        <w:t xml:space="preserve">ransport </w:t>
      </w:r>
      <w:r w:rsidR="00806D6B" w:rsidRPr="00F05BED">
        <w:rPr>
          <w:rFonts w:cs="Arial"/>
          <w:sz w:val="22"/>
          <w:szCs w:val="22"/>
          <w:lang w:eastAsia="en-NZ"/>
        </w:rPr>
        <w:t>and storage</w:t>
      </w:r>
      <w:r w:rsidR="00137306">
        <w:rPr>
          <w:rFonts w:cs="Arial"/>
          <w:sz w:val="22"/>
          <w:szCs w:val="22"/>
          <w:lang w:eastAsia="en-NZ"/>
        </w:rPr>
        <w:t>’</w:t>
      </w:r>
      <w:r w:rsidR="00806D6B" w:rsidRPr="00F05BED">
        <w:rPr>
          <w:rFonts w:cs="Arial"/>
          <w:sz w:val="22"/>
          <w:szCs w:val="22"/>
          <w:lang w:eastAsia="en-NZ"/>
        </w:rPr>
        <w:t xml:space="preserve"> as one </w:t>
      </w:r>
      <w:r w:rsidR="007B7FC4">
        <w:rPr>
          <w:rFonts w:cs="Arial"/>
          <w:sz w:val="22"/>
          <w:szCs w:val="22"/>
          <w:lang w:eastAsia="en-NZ"/>
        </w:rPr>
        <w:t>industry</w:t>
      </w:r>
      <w:r w:rsidR="002C06BD" w:rsidRPr="00F05BED">
        <w:rPr>
          <w:rFonts w:cs="Arial"/>
          <w:sz w:val="22"/>
          <w:szCs w:val="22"/>
          <w:lang w:eastAsia="en-NZ"/>
        </w:rPr>
        <w:t>.</w:t>
      </w:r>
      <w:r w:rsidR="00806D6B" w:rsidRPr="00F05BED">
        <w:rPr>
          <w:rFonts w:cs="Arial"/>
          <w:sz w:val="22"/>
          <w:szCs w:val="22"/>
          <w:lang w:eastAsia="en-NZ"/>
        </w:rPr>
        <w:t xml:space="preserve"> </w:t>
      </w:r>
      <w:r w:rsidR="004B34C7" w:rsidRPr="00F05BED">
        <w:rPr>
          <w:rFonts w:cs="Arial"/>
          <w:sz w:val="22"/>
          <w:szCs w:val="22"/>
          <w:lang w:eastAsia="en-NZ"/>
        </w:rPr>
        <w:t xml:space="preserve">Ideally these measures should be disaggregated by mode </w:t>
      </w:r>
      <w:r w:rsidR="00504102" w:rsidRPr="00F05BED">
        <w:rPr>
          <w:rFonts w:cs="Arial"/>
          <w:sz w:val="22"/>
          <w:szCs w:val="22"/>
          <w:lang w:eastAsia="en-NZ"/>
        </w:rPr>
        <w:t xml:space="preserve">(air, sea, road and rail) and movement type (people and freight) </w:t>
      </w:r>
      <w:r w:rsidR="004B34C7" w:rsidRPr="00F05BED">
        <w:rPr>
          <w:rFonts w:cs="Arial"/>
          <w:sz w:val="22"/>
          <w:szCs w:val="22"/>
          <w:lang w:eastAsia="en-NZ"/>
        </w:rPr>
        <w:t xml:space="preserve">to </w:t>
      </w:r>
      <w:r w:rsidR="00592806" w:rsidRPr="00F05BED">
        <w:rPr>
          <w:rFonts w:cs="Arial"/>
          <w:sz w:val="22"/>
          <w:szCs w:val="22"/>
          <w:lang w:eastAsia="en-NZ"/>
        </w:rPr>
        <w:t xml:space="preserve">better understand </w:t>
      </w:r>
      <w:r w:rsidR="005E0474" w:rsidRPr="00F05BED">
        <w:rPr>
          <w:rFonts w:cs="Arial"/>
          <w:sz w:val="22"/>
          <w:szCs w:val="22"/>
          <w:lang w:eastAsia="en-NZ"/>
        </w:rPr>
        <w:t>the contributions</w:t>
      </w:r>
      <w:r w:rsidRPr="00F05BED">
        <w:rPr>
          <w:rFonts w:cs="Arial"/>
          <w:sz w:val="22"/>
          <w:szCs w:val="22"/>
          <w:lang w:eastAsia="en-NZ"/>
        </w:rPr>
        <w:t xml:space="preserve"> </w:t>
      </w:r>
      <w:r w:rsidR="00A466CA">
        <w:rPr>
          <w:rFonts w:cs="Arial"/>
          <w:sz w:val="22"/>
          <w:szCs w:val="22"/>
          <w:lang w:eastAsia="en-NZ"/>
        </w:rPr>
        <w:t>that</w:t>
      </w:r>
      <w:r w:rsidR="00A466CA" w:rsidRPr="00F05BED">
        <w:rPr>
          <w:rFonts w:cs="Arial"/>
          <w:sz w:val="22"/>
          <w:szCs w:val="22"/>
          <w:lang w:eastAsia="en-NZ"/>
        </w:rPr>
        <w:t xml:space="preserve"> </w:t>
      </w:r>
      <w:r w:rsidR="00561221" w:rsidRPr="00F05BED">
        <w:rPr>
          <w:rFonts w:cs="Arial"/>
          <w:sz w:val="22"/>
          <w:szCs w:val="22"/>
          <w:lang w:eastAsia="en-NZ"/>
        </w:rPr>
        <w:t xml:space="preserve">various </w:t>
      </w:r>
      <w:r w:rsidR="005E0474" w:rsidRPr="00F05BED">
        <w:rPr>
          <w:rFonts w:cs="Arial"/>
          <w:sz w:val="22"/>
          <w:szCs w:val="22"/>
          <w:lang w:eastAsia="en-NZ"/>
        </w:rPr>
        <w:t xml:space="preserve">transport </w:t>
      </w:r>
      <w:r w:rsidR="00C158C4" w:rsidRPr="00F05BED">
        <w:rPr>
          <w:rFonts w:cs="Arial"/>
          <w:sz w:val="22"/>
          <w:szCs w:val="22"/>
          <w:lang w:eastAsia="en-NZ"/>
        </w:rPr>
        <w:t>services</w:t>
      </w:r>
      <w:r w:rsidR="00561221" w:rsidRPr="00F05BED">
        <w:rPr>
          <w:rFonts w:cs="Arial"/>
          <w:sz w:val="22"/>
          <w:szCs w:val="22"/>
          <w:lang w:eastAsia="en-NZ"/>
        </w:rPr>
        <w:t xml:space="preserve"> </w:t>
      </w:r>
      <w:r w:rsidR="00A466CA">
        <w:rPr>
          <w:rFonts w:cs="Arial"/>
          <w:sz w:val="22"/>
          <w:szCs w:val="22"/>
          <w:lang w:eastAsia="en-NZ"/>
        </w:rPr>
        <w:t>make</w:t>
      </w:r>
      <w:r w:rsidR="00A466CA" w:rsidRPr="00F05BED">
        <w:rPr>
          <w:rFonts w:cs="Arial"/>
          <w:sz w:val="22"/>
          <w:szCs w:val="22"/>
          <w:lang w:eastAsia="en-NZ"/>
        </w:rPr>
        <w:t xml:space="preserve"> </w:t>
      </w:r>
      <w:r w:rsidR="005E0474" w:rsidRPr="00F05BED">
        <w:rPr>
          <w:rFonts w:cs="Arial"/>
          <w:sz w:val="22"/>
          <w:szCs w:val="22"/>
          <w:lang w:eastAsia="en-NZ"/>
        </w:rPr>
        <w:t>to</w:t>
      </w:r>
      <w:r w:rsidR="00504102" w:rsidRPr="00F05BED">
        <w:rPr>
          <w:rFonts w:cs="Arial"/>
          <w:sz w:val="22"/>
          <w:szCs w:val="22"/>
          <w:lang w:eastAsia="en-NZ"/>
        </w:rPr>
        <w:t xml:space="preserve"> </w:t>
      </w:r>
      <w:r w:rsidR="00561221" w:rsidRPr="00F05BED">
        <w:rPr>
          <w:rFonts w:cs="Arial"/>
          <w:sz w:val="22"/>
          <w:szCs w:val="22"/>
          <w:lang w:eastAsia="en-NZ"/>
        </w:rPr>
        <w:t>the economy</w:t>
      </w:r>
      <w:r w:rsidR="00592806" w:rsidRPr="00F05BED">
        <w:rPr>
          <w:rFonts w:cs="Arial"/>
          <w:sz w:val="22"/>
          <w:szCs w:val="22"/>
          <w:lang w:eastAsia="en-NZ"/>
        </w:rPr>
        <w:t xml:space="preserve"> and over time</w:t>
      </w:r>
      <w:r w:rsidR="00561221" w:rsidRPr="00F05BED">
        <w:rPr>
          <w:rFonts w:cs="Arial"/>
          <w:sz w:val="22"/>
          <w:szCs w:val="22"/>
          <w:lang w:eastAsia="en-NZ"/>
        </w:rPr>
        <w:t>.</w:t>
      </w:r>
      <w:r w:rsidR="00D27F91" w:rsidRPr="00F05BED">
        <w:rPr>
          <w:rFonts w:cs="Arial"/>
          <w:sz w:val="22"/>
          <w:szCs w:val="22"/>
          <w:lang w:eastAsia="en-NZ"/>
        </w:rPr>
        <w:t xml:space="preserve"> </w:t>
      </w:r>
    </w:p>
    <w:p w:rsidR="00FC5C80" w:rsidRPr="00F05BED" w:rsidRDefault="00FC5C80" w:rsidP="00F05BED">
      <w:pPr>
        <w:autoSpaceDE w:val="0"/>
        <w:autoSpaceDN w:val="0"/>
        <w:adjustRightInd w:val="0"/>
        <w:spacing w:line="320" w:lineRule="atLeast"/>
        <w:rPr>
          <w:rFonts w:cs="Arial"/>
          <w:sz w:val="22"/>
          <w:szCs w:val="22"/>
          <w:lang w:eastAsia="en-NZ"/>
        </w:rPr>
      </w:pPr>
    </w:p>
    <w:p w:rsidR="00343121" w:rsidRPr="00F05BED" w:rsidRDefault="00FC5C80" w:rsidP="00F05BED">
      <w:pPr>
        <w:autoSpaceDE w:val="0"/>
        <w:autoSpaceDN w:val="0"/>
        <w:adjustRightInd w:val="0"/>
        <w:spacing w:line="320" w:lineRule="atLeast"/>
        <w:rPr>
          <w:rFonts w:cs="Arial"/>
          <w:sz w:val="22"/>
          <w:szCs w:val="22"/>
          <w:lang w:eastAsia="en-NZ"/>
        </w:rPr>
      </w:pPr>
      <w:r w:rsidRPr="00F05BED">
        <w:rPr>
          <w:rFonts w:cs="Arial"/>
          <w:sz w:val="22"/>
          <w:szCs w:val="22"/>
          <w:lang w:eastAsia="en-NZ"/>
        </w:rPr>
        <w:t>Productivity is a measure of how efficiently inputs (capital, labour and intermediate inputs) are being used to produce outputs. Productivity is commonly defined as a ratio of a volume measure of output to a volume measure of input.</w:t>
      </w:r>
      <w:r w:rsidR="00FB5A9F">
        <w:rPr>
          <w:rFonts w:cs="Arial"/>
          <w:sz w:val="22"/>
          <w:szCs w:val="22"/>
          <w:lang w:eastAsia="en-NZ"/>
        </w:rPr>
        <w:t xml:space="preserve"> An improvement in the level of productivity indicates resources are better utilised to generate outputs.</w:t>
      </w:r>
    </w:p>
    <w:p w:rsidR="00343121" w:rsidRPr="00F05BED" w:rsidRDefault="00343121" w:rsidP="00F05BED">
      <w:pPr>
        <w:autoSpaceDE w:val="0"/>
        <w:autoSpaceDN w:val="0"/>
        <w:adjustRightInd w:val="0"/>
        <w:spacing w:line="320" w:lineRule="atLeast"/>
        <w:rPr>
          <w:rFonts w:cs="Arial"/>
          <w:sz w:val="22"/>
          <w:szCs w:val="22"/>
          <w:lang w:eastAsia="en-NZ"/>
        </w:rPr>
      </w:pPr>
    </w:p>
    <w:p w:rsidR="008A64F4" w:rsidRPr="00F05BED" w:rsidRDefault="00F05BED" w:rsidP="00F05BED">
      <w:pPr>
        <w:autoSpaceDE w:val="0"/>
        <w:autoSpaceDN w:val="0"/>
        <w:adjustRightInd w:val="0"/>
        <w:spacing w:line="320" w:lineRule="atLeast"/>
        <w:rPr>
          <w:rFonts w:cs="Arial"/>
          <w:sz w:val="22"/>
          <w:szCs w:val="22"/>
          <w:lang w:eastAsia="en-NZ"/>
        </w:rPr>
      </w:pPr>
      <w:r>
        <w:rPr>
          <w:rFonts w:cs="Arial"/>
          <w:sz w:val="22"/>
          <w:szCs w:val="22"/>
          <w:lang w:eastAsia="en-NZ"/>
        </w:rPr>
        <w:t xml:space="preserve">Section 2 of the paper </w:t>
      </w:r>
      <w:r w:rsidR="00D26417">
        <w:rPr>
          <w:rFonts w:cs="Arial"/>
          <w:sz w:val="22"/>
          <w:szCs w:val="22"/>
          <w:lang w:eastAsia="en-NZ"/>
        </w:rPr>
        <w:t xml:space="preserve">estimates the </w:t>
      </w:r>
      <w:r w:rsidR="0068750A" w:rsidRPr="00F05BED">
        <w:rPr>
          <w:rFonts w:cs="Arial"/>
          <w:sz w:val="22"/>
          <w:szCs w:val="22"/>
          <w:lang w:eastAsia="en-NZ"/>
        </w:rPr>
        <w:t xml:space="preserve">multi-factor productivity (MFP) </w:t>
      </w:r>
      <w:r w:rsidR="00D26417">
        <w:rPr>
          <w:rFonts w:cs="Arial"/>
          <w:sz w:val="22"/>
          <w:szCs w:val="22"/>
          <w:lang w:eastAsia="en-NZ"/>
        </w:rPr>
        <w:t xml:space="preserve">for the transport industry </w:t>
      </w:r>
      <w:r w:rsidR="0068750A" w:rsidRPr="00F05BED">
        <w:rPr>
          <w:rFonts w:cs="Arial"/>
          <w:sz w:val="22"/>
          <w:szCs w:val="22"/>
          <w:lang w:eastAsia="en-NZ"/>
        </w:rPr>
        <w:t xml:space="preserve">to </w:t>
      </w:r>
      <w:r w:rsidR="007F4873" w:rsidRPr="00F05BED">
        <w:rPr>
          <w:rFonts w:cs="Arial"/>
          <w:sz w:val="22"/>
          <w:szCs w:val="22"/>
          <w:lang w:eastAsia="en-NZ"/>
        </w:rPr>
        <w:t xml:space="preserve">understand </w:t>
      </w:r>
      <w:r w:rsidR="00D26417">
        <w:rPr>
          <w:rFonts w:cs="Arial"/>
          <w:sz w:val="22"/>
          <w:szCs w:val="22"/>
          <w:lang w:eastAsia="en-NZ"/>
        </w:rPr>
        <w:t xml:space="preserve">whether there have been </w:t>
      </w:r>
      <w:r w:rsidR="007F4873" w:rsidRPr="00F05BED">
        <w:rPr>
          <w:rFonts w:cs="Arial"/>
          <w:sz w:val="22"/>
          <w:szCs w:val="22"/>
          <w:lang w:eastAsia="en-NZ"/>
        </w:rPr>
        <w:t xml:space="preserve">changes in productivity performance </w:t>
      </w:r>
      <w:r w:rsidR="00B14B4D" w:rsidRPr="00F05BED">
        <w:rPr>
          <w:rFonts w:cs="Arial"/>
          <w:sz w:val="22"/>
          <w:szCs w:val="22"/>
          <w:lang w:eastAsia="en-NZ"/>
        </w:rPr>
        <w:t xml:space="preserve">of </w:t>
      </w:r>
      <w:r w:rsidR="00C732FF" w:rsidRPr="00F05BED">
        <w:rPr>
          <w:rFonts w:cs="Arial"/>
          <w:sz w:val="22"/>
          <w:szCs w:val="22"/>
          <w:lang w:eastAsia="en-NZ"/>
        </w:rPr>
        <w:t xml:space="preserve">the </w:t>
      </w:r>
      <w:r w:rsidR="00A720ED" w:rsidRPr="00F05BED">
        <w:rPr>
          <w:rFonts w:cs="Arial"/>
          <w:sz w:val="22"/>
          <w:szCs w:val="22"/>
          <w:lang w:eastAsia="en-NZ"/>
        </w:rPr>
        <w:t xml:space="preserve">New Zealand </w:t>
      </w:r>
      <w:r w:rsidR="005428D8">
        <w:rPr>
          <w:rFonts w:cs="Arial"/>
          <w:sz w:val="22"/>
          <w:szCs w:val="22"/>
          <w:lang w:eastAsia="en-NZ"/>
        </w:rPr>
        <w:t>transport industry</w:t>
      </w:r>
      <w:r w:rsidR="00C732FF" w:rsidRPr="00F05BED">
        <w:rPr>
          <w:rFonts w:cs="Arial"/>
          <w:sz w:val="22"/>
          <w:szCs w:val="22"/>
          <w:lang w:eastAsia="en-NZ"/>
        </w:rPr>
        <w:t xml:space="preserve"> </w:t>
      </w:r>
      <w:r w:rsidR="00A720ED" w:rsidRPr="00F05BED">
        <w:rPr>
          <w:rFonts w:cs="Arial"/>
          <w:sz w:val="22"/>
          <w:szCs w:val="22"/>
          <w:lang w:eastAsia="en-NZ"/>
        </w:rPr>
        <w:t>over time</w:t>
      </w:r>
      <w:r w:rsidR="00777E2C" w:rsidRPr="00F05BED">
        <w:rPr>
          <w:rFonts w:cs="Arial"/>
          <w:sz w:val="22"/>
          <w:szCs w:val="22"/>
          <w:lang w:eastAsia="en-NZ"/>
        </w:rPr>
        <w:t>.</w:t>
      </w:r>
      <w:r w:rsidR="003F2FF6" w:rsidRPr="00F05BED">
        <w:rPr>
          <w:rFonts w:cs="Arial"/>
          <w:sz w:val="22"/>
          <w:szCs w:val="22"/>
          <w:lang w:eastAsia="en-NZ"/>
        </w:rPr>
        <w:t xml:space="preserve"> </w:t>
      </w:r>
      <w:r>
        <w:rPr>
          <w:rFonts w:cs="Arial"/>
          <w:sz w:val="22"/>
          <w:szCs w:val="22"/>
          <w:lang w:eastAsia="en-NZ"/>
        </w:rPr>
        <w:t xml:space="preserve">In section 3, </w:t>
      </w:r>
      <w:r w:rsidR="00D26417">
        <w:rPr>
          <w:rFonts w:cs="Arial"/>
          <w:sz w:val="22"/>
          <w:szCs w:val="22"/>
          <w:lang w:eastAsia="en-NZ"/>
        </w:rPr>
        <w:t xml:space="preserve">we summarise the result of the </w:t>
      </w:r>
      <w:r w:rsidR="0073660C" w:rsidRPr="00F05BED">
        <w:rPr>
          <w:rFonts w:cs="Arial"/>
          <w:sz w:val="22"/>
          <w:szCs w:val="22"/>
          <w:lang w:eastAsia="en-NZ"/>
        </w:rPr>
        <w:t xml:space="preserve">time series </w:t>
      </w:r>
      <w:r w:rsidR="00D26417">
        <w:rPr>
          <w:rFonts w:cs="Arial"/>
          <w:sz w:val="22"/>
          <w:szCs w:val="22"/>
          <w:lang w:eastAsia="en-NZ"/>
        </w:rPr>
        <w:t xml:space="preserve">analysis of </w:t>
      </w:r>
      <w:r w:rsidR="00C732FF" w:rsidRPr="00F05BED">
        <w:rPr>
          <w:rFonts w:cs="Arial"/>
          <w:sz w:val="22"/>
          <w:szCs w:val="22"/>
          <w:lang w:eastAsia="en-NZ"/>
        </w:rPr>
        <w:t xml:space="preserve">the </w:t>
      </w:r>
      <w:r w:rsidR="00C732FF" w:rsidRPr="00F05BED">
        <w:rPr>
          <w:sz w:val="22"/>
          <w:szCs w:val="22"/>
        </w:rPr>
        <w:t xml:space="preserve">relative contributions from </w:t>
      </w:r>
      <w:r w:rsidR="00D26417">
        <w:rPr>
          <w:sz w:val="22"/>
          <w:szCs w:val="22"/>
        </w:rPr>
        <w:t xml:space="preserve">productive </w:t>
      </w:r>
      <w:r w:rsidR="00C732FF" w:rsidRPr="00F05BED">
        <w:rPr>
          <w:sz w:val="22"/>
          <w:szCs w:val="22"/>
        </w:rPr>
        <w:t xml:space="preserve">road </w:t>
      </w:r>
      <w:r w:rsidR="001719F6">
        <w:rPr>
          <w:sz w:val="22"/>
          <w:szCs w:val="22"/>
        </w:rPr>
        <w:t xml:space="preserve">infrastructure </w:t>
      </w:r>
      <w:r w:rsidR="00D26417">
        <w:rPr>
          <w:sz w:val="22"/>
          <w:szCs w:val="22"/>
        </w:rPr>
        <w:t xml:space="preserve">capital stock </w:t>
      </w:r>
      <w:r w:rsidR="00C158C4" w:rsidRPr="00F05BED">
        <w:rPr>
          <w:rFonts w:cs="Arial"/>
          <w:sz w:val="22"/>
          <w:szCs w:val="22"/>
          <w:lang w:eastAsia="en-NZ"/>
        </w:rPr>
        <w:t>to economic growth.</w:t>
      </w:r>
      <w:r w:rsidR="003F2FF6" w:rsidRPr="00F05BED">
        <w:rPr>
          <w:rFonts w:cs="Arial"/>
          <w:sz w:val="22"/>
          <w:szCs w:val="22"/>
          <w:lang w:eastAsia="en-NZ"/>
        </w:rPr>
        <w:t xml:space="preserve"> </w:t>
      </w:r>
      <w:r w:rsidR="00A21B24">
        <w:rPr>
          <w:rFonts w:cs="Arial"/>
          <w:sz w:val="22"/>
          <w:szCs w:val="22"/>
          <w:lang w:eastAsia="en-NZ"/>
        </w:rPr>
        <w:t>Section 4 includes a summary of the major findings and conclusions.</w:t>
      </w:r>
    </w:p>
    <w:p w:rsidR="00F40BAF" w:rsidRDefault="00F40BAF" w:rsidP="00F05BED">
      <w:pPr>
        <w:autoSpaceDE w:val="0"/>
        <w:autoSpaceDN w:val="0"/>
        <w:adjustRightInd w:val="0"/>
        <w:spacing w:line="320" w:lineRule="atLeast"/>
        <w:rPr>
          <w:rFonts w:cs="Arial"/>
          <w:b/>
          <w:sz w:val="22"/>
          <w:szCs w:val="22"/>
          <w:lang w:eastAsia="en-NZ"/>
        </w:rPr>
      </w:pPr>
    </w:p>
    <w:p w:rsidR="00F05BED" w:rsidRPr="00F05BED" w:rsidRDefault="00F05BED" w:rsidP="00F05BED">
      <w:pPr>
        <w:autoSpaceDE w:val="0"/>
        <w:autoSpaceDN w:val="0"/>
        <w:adjustRightInd w:val="0"/>
        <w:spacing w:line="320" w:lineRule="atLeast"/>
        <w:rPr>
          <w:rFonts w:cs="Arial"/>
          <w:b/>
          <w:sz w:val="22"/>
          <w:szCs w:val="22"/>
          <w:lang w:eastAsia="en-NZ"/>
        </w:rPr>
      </w:pPr>
    </w:p>
    <w:p w:rsidR="00C732FF" w:rsidRPr="00F05BED" w:rsidRDefault="00F05BED" w:rsidP="00F05BED">
      <w:pPr>
        <w:autoSpaceDE w:val="0"/>
        <w:autoSpaceDN w:val="0"/>
        <w:adjustRightInd w:val="0"/>
        <w:spacing w:line="320" w:lineRule="atLeast"/>
        <w:rPr>
          <w:rFonts w:cs="Arial"/>
          <w:b/>
          <w:sz w:val="26"/>
          <w:szCs w:val="26"/>
          <w:lang w:eastAsia="en-NZ"/>
        </w:rPr>
      </w:pPr>
      <w:r>
        <w:rPr>
          <w:rFonts w:cs="Arial"/>
          <w:b/>
          <w:sz w:val="26"/>
          <w:szCs w:val="26"/>
          <w:lang w:eastAsia="en-NZ"/>
        </w:rPr>
        <w:t>2</w:t>
      </w:r>
      <w:r>
        <w:rPr>
          <w:rFonts w:cs="Arial"/>
          <w:b/>
          <w:sz w:val="26"/>
          <w:szCs w:val="26"/>
          <w:lang w:eastAsia="en-NZ"/>
        </w:rPr>
        <w:tab/>
      </w:r>
      <w:r w:rsidR="00C732FF" w:rsidRPr="00F05BED">
        <w:rPr>
          <w:rFonts w:cs="Arial"/>
          <w:b/>
          <w:sz w:val="26"/>
          <w:szCs w:val="26"/>
          <w:lang w:eastAsia="en-NZ"/>
        </w:rPr>
        <w:t>Input-output analysis</w:t>
      </w:r>
    </w:p>
    <w:p w:rsidR="000B34A2" w:rsidRPr="00F05BED" w:rsidRDefault="000B34A2" w:rsidP="00F05BED">
      <w:pPr>
        <w:pStyle w:val="Default"/>
        <w:spacing w:line="320" w:lineRule="atLeast"/>
        <w:rPr>
          <w:rFonts w:cs="Arial"/>
          <w:sz w:val="22"/>
          <w:szCs w:val="22"/>
        </w:rPr>
      </w:pPr>
      <w:r w:rsidRPr="00F05BED">
        <w:rPr>
          <w:rFonts w:cs="Arial"/>
          <w:sz w:val="22"/>
          <w:szCs w:val="22"/>
        </w:rPr>
        <w:t xml:space="preserve">This section </w:t>
      </w:r>
      <w:r w:rsidR="005A1BAA">
        <w:rPr>
          <w:rFonts w:cs="Arial"/>
          <w:sz w:val="22"/>
          <w:szCs w:val="22"/>
        </w:rPr>
        <w:t xml:space="preserve">looks at </w:t>
      </w:r>
      <w:r w:rsidR="00B81D1B" w:rsidRPr="00F05BED">
        <w:rPr>
          <w:rFonts w:cs="Arial"/>
          <w:sz w:val="22"/>
          <w:szCs w:val="22"/>
        </w:rPr>
        <w:t xml:space="preserve">three </w:t>
      </w:r>
      <w:r w:rsidRPr="00F05BED">
        <w:rPr>
          <w:rFonts w:cs="Arial"/>
          <w:sz w:val="22"/>
          <w:szCs w:val="22"/>
        </w:rPr>
        <w:t xml:space="preserve">MFP </w:t>
      </w:r>
      <w:r w:rsidR="005A1BAA">
        <w:rPr>
          <w:rFonts w:cs="Arial"/>
          <w:sz w:val="22"/>
          <w:szCs w:val="22"/>
        </w:rPr>
        <w:t>measures</w:t>
      </w:r>
      <w:r w:rsidR="00B81D1B" w:rsidRPr="00F05BED">
        <w:rPr>
          <w:rStyle w:val="FootnoteReference"/>
          <w:rFonts w:cs="Arial"/>
          <w:sz w:val="22"/>
          <w:szCs w:val="22"/>
        </w:rPr>
        <w:footnoteReference w:id="1"/>
      </w:r>
      <w:r w:rsidRPr="00F05BED">
        <w:rPr>
          <w:rFonts w:cs="Arial"/>
          <w:sz w:val="22"/>
          <w:szCs w:val="22"/>
        </w:rPr>
        <w:t xml:space="preserve"> based on </w:t>
      </w:r>
      <w:r w:rsidR="00A466CA">
        <w:rPr>
          <w:rFonts w:cs="Arial"/>
          <w:sz w:val="22"/>
          <w:szCs w:val="22"/>
        </w:rPr>
        <w:t>i</w:t>
      </w:r>
      <w:r w:rsidR="00A466CA" w:rsidRPr="00F05BED">
        <w:rPr>
          <w:rFonts w:cs="Arial"/>
          <w:sz w:val="22"/>
          <w:szCs w:val="22"/>
        </w:rPr>
        <w:t>nput</w:t>
      </w:r>
      <w:r w:rsidRPr="00F05BED">
        <w:rPr>
          <w:rFonts w:cs="Arial"/>
          <w:sz w:val="22"/>
          <w:szCs w:val="22"/>
        </w:rPr>
        <w:t>-</w:t>
      </w:r>
      <w:r w:rsidR="00A466CA">
        <w:rPr>
          <w:rFonts w:cs="Arial"/>
          <w:sz w:val="22"/>
          <w:szCs w:val="22"/>
        </w:rPr>
        <w:t>o</w:t>
      </w:r>
      <w:r w:rsidR="00A466CA" w:rsidRPr="00F05BED">
        <w:rPr>
          <w:rFonts w:cs="Arial"/>
          <w:sz w:val="22"/>
          <w:szCs w:val="22"/>
        </w:rPr>
        <w:t xml:space="preserve">utput </w:t>
      </w:r>
      <w:r w:rsidRPr="00F05BED">
        <w:rPr>
          <w:rFonts w:cs="Arial"/>
          <w:sz w:val="22"/>
          <w:szCs w:val="22"/>
        </w:rPr>
        <w:t xml:space="preserve">tables to understand the changes in productivity performance of the New Zealand </w:t>
      </w:r>
      <w:r w:rsidR="005428D8">
        <w:rPr>
          <w:rFonts w:cs="Arial"/>
          <w:sz w:val="22"/>
          <w:szCs w:val="22"/>
        </w:rPr>
        <w:t>transport industry</w:t>
      </w:r>
      <w:r w:rsidRPr="00F05BED">
        <w:rPr>
          <w:rFonts w:cs="Arial"/>
          <w:sz w:val="22"/>
          <w:szCs w:val="22"/>
        </w:rPr>
        <w:t xml:space="preserve"> at a sub-industry level over time.</w:t>
      </w:r>
    </w:p>
    <w:p w:rsidR="000B34A2" w:rsidRPr="00F05BED" w:rsidRDefault="000B34A2" w:rsidP="00F05BED">
      <w:pPr>
        <w:pStyle w:val="Default"/>
        <w:spacing w:line="320" w:lineRule="atLeast"/>
        <w:rPr>
          <w:rFonts w:cs="Arial"/>
          <w:sz w:val="22"/>
          <w:szCs w:val="22"/>
        </w:rPr>
      </w:pPr>
    </w:p>
    <w:p w:rsidR="003A305A" w:rsidRPr="00F05BED" w:rsidRDefault="003A305A" w:rsidP="00DA6B17">
      <w:pPr>
        <w:pStyle w:val="Default"/>
        <w:numPr>
          <w:ilvl w:val="1"/>
          <w:numId w:val="3"/>
        </w:numPr>
        <w:spacing w:line="320" w:lineRule="atLeast"/>
        <w:ind w:left="567" w:hanging="567"/>
        <w:rPr>
          <w:rFonts w:cs="Arial"/>
          <w:b/>
          <w:i/>
          <w:sz w:val="22"/>
          <w:szCs w:val="22"/>
        </w:rPr>
      </w:pPr>
      <w:r w:rsidRPr="00F05BED">
        <w:rPr>
          <w:rFonts w:cs="Arial"/>
          <w:b/>
          <w:i/>
          <w:sz w:val="22"/>
          <w:szCs w:val="22"/>
        </w:rPr>
        <w:t>Methodology</w:t>
      </w:r>
    </w:p>
    <w:p w:rsidR="00B52743" w:rsidRPr="00AD73E4" w:rsidRDefault="00461DA9" w:rsidP="00DA6B17">
      <w:pPr>
        <w:pStyle w:val="ListParagraph"/>
        <w:numPr>
          <w:ilvl w:val="2"/>
          <w:numId w:val="3"/>
        </w:numPr>
        <w:autoSpaceDE w:val="0"/>
        <w:autoSpaceDN w:val="0"/>
        <w:adjustRightInd w:val="0"/>
        <w:spacing w:line="320" w:lineRule="atLeast"/>
        <w:rPr>
          <w:rFonts w:cs="Arial"/>
          <w:i/>
          <w:sz w:val="22"/>
          <w:szCs w:val="22"/>
          <w:u w:val="single"/>
          <w:lang w:eastAsia="en-NZ"/>
        </w:rPr>
      </w:pPr>
      <w:r w:rsidRPr="00AD73E4">
        <w:rPr>
          <w:rFonts w:cs="Arial"/>
          <w:i/>
          <w:sz w:val="22"/>
          <w:szCs w:val="22"/>
          <w:u w:val="single"/>
          <w:lang w:eastAsia="en-NZ"/>
        </w:rPr>
        <w:t>OECD’s gross-output-</w:t>
      </w:r>
      <w:r w:rsidR="0036047A" w:rsidRPr="00AD73E4">
        <w:rPr>
          <w:rFonts w:cs="Arial"/>
          <w:i/>
          <w:sz w:val="22"/>
          <w:szCs w:val="22"/>
          <w:u w:val="single"/>
          <w:lang w:eastAsia="en-NZ"/>
        </w:rPr>
        <w:t>based measure</w:t>
      </w:r>
    </w:p>
    <w:p w:rsidR="003A305A" w:rsidRPr="00F05BED" w:rsidRDefault="00C732FF" w:rsidP="00F05BED">
      <w:pPr>
        <w:pStyle w:val="Default"/>
        <w:spacing w:line="320" w:lineRule="atLeast"/>
        <w:rPr>
          <w:rFonts w:ascii="Arial" w:hAnsi="Arial" w:cs="Arial"/>
          <w:color w:val="auto"/>
          <w:sz w:val="22"/>
          <w:szCs w:val="22"/>
        </w:rPr>
      </w:pPr>
      <w:r w:rsidRPr="00F05BED">
        <w:rPr>
          <w:rFonts w:ascii="Arial" w:hAnsi="Arial" w:cs="Arial"/>
          <w:color w:val="auto"/>
          <w:sz w:val="22"/>
          <w:szCs w:val="22"/>
        </w:rPr>
        <w:t xml:space="preserve">This measure estimates </w:t>
      </w:r>
      <w:r w:rsidR="00DC294A">
        <w:rPr>
          <w:rFonts w:ascii="Arial" w:hAnsi="Arial" w:cs="Arial"/>
          <w:color w:val="auto"/>
          <w:sz w:val="22"/>
          <w:szCs w:val="22"/>
        </w:rPr>
        <w:t xml:space="preserve">MFP </w:t>
      </w:r>
      <w:r w:rsidR="00D070FA" w:rsidRPr="00F05BED">
        <w:rPr>
          <w:rFonts w:ascii="Arial" w:hAnsi="Arial" w:cs="Arial"/>
          <w:color w:val="auto"/>
          <w:sz w:val="22"/>
          <w:szCs w:val="22"/>
        </w:rPr>
        <w:t xml:space="preserve">based on </w:t>
      </w:r>
      <w:r w:rsidR="003A305A" w:rsidRPr="00F05BED">
        <w:rPr>
          <w:rFonts w:ascii="Arial" w:hAnsi="Arial" w:cs="Arial"/>
          <w:color w:val="auto"/>
          <w:sz w:val="22"/>
          <w:szCs w:val="22"/>
        </w:rPr>
        <w:t xml:space="preserve">growth in gross output </w:t>
      </w:r>
      <w:r w:rsidR="0095286F" w:rsidRPr="00F05BED">
        <w:rPr>
          <w:rFonts w:ascii="Arial" w:hAnsi="Arial" w:cs="Arial"/>
          <w:color w:val="auto"/>
          <w:sz w:val="22"/>
          <w:szCs w:val="22"/>
        </w:rPr>
        <w:t xml:space="preserve">in relation to change in labour, capital and intermediate inputs. </w:t>
      </w:r>
      <w:r w:rsidRPr="00F05BED">
        <w:rPr>
          <w:rFonts w:ascii="Arial" w:hAnsi="Arial" w:cs="Arial"/>
          <w:color w:val="auto"/>
          <w:sz w:val="22"/>
          <w:szCs w:val="22"/>
        </w:rPr>
        <w:t xml:space="preserve">Under this approach, </w:t>
      </w:r>
      <w:r w:rsidR="00DC294A">
        <w:rPr>
          <w:rFonts w:ascii="Arial" w:hAnsi="Arial" w:cs="Arial"/>
          <w:color w:val="auto"/>
          <w:sz w:val="22"/>
          <w:szCs w:val="22"/>
        </w:rPr>
        <w:t>MFP</w:t>
      </w:r>
      <w:r w:rsidRPr="00F05BED">
        <w:rPr>
          <w:rFonts w:ascii="Arial" w:hAnsi="Arial" w:cs="Arial"/>
          <w:color w:val="auto"/>
          <w:sz w:val="22"/>
          <w:szCs w:val="22"/>
        </w:rPr>
        <w:t xml:space="preserve"> for</w:t>
      </w:r>
      <w:r w:rsidR="003A305A" w:rsidRPr="00F05BED">
        <w:rPr>
          <w:rFonts w:ascii="Arial" w:hAnsi="Arial" w:cs="Arial"/>
          <w:color w:val="auto"/>
          <w:sz w:val="22"/>
          <w:szCs w:val="22"/>
        </w:rPr>
        <w:t xml:space="preserve"> individual </w:t>
      </w:r>
      <w:r w:rsidR="003A305A" w:rsidRPr="00F05BED">
        <w:rPr>
          <w:rFonts w:ascii="Arial" w:hAnsi="Arial" w:cs="Arial"/>
          <w:color w:val="auto"/>
          <w:sz w:val="22"/>
          <w:szCs w:val="22"/>
        </w:rPr>
        <w:lastRenderedPageBreak/>
        <w:t xml:space="preserve">industries and </w:t>
      </w:r>
      <w:r w:rsidR="0066448B" w:rsidRPr="00F05BED">
        <w:rPr>
          <w:rFonts w:ascii="Arial" w:hAnsi="Arial" w:cs="Arial"/>
          <w:color w:val="auto"/>
          <w:sz w:val="22"/>
          <w:szCs w:val="22"/>
        </w:rPr>
        <w:t xml:space="preserve">the </w:t>
      </w:r>
      <w:r w:rsidR="003A305A" w:rsidRPr="00F05BED">
        <w:rPr>
          <w:rFonts w:ascii="Arial" w:hAnsi="Arial" w:cs="Arial"/>
          <w:color w:val="auto"/>
          <w:sz w:val="22"/>
          <w:szCs w:val="22"/>
        </w:rPr>
        <w:t xml:space="preserve">whole economy could be </w:t>
      </w:r>
      <w:r w:rsidR="00B74C1F" w:rsidRPr="00F05BED">
        <w:rPr>
          <w:rFonts w:ascii="Arial" w:hAnsi="Arial" w:cs="Arial"/>
          <w:color w:val="auto"/>
          <w:sz w:val="22"/>
          <w:szCs w:val="22"/>
        </w:rPr>
        <w:t xml:space="preserve">calculated using </w:t>
      </w:r>
      <w:r w:rsidR="0095286F" w:rsidRPr="00F05BED">
        <w:rPr>
          <w:rFonts w:ascii="Arial" w:hAnsi="Arial" w:cs="Arial"/>
          <w:color w:val="auto"/>
          <w:sz w:val="22"/>
          <w:szCs w:val="22"/>
        </w:rPr>
        <w:t>expression</w:t>
      </w:r>
      <w:r w:rsidR="00B74C1F" w:rsidRPr="00F05BED">
        <w:rPr>
          <w:rFonts w:ascii="Arial" w:hAnsi="Arial" w:cs="Arial"/>
          <w:color w:val="auto"/>
          <w:sz w:val="22"/>
          <w:szCs w:val="22"/>
        </w:rPr>
        <w:t>s</w:t>
      </w:r>
      <w:r w:rsidR="00461DA9" w:rsidRPr="00F05BED">
        <w:rPr>
          <w:rFonts w:ascii="Arial" w:hAnsi="Arial" w:cs="Arial"/>
          <w:color w:val="auto"/>
          <w:sz w:val="22"/>
          <w:szCs w:val="22"/>
        </w:rPr>
        <w:t xml:space="preserve"> (1) and (2)</w:t>
      </w:r>
      <w:r w:rsidR="0095286F" w:rsidRPr="00F05BED">
        <w:rPr>
          <w:rFonts w:ascii="Arial" w:hAnsi="Arial" w:cs="Arial"/>
          <w:color w:val="auto"/>
          <w:sz w:val="22"/>
          <w:szCs w:val="22"/>
        </w:rPr>
        <w:t>.</w:t>
      </w:r>
      <w:r w:rsidR="00786750" w:rsidRPr="00F05BED">
        <w:rPr>
          <w:rFonts w:ascii="Arial" w:hAnsi="Arial" w:cs="Arial"/>
          <w:color w:val="auto"/>
          <w:sz w:val="22"/>
          <w:szCs w:val="22"/>
        </w:rPr>
        <w:t xml:space="preserve"> </w:t>
      </w:r>
      <w:r w:rsidR="007665E2">
        <w:rPr>
          <w:rFonts w:ascii="Arial" w:hAnsi="Arial" w:cs="Arial"/>
          <w:color w:val="auto"/>
          <w:sz w:val="22"/>
          <w:szCs w:val="22"/>
        </w:rPr>
        <w:t>(Source: OECD</w:t>
      </w:r>
      <w:r w:rsidR="000B0B96" w:rsidRPr="00F05BED">
        <w:rPr>
          <w:rFonts w:ascii="Arial" w:hAnsi="Arial" w:cs="Arial"/>
          <w:color w:val="auto"/>
          <w:sz w:val="22"/>
          <w:szCs w:val="22"/>
        </w:rPr>
        <w:t>, 2001)</w:t>
      </w:r>
      <w:r w:rsidR="00D070FA" w:rsidRPr="00F05BED">
        <w:rPr>
          <w:rFonts w:ascii="Arial" w:hAnsi="Arial" w:cs="Arial"/>
          <w:color w:val="auto"/>
          <w:sz w:val="22"/>
          <w:szCs w:val="22"/>
        </w:rPr>
        <w:t>.</w:t>
      </w:r>
      <w:r w:rsidR="0095286F" w:rsidRPr="00F05BED">
        <w:rPr>
          <w:rFonts w:ascii="Arial" w:hAnsi="Arial" w:cs="Arial"/>
          <w:color w:val="auto"/>
          <w:sz w:val="22"/>
          <w:szCs w:val="22"/>
        </w:rPr>
        <w:t xml:space="preserve"> </w:t>
      </w:r>
    </w:p>
    <w:p w:rsidR="00343121" w:rsidRPr="00F05BED" w:rsidRDefault="00343121" w:rsidP="00F05BED">
      <w:pPr>
        <w:pStyle w:val="Default"/>
        <w:spacing w:line="320" w:lineRule="atLeast"/>
        <w:rPr>
          <w:rFonts w:ascii="Arial" w:hAnsi="Arial" w:cs="Arial"/>
          <w:color w:val="auto"/>
          <w:sz w:val="22"/>
          <w:szCs w:val="22"/>
        </w:rPr>
      </w:pPr>
    </w:p>
    <w:p w:rsidR="003A305A" w:rsidRPr="00F05BED" w:rsidRDefault="0091264A" w:rsidP="00F05BED">
      <w:pPr>
        <w:spacing w:line="320" w:lineRule="atLeast"/>
        <w:rPr>
          <w:i/>
          <w:sz w:val="22"/>
          <w:szCs w:val="22"/>
        </w:rPr>
      </w:pPr>
      <m:oMath>
        <m:sSub>
          <m:sSubPr>
            <m:ctrlPr>
              <w:rPr>
                <w:rFonts w:ascii="Cambria Math" w:hAnsi="Cambria Math"/>
                <w:i/>
                <w:sz w:val="22"/>
                <w:szCs w:val="22"/>
              </w:rPr>
            </m:ctrlPr>
          </m:sSubPr>
          <m:e>
            <m:r>
              <w:rPr>
                <w:rFonts w:ascii="Cambria Math" w:hAnsi="Cambria Math"/>
                <w:sz w:val="22"/>
                <w:szCs w:val="22"/>
              </w:rPr>
              <m:t>MFP</m:t>
            </m:r>
          </m:e>
          <m:sub>
            <m:r>
              <w:rPr>
                <w:rFonts w:ascii="Cambria Math" w:hAnsi="Cambria Math"/>
                <w:sz w:val="22"/>
                <w:szCs w:val="22"/>
              </w:rPr>
              <m:t>industry j</m:t>
            </m:r>
          </m:sub>
        </m:sSub>
        <m:r>
          <w:rPr>
            <w:rFonts w:ascii="Cambria Math" w:hAnsi="Cambria Math"/>
            <w:sz w:val="22"/>
            <w:szCs w:val="22"/>
          </w:rPr>
          <m:t>(go)</m:t>
        </m:r>
        <m:r>
          <w:rPr>
            <w:rFonts w:ascii="Cambria Math" w:eastAsia="Cambria Math" w:hAnsi="Cambria Math" w:cs="Cambria Math"/>
            <w:sz w:val="22"/>
            <w:szCs w:val="22"/>
          </w:rPr>
          <m:t>=</m:t>
        </m:r>
        <m:f>
          <m:fPr>
            <m:ctrlPr>
              <w:rPr>
                <w:rFonts w:ascii="Cambria Math" w:eastAsia="Cambria Math" w:hAnsi="Cambria Math" w:cs="Cambria Math"/>
                <w:i/>
                <w:sz w:val="22"/>
                <w:szCs w:val="22"/>
              </w:rPr>
            </m:ctrlPr>
          </m:fPr>
          <m:num>
            <m:sSub>
              <m:sSubPr>
                <m:ctrlPr>
                  <w:rPr>
                    <w:rFonts w:ascii="Cambria Math" w:eastAsia="Cambria Math" w:hAnsi="Cambria Math" w:cs="Cambria Math"/>
                    <w:i/>
                    <w:sz w:val="22"/>
                    <w:szCs w:val="22"/>
                  </w:rPr>
                </m:ctrlPr>
              </m:sSubPr>
              <m:e>
                <m:r>
                  <w:rPr>
                    <w:rFonts w:ascii="Cambria Math" w:eastAsia="Cambria Math" w:hAnsi="Cambria Math" w:cs="Cambria Math"/>
                    <w:sz w:val="22"/>
                    <w:szCs w:val="22"/>
                  </w:rPr>
                  <m:t>go</m:t>
                </m:r>
              </m:e>
              <m:sub>
                <m:r>
                  <w:rPr>
                    <w:rFonts w:ascii="Cambria Math" w:eastAsia="Cambria Math" w:hAnsi="Cambria Math" w:cs="Cambria Math"/>
                    <w:sz w:val="22"/>
                    <w:szCs w:val="22"/>
                  </w:rPr>
                  <m:t>j</m:t>
                </m:r>
              </m:sub>
            </m:sSub>
            <m:r>
              <w:rPr>
                <w:rFonts w:ascii="Cambria Math" w:eastAsia="Cambria Math" w:hAnsi="Cambria Math" w:cs="Cambria Math"/>
                <w:sz w:val="22"/>
                <w:szCs w:val="22"/>
              </w:rPr>
              <m:t>(qty index)</m:t>
            </m:r>
          </m:num>
          <m:den>
            <m:sSup>
              <m:sSupPr>
                <m:ctrlPr>
                  <w:rPr>
                    <w:rFonts w:ascii="Cambria Math" w:eastAsia="Cambria Math" w:hAnsi="Cambria Math" w:cs="Cambria Math"/>
                    <w:i/>
                    <w:sz w:val="22"/>
                    <w:szCs w:val="22"/>
                  </w:rPr>
                </m:ctrlPr>
              </m:sSupPr>
              <m:e>
                <m:sSub>
                  <m:sSubPr>
                    <m:ctrlPr>
                      <w:rPr>
                        <w:rFonts w:ascii="Cambria Math" w:eastAsia="Cambria Math" w:hAnsi="Cambria Math" w:cs="Cambria Math"/>
                        <w:i/>
                        <w:sz w:val="22"/>
                        <w:szCs w:val="22"/>
                      </w:rPr>
                    </m:ctrlPr>
                  </m:sSubPr>
                  <m:e>
                    <m:r>
                      <w:rPr>
                        <w:rFonts w:ascii="Cambria Math" w:eastAsia="Cambria Math" w:hAnsi="Cambria Math" w:cs="Cambria Math"/>
                        <w:sz w:val="22"/>
                        <w:szCs w:val="22"/>
                      </w:rPr>
                      <m:t>ic</m:t>
                    </m:r>
                  </m:e>
                  <m:sub>
                    <m:r>
                      <w:rPr>
                        <w:rFonts w:ascii="Cambria Math" w:eastAsia="Cambria Math" w:hAnsi="Cambria Math" w:cs="Cambria Math"/>
                        <w:sz w:val="22"/>
                        <w:szCs w:val="22"/>
                      </w:rPr>
                      <m:t>j</m:t>
                    </m:r>
                  </m:sub>
                </m:sSub>
                <m:r>
                  <w:rPr>
                    <w:rFonts w:ascii="Cambria Math" w:eastAsia="Cambria Math" w:hAnsi="Cambria Math" w:cs="Cambria Math"/>
                    <w:sz w:val="22"/>
                    <w:szCs w:val="22"/>
                  </w:rPr>
                  <m:t>(qty index)</m:t>
                </m:r>
              </m:e>
              <m:sup>
                <m:sSubSup>
                  <m:sSubSupPr>
                    <m:ctrlPr>
                      <w:rPr>
                        <w:rFonts w:ascii="Cambria Math" w:eastAsia="Cambria Math" w:hAnsi="Cambria Math" w:cs="Cambria Math"/>
                        <w:i/>
                        <w:sz w:val="22"/>
                        <w:szCs w:val="22"/>
                      </w:rPr>
                    </m:ctrlPr>
                  </m:sSubSupPr>
                  <m:e>
                    <m:r>
                      <w:rPr>
                        <w:rFonts w:ascii="Cambria Math" w:eastAsia="Cambria Math" w:hAnsi="Cambria Math" w:cs="Cambria Math"/>
                        <w:sz w:val="22"/>
                        <w:szCs w:val="22"/>
                      </w:rPr>
                      <m:t xml:space="preserve"> W</m:t>
                    </m:r>
                  </m:e>
                  <m:sub>
                    <m:r>
                      <w:rPr>
                        <w:rFonts w:ascii="Cambria Math" w:eastAsia="Cambria Math" w:hAnsi="Cambria Math" w:cs="Cambria Math"/>
                        <w:sz w:val="22"/>
                        <w:szCs w:val="22"/>
                      </w:rPr>
                      <m:t>j</m:t>
                    </m:r>
                  </m:sub>
                  <m:sup>
                    <m:r>
                      <w:rPr>
                        <w:rFonts w:ascii="Cambria Math" w:eastAsia="Cambria Math" w:hAnsi="Cambria Math" w:cs="Cambria Math"/>
                        <w:sz w:val="22"/>
                        <w:szCs w:val="22"/>
                      </w:rPr>
                      <m:t>ic/go</m:t>
                    </m:r>
                  </m:sup>
                </m:sSubSup>
                <m:r>
                  <w:rPr>
                    <w:rFonts w:ascii="Cambria Math" w:eastAsia="Cambria Math" w:hAnsi="Cambria Math" w:cs="Cambria Math"/>
                    <w:sz w:val="22"/>
                    <w:szCs w:val="22"/>
                  </w:rPr>
                  <m:t>(avg)</m:t>
                </m:r>
              </m:sup>
            </m:sSup>
            <m:r>
              <w:rPr>
                <w:rFonts w:ascii="Cambria Math" w:eastAsia="Cambria Math" w:hAnsi="Cambria Math" w:cs="Cambria Math"/>
                <w:sz w:val="22"/>
                <w:szCs w:val="22"/>
              </w:rPr>
              <m:t xml:space="preserve">* </m:t>
            </m:r>
            <m:sSup>
              <m:sSupPr>
                <m:ctrlPr>
                  <w:rPr>
                    <w:rFonts w:ascii="Cambria Math" w:eastAsia="Cambria Math" w:hAnsi="Cambria Math" w:cs="Cambria Math"/>
                    <w:i/>
                    <w:sz w:val="22"/>
                    <w:szCs w:val="22"/>
                  </w:rPr>
                </m:ctrlPr>
              </m:sSupPr>
              <m:e>
                <m:sSub>
                  <m:sSubPr>
                    <m:ctrlPr>
                      <w:rPr>
                        <w:rFonts w:ascii="Cambria Math" w:eastAsia="Cambria Math" w:hAnsi="Cambria Math" w:cs="Cambria Math"/>
                        <w:i/>
                        <w:sz w:val="22"/>
                        <w:szCs w:val="22"/>
                      </w:rPr>
                    </m:ctrlPr>
                  </m:sSubPr>
                  <m:e>
                    <m:r>
                      <w:rPr>
                        <w:rFonts w:ascii="Cambria Math" w:eastAsia="Cambria Math" w:hAnsi="Cambria Math" w:cs="Cambria Math"/>
                        <w:sz w:val="22"/>
                        <w:szCs w:val="22"/>
                      </w:rPr>
                      <m:t>va</m:t>
                    </m:r>
                  </m:e>
                  <m:sub>
                    <m:r>
                      <w:rPr>
                        <w:rFonts w:ascii="Cambria Math" w:eastAsia="Cambria Math" w:hAnsi="Cambria Math" w:cs="Cambria Math"/>
                        <w:sz w:val="22"/>
                        <w:szCs w:val="22"/>
                      </w:rPr>
                      <m:t>j</m:t>
                    </m:r>
                  </m:sub>
                </m:sSub>
                <m:r>
                  <w:rPr>
                    <w:rFonts w:ascii="Cambria Math" w:eastAsia="Cambria Math" w:hAnsi="Cambria Math" w:cs="Cambria Math"/>
                    <w:sz w:val="22"/>
                    <w:szCs w:val="22"/>
                  </w:rPr>
                  <m:t>(qty index)</m:t>
                </m:r>
              </m:e>
              <m:sup>
                <m:sSubSup>
                  <m:sSubSupPr>
                    <m:ctrlPr>
                      <w:rPr>
                        <w:rFonts w:ascii="Cambria Math" w:eastAsia="Cambria Math" w:hAnsi="Cambria Math" w:cs="Cambria Math"/>
                        <w:i/>
                        <w:sz w:val="22"/>
                        <w:szCs w:val="22"/>
                      </w:rPr>
                    </m:ctrlPr>
                  </m:sSubSupPr>
                  <m:e>
                    <m:r>
                      <w:rPr>
                        <w:rFonts w:ascii="Cambria Math" w:eastAsia="Cambria Math" w:hAnsi="Cambria Math" w:cs="Cambria Math"/>
                        <w:sz w:val="22"/>
                        <w:szCs w:val="22"/>
                      </w:rPr>
                      <m:t xml:space="preserve"> W</m:t>
                    </m:r>
                  </m:e>
                  <m:sub>
                    <m:r>
                      <w:rPr>
                        <w:rFonts w:ascii="Cambria Math" w:eastAsia="Cambria Math" w:hAnsi="Cambria Math" w:cs="Cambria Math"/>
                        <w:sz w:val="22"/>
                        <w:szCs w:val="22"/>
                      </w:rPr>
                      <m:t>j</m:t>
                    </m:r>
                  </m:sub>
                  <m:sup>
                    <m:r>
                      <w:rPr>
                        <w:rFonts w:ascii="Cambria Math" w:eastAsia="Cambria Math" w:hAnsi="Cambria Math" w:cs="Cambria Math"/>
                        <w:sz w:val="22"/>
                        <w:szCs w:val="22"/>
                      </w:rPr>
                      <m:t>va/go</m:t>
                    </m:r>
                  </m:sup>
                </m:sSubSup>
                <m:r>
                  <w:rPr>
                    <w:rFonts w:ascii="Cambria Math" w:eastAsia="Cambria Math" w:hAnsi="Cambria Math" w:cs="Cambria Math"/>
                    <w:sz w:val="22"/>
                    <w:szCs w:val="22"/>
                  </w:rPr>
                  <m:t>(avg)</m:t>
                </m:r>
              </m:sup>
            </m:sSup>
          </m:den>
        </m:f>
      </m:oMath>
      <w:r w:rsidR="00C158C4" w:rsidRPr="00F05BED">
        <w:rPr>
          <w:i/>
          <w:sz w:val="22"/>
          <w:szCs w:val="22"/>
        </w:rPr>
        <w:t xml:space="preserve"> </w:t>
      </w:r>
      <w:r w:rsidR="008D5534">
        <w:rPr>
          <w:i/>
          <w:sz w:val="22"/>
          <w:szCs w:val="22"/>
        </w:rPr>
        <w:tab/>
      </w:r>
      <w:r w:rsidR="00343121" w:rsidRPr="00F05BED">
        <w:rPr>
          <w:i/>
          <w:sz w:val="22"/>
          <w:szCs w:val="22"/>
        </w:rPr>
        <w:tab/>
      </w:r>
      <w:r w:rsidR="00343121" w:rsidRPr="00F05BED">
        <w:rPr>
          <w:sz w:val="22"/>
          <w:szCs w:val="22"/>
        </w:rPr>
        <w:t>(1)</w:t>
      </w:r>
    </w:p>
    <w:p w:rsidR="003A305A" w:rsidRPr="00F05BED" w:rsidRDefault="0091264A" w:rsidP="00F05BED">
      <w:pPr>
        <w:spacing w:line="320" w:lineRule="atLeast"/>
        <w:rPr>
          <w:sz w:val="22"/>
          <w:szCs w:val="22"/>
        </w:rPr>
      </w:pPr>
      <m:oMath>
        <m:sSub>
          <m:sSubPr>
            <m:ctrlPr>
              <w:rPr>
                <w:rFonts w:ascii="Cambria Math" w:hAnsi="Cambria Math"/>
                <w:i/>
                <w:sz w:val="22"/>
                <w:szCs w:val="22"/>
              </w:rPr>
            </m:ctrlPr>
          </m:sSubPr>
          <m:e>
            <m:r>
              <w:rPr>
                <w:rFonts w:ascii="Cambria Math" w:hAnsi="Cambria Math"/>
                <w:sz w:val="22"/>
                <w:szCs w:val="22"/>
              </w:rPr>
              <m:t>MFP</m:t>
            </m:r>
          </m:e>
          <m:sub>
            <m:r>
              <w:rPr>
                <w:rFonts w:ascii="Cambria Math" w:hAnsi="Cambria Math"/>
                <w:sz w:val="22"/>
                <w:szCs w:val="22"/>
              </w:rPr>
              <m:t>economy</m:t>
            </m:r>
          </m:sub>
        </m:sSub>
        <m:r>
          <w:rPr>
            <w:rFonts w:ascii="Cambria Math" w:hAnsi="Cambria Math"/>
            <w:sz w:val="22"/>
            <w:szCs w:val="22"/>
          </w:rPr>
          <m:t>(go)=</m:t>
        </m:r>
        <m:nary>
          <m:naryPr>
            <m:chr m:val="∏"/>
            <m:limLoc m:val="subSup"/>
            <m:ctrlPr>
              <w:rPr>
                <w:rFonts w:ascii="Cambria Math" w:hAnsi="Cambria Math"/>
                <w:i/>
                <w:sz w:val="22"/>
                <w:szCs w:val="22"/>
              </w:rPr>
            </m:ctrlPr>
          </m:naryPr>
          <m:sub>
            <m:r>
              <w:rPr>
                <w:rFonts w:ascii="Cambria Math" w:hAnsi="Cambria Math"/>
                <w:sz w:val="22"/>
                <w:szCs w:val="22"/>
              </w:rPr>
              <m:t>j=1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MFP</m:t>
                </m:r>
              </m:e>
              <m:sub>
                <m:r>
                  <w:rPr>
                    <w:rFonts w:ascii="Cambria Math" w:hAnsi="Cambria Math"/>
                    <w:sz w:val="22"/>
                    <w:szCs w:val="22"/>
                  </w:rPr>
                  <m:t>j</m:t>
                </m:r>
              </m:sub>
            </m:sSub>
            <m:sSup>
              <m:sSupPr>
                <m:ctrlPr>
                  <w:rPr>
                    <w:rFonts w:ascii="Cambria Math" w:hAnsi="Cambria Math"/>
                    <w:i/>
                    <w:sz w:val="22"/>
                    <w:szCs w:val="22"/>
                  </w:rPr>
                </m:ctrlPr>
              </m:sSupPr>
              <m:e>
                <m:r>
                  <w:rPr>
                    <w:rFonts w:ascii="Cambria Math" w:hAnsi="Cambria Math"/>
                    <w:sz w:val="22"/>
                    <w:szCs w:val="22"/>
                  </w:rPr>
                  <m:t>(go)</m:t>
                </m:r>
              </m:e>
              <m:sup>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j</m:t>
                    </m:r>
                  </m:sub>
                </m:sSub>
                <m:r>
                  <w:rPr>
                    <w:rFonts w:ascii="Cambria Math" w:hAnsi="Cambria Math"/>
                    <w:sz w:val="22"/>
                    <w:szCs w:val="22"/>
                  </w:rPr>
                  <m:t>(domar)</m:t>
                </m:r>
              </m:sup>
            </m:sSup>
          </m:e>
        </m:nary>
      </m:oMath>
      <w:r w:rsidR="00C158C4" w:rsidRPr="00F05BED">
        <w:rPr>
          <w:sz w:val="22"/>
          <w:szCs w:val="22"/>
        </w:rPr>
        <w:t xml:space="preserve">         </w:t>
      </w:r>
      <w:r w:rsidR="00F40BAF" w:rsidRPr="00F05BED">
        <w:rPr>
          <w:sz w:val="22"/>
          <w:szCs w:val="22"/>
        </w:rPr>
        <w:t xml:space="preserve">                              </w:t>
      </w:r>
      <w:r w:rsidR="00343121" w:rsidRPr="00F05BED">
        <w:rPr>
          <w:sz w:val="22"/>
          <w:szCs w:val="22"/>
        </w:rPr>
        <w:tab/>
      </w:r>
      <w:r w:rsidR="00F40BAF" w:rsidRPr="00F05BED">
        <w:rPr>
          <w:sz w:val="22"/>
          <w:szCs w:val="22"/>
        </w:rPr>
        <w:t>(2</w:t>
      </w:r>
      <w:r w:rsidR="00C158C4" w:rsidRPr="00F05BED">
        <w:rPr>
          <w:sz w:val="22"/>
          <w:szCs w:val="22"/>
        </w:rPr>
        <w:t>)</w:t>
      </w:r>
    </w:p>
    <w:p w:rsidR="00343121" w:rsidRPr="00F05BED" w:rsidRDefault="00343121" w:rsidP="00F05BED">
      <w:pPr>
        <w:pStyle w:val="Default"/>
        <w:spacing w:line="320" w:lineRule="atLeast"/>
        <w:rPr>
          <w:rFonts w:ascii="Arial" w:hAnsi="Arial" w:cs="Arial"/>
          <w:color w:val="auto"/>
          <w:sz w:val="22"/>
          <w:szCs w:val="22"/>
        </w:rPr>
      </w:pPr>
    </w:p>
    <w:p w:rsidR="00D070FA" w:rsidRPr="00F05BED" w:rsidRDefault="00461DA9" w:rsidP="00F05BED">
      <w:pPr>
        <w:pStyle w:val="Default"/>
        <w:spacing w:line="320" w:lineRule="atLeast"/>
        <w:rPr>
          <w:rFonts w:ascii="Arial" w:hAnsi="Arial" w:cs="Arial"/>
          <w:color w:val="auto"/>
          <w:sz w:val="22"/>
          <w:szCs w:val="22"/>
        </w:rPr>
      </w:pPr>
      <w:proofErr w:type="gramStart"/>
      <w:r w:rsidRPr="00F05BED">
        <w:rPr>
          <w:rFonts w:ascii="Arial" w:hAnsi="Arial" w:cs="Arial"/>
          <w:color w:val="auto"/>
          <w:sz w:val="22"/>
          <w:szCs w:val="22"/>
        </w:rPr>
        <w:t>where</w:t>
      </w:r>
      <w:proofErr w:type="gramEnd"/>
      <w:r w:rsidRPr="00F05BED">
        <w:rPr>
          <w:rFonts w:ascii="Arial" w:hAnsi="Arial" w:cs="Arial"/>
          <w:color w:val="auto"/>
          <w:sz w:val="22"/>
          <w:szCs w:val="22"/>
        </w:rPr>
        <w:t xml:space="preserve"> </w:t>
      </w:r>
      <w:r w:rsidR="007665E2" w:rsidRPr="00657BC2">
        <w:rPr>
          <w:rFonts w:ascii="Arial" w:hAnsi="Arial" w:cs="Arial"/>
          <w:i/>
          <w:color w:val="auto"/>
          <w:sz w:val="22"/>
          <w:szCs w:val="22"/>
        </w:rPr>
        <w:t>go</w:t>
      </w:r>
      <w:r w:rsidR="007665E2">
        <w:rPr>
          <w:rFonts w:ascii="Arial" w:hAnsi="Arial" w:cs="Arial"/>
          <w:color w:val="auto"/>
          <w:sz w:val="22"/>
          <w:szCs w:val="22"/>
        </w:rPr>
        <w:t xml:space="preserve"> = gross output; </w:t>
      </w:r>
      <w:proofErr w:type="spellStart"/>
      <w:r w:rsidR="00786750" w:rsidRPr="00657BC2">
        <w:rPr>
          <w:rFonts w:ascii="Arial" w:hAnsi="Arial" w:cs="Arial"/>
          <w:i/>
          <w:color w:val="auto"/>
          <w:sz w:val="22"/>
          <w:szCs w:val="22"/>
        </w:rPr>
        <w:t>va</w:t>
      </w:r>
      <w:proofErr w:type="spellEnd"/>
      <w:r w:rsidR="00A466CA">
        <w:rPr>
          <w:rFonts w:ascii="Arial" w:hAnsi="Arial" w:cs="Arial"/>
          <w:i/>
          <w:color w:val="auto"/>
          <w:sz w:val="22"/>
          <w:szCs w:val="22"/>
        </w:rPr>
        <w:t xml:space="preserve"> </w:t>
      </w:r>
      <w:r w:rsidR="00D070FA" w:rsidRPr="00F05BED">
        <w:rPr>
          <w:rFonts w:ascii="Arial" w:hAnsi="Arial" w:cs="Arial"/>
          <w:color w:val="auto"/>
          <w:sz w:val="22"/>
          <w:szCs w:val="22"/>
        </w:rPr>
        <w:t>=</w:t>
      </w:r>
      <w:r w:rsidR="00A466CA">
        <w:rPr>
          <w:rFonts w:ascii="Arial" w:hAnsi="Arial" w:cs="Arial"/>
          <w:color w:val="auto"/>
          <w:sz w:val="22"/>
          <w:szCs w:val="22"/>
        </w:rPr>
        <w:t xml:space="preserve"> </w:t>
      </w:r>
      <w:r w:rsidRPr="00F05BED">
        <w:rPr>
          <w:rFonts w:ascii="Arial" w:hAnsi="Arial" w:cs="Arial"/>
          <w:color w:val="auto"/>
          <w:sz w:val="22"/>
          <w:szCs w:val="22"/>
        </w:rPr>
        <w:t>Value-added</w:t>
      </w:r>
      <w:r w:rsidR="00D070FA" w:rsidRPr="00F05BED">
        <w:rPr>
          <w:rFonts w:ascii="Arial" w:hAnsi="Arial" w:cs="Arial"/>
          <w:color w:val="auto"/>
          <w:sz w:val="22"/>
          <w:szCs w:val="22"/>
        </w:rPr>
        <w:t xml:space="preserve">; </w:t>
      </w:r>
      <w:proofErr w:type="spellStart"/>
      <w:r w:rsidR="00D070FA" w:rsidRPr="00F05BED">
        <w:rPr>
          <w:rFonts w:ascii="Arial" w:hAnsi="Arial" w:cs="Arial"/>
          <w:i/>
          <w:color w:val="auto"/>
          <w:sz w:val="22"/>
          <w:szCs w:val="22"/>
        </w:rPr>
        <w:t>domar</w:t>
      </w:r>
      <w:proofErr w:type="spellEnd"/>
      <w:r w:rsidR="00FB4582" w:rsidRPr="00F05BED">
        <w:rPr>
          <w:rFonts w:ascii="Arial" w:hAnsi="Arial" w:cs="Arial"/>
          <w:color w:val="auto"/>
          <w:sz w:val="22"/>
          <w:szCs w:val="22"/>
        </w:rPr>
        <w:t xml:space="preserve"> = </w:t>
      </w:r>
      <w:proofErr w:type="spellStart"/>
      <w:r w:rsidR="00FB4582" w:rsidRPr="00F05BED">
        <w:rPr>
          <w:rFonts w:ascii="Arial" w:hAnsi="Arial" w:cs="Arial"/>
          <w:color w:val="auto"/>
          <w:sz w:val="22"/>
          <w:szCs w:val="22"/>
        </w:rPr>
        <w:t>domar</w:t>
      </w:r>
      <w:proofErr w:type="spellEnd"/>
      <w:r w:rsidR="00FB4582" w:rsidRPr="00F05BED">
        <w:rPr>
          <w:rFonts w:ascii="Arial" w:hAnsi="Arial" w:cs="Arial"/>
          <w:color w:val="auto"/>
          <w:sz w:val="22"/>
          <w:szCs w:val="22"/>
        </w:rPr>
        <w:t xml:space="preserve"> weights; ‘</w:t>
      </w:r>
      <w:r w:rsidR="00D070FA" w:rsidRPr="00F05BED">
        <w:rPr>
          <w:rFonts w:ascii="Arial" w:hAnsi="Arial" w:cs="Arial"/>
          <w:i/>
          <w:color w:val="auto"/>
          <w:sz w:val="22"/>
          <w:szCs w:val="22"/>
        </w:rPr>
        <w:t>w</w:t>
      </w:r>
      <w:r w:rsidR="00FB4582" w:rsidRPr="00F05BED">
        <w:rPr>
          <w:rFonts w:ascii="Arial" w:hAnsi="Arial" w:cs="Arial"/>
          <w:color w:val="auto"/>
          <w:sz w:val="22"/>
          <w:szCs w:val="22"/>
        </w:rPr>
        <w:t xml:space="preserve"> ‘denotes weights;</w:t>
      </w:r>
      <w:r w:rsidR="006E7AFD" w:rsidRPr="00F05BED">
        <w:rPr>
          <w:rFonts w:ascii="Arial" w:hAnsi="Arial" w:cs="Arial"/>
          <w:color w:val="auto"/>
          <w:sz w:val="22"/>
          <w:szCs w:val="22"/>
        </w:rPr>
        <w:t xml:space="preserve"> </w:t>
      </w:r>
      <w:r w:rsidR="00FB4582" w:rsidRPr="00F05BED">
        <w:rPr>
          <w:rFonts w:ascii="Arial" w:hAnsi="Arial" w:cs="Arial"/>
          <w:color w:val="auto"/>
          <w:sz w:val="22"/>
          <w:szCs w:val="22"/>
        </w:rPr>
        <w:t>‘</w:t>
      </w:r>
      <w:r w:rsidR="00D070FA" w:rsidRPr="00F05BED">
        <w:rPr>
          <w:rFonts w:ascii="Arial" w:hAnsi="Arial" w:cs="Arial"/>
          <w:i/>
          <w:color w:val="auto"/>
          <w:sz w:val="22"/>
          <w:szCs w:val="22"/>
        </w:rPr>
        <w:t>j</w:t>
      </w:r>
      <w:r w:rsidR="00FB4582" w:rsidRPr="00F05BED">
        <w:rPr>
          <w:rFonts w:ascii="Arial" w:hAnsi="Arial" w:cs="Arial"/>
          <w:i/>
          <w:color w:val="auto"/>
          <w:sz w:val="22"/>
          <w:szCs w:val="22"/>
        </w:rPr>
        <w:t>’</w:t>
      </w:r>
      <w:r w:rsidR="00D070FA" w:rsidRPr="00F05BED">
        <w:rPr>
          <w:rFonts w:ascii="Arial" w:hAnsi="Arial" w:cs="Arial"/>
          <w:color w:val="auto"/>
          <w:sz w:val="22"/>
          <w:szCs w:val="22"/>
        </w:rPr>
        <w:t xml:space="preserve"> denotes ind</w:t>
      </w:r>
      <w:r w:rsidR="00657BC2">
        <w:rPr>
          <w:rFonts w:ascii="Arial" w:hAnsi="Arial" w:cs="Arial"/>
          <w:color w:val="auto"/>
          <w:sz w:val="22"/>
          <w:szCs w:val="22"/>
        </w:rPr>
        <w:t>ustry and</w:t>
      </w:r>
      <w:r w:rsidR="00D070FA" w:rsidRPr="00F05BED">
        <w:rPr>
          <w:rFonts w:ascii="Arial" w:hAnsi="Arial" w:cs="Arial"/>
          <w:color w:val="auto"/>
          <w:sz w:val="22"/>
          <w:szCs w:val="22"/>
        </w:rPr>
        <w:t xml:space="preserve"> </w:t>
      </w:r>
      <w:r w:rsidR="006E7AFD" w:rsidRPr="00F05BED">
        <w:rPr>
          <w:rFonts w:ascii="Arial" w:hAnsi="Arial" w:cs="Arial"/>
          <w:color w:val="auto"/>
          <w:sz w:val="22"/>
          <w:szCs w:val="22"/>
        </w:rPr>
        <w:t>‘</w:t>
      </w:r>
      <w:proofErr w:type="spellStart"/>
      <w:r w:rsidR="00D070FA" w:rsidRPr="00F05BED">
        <w:rPr>
          <w:rFonts w:ascii="Arial" w:hAnsi="Arial" w:cs="Arial"/>
          <w:i/>
          <w:color w:val="auto"/>
          <w:sz w:val="22"/>
          <w:szCs w:val="22"/>
        </w:rPr>
        <w:t>avg</w:t>
      </w:r>
      <w:proofErr w:type="spellEnd"/>
      <w:r w:rsidR="006E7AFD" w:rsidRPr="00F05BED">
        <w:rPr>
          <w:rFonts w:ascii="Arial" w:hAnsi="Arial" w:cs="Arial"/>
          <w:i/>
          <w:color w:val="auto"/>
          <w:sz w:val="22"/>
          <w:szCs w:val="22"/>
        </w:rPr>
        <w:t>’</w:t>
      </w:r>
      <w:r w:rsidR="00FB4582" w:rsidRPr="00F05BED">
        <w:rPr>
          <w:rFonts w:ascii="Arial" w:hAnsi="Arial" w:cs="Arial"/>
          <w:color w:val="auto"/>
          <w:sz w:val="22"/>
          <w:szCs w:val="22"/>
        </w:rPr>
        <w:t xml:space="preserve"> denotes average</w:t>
      </w:r>
      <w:r w:rsidR="00657BC2">
        <w:rPr>
          <w:rFonts w:ascii="Arial" w:hAnsi="Arial" w:cs="Arial"/>
          <w:color w:val="auto"/>
          <w:sz w:val="22"/>
          <w:szCs w:val="22"/>
        </w:rPr>
        <w:t>.</w:t>
      </w:r>
      <w:r w:rsidR="00FB4582" w:rsidRPr="00F05BED">
        <w:rPr>
          <w:rFonts w:ascii="Arial" w:hAnsi="Arial" w:cs="Arial"/>
          <w:color w:val="auto"/>
          <w:sz w:val="22"/>
          <w:szCs w:val="22"/>
        </w:rPr>
        <w:t xml:space="preserve"> </w:t>
      </w:r>
      <w:r w:rsidR="006E7AFD" w:rsidRPr="00F05BED">
        <w:rPr>
          <w:rFonts w:ascii="Arial" w:hAnsi="Arial" w:cs="Arial"/>
          <w:i/>
          <w:color w:val="auto"/>
          <w:sz w:val="22"/>
          <w:szCs w:val="22"/>
        </w:rPr>
        <w:t>‘</w:t>
      </w:r>
      <w:proofErr w:type="gramStart"/>
      <w:r w:rsidR="00D070FA" w:rsidRPr="00F05BED">
        <w:rPr>
          <w:rFonts w:ascii="Arial" w:hAnsi="Arial" w:cs="Arial"/>
          <w:i/>
          <w:color w:val="auto"/>
          <w:sz w:val="22"/>
          <w:szCs w:val="22"/>
        </w:rPr>
        <w:t>qty</w:t>
      </w:r>
      <w:proofErr w:type="gramEnd"/>
      <w:r w:rsidR="00D070FA" w:rsidRPr="00F05BED">
        <w:rPr>
          <w:rFonts w:ascii="Arial" w:hAnsi="Arial" w:cs="Arial"/>
          <w:i/>
          <w:color w:val="auto"/>
          <w:sz w:val="22"/>
          <w:szCs w:val="22"/>
        </w:rPr>
        <w:t xml:space="preserve"> index</w:t>
      </w:r>
      <w:r w:rsidR="006E7AFD" w:rsidRPr="00F05BED">
        <w:rPr>
          <w:rFonts w:ascii="Arial" w:hAnsi="Arial" w:cs="Arial"/>
          <w:i/>
          <w:color w:val="auto"/>
          <w:sz w:val="22"/>
          <w:szCs w:val="22"/>
        </w:rPr>
        <w:t xml:space="preserve">’ </w:t>
      </w:r>
      <w:r w:rsidR="00D070FA" w:rsidRPr="00F05BED">
        <w:rPr>
          <w:rFonts w:ascii="Arial" w:hAnsi="Arial" w:cs="Arial"/>
          <w:color w:val="auto"/>
          <w:sz w:val="22"/>
          <w:szCs w:val="22"/>
        </w:rPr>
        <w:t xml:space="preserve"> is derived by deflating respective variable</w:t>
      </w:r>
      <w:r w:rsidR="00C158C4" w:rsidRPr="00F05BED">
        <w:rPr>
          <w:rFonts w:ascii="Arial" w:hAnsi="Arial" w:cs="Arial"/>
          <w:color w:val="auto"/>
          <w:sz w:val="22"/>
          <w:szCs w:val="22"/>
        </w:rPr>
        <w:t>s</w:t>
      </w:r>
      <w:r w:rsidR="00D070FA" w:rsidRPr="00F05BED">
        <w:rPr>
          <w:rFonts w:ascii="Arial" w:hAnsi="Arial" w:cs="Arial"/>
          <w:color w:val="auto"/>
          <w:sz w:val="22"/>
          <w:szCs w:val="22"/>
        </w:rPr>
        <w:t xml:space="preserve"> by </w:t>
      </w:r>
      <w:r w:rsidR="00FB4582" w:rsidRPr="00F05BED">
        <w:rPr>
          <w:rFonts w:ascii="Arial" w:hAnsi="Arial" w:cs="Arial"/>
          <w:color w:val="auto"/>
          <w:sz w:val="22"/>
          <w:szCs w:val="22"/>
        </w:rPr>
        <w:t xml:space="preserve">their </w:t>
      </w:r>
      <w:r w:rsidR="00D070FA" w:rsidRPr="00F05BED">
        <w:rPr>
          <w:rFonts w:ascii="Arial" w:hAnsi="Arial" w:cs="Arial"/>
          <w:color w:val="auto"/>
          <w:sz w:val="22"/>
          <w:szCs w:val="22"/>
        </w:rPr>
        <w:t>price ind</w:t>
      </w:r>
      <w:r w:rsidR="00C158C4" w:rsidRPr="00F05BED">
        <w:rPr>
          <w:rFonts w:ascii="Arial" w:hAnsi="Arial" w:cs="Arial"/>
          <w:color w:val="auto"/>
          <w:sz w:val="22"/>
          <w:szCs w:val="22"/>
        </w:rPr>
        <w:t>ices</w:t>
      </w:r>
      <w:r w:rsidR="00D070FA" w:rsidRPr="00F05BED">
        <w:rPr>
          <w:rFonts w:ascii="Arial" w:hAnsi="Arial" w:cs="Arial"/>
          <w:color w:val="auto"/>
          <w:sz w:val="22"/>
          <w:szCs w:val="22"/>
        </w:rPr>
        <w:t>.</w:t>
      </w:r>
    </w:p>
    <w:p w:rsidR="00786750" w:rsidRPr="00F05BED" w:rsidRDefault="00786750" w:rsidP="00F05BED">
      <w:pPr>
        <w:pStyle w:val="Default"/>
        <w:spacing w:line="320" w:lineRule="atLeast"/>
        <w:rPr>
          <w:rFonts w:ascii="Arial" w:hAnsi="Arial" w:cs="Arial"/>
          <w:color w:val="auto"/>
          <w:sz w:val="22"/>
          <w:szCs w:val="22"/>
        </w:rPr>
      </w:pPr>
    </w:p>
    <w:p w:rsidR="00B52743" w:rsidRPr="00AD73E4" w:rsidRDefault="00461DA9" w:rsidP="00DA6B17">
      <w:pPr>
        <w:pStyle w:val="ListParagraph"/>
        <w:numPr>
          <w:ilvl w:val="2"/>
          <w:numId w:val="3"/>
        </w:numPr>
        <w:autoSpaceDE w:val="0"/>
        <w:autoSpaceDN w:val="0"/>
        <w:adjustRightInd w:val="0"/>
        <w:spacing w:line="320" w:lineRule="atLeast"/>
        <w:rPr>
          <w:rFonts w:cs="Arial"/>
          <w:i/>
          <w:sz w:val="22"/>
          <w:szCs w:val="22"/>
          <w:u w:val="single"/>
          <w:lang w:eastAsia="en-NZ"/>
        </w:rPr>
      </w:pPr>
      <w:r w:rsidRPr="00AD73E4">
        <w:rPr>
          <w:rFonts w:cs="Arial"/>
          <w:i/>
          <w:sz w:val="22"/>
          <w:szCs w:val="22"/>
          <w:u w:val="single"/>
          <w:lang w:eastAsia="en-NZ"/>
        </w:rPr>
        <w:t>OECD’s value-added-</w:t>
      </w:r>
      <w:r w:rsidR="0036047A" w:rsidRPr="00AD73E4">
        <w:rPr>
          <w:rFonts w:cs="Arial"/>
          <w:i/>
          <w:sz w:val="22"/>
          <w:szCs w:val="22"/>
          <w:u w:val="single"/>
          <w:lang w:eastAsia="en-NZ"/>
        </w:rPr>
        <w:t xml:space="preserve">based </w:t>
      </w:r>
      <w:r w:rsidR="005E1F1A" w:rsidRPr="00AD73E4">
        <w:rPr>
          <w:rFonts w:cs="Arial"/>
          <w:i/>
          <w:sz w:val="22"/>
          <w:szCs w:val="22"/>
          <w:u w:val="single"/>
          <w:lang w:eastAsia="en-NZ"/>
        </w:rPr>
        <w:t xml:space="preserve">measure </w:t>
      </w:r>
    </w:p>
    <w:p w:rsidR="00B74C1F" w:rsidRPr="00F05BED" w:rsidRDefault="00461DA9" w:rsidP="00F05BED">
      <w:pPr>
        <w:pStyle w:val="Default"/>
        <w:spacing w:line="320" w:lineRule="atLeast"/>
        <w:rPr>
          <w:rFonts w:ascii="Arial" w:hAnsi="Arial" w:cs="Arial"/>
          <w:color w:val="auto"/>
          <w:sz w:val="22"/>
          <w:szCs w:val="22"/>
        </w:rPr>
      </w:pPr>
      <w:r w:rsidRPr="00F05BED">
        <w:rPr>
          <w:rFonts w:ascii="Arial" w:hAnsi="Arial" w:cs="Arial"/>
          <w:color w:val="auto"/>
          <w:sz w:val="22"/>
          <w:szCs w:val="22"/>
        </w:rPr>
        <w:t>The value-added-</w:t>
      </w:r>
      <w:r w:rsidR="0095286F" w:rsidRPr="00F05BED">
        <w:rPr>
          <w:rFonts w:ascii="Arial" w:hAnsi="Arial" w:cs="Arial"/>
          <w:color w:val="auto"/>
          <w:sz w:val="22"/>
          <w:szCs w:val="22"/>
        </w:rPr>
        <w:t xml:space="preserve">based </w:t>
      </w:r>
      <w:r w:rsidR="00786750" w:rsidRPr="00F05BED">
        <w:rPr>
          <w:rFonts w:ascii="Arial" w:hAnsi="Arial" w:cs="Arial"/>
          <w:color w:val="auto"/>
          <w:sz w:val="22"/>
          <w:szCs w:val="22"/>
        </w:rPr>
        <w:t>approach uses s</w:t>
      </w:r>
      <w:r w:rsidR="00DC294A">
        <w:rPr>
          <w:rFonts w:ascii="Arial" w:hAnsi="Arial" w:cs="Arial"/>
          <w:color w:val="auto"/>
          <w:sz w:val="22"/>
          <w:szCs w:val="22"/>
        </w:rPr>
        <w:t>imilar information as the gross-output-b</w:t>
      </w:r>
      <w:r w:rsidR="00FA6862">
        <w:rPr>
          <w:rFonts w:ascii="Arial" w:hAnsi="Arial" w:cs="Arial"/>
          <w:color w:val="auto"/>
          <w:sz w:val="22"/>
          <w:szCs w:val="22"/>
        </w:rPr>
        <w:t>a</w:t>
      </w:r>
      <w:r w:rsidR="00DC294A">
        <w:rPr>
          <w:rFonts w:ascii="Arial" w:hAnsi="Arial" w:cs="Arial"/>
          <w:color w:val="auto"/>
          <w:sz w:val="22"/>
          <w:szCs w:val="22"/>
        </w:rPr>
        <w:t xml:space="preserve">sed </w:t>
      </w:r>
      <w:r w:rsidR="00786750" w:rsidRPr="00F05BED">
        <w:rPr>
          <w:rFonts w:ascii="Arial" w:hAnsi="Arial" w:cs="Arial"/>
          <w:color w:val="auto"/>
          <w:sz w:val="22"/>
          <w:szCs w:val="22"/>
        </w:rPr>
        <w:t>approach. However, under the value-added approach</w:t>
      </w:r>
      <w:r w:rsidR="0066448B" w:rsidRPr="00F05BED">
        <w:rPr>
          <w:rFonts w:ascii="Arial" w:hAnsi="Arial" w:cs="Arial"/>
          <w:color w:val="auto"/>
          <w:sz w:val="22"/>
          <w:szCs w:val="22"/>
        </w:rPr>
        <w:t xml:space="preserve">, information on gross output and intermediate consumption are used </w:t>
      </w:r>
      <w:r w:rsidR="005527CB">
        <w:rPr>
          <w:rFonts w:ascii="Arial" w:hAnsi="Arial" w:cs="Arial"/>
          <w:color w:val="auto"/>
          <w:sz w:val="22"/>
          <w:szCs w:val="22"/>
        </w:rPr>
        <w:t>f</w:t>
      </w:r>
      <w:r w:rsidR="0066448B" w:rsidRPr="00F05BED">
        <w:rPr>
          <w:rFonts w:ascii="Arial" w:hAnsi="Arial" w:cs="Arial"/>
          <w:color w:val="auto"/>
          <w:sz w:val="22"/>
          <w:szCs w:val="22"/>
        </w:rPr>
        <w:t>o</w:t>
      </w:r>
      <w:r w:rsidR="005527CB">
        <w:rPr>
          <w:rFonts w:ascii="Arial" w:hAnsi="Arial" w:cs="Arial"/>
          <w:color w:val="auto"/>
          <w:sz w:val="22"/>
          <w:szCs w:val="22"/>
        </w:rPr>
        <w:t>r generating</w:t>
      </w:r>
      <w:r w:rsidR="0066448B" w:rsidRPr="00F05BED">
        <w:rPr>
          <w:rFonts w:ascii="Arial" w:hAnsi="Arial" w:cs="Arial"/>
          <w:color w:val="auto"/>
          <w:sz w:val="22"/>
          <w:szCs w:val="22"/>
        </w:rPr>
        <w:t xml:space="preserve"> the </w:t>
      </w:r>
      <w:r w:rsidR="00657BC2">
        <w:rPr>
          <w:rFonts w:ascii="Arial" w:hAnsi="Arial" w:cs="Arial"/>
          <w:color w:val="auto"/>
          <w:sz w:val="22"/>
          <w:szCs w:val="22"/>
        </w:rPr>
        <w:t>price index for value-added</w:t>
      </w:r>
      <w:r w:rsidR="00B81D1B" w:rsidRPr="00F05BED">
        <w:rPr>
          <w:rFonts w:ascii="Arial" w:hAnsi="Arial" w:cs="Arial"/>
          <w:color w:val="auto"/>
          <w:sz w:val="22"/>
          <w:szCs w:val="22"/>
        </w:rPr>
        <w:t xml:space="preserve"> </w:t>
      </w:r>
      <w:r w:rsidR="004839E1">
        <w:rPr>
          <w:rFonts w:ascii="Arial" w:hAnsi="Arial" w:cs="Arial"/>
          <w:color w:val="auto"/>
          <w:sz w:val="22"/>
          <w:szCs w:val="22"/>
        </w:rPr>
        <w:t xml:space="preserve">but not </w:t>
      </w:r>
      <w:r w:rsidR="005527CB">
        <w:rPr>
          <w:rFonts w:ascii="Arial" w:hAnsi="Arial" w:cs="Arial"/>
          <w:color w:val="auto"/>
          <w:sz w:val="22"/>
          <w:szCs w:val="22"/>
        </w:rPr>
        <w:t xml:space="preserve">for </w:t>
      </w:r>
      <w:r w:rsidR="000B0B96" w:rsidRPr="00F05BED">
        <w:rPr>
          <w:rFonts w:ascii="Arial" w:hAnsi="Arial" w:cs="Arial"/>
          <w:color w:val="auto"/>
          <w:sz w:val="22"/>
          <w:szCs w:val="22"/>
        </w:rPr>
        <w:t xml:space="preserve">estimating the </w:t>
      </w:r>
      <w:r w:rsidR="007665E2">
        <w:rPr>
          <w:rFonts w:ascii="Arial" w:hAnsi="Arial" w:cs="Arial"/>
          <w:color w:val="auto"/>
          <w:sz w:val="22"/>
          <w:szCs w:val="22"/>
        </w:rPr>
        <w:t>MFP</w:t>
      </w:r>
      <w:r w:rsidR="004839E1">
        <w:rPr>
          <w:rFonts w:ascii="Arial" w:hAnsi="Arial" w:cs="Arial"/>
          <w:color w:val="auto"/>
          <w:sz w:val="22"/>
          <w:szCs w:val="22"/>
        </w:rPr>
        <w:t xml:space="preserve"> explicitly</w:t>
      </w:r>
      <w:r w:rsidR="0066448B" w:rsidRPr="00F05BED">
        <w:rPr>
          <w:rFonts w:ascii="Arial" w:hAnsi="Arial" w:cs="Arial"/>
          <w:color w:val="auto"/>
          <w:sz w:val="22"/>
          <w:szCs w:val="22"/>
        </w:rPr>
        <w:t>.</w:t>
      </w:r>
      <w:r w:rsidR="003A305A" w:rsidRPr="00F05BED">
        <w:rPr>
          <w:rFonts w:ascii="Arial" w:hAnsi="Arial" w:cs="Arial"/>
          <w:color w:val="auto"/>
          <w:sz w:val="22"/>
          <w:szCs w:val="22"/>
        </w:rPr>
        <w:t xml:space="preserve"> In brief, the </w:t>
      </w:r>
      <w:r w:rsidR="007665E2">
        <w:rPr>
          <w:rFonts w:ascii="Arial" w:hAnsi="Arial" w:cs="Arial"/>
          <w:color w:val="auto"/>
          <w:sz w:val="22"/>
          <w:szCs w:val="22"/>
        </w:rPr>
        <w:t xml:space="preserve">MFP </w:t>
      </w:r>
      <w:r w:rsidR="003A305A" w:rsidRPr="00F05BED">
        <w:rPr>
          <w:rFonts w:ascii="Arial" w:hAnsi="Arial" w:cs="Arial"/>
          <w:color w:val="auto"/>
          <w:sz w:val="22"/>
          <w:szCs w:val="22"/>
        </w:rPr>
        <w:t xml:space="preserve">for individual industries and </w:t>
      </w:r>
      <w:r w:rsidR="002A6A59" w:rsidRPr="00F05BED">
        <w:rPr>
          <w:rFonts w:ascii="Arial" w:hAnsi="Arial" w:cs="Arial"/>
          <w:color w:val="auto"/>
          <w:sz w:val="22"/>
          <w:szCs w:val="22"/>
        </w:rPr>
        <w:t xml:space="preserve">the </w:t>
      </w:r>
      <w:r w:rsidR="003A305A" w:rsidRPr="00F05BED">
        <w:rPr>
          <w:rFonts w:ascii="Arial" w:hAnsi="Arial" w:cs="Arial"/>
          <w:color w:val="auto"/>
          <w:sz w:val="22"/>
          <w:szCs w:val="22"/>
        </w:rPr>
        <w:t xml:space="preserve">whole economy </w:t>
      </w:r>
      <w:r w:rsidR="00B74C1F" w:rsidRPr="00F05BED">
        <w:rPr>
          <w:rFonts w:ascii="Arial" w:hAnsi="Arial" w:cs="Arial"/>
          <w:color w:val="auto"/>
          <w:sz w:val="22"/>
          <w:szCs w:val="22"/>
        </w:rPr>
        <w:t xml:space="preserve">are given by </w:t>
      </w:r>
      <w:r w:rsidRPr="00F05BED">
        <w:rPr>
          <w:rFonts w:ascii="Arial" w:hAnsi="Arial" w:cs="Arial"/>
          <w:color w:val="auto"/>
          <w:sz w:val="22"/>
          <w:szCs w:val="22"/>
        </w:rPr>
        <w:t>expressions (3) and (4)</w:t>
      </w:r>
      <w:r w:rsidR="0066448B" w:rsidRPr="00F05BED">
        <w:rPr>
          <w:rFonts w:ascii="Arial" w:hAnsi="Arial" w:cs="Arial"/>
          <w:color w:val="auto"/>
          <w:sz w:val="22"/>
          <w:szCs w:val="22"/>
        </w:rPr>
        <w:t xml:space="preserve"> (</w:t>
      </w:r>
      <w:r w:rsidR="000B0B96" w:rsidRPr="00F05BED">
        <w:rPr>
          <w:rFonts w:ascii="Arial" w:hAnsi="Arial" w:cs="Arial"/>
          <w:color w:val="auto"/>
          <w:sz w:val="22"/>
          <w:szCs w:val="22"/>
        </w:rPr>
        <w:t>Source: OECD, 2001</w:t>
      </w:r>
      <w:r w:rsidR="0066448B" w:rsidRPr="00F05BED">
        <w:rPr>
          <w:rFonts w:ascii="Arial" w:hAnsi="Arial" w:cs="Arial"/>
          <w:color w:val="auto"/>
          <w:sz w:val="22"/>
          <w:szCs w:val="22"/>
        </w:rPr>
        <w:t>)</w:t>
      </w:r>
      <w:r w:rsidR="00B74C1F" w:rsidRPr="00F05BED">
        <w:rPr>
          <w:rFonts w:ascii="Arial" w:hAnsi="Arial" w:cs="Arial"/>
          <w:color w:val="auto"/>
          <w:sz w:val="22"/>
          <w:szCs w:val="22"/>
        </w:rPr>
        <w:t xml:space="preserve">. </w:t>
      </w:r>
    </w:p>
    <w:p w:rsidR="003A305A" w:rsidRPr="00F05BED" w:rsidRDefault="003A305A" w:rsidP="00F05BED">
      <w:pPr>
        <w:pStyle w:val="Default"/>
        <w:spacing w:line="320" w:lineRule="atLeast"/>
        <w:rPr>
          <w:rFonts w:ascii="Arial" w:hAnsi="Arial" w:cs="Arial"/>
          <w:color w:val="auto"/>
          <w:sz w:val="22"/>
          <w:szCs w:val="22"/>
        </w:rPr>
      </w:pPr>
    </w:p>
    <w:p w:rsidR="003A305A" w:rsidRPr="00F05BED" w:rsidRDefault="0091264A" w:rsidP="00F05BED">
      <w:pPr>
        <w:spacing w:line="320" w:lineRule="atLeast"/>
        <w:rPr>
          <w:sz w:val="22"/>
          <w:szCs w:val="22"/>
        </w:rPr>
      </w:pPr>
      <m:oMath>
        <m:sSub>
          <m:sSubPr>
            <m:ctrlPr>
              <w:rPr>
                <w:rFonts w:ascii="Cambria Math" w:hAnsi="Cambria Math"/>
                <w:i/>
                <w:sz w:val="22"/>
                <w:szCs w:val="22"/>
              </w:rPr>
            </m:ctrlPr>
          </m:sSubPr>
          <m:e>
            <m:r>
              <w:rPr>
                <w:rFonts w:ascii="Cambria Math" w:hAnsi="Cambria Math"/>
                <w:sz w:val="22"/>
                <w:szCs w:val="22"/>
              </w:rPr>
              <m:t>MFP</m:t>
            </m:r>
          </m:e>
          <m:sub>
            <m:r>
              <w:rPr>
                <w:rFonts w:ascii="Cambria Math" w:hAnsi="Cambria Math"/>
                <w:sz w:val="22"/>
                <w:szCs w:val="22"/>
              </w:rPr>
              <m:t>industry j</m:t>
            </m:r>
          </m:sub>
        </m:sSub>
        <m:r>
          <w:rPr>
            <w:rFonts w:ascii="Cambria Math" w:eastAsia="Cambria Math" w:hAnsi="Cambria Math" w:cs="Cambria Math"/>
            <w:sz w:val="22"/>
            <w:szCs w:val="22"/>
          </w:rPr>
          <m:t>(va)=</m:t>
        </m:r>
        <m:f>
          <m:fPr>
            <m:ctrlPr>
              <w:rPr>
                <w:rFonts w:ascii="Cambria Math" w:eastAsia="Cambria Math" w:hAnsi="Cambria Math" w:cs="Cambria Math"/>
                <w:sz w:val="22"/>
                <w:szCs w:val="22"/>
              </w:rPr>
            </m:ctrlPr>
          </m:fPr>
          <m:num>
            <m:sSub>
              <m:sSubPr>
                <m:ctrlPr>
                  <w:rPr>
                    <w:rFonts w:ascii="Cambria Math" w:eastAsia="Cambria Math" w:hAnsi="Cambria Math" w:cs="Cambria Math"/>
                    <w:i/>
                    <w:sz w:val="22"/>
                    <w:szCs w:val="22"/>
                  </w:rPr>
                </m:ctrlPr>
              </m:sSubPr>
              <m:e>
                <m:r>
                  <w:rPr>
                    <w:rFonts w:ascii="Cambria Math" w:eastAsia="Cambria Math" w:hAnsi="Cambria Math" w:cs="Cambria Math"/>
                    <w:sz w:val="22"/>
                    <w:szCs w:val="22"/>
                  </w:rPr>
                  <m:t>va</m:t>
                </m:r>
              </m:e>
              <m:sub>
                <m:r>
                  <w:rPr>
                    <w:rFonts w:ascii="Cambria Math" w:eastAsia="Cambria Math" w:hAnsi="Cambria Math" w:cs="Cambria Math"/>
                    <w:sz w:val="22"/>
                    <w:szCs w:val="22"/>
                  </w:rPr>
                  <m:t>j</m:t>
                </m:r>
              </m:sub>
            </m:sSub>
            <m:d>
              <m:dPr>
                <m:ctrlPr>
                  <w:rPr>
                    <w:rFonts w:ascii="Cambria Math" w:eastAsia="Cambria Math" w:hAnsi="Cambria Math" w:cs="Cambria Math"/>
                    <w:i/>
                    <w:sz w:val="22"/>
                    <w:szCs w:val="22"/>
                  </w:rPr>
                </m:ctrlPr>
              </m:dPr>
              <m:e>
                <m:r>
                  <w:rPr>
                    <w:rFonts w:ascii="Cambria Math" w:eastAsia="Cambria Math" w:hAnsi="Cambria Math" w:cs="Cambria Math"/>
                    <w:sz w:val="22"/>
                    <w:szCs w:val="22"/>
                  </w:rPr>
                  <m:t>qty index</m:t>
                </m:r>
              </m:e>
            </m:d>
          </m:num>
          <m:den>
            <m:sSup>
              <m:sSupPr>
                <m:ctrlPr>
                  <w:rPr>
                    <w:rFonts w:ascii="Cambria Math" w:eastAsia="Cambria Math" w:hAnsi="Cambria Math" w:cs="Cambria Math"/>
                    <w:i/>
                    <w:sz w:val="22"/>
                    <w:szCs w:val="22"/>
                  </w:rPr>
                </m:ctrlPr>
              </m:sSupPr>
              <m:e>
                <m:sSub>
                  <m:sSubPr>
                    <m:ctrlPr>
                      <w:rPr>
                        <w:rFonts w:ascii="Cambria Math" w:eastAsia="Cambria Math" w:hAnsi="Cambria Math" w:cs="Cambria Math"/>
                        <w:i/>
                        <w:sz w:val="22"/>
                        <w:szCs w:val="22"/>
                      </w:rPr>
                    </m:ctrlPr>
                  </m:sSubPr>
                  <m:e>
                    <m:r>
                      <w:rPr>
                        <w:rFonts w:ascii="Cambria Math" w:eastAsia="Cambria Math" w:hAnsi="Cambria Math" w:cs="Cambria Math"/>
                        <w:sz w:val="22"/>
                        <w:szCs w:val="22"/>
                      </w:rPr>
                      <m:t>l</m:t>
                    </m:r>
                  </m:e>
                  <m:sub>
                    <m:r>
                      <w:rPr>
                        <w:rFonts w:ascii="Cambria Math" w:eastAsia="Cambria Math" w:hAnsi="Cambria Math" w:cs="Cambria Math"/>
                        <w:sz w:val="22"/>
                        <w:szCs w:val="22"/>
                      </w:rPr>
                      <m:t>j</m:t>
                    </m:r>
                  </m:sub>
                </m:sSub>
                <m:d>
                  <m:dPr>
                    <m:ctrlPr>
                      <w:rPr>
                        <w:rFonts w:ascii="Cambria Math" w:eastAsia="Cambria Math" w:hAnsi="Cambria Math" w:cs="Cambria Math"/>
                        <w:i/>
                        <w:sz w:val="22"/>
                        <w:szCs w:val="22"/>
                      </w:rPr>
                    </m:ctrlPr>
                  </m:dPr>
                  <m:e>
                    <m:r>
                      <w:rPr>
                        <w:rFonts w:ascii="Cambria Math" w:eastAsia="Cambria Math" w:hAnsi="Cambria Math" w:cs="Cambria Math"/>
                        <w:sz w:val="22"/>
                        <w:szCs w:val="22"/>
                      </w:rPr>
                      <m:t>qty index</m:t>
                    </m:r>
                  </m:e>
                </m:d>
              </m:e>
              <m:sup>
                <m:sSubSup>
                  <m:sSubSupPr>
                    <m:ctrlPr>
                      <w:rPr>
                        <w:rFonts w:ascii="Cambria Math" w:eastAsia="Cambria Math" w:hAnsi="Cambria Math" w:cs="Cambria Math"/>
                        <w:i/>
                        <w:sz w:val="22"/>
                        <w:szCs w:val="22"/>
                      </w:rPr>
                    </m:ctrlPr>
                  </m:sSubSupPr>
                  <m:e>
                    <m:r>
                      <w:rPr>
                        <w:rFonts w:ascii="Cambria Math" w:eastAsia="Cambria Math" w:hAnsi="Cambria Math" w:cs="Cambria Math"/>
                        <w:sz w:val="22"/>
                        <w:szCs w:val="22"/>
                      </w:rPr>
                      <m:t>w</m:t>
                    </m:r>
                  </m:e>
                  <m:sub>
                    <m:r>
                      <w:rPr>
                        <w:rFonts w:ascii="Cambria Math" w:eastAsia="Cambria Math" w:hAnsi="Cambria Math" w:cs="Cambria Math"/>
                        <w:sz w:val="22"/>
                        <w:szCs w:val="22"/>
                      </w:rPr>
                      <m:t>j</m:t>
                    </m:r>
                  </m:sub>
                  <m:sup>
                    <m:r>
                      <w:rPr>
                        <w:rFonts w:ascii="Cambria Math" w:eastAsia="Cambria Math" w:hAnsi="Cambria Math" w:cs="Cambria Math"/>
                        <w:sz w:val="22"/>
                        <w:szCs w:val="22"/>
                      </w:rPr>
                      <m:t>l</m:t>
                    </m:r>
                  </m:sup>
                </m:sSubSup>
                <m:d>
                  <m:dPr>
                    <m:ctrlPr>
                      <w:rPr>
                        <w:rFonts w:ascii="Cambria Math" w:eastAsia="Cambria Math" w:hAnsi="Cambria Math" w:cs="Cambria Math"/>
                        <w:i/>
                        <w:sz w:val="22"/>
                        <w:szCs w:val="22"/>
                      </w:rPr>
                    </m:ctrlPr>
                  </m:dPr>
                  <m:e>
                    <m:r>
                      <w:rPr>
                        <w:rFonts w:ascii="Cambria Math" w:eastAsia="Cambria Math" w:hAnsi="Cambria Math" w:cs="Cambria Math"/>
                        <w:sz w:val="22"/>
                        <w:szCs w:val="22"/>
                      </w:rPr>
                      <m:t>avg</m:t>
                    </m:r>
                  </m:e>
                </m:d>
              </m:sup>
            </m:sSup>
            <m:r>
              <w:rPr>
                <w:rFonts w:ascii="Cambria Math" w:eastAsia="Cambria Math" w:hAnsi="Cambria Math" w:cs="Cambria Math"/>
                <w:sz w:val="22"/>
                <w:szCs w:val="22"/>
              </w:rPr>
              <m:t>*</m:t>
            </m:r>
            <m:sSup>
              <m:sSupPr>
                <m:ctrlPr>
                  <w:rPr>
                    <w:rFonts w:ascii="Cambria Math" w:eastAsia="Cambria Math" w:hAnsi="Cambria Math" w:cs="Cambria Math"/>
                    <w:i/>
                    <w:sz w:val="22"/>
                    <w:szCs w:val="22"/>
                  </w:rPr>
                </m:ctrlPr>
              </m:sSupPr>
              <m:e>
                <m:sSub>
                  <m:sSubPr>
                    <m:ctrlPr>
                      <w:rPr>
                        <w:rFonts w:ascii="Cambria Math" w:eastAsia="Cambria Math" w:hAnsi="Cambria Math" w:cs="Cambria Math"/>
                        <w:i/>
                        <w:sz w:val="22"/>
                        <w:szCs w:val="22"/>
                      </w:rPr>
                    </m:ctrlPr>
                  </m:sSubPr>
                  <m:e>
                    <m:r>
                      <w:rPr>
                        <w:rFonts w:ascii="Cambria Math" w:eastAsia="Cambria Math" w:hAnsi="Cambria Math" w:cs="Cambria Math"/>
                        <w:sz w:val="22"/>
                        <w:szCs w:val="22"/>
                      </w:rPr>
                      <m:t>k</m:t>
                    </m:r>
                  </m:e>
                  <m:sub>
                    <m:r>
                      <w:rPr>
                        <w:rFonts w:ascii="Cambria Math" w:eastAsia="Cambria Math" w:hAnsi="Cambria Math" w:cs="Cambria Math"/>
                        <w:sz w:val="22"/>
                        <w:szCs w:val="22"/>
                      </w:rPr>
                      <m:t>j</m:t>
                    </m:r>
                  </m:sub>
                </m:sSub>
                <m:d>
                  <m:dPr>
                    <m:ctrlPr>
                      <w:rPr>
                        <w:rFonts w:ascii="Cambria Math" w:eastAsia="Cambria Math" w:hAnsi="Cambria Math" w:cs="Cambria Math"/>
                        <w:i/>
                        <w:sz w:val="22"/>
                        <w:szCs w:val="22"/>
                      </w:rPr>
                    </m:ctrlPr>
                  </m:dPr>
                  <m:e>
                    <m:r>
                      <w:rPr>
                        <w:rFonts w:ascii="Cambria Math" w:eastAsia="Cambria Math" w:hAnsi="Cambria Math" w:cs="Cambria Math"/>
                        <w:sz w:val="22"/>
                        <w:szCs w:val="22"/>
                      </w:rPr>
                      <m:t>qty index</m:t>
                    </m:r>
                  </m:e>
                </m:d>
              </m:e>
              <m:sup>
                <m:sSubSup>
                  <m:sSubSupPr>
                    <m:ctrlPr>
                      <w:rPr>
                        <w:rFonts w:ascii="Cambria Math" w:eastAsia="Cambria Math" w:hAnsi="Cambria Math" w:cs="Cambria Math"/>
                        <w:i/>
                        <w:sz w:val="22"/>
                        <w:szCs w:val="22"/>
                      </w:rPr>
                    </m:ctrlPr>
                  </m:sSubSupPr>
                  <m:e>
                    <m:r>
                      <w:rPr>
                        <w:rFonts w:ascii="Cambria Math" w:eastAsia="Cambria Math" w:hAnsi="Cambria Math" w:cs="Cambria Math"/>
                        <w:sz w:val="22"/>
                        <w:szCs w:val="22"/>
                      </w:rPr>
                      <m:t>w</m:t>
                    </m:r>
                  </m:e>
                  <m:sub>
                    <m:r>
                      <w:rPr>
                        <w:rFonts w:ascii="Cambria Math" w:eastAsia="Cambria Math" w:hAnsi="Cambria Math" w:cs="Cambria Math"/>
                        <w:sz w:val="22"/>
                        <w:szCs w:val="22"/>
                      </w:rPr>
                      <m:t>j</m:t>
                    </m:r>
                  </m:sub>
                  <m:sup>
                    <m:r>
                      <w:rPr>
                        <w:rFonts w:ascii="Cambria Math" w:eastAsia="Cambria Math" w:hAnsi="Cambria Math" w:cs="Cambria Math"/>
                        <w:sz w:val="22"/>
                        <w:szCs w:val="22"/>
                      </w:rPr>
                      <m:t>k</m:t>
                    </m:r>
                  </m:sup>
                </m:sSubSup>
                <m:d>
                  <m:dPr>
                    <m:ctrlPr>
                      <w:rPr>
                        <w:rFonts w:ascii="Cambria Math" w:eastAsia="Cambria Math" w:hAnsi="Cambria Math" w:cs="Cambria Math"/>
                        <w:i/>
                        <w:sz w:val="22"/>
                        <w:szCs w:val="22"/>
                      </w:rPr>
                    </m:ctrlPr>
                  </m:dPr>
                  <m:e>
                    <m:r>
                      <w:rPr>
                        <w:rFonts w:ascii="Cambria Math" w:eastAsia="Cambria Math" w:hAnsi="Cambria Math" w:cs="Cambria Math"/>
                        <w:sz w:val="22"/>
                        <w:szCs w:val="22"/>
                      </w:rPr>
                      <m:t>avg</m:t>
                    </m:r>
                  </m:e>
                </m:d>
              </m:sup>
            </m:sSup>
            <m:r>
              <w:rPr>
                <w:rFonts w:ascii="Cambria Math" w:eastAsia="Cambria Math" w:hAnsi="Cambria Math" w:cs="Cambria Math"/>
                <w:sz w:val="22"/>
                <w:szCs w:val="22"/>
              </w:rPr>
              <m:t xml:space="preserve"> </m:t>
            </m:r>
          </m:den>
        </m:f>
      </m:oMath>
      <w:r w:rsidR="00C158C4" w:rsidRPr="00F05BED">
        <w:rPr>
          <w:sz w:val="22"/>
          <w:szCs w:val="22"/>
        </w:rPr>
        <w:tab/>
      </w:r>
      <w:r w:rsidR="00C158C4" w:rsidRPr="00F05BED">
        <w:rPr>
          <w:sz w:val="22"/>
          <w:szCs w:val="22"/>
        </w:rPr>
        <w:tab/>
      </w:r>
      <w:r w:rsidR="00C158C4" w:rsidRPr="00F05BED">
        <w:rPr>
          <w:sz w:val="22"/>
          <w:szCs w:val="22"/>
        </w:rPr>
        <w:tab/>
        <w:t>(</w:t>
      </w:r>
      <w:r w:rsidR="00F40BAF" w:rsidRPr="00F05BED">
        <w:rPr>
          <w:sz w:val="22"/>
          <w:szCs w:val="22"/>
        </w:rPr>
        <w:t>3</w:t>
      </w:r>
      <w:r w:rsidR="00C158C4" w:rsidRPr="00F05BED">
        <w:rPr>
          <w:sz w:val="22"/>
          <w:szCs w:val="22"/>
        </w:rPr>
        <w:t>)</w:t>
      </w:r>
    </w:p>
    <w:p w:rsidR="003A305A" w:rsidRPr="00F05BED" w:rsidRDefault="0091264A" w:rsidP="00F05BED">
      <w:pPr>
        <w:spacing w:line="320" w:lineRule="atLeast"/>
        <w:rPr>
          <w:sz w:val="22"/>
          <w:szCs w:val="22"/>
        </w:rPr>
      </w:pPr>
      <m:oMath>
        <m:sSub>
          <m:sSubPr>
            <m:ctrlPr>
              <w:rPr>
                <w:rFonts w:ascii="Cambria Math" w:hAnsi="Cambria Math"/>
                <w:i/>
                <w:sz w:val="22"/>
                <w:szCs w:val="22"/>
              </w:rPr>
            </m:ctrlPr>
          </m:sSubPr>
          <m:e>
            <m:r>
              <w:rPr>
                <w:rFonts w:ascii="Cambria Math" w:hAnsi="Cambria Math"/>
                <w:sz w:val="22"/>
                <w:szCs w:val="22"/>
              </w:rPr>
              <m:t>MFP</m:t>
            </m:r>
          </m:e>
          <m:sub>
            <m:r>
              <w:rPr>
                <w:rFonts w:ascii="Cambria Math" w:hAnsi="Cambria Math"/>
                <w:sz w:val="22"/>
                <w:szCs w:val="22"/>
              </w:rPr>
              <m:t>economy</m:t>
            </m:r>
          </m:sub>
        </m:sSub>
        <m:d>
          <m:dPr>
            <m:ctrlPr>
              <w:rPr>
                <w:rFonts w:ascii="Cambria Math" w:eastAsia="Cambria Math" w:hAnsi="Cambria Math" w:cs="Cambria Math"/>
                <w:i/>
                <w:sz w:val="22"/>
                <w:szCs w:val="22"/>
              </w:rPr>
            </m:ctrlPr>
          </m:dPr>
          <m:e>
            <m:r>
              <w:rPr>
                <w:rFonts w:ascii="Cambria Math" w:eastAsia="Cambria Math" w:hAnsi="Cambria Math" w:cs="Cambria Math"/>
                <w:sz w:val="22"/>
                <w:szCs w:val="22"/>
              </w:rPr>
              <m:t>va</m:t>
            </m:r>
          </m:e>
        </m:d>
        <m:r>
          <w:rPr>
            <w:rFonts w:ascii="Cambria Math" w:hAnsi="Cambria Math"/>
            <w:sz w:val="22"/>
            <w:szCs w:val="22"/>
          </w:rPr>
          <m:t xml:space="preserve">= </m:t>
        </m:r>
        <m:nary>
          <m:naryPr>
            <m:chr m:val="∑"/>
            <m:limLoc m:val="subSup"/>
            <m:ctrlPr>
              <w:rPr>
                <w:rFonts w:ascii="Cambria Math" w:hAnsi="Cambria Math"/>
                <w:i/>
                <w:sz w:val="22"/>
                <w:szCs w:val="22"/>
              </w:rPr>
            </m:ctrlPr>
          </m:naryPr>
          <m:sub>
            <m:r>
              <w:rPr>
                <w:rFonts w:ascii="Cambria Math" w:hAnsi="Cambria Math"/>
                <w:sz w:val="22"/>
                <w:szCs w:val="22"/>
              </w:rPr>
              <m:t>j=1</m:t>
            </m:r>
          </m:sub>
          <m:sup>
            <m:r>
              <w:rPr>
                <w:rFonts w:ascii="Cambria Math" w:hAnsi="Cambria Math"/>
                <w:sz w:val="22"/>
                <w:szCs w:val="22"/>
              </w:rPr>
              <m:t>n</m:t>
            </m:r>
          </m:sup>
          <m:e>
            <m:sSubSup>
              <m:sSubSupPr>
                <m:ctrlPr>
                  <w:rPr>
                    <w:rFonts w:ascii="Cambria Math" w:hAnsi="Cambria Math"/>
                    <w:i/>
                    <w:sz w:val="22"/>
                    <w:szCs w:val="22"/>
                  </w:rPr>
                </m:ctrlPr>
              </m:sSubSupPr>
              <m:e>
                <m:r>
                  <w:rPr>
                    <w:rFonts w:ascii="Cambria Math" w:hAnsi="Cambria Math"/>
                    <w:sz w:val="22"/>
                    <w:szCs w:val="22"/>
                  </w:rPr>
                  <m:t>w</m:t>
                </m:r>
              </m:e>
              <m:sub>
                <m:r>
                  <w:rPr>
                    <w:rFonts w:ascii="Cambria Math" w:hAnsi="Cambria Math"/>
                    <w:sz w:val="22"/>
                    <w:szCs w:val="22"/>
                  </w:rPr>
                  <m:t>j</m:t>
                </m:r>
              </m:sub>
              <m:sup>
                <m:r>
                  <w:rPr>
                    <w:rFonts w:ascii="Cambria Math" w:hAnsi="Cambria Math"/>
                    <w:sz w:val="22"/>
                    <w:szCs w:val="22"/>
                  </w:rPr>
                  <m:t>va</m:t>
                </m:r>
              </m:sup>
            </m:sSubSup>
          </m:e>
        </m:nary>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MFP</m:t>
            </m:r>
          </m:e>
          <m:sub>
            <m:r>
              <w:rPr>
                <w:rFonts w:ascii="Cambria Math" w:hAnsi="Cambria Math"/>
                <w:sz w:val="22"/>
                <w:szCs w:val="22"/>
              </w:rPr>
              <m:t>j</m:t>
            </m:r>
          </m:sub>
        </m:sSub>
        <m:r>
          <w:rPr>
            <w:rFonts w:ascii="Cambria Math" w:hAnsi="Cambria Math"/>
            <w:sz w:val="22"/>
            <w:szCs w:val="22"/>
          </w:rPr>
          <m:t>(va)</m:t>
        </m:r>
      </m:oMath>
      <w:r w:rsidR="00C158C4" w:rsidRPr="00F05BED">
        <w:rPr>
          <w:sz w:val="22"/>
          <w:szCs w:val="22"/>
        </w:rPr>
        <w:tab/>
      </w:r>
      <w:r w:rsidR="00C158C4" w:rsidRPr="00F05BED">
        <w:rPr>
          <w:sz w:val="22"/>
          <w:szCs w:val="22"/>
        </w:rPr>
        <w:tab/>
      </w:r>
      <w:r w:rsidR="00C158C4" w:rsidRPr="00F05BED">
        <w:rPr>
          <w:sz w:val="22"/>
          <w:szCs w:val="22"/>
        </w:rPr>
        <w:tab/>
      </w:r>
      <w:r w:rsidR="00C158C4" w:rsidRPr="00F05BED">
        <w:rPr>
          <w:sz w:val="22"/>
          <w:szCs w:val="22"/>
        </w:rPr>
        <w:tab/>
      </w:r>
      <w:r w:rsidR="00C158C4" w:rsidRPr="00F05BED">
        <w:rPr>
          <w:sz w:val="22"/>
          <w:szCs w:val="22"/>
        </w:rPr>
        <w:tab/>
        <w:t>(</w:t>
      </w:r>
      <w:r w:rsidR="00F40BAF" w:rsidRPr="00F05BED">
        <w:rPr>
          <w:sz w:val="22"/>
          <w:szCs w:val="22"/>
        </w:rPr>
        <w:t>4</w:t>
      </w:r>
      <w:r w:rsidR="00C158C4" w:rsidRPr="00F05BED">
        <w:rPr>
          <w:sz w:val="22"/>
          <w:szCs w:val="22"/>
        </w:rPr>
        <w:t>)</w:t>
      </w:r>
    </w:p>
    <w:p w:rsidR="00461DA9" w:rsidRPr="00F05BED" w:rsidRDefault="00461DA9" w:rsidP="00F05BED">
      <w:pPr>
        <w:autoSpaceDE w:val="0"/>
        <w:autoSpaceDN w:val="0"/>
        <w:adjustRightInd w:val="0"/>
        <w:spacing w:line="320" w:lineRule="atLeast"/>
        <w:rPr>
          <w:rFonts w:cs="Arial"/>
          <w:sz w:val="22"/>
          <w:szCs w:val="22"/>
          <w:lang w:eastAsia="en-NZ"/>
        </w:rPr>
      </w:pPr>
    </w:p>
    <w:p w:rsidR="003A305A" w:rsidRPr="00F05BED" w:rsidRDefault="00461DA9" w:rsidP="00F05BED">
      <w:pPr>
        <w:autoSpaceDE w:val="0"/>
        <w:autoSpaceDN w:val="0"/>
        <w:adjustRightInd w:val="0"/>
        <w:spacing w:line="320" w:lineRule="atLeast"/>
        <w:rPr>
          <w:rFonts w:cs="Arial"/>
          <w:sz w:val="22"/>
          <w:szCs w:val="22"/>
          <w:lang w:eastAsia="en-NZ"/>
        </w:rPr>
      </w:pPr>
      <w:proofErr w:type="gramStart"/>
      <w:r w:rsidRPr="00F05BED">
        <w:rPr>
          <w:rFonts w:cs="Arial"/>
          <w:sz w:val="22"/>
          <w:szCs w:val="22"/>
          <w:lang w:eastAsia="en-NZ"/>
        </w:rPr>
        <w:t xml:space="preserve">where  </w:t>
      </w:r>
      <w:r w:rsidR="006E7AFD" w:rsidRPr="00F05BED">
        <w:rPr>
          <w:rFonts w:cs="Arial"/>
          <w:i/>
          <w:sz w:val="22"/>
          <w:szCs w:val="22"/>
          <w:lang w:eastAsia="en-NZ"/>
        </w:rPr>
        <w:t>‘</w:t>
      </w:r>
      <w:r w:rsidR="00D070FA" w:rsidRPr="00F05BED">
        <w:rPr>
          <w:rFonts w:cs="Arial"/>
          <w:i/>
          <w:sz w:val="22"/>
          <w:szCs w:val="22"/>
          <w:lang w:eastAsia="en-NZ"/>
        </w:rPr>
        <w:t>l</w:t>
      </w:r>
      <w:r w:rsidR="006E7AFD" w:rsidRPr="00F05BED">
        <w:rPr>
          <w:rFonts w:cs="Arial"/>
          <w:i/>
          <w:sz w:val="22"/>
          <w:szCs w:val="22"/>
          <w:lang w:eastAsia="en-NZ"/>
        </w:rPr>
        <w:t>’</w:t>
      </w:r>
      <w:proofErr w:type="gramEnd"/>
      <w:r w:rsidR="00D070FA" w:rsidRPr="00F05BED">
        <w:rPr>
          <w:rFonts w:cs="Arial"/>
          <w:sz w:val="22"/>
          <w:szCs w:val="22"/>
          <w:lang w:eastAsia="en-NZ"/>
        </w:rPr>
        <w:t xml:space="preserve"> denote</w:t>
      </w:r>
      <w:r w:rsidR="002A6A59" w:rsidRPr="00F05BED">
        <w:rPr>
          <w:rFonts w:cs="Arial"/>
          <w:sz w:val="22"/>
          <w:szCs w:val="22"/>
          <w:lang w:eastAsia="en-NZ"/>
        </w:rPr>
        <w:t>s</w:t>
      </w:r>
      <w:r w:rsidR="00D070FA" w:rsidRPr="00F05BED">
        <w:rPr>
          <w:rFonts w:cs="Arial"/>
          <w:sz w:val="22"/>
          <w:szCs w:val="22"/>
          <w:lang w:eastAsia="en-NZ"/>
        </w:rPr>
        <w:t xml:space="preserve"> labour and </w:t>
      </w:r>
      <w:r w:rsidR="006E7AFD" w:rsidRPr="00F05BED">
        <w:rPr>
          <w:rFonts w:cs="Arial"/>
          <w:sz w:val="22"/>
          <w:szCs w:val="22"/>
          <w:lang w:eastAsia="en-NZ"/>
        </w:rPr>
        <w:t>‘</w:t>
      </w:r>
      <w:r w:rsidR="00D070FA" w:rsidRPr="00F05BED">
        <w:rPr>
          <w:rFonts w:cs="Arial"/>
          <w:i/>
          <w:sz w:val="22"/>
          <w:szCs w:val="22"/>
          <w:lang w:eastAsia="en-NZ"/>
        </w:rPr>
        <w:t>k</w:t>
      </w:r>
      <w:r w:rsidR="006E7AFD" w:rsidRPr="00F05BED">
        <w:rPr>
          <w:rFonts w:cs="Arial"/>
          <w:i/>
          <w:sz w:val="22"/>
          <w:szCs w:val="22"/>
          <w:lang w:eastAsia="en-NZ"/>
        </w:rPr>
        <w:t>’</w:t>
      </w:r>
      <w:r w:rsidR="00D070FA" w:rsidRPr="00F05BED">
        <w:rPr>
          <w:rFonts w:cs="Arial"/>
          <w:sz w:val="22"/>
          <w:szCs w:val="22"/>
          <w:lang w:eastAsia="en-NZ"/>
        </w:rPr>
        <w:t xml:space="preserve"> denotes capital.</w:t>
      </w:r>
    </w:p>
    <w:p w:rsidR="00D070FA" w:rsidRPr="00F05BED" w:rsidRDefault="00D070FA" w:rsidP="00F05BED">
      <w:pPr>
        <w:autoSpaceDE w:val="0"/>
        <w:autoSpaceDN w:val="0"/>
        <w:adjustRightInd w:val="0"/>
        <w:spacing w:line="320" w:lineRule="atLeast"/>
        <w:rPr>
          <w:rFonts w:cs="Arial"/>
          <w:sz w:val="22"/>
          <w:szCs w:val="22"/>
          <w:lang w:eastAsia="en-NZ"/>
        </w:rPr>
      </w:pPr>
    </w:p>
    <w:p w:rsidR="005E1F1A" w:rsidRPr="00AD73E4" w:rsidRDefault="00461DA9" w:rsidP="00DA6B17">
      <w:pPr>
        <w:pStyle w:val="ListParagraph"/>
        <w:numPr>
          <w:ilvl w:val="2"/>
          <w:numId w:val="3"/>
        </w:numPr>
        <w:autoSpaceDE w:val="0"/>
        <w:autoSpaceDN w:val="0"/>
        <w:adjustRightInd w:val="0"/>
        <w:spacing w:line="320" w:lineRule="atLeast"/>
        <w:rPr>
          <w:rFonts w:cs="Arial"/>
          <w:i/>
          <w:sz w:val="22"/>
          <w:szCs w:val="22"/>
          <w:u w:val="single"/>
          <w:lang w:eastAsia="en-NZ"/>
        </w:rPr>
      </w:pPr>
      <w:r w:rsidRPr="00AD73E4">
        <w:rPr>
          <w:rFonts w:cs="Arial"/>
          <w:i/>
          <w:sz w:val="22"/>
          <w:szCs w:val="22"/>
          <w:u w:val="single"/>
          <w:lang w:eastAsia="en-NZ"/>
        </w:rPr>
        <w:t>Miller and Blair’s gross-output-</w:t>
      </w:r>
      <w:r w:rsidR="0036047A" w:rsidRPr="00AD73E4">
        <w:rPr>
          <w:rFonts w:cs="Arial"/>
          <w:i/>
          <w:sz w:val="22"/>
          <w:szCs w:val="22"/>
          <w:u w:val="single"/>
          <w:lang w:eastAsia="en-NZ"/>
        </w:rPr>
        <w:t xml:space="preserve">based </w:t>
      </w:r>
      <w:r w:rsidR="005E1F1A" w:rsidRPr="00AD73E4">
        <w:rPr>
          <w:rFonts w:cs="Arial"/>
          <w:i/>
          <w:sz w:val="22"/>
          <w:szCs w:val="22"/>
          <w:u w:val="single"/>
          <w:lang w:eastAsia="en-NZ"/>
        </w:rPr>
        <w:t xml:space="preserve">measure </w:t>
      </w:r>
    </w:p>
    <w:p w:rsidR="00796371" w:rsidRPr="00F05BED" w:rsidRDefault="000B0B96" w:rsidP="00F05BED">
      <w:pPr>
        <w:pStyle w:val="Default"/>
        <w:spacing w:line="320" w:lineRule="atLeast"/>
        <w:rPr>
          <w:rFonts w:ascii="Arial" w:hAnsi="Arial" w:cs="Arial"/>
          <w:color w:val="auto"/>
          <w:sz w:val="22"/>
          <w:szCs w:val="22"/>
        </w:rPr>
      </w:pPr>
      <w:r w:rsidRPr="00F05BED">
        <w:rPr>
          <w:rFonts w:cs="Arial"/>
          <w:sz w:val="22"/>
          <w:szCs w:val="22"/>
        </w:rPr>
        <w:t xml:space="preserve">The third approach utilises </w:t>
      </w:r>
      <w:r w:rsidR="003A305A" w:rsidRPr="00F05BED">
        <w:rPr>
          <w:rFonts w:cs="Arial"/>
          <w:sz w:val="22"/>
          <w:szCs w:val="22"/>
        </w:rPr>
        <w:t xml:space="preserve">the definition of productivity </w:t>
      </w:r>
      <w:r w:rsidR="00E03677" w:rsidRPr="00F05BED">
        <w:rPr>
          <w:rFonts w:cs="Arial"/>
          <w:sz w:val="22"/>
          <w:szCs w:val="22"/>
        </w:rPr>
        <w:t xml:space="preserve">measure </w:t>
      </w:r>
      <w:r w:rsidRPr="00F05BED">
        <w:rPr>
          <w:rFonts w:cs="Arial"/>
          <w:sz w:val="22"/>
          <w:szCs w:val="22"/>
        </w:rPr>
        <w:t xml:space="preserve">discussed in Miller and Blair (2009), </w:t>
      </w:r>
      <w:r w:rsidR="003A305A" w:rsidRPr="00F05BED">
        <w:rPr>
          <w:rFonts w:cs="Arial"/>
          <w:sz w:val="22"/>
          <w:szCs w:val="22"/>
        </w:rPr>
        <w:t>as</w:t>
      </w:r>
      <w:r w:rsidRPr="00F05BED">
        <w:rPr>
          <w:rFonts w:cs="Arial"/>
          <w:sz w:val="22"/>
          <w:szCs w:val="22"/>
        </w:rPr>
        <w:t xml:space="preserve"> shown </w:t>
      </w:r>
      <w:r w:rsidR="00461DA9" w:rsidRPr="00F05BED">
        <w:rPr>
          <w:rFonts w:cs="Arial"/>
          <w:sz w:val="22"/>
          <w:szCs w:val="22"/>
        </w:rPr>
        <w:t xml:space="preserve">in equation (5) </w:t>
      </w:r>
      <w:r w:rsidRPr="00F05BED">
        <w:rPr>
          <w:rFonts w:cs="Arial"/>
          <w:sz w:val="22"/>
          <w:szCs w:val="22"/>
        </w:rPr>
        <w:t>below</w:t>
      </w:r>
      <w:r w:rsidR="00425490" w:rsidRPr="00F05BED">
        <w:rPr>
          <w:rFonts w:ascii="Arial" w:hAnsi="Arial" w:cs="Arial"/>
          <w:color w:val="auto"/>
          <w:sz w:val="22"/>
          <w:szCs w:val="22"/>
        </w:rPr>
        <w:t xml:space="preserve">, </w:t>
      </w:r>
      <w:r w:rsidR="00425490" w:rsidRPr="00F05BED">
        <w:rPr>
          <w:rFonts w:cs="Arial"/>
          <w:sz w:val="22"/>
          <w:szCs w:val="22"/>
        </w:rPr>
        <w:t>to separately identify the relative contributions of various input factors.</w:t>
      </w:r>
      <w:r w:rsidR="00266C20" w:rsidRPr="00F05BED">
        <w:rPr>
          <w:rFonts w:ascii="Arial" w:hAnsi="Arial" w:cs="Arial"/>
          <w:color w:val="auto"/>
          <w:sz w:val="22"/>
          <w:szCs w:val="22"/>
        </w:rPr>
        <w:t xml:space="preserve"> </w:t>
      </w:r>
    </w:p>
    <w:p w:rsidR="00461DA9" w:rsidRPr="00F05BED" w:rsidRDefault="00461DA9" w:rsidP="00F05BED">
      <w:pPr>
        <w:pStyle w:val="Default"/>
        <w:spacing w:line="320" w:lineRule="atLeast"/>
        <w:rPr>
          <w:rFonts w:ascii="Arial" w:hAnsi="Arial" w:cs="Arial"/>
          <w:color w:val="auto"/>
          <w:sz w:val="22"/>
          <w:szCs w:val="22"/>
        </w:rPr>
      </w:pPr>
    </w:p>
    <w:p w:rsidR="003A305A" w:rsidRPr="00F05BED" w:rsidRDefault="0091264A" w:rsidP="00F05BED">
      <w:pPr>
        <w:autoSpaceDE w:val="0"/>
        <w:autoSpaceDN w:val="0"/>
        <w:adjustRightInd w:val="0"/>
        <w:spacing w:line="320" w:lineRule="atLeast"/>
        <w:rPr>
          <w:rFonts w:cs="Arial"/>
          <w:sz w:val="22"/>
          <w:szCs w:val="22"/>
          <w:lang w:eastAsia="en-NZ"/>
        </w:rPr>
      </w:pPr>
      <m:oMath>
        <m:sSub>
          <m:sSubPr>
            <m:ctrlPr>
              <w:rPr>
                <w:rFonts w:ascii="Cambria Math" w:hAnsi="Cambria Math" w:cs="Arial"/>
                <w:i/>
                <w:sz w:val="22"/>
                <w:szCs w:val="22"/>
              </w:rPr>
            </m:ctrlPr>
          </m:sSubPr>
          <m:e>
            <m:r>
              <w:rPr>
                <w:rFonts w:ascii="Cambria Math" w:hAnsi="Cambria Math" w:cs="Arial"/>
                <w:sz w:val="22"/>
                <w:szCs w:val="22"/>
              </w:rPr>
              <m:t>MFP</m:t>
            </m:r>
          </m:e>
          <m:sub>
            <m:r>
              <w:rPr>
                <w:rFonts w:ascii="Cambria Math" w:hAnsi="Cambria Math" w:cs="Arial"/>
                <w:sz w:val="22"/>
                <w:szCs w:val="22"/>
              </w:rPr>
              <m:t>industry j</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-(da</m:t>
            </m:r>
          </m:e>
          <m:sub>
            <m:r>
              <w:rPr>
                <w:rFonts w:ascii="Cambria Math" w:hAnsi="Cambria Math" w:cs="Arial"/>
                <w:sz w:val="22"/>
                <w:szCs w:val="22"/>
              </w:rPr>
              <m:t>ij</m:t>
            </m:r>
          </m:sub>
        </m:sSub>
        <m:r>
          <w:rPr>
            <w:rFonts w:ascii="Cambria Math" w:hAnsi="Cambria Math" w:cs="Arial"/>
            <w:sz w:val="22"/>
            <w:szCs w:val="22"/>
            <w:lang w:eastAsia="en-NZ"/>
          </w:rPr>
          <m:t xml:space="preserve">+ </m:t>
        </m:r>
        <m:sSub>
          <m:sSubPr>
            <m:ctrlPr>
              <w:rPr>
                <w:rFonts w:ascii="Cambria Math" w:hAnsi="Cambria Math" w:cs="Arial"/>
                <w:i/>
                <w:sz w:val="22"/>
                <w:szCs w:val="22"/>
              </w:rPr>
            </m:ctrlPr>
          </m:sSubPr>
          <m:e>
            <m:r>
              <w:rPr>
                <w:rFonts w:ascii="Cambria Math" w:hAnsi="Cambria Math" w:cs="Arial"/>
                <w:sz w:val="22"/>
                <w:szCs w:val="22"/>
              </w:rPr>
              <m:t>dv</m:t>
            </m:r>
          </m:e>
          <m:sub>
            <m:r>
              <w:rPr>
                <w:rFonts w:ascii="Cambria Math" w:hAnsi="Cambria Math" w:cs="Arial"/>
                <w:sz w:val="22"/>
                <w:szCs w:val="22"/>
              </w:rPr>
              <m:t>j</m:t>
            </m:r>
          </m:sub>
        </m:sSub>
        <m:r>
          <w:rPr>
            <w:rFonts w:ascii="Cambria Math" w:hAnsi="Cambria Math" w:cs="Arial"/>
            <w:sz w:val="22"/>
            <w:szCs w:val="22"/>
          </w:rPr>
          <m:t>)</m:t>
        </m:r>
      </m:oMath>
      <w:r w:rsidR="00F40BAF" w:rsidRPr="00F05BED">
        <w:rPr>
          <w:rFonts w:cs="Arial"/>
          <w:sz w:val="22"/>
          <w:szCs w:val="22"/>
        </w:rPr>
        <w:tab/>
      </w:r>
      <w:r w:rsidR="00F40BAF" w:rsidRPr="00F05BED">
        <w:rPr>
          <w:rFonts w:cs="Arial"/>
          <w:sz w:val="22"/>
          <w:szCs w:val="22"/>
        </w:rPr>
        <w:tab/>
      </w:r>
      <w:r w:rsidR="00F40BAF" w:rsidRPr="00F05BED">
        <w:rPr>
          <w:rFonts w:cs="Arial"/>
          <w:sz w:val="22"/>
          <w:szCs w:val="22"/>
        </w:rPr>
        <w:tab/>
      </w:r>
      <w:r w:rsidR="00F40BAF" w:rsidRPr="00F05BED">
        <w:rPr>
          <w:rFonts w:cs="Arial"/>
          <w:sz w:val="22"/>
          <w:szCs w:val="22"/>
        </w:rPr>
        <w:tab/>
      </w:r>
      <w:r w:rsidR="00F40BAF" w:rsidRPr="00F05BED">
        <w:rPr>
          <w:rFonts w:cs="Arial"/>
          <w:sz w:val="22"/>
          <w:szCs w:val="22"/>
        </w:rPr>
        <w:tab/>
      </w:r>
      <w:r w:rsidR="00F40BAF" w:rsidRPr="00F05BED">
        <w:rPr>
          <w:rFonts w:cs="Arial"/>
          <w:sz w:val="22"/>
          <w:szCs w:val="22"/>
        </w:rPr>
        <w:tab/>
        <w:t>(5)</w:t>
      </w:r>
    </w:p>
    <w:p w:rsidR="003A305A" w:rsidRPr="00F05BED" w:rsidRDefault="003A305A" w:rsidP="00F05BED">
      <w:pPr>
        <w:autoSpaceDE w:val="0"/>
        <w:autoSpaceDN w:val="0"/>
        <w:adjustRightInd w:val="0"/>
        <w:spacing w:line="320" w:lineRule="atLeast"/>
        <w:rPr>
          <w:rFonts w:cs="Arial"/>
          <w:sz w:val="22"/>
          <w:szCs w:val="22"/>
          <w:lang w:eastAsia="en-NZ"/>
        </w:rPr>
      </w:pPr>
    </w:p>
    <w:p w:rsidR="00250881" w:rsidRPr="00F05BED" w:rsidRDefault="00461DA9" w:rsidP="00F05BED">
      <w:pPr>
        <w:autoSpaceDE w:val="0"/>
        <w:autoSpaceDN w:val="0"/>
        <w:adjustRightInd w:val="0"/>
        <w:spacing w:line="320" w:lineRule="atLeast"/>
        <w:rPr>
          <w:rFonts w:cs="Arial"/>
          <w:sz w:val="22"/>
          <w:szCs w:val="22"/>
          <w:lang w:eastAsia="en-NZ"/>
        </w:rPr>
      </w:pPr>
      <w:proofErr w:type="gramStart"/>
      <w:r w:rsidRPr="00F05BED">
        <w:rPr>
          <w:rFonts w:cs="Arial"/>
          <w:sz w:val="22"/>
          <w:szCs w:val="22"/>
          <w:lang w:eastAsia="en-NZ"/>
        </w:rPr>
        <w:t>where</w:t>
      </w:r>
      <w:proofErr w:type="gramEnd"/>
      <w:r w:rsidRPr="00F05BED">
        <w:rPr>
          <w:rFonts w:cs="Arial"/>
          <w:sz w:val="22"/>
          <w:szCs w:val="22"/>
          <w:lang w:eastAsia="en-NZ"/>
        </w:rPr>
        <w:t xml:space="preserve"> </w:t>
      </w:r>
      <w:proofErr w:type="spellStart"/>
      <w:r w:rsidR="00250881" w:rsidRPr="00F05BED">
        <w:rPr>
          <w:rFonts w:cs="Arial"/>
          <w:i/>
          <w:sz w:val="22"/>
          <w:szCs w:val="22"/>
          <w:lang w:eastAsia="en-NZ"/>
        </w:rPr>
        <w:t>da</w:t>
      </w:r>
      <w:proofErr w:type="spellEnd"/>
      <w:r w:rsidR="00250881" w:rsidRPr="00F05BED">
        <w:rPr>
          <w:rFonts w:cs="Arial"/>
          <w:sz w:val="22"/>
          <w:szCs w:val="22"/>
          <w:lang w:eastAsia="en-NZ"/>
        </w:rPr>
        <w:t xml:space="preserve"> = difference between technical coefficients</w:t>
      </w:r>
      <w:r w:rsidRPr="00F05BED">
        <w:rPr>
          <w:rFonts w:cs="Arial"/>
          <w:sz w:val="22"/>
          <w:szCs w:val="22"/>
          <w:lang w:eastAsia="en-NZ"/>
        </w:rPr>
        <w:t xml:space="preserve"> in </w:t>
      </w:r>
      <w:r w:rsidR="00A466CA">
        <w:rPr>
          <w:rFonts w:cs="Arial"/>
          <w:sz w:val="22"/>
          <w:szCs w:val="22"/>
          <w:lang w:eastAsia="en-NZ"/>
        </w:rPr>
        <w:t>i</w:t>
      </w:r>
      <w:r w:rsidR="00A466CA" w:rsidRPr="00F05BED">
        <w:rPr>
          <w:rFonts w:cs="Arial"/>
          <w:sz w:val="22"/>
          <w:szCs w:val="22"/>
          <w:lang w:eastAsia="en-NZ"/>
        </w:rPr>
        <w:t>nput</w:t>
      </w:r>
      <w:r w:rsidRPr="00F05BED">
        <w:rPr>
          <w:rFonts w:cs="Arial"/>
          <w:sz w:val="22"/>
          <w:szCs w:val="22"/>
          <w:lang w:eastAsia="en-NZ"/>
        </w:rPr>
        <w:t>-</w:t>
      </w:r>
      <w:r w:rsidR="00A466CA">
        <w:rPr>
          <w:rFonts w:cs="Arial"/>
          <w:sz w:val="22"/>
          <w:szCs w:val="22"/>
          <w:lang w:eastAsia="en-NZ"/>
        </w:rPr>
        <w:t>o</w:t>
      </w:r>
      <w:r w:rsidR="00A466CA" w:rsidRPr="00F05BED">
        <w:rPr>
          <w:rFonts w:cs="Arial"/>
          <w:sz w:val="22"/>
          <w:szCs w:val="22"/>
          <w:lang w:eastAsia="en-NZ"/>
        </w:rPr>
        <w:t xml:space="preserve">utput </w:t>
      </w:r>
      <w:r w:rsidR="00250881" w:rsidRPr="00F05BED">
        <w:rPr>
          <w:rFonts w:cs="Arial"/>
          <w:sz w:val="22"/>
          <w:szCs w:val="22"/>
          <w:lang w:eastAsia="en-NZ"/>
        </w:rPr>
        <w:t>t</w:t>
      </w:r>
      <w:r w:rsidRPr="00F05BED">
        <w:rPr>
          <w:rFonts w:cs="Arial"/>
          <w:sz w:val="22"/>
          <w:szCs w:val="22"/>
          <w:lang w:eastAsia="en-NZ"/>
        </w:rPr>
        <w:t xml:space="preserve">able between year 1 and year 0; and </w:t>
      </w:r>
      <w:proofErr w:type="spellStart"/>
      <w:r w:rsidR="00250881" w:rsidRPr="00F05BED">
        <w:rPr>
          <w:rFonts w:cs="Arial"/>
          <w:i/>
          <w:sz w:val="22"/>
          <w:szCs w:val="22"/>
          <w:lang w:eastAsia="en-NZ"/>
        </w:rPr>
        <w:t>dv</w:t>
      </w:r>
      <w:proofErr w:type="spellEnd"/>
      <w:r w:rsidR="00250881" w:rsidRPr="00F05BED">
        <w:rPr>
          <w:rFonts w:cs="Arial"/>
          <w:sz w:val="22"/>
          <w:szCs w:val="22"/>
          <w:lang w:eastAsia="en-NZ"/>
        </w:rPr>
        <w:t xml:space="preserve"> = difference between </w:t>
      </w:r>
      <w:r w:rsidRPr="00F05BED">
        <w:rPr>
          <w:rFonts w:cs="Arial"/>
          <w:sz w:val="22"/>
          <w:szCs w:val="22"/>
          <w:lang w:eastAsia="en-NZ"/>
        </w:rPr>
        <w:t>value-added coefficients in Input-</w:t>
      </w:r>
      <w:r w:rsidR="00250881" w:rsidRPr="00F05BED">
        <w:rPr>
          <w:rFonts w:cs="Arial"/>
          <w:sz w:val="22"/>
          <w:szCs w:val="22"/>
          <w:lang w:eastAsia="en-NZ"/>
        </w:rPr>
        <w:t xml:space="preserve">Output table between year 1 and year 0. </w:t>
      </w:r>
    </w:p>
    <w:p w:rsidR="00DC294A" w:rsidRDefault="00DC294A">
      <w:pPr>
        <w:rPr>
          <w:rFonts w:ascii="STATSsans Light" w:hAnsi="STATSsans Light" w:cs="Arial"/>
          <w:b/>
          <w:i/>
          <w:color w:val="000000"/>
          <w:sz w:val="22"/>
          <w:szCs w:val="22"/>
          <w:lang w:eastAsia="en-NZ"/>
        </w:rPr>
      </w:pPr>
    </w:p>
    <w:p w:rsidR="00CA3DD4" w:rsidRPr="00F05BED" w:rsidRDefault="00BE70D7" w:rsidP="00DA6B17">
      <w:pPr>
        <w:pStyle w:val="Default"/>
        <w:numPr>
          <w:ilvl w:val="1"/>
          <w:numId w:val="3"/>
        </w:numPr>
        <w:spacing w:line="320" w:lineRule="atLeast"/>
        <w:ind w:left="567" w:hanging="567"/>
        <w:rPr>
          <w:rFonts w:cs="Arial"/>
          <w:b/>
          <w:i/>
          <w:sz w:val="22"/>
          <w:szCs w:val="22"/>
        </w:rPr>
      </w:pPr>
      <w:r w:rsidRPr="00F05BED">
        <w:rPr>
          <w:rFonts w:cs="Arial"/>
          <w:b/>
          <w:i/>
          <w:sz w:val="22"/>
          <w:szCs w:val="22"/>
        </w:rPr>
        <w:t xml:space="preserve">Data </w:t>
      </w:r>
    </w:p>
    <w:p w:rsidR="00CA3DD4" w:rsidRPr="00F05BED" w:rsidRDefault="00E03677" w:rsidP="00F05BED">
      <w:pPr>
        <w:autoSpaceDE w:val="0"/>
        <w:autoSpaceDN w:val="0"/>
        <w:adjustRightInd w:val="0"/>
        <w:spacing w:line="320" w:lineRule="atLeast"/>
        <w:rPr>
          <w:rFonts w:cs="Arial"/>
          <w:sz w:val="22"/>
          <w:szCs w:val="22"/>
          <w:lang w:eastAsia="en-NZ"/>
        </w:rPr>
      </w:pPr>
      <w:r w:rsidRPr="00F05BED">
        <w:rPr>
          <w:rFonts w:cs="Arial"/>
          <w:sz w:val="22"/>
          <w:szCs w:val="22"/>
          <w:lang w:eastAsia="en-NZ"/>
        </w:rPr>
        <w:t>T</w:t>
      </w:r>
      <w:r w:rsidR="00461DA9" w:rsidRPr="00F05BED">
        <w:rPr>
          <w:rFonts w:cs="Arial"/>
          <w:sz w:val="22"/>
          <w:szCs w:val="22"/>
          <w:lang w:eastAsia="en-NZ"/>
        </w:rPr>
        <w:t>h</w:t>
      </w:r>
      <w:r w:rsidR="00BC3BE0" w:rsidRPr="00F05BED">
        <w:rPr>
          <w:rFonts w:cs="Arial"/>
          <w:sz w:val="22"/>
          <w:szCs w:val="22"/>
          <w:lang w:eastAsia="en-NZ"/>
        </w:rPr>
        <w:t>e</w:t>
      </w:r>
      <w:r w:rsidR="00461DA9" w:rsidRPr="00F05BED">
        <w:rPr>
          <w:rFonts w:cs="Arial"/>
          <w:sz w:val="22"/>
          <w:szCs w:val="22"/>
          <w:lang w:eastAsia="en-NZ"/>
        </w:rPr>
        <w:t xml:space="preserve"> data</w:t>
      </w:r>
      <w:r w:rsidR="00CA3DD4" w:rsidRPr="00F05BED">
        <w:rPr>
          <w:rFonts w:cs="Arial"/>
          <w:sz w:val="22"/>
          <w:szCs w:val="22"/>
          <w:lang w:eastAsia="en-NZ"/>
        </w:rPr>
        <w:t xml:space="preserve">sets </w:t>
      </w:r>
      <w:r w:rsidR="00461DA9" w:rsidRPr="00F05BED">
        <w:rPr>
          <w:rFonts w:cs="Arial"/>
          <w:sz w:val="22"/>
          <w:szCs w:val="22"/>
          <w:lang w:eastAsia="en-NZ"/>
        </w:rPr>
        <w:t xml:space="preserve">required include </w:t>
      </w:r>
      <w:r w:rsidR="00CA3DD4" w:rsidRPr="00F05BED">
        <w:rPr>
          <w:rFonts w:cs="Arial"/>
          <w:sz w:val="22"/>
          <w:szCs w:val="22"/>
          <w:lang w:eastAsia="en-NZ"/>
        </w:rPr>
        <w:t xml:space="preserve">(i) </w:t>
      </w:r>
      <w:r w:rsidR="00A466CA">
        <w:rPr>
          <w:rFonts w:cs="Arial"/>
          <w:sz w:val="22"/>
          <w:szCs w:val="22"/>
          <w:lang w:eastAsia="en-NZ"/>
        </w:rPr>
        <w:t>i</w:t>
      </w:r>
      <w:r w:rsidR="00A466CA" w:rsidRPr="00F05BED">
        <w:rPr>
          <w:rFonts w:cs="Arial"/>
          <w:sz w:val="22"/>
          <w:szCs w:val="22"/>
          <w:lang w:eastAsia="en-NZ"/>
        </w:rPr>
        <w:t>nput</w:t>
      </w:r>
      <w:r w:rsidR="004D3FE2" w:rsidRPr="00F05BED">
        <w:rPr>
          <w:rFonts w:cs="Arial"/>
          <w:sz w:val="22"/>
          <w:szCs w:val="22"/>
          <w:lang w:eastAsia="en-NZ"/>
        </w:rPr>
        <w:t>-</w:t>
      </w:r>
      <w:r w:rsidR="00A466CA">
        <w:rPr>
          <w:rFonts w:cs="Arial"/>
          <w:sz w:val="22"/>
          <w:szCs w:val="22"/>
          <w:lang w:eastAsia="en-NZ"/>
        </w:rPr>
        <w:t>o</w:t>
      </w:r>
      <w:r w:rsidR="00A466CA" w:rsidRPr="00F05BED">
        <w:rPr>
          <w:rFonts w:cs="Arial"/>
          <w:sz w:val="22"/>
          <w:szCs w:val="22"/>
          <w:lang w:eastAsia="en-NZ"/>
        </w:rPr>
        <w:t xml:space="preserve">utput </w:t>
      </w:r>
      <w:r w:rsidR="007A112A" w:rsidRPr="00F05BED">
        <w:rPr>
          <w:rFonts w:cs="Arial"/>
          <w:sz w:val="22"/>
          <w:szCs w:val="22"/>
          <w:lang w:eastAsia="en-NZ"/>
        </w:rPr>
        <w:t>t</w:t>
      </w:r>
      <w:r w:rsidR="00CA3DD4" w:rsidRPr="00F05BED">
        <w:rPr>
          <w:rFonts w:cs="Arial"/>
          <w:sz w:val="22"/>
          <w:szCs w:val="22"/>
          <w:lang w:eastAsia="en-NZ"/>
        </w:rPr>
        <w:t xml:space="preserve">ables </w:t>
      </w:r>
      <w:r w:rsidR="000B0B96" w:rsidRPr="00F05BED">
        <w:rPr>
          <w:rFonts w:cs="Arial"/>
          <w:sz w:val="22"/>
          <w:szCs w:val="22"/>
          <w:lang w:eastAsia="en-NZ"/>
        </w:rPr>
        <w:t>with the</w:t>
      </w:r>
      <w:r w:rsidR="00CA3DD4" w:rsidRPr="00F05BED">
        <w:rPr>
          <w:rFonts w:cs="Arial"/>
          <w:sz w:val="22"/>
          <w:szCs w:val="22"/>
          <w:lang w:eastAsia="en-NZ"/>
        </w:rPr>
        <w:t xml:space="preserve"> </w:t>
      </w:r>
      <w:r w:rsidR="000B0B96" w:rsidRPr="00F05BED">
        <w:rPr>
          <w:rFonts w:cs="Arial"/>
          <w:sz w:val="22"/>
          <w:szCs w:val="22"/>
          <w:lang w:eastAsia="en-NZ"/>
        </w:rPr>
        <w:t xml:space="preserve">desired </w:t>
      </w:r>
      <w:r w:rsidR="00CA3DD4" w:rsidRPr="00F05BED">
        <w:rPr>
          <w:rFonts w:cs="Arial"/>
          <w:sz w:val="22"/>
          <w:szCs w:val="22"/>
          <w:lang w:eastAsia="en-NZ"/>
        </w:rPr>
        <w:t xml:space="preserve">levels of </w:t>
      </w:r>
      <w:r w:rsidR="000B0B96" w:rsidRPr="00F05BED">
        <w:rPr>
          <w:rFonts w:cs="Arial"/>
          <w:sz w:val="22"/>
          <w:szCs w:val="22"/>
          <w:lang w:eastAsia="en-NZ"/>
        </w:rPr>
        <w:t xml:space="preserve">disaggregation; </w:t>
      </w:r>
      <w:r w:rsidR="00BC3BE0" w:rsidRPr="00F05BED">
        <w:rPr>
          <w:rFonts w:cs="Arial"/>
          <w:sz w:val="22"/>
          <w:szCs w:val="22"/>
          <w:lang w:eastAsia="en-NZ"/>
        </w:rPr>
        <w:t xml:space="preserve">(ii) </w:t>
      </w:r>
      <w:r w:rsidR="004071BA">
        <w:rPr>
          <w:rFonts w:cs="Arial"/>
          <w:sz w:val="22"/>
          <w:szCs w:val="22"/>
          <w:lang w:eastAsia="en-NZ"/>
        </w:rPr>
        <w:t>l</w:t>
      </w:r>
      <w:r w:rsidR="00BC3BE0" w:rsidRPr="00F05BED">
        <w:rPr>
          <w:rFonts w:cs="Arial"/>
          <w:sz w:val="22"/>
          <w:szCs w:val="22"/>
          <w:lang w:eastAsia="en-NZ"/>
        </w:rPr>
        <w:t>abour and capital income</w:t>
      </w:r>
      <w:r w:rsidR="000B0B96" w:rsidRPr="00F05BED">
        <w:rPr>
          <w:rFonts w:cs="Arial"/>
          <w:sz w:val="22"/>
          <w:szCs w:val="22"/>
          <w:lang w:eastAsia="en-NZ"/>
        </w:rPr>
        <w:t>s;</w:t>
      </w:r>
      <w:r w:rsidR="00BC3BE0" w:rsidRPr="00F05BED">
        <w:rPr>
          <w:rFonts w:cs="Arial"/>
          <w:sz w:val="22"/>
          <w:szCs w:val="22"/>
          <w:lang w:eastAsia="en-NZ"/>
        </w:rPr>
        <w:t xml:space="preserve"> </w:t>
      </w:r>
      <w:r w:rsidR="00CA3DD4" w:rsidRPr="00F05BED">
        <w:rPr>
          <w:rFonts w:cs="Arial"/>
          <w:sz w:val="22"/>
          <w:szCs w:val="22"/>
          <w:lang w:eastAsia="en-NZ"/>
        </w:rPr>
        <w:t>and (i</w:t>
      </w:r>
      <w:r w:rsidR="00BC3BE0" w:rsidRPr="00F05BED">
        <w:rPr>
          <w:rFonts w:cs="Arial"/>
          <w:sz w:val="22"/>
          <w:szCs w:val="22"/>
          <w:lang w:eastAsia="en-NZ"/>
        </w:rPr>
        <w:t>i</w:t>
      </w:r>
      <w:r w:rsidR="00CA3DD4" w:rsidRPr="00F05BED">
        <w:rPr>
          <w:rFonts w:cs="Arial"/>
          <w:sz w:val="22"/>
          <w:szCs w:val="22"/>
          <w:lang w:eastAsia="en-NZ"/>
        </w:rPr>
        <w:t xml:space="preserve">i) relevant price indices. </w:t>
      </w:r>
    </w:p>
    <w:p w:rsidR="007A112A" w:rsidRPr="00F05BED" w:rsidRDefault="007A112A" w:rsidP="00F05BED">
      <w:pPr>
        <w:autoSpaceDE w:val="0"/>
        <w:autoSpaceDN w:val="0"/>
        <w:adjustRightInd w:val="0"/>
        <w:spacing w:line="320" w:lineRule="atLeast"/>
        <w:rPr>
          <w:rFonts w:cs="Arial"/>
          <w:sz w:val="22"/>
          <w:szCs w:val="22"/>
          <w:lang w:eastAsia="en-NZ"/>
        </w:rPr>
      </w:pPr>
    </w:p>
    <w:p w:rsidR="005F70C3" w:rsidRDefault="005F70C3">
      <w:pPr>
        <w:rPr>
          <w:rFonts w:cs="Arial"/>
          <w:i/>
          <w:sz w:val="22"/>
          <w:szCs w:val="22"/>
          <w:u w:val="single"/>
          <w:lang w:eastAsia="en-NZ"/>
        </w:rPr>
      </w:pPr>
      <w:r>
        <w:rPr>
          <w:rFonts w:cs="Arial"/>
          <w:i/>
          <w:sz w:val="22"/>
          <w:szCs w:val="22"/>
          <w:u w:val="single"/>
          <w:lang w:eastAsia="en-NZ"/>
        </w:rPr>
        <w:br w:type="page"/>
      </w:r>
    </w:p>
    <w:p w:rsidR="00CA3DD4" w:rsidRPr="008D5534" w:rsidRDefault="00461DA9" w:rsidP="00DA6B17">
      <w:pPr>
        <w:pStyle w:val="ListParagraph"/>
        <w:numPr>
          <w:ilvl w:val="2"/>
          <w:numId w:val="3"/>
        </w:numPr>
        <w:autoSpaceDE w:val="0"/>
        <w:autoSpaceDN w:val="0"/>
        <w:adjustRightInd w:val="0"/>
        <w:spacing w:line="320" w:lineRule="atLeast"/>
        <w:rPr>
          <w:rFonts w:cs="Arial"/>
          <w:i/>
          <w:sz w:val="22"/>
          <w:szCs w:val="22"/>
          <w:u w:val="single"/>
          <w:lang w:eastAsia="en-NZ"/>
        </w:rPr>
      </w:pPr>
      <w:r w:rsidRPr="008D5534">
        <w:rPr>
          <w:rFonts w:cs="Arial"/>
          <w:i/>
          <w:sz w:val="22"/>
          <w:szCs w:val="22"/>
          <w:u w:val="single"/>
          <w:lang w:eastAsia="en-NZ"/>
        </w:rPr>
        <w:lastRenderedPageBreak/>
        <w:t>Input-Output tables</w:t>
      </w:r>
    </w:p>
    <w:p w:rsidR="00D446ED" w:rsidRPr="00F05BED" w:rsidRDefault="000B0B96" w:rsidP="00F05BED">
      <w:pPr>
        <w:autoSpaceDE w:val="0"/>
        <w:autoSpaceDN w:val="0"/>
        <w:adjustRightInd w:val="0"/>
        <w:spacing w:line="320" w:lineRule="atLeast"/>
        <w:rPr>
          <w:rFonts w:cs="Arial"/>
          <w:sz w:val="22"/>
          <w:szCs w:val="22"/>
          <w:lang w:eastAsia="en-NZ"/>
        </w:rPr>
      </w:pPr>
      <w:r w:rsidRPr="00F05BED">
        <w:rPr>
          <w:rFonts w:cs="Arial"/>
          <w:sz w:val="22"/>
          <w:szCs w:val="22"/>
          <w:lang w:eastAsia="en-NZ"/>
        </w:rPr>
        <w:t>T</w:t>
      </w:r>
      <w:r w:rsidR="00461DA9" w:rsidRPr="00F05BED">
        <w:rPr>
          <w:rFonts w:cs="Arial"/>
          <w:sz w:val="22"/>
          <w:szCs w:val="22"/>
          <w:lang w:eastAsia="en-NZ"/>
        </w:rPr>
        <w:t xml:space="preserve">hree </w:t>
      </w:r>
      <w:r w:rsidR="00A466CA">
        <w:rPr>
          <w:rFonts w:cs="Arial"/>
          <w:sz w:val="22"/>
          <w:szCs w:val="22"/>
          <w:lang w:eastAsia="en-NZ"/>
        </w:rPr>
        <w:t>i</w:t>
      </w:r>
      <w:r w:rsidR="00A466CA" w:rsidRPr="00F05BED">
        <w:rPr>
          <w:rFonts w:cs="Arial"/>
          <w:sz w:val="22"/>
          <w:szCs w:val="22"/>
          <w:lang w:eastAsia="en-NZ"/>
        </w:rPr>
        <w:t>nput</w:t>
      </w:r>
      <w:r w:rsidR="00461DA9" w:rsidRPr="00F05BED">
        <w:rPr>
          <w:rFonts w:cs="Arial"/>
          <w:sz w:val="22"/>
          <w:szCs w:val="22"/>
          <w:lang w:eastAsia="en-NZ"/>
        </w:rPr>
        <w:t>-</w:t>
      </w:r>
      <w:r w:rsidR="00A466CA">
        <w:rPr>
          <w:rFonts w:cs="Arial"/>
          <w:sz w:val="22"/>
          <w:szCs w:val="22"/>
          <w:lang w:eastAsia="en-NZ"/>
        </w:rPr>
        <w:t>o</w:t>
      </w:r>
      <w:r w:rsidR="00A466CA" w:rsidRPr="00F05BED">
        <w:rPr>
          <w:rFonts w:cs="Arial"/>
          <w:sz w:val="22"/>
          <w:szCs w:val="22"/>
          <w:lang w:eastAsia="en-NZ"/>
        </w:rPr>
        <w:t xml:space="preserve">utput </w:t>
      </w:r>
      <w:r w:rsidR="005D3878" w:rsidRPr="00F05BED">
        <w:rPr>
          <w:rFonts w:cs="Arial"/>
          <w:sz w:val="22"/>
          <w:szCs w:val="22"/>
          <w:lang w:eastAsia="en-NZ"/>
        </w:rPr>
        <w:t>t</w:t>
      </w:r>
      <w:r w:rsidR="00A64C45" w:rsidRPr="00F05BED">
        <w:rPr>
          <w:rFonts w:cs="Arial"/>
          <w:sz w:val="22"/>
          <w:szCs w:val="22"/>
          <w:lang w:eastAsia="en-NZ"/>
        </w:rPr>
        <w:t xml:space="preserve">ables </w:t>
      </w:r>
      <w:r w:rsidRPr="00F05BED">
        <w:rPr>
          <w:rFonts w:cs="Arial"/>
          <w:sz w:val="22"/>
          <w:szCs w:val="22"/>
          <w:lang w:eastAsia="en-NZ"/>
        </w:rPr>
        <w:t xml:space="preserve">are available </w:t>
      </w:r>
      <w:r w:rsidR="00A64C45" w:rsidRPr="00F05BED">
        <w:rPr>
          <w:rFonts w:cs="Arial"/>
          <w:sz w:val="22"/>
          <w:szCs w:val="22"/>
          <w:lang w:eastAsia="en-NZ"/>
        </w:rPr>
        <w:t>for the years 1996, 2003 and 2007</w:t>
      </w:r>
      <w:r w:rsidRPr="00F05BED">
        <w:rPr>
          <w:rStyle w:val="FootnoteReference"/>
          <w:rFonts w:cs="Arial"/>
          <w:sz w:val="22"/>
          <w:szCs w:val="22"/>
          <w:lang w:eastAsia="en-NZ"/>
        </w:rPr>
        <w:footnoteReference w:id="2"/>
      </w:r>
      <w:r w:rsidR="00A64C45" w:rsidRPr="00F05BED">
        <w:rPr>
          <w:rFonts w:cs="Arial"/>
          <w:sz w:val="22"/>
          <w:szCs w:val="22"/>
          <w:lang w:eastAsia="en-NZ"/>
        </w:rPr>
        <w:t xml:space="preserve">. </w:t>
      </w:r>
      <w:r w:rsidR="00343121" w:rsidRPr="00F05BED">
        <w:rPr>
          <w:rFonts w:cs="Arial"/>
          <w:sz w:val="22"/>
          <w:szCs w:val="22"/>
          <w:lang w:eastAsia="en-NZ"/>
        </w:rPr>
        <w:t xml:space="preserve"> </w:t>
      </w:r>
      <w:r w:rsidR="00FD2143" w:rsidRPr="00F05BED">
        <w:rPr>
          <w:rFonts w:cs="Arial"/>
          <w:sz w:val="22"/>
          <w:szCs w:val="22"/>
          <w:lang w:eastAsia="en-NZ"/>
        </w:rPr>
        <w:t xml:space="preserve">However, </w:t>
      </w:r>
      <w:r w:rsidR="00D446ED" w:rsidRPr="00F05BED">
        <w:rPr>
          <w:rFonts w:cs="Arial"/>
          <w:sz w:val="22"/>
          <w:szCs w:val="22"/>
          <w:lang w:eastAsia="en-NZ"/>
        </w:rPr>
        <w:t xml:space="preserve">different </w:t>
      </w:r>
      <w:r w:rsidR="00FD2143" w:rsidRPr="00F05BED">
        <w:rPr>
          <w:rFonts w:cs="Arial"/>
          <w:sz w:val="22"/>
          <w:szCs w:val="22"/>
          <w:lang w:eastAsia="en-NZ"/>
        </w:rPr>
        <w:t xml:space="preserve">industry </w:t>
      </w:r>
      <w:r w:rsidR="00D446ED" w:rsidRPr="00F05BED">
        <w:rPr>
          <w:rFonts w:cs="Arial"/>
          <w:sz w:val="22"/>
          <w:szCs w:val="22"/>
          <w:lang w:eastAsia="en-NZ"/>
        </w:rPr>
        <w:t>sub-</w:t>
      </w:r>
      <w:r w:rsidR="00FD2143" w:rsidRPr="00F05BED">
        <w:rPr>
          <w:rFonts w:cs="Arial"/>
          <w:sz w:val="22"/>
          <w:szCs w:val="22"/>
          <w:lang w:eastAsia="en-NZ"/>
        </w:rPr>
        <w:t xml:space="preserve">groupings have been used by SNZ </w:t>
      </w:r>
      <w:r w:rsidR="00D446ED" w:rsidRPr="00F05BED">
        <w:rPr>
          <w:rFonts w:cs="Arial"/>
          <w:sz w:val="22"/>
          <w:szCs w:val="22"/>
          <w:lang w:eastAsia="en-NZ"/>
        </w:rPr>
        <w:t xml:space="preserve">in </w:t>
      </w:r>
      <w:r w:rsidR="00FD2143" w:rsidRPr="00F05BED">
        <w:rPr>
          <w:rFonts w:cs="Arial"/>
          <w:sz w:val="22"/>
          <w:szCs w:val="22"/>
          <w:lang w:eastAsia="en-NZ"/>
        </w:rPr>
        <w:t xml:space="preserve">the three </w:t>
      </w:r>
      <w:r w:rsidR="00D446ED" w:rsidRPr="00F05BED">
        <w:rPr>
          <w:rFonts w:cs="Arial"/>
          <w:sz w:val="22"/>
          <w:szCs w:val="22"/>
          <w:lang w:eastAsia="en-NZ"/>
        </w:rPr>
        <w:t>data sets</w:t>
      </w:r>
      <w:r w:rsidR="00FD2143" w:rsidRPr="00F05BED">
        <w:rPr>
          <w:rFonts w:cs="Arial"/>
          <w:sz w:val="22"/>
          <w:szCs w:val="22"/>
          <w:lang w:eastAsia="en-NZ"/>
        </w:rPr>
        <w:t xml:space="preserve"> and there is no obvious overlap between the 1996 table and the 2003 and 2007 tables.</w:t>
      </w:r>
      <w:r w:rsidR="00D446ED" w:rsidRPr="00F05BED">
        <w:rPr>
          <w:rFonts w:cs="Arial"/>
          <w:sz w:val="22"/>
          <w:szCs w:val="22"/>
          <w:lang w:eastAsia="en-NZ"/>
        </w:rPr>
        <w:t xml:space="preserve"> </w:t>
      </w:r>
      <w:r w:rsidR="00FD2143" w:rsidRPr="00F05BED">
        <w:rPr>
          <w:rFonts w:cs="Arial"/>
          <w:sz w:val="22"/>
          <w:szCs w:val="22"/>
          <w:lang w:eastAsia="en-NZ"/>
        </w:rPr>
        <w:t>To enable consistent comparisons of the results, we have focused the analysis on</w:t>
      </w:r>
      <w:r w:rsidR="00467282">
        <w:rPr>
          <w:rFonts w:cs="Arial"/>
          <w:sz w:val="22"/>
          <w:szCs w:val="22"/>
          <w:lang w:eastAsia="en-NZ"/>
        </w:rPr>
        <w:t xml:space="preserve"> the </w:t>
      </w:r>
      <w:r w:rsidR="00FD2143" w:rsidRPr="00F05BED">
        <w:rPr>
          <w:rFonts w:cs="Arial"/>
          <w:sz w:val="22"/>
          <w:szCs w:val="22"/>
          <w:lang w:eastAsia="en-NZ"/>
        </w:rPr>
        <w:t>2003 and 2007 data</w:t>
      </w:r>
      <w:r w:rsidR="00467282">
        <w:rPr>
          <w:rFonts w:cs="Arial"/>
          <w:sz w:val="22"/>
          <w:szCs w:val="22"/>
          <w:lang w:eastAsia="en-NZ"/>
        </w:rPr>
        <w:t>, which were</w:t>
      </w:r>
      <w:r w:rsidR="00461DA9" w:rsidRPr="00F05BED">
        <w:rPr>
          <w:rFonts w:cs="Arial"/>
          <w:sz w:val="22"/>
          <w:szCs w:val="22"/>
          <w:lang w:eastAsia="en-NZ"/>
        </w:rPr>
        <w:t xml:space="preserve"> </w:t>
      </w:r>
      <w:r w:rsidR="00FD2143" w:rsidRPr="00F05BED">
        <w:rPr>
          <w:rFonts w:cs="Arial"/>
          <w:sz w:val="22"/>
          <w:szCs w:val="22"/>
          <w:lang w:eastAsia="en-NZ"/>
        </w:rPr>
        <w:t xml:space="preserve">aggregated into </w:t>
      </w:r>
      <w:r w:rsidR="00705168" w:rsidRPr="00F05BED">
        <w:rPr>
          <w:rFonts w:cs="Arial"/>
          <w:sz w:val="22"/>
          <w:szCs w:val="22"/>
          <w:lang w:eastAsia="en-NZ"/>
        </w:rPr>
        <w:t>three transport sub-</w:t>
      </w:r>
      <w:r w:rsidR="00FD2143" w:rsidRPr="00F05BED">
        <w:rPr>
          <w:rFonts w:cs="Arial"/>
          <w:sz w:val="22"/>
          <w:szCs w:val="22"/>
          <w:lang w:eastAsia="en-NZ"/>
        </w:rPr>
        <w:t xml:space="preserve">groups, </w:t>
      </w:r>
      <w:r w:rsidR="00705168" w:rsidRPr="00F05BED">
        <w:rPr>
          <w:rFonts w:cs="Arial"/>
          <w:sz w:val="22"/>
          <w:szCs w:val="22"/>
          <w:lang w:eastAsia="en-NZ"/>
        </w:rPr>
        <w:t xml:space="preserve">namely: </w:t>
      </w:r>
      <w:r w:rsidR="00DC294A">
        <w:rPr>
          <w:rFonts w:cs="Arial"/>
          <w:sz w:val="22"/>
          <w:szCs w:val="22"/>
          <w:lang w:eastAsia="en-NZ"/>
        </w:rPr>
        <w:t>‘r</w:t>
      </w:r>
      <w:r w:rsidR="00705168" w:rsidRPr="00F05BED">
        <w:rPr>
          <w:rFonts w:cs="Arial"/>
          <w:sz w:val="22"/>
          <w:szCs w:val="22"/>
          <w:lang w:eastAsia="en-NZ"/>
        </w:rPr>
        <w:t xml:space="preserve">oad </w:t>
      </w:r>
      <w:r w:rsidR="00DC294A">
        <w:rPr>
          <w:rFonts w:cs="Arial"/>
          <w:sz w:val="22"/>
          <w:szCs w:val="22"/>
          <w:lang w:eastAsia="en-NZ"/>
        </w:rPr>
        <w:t>and</w:t>
      </w:r>
      <w:r w:rsidR="00705168" w:rsidRPr="00F05BED">
        <w:rPr>
          <w:rFonts w:cs="Arial"/>
          <w:sz w:val="22"/>
          <w:szCs w:val="22"/>
          <w:lang w:eastAsia="en-NZ"/>
        </w:rPr>
        <w:t xml:space="preserve"> rail</w:t>
      </w:r>
      <w:r w:rsidR="00DC294A">
        <w:rPr>
          <w:rFonts w:cs="Arial"/>
          <w:sz w:val="22"/>
          <w:szCs w:val="22"/>
          <w:lang w:eastAsia="en-NZ"/>
        </w:rPr>
        <w:t xml:space="preserve"> transport’</w:t>
      </w:r>
      <w:r w:rsidR="00705168" w:rsidRPr="00F05BED">
        <w:rPr>
          <w:rFonts w:cs="Arial"/>
          <w:sz w:val="22"/>
          <w:szCs w:val="22"/>
          <w:lang w:eastAsia="en-NZ"/>
        </w:rPr>
        <w:t xml:space="preserve">, </w:t>
      </w:r>
      <w:r w:rsidR="00DC294A">
        <w:rPr>
          <w:rFonts w:cs="Arial"/>
          <w:sz w:val="22"/>
          <w:szCs w:val="22"/>
          <w:lang w:eastAsia="en-NZ"/>
        </w:rPr>
        <w:t>‘w</w:t>
      </w:r>
      <w:r w:rsidR="00705168" w:rsidRPr="00F05BED">
        <w:rPr>
          <w:rFonts w:cs="Arial"/>
          <w:sz w:val="22"/>
          <w:szCs w:val="22"/>
          <w:lang w:eastAsia="en-NZ"/>
        </w:rPr>
        <w:t xml:space="preserve">ater </w:t>
      </w:r>
      <w:r w:rsidR="00DC294A">
        <w:rPr>
          <w:rFonts w:cs="Arial"/>
          <w:sz w:val="22"/>
          <w:szCs w:val="22"/>
          <w:lang w:eastAsia="en-NZ"/>
        </w:rPr>
        <w:t>and</w:t>
      </w:r>
      <w:r w:rsidR="00705168" w:rsidRPr="00F05BED">
        <w:rPr>
          <w:rFonts w:cs="Arial"/>
          <w:sz w:val="22"/>
          <w:szCs w:val="22"/>
          <w:lang w:eastAsia="en-NZ"/>
        </w:rPr>
        <w:t xml:space="preserve"> air</w:t>
      </w:r>
      <w:r w:rsidR="00DC294A">
        <w:rPr>
          <w:rFonts w:cs="Arial"/>
          <w:sz w:val="22"/>
          <w:szCs w:val="22"/>
          <w:lang w:eastAsia="en-NZ"/>
        </w:rPr>
        <w:t xml:space="preserve"> transport’</w:t>
      </w:r>
      <w:r w:rsidR="00705168" w:rsidRPr="00F05BED">
        <w:rPr>
          <w:rFonts w:cs="Arial"/>
          <w:sz w:val="22"/>
          <w:szCs w:val="22"/>
          <w:lang w:eastAsia="en-NZ"/>
        </w:rPr>
        <w:t xml:space="preserve">, and </w:t>
      </w:r>
      <w:r w:rsidR="00DC294A">
        <w:rPr>
          <w:rFonts w:cs="Arial"/>
          <w:sz w:val="22"/>
          <w:szCs w:val="22"/>
          <w:lang w:eastAsia="en-NZ"/>
        </w:rPr>
        <w:t>‘s</w:t>
      </w:r>
      <w:r w:rsidR="00705168" w:rsidRPr="00F05BED">
        <w:rPr>
          <w:rFonts w:cs="Arial"/>
          <w:sz w:val="22"/>
          <w:szCs w:val="22"/>
          <w:lang w:eastAsia="en-NZ"/>
        </w:rPr>
        <w:t>ervices to transport</w:t>
      </w:r>
      <w:r w:rsidR="00DC294A">
        <w:rPr>
          <w:rFonts w:cs="Arial"/>
          <w:sz w:val="22"/>
          <w:szCs w:val="22"/>
          <w:lang w:eastAsia="en-NZ"/>
        </w:rPr>
        <w:t>’</w:t>
      </w:r>
      <w:r w:rsidR="00705168" w:rsidRPr="00F05BED">
        <w:rPr>
          <w:rFonts w:cs="Arial"/>
          <w:sz w:val="22"/>
          <w:szCs w:val="22"/>
          <w:lang w:eastAsia="en-NZ"/>
        </w:rPr>
        <w:t>.</w:t>
      </w:r>
      <w:r w:rsidR="001E2975" w:rsidRPr="00F05BED">
        <w:rPr>
          <w:rFonts w:cs="Arial"/>
          <w:sz w:val="22"/>
          <w:szCs w:val="22"/>
          <w:lang w:eastAsia="en-NZ"/>
        </w:rPr>
        <w:t xml:space="preserve"> </w:t>
      </w:r>
      <w:r w:rsidR="00461DA9" w:rsidRPr="00F05BED">
        <w:rPr>
          <w:rFonts w:cs="Arial"/>
          <w:sz w:val="22"/>
          <w:szCs w:val="22"/>
          <w:lang w:eastAsia="en-NZ"/>
        </w:rPr>
        <w:t>In a separate analysis, a</w:t>
      </w:r>
      <w:r w:rsidR="005D3878" w:rsidRPr="00F05BED">
        <w:rPr>
          <w:rFonts w:cs="Arial"/>
          <w:sz w:val="22"/>
          <w:szCs w:val="22"/>
          <w:lang w:eastAsia="en-NZ"/>
        </w:rPr>
        <w:t>ll transport sub-</w:t>
      </w:r>
      <w:r w:rsidR="00796371" w:rsidRPr="00F05BED">
        <w:rPr>
          <w:rFonts w:cs="Arial"/>
          <w:sz w:val="22"/>
          <w:szCs w:val="22"/>
          <w:lang w:eastAsia="en-NZ"/>
        </w:rPr>
        <w:t>groups</w:t>
      </w:r>
      <w:r w:rsidR="00461DA9" w:rsidRPr="00F05BED">
        <w:rPr>
          <w:rFonts w:cs="Arial"/>
          <w:sz w:val="22"/>
          <w:szCs w:val="22"/>
          <w:lang w:eastAsia="en-NZ"/>
        </w:rPr>
        <w:t xml:space="preserve"> were combined as one industry </w:t>
      </w:r>
      <w:r w:rsidR="00657BC2">
        <w:rPr>
          <w:rFonts w:cs="Arial"/>
          <w:sz w:val="22"/>
          <w:szCs w:val="22"/>
          <w:lang w:eastAsia="en-NZ"/>
        </w:rPr>
        <w:t xml:space="preserve">(labelled as ‘all transport industries’) </w:t>
      </w:r>
      <w:r w:rsidR="00461DA9" w:rsidRPr="00F05BED">
        <w:rPr>
          <w:rFonts w:cs="Arial"/>
          <w:sz w:val="22"/>
          <w:szCs w:val="22"/>
          <w:lang w:eastAsia="en-NZ"/>
        </w:rPr>
        <w:t>to enable comparison with other industries</w:t>
      </w:r>
      <w:r w:rsidR="006C35EA" w:rsidRPr="00F05BED">
        <w:rPr>
          <w:rFonts w:cs="Arial"/>
          <w:sz w:val="22"/>
          <w:szCs w:val="22"/>
          <w:lang w:eastAsia="en-NZ"/>
        </w:rPr>
        <w:t xml:space="preserve">. </w:t>
      </w:r>
      <w:r w:rsidR="00461DA9" w:rsidRPr="00F05BED">
        <w:rPr>
          <w:rFonts w:cs="Arial"/>
          <w:sz w:val="22"/>
          <w:szCs w:val="22"/>
          <w:lang w:eastAsia="en-NZ"/>
        </w:rPr>
        <w:t>The latter analysis utilised the data for the three periods.</w:t>
      </w:r>
    </w:p>
    <w:p w:rsidR="0099599E" w:rsidRPr="00F05BED" w:rsidRDefault="0099599E" w:rsidP="00F05BED">
      <w:pPr>
        <w:autoSpaceDE w:val="0"/>
        <w:autoSpaceDN w:val="0"/>
        <w:adjustRightInd w:val="0"/>
        <w:spacing w:line="320" w:lineRule="atLeast"/>
        <w:rPr>
          <w:rFonts w:cs="Arial"/>
          <w:sz w:val="22"/>
          <w:szCs w:val="22"/>
          <w:lang w:eastAsia="en-NZ"/>
        </w:rPr>
      </w:pPr>
    </w:p>
    <w:p w:rsidR="00E353D6" w:rsidRPr="008D5534" w:rsidRDefault="00786166" w:rsidP="00DA6B17">
      <w:pPr>
        <w:pStyle w:val="ListParagraph"/>
        <w:numPr>
          <w:ilvl w:val="2"/>
          <w:numId w:val="3"/>
        </w:numPr>
        <w:autoSpaceDE w:val="0"/>
        <w:autoSpaceDN w:val="0"/>
        <w:adjustRightInd w:val="0"/>
        <w:spacing w:line="320" w:lineRule="atLeast"/>
        <w:rPr>
          <w:rFonts w:cs="Arial"/>
          <w:i/>
          <w:sz w:val="22"/>
          <w:szCs w:val="22"/>
          <w:u w:val="single"/>
          <w:lang w:eastAsia="en-NZ"/>
        </w:rPr>
      </w:pPr>
      <w:r w:rsidRPr="008D5534">
        <w:rPr>
          <w:rFonts w:cs="Arial"/>
          <w:i/>
          <w:sz w:val="22"/>
          <w:szCs w:val="22"/>
          <w:u w:val="single"/>
          <w:lang w:eastAsia="en-NZ"/>
        </w:rPr>
        <w:t>Labo</w:t>
      </w:r>
      <w:r w:rsidR="000A6CD8" w:rsidRPr="008D5534">
        <w:rPr>
          <w:rFonts w:cs="Arial"/>
          <w:i/>
          <w:sz w:val="22"/>
          <w:szCs w:val="22"/>
          <w:u w:val="single"/>
          <w:lang w:eastAsia="en-NZ"/>
        </w:rPr>
        <w:t>u</w:t>
      </w:r>
      <w:r w:rsidRPr="008D5534">
        <w:rPr>
          <w:rFonts w:cs="Arial"/>
          <w:i/>
          <w:sz w:val="22"/>
          <w:szCs w:val="22"/>
          <w:u w:val="single"/>
          <w:lang w:eastAsia="en-NZ"/>
        </w:rPr>
        <w:t>r and capital income</w:t>
      </w:r>
    </w:p>
    <w:p w:rsidR="00D446ED" w:rsidRPr="00F05BED" w:rsidRDefault="00786166" w:rsidP="00F05BED">
      <w:pPr>
        <w:autoSpaceDE w:val="0"/>
        <w:autoSpaceDN w:val="0"/>
        <w:adjustRightInd w:val="0"/>
        <w:spacing w:line="320" w:lineRule="atLeast"/>
        <w:rPr>
          <w:rFonts w:cs="Arial"/>
          <w:sz w:val="22"/>
          <w:szCs w:val="22"/>
          <w:lang w:eastAsia="en-NZ"/>
        </w:rPr>
      </w:pPr>
      <w:r w:rsidRPr="00F05BED">
        <w:rPr>
          <w:rFonts w:cs="Arial"/>
          <w:sz w:val="22"/>
          <w:szCs w:val="22"/>
          <w:lang w:eastAsia="en-NZ"/>
        </w:rPr>
        <w:t>Compensation</w:t>
      </w:r>
      <w:r w:rsidR="00343121" w:rsidRPr="00F05BED">
        <w:rPr>
          <w:rFonts w:cs="Arial"/>
          <w:sz w:val="22"/>
          <w:szCs w:val="22"/>
          <w:lang w:eastAsia="en-NZ"/>
        </w:rPr>
        <w:t>s</w:t>
      </w:r>
      <w:r w:rsidR="00461DA9" w:rsidRPr="00F05BED">
        <w:rPr>
          <w:rFonts w:cs="Arial"/>
          <w:sz w:val="22"/>
          <w:szCs w:val="22"/>
          <w:lang w:eastAsia="en-NZ"/>
        </w:rPr>
        <w:t xml:space="preserve"> of employees in the </w:t>
      </w:r>
      <w:r w:rsidR="00A466CA">
        <w:rPr>
          <w:rFonts w:cs="Arial"/>
          <w:sz w:val="22"/>
          <w:szCs w:val="22"/>
          <w:lang w:eastAsia="en-NZ"/>
        </w:rPr>
        <w:t>i</w:t>
      </w:r>
      <w:r w:rsidR="00461DA9" w:rsidRPr="00F05BED">
        <w:rPr>
          <w:rFonts w:cs="Arial"/>
          <w:sz w:val="22"/>
          <w:szCs w:val="22"/>
          <w:lang w:eastAsia="en-NZ"/>
        </w:rPr>
        <w:t>nput-</w:t>
      </w:r>
      <w:r w:rsidR="00A466CA">
        <w:rPr>
          <w:rFonts w:cs="Arial"/>
          <w:sz w:val="22"/>
          <w:szCs w:val="22"/>
          <w:lang w:eastAsia="en-NZ"/>
        </w:rPr>
        <w:t>o</w:t>
      </w:r>
      <w:r w:rsidRPr="00F05BED">
        <w:rPr>
          <w:rFonts w:cs="Arial"/>
          <w:sz w:val="22"/>
          <w:szCs w:val="22"/>
          <w:lang w:eastAsia="en-NZ"/>
        </w:rPr>
        <w:t xml:space="preserve">utput tables </w:t>
      </w:r>
      <w:r w:rsidR="002D48CC" w:rsidRPr="00F05BED">
        <w:rPr>
          <w:rFonts w:cs="Arial"/>
          <w:sz w:val="22"/>
          <w:szCs w:val="22"/>
          <w:lang w:eastAsia="en-NZ"/>
        </w:rPr>
        <w:t>were</w:t>
      </w:r>
      <w:r w:rsidRPr="00F05BED">
        <w:rPr>
          <w:rFonts w:cs="Arial"/>
          <w:sz w:val="22"/>
          <w:szCs w:val="22"/>
          <w:lang w:eastAsia="en-NZ"/>
        </w:rPr>
        <w:t xml:space="preserve"> taken as labour income. </w:t>
      </w:r>
      <w:r w:rsidR="00BE70F4" w:rsidRPr="00F05BED">
        <w:rPr>
          <w:rFonts w:cs="Arial"/>
          <w:sz w:val="22"/>
          <w:szCs w:val="22"/>
          <w:lang w:eastAsia="en-NZ"/>
        </w:rPr>
        <w:t xml:space="preserve">The </w:t>
      </w:r>
      <w:r w:rsidR="00461DA9" w:rsidRPr="00F05BED">
        <w:rPr>
          <w:rFonts w:cs="Arial"/>
          <w:sz w:val="22"/>
          <w:szCs w:val="22"/>
          <w:lang w:eastAsia="en-NZ"/>
        </w:rPr>
        <w:t>remaining part of the value-</w:t>
      </w:r>
      <w:r w:rsidR="000A6CD8" w:rsidRPr="00F05BED">
        <w:rPr>
          <w:rFonts w:cs="Arial"/>
          <w:sz w:val="22"/>
          <w:szCs w:val="22"/>
          <w:lang w:eastAsia="en-NZ"/>
        </w:rPr>
        <w:t>added</w:t>
      </w:r>
      <w:r w:rsidR="00DC294A">
        <w:rPr>
          <w:rFonts w:cs="Arial"/>
          <w:sz w:val="22"/>
          <w:szCs w:val="22"/>
          <w:lang w:eastAsia="en-NZ"/>
        </w:rPr>
        <w:t>,</w:t>
      </w:r>
      <w:r w:rsidR="000A6CD8" w:rsidRPr="00F05BED">
        <w:rPr>
          <w:rFonts w:cs="Arial"/>
          <w:sz w:val="22"/>
          <w:szCs w:val="22"/>
          <w:lang w:eastAsia="en-NZ"/>
        </w:rPr>
        <w:t xml:space="preserve"> </w:t>
      </w:r>
      <w:r w:rsidR="00BE70F4" w:rsidRPr="00F05BED">
        <w:rPr>
          <w:rFonts w:cs="Arial"/>
          <w:sz w:val="22"/>
          <w:szCs w:val="22"/>
          <w:lang w:eastAsia="en-NZ"/>
        </w:rPr>
        <w:t>which is essentially the operating surplus</w:t>
      </w:r>
      <w:r w:rsidR="00DC294A">
        <w:rPr>
          <w:rFonts w:cs="Arial"/>
          <w:sz w:val="22"/>
          <w:szCs w:val="22"/>
          <w:lang w:eastAsia="en-NZ"/>
        </w:rPr>
        <w:t>,</w:t>
      </w:r>
      <w:r w:rsidR="00BE70F4" w:rsidRPr="00F05BED">
        <w:rPr>
          <w:rFonts w:cs="Arial"/>
          <w:sz w:val="22"/>
          <w:szCs w:val="22"/>
          <w:lang w:eastAsia="en-NZ"/>
        </w:rPr>
        <w:t xml:space="preserve"> </w:t>
      </w:r>
      <w:r w:rsidR="000A6CD8" w:rsidRPr="00F05BED">
        <w:rPr>
          <w:rFonts w:cs="Arial"/>
          <w:sz w:val="22"/>
          <w:szCs w:val="22"/>
          <w:lang w:eastAsia="en-NZ"/>
        </w:rPr>
        <w:t xml:space="preserve">is taken as the capital income. </w:t>
      </w:r>
      <w:r w:rsidRPr="00F05BED">
        <w:rPr>
          <w:rFonts w:cs="Arial"/>
          <w:sz w:val="22"/>
          <w:szCs w:val="22"/>
          <w:lang w:eastAsia="en-NZ"/>
        </w:rPr>
        <w:t>As described in OECD (2001)</w:t>
      </w:r>
      <w:r w:rsidR="00DC294A">
        <w:rPr>
          <w:rFonts w:cs="Arial"/>
          <w:sz w:val="22"/>
          <w:szCs w:val="22"/>
          <w:lang w:eastAsia="en-NZ"/>
        </w:rPr>
        <w:t>,</w:t>
      </w:r>
      <w:r w:rsidRPr="00F05BED">
        <w:rPr>
          <w:rFonts w:cs="Arial"/>
          <w:sz w:val="22"/>
          <w:szCs w:val="22"/>
          <w:lang w:eastAsia="en-NZ"/>
        </w:rPr>
        <w:t xml:space="preserve"> taxes </w:t>
      </w:r>
      <w:r w:rsidR="002D48CC" w:rsidRPr="00F05BED">
        <w:rPr>
          <w:rFonts w:cs="Arial"/>
          <w:sz w:val="22"/>
          <w:szCs w:val="22"/>
          <w:lang w:eastAsia="en-NZ"/>
        </w:rPr>
        <w:t xml:space="preserve">(net of subsidies) </w:t>
      </w:r>
      <w:r w:rsidRPr="00F05BED">
        <w:rPr>
          <w:rFonts w:cs="Arial"/>
          <w:sz w:val="22"/>
          <w:szCs w:val="22"/>
          <w:lang w:eastAsia="en-NZ"/>
        </w:rPr>
        <w:t xml:space="preserve">and imports </w:t>
      </w:r>
      <w:r w:rsidR="002D48CC" w:rsidRPr="00F05BED">
        <w:rPr>
          <w:rFonts w:cs="Arial"/>
          <w:sz w:val="22"/>
          <w:szCs w:val="22"/>
          <w:lang w:eastAsia="en-NZ"/>
        </w:rPr>
        <w:t>were</w:t>
      </w:r>
      <w:r w:rsidRPr="00F05BED">
        <w:rPr>
          <w:rFonts w:cs="Arial"/>
          <w:sz w:val="22"/>
          <w:szCs w:val="22"/>
          <w:lang w:eastAsia="en-NZ"/>
        </w:rPr>
        <w:t xml:space="preserve"> proportionately assigned between </w:t>
      </w:r>
      <w:r w:rsidR="000A6CD8" w:rsidRPr="00F05BED">
        <w:rPr>
          <w:rFonts w:cs="Arial"/>
          <w:sz w:val="22"/>
          <w:szCs w:val="22"/>
          <w:lang w:eastAsia="en-NZ"/>
        </w:rPr>
        <w:t>labour income and capital income.</w:t>
      </w:r>
      <w:r w:rsidR="00000728" w:rsidRPr="00F05BED">
        <w:rPr>
          <w:rFonts w:cs="Arial"/>
          <w:sz w:val="22"/>
          <w:szCs w:val="22"/>
          <w:lang w:eastAsia="en-NZ"/>
        </w:rPr>
        <w:t xml:space="preserve"> Although OECD recommends an adjustment to allow for </w:t>
      </w:r>
      <w:r w:rsidR="001E2975" w:rsidRPr="00F05BED">
        <w:rPr>
          <w:rFonts w:cs="Arial"/>
          <w:sz w:val="22"/>
          <w:szCs w:val="22"/>
          <w:lang w:eastAsia="en-NZ"/>
        </w:rPr>
        <w:t>g</w:t>
      </w:r>
      <w:r w:rsidR="00000728" w:rsidRPr="00F05BED">
        <w:rPr>
          <w:rFonts w:cs="Arial"/>
          <w:sz w:val="22"/>
          <w:szCs w:val="22"/>
          <w:lang w:eastAsia="en-NZ"/>
        </w:rPr>
        <w:t xml:space="preserve">ross </w:t>
      </w:r>
      <w:r w:rsidR="001E2975" w:rsidRPr="00F05BED">
        <w:rPr>
          <w:rFonts w:cs="Arial"/>
          <w:sz w:val="22"/>
          <w:szCs w:val="22"/>
          <w:lang w:eastAsia="en-NZ"/>
        </w:rPr>
        <w:t>m</w:t>
      </w:r>
      <w:r w:rsidR="00000728" w:rsidRPr="00F05BED">
        <w:rPr>
          <w:rFonts w:cs="Arial"/>
          <w:sz w:val="22"/>
          <w:szCs w:val="22"/>
          <w:lang w:eastAsia="en-NZ"/>
        </w:rPr>
        <w:t xml:space="preserve">ixed </w:t>
      </w:r>
      <w:r w:rsidR="001E2975" w:rsidRPr="00F05BED">
        <w:rPr>
          <w:rFonts w:cs="Arial"/>
          <w:sz w:val="22"/>
          <w:szCs w:val="22"/>
          <w:lang w:eastAsia="en-NZ"/>
        </w:rPr>
        <w:t>i</w:t>
      </w:r>
      <w:r w:rsidR="00000728" w:rsidRPr="00F05BED">
        <w:rPr>
          <w:rFonts w:cs="Arial"/>
          <w:sz w:val="22"/>
          <w:szCs w:val="22"/>
          <w:lang w:eastAsia="en-NZ"/>
        </w:rPr>
        <w:t>ncome earned by households, we hav</w:t>
      </w:r>
      <w:r w:rsidR="00C442C0" w:rsidRPr="00F05BED">
        <w:rPr>
          <w:rFonts w:cs="Arial"/>
          <w:sz w:val="22"/>
          <w:szCs w:val="22"/>
          <w:lang w:eastAsia="en-NZ"/>
        </w:rPr>
        <w:t xml:space="preserve">e </w:t>
      </w:r>
      <w:r w:rsidR="00000728" w:rsidRPr="00F05BED">
        <w:rPr>
          <w:rFonts w:cs="Arial"/>
          <w:sz w:val="22"/>
          <w:szCs w:val="22"/>
          <w:lang w:eastAsia="en-NZ"/>
        </w:rPr>
        <w:t>n</w:t>
      </w:r>
      <w:r w:rsidR="00C442C0" w:rsidRPr="00F05BED">
        <w:rPr>
          <w:rFonts w:cs="Arial"/>
          <w:sz w:val="22"/>
          <w:szCs w:val="22"/>
          <w:lang w:eastAsia="en-NZ"/>
        </w:rPr>
        <w:t>o</w:t>
      </w:r>
      <w:r w:rsidR="00000728" w:rsidRPr="00F05BED">
        <w:rPr>
          <w:rFonts w:cs="Arial"/>
          <w:sz w:val="22"/>
          <w:szCs w:val="22"/>
          <w:lang w:eastAsia="en-NZ"/>
        </w:rPr>
        <w:t xml:space="preserve">t made any adjustment in that regard due to unavailability </w:t>
      </w:r>
      <w:r w:rsidR="00C442C0" w:rsidRPr="00F05BED">
        <w:rPr>
          <w:rFonts w:cs="Arial"/>
          <w:sz w:val="22"/>
          <w:szCs w:val="22"/>
          <w:lang w:eastAsia="en-NZ"/>
        </w:rPr>
        <w:t xml:space="preserve">of data in the published </w:t>
      </w:r>
      <w:r w:rsidR="00A466CA">
        <w:rPr>
          <w:rFonts w:cs="Arial"/>
          <w:sz w:val="22"/>
          <w:szCs w:val="22"/>
          <w:lang w:eastAsia="en-NZ"/>
        </w:rPr>
        <w:t>s</w:t>
      </w:r>
      <w:r w:rsidR="00A466CA" w:rsidRPr="00F05BED">
        <w:rPr>
          <w:rFonts w:cs="Arial"/>
          <w:sz w:val="22"/>
          <w:szCs w:val="22"/>
          <w:lang w:eastAsia="en-NZ"/>
        </w:rPr>
        <w:t>upply</w:t>
      </w:r>
      <w:r w:rsidR="00C442C0" w:rsidRPr="00F05BED">
        <w:rPr>
          <w:rFonts w:cs="Arial"/>
          <w:sz w:val="22"/>
          <w:szCs w:val="22"/>
          <w:lang w:eastAsia="en-NZ"/>
        </w:rPr>
        <w:t>-</w:t>
      </w:r>
      <w:r w:rsidR="00A466CA">
        <w:rPr>
          <w:rFonts w:cs="Arial"/>
          <w:sz w:val="22"/>
          <w:szCs w:val="22"/>
          <w:lang w:eastAsia="en-NZ"/>
        </w:rPr>
        <w:t>u</w:t>
      </w:r>
      <w:r w:rsidR="00A466CA" w:rsidRPr="00F05BED">
        <w:rPr>
          <w:rFonts w:cs="Arial"/>
          <w:sz w:val="22"/>
          <w:szCs w:val="22"/>
          <w:lang w:eastAsia="en-NZ"/>
        </w:rPr>
        <w:t xml:space="preserve">se </w:t>
      </w:r>
      <w:r w:rsidR="00C442C0" w:rsidRPr="00F05BED">
        <w:rPr>
          <w:rFonts w:cs="Arial"/>
          <w:sz w:val="22"/>
          <w:szCs w:val="22"/>
          <w:lang w:eastAsia="en-NZ"/>
        </w:rPr>
        <w:t xml:space="preserve">and </w:t>
      </w:r>
      <w:r w:rsidR="00A466CA">
        <w:rPr>
          <w:rFonts w:cs="Arial"/>
          <w:sz w:val="22"/>
          <w:szCs w:val="22"/>
          <w:lang w:eastAsia="en-NZ"/>
        </w:rPr>
        <w:t>i</w:t>
      </w:r>
      <w:r w:rsidR="00A466CA" w:rsidRPr="00F05BED">
        <w:rPr>
          <w:rFonts w:cs="Arial"/>
          <w:sz w:val="22"/>
          <w:szCs w:val="22"/>
          <w:lang w:eastAsia="en-NZ"/>
        </w:rPr>
        <w:t>nput</w:t>
      </w:r>
      <w:r w:rsidR="004D3FE2" w:rsidRPr="00F05BED">
        <w:rPr>
          <w:rFonts w:cs="Arial"/>
          <w:sz w:val="22"/>
          <w:szCs w:val="22"/>
          <w:lang w:eastAsia="en-NZ"/>
        </w:rPr>
        <w:t>-</w:t>
      </w:r>
      <w:r w:rsidR="00A466CA">
        <w:rPr>
          <w:rFonts w:cs="Arial"/>
          <w:sz w:val="22"/>
          <w:szCs w:val="22"/>
          <w:lang w:eastAsia="en-NZ"/>
        </w:rPr>
        <w:t>o</w:t>
      </w:r>
      <w:r w:rsidR="00A466CA" w:rsidRPr="00F05BED">
        <w:rPr>
          <w:rFonts w:cs="Arial"/>
          <w:sz w:val="22"/>
          <w:szCs w:val="22"/>
          <w:lang w:eastAsia="en-NZ"/>
        </w:rPr>
        <w:t xml:space="preserve">utput </w:t>
      </w:r>
      <w:r w:rsidR="00C442C0" w:rsidRPr="00F05BED">
        <w:rPr>
          <w:rFonts w:cs="Arial"/>
          <w:sz w:val="22"/>
          <w:szCs w:val="22"/>
          <w:lang w:eastAsia="en-NZ"/>
        </w:rPr>
        <w:t>t</w:t>
      </w:r>
      <w:r w:rsidR="00000728" w:rsidRPr="00F05BED">
        <w:rPr>
          <w:rFonts w:cs="Arial"/>
          <w:sz w:val="22"/>
          <w:szCs w:val="22"/>
          <w:lang w:eastAsia="en-NZ"/>
        </w:rPr>
        <w:t xml:space="preserve">ables. </w:t>
      </w:r>
    </w:p>
    <w:p w:rsidR="00BC5F6E" w:rsidRPr="00F05BED" w:rsidRDefault="00BC5F6E" w:rsidP="00F05BED">
      <w:pPr>
        <w:spacing w:line="320" w:lineRule="atLeast"/>
        <w:rPr>
          <w:rFonts w:cs="Arial"/>
          <w:sz w:val="22"/>
          <w:szCs w:val="22"/>
          <w:lang w:eastAsia="en-NZ"/>
        </w:rPr>
      </w:pPr>
    </w:p>
    <w:p w:rsidR="00BC5F6E" w:rsidRPr="008D5534" w:rsidRDefault="00BC5F6E" w:rsidP="00DA6B17">
      <w:pPr>
        <w:pStyle w:val="ListParagraph"/>
        <w:numPr>
          <w:ilvl w:val="2"/>
          <w:numId w:val="3"/>
        </w:numPr>
        <w:autoSpaceDE w:val="0"/>
        <w:autoSpaceDN w:val="0"/>
        <w:adjustRightInd w:val="0"/>
        <w:spacing w:line="320" w:lineRule="atLeast"/>
        <w:rPr>
          <w:rFonts w:cs="Arial"/>
          <w:i/>
          <w:sz w:val="22"/>
          <w:szCs w:val="22"/>
          <w:u w:val="single"/>
          <w:lang w:eastAsia="en-NZ"/>
        </w:rPr>
      </w:pPr>
      <w:r w:rsidRPr="008D5534">
        <w:rPr>
          <w:rFonts w:cs="Arial"/>
          <w:i/>
          <w:sz w:val="22"/>
          <w:szCs w:val="22"/>
          <w:u w:val="single"/>
          <w:lang w:eastAsia="en-NZ"/>
        </w:rPr>
        <w:t>Price indices</w:t>
      </w:r>
    </w:p>
    <w:p w:rsidR="005B34D1" w:rsidRPr="00F05BED" w:rsidRDefault="00107243" w:rsidP="00F05BED">
      <w:pPr>
        <w:spacing w:line="320" w:lineRule="atLeast"/>
        <w:rPr>
          <w:rFonts w:cs="Arial"/>
          <w:sz w:val="22"/>
          <w:szCs w:val="22"/>
          <w:lang w:eastAsia="en-NZ"/>
        </w:rPr>
      </w:pPr>
      <w:r w:rsidRPr="00F05BED">
        <w:rPr>
          <w:rFonts w:cs="Arial"/>
          <w:sz w:val="22"/>
          <w:szCs w:val="22"/>
          <w:lang w:eastAsia="en-NZ"/>
        </w:rPr>
        <w:t>A</w:t>
      </w:r>
      <w:r w:rsidR="00BC5F6E" w:rsidRPr="00F05BED">
        <w:rPr>
          <w:rFonts w:cs="Arial"/>
          <w:sz w:val="22"/>
          <w:szCs w:val="22"/>
          <w:lang w:eastAsia="en-NZ"/>
        </w:rPr>
        <w:t xml:space="preserve">s there </w:t>
      </w:r>
      <w:r w:rsidRPr="00F05BED">
        <w:rPr>
          <w:rFonts w:cs="Arial"/>
          <w:sz w:val="22"/>
          <w:szCs w:val="22"/>
          <w:lang w:eastAsia="en-NZ"/>
        </w:rPr>
        <w:t xml:space="preserve">is </w:t>
      </w:r>
      <w:r w:rsidR="00BC5F6E" w:rsidRPr="00F05BED">
        <w:rPr>
          <w:rFonts w:cs="Arial"/>
          <w:sz w:val="22"/>
          <w:szCs w:val="22"/>
          <w:lang w:eastAsia="en-NZ"/>
        </w:rPr>
        <w:t>no published price ind</w:t>
      </w:r>
      <w:r w:rsidR="00343121" w:rsidRPr="00F05BED">
        <w:rPr>
          <w:rFonts w:cs="Arial"/>
          <w:sz w:val="22"/>
          <w:szCs w:val="22"/>
          <w:lang w:eastAsia="en-NZ"/>
        </w:rPr>
        <w:t>ex</w:t>
      </w:r>
      <w:r w:rsidR="00BC5F6E" w:rsidRPr="00F05BED">
        <w:rPr>
          <w:rFonts w:cs="Arial"/>
          <w:sz w:val="22"/>
          <w:szCs w:val="22"/>
          <w:lang w:eastAsia="en-NZ"/>
        </w:rPr>
        <w:t xml:space="preserve"> </w:t>
      </w:r>
      <w:r w:rsidRPr="00F05BED">
        <w:rPr>
          <w:rFonts w:cs="Arial"/>
          <w:sz w:val="22"/>
          <w:szCs w:val="22"/>
          <w:lang w:eastAsia="en-NZ"/>
        </w:rPr>
        <w:t xml:space="preserve">available </w:t>
      </w:r>
      <w:r w:rsidR="00A50819" w:rsidRPr="00F05BED">
        <w:rPr>
          <w:rFonts w:cs="Arial"/>
          <w:sz w:val="22"/>
          <w:szCs w:val="22"/>
          <w:lang w:eastAsia="en-NZ"/>
        </w:rPr>
        <w:t xml:space="preserve">for each of </w:t>
      </w:r>
      <w:r w:rsidR="00A466CA">
        <w:rPr>
          <w:rFonts w:cs="Arial"/>
          <w:sz w:val="22"/>
          <w:szCs w:val="22"/>
          <w:lang w:eastAsia="en-NZ"/>
        </w:rPr>
        <w:t xml:space="preserve">the </w:t>
      </w:r>
      <w:r w:rsidR="00E15713" w:rsidRPr="00F05BED">
        <w:rPr>
          <w:rFonts w:cs="Arial"/>
          <w:sz w:val="22"/>
          <w:szCs w:val="22"/>
          <w:lang w:eastAsia="en-NZ"/>
        </w:rPr>
        <w:t xml:space="preserve">aggregated </w:t>
      </w:r>
      <w:r w:rsidR="00A50819" w:rsidRPr="00F05BED">
        <w:rPr>
          <w:rFonts w:cs="Arial"/>
          <w:sz w:val="22"/>
          <w:szCs w:val="22"/>
          <w:lang w:eastAsia="en-NZ"/>
        </w:rPr>
        <w:t>industries used in the analysis</w:t>
      </w:r>
      <w:r w:rsidRPr="00F05BED">
        <w:rPr>
          <w:rFonts w:cs="Arial"/>
          <w:sz w:val="22"/>
          <w:szCs w:val="22"/>
          <w:lang w:eastAsia="en-NZ"/>
        </w:rPr>
        <w:t>,</w:t>
      </w:r>
      <w:r w:rsidR="00D33C8C" w:rsidRPr="00F05BED">
        <w:rPr>
          <w:rFonts w:cs="Arial"/>
          <w:sz w:val="22"/>
          <w:szCs w:val="22"/>
          <w:lang w:eastAsia="en-NZ"/>
        </w:rPr>
        <w:t xml:space="preserve"> </w:t>
      </w:r>
      <w:r w:rsidRPr="00F05BED">
        <w:rPr>
          <w:rFonts w:cs="Arial"/>
          <w:sz w:val="22"/>
          <w:szCs w:val="22"/>
          <w:lang w:eastAsia="en-NZ"/>
        </w:rPr>
        <w:t xml:space="preserve">the </w:t>
      </w:r>
      <w:r w:rsidR="00D33C8C" w:rsidRPr="00F05BED">
        <w:rPr>
          <w:rFonts w:cs="Arial"/>
          <w:sz w:val="22"/>
          <w:szCs w:val="22"/>
          <w:lang w:eastAsia="en-NZ"/>
        </w:rPr>
        <w:t xml:space="preserve">weighted average price index </w:t>
      </w:r>
      <w:r w:rsidR="00E15713" w:rsidRPr="00F05BED">
        <w:rPr>
          <w:rFonts w:cs="Arial"/>
          <w:sz w:val="22"/>
          <w:szCs w:val="22"/>
          <w:lang w:eastAsia="en-NZ"/>
        </w:rPr>
        <w:t xml:space="preserve">of individual </w:t>
      </w:r>
      <w:r w:rsidR="004D3FE2" w:rsidRPr="00F05BED">
        <w:rPr>
          <w:rFonts w:cs="Arial"/>
          <w:sz w:val="22"/>
          <w:szCs w:val="22"/>
          <w:lang w:eastAsia="en-NZ"/>
        </w:rPr>
        <w:t>sub-</w:t>
      </w:r>
      <w:r w:rsidR="00E15713" w:rsidRPr="00F05BED">
        <w:rPr>
          <w:rFonts w:cs="Arial"/>
          <w:sz w:val="22"/>
          <w:szCs w:val="22"/>
          <w:lang w:eastAsia="en-NZ"/>
        </w:rPr>
        <w:t xml:space="preserve">industries </w:t>
      </w:r>
      <w:r w:rsidR="00D33C8C" w:rsidRPr="00F05BED">
        <w:rPr>
          <w:rFonts w:cs="Arial"/>
          <w:sz w:val="22"/>
          <w:szCs w:val="22"/>
          <w:lang w:eastAsia="en-NZ"/>
        </w:rPr>
        <w:t xml:space="preserve">for each </w:t>
      </w:r>
      <w:r w:rsidR="00E15713" w:rsidRPr="00F05BED">
        <w:rPr>
          <w:rFonts w:cs="Arial"/>
          <w:sz w:val="22"/>
          <w:szCs w:val="22"/>
          <w:lang w:eastAsia="en-NZ"/>
        </w:rPr>
        <w:t xml:space="preserve">aggregated </w:t>
      </w:r>
      <w:r w:rsidR="00D33C8C" w:rsidRPr="00F05BED">
        <w:rPr>
          <w:rFonts w:cs="Arial"/>
          <w:sz w:val="22"/>
          <w:szCs w:val="22"/>
          <w:lang w:eastAsia="en-NZ"/>
        </w:rPr>
        <w:t>industry</w:t>
      </w:r>
      <w:r w:rsidRPr="00F05BED">
        <w:rPr>
          <w:rFonts w:cs="Arial"/>
          <w:sz w:val="22"/>
          <w:szCs w:val="22"/>
          <w:lang w:eastAsia="en-NZ"/>
        </w:rPr>
        <w:t xml:space="preserve"> has been used</w:t>
      </w:r>
      <w:r w:rsidR="002D48CC" w:rsidRPr="00F05BED">
        <w:rPr>
          <w:rFonts w:cs="Arial"/>
          <w:sz w:val="22"/>
          <w:szCs w:val="22"/>
          <w:lang w:eastAsia="en-NZ"/>
        </w:rPr>
        <w:t xml:space="preserve">. </w:t>
      </w:r>
      <w:r w:rsidRPr="00F05BED">
        <w:rPr>
          <w:rFonts w:cs="Arial"/>
          <w:sz w:val="22"/>
          <w:szCs w:val="22"/>
          <w:lang w:eastAsia="en-NZ"/>
        </w:rPr>
        <w:t>In situation</w:t>
      </w:r>
      <w:r w:rsidR="00137306">
        <w:rPr>
          <w:rFonts w:cs="Arial"/>
          <w:sz w:val="22"/>
          <w:szCs w:val="22"/>
          <w:lang w:eastAsia="en-NZ"/>
        </w:rPr>
        <w:t>s</w:t>
      </w:r>
      <w:r w:rsidRPr="00F05BED">
        <w:rPr>
          <w:rFonts w:cs="Arial"/>
          <w:sz w:val="22"/>
          <w:szCs w:val="22"/>
          <w:lang w:eastAsia="en-NZ"/>
        </w:rPr>
        <w:t xml:space="preserve"> where </w:t>
      </w:r>
      <w:r w:rsidR="00D33C8C" w:rsidRPr="00F05BED">
        <w:rPr>
          <w:rFonts w:cs="Arial"/>
          <w:sz w:val="22"/>
          <w:szCs w:val="22"/>
          <w:lang w:eastAsia="en-NZ"/>
        </w:rPr>
        <w:t xml:space="preserve">it was not possible to </w:t>
      </w:r>
      <w:r w:rsidR="002D48CC" w:rsidRPr="00F05BED">
        <w:rPr>
          <w:rFonts w:cs="Arial"/>
          <w:sz w:val="22"/>
          <w:szCs w:val="22"/>
          <w:lang w:eastAsia="en-NZ"/>
        </w:rPr>
        <w:t>calculate</w:t>
      </w:r>
      <w:r w:rsidR="00D33C8C" w:rsidRPr="00F05BED">
        <w:rPr>
          <w:rFonts w:cs="Arial"/>
          <w:sz w:val="22"/>
          <w:szCs w:val="22"/>
          <w:lang w:eastAsia="en-NZ"/>
        </w:rPr>
        <w:t xml:space="preserve"> a</w:t>
      </w:r>
      <w:r w:rsidRPr="00F05BED">
        <w:rPr>
          <w:rFonts w:cs="Arial"/>
          <w:sz w:val="22"/>
          <w:szCs w:val="22"/>
          <w:lang w:eastAsia="en-NZ"/>
        </w:rPr>
        <w:t>n appropriate</w:t>
      </w:r>
      <w:r w:rsidR="00D33C8C" w:rsidRPr="00F05BED">
        <w:rPr>
          <w:rFonts w:cs="Arial"/>
          <w:sz w:val="22"/>
          <w:szCs w:val="22"/>
          <w:lang w:eastAsia="en-NZ"/>
        </w:rPr>
        <w:t xml:space="preserve"> price index, </w:t>
      </w:r>
      <w:r w:rsidRPr="00F05BED">
        <w:rPr>
          <w:rFonts w:cs="Arial"/>
          <w:sz w:val="22"/>
          <w:szCs w:val="22"/>
          <w:lang w:eastAsia="en-NZ"/>
        </w:rPr>
        <w:t xml:space="preserve">the </w:t>
      </w:r>
      <w:r w:rsidR="00D33C8C" w:rsidRPr="00F05BED">
        <w:rPr>
          <w:rFonts w:cs="Arial"/>
          <w:sz w:val="22"/>
          <w:szCs w:val="22"/>
          <w:lang w:eastAsia="en-NZ"/>
        </w:rPr>
        <w:t xml:space="preserve">price index for </w:t>
      </w:r>
      <w:r w:rsidRPr="00F05BED">
        <w:rPr>
          <w:rFonts w:cs="Arial"/>
          <w:sz w:val="22"/>
          <w:szCs w:val="22"/>
          <w:lang w:eastAsia="en-NZ"/>
        </w:rPr>
        <w:t>a similar</w:t>
      </w:r>
      <w:r w:rsidR="00D33C8C" w:rsidRPr="00F05BED">
        <w:rPr>
          <w:rFonts w:cs="Arial"/>
          <w:sz w:val="22"/>
          <w:szCs w:val="22"/>
          <w:lang w:eastAsia="en-NZ"/>
        </w:rPr>
        <w:t xml:space="preserve"> industry was used. </w:t>
      </w:r>
      <w:r w:rsidRPr="00F05BED">
        <w:rPr>
          <w:rFonts w:cs="Arial"/>
          <w:sz w:val="22"/>
          <w:szCs w:val="22"/>
          <w:lang w:eastAsia="en-NZ"/>
        </w:rPr>
        <w:t>In cases where there is no match of industry,</w:t>
      </w:r>
      <w:r w:rsidR="00D33C8C" w:rsidRPr="00F05BED">
        <w:rPr>
          <w:rFonts w:cs="Arial"/>
          <w:sz w:val="22"/>
          <w:szCs w:val="22"/>
          <w:lang w:eastAsia="en-NZ"/>
        </w:rPr>
        <w:t xml:space="preserve"> we have used </w:t>
      </w:r>
      <w:r w:rsidRPr="00F05BED">
        <w:rPr>
          <w:rFonts w:cs="Arial"/>
          <w:sz w:val="22"/>
          <w:szCs w:val="22"/>
          <w:lang w:eastAsia="en-NZ"/>
        </w:rPr>
        <w:t xml:space="preserve">the </w:t>
      </w:r>
      <w:r w:rsidR="00D33C8C" w:rsidRPr="00F05BED">
        <w:rPr>
          <w:rFonts w:cs="Arial"/>
          <w:sz w:val="22"/>
          <w:szCs w:val="22"/>
          <w:lang w:eastAsia="en-NZ"/>
        </w:rPr>
        <w:t xml:space="preserve">average </w:t>
      </w:r>
      <w:r w:rsidR="005B34D1" w:rsidRPr="00F05BED">
        <w:rPr>
          <w:rFonts w:cs="Arial"/>
          <w:sz w:val="22"/>
          <w:szCs w:val="22"/>
          <w:lang w:eastAsia="en-NZ"/>
        </w:rPr>
        <w:t xml:space="preserve">price index of all industries as the </w:t>
      </w:r>
      <w:r w:rsidR="001E2975" w:rsidRPr="00F05BED">
        <w:rPr>
          <w:rFonts w:cs="Arial"/>
          <w:sz w:val="22"/>
          <w:szCs w:val="22"/>
          <w:lang w:eastAsia="en-NZ"/>
        </w:rPr>
        <w:t xml:space="preserve">proxy </w:t>
      </w:r>
      <w:r w:rsidR="005B34D1" w:rsidRPr="00F05BED">
        <w:rPr>
          <w:rFonts w:cs="Arial"/>
          <w:sz w:val="22"/>
          <w:szCs w:val="22"/>
          <w:lang w:eastAsia="en-NZ"/>
        </w:rPr>
        <w:t>price index for the required industry</w:t>
      </w:r>
      <w:r w:rsidR="006A5082" w:rsidRPr="00F05BED">
        <w:rPr>
          <w:rFonts w:cs="Arial"/>
          <w:sz w:val="22"/>
          <w:szCs w:val="22"/>
          <w:lang w:eastAsia="en-NZ"/>
        </w:rPr>
        <w:t xml:space="preserve">. </w:t>
      </w:r>
    </w:p>
    <w:p w:rsidR="000A1D6E" w:rsidRDefault="000A1D6E">
      <w:pPr>
        <w:rPr>
          <w:rFonts w:ascii="STATSsans Light" w:hAnsi="STATSsans Light" w:cs="Arial"/>
          <w:b/>
          <w:i/>
          <w:color w:val="000000"/>
          <w:sz w:val="22"/>
          <w:szCs w:val="22"/>
          <w:lang w:eastAsia="en-NZ"/>
        </w:rPr>
      </w:pPr>
    </w:p>
    <w:p w:rsidR="00CD0EC3" w:rsidRPr="00F05BED" w:rsidRDefault="00196146" w:rsidP="005F70C3">
      <w:pPr>
        <w:rPr>
          <w:rFonts w:cs="Arial"/>
          <w:b/>
          <w:i/>
          <w:sz w:val="22"/>
          <w:szCs w:val="22"/>
        </w:rPr>
      </w:pPr>
      <w:r w:rsidRPr="00F05BED">
        <w:rPr>
          <w:rFonts w:cs="Arial"/>
          <w:b/>
          <w:i/>
          <w:sz w:val="22"/>
          <w:szCs w:val="22"/>
        </w:rPr>
        <w:t>R</w:t>
      </w:r>
      <w:r w:rsidR="00CD0EC3" w:rsidRPr="00F05BED">
        <w:rPr>
          <w:rFonts w:cs="Arial"/>
          <w:b/>
          <w:i/>
          <w:sz w:val="22"/>
          <w:szCs w:val="22"/>
        </w:rPr>
        <w:t>esults</w:t>
      </w:r>
    </w:p>
    <w:p w:rsidR="00D73A09" w:rsidRDefault="00A21B24" w:rsidP="00D73A09">
      <w:pPr>
        <w:autoSpaceDE w:val="0"/>
        <w:autoSpaceDN w:val="0"/>
        <w:adjustRightInd w:val="0"/>
        <w:spacing w:line="320" w:lineRule="atLeast"/>
        <w:rPr>
          <w:rFonts w:cs="Arial"/>
          <w:sz w:val="22"/>
          <w:szCs w:val="22"/>
          <w:lang w:eastAsia="en-NZ"/>
        </w:rPr>
      </w:pPr>
      <w:r>
        <w:rPr>
          <w:rFonts w:cs="Arial"/>
          <w:sz w:val="22"/>
          <w:szCs w:val="22"/>
          <w:lang w:eastAsia="en-NZ"/>
        </w:rPr>
        <w:t>The k</w:t>
      </w:r>
      <w:r w:rsidR="00D73A09">
        <w:rPr>
          <w:rFonts w:cs="Arial"/>
          <w:sz w:val="22"/>
          <w:szCs w:val="22"/>
          <w:lang w:eastAsia="en-NZ"/>
        </w:rPr>
        <w:t>ey results are briefly discussed below.</w:t>
      </w:r>
    </w:p>
    <w:p w:rsidR="00D73A09" w:rsidRPr="00D73A09" w:rsidRDefault="00D73A09" w:rsidP="00D73A09">
      <w:pPr>
        <w:autoSpaceDE w:val="0"/>
        <w:autoSpaceDN w:val="0"/>
        <w:adjustRightInd w:val="0"/>
        <w:spacing w:line="320" w:lineRule="atLeast"/>
        <w:rPr>
          <w:rFonts w:cs="Arial"/>
          <w:sz w:val="22"/>
          <w:szCs w:val="22"/>
          <w:lang w:eastAsia="en-NZ"/>
        </w:rPr>
      </w:pPr>
    </w:p>
    <w:p w:rsidR="00D73A09" w:rsidRPr="00D73A09" w:rsidRDefault="00D73A09" w:rsidP="00DA6B17">
      <w:pPr>
        <w:pStyle w:val="ListParagraph"/>
        <w:numPr>
          <w:ilvl w:val="2"/>
          <w:numId w:val="3"/>
        </w:numPr>
        <w:autoSpaceDE w:val="0"/>
        <w:autoSpaceDN w:val="0"/>
        <w:adjustRightInd w:val="0"/>
        <w:spacing w:line="320" w:lineRule="atLeast"/>
        <w:rPr>
          <w:rFonts w:cs="Arial"/>
          <w:i/>
          <w:sz w:val="22"/>
          <w:szCs w:val="22"/>
          <w:u w:val="single"/>
          <w:lang w:eastAsia="en-NZ"/>
        </w:rPr>
      </w:pPr>
      <w:r w:rsidRPr="00D73A09">
        <w:rPr>
          <w:rFonts w:cs="Arial"/>
          <w:i/>
          <w:sz w:val="22"/>
          <w:szCs w:val="22"/>
          <w:u w:val="single"/>
          <w:lang w:eastAsia="en-NZ"/>
        </w:rPr>
        <w:t xml:space="preserve">Productivity </w:t>
      </w:r>
      <w:r w:rsidR="00657BC2">
        <w:rPr>
          <w:rFonts w:cs="Arial"/>
          <w:i/>
          <w:sz w:val="22"/>
          <w:szCs w:val="22"/>
          <w:u w:val="single"/>
          <w:lang w:eastAsia="en-NZ"/>
        </w:rPr>
        <w:t xml:space="preserve">gains </w:t>
      </w:r>
      <w:r w:rsidRPr="00D73A09">
        <w:rPr>
          <w:rFonts w:cs="Arial"/>
          <w:i/>
          <w:sz w:val="22"/>
          <w:szCs w:val="22"/>
          <w:u w:val="single"/>
          <w:lang w:eastAsia="en-NZ"/>
        </w:rPr>
        <w:t xml:space="preserve">for </w:t>
      </w:r>
      <w:r w:rsidR="00BA270F">
        <w:rPr>
          <w:rFonts w:cs="Arial"/>
          <w:i/>
          <w:sz w:val="22"/>
          <w:szCs w:val="22"/>
          <w:u w:val="single"/>
          <w:lang w:eastAsia="en-NZ"/>
        </w:rPr>
        <w:t>“</w:t>
      </w:r>
      <w:r w:rsidRPr="00D73A09">
        <w:rPr>
          <w:rFonts w:cs="Arial"/>
          <w:i/>
          <w:sz w:val="22"/>
          <w:szCs w:val="22"/>
          <w:u w:val="single"/>
          <w:lang w:eastAsia="en-NZ"/>
        </w:rPr>
        <w:t>all transport</w:t>
      </w:r>
      <w:r w:rsidR="00BA270F">
        <w:rPr>
          <w:rFonts w:cs="Arial"/>
          <w:i/>
          <w:sz w:val="22"/>
          <w:szCs w:val="22"/>
          <w:u w:val="single"/>
          <w:lang w:eastAsia="en-NZ"/>
        </w:rPr>
        <w:t>” group</w:t>
      </w:r>
    </w:p>
    <w:p w:rsidR="00A07B4E" w:rsidRDefault="004D3FE2" w:rsidP="00F05BED">
      <w:pPr>
        <w:autoSpaceDE w:val="0"/>
        <w:autoSpaceDN w:val="0"/>
        <w:adjustRightInd w:val="0"/>
        <w:spacing w:line="320" w:lineRule="atLeast"/>
        <w:rPr>
          <w:rFonts w:cs="Arial"/>
          <w:sz w:val="22"/>
          <w:szCs w:val="22"/>
          <w:lang w:eastAsia="en-NZ"/>
        </w:rPr>
      </w:pPr>
      <w:r w:rsidRPr="00F05BED">
        <w:rPr>
          <w:rFonts w:cs="Arial"/>
          <w:sz w:val="22"/>
          <w:szCs w:val="22"/>
          <w:lang w:eastAsia="en-NZ"/>
        </w:rPr>
        <w:t xml:space="preserve">Figure 1 shows the estimated productivity estimates </w:t>
      </w:r>
      <w:r w:rsidR="00835F83" w:rsidRPr="00F05BED">
        <w:rPr>
          <w:rFonts w:cs="Arial"/>
          <w:sz w:val="22"/>
          <w:szCs w:val="22"/>
          <w:lang w:eastAsia="en-NZ"/>
        </w:rPr>
        <w:t>based on the two OECD approaches</w:t>
      </w:r>
      <w:r w:rsidR="00BA270F">
        <w:rPr>
          <w:rFonts w:cs="Arial"/>
          <w:sz w:val="22"/>
          <w:szCs w:val="22"/>
          <w:lang w:eastAsia="en-NZ"/>
        </w:rPr>
        <w:t>.</w:t>
      </w:r>
      <w:r w:rsidRPr="00F05BED">
        <w:rPr>
          <w:rFonts w:cs="Arial"/>
          <w:sz w:val="22"/>
          <w:szCs w:val="22"/>
          <w:lang w:eastAsia="en-NZ"/>
        </w:rPr>
        <w:t xml:space="preserve"> </w:t>
      </w:r>
      <w:r w:rsidR="000A1D6E">
        <w:rPr>
          <w:rFonts w:cs="Arial"/>
          <w:sz w:val="22"/>
          <w:szCs w:val="22"/>
          <w:lang w:eastAsia="en-NZ"/>
        </w:rPr>
        <w:t xml:space="preserve">This </w:t>
      </w:r>
      <w:r w:rsidRPr="00F05BED">
        <w:rPr>
          <w:rFonts w:cs="Arial"/>
          <w:sz w:val="22"/>
          <w:szCs w:val="22"/>
          <w:lang w:eastAsia="en-NZ"/>
        </w:rPr>
        <w:t>show</w:t>
      </w:r>
      <w:r w:rsidR="000A1D6E">
        <w:rPr>
          <w:rFonts w:cs="Arial"/>
          <w:sz w:val="22"/>
          <w:szCs w:val="22"/>
          <w:lang w:eastAsia="en-NZ"/>
        </w:rPr>
        <w:t>s</w:t>
      </w:r>
      <w:r w:rsidRPr="00F05BED">
        <w:rPr>
          <w:rFonts w:cs="Arial"/>
          <w:sz w:val="22"/>
          <w:szCs w:val="22"/>
          <w:lang w:eastAsia="en-NZ"/>
        </w:rPr>
        <w:t xml:space="preserve"> </w:t>
      </w:r>
      <w:r w:rsidR="000A1D6E">
        <w:rPr>
          <w:rFonts w:cs="Arial"/>
          <w:sz w:val="22"/>
          <w:szCs w:val="22"/>
          <w:lang w:eastAsia="en-NZ"/>
        </w:rPr>
        <w:t xml:space="preserve">there has been </w:t>
      </w:r>
      <w:r w:rsidRPr="00F05BED">
        <w:rPr>
          <w:rFonts w:cs="Arial"/>
          <w:sz w:val="22"/>
          <w:szCs w:val="22"/>
          <w:lang w:eastAsia="en-NZ"/>
        </w:rPr>
        <w:t>a</w:t>
      </w:r>
      <w:r w:rsidR="003918AF" w:rsidRPr="00F05BED">
        <w:rPr>
          <w:rFonts w:cs="Arial"/>
          <w:sz w:val="22"/>
          <w:szCs w:val="22"/>
          <w:lang w:eastAsia="en-NZ"/>
        </w:rPr>
        <w:t xml:space="preserve"> </w:t>
      </w:r>
      <w:r w:rsidRPr="00F05BED">
        <w:rPr>
          <w:rFonts w:cs="Arial"/>
          <w:sz w:val="22"/>
          <w:szCs w:val="22"/>
          <w:lang w:eastAsia="en-NZ"/>
        </w:rPr>
        <w:t xml:space="preserve">steady </w:t>
      </w:r>
      <w:r w:rsidR="003918AF" w:rsidRPr="00F05BED">
        <w:rPr>
          <w:rFonts w:cs="Arial"/>
          <w:sz w:val="22"/>
          <w:szCs w:val="22"/>
          <w:lang w:eastAsia="en-NZ"/>
        </w:rPr>
        <w:t xml:space="preserve">increase </w:t>
      </w:r>
      <w:r w:rsidR="00835F83" w:rsidRPr="00F05BED">
        <w:rPr>
          <w:rFonts w:cs="Arial"/>
          <w:sz w:val="22"/>
          <w:szCs w:val="22"/>
          <w:lang w:eastAsia="en-NZ"/>
        </w:rPr>
        <w:t xml:space="preserve">in </w:t>
      </w:r>
      <w:r w:rsidR="003918AF" w:rsidRPr="00F05BED">
        <w:rPr>
          <w:rFonts w:cs="Arial"/>
          <w:sz w:val="22"/>
          <w:szCs w:val="22"/>
          <w:lang w:eastAsia="en-NZ"/>
        </w:rPr>
        <w:t>productivity from 1996</w:t>
      </w:r>
      <w:r w:rsidR="00835F83" w:rsidRPr="00F05BED">
        <w:rPr>
          <w:rFonts w:cs="Arial"/>
          <w:sz w:val="22"/>
          <w:szCs w:val="22"/>
          <w:lang w:eastAsia="en-NZ"/>
        </w:rPr>
        <w:t xml:space="preserve"> to 2007</w:t>
      </w:r>
      <w:r w:rsidR="000A1D6E">
        <w:rPr>
          <w:rFonts w:cs="Arial"/>
          <w:sz w:val="22"/>
          <w:szCs w:val="22"/>
          <w:lang w:eastAsia="en-NZ"/>
        </w:rPr>
        <w:t xml:space="preserve"> under both approaches</w:t>
      </w:r>
      <w:r w:rsidR="000A1D6E">
        <w:rPr>
          <w:rStyle w:val="FootnoteReference"/>
          <w:rFonts w:cs="Arial"/>
          <w:sz w:val="22"/>
          <w:szCs w:val="22"/>
          <w:lang w:eastAsia="en-NZ"/>
        </w:rPr>
        <w:footnoteReference w:id="3"/>
      </w:r>
      <w:r w:rsidR="003918AF" w:rsidRPr="00F05BED">
        <w:rPr>
          <w:rFonts w:cs="Arial"/>
          <w:sz w:val="22"/>
          <w:szCs w:val="22"/>
          <w:lang w:eastAsia="en-NZ"/>
        </w:rPr>
        <w:t xml:space="preserve">. </w:t>
      </w:r>
    </w:p>
    <w:p w:rsidR="004D3FE2" w:rsidRDefault="004D3FE2" w:rsidP="00F05BED">
      <w:pPr>
        <w:spacing w:line="320" w:lineRule="atLeast"/>
        <w:rPr>
          <w:rFonts w:cs="Arial"/>
          <w:b/>
          <w:sz w:val="22"/>
          <w:szCs w:val="22"/>
          <w:lang w:eastAsia="en-NZ"/>
        </w:rPr>
      </w:pPr>
    </w:p>
    <w:p w:rsidR="003A2590" w:rsidRPr="00F05BED" w:rsidRDefault="003A2590" w:rsidP="00F05BED">
      <w:pPr>
        <w:spacing w:line="320" w:lineRule="atLeast"/>
        <w:rPr>
          <w:rFonts w:cs="Arial"/>
          <w:b/>
          <w:sz w:val="22"/>
          <w:szCs w:val="22"/>
          <w:lang w:eastAsia="en-NZ"/>
        </w:rPr>
      </w:pPr>
    </w:p>
    <w:p w:rsidR="00C56AB4" w:rsidRPr="00F05BED" w:rsidRDefault="00343121" w:rsidP="00F05BED">
      <w:pPr>
        <w:autoSpaceDE w:val="0"/>
        <w:autoSpaceDN w:val="0"/>
        <w:adjustRightInd w:val="0"/>
        <w:spacing w:line="320" w:lineRule="atLeast"/>
        <w:rPr>
          <w:rFonts w:cs="Arial"/>
          <w:b/>
          <w:sz w:val="22"/>
          <w:szCs w:val="22"/>
          <w:lang w:eastAsia="en-NZ"/>
        </w:rPr>
      </w:pPr>
      <w:r w:rsidRPr="00F05BED">
        <w:rPr>
          <w:rFonts w:cs="Arial"/>
          <w:b/>
          <w:sz w:val="22"/>
          <w:szCs w:val="22"/>
          <w:lang w:eastAsia="en-NZ"/>
        </w:rPr>
        <w:lastRenderedPageBreak/>
        <w:t>Figure 1</w:t>
      </w:r>
      <w:r w:rsidRPr="00F05BED">
        <w:rPr>
          <w:rFonts w:cs="Arial"/>
          <w:b/>
          <w:sz w:val="22"/>
          <w:szCs w:val="22"/>
          <w:lang w:eastAsia="en-NZ"/>
        </w:rPr>
        <w:tab/>
      </w:r>
      <w:r w:rsidR="00C56AB4" w:rsidRPr="00F05BED">
        <w:rPr>
          <w:rFonts w:cs="Arial"/>
          <w:b/>
          <w:sz w:val="22"/>
          <w:szCs w:val="22"/>
          <w:lang w:eastAsia="en-NZ"/>
        </w:rPr>
        <w:t xml:space="preserve">Transport productivity – </w:t>
      </w:r>
      <w:r w:rsidR="00416B81">
        <w:rPr>
          <w:rFonts w:cs="Arial"/>
          <w:b/>
          <w:sz w:val="22"/>
          <w:szCs w:val="22"/>
          <w:lang w:eastAsia="en-NZ"/>
        </w:rPr>
        <w:t>a</w:t>
      </w:r>
      <w:r w:rsidR="00416B81" w:rsidRPr="00F05BED">
        <w:rPr>
          <w:rFonts w:cs="Arial"/>
          <w:b/>
          <w:sz w:val="22"/>
          <w:szCs w:val="22"/>
          <w:lang w:eastAsia="en-NZ"/>
        </w:rPr>
        <w:t xml:space="preserve">ll </w:t>
      </w:r>
      <w:r w:rsidR="00C56AB4" w:rsidRPr="00F05BED">
        <w:rPr>
          <w:rFonts w:cs="Arial"/>
          <w:b/>
          <w:sz w:val="22"/>
          <w:szCs w:val="22"/>
          <w:lang w:eastAsia="en-NZ"/>
        </w:rPr>
        <w:t xml:space="preserve">transport </w:t>
      </w:r>
      <w:r w:rsidR="00657BC2">
        <w:rPr>
          <w:rFonts w:cs="Arial"/>
          <w:b/>
          <w:sz w:val="22"/>
          <w:szCs w:val="22"/>
          <w:lang w:eastAsia="en-NZ"/>
        </w:rPr>
        <w:t>industries</w:t>
      </w:r>
    </w:p>
    <w:p w:rsidR="009015FB" w:rsidRPr="00F05BED" w:rsidRDefault="006F4C30" w:rsidP="00F05BED">
      <w:pPr>
        <w:autoSpaceDE w:val="0"/>
        <w:autoSpaceDN w:val="0"/>
        <w:adjustRightInd w:val="0"/>
        <w:spacing w:line="320" w:lineRule="atLeast"/>
        <w:rPr>
          <w:rFonts w:cs="Arial"/>
          <w:sz w:val="22"/>
          <w:szCs w:val="22"/>
          <w:lang w:eastAsia="en-NZ"/>
        </w:rPr>
      </w:pPr>
      <w:r w:rsidRPr="006F4C30">
        <w:rPr>
          <w:noProof/>
          <w:szCs w:val="22"/>
          <w:lang w:eastAsia="en-NZ"/>
        </w:rPr>
        <w:drawing>
          <wp:inline distT="0" distB="0" distL="0" distR="0">
            <wp:extent cx="5019675" cy="2929970"/>
            <wp:effectExtent l="1905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022979" cy="2931899"/>
                    </a:xfrm>
                    <a:prstGeom prst="rect">
                      <a:avLst/>
                    </a:prstGeom>
                    <a:noFill/>
                    <a:ln w="9525">
                      <a:noFill/>
                      <a:miter lim="800000"/>
                      <a:headEnd/>
                      <a:tailEnd/>
                    </a:ln>
                  </pic:spPr>
                </pic:pic>
              </a:graphicData>
            </a:graphic>
          </wp:inline>
        </w:drawing>
      </w:r>
    </w:p>
    <w:p w:rsidR="00736F83" w:rsidRPr="00F05BED" w:rsidRDefault="005E1A6D" w:rsidP="00F05BED">
      <w:pPr>
        <w:autoSpaceDE w:val="0"/>
        <w:autoSpaceDN w:val="0"/>
        <w:adjustRightInd w:val="0"/>
        <w:spacing w:line="320" w:lineRule="atLeast"/>
        <w:rPr>
          <w:rFonts w:cs="Arial"/>
          <w:sz w:val="22"/>
          <w:szCs w:val="22"/>
          <w:lang w:eastAsia="en-NZ"/>
        </w:rPr>
      </w:pPr>
      <w:r w:rsidRPr="00F05BED">
        <w:rPr>
          <w:rFonts w:cs="Arial"/>
          <w:sz w:val="22"/>
          <w:szCs w:val="22"/>
          <w:lang w:eastAsia="en-NZ"/>
        </w:rPr>
        <w:t xml:space="preserve"> </w:t>
      </w:r>
    </w:p>
    <w:p w:rsidR="003918AF" w:rsidRPr="008D5534" w:rsidRDefault="00D73A09" w:rsidP="00DA6B17">
      <w:pPr>
        <w:pStyle w:val="ListParagraph"/>
        <w:numPr>
          <w:ilvl w:val="2"/>
          <w:numId w:val="3"/>
        </w:numPr>
        <w:autoSpaceDE w:val="0"/>
        <w:autoSpaceDN w:val="0"/>
        <w:adjustRightInd w:val="0"/>
        <w:spacing w:line="320" w:lineRule="atLeast"/>
        <w:rPr>
          <w:rFonts w:cs="Arial"/>
          <w:i/>
          <w:sz w:val="22"/>
          <w:szCs w:val="22"/>
          <w:u w:val="single"/>
          <w:lang w:eastAsia="en-NZ"/>
        </w:rPr>
      </w:pPr>
      <w:r>
        <w:rPr>
          <w:rFonts w:cs="Arial"/>
          <w:i/>
          <w:sz w:val="22"/>
          <w:szCs w:val="22"/>
          <w:u w:val="single"/>
          <w:lang w:eastAsia="en-NZ"/>
        </w:rPr>
        <w:t>Productivity changes for t</w:t>
      </w:r>
      <w:r w:rsidR="00906E02" w:rsidRPr="008D5534">
        <w:rPr>
          <w:rFonts w:cs="Arial"/>
          <w:i/>
          <w:sz w:val="22"/>
          <w:szCs w:val="22"/>
          <w:u w:val="single"/>
          <w:lang w:eastAsia="en-NZ"/>
        </w:rPr>
        <w:t>ransport sub-</w:t>
      </w:r>
      <w:r w:rsidR="007B23CB">
        <w:rPr>
          <w:rFonts w:cs="Arial"/>
          <w:i/>
          <w:sz w:val="22"/>
          <w:szCs w:val="22"/>
          <w:u w:val="single"/>
          <w:lang w:eastAsia="en-NZ"/>
        </w:rPr>
        <w:t>groups</w:t>
      </w:r>
      <w:r w:rsidR="00906E02" w:rsidRPr="008D5534">
        <w:rPr>
          <w:rFonts w:cs="Arial"/>
          <w:i/>
          <w:sz w:val="22"/>
          <w:szCs w:val="22"/>
          <w:u w:val="single"/>
          <w:lang w:eastAsia="en-NZ"/>
        </w:rPr>
        <w:t xml:space="preserve"> </w:t>
      </w:r>
    </w:p>
    <w:p w:rsidR="00EC5BF8" w:rsidRDefault="00E63670" w:rsidP="00F05BED">
      <w:pPr>
        <w:autoSpaceDE w:val="0"/>
        <w:autoSpaceDN w:val="0"/>
        <w:adjustRightInd w:val="0"/>
        <w:spacing w:line="320" w:lineRule="atLeast"/>
        <w:rPr>
          <w:rFonts w:cs="Arial"/>
          <w:sz w:val="22"/>
          <w:szCs w:val="22"/>
          <w:lang w:eastAsia="en-NZ"/>
        </w:rPr>
      </w:pPr>
      <w:r w:rsidRPr="00F05BED">
        <w:rPr>
          <w:rFonts w:cs="Arial"/>
          <w:sz w:val="22"/>
          <w:szCs w:val="22"/>
          <w:lang w:eastAsia="en-NZ"/>
        </w:rPr>
        <w:t>From the analysis that looks at the productivity estimates for the three transport sub-</w:t>
      </w:r>
      <w:r w:rsidR="007B23CB">
        <w:rPr>
          <w:rFonts w:cs="Arial"/>
          <w:sz w:val="22"/>
          <w:szCs w:val="22"/>
          <w:lang w:eastAsia="en-NZ"/>
        </w:rPr>
        <w:t>groups</w:t>
      </w:r>
      <w:r w:rsidRPr="00F05BED">
        <w:rPr>
          <w:rFonts w:cs="Arial"/>
          <w:sz w:val="22"/>
          <w:szCs w:val="22"/>
          <w:lang w:eastAsia="en-NZ"/>
        </w:rPr>
        <w:t>, we found all three sub-</w:t>
      </w:r>
      <w:r w:rsidR="007B23CB">
        <w:rPr>
          <w:rFonts w:cs="Arial"/>
          <w:sz w:val="22"/>
          <w:szCs w:val="22"/>
          <w:lang w:eastAsia="en-NZ"/>
        </w:rPr>
        <w:t>groups</w:t>
      </w:r>
      <w:r w:rsidRPr="00F05BED">
        <w:rPr>
          <w:rFonts w:cs="Arial"/>
          <w:sz w:val="22"/>
          <w:szCs w:val="22"/>
          <w:lang w:eastAsia="en-NZ"/>
        </w:rPr>
        <w:t xml:space="preserve"> had shown productivity gains, both from 1996 to 2003 and from 2003 to 2007. </w:t>
      </w:r>
      <w:r w:rsidR="005F70C3">
        <w:rPr>
          <w:rFonts w:cs="Arial"/>
          <w:sz w:val="22"/>
          <w:szCs w:val="22"/>
          <w:lang w:eastAsia="en-NZ"/>
        </w:rPr>
        <w:t xml:space="preserve"> </w:t>
      </w:r>
      <w:r w:rsidR="006B1F99" w:rsidRPr="00F05BED">
        <w:rPr>
          <w:rFonts w:cs="Arial"/>
          <w:sz w:val="22"/>
          <w:szCs w:val="22"/>
          <w:lang w:eastAsia="en-NZ"/>
        </w:rPr>
        <w:t xml:space="preserve">Figure 2 shows </w:t>
      </w:r>
      <w:r w:rsidR="00416B81" w:rsidRPr="00F05BED">
        <w:rPr>
          <w:rFonts w:cs="Arial"/>
          <w:sz w:val="22"/>
          <w:szCs w:val="22"/>
          <w:lang w:eastAsia="en-NZ"/>
        </w:rPr>
        <w:t>th</w:t>
      </w:r>
      <w:r w:rsidR="00416B81">
        <w:rPr>
          <w:rFonts w:cs="Arial"/>
          <w:sz w:val="22"/>
          <w:szCs w:val="22"/>
          <w:lang w:eastAsia="en-NZ"/>
        </w:rPr>
        <w:t>e</w:t>
      </w:r>
      <w:r w:rsidR="00416B81" w:rsidRPr="00F05BED">
        <w:rPr>
          <w:rFonts w:cs="Arial"/>
          <w:sz w:val="22"/>
          <w:szCs w:val="22"/>
          <w:lang w:eastAsia="en-NZ"/>
        </w:rPr>
        <w:t xml:space="preserve"> </w:t>
      </w:r>
      <w:r w:rsidR="005428D8">
        <w:rPr>
          <w:rFonts w:cs="Arial"/>
          <w:sz w:val="22"/>
          <w:szCs w:val="22"/>
          <w:lang w:eastAsia="en-NZ"/>
        </w:rPr>
        <w:t>transport industry</w:t>
      </w:r>
      <w:r w:rsidR="00EC5BF8" w:rsidRPr="00F05BED">
        <w:rPr>
          <w:rFonts w:cs="Arial"/>
          <w:sz w:val="22"/>
          <w:szCs w:val="22"/>
          <w:lang w:eastAsia="en-NZ"/>
        </w:rPr>
        <w:t xml:space="preserve"> as a whole</w:t>
      </w:r>
      <w:r w:rsidR="00DA56FE" w:rsidRPr="00F05BED">
        <w:rPr>
          <w:rFonts w:cs="Arial"/>
          <w:sz w:val="22"/>
          <w:szCs w:val="22"/>
          <w:lang w:eastAsia="en-NZ"/>
        </w:rPr>
        <w:t xml:space="preserve"> </w:t>
      </w:r>
      <w:r w:rsidR="00416B81" w:rsidRPr="00F05BED">
        <w:rPr>
          <w:rFonts w:cs="Arial"/>
          <w:sz w:val="22"/>
          <w:szCs w:val="22"/>
          <w:lang w:eastAsia="en-NZ"/>
        </w:rPr>
        <w:t>ha</w:t>
      </w:r>
      <w:r w:rsidR="00416B81">
        <w:rPr>
          <w:rFonts w:cs="Arial"/>
          <w:sz w:val="22"/>
          <w:szCs w:val="22"/>
          <w:lang w:eastAsia="en-NZ"/>
        </w:rPr>
        <w:t>s</w:t>
      </w:r>
      <w:r w:rsidR="00416B81" w:rsidRPr="00F05BED">
        <w:rPr>
          <w:rFonts w:cs="Arial"/>
          <w:sz w:val="22"/>
          <w:szCs w:val="22"/>
          <w:lang w:eastAsia="en-NZ"/>
        </w:rPr>
        <w:t xml:space="preserve"> </w:t>
      </w:r>
      <w:r w:rsidR="00DA56FE" w:rsidRPr="00F05BED">
        <w:rPr>
          <w:rFonts w:cs="Arial"/>
          <w:sz w:val="22"/>
          <w:szCs w:val="22"/>
          <w:lang w:eastAsia="en-NZ"/>
        </w:rPr>
        <w:t xml:space="preserve">been performing </w:t>
      </w:r>
      <w:r w:rsidR="006B1F99" w:rsidRPr="00F05BED">
        <w:rPr>
          <w:rFonts w:cs="Arial"/>
          <w:sz w:val="22"/>
          <w:szCs w:val="22"/>
          <w:lang w:eastAsia="en-NZ"/>
        </w:rPr>
        <w:t xml:space="preserve">better </w:t>
      </w:r>
      <w:r w:rsidR="00DA56FE" w:rsidRPr="00F05BED">
        <w:rPr>
          <w:rFonts w:cs="Arial"/>
          <w:sz w:val="22"/>
          <w:szCs w:val="22"/>
          <w:lang w:eastAsia="en-NZ"/>
        </w:rPr>
        <w:t xml:space="preserve">when compared with other </w:t>
      </w:r>
      <w:r w:rsidR="00D26417">
        <w:rPr>
          <w:rFonts w:cs="Arial"/>
          <w:sz w:val="22"/>
          <w:szCs w:val="22"/>
          <w:lang w:eastAsia="en-NZ"/>
        </w:rPr>
        <w:t>i</w:t>
      </w:r>
      <w:r w:rsidR="007B23CB">
        <w:rPr>
          <w:rFonts w:cs="Arial"/>
          <w:sz w:val="22"/>
          <w:szCs w:val="22"/>
          <w:lang w:eastAsia="en-NZ"/>
        </w:rPr>
        <w:t>ndustries</w:t>
      </w:r>
      <w:r w:rsidR="00EC5BF8" w:rsidRPr="00F05BED">
        <w:rPr>
          <w:rFonts w:cs="Arial"/>
          <w:sz w:val="22"/>
          <w:szCs w:val="22"/>
          <w:lang w:eastAsia="en-NZ"/>
        </w:rPr>
        <w:t xml:space="preserve"> </w:t>
      </w:r>
      <w:r w:rsidR="00DA56FE" w:rsidRPr="00F05BED">
        <w:rPr>
          <w:rFonts w:cs="Arial"/>
          <w:sz w:val="22"/>
          <w:szCs w:val="22"/>
          <w:lang w:eastAsia="en-NZ"/>
        </w:rPr>
        <w:t xml:space="preserve">in the economy except for </w:t>
      </w:r>
      <w:r w:rsidR="003F64E7" w:rsidRPr="00F05BED">
        <w:rPr>
          <w:rFonts w:cs="Arial"/>
          <w:sz w:val="22"/>
          <w:szCs w:val="22"/>
          <w:lang w:eastAsia="en-NZ"/>
        </w:rPr>
        <w:t xml:space="preserve">the </w:t>
      </w:r>
      <w:r w:rsidR="00DA56FE" w:rsidRPr="00F05BED">
        <w:rPr>
          <w:rFonts w:cs="Arial"/>
          <w:sz w:val="22"/>
          <w:szCs w:val="22"/>
          <w:lang w:eastAsia="en-NZ"/>
        </w:rPr>
        <w:t>agriculture, forestry, fishing and mining industr</w:t>
      </w:r>
      <w:r w:rsidR="00EC5BF8" w:rsidRPr="00F05BED">
        <w:rPr>
          <w:rFonts w:cs="Arial"/>
          <w:sz w:val="22"/>
          <w:szCs w:val="22"/>
          <w:lang w:eastAsia="en-NZ"/>
        </w:rPr>
        <w:t>ies</w:t>
      </w:r>
      <w:r w:rsidR="00DA56FE" w:rsidRPr="00F05BED">
        <w:rPr>
          <w:rFonts w:cs="Arial"/>
          <w:sz w:val="22"/>
          <w:szCs w:val="22"/>
          <w:lang w:eastAsia="en-NZ"/>
        </w:rPr>
        <w:t xml:space="preserve">. </w:t>
      </w:r>
    </w:p>
    <w:p w:rsidR="000A1D6E" w:rsidRDefault="000A1D6E">
      <w:pPr>
        <w:rPr>
          <w:rFonts w:cs="Arial"/>
          <w:b/>
          <w:sz w:val="22"/>
          <w:szCs w:val="22"/>
          <w:lang w:eastAsia="en-NZ"/>
        </w:rPr>
      </w:pPr>
    </w:p>
    <w:p w:rsidR="00E46F93" w:rsidRPr="00F05BED" w:rsidRDefault="00C56AB4" w:rsidP="00F05BED">
      <w:pPr>
        <w:autoSpaceDE w:val="0"/>
        <w:autoSpaceDN w:val="0"/>
        <w:adjustRightInd w:val="0"/>
        <w:spacing w:line="320" w:lineRule="atLeast"/>
        <w:rPr>
          <w:rFonts w:cs="Arial"/>
          <w:b/>
          <w:sz w:val="22"/>
          <w:szCs w:val="22"/>
          <w:lang w:eastAsia="en-NZ"/>
        </w:rPr>
      </w:pPr>
      <w:r w:rsidRPr="00F05BED">
        <w:rPr>
          <w:rFonts w:cs="Arial"/>
          <w:b/>
          <w:sz w:val="22"/>
          <w:szCs w:val="22"/>
          <w:lang w:eastAsia="en-NZ"/>
        </w:rPr>
        <w:t xml:space="preserve">Figure </w:t>
      </w:r>
      <w:r w:rsidR="00C51CD1" w:rsidRPr="00F05BED">
        <w:rPr>
          <w:rFonts w:cs="Arial"/>
          <w:b/>
          <w:sz w:val="22"/>
          <w:szCs w:val="22"/>
          <w:lang w:eastAsia="en-NZ"/>
        </w:rPr>
        <w:t>2</w:t>
      </w:r>
      <w:r w:rsidR="005A7396" w:rsidRPr="00F05BED">
        <w:rPr>
          <w:rFonts w:cs="Arial"/>
          <w:b/>
          <w:sz w:val="22"/>
          <w:szCs w:val="22"/>
          <w:lang w:eastAsia="en-NZ"/>
        </w:rPr>
        <w:tab/>
      </w:r>
      <w:r w:rsidRPr="00F05BED">
        <w:rPr>
          <w:rFonts w:cs="Arial"/>
          <w:b/>
          <w:sz w:val="22"/>
          <w:szCs w:val="22"/>
          <w:lang w:eastAsia="en-NZ"/>
        </w:rPr>
        <w:t xml:space="preserve">Productivity </w:t>
      </w:r>
      <w:r w:rsidR="001719F6">
        <w:rPr>
          <w:rFonts w:cs="Arial"/>
          <w:b/>
          <w:sz w:val="22"/>
          <w:szCs w:val="22"/>
          <w:lang w:eastAsia="en-NZ"/>
        </w:rPr>
        <w:t>changes by</w:t>
      </w:r>
      <w:r w:rsidR="00EC5BF8" w:rsidRPr="00F05BED">
        <w:rPr>
          <w:rFonts w:cs="Arial"/>
          <w:b/>
          <w:sz w:val="22"/>
          <w:szCs w:val="22"/>
          <w:lang w:eastAsia="en-NZ"/>
        </w:rPr>
        <w:t xml:space="preserve"> industry </w:t>
      </w:r>
      <w:r w:rsidR="00343121" w:rsidRPr="00F05BED">
        <w:rPr>
          <w:rFonts w:cs="Arial"/>
          <w:b/>
          <w:sz w:val="22"/>
          <w:szCs w:val="22"/>
          <w:lang w:eastAsia="en-NZ"/>
        </w:rPr>
        <w:t>(</w:t>
      </w:r>
      <w:r w:rsidRPr="00F05BED">
        <w:rPr>
          <w:rFonts w:cs="Arial"/>
          <w:b/>
          <w:sz w:val="22"/>
          <w:szCs w:val="22"/>
          <w:lang w:eastAsia="en-NZ"/>
        </w:rPr>
        <w:t>2003</w:t>
      </w:r>
      <w:r w:rsidR="003F64E7" w:rsidRPr="00F05BED">
        <w:rPr>
          <w:rFonts w:cs="Arial"/>
          <w:b/>
          <w:sz w:val="22"/>
          <w:szCs w:val="22"/>
          <w:lang w:eastAsia="en-NZ"/>
        </w:rPr>
        <w:t xml:space="preserve"> to </w:t>
      </w:r>
      <w:r w:rsidRPr="00F05BED">
        <w:rPr>
          <w:rFonts w:cs="Arial"/>
          <w:b/>
          <w:sz w:val="22"/>
          <w:szCs w:val="22"/>
          <w:lang w:eastAsia="en-NZ"/>
        </w:rPr>
        <w:t>2007</w:t>
      </w:r>
      <w:r w:rsidR="00343121" w:rsidRPr="00F05BED">
        <w:rPr>
          <w:rFonts w:cs="Arial"/>
          <w:b/>
          <w:sz w:val="22"/>
          <w:szCs w:val="22"/>
          <w:lang w:eastAsia="en-NZ"/>
        </w:rPr>
        <w:t>)</w:t>
      </w:r>
    </w:p>
    <w:p w:rsidR="00906E02" w:rsidRPr="00F05BED" w:rsidRDefault="006F4C30" w:rsidP="00F05BED">
      <w:pPr>
        <w:autoSpaceDE w:val="0"/>
        <w:autoSpaceDN w:val="0"/>
        <w:adjustRightInd w:val="0"/>
        <w:spacing w:line="320" w:lineRule="atLeast"/>
        <w:rPr>
          <w:rFonts w:cs="Arial"/>
          <w:sz w:val="22"/>
          <w:szCs w:val="22"/>
          <w:lang w:eastAsia="en-NZ"/>
        </w:rPr>
      </w:pPr>
      <w:r w:rsidRPr="006F4C30">
        <w:rPr>
          <w:noProof/>
          <w:szCs w:val="22"/>
          <w:lang w:eastAsia="en-NZ"/>
        </w:rPr>
        <w:drawing>
          <wp:inline distT="0" distB="0" distL="0" distR="0">
            <wp:extent cx="5000625" cy="3650246"/>
            <wp:effectExtent l="19050" t="0" r="952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003125" cy="3652071"/>
                    </a:xfrm>
                    <a:prstGeom prst="rect">
                      <a:avLst/>
                    </a:prstGeom>
                    <a:noFill/>
                    <a:ln w="9525">
                      <a:noFill/>
                      <a:miter lim="800000"/>
                      <a:headEnd/>
                      <a:tailEnd/>
                    </a:ln>
                  </pic:spPr>
                </pic:pic>
              </a:graphicData>
            </a:graphic>
          </wp:inline>
        </w:drawing>
      </w:r>
    </w:p>
    <w:p w:rsidR="00EC5BF8" w:rsidRPr="00F05BED" w:rsidRDefault="00EC5BF8" w:rsidP="00F05BED">
      <w:pPr>
        <w:spacing w:line="320" w:lineRule="atLeast"/>
        <w:rPr>
          <w:rFonts w:cs="Arial"/>
          <w:b/>
          <w:sz w:val="22"/>
          <w:szCs w:val="22"/>
          <w:lang w:eastAsia="en-NZ"/>
        </w:rPr>
      </w:pPr>
    </w:p>
    <w:p w:rsidR="00177C09" w:rsidRPr="00F05BED" w:rsidRDefault="00C56AB4" w:rsidP="00F05BED">
      <w:pPr>
        <w:spacing w:line="320" w:lineRule="atLeast"/>
        <w:rPr>
          <w:rFonts w:cs="Arial"/>
          <w:b/>
          <w:sz w:val="22"/>
          <w:szCs w:val="22"/>
          <w:lang w:eastAsia="en-NZ"/>
        </w:rPr>
      </w:pPr>
      <w:r w:rsidRPr="00F05BED">
        <w:rPr>
          <w:rFonts w:cs="Arial"/>
          <w:b/>
          <w:sz w:val="22"/>
          <w:szCs w:val="22"/>
          <w:lang w:eastAsia="en-NZ"/>
        </w:rPr>
        <w:lastRenderedPageBreak/>
        <w:t xml:space="preserve">Table </w:t>
      </w:r>
      <w:r w:rsidR="006A0C0B">
        <w:rPr>
          <w:rFonts w:cs="Arial"/>
          <w:b/>
          <w:sz w:val="22"/>
          <w:szCs w:val="22"/>
          <w:lang w:eastAsia="en-NZ"/>
        </w:rPr>
        <w:t>1</w:t>
      </w:r>
      <w:r w:rsidRPr="00F05BED">
        <w:rPr>
          <w:rFonts w:cs="Arial"/>
          <w:b/>
          <w:sz w:val="22"/>
          <w:szCs w:val="22"/>
          <w:lang w:eastAsia="en-NZ"/>
        </w:rPr>
        <w:t xml:space="preserve"> </w:t>
      </w:r>
      <w:r w:rsidR="00EC5BF8" w:rsidRPr="00F05BED">
        <w:rPr>
          <w:rFonts w:cs="Arial"/>
          <w:b/>
          <w:sz w:val="22"/>
          <w:szCs w:val="22"/>
          <w:lang w:eastAsia="en-NZ"/>
        </w:rPr>
        <w:tab/>
      </w:r>
      <w:r w:rsidR="00177C09" w:rsidRPr="00F05BED">
        <w:rPr>
          <w:rFonts w:cs="Arial"/>
          <w:b/>
          <w:sz w:val="22"/>
          <w:szCs w:val="22"/>
          <w:lang w:eastAsia="en-NZ"/>
        </w:rPr>
        <w:t xml:space="preserve">Productivity </w:t>
      </w:r>
      <w:r w:rsidR="001719F6">
        <w:rPr>
          <w:rFonts w:cs="Arial"/>
          <w:b/>
          <w:sz w:val="22"/>
          <w:szCs w:val="22"/>
          <w:lang w:eastAsia="en-NZ"/>
        </w:rPr>
        <w:t>changes by</w:t>
      </w:r>
      <w:r w:rsidR="00EC5BF8" w:rsidRPr="00F05BED">
        <w:rPr>
          <w:rFonts w:cs="Arial"/>
          <w:b/>
          <w:sz w:val="22"/>
          <w:szCs w:val="22"/>
          <w:lang w:eastAsia="en-NZ"/>
        </w:rPr>
        <w:t xml:space="preserve"> industry </w:t>
      </w:r>
      <w:r w:rsidR="00177C09" w:rsidRPr="00F05BED">
        <w:rPr>
          <w:rFonts w:cs="Arial"/>
          <w:b/>
          <w:sz w:val="22"/>
          <w:szCs w:val="22"/>
          <w:lang w:eastAsia="en-NZ"/>
        </w:rPr>
        <w:t xml:space="preserve">(2003 </w:t>
      </w:r>
      <w:r w:rsidR="003F64E7" w:rsidRPr="00F05BED">
        <w:rPr>
          <w:rFonts w:cs="Arial"/>
          <w:b/>
          <w:sz w:val="22"/>
          <w:szCs w:val="22"/>
          <w:lang w:eastAsia="en-NZ"/>
        </w:rPr>
        <w:t xml:space="preserve">to </w:t>
      </w:r>
      <w:r w:rsidR="00177C09" w:rsidRPr="00F05BED">
        <w:rPr>
          <w:rFonts w:cs="Arial"/>
          <w:b/>
          <w:sz w:val="22"/>
          <w:szCs w:val="22"/>
          <w:lang w:eastAsia="en-NZ"/>
        </w:rPr>
        <w:t>2007)</w:t>
      </w:r>
    </w:p>
    <w:tbl>
      <w:tblPr>
        <w:tblW w:w="8090" w:type="dxa"/>
        <w:tblInd w:w="98" w:type="dxa"/>
        <w:tblLook w:val="04A0"/>
      </w:tblPr>
      <w:tblGrid>
        <w:gridCol w:w="3979"/>
        <w:gridCol w:w="2127"/>
        <w:gridCol w:w="1984"/>
      </w:tblGrid>
      <w:tr w:rsidR="00EC5BF8" w:rsidRPr="006A0C0B" w:rsidTr="005A7396">
        <w:tc>
          <w:tcPr>
            <w:tcW w:w="3979" w:type="dxa"/>
            <w:vMerge w:val="restart"/>
            <w:tcBorders>
              <w:top w:val="single" w:sz="8" w:space="0" w:color="auto"/>
              <w:left w:val="single" w:sz="8" w:space="0" w:color="auto"/>
              <w:right w:val="nil"/>
            </w:tcBorders>
            <w:shd w:val="clear" w:color="auto" w:fill="auto"/>
            <w:noWrap/>
            <w:vAlign w:val="bottom"/>
            <w:hideMark/>
          </w:tcPr>
          <w:p w:rsidR="00EC5BF8" w:rsidRPr="006A0C0B" w:rsidRDefault="00EC5BF8" w:rsidP="006A0C0B">
            <w:pPr>
              <w:rPr>
                <w:rFonts w:ascii="Arial Narrow" w:hAnsi="Arial Narrow" w:cs="Arial"/>
                <w:b/>
                <w:color w:val="000000"/>
                <w:sz w:val="20"/>
                <w:lang w:eastAsia="en-NZ"/>
              </w:rPr>
            </w:pPr>
            <w:r w:rsidRPr="006A0C0B">
              <w:rPr>
                <w:rFonts w:ascii="Arial Narrow" w:hAnsi="Arial Narrow" w:cs="Arial"/>
                <w:b/>
                <w:color w:val="000000"/>
                <w:sz w:val="20"/>
                <w:lang w:eastAsia="en-NZ"/>
              </w:rPr>
              <w:t>Industry</w:t>
            </w:r>
          </w:p>
        </w:tc>
        <w:tc>
          <w:tcPr>
            <w:tcW w:w="4111" w:type="dxa"/>
            <w:gridSpan w:val="2"/>
            <w:tcBorders>
              <w:top w:val="single" w:sz="8" w:space="0" w:color="auto"/>
              <w:left w:val="single" w:sz="4" w:space="0" w:color="auto"/>
              <w:bottom w:val="single" w:sz="4" w:space="0" w:color="auto"/>
              <w:right w:val="single" w:sz="8" w:space="0" w:color="auto"/>
            </w:tcBorders>
            <w:shd w:val="clear" w:color="auto" w:fill="auto"/>
            <w:vAlign w:val="bottom"/>
            <w:hideMark/>
          </w:tcPr>
          <w:p w:rsidR="00EC5BF8" w:rsidRPr="006A0C0B" w:rsidRDefault="00655A9F" w:rsidP="006A0C0B">
            <w:pPr>
              <w:jc w:val="center"/>
              <w:rPr>
                <w:rFonts w:ascii="Arial Narrow" w:hAnsi="Arial Narrow" w:cs="Arial"/>
                <w:b/>
                <w:sz w:val="20"/>
                <w:lang w:eastAsia="en-NZ"/>
              </w:rPr>
            </w:pPr>
            <w:r w:rsidRPr="006A0C0B">
              <w:rPr>
                <w:rFonts w:ascii="Arial Narrow" w:hAnsi="Arial Narrow" w:cs="Arial"/>
                <w:b/>
                <w:sz w:val="20"/>
                <w:lang w:eastAsia="en-NZ"/>
              </w:rPr>
              <w:t>Multi-factor p</w:t>
            </w:r>
            <w:r w:rsidR="00EC5BF8" w:rsidRPr="006A0C0B">
              <w:rPr>
                <w:rFonts w:ascii="Arial Narrow" w:hAnsi="Arial Narrow" w:cs="Arial"/>
                <w:b/>
                <w:sz w:val="20"/>
                <w:lang w:eastAsia="en-NZ"/>
              </w:rPr>
              <w:t>roductivity</w:t>
            </w:r>
          </w:p>
          <w:p w:rsidR="00EC5BF8" w:rsidRPr="006A0C0B" w:rsidRDefault="00EC5BF8" w:rsidP="006A0C0B">
            <w:pPr>
              <w:jc w:val="center"/>
              <w:rPr>
                <w:rFonts w:ascii="Arial Narrow" w:hAnsi="Arial Narrow" w:cs="Arial"/>
                <w:b/>
                <w:sz w:val="20"/>
                <w:lang w:eastAsia="en-NZ"/>
              </w:rPr>
            </w:pPr>
            <w:r w:rsidRPr="006A0C0B">
              <w:rPr>
                <w:rFonts w:ascii="Arial Narrow" w:hAnsi="Arial Narrow" w:cs="Arial"/>
                <w:b/>
                <w:sz w:val="20"/>
                <w:lang w:eastAsia="en-NZ"/>
              </w:rPr>
              <w:t>% change from 2003</w:t>
            </w:r>
          </w:p>
        </w:tc>
      </w:tr>
      <w:tr w:rsidR="00EC5BF8" w:rsidRPr="006A0C0B" w:rsidTr="005A7396">
        <w:tc>
          <w:tcPr>
            <w:tcW w:w="3979" w:type="dxa"/>
            <w:vMerge/>
            <w:tcBorders>
              <w:left w:val="single" w:sz="8" w:space="0" w:color="auto"/>
              <w:bottom w:val="single" w:sz="4" w:space="0" w:color="auto"/>
              <w:right w:val="nil"/>
            </w:tcBorders>
            <w:shd w:val="clear" w:color="auto" w:fill="auto"/>
            <w:noWrap/>
            <w:vAlign w:val="bottom"/>
            <w:hideMark/>
          </w:tcPr>
          <w:p w:rsidR="00EC5BF8" w:rsidRPr="006A0C0B" w:rsidRDefault="00EC5BF8" w:rsidP="006A0C0B">
            <w:pPr>
              <w:rPr>
                <w:rFonts w:ascii="Arial Narrow" w:hAnsi="Arial Narrow" w:cs="Arial"/>
                <w:b/>
                <w:color w:val="000000"/>
                <w:sz w:val="20"/>
                <w:lang w:eastAsia="en-NZ"/>
              </w:rPr>
            </w:pPr>
          </w:p>
        </w:tc>
        <w:tc>
          <w:tcPr>
            <w:tcW w:w="2127"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EC5BF8" w:rsidRPr="006A0C0B" w:rsidRDefault="00EC5BF8" w:rsidP="006A0C0B">
            <w:pPr>
              <w:jc w:val="center"/>
              <w:rPr>
                <w:rFonts w:ascii="Arial Narrow" w:hAnsi="Arial Narrow" w:cs="Arial"/>
                <w:b/>
                <w:color w:val="000000"/>
                <w:sz w:val="20"/>
                <w:lang w:eastAsia="en-NZ"/>
              </w:rPr>
            </w:pPr>
            <w:r w:rsidRPr="006A0C0B">
              <w:rPr>
                <w:rFonts w:ascii="Arial Narrow" w:hAnsi="Arial Narrow" w:cs="Arial"/>
                <w:b/>
                <w:color w:val="000000"/>
                <w:sz w:val="20"/>
                <w:lang w:eastAsia="en-NZ"/>
              </w:rPr>
              <w:t>GO based MFP</w:t>
            </w:r>
          </w:p>
        </w:tc>
        <w:tc>
          <w:tcPr>
            <w:tcW w:w="1984" w:type="dxa"/>
            <w:tcBorders>
              <w:top w:val="single" w:sz="8" w:space="0" w:color="auto"/>
              <w:left w:val="nil"/>
              <w:bottom w:val="single" w:sz="4" w:space="0" w:color="auto"/>
              <w:right w:val="single" w:sz="8" w:space="0" w:color="auto"/>
            </w:tcBorders>
            <w:shd w:val="clear" w:color="auto" w:fill="auto"/>
            <w:vAlign w:val="bottom"/>
            <w:hideMark/>
          </w:tcPr>
          <w:p w:rsidR="00EC5BF8" w:rsidRPr="006A0C0B" w:rsidRDefault="00EC5BF8" w:rsidP="006A0C0B">
            <w:pPr>
              <w:jc w:val="center"/>
              <w:rPr>
                <w:rFonts w:ascii="Arial Narrow" w:hAnsi="Arial Narrow" w:cs="Arial"/>
                <w:b/>
                <w:sz w:val="20"/>
                <w:lang w:eastAsia="en-NZ"/>
              </w:rPr>
            </w:pPr>
            <w:r w:rsidRPr="006A0C0B">
              <w:rPr>
                <w:rFonts w:ascii="Arial Narrow" w:hAnsi="Arial Narrow" w:cs="Arial"/>
                <w:b/>
                <w:sz w:val="20"/>
                <w:lang w:eastAsia="en-NZ"/>
              </w:rPr>
              <w:t>VA based MFP</w:t>
            </w:r>
          </w:p>
        </w:tc>
      </w:tr>
      <w:tr w:rsidR="0029657C" w:rsidRPr="006A0C0B" w:rsidTr="00343121">
        <w:trPr>
          <w:trHeight w:val="255"/>
        </w:trPr>
        <w:tc>
          <w:tcPr>
            <w:tcW w:w="3979" w:type="dxa"/>
            <w:tcBorders>
              <w:top w:val="nil"/>
              <w:left w:val="single" w:sz="8" w:space="0" w:color="auto"/>
              <w:bottom w:val="nil"/>
              <w:right w:val="nil"/>
            </w:tcBorders>
            <w:shd w:val="clear" w:color="auto" w:fill="auto"/>
            <w:noWrap/>
            <w:vAlign w:val="bottom"/>
            <w:hideMark/>
          </w:tcPr>
          <w:p w:rsidR="0029657C" w:rsidRPr="006A0C0B" w:rsidRDefault="0029657C" w:rsidP="00416B81">
            <w:pPr>
              <w:rPr>
                <w:rFonts w:ascii="Arial Narrow" w:hAnsi="Arial Narrow" w:cs="Arial"/>
                <w:color w:val="000000"/>
                <w:sz w:val="20"/>
                <w:lang w:eastAsia="en-NZ"/>
              </w:rPr>
            </w:pPr>
            <w:r w:rsidRPr="006A0C0B">
              <w:rPr>
                <w:rFonts w:ascii="Arial Narrow" w:hAnsi="Arial Narrow" w:cs="Arial"/>
                <w:color w:val="000000"/>
                <w:sz w:val="20"/>
                <w:lang w:eastAsia="en-NZ"/>
              </w:rPr>
              <w:t>Agri</w:t>
            </w:r>
            <w:r w:rsidR="00CD3E6B" w:rsidRPr="006A0C0B">
              <w:rPr>
                <w:rFonts w:ascii="Arial Narrow" w:hAnsi="Arial Narrow" w:cs="Arial"/>
                <w:color w:val="000000"/>
                <w:sz w:val="20"/>
                <w:lang w:eastAsia="en-NZ"/>
              </w:rPr>
              <w:t>culture</w:t>
            </w:r>
            <w:r w:rsidR="00416B81">
              <w:rPr>
                <w:rFonts w:ascii="Arial Narrow" w:hAnsi="Arial Narrow" w:cs="Arial"/>
                <w:color w:val="000000"/>
                <w:sz w:val="20"/>
                <w:lang w:eastAsia="en-NZ"/>
              </w:rPr>
              <w:t>,</w:t>
            </w:r>
            <w:r w:rsidR="00CD3E6B" w:rsidRPr="006A0C0B">
              <w:rPr>
                <w:rFonts w:ascii="Arial Narrow" w:hAnsi="Arial Narrow" w:cs="Arial"/>
                <w:color w:val="000000"/>
                <w:sz w:val="20"/>
                <w:lang w:eastAsia="en-NZ"/>
              </w:rPr>
              <w:t xml:space="preserve"> </w:t>
            </w:r>
            <w:r w:rsidR="00416B81">
              <w:rPr>
                <w:rFonts w:ascii="Arial Narrow" w:hAnsi="Arial Narrow" w:cs="Arial"/>
                <w:color w:val="000000"/>
                <w:sz w:val="20"/>
                <w:lang w:eastAsia="en-NZ"/>
              </w:rPr>
              <w:t>f</w:t>
            </w:r>
            <w:r w:rsidRPr="006A0C0B">
              <w:rPr>
                <w:rFonts w:ascii="Arial Narrow" w:hAnsi="Arial Narrow" w:cs="Arial"/>
                <w:color w:val="000000"/>
                <w:sz w:val="20"/>
                <w:lang w:eastAsia="en-NZ"/>
              </w:rPr>
              <w:t>orest</w:t>
            </w:r>
            <w:r w:rsidR="00CD3E6B" w:rsidRPr="006A0C0B">
              <w:rPr>
                <w:rFonts w:ascii="Arial Narrow" w:hAnsi="Arial Narrow" w:cs="Arial"/>
                <w:color w:val="000000"/>
                <w:sz w:val="20"/>
                <w:lang w:eastAsia="en-NZ"/>
              </w:rPr>
              <w:t xml:space="preserve">ry </w:t>
            </w:r>
            <w:r w:rsidR="00416B81">
              <w:rPr>
                <w:rFonts w:ascii="Arial Narrow" w:hAnsi="Arial Narrow" w:cs="Arial"/>
                <w:color w:val="000000"/>
                <w:sz w:val="20"/>
                <w:lang w:eastAsia="en-NZ"/>
              </w:rPr>
              <w:t>and</w:t>
            </w:r>
            <w:r w:rsidR="00416B81" w:rsidRPr="006A0C0B">
              <w:rPr>
                <w:rFonts w:ascii="Arial Narrow" w:hAnsi="Arial Narrow" w:cs="Arial"/>
                <w:color w:val="000000"/>
                <w:sz w:val="20"/>
                <w:lang w:eastAsia="en-NZ"/>
              </w:rPr>
              <w:t xml:space="preserve"> </w:t>
            </w:r>
            <w:r w:rsidRPr="006A0C0B">
              <w:rPr>
                <w:rFonts w:ascii="Arial Narrow" w:hAnsi="Arial Narrow" w:cs="Arial"/>
                <w:color w:val="000000"/>
                <w:sz w:val="20"/>
                <w:lang w:eastAsia="en-NZ"/>
              </w:rPr>
              <w:t>mining</w:t>
            </w:r>
          </w:p>
        </w:tc>
        <w:tc>
          <w:tcPr>
            <w:tcW w:w="2127" w:type="dxa"/>
            <w:tcBorders>
              <w:top w:val="nil"/>
              <w:left w:val="single" w:sz="4" w:space="0" w:color="auto"/>
              <w:bottom w:val="nil"/>
              <w:right w:val="single" w:sz="4" w:space="0" w:color="auto"/>
            </w:tcBorders>
            <w:shd w:val="clear" w:color="auto" w:fill="auto"/>
            <w:noWrap/>
            <w:vAlign w:val="bottom"/>
            <w:hideMark/>
          </w:tcPr>
          <w:p w:rsidR="0029657C" w:rsidRPr="006A0C0B" w:rsidRDefault="0029657C" w:rsidP="006A0C0B">
            <w:pPr>
              <w:jc w:val="center"/>
              <w:rPr>
                <w:rFonts w:ascii="Arial Narrow" w:hAnsi="Arial Narrow" w:cs="Arial"/>
                <w:color w:val="000000"/>
                <w:sz w:val="20"/>
                <w:lang w:eastAsia="en-NZ"/>
              </w:rPr>
            </w:pPr>
            <w:r w:rsidRPr="006A0C0B">
              <w:rPr>
                <w:rFonts w:ascii="Arial Narrow" w:hAnsi="Arial Narrow" w:cs="Arial"/>
                <w:color w:val="000000"/>
                <w:sz w:val="20"/>
                <w:lang w:eastAsia="en-NZ"/>
              </w:rPr>
              <w:t>7.09%</w:t>
            </w:r>
          </w:p>
        </w:tc>
        <w:tc>
          <w:tcPr>
            <w:tcW w:w="1984" w:type="dxa"/>
            <w:tcBorders>
              <w:top w:val="nil"/>
              <w:left w:val="nil"/>
              <w:bottom w:val="nil"/>
              <w:right w:val="single" w:sz="8" w:space="0" w:color="auto"/>
            </w:tcBorders>
            <w:shd w:val="clear" w:color="auto" w:fill="auto"/>
            <w:noWrap/>
            <w:vAlign w:val="bottom"/>
            <w:hideMark/>
          </w:tcPr>
          <w:p w:rsidR="0029657C" w:rsidRPr="006A0C0B" w:rsidRDefault="0029657C" w:rsidP="006A0C0B">
            <w:pPr>
              <w:jc w:val="center"/>
              <w:rPr>
                <w:rFonts w:ascii="Arial Narrow" w:hAnsi="Arial Narrow" w:cs="Arial"/>
                <w:sz w:val="20"/>
                <w:lang w:eastAsia="en-NZ"/>
              </w:rPr>
            </w:pPr>
            <w:r w:rsidRPr="006A0C0B">
              <w:rPr>
                <w:rFonts w:ascii="Arial Narrow" w:hAnsi="Arial Narrow" w:cs="Arial"/>
                <w:sz w:val="20"/>
                <w:lang w:eastAsia="en-NZ"/>
              </w:rPr>
              <w:t>17.34%</w:t>
            </w:r>
          </w:p>
        </w:tc>
      </w:tr>
      <w:tr w:rsidR="0029657C" w:rsidRPr="006A0C0B" w:rsidTr="00343121">
        <w:trPr>
          <w:trHeight w:val="255"/>
        </w:trPr>
        <w:tc>
          <w:tcPr>
            <w:tcW w:w="3979" w:type="dxa"/>
            <w:tcBorders>
              <w:top w:val="nil"/>
              <w:left w:val="single" w:sz="8" w:space="0" w:color="auto"/>
              <w:bottom w:val="nil"/>
              <w:right w:val="nil"/>
            </w:tcBorders>
            <w:shd w:val="clear" w:color="auto" w:fill="auto"/>
            <w:noWrap/>
            <w:vAlign w:val="bottom"/>
            <w:hideMark/>
          </w:tcPr>
          <w:p w:rsidR="0029657C" w:rsidRPr="006A0C0B" w:rsidRDefault="0029657C" w:rsidP="006A0C0B">
            <w:pPr>
              <w:rPr>
                <w:rFonts w:ascii="Arial Narrow" w:hAnsi="Arial Narrow" w:cs="Arial"/>
                <w:color w:val="000000"/>
                <w:sz w:val="20"/>
                <w:lang w:eastAsia="en-NZ"/>
              </w:rPr>
            </w:pPr>
            <w:r w:rsidRPr="006A0C0B">
              <w:rPr>
                <w:rFonts w:ascii="Arial Narrow" w:hAnsi="Arial Narrow" w:cs="Arial"/>
                <w:color w:val="000000"/>
                <w:sz w:val="20"/>
                <w:lang w:eastAsia="en-NZ"/>
              </w:rPr>
              <w:t>Manuf</w:t>
            </w:r>
            <w:r w:rsidR="00CD3E6B" w:rsidRPr="006A0C0B">
              <w:rPr>
                <w:rFonts w:ascii="Arial Narrow" w:hAnsi="Arial Narrow" w:cs="Arial"/>
                <w:color w:val="000000"/>
                <w:sz w:val="20"/>
                <w:lang w:eastAsia="en-NZ"/>
              </w:rPr>
              <w:t>acturing</w:t>
            </w:r>
          </w:p>
        </w:tc>
        <w:tc>
          <w:tcPr>
            <w:tcW w:w="2127" w:type="dxa"/>
            <w:tcBorders>
              <w:top w:val="nil"/>
              <w:left w:val="single" w:sz="4" w:space="0" w:color="auto"/>
              <w:bottom w:val="nil"/>
              <w:right w:val="single" w:sz="4" w:space="0" w:color="auto"/>
            </w:tcBorders>
            <w:shd w:val="clear" w:color="auto" w:fill="auto"/>
            <w:noWrap/>
            <w:vAlign w:val="bottom"/>
            <w:hideMark/>
          </w:tcPr>
          <w:p w:rsidR="0029657C" w:rsidRPr="006A0C0B" w:rsidRDefault="0029657C" w:rsidP="006A0C0B">
            <w:pPr>
              <w:jc w:val="center"/>
              <w:rPr>
                <w:rFonts w:ascii="Arial Narrow" w:hAnsi="Arial Narrow" w:cs="Arial"/>
                <w:color w:val="000000"/>
                <w:sz w:val="20"/>
                <w:lang w:eastAsia="en-NZ"/>
              </w:rPr>
            </w:pPr>
            <w:r w:rsidRPr="006A0C0B">
              <w:rPr>
                <w:rFonts w:ascii="Arial Narrow" w:hAnsi="Arial Narrow" w:cs="Arial"/>
                <w:color w:val="000000"/>
                <w:sz w:val="20"/>
                <w:lang w:eastAsia="en-NZ"/>
              </w:rPr>
              <w:t>-3.25%</w:t>
            </w:r>
          </w:p>
        </w:tc>
        <w:tc>
          <w:tcPr>
            <w:tcW w:w="1984" w:type="dxa"/>
            <w:tcBorders>
              <w:top w:val="nil"/>
              <w:left w:val="nil"/>
              <w:bottom w:val="nil"/>
              <w:right w:val="single" w:sz="8" w:space="0" w:color="auto"/>
            </w:tcBorders>
            <w:shd w:val="clear" w:color="auto" w:fill="auto"/>
            <w:noWrap/>
            <w:vAlign w:val="bottom"/>
            <w:hideMark/>
          </w:tcPr>
          <w:p w:rsidR="0029657C" w:rsidRPr="006A0C0B" w:rsidRDefault="0029657C" w:rsidP="006A0C0B">
            <w:pPr>
              <w:jc w:val="center"/>
              <w:rPr>
                <w:rFonts w:ascii="Arial Narrow" w:hAnsi="Arial Narrow" w:cs="Arial"/>
                <w:sz w:val="20"/>
                <w:lang w:eastAsia="en-NZ"/>
              </w:rPr>
            </w:pPr>
            <w:r w:rsidRPr="006A0C0B">
              <w:rPr>
                <w:rFonts w:ascii="Arial Narrow" w:hAnsi="Arial Narrow" w:cs="Arial"/>
                <w:sz w:val="20"/>
                <w:lang w:eastAsia="en-NZ"/>
              </w:rPr>
              <w:t>-6.62%</w:t>
            </w:r>
          </w:p>
        </w:tc>
      </w:tr>
      <w:tr w:rsidR="0029657C" w:rsidRPr="006A0C0B" w:rsidTr="00343121">
        <w:trPr>
          <w:trHeight w:val="255"/>
        </w:trPr>
        <w:tc>
          <w:tcPr>
            <w:tcW w:w="3979" w:type="dxa"/>
            <w:tcBorders>
              <w:top w:val="nil"/>
              <w:left w:val="single" w:sz="8" w:space="0" w:color="auto"/>
              <w:bottom w:val="nil"/>
              <w:right w:val="nil"/>
            </w:tcBorders>
            <w:shd w:val="clear" w:color="auto" w:fill="auto"/>
            <w:noWrap/>
            <w:vAlign w:val="bottom"/>
            <w:hideMark/>
          </w:tcPr>
          <w:p w:rsidR="0029657C" w:rsidRPr="006A0C0B" w:rsidRDefault="0029657C" w:rsidP="006A0C0B">
            <w:pPr>
              <w:rPr>
                <w:rFonts w:ascii="Arial Narrow" w:hAnsi="Arial Narrow" w:cs="Arial"/>
                <w:color w:val="000000"/>
                <w:sz w:val="20"/>
                <w:lang w:eastAsia="en-NZ"/>
              </w:rPr>
            </w:pPr>
            <w:r w:rsidRPr="006A0C0B">
              <w:rPr>
                <w:rFonts w:ascii="Arial Narrow" w:hAnsi="Arial Narrow" w:cs="Arial"/>
                <w:color w:val="000000"/>
                <w:sz w:val="20"/>
                <w:lang w:eastAsia="en-NZ"/>
              </w:rPr>
              <w:t>Building</w:t>
            </w:r>
            <w:r w:rsidR="00CD3E6B" w:rsidRPr="006A0C0B">
              <w:rPr>
                <w:rFonts w:ascii="Arial Narrow" w:hAnsi="Arial Narrow" w:cs="Arial"/>
                <w:color w:val="000000"/>
                <w:sz w:val="20"/>
                <w:lang w:eastAsia="en-NZ"/>
              </w:rPr>
              <w:t xml:space="preserve"> </w:t>
            </w:r>
            <w:r w:rsidRPr="006A0C0B">
              <w:rPr>
                <w:rFonts w:ascii="Arial Narrow" w:hAnsi="Arial Narrow" w:cs="Arial"/>
                <w:color w:val="000000"/>
                <w:sz w:val="20"/>
                <w:lang w:eastAsia="en-NZ"/>
              </w:rPr>
              <w:t>cons</w:t>
            </w:r>
            <w:r w:rsidR="00416B81">
              <w:rPr>
                <w:rFonts w:ascii="Arial Narrow" w:hAnsi="Arial Narrow" w:cs="Arial"/>
                <w:color w:val="000000"/>
                <w:sz w:val="20"/>
                <w:lang w:eastAsia="en-NZ"/>
              </w:rPr>
              <w:t>truction</w:t>
            </w:r>
            <w:r w:rsidR="00CD3E6B" w:rsidRPr="006A0C0B">
              <w:rPr>
                <w:rFonts w:ascii="Arial Narrow" w:hAnsi="Arial Narrow" w:cs="Arial"/>
                <w:color w:val="000000"/>
                <w:sz w:val="20"/>
                <w:lang w:eastAsia="en-NZ"/>
              </w:rPr>
              <w:t xml:space="preserve"> </w:t>
            </w:r>
            <w:r w:rsidRPr="006A0C0B">
              <w:rPr>
                <w:rFonts w:ascii="Arial Narrow" w:hAnsi="Arial Narrow" w:cs="Arial"/>
                <w:color w:val="000000"/>
                <w:sz w:val="20"/>
                <w:lang w:eastAsia="en-NZ"/>
              </w:rPr>
              <w:t>service</w:t>
            </w:r>
            <w:r w:rsidR="00416B81">
              <w:rPr>
                <w:rFonts w:ascii="Arial Narrow" w:hAnsi="Arial Narrow" w:cs="Arial"/>
                <w:color w:val="000000"/>
                <w:sz w:val="20"/>
                <w:lang w:eastAsia="en-NZ"/>
              </w:rPr>
              <w:t>s</w:t>
            </w:r>
          </w:p>
        </w:tc>
        <w:tc>
          <w:tcPr>
            <w:tcW w:w="2127" w:type="dxa"/>
            <w:tcBorders>
              <w:top w:val="nil"/>
              <w:left w:val="single" w:sz="4" w:space="0" w:color="auto"/>
              <w:bottom w:val="nil"/>
              <w:right w:val="single" w:sz="4" w:space="0" w:color="auto"/>
            </w:tcBorders>
            <w:shd w:val="clear" w:color="auto" w:fill="auto"/>
            <w:noWrap/>
            <w:vAlign w:val="bottom"/>
            <w:hideMark/>
          </w:tcPr>
          <w:p w:rsidR="0029657C" w:rsidRPr="006A0C0B" w:rsidRDefault="0029657C" w:rsidP="006A0C0B">
            <w:pPr>
              <w:jc w:val="center"/>
              <w:rPr>
                <w:rFonts w:ascii="Arial Narrow" w:hAnsi="Arial Narrow" w:cs="Arial"/>
                <w:color w:val="000000"/>
                <w:sz w:val="20"/>
                <w:lang w:eastAsia="en-NZ"/>
              </w:rPr>
            </w:pPr>
            <w:r w:rsidRPr="006A0C0B">
              <w:rPr>
                <w:rFonts w:ascii="Arial Narrow" w:hAnsi="Arial Narrow" w:cs="Arial"/>
                <w:color w:val="000000"/>
                <w:sz w:val="20"/>
                <w:lang w:eastAsia="en-NZ"/>
              </w:rPr>
              <w:t>-3.40%</w:t>
            </w:r>
          </w:p>
        </w:tc>
        <w:tc>
          <w:tcPr>
            <w:tcW w:w="1984" w:type="dxa"/>
            <w:tcBorders>
              <w:top w:val="nil"/>
              <w:left w:val="nil"/>
              <w:bottom w:val="nil"/>
              <w:right w:val="single" w:sz="8" w:space="0" w:color="auto"/>
            </w:tcBorders>
            <w:shd w:val="clear" w:color="auto" w:fill="auto"/>
            <w:noWrap/>
            <w:vAlign w:val="bottom"/>
            <w:hideMark/>
          </w:tcPr>
          <w:p w:rsidR="0029657C" w:rsidRPr="006A0C0B" w:rsidRDefault="0029657C" w:rsidP="006A0C0B">
            <w:pPr>
              <w:jc w:val="center"/>
              <w:rPr>
                <w:rFonts w:ascii="Arial Narrow" w:hAnsi="Arial Narrow" w:cs="Arial"/>
                <w:sz w:val="20"/>
                <w:lang w:eastAsia="en-NZ"/>
              </w:rPr>
            </w:pPr>
            <w:r w:rsidRPr="006A0C0B">
              <w:rPr>
                <w:rFonts w:ascii="Arial Narrow" w:hAnsi="Arial Narrow" w:cs="Arial"/>
                <w:sz w:val="20"/>
                <w:lang w:eastAsia="en-NZ"/>
              </w:rPr>
              <w:t>-10.74%</w:t>
            </w:r>
          </w:p>
        </w:tc>
      </w:tr>
      <w:tr w:rsidR="0029657C" w:rsidRPr="006A0C0B" w:rsidTr="00343121">
        <w:trPr>
          <w:trHeight w:val="225"/>
        </w:trPr>
        <w:tc>
          <w:tcPr>
            <w:tcW w:w="3979" w:type="dxa"/>
            <w:tcBorders>
              <w:top w:val="nil"/>
              <w:left w:val="single" w:sz="8" w:space="0" w:color="auto"/>
              <w:bottom w:val="nil"/>
              <w:right w:val="nil"/>
            </w:tcBorders>
            <w:shd w:val="clear" w:color="auto" w:fill="auto"/>
            <w:noWrap/>
            <w:vAlign w:val="bottom"/>
            <w:hideMark/>
          </w:tcPr>
          <w:p w:rsidR="0029657C" w:rsidRPr="006A0C0B" w:rsidRDefault="0029657C" w:rsidP="006A0C0B">
            <w:pPr>
              <w:rPr>
                <w:rFonts w:ascii="Arial Narrow" w:hAnsi="Arial Narrow" w:cs="Arial"/>
                <w:color w:val="000000"/>
                <w:sz w:val="20"/>
                <w:lang w:eastAsia="en-NZ"/>
              </w:rPr>
            </w:pPr>
            <w:r w:rsidRPr="006A0C0B">
              <w:rPr>
                <w:rFonts w:ascii="Arial Narrow" w:hAnsi="Arial Narrow" w:cs="Arial"/>
                <w:color w:val="000000"/>
                <w:sz w:val="20"/>
                <w:lang w:eastAsia="en-NZ"/>
              </w:rPr>
              <w:t>Non-building construction</w:t>
            </w:r>
          </w:p>
        </w:tc>
        <w:tc>
          <w:tcPr>
            <w:tcW w:w="2127" w:type="dxa"/>
            <w:tcBorders>
              <w:top w:val="nil"/>
              <w:left w:val="single" w:sz="4" w:space="0" w:color="auto"/>
              <w:bottom w:val="nil"/>
              <w:right w:val="single" w:sz="4" w:space="0" w:color="auto"/>
            </w:tcBorders>
            <w:shd w:val="clear" w:color="auto" w:fill="auto"/>
            <w:noWrap/>
            <w:vAlign w:val="bottom"/>
            <w:hideMark/>
          </w:tcPr>
          <w:p w:rsidR="0029657C" w:rsidRPr="006A0C0B" w:rsidRDefault="0029657C" w:rsidP="006A0C0B">
            <w:pPr>
              <w:jc w:val="center"/>
              <w:rPr>
                <w:rFonts w:ascii="Arial Narrow" w:hAnsi="Arial Narrow" w:cs="Arial"/>
                <w:color w:val="000000"/>
                <w:sz w:val="20"/>
                <w:lang w:eastAsia="en-NZ"/>
              </w:rPr>
            </w:pPr>
            <w:r w:rsidRPr="006A0C0B">
              <w:rPr>
                <w:rFonts w:ascii="Arial Narrow" w:hAnsi="Arial Narrow" w:cs="Arial"/>
                <w:color w:val="000000"/>
                <w:sz w:val="20"/>
                <w:lang w:eastAsia="en-NZ"/>
              </w:rPr>
              <w:t>-3.36%</w:t>
            </w:r>
          </w:p>
        </w:tc>
        <w:tc>
          <w:tcPr>
            <w:tcW w:w="1984" w:type="dxa"/>
            <w:tcBorders>
              <w:top w:val="nil"/>
              <w:left w:val="nil"/>
              <w:bottom w:val="nil"/>
              <w:right w:val="single" w:sz="8" w:space="0" w:color="auto"/>
            </w:tcBorders>
            <w:shd w:val="clear" w:color="auto" w:fill="auto"/>
            <w:noWrap/>
            <w:vAlign w:val="bottom"/>
            <w:hideMark/>
          </w:tcPr>
          <w:p w:rsidR="0029657C" w:rsidRPr="006A0C0B" w:rsidRDefault="0029657C" w:rsidP="006A0C0B">
            <w:pPr>
              <w:jc w:val="center"/>
              <w:rPr>
                <w:rFonts w:ascii="Arial Narrow" w:hAnsi="Arial Narrow" w:cs="Arial"/>
                <w:sz w:val="20"/>
                <w:lang w:eastAsia="en-NZ"/>
              </w:rPr>
            </w:pPr>
            <w:r w:rsidRPr="006A0C0B">
              <w:rPr>
                <w:rFonts w:ascii="Arial Narrow" w:hAnsi="Arial Narrow" w:cs="Arial"/>
                <w:sz w:val="20"/>
                <w:lang w:eastAsia="en-NZ"/>
              </w:rPr>
              <w:t>-9.34%</w:t>
            </w:r>
          </w:p>
        </w:tc>
      </w:tr>
      <w:tr w:rsidR="0029657C" w:rsidRPr="006A0C0B" w:rsidTr="00343121">
        <w:trPr>
          <w:trHeight w:val="255"/>
        </w:trPr>
        <w:tc>
          <w:tcPr>
            <w:tcW w:w="3979" w:type="dxa"/>
            <w:tcBorders>
              <w:top w:val="nil"/>
              <w:left w:val="single" w:sz="8" w:space="0" w:color="auto"/>
              <w:bottom w:val="nil"/>
              <w:right w:val="nil"/>
            </w:tcBorders>
            <w:shd w:val="clear" w:color="auto" w:fill="auto"/>
            <w:noWrap/>
            <w:vAlign w:val="bottom"/>
            <w:hideMark/>
          </w:tcPr>
          <w:p w:rsidR="0029657C" w:rsidRPr="006A0C0B" w:rsidRDefault="0029657C" w:rsidP="006A0C0B">
            <w:pPr>
              <w:rPr>
                <w:rFonts w:ascii="Arial Narrow" w:hAnsi="Arial Narrow" w:cs="Arial"/>
                <w:sz w:val="20"/>
                <w:lang w:eastAsia="en-NZ"/>
              </w:rPr>
            </w:pPr>
            <w:r w:rsidRPr="006A0C0B">
              <w:rPr>
                <w:rFonts w:ascii="Arial Narrow" w:hAnsi="Arial Narrow" w:cs="Arial"/>
                <w:sz w:val="20"/>
                <w:lang w:eastAsia="en-NZ"/>
              </w:rPr>
              <w:t>Trade</w:t>
            </w:r>
          </w:p>
        </w:tc>
        <w:tc>
          <w:tcPr>
            <w:tcW w:w="2127" w:type="dxa"/>
            <w:tcBorders>
              <w:top w:val="nil"/>
              <w:left w:val="single" w:sz="4" w:space="0" w:color="auto"/>
              <w:bottom w:val="nil"/>
              <w:right w:val="single" w:sz="4" w:space="0" w:color="auto"/>
            </w:tcBorders>
            <w:shd w:val="clear" w:color="auto" w:fill="auto"/>
            <w:noWrap/>
            <w:vAlign w:val="bottom"/>
            <w:hideMark/>
          </w:tcPr>
          <w:p w:rsidR="0029657C" w:rsidRPr="006A0C0B" w:rsidRDefault="0029657C" w:rsidP="006A0C0B">
            <w:pPr>
              <w:jc w:val="center"/>
              <w:rPr>
                <w:rFonts w:ascii="Arial Narrow" w:hAnsi="Arial Narrow" w:cs="Arial"/>
                <w:sz w:val="20"/>
                <w:lang w:eastAsia="en-NZ"/>
              </w:rPr>
            </w:pPr>
            <w:r w:rsidRPr="006A0C0B">
              <w:rPr>
                <w:rFonts w:ascii="Arial Narrow" w:hAnsi="Arial Narrow" w:cs="Arial"/>
                <w:sz w:val="20"/>
                <w:lang w:eastAsia="en-NZ"/>
              </w:rPr>
              <w:t>0.51%</w:t>
            </w:r>
          </w:p>
        </w:tc>
        <w:tc>
          <w:tcPr>
            <w:tcW w:w="1984" w:type="dxa"/>
            <w:tcBorders>
              <w:top w:val="nil"/>
              <w:left w:val="nil"/>
              <w:bottom w:val="nil"/>
              <w:right w:val="single" w:sz="8" w:space="0" w:color="auto"/>
            </w:tcBorders>
            <w:shd w:val="clear" w:color="auto" w:fill="auto"/>
            <w:noWrap/>
            <w:vAlign w:val="bottom"/>
            <w:hideMark/>
          </w:tcPr>
          <w:p w:rsidR="0029657C" w:rsidRPr="006A0C0B" w:rsidRDefault="0029657C" w:rsidP="006A0C0B">
            <w:pPr>
              <w:jc w:val="center"/>
              <w:rPr>
                <w:rFonts w:ascii="Arial Narrow" w:hAnsi="Arial Narrow" w:cs="Arial"/>
                <w:sz w:val="20"/>
                <w:lang w:eastAsia="en-NZ"/>
              </w:rPr>
            </w:pPr>
            <w:r w:rsidRPr="006A0C0B">
              <w:rPr>
                <w:rFonts w:ascii="Arial Narrow" w:hAnsi="Arial Narrow" w:cs="Arial"/>
                <w:sz w:val="20"/>
                <w:lang w:eastAsia="en-NZ"/>
              </w:rPr>
              <w:t>0.97%</w:t>
            </w:r>
          </w:p>
        </w:tc>
      </w:tr>
      <w:tr w:rsidR="0029657C" w:rsidRPr="006A0C0B" w:rsidTr="00343121">
        <w:trPr>
          <w:trHeight w:val="255"/>
        </w:trPr>
        <w:tc>
          <w:tcPr>
            <w:tcW w:w="3979" w:type="dxa"/>
            <w:tcBorders>
              <w:top w:val="nil"/>
              <w:left w:val="single" w:sz="8" w:space="0" w:color="auto"/>
              <w:bottom w:val="nil"/>
              <w:right w:val="nil"/>
            </w:tcBorders>
            <w:shd w:val="clear" w:color="auto" w:fill="auto"/>
            <w:noWrap/>
            <w:vAlign w:val="bottom"/>
            <w:hideMark/>
          </w:tcPr>
          <w:p w:rsidR="0029657C" w:rsidRPr="006A0C0B" w:rsidRDefault="0029657C" w:rsidP="006A0C0B">
            <w:pPr>
              <w:rPr>
                <w:rFonts w:ascii="Arial Narrow" w:hAnsi="Arial Narrow" w:cs="Arial"/>
                <w:sz w:val="20"/>
                <w:lang w:eastAsia="en-NZ"/>
              </w:rPr>
            </w:pPr>
            <w:r w:rsidRPr="006A0C0B">
              <w:rPr>
                <w:rFonts w:ascii="Arial Narrow" w:hAnsi="Arial Narrow" w:cs="Arial"/>
                <w:sz w:val="20"/>
                <w:lang w:eastAsia="en-NZ"/>
              </w:rPr>
              <w:t>Accom</w:t>
            </w:r>
            <w:r w:rsidR="00CD3E6B" w:rsidRPr="006A0C0B">
              <w:rPr>
                <w:rFonts w:ascii="Arial Narrow" w:hAnsi="Arial Narrow" w:cs="Arial"/>
                <w:sz w:val="20"/>
                <w:lang w:eastAsia="en-NZ"/>
              </w:rPr>
              <w:t xml:space="preserve">modation </w:t>
            </w:r>
            <w:r w:rsidRPr="006A0C0B">
              <w:rPr>
                <w:rFonts w:ascii="Arial Narrow" w:hAnsi="Arial Narrow" w:cs="Arial"/>
                <w:sz w:val="20"/>
                <w:lang w:eastAsia="en-NZ"/>
              </w:rPr>
              <w:t>restaurants</w:t>
            </w:r>
          </w:p>
        </w:tc>
        <w:tc>
          <w:tcPr>
            <w:tcW w:w="2127" w:type="dxa"/>
            <w:tcBorders>
              <w:top w:val="nil"/>
              <w:left w:val="single" w:sz="4" w:space="0" w:color="auto"/>
              <w:bottom w:val="nil"/>
              <w:right w:val="single" w:sz="4" w:space="0" w:color="auto"/>
            </w:tcBorders>
            <w:shd w:val="clear" w:color="auto" w:fill="auto"/>
            <w:noWrap/>
            <w:vAlign w:val="bottom"/>
            <w:hideMark/>
          </w:tcPr>
          <w:p w:rsidR="0029657C" w:rsidRPr="006A0C0B" w:rsidRDefault="0029657C" w:rsidP="006A0C0B">
            <w:pPr>
              <w:jc w:val="center"/>
              <w:rPr>
                <w:rFonts w:ascii="Arial Narrow" w:hAnsi="Arial Narrow" w:cs="Arial"/>
                <w:sz w:val="20"/>
                <w:lang w:eastAsia="en-NZ"/>
              </w:rPr>
            </w:pPr>
            <w:r w:rsidRPr="006A0C0B">
              <w:rPr>
                <w:rFonts w:ascii="Arial Narrow" w:hAnsi="Arial Narrow" w:cs="Arial"/>
                <w:sz w:val="20"/>
                <w:lang w:eastAsia="en-NZ"/>
              </w:rPr>
              <w:t>0.57%</w:t>
            </w:r>
          </w:p>
        </w:tc>
        <w:tc>
          <w:tcPr>
            <w:tcW w:w="1984" w:type="dxa"/>
            <w:tcBorders>
              <w:top w:val="nil"/>
              <w:left w:val="nil"/>
              <w:bottom w:val="nil"/>
              <w:right w:val="single" w:sz="8" w:space="0" w:color="auto"/>
            </w:tcBorders>
            <w:shd w:val="clear" w:color="auto" w:fill="auto"/>
            <w:noWrap/>
            <w:vAlign w:val="bottom"/>
            <w:hideMark/>
          </w:tcPr>
          <w:p w:rsidR="0029657C" w:rsidRPr="006A0C0B" w:rsidRDefault="0029657C" w:rsidP="006A0C0B">
            <w:pPr>
              <w:jc w:val="center"/>
              <w:rPr>
                <w:rFonts w:ascii="Arial Narrow" w:hAnsi="Arial Narrow" w:cs="Arial"/>
                <w:sz w:val="20"/>
                <w:lang w:eastAsia="en-NZ"/>
              </w:rPr>
            </w:pPr>
            <w:r w:rsidRPr="006A0C0B">
              <w:rPr>
                <w:rFonts w:ascii="Arial Narrow" w:hAnsi="Arial Narrow" w:cs="Arial"/>
                <w:sz w:val="20"/>
                <w:lang w:eastAsia="en-NZ"/>
              </w:rPr>
              <w:t>1.25%</w:t>
            </w:r>
          </w:p>
        </w:tc>
      </w:tr>
      <w:tr w:rsidR="0029657C" w:rsidRPr="006A0C0B" w:rsidTr="00343121">
        <w:trPr>
          <w:trHeight w:val="255"/>
        </w:trPr>
        <w:tc>
          <w:tcPr>
            <w:tcW w:w="3979" w:type="dxa"/>
            <w:tcBorders>
              <w:top w:val="nil"/>
              <w:left w:val="single" w:sz="8" w:space="0" w:color="auto"/>
              <w:bottom w:val="nil"/>
              <w:right w:val="nil"/>
            </w:tcBorders>
            <w:shd w:val="clear" w:color="auto" w:fill="auto"/>
            <w:noWrap/>
            <w:vAlign w:val="bottom"/>
            <w:hideMark/>
          </w:tcPr>
          <w:p w:rsidR="0029657C" w:rsidRPr="006A0C0B" w:rsidRDefault="0029657C" w:rsidP="006A0C0B">
            <w:pPr>
              <w:rPr>
                <w:rFonts w:ascii="Arial Narrow" w:hAnsi="Arial Narrow" w:cs="Arial"/>
                <w:b/>
                <w:sz w:val="20"/>
                <w:lang w:eastAsia="en-NZ"/>
              </w:rPr>
            </w:pPr>
            <w:r w:rsidRPr="006A0C0B">
              <w:rPr>
                <w:rFonts w:ascii="Arial Narrow" w:hAnsi="Arial Narrow" w:cs="Arial"/>
                <w:b/>
                <w:sz w:val="20"/>
                <w:lang w:eastAsia="en-NZ"/>
              </w:rPr>
              <w:t>Road</w:t>
            </w:r>
            <w:r w:rsidR="00CD3E6B" w:rsidRPr="006A0C0B">
              <w:rPr>
                <w:rFonts w:ascii="Arial Narrow" w:hAnsi="Arial Narrow" w:cs="Arial"/>
                <w:b/>
                <w:sz w:val="20"/>
                <w:lang w:eastAsia="en-NZ"/>
              </w:rPr>
              <w:t xml:space="preserve"> </w:t>
            </w:r>
            <w:r w:rsidR="00EC5BF8" w:rsidRPr="006A0C0B">
              <w:rPr>
                <w:rFonts w:ascii="Arial Narrow" w:hAnsi="Arial Narrow" w:cs="Arial"/>
                <w:b/>
                <w:sz w:val="20"/>
                <w:lang w:eastAsia="en-NZ"/>
              </w:rPr>
              <w:t xml:space="preserve">and </w:t>
            </w:r>
            <w:r w:rsidRPr="006A0C0B">
              <w:rPr>
                <w:rFonts w:ascii="Arial Narrow" w:hAnsi="Arial Narrow" w:cs="Arial"/>
                <w:b/>
                <w:sz w:val="20"/>
                <w:lang w:eastAsia="en-NZ"/>
              </w:rPr>
              <w:t>rail</w:t>
            </w:r>
            <w:r w:rsidR="00CD3E6B" w:rsidRPr="006A0C0B">
              <w:rPr>
                <w:rFonts w:ascii="Arial Narrow" w:hAnsi="Arial Narrow" w:cs="Arial"/>
                <w:b/>
                <w:sz w:val="20"/>
                <w:lang w:eastAsia="en-NZ"/>
              </w:rPr>
              <w:t xml:space="preserve"> transport</w:t>
            </w:r>
          </w:p>
        </w:tc>
        <w:tc>
          <w:tcPr>
            <w:tcW w:w="2127" w:type="dxa"/>
            <w:tcBorders>
              <w:top w:val="nil"/>
              <w:left w:val="single" w:sz="4" w:space="0" w:color="auto"/>
              <w:bottom w:val="nil"/>
              <w:right w:val="single" w:sz="4" w:space="0" w:color="auto"/>
            </w:tcBorders>
            <w:shd w:val="clear" w:color="auto" w:fill="auto"/>
            <w:noWrap/>
            <w:vAlign w:val="bottom"/>
            <w:hideMark/>
          </w:tcPr>
          <w:p w:rsidR="0029657C" w:rsidRPr="006A0C0B" w:rsidRDefault="0029657C" w:rsidP="006A0C0B">
            <w:pPr>
              <w:jc w:val="center"/>
              <w:rPr>
                <w:rFonts w:ascii="Arial Narrow" w:hAnsi="Arial Narrow" w:cs="Arial"/>
                <w:b/>
                <w:sz w:val="20"/>
                <w:lang w:eastAsia="en-NZ"/>
              </w:rPr>
            </w:pPr>
            <w:r w:rsidRPr="006A0C0B">
              <w:rPr>
                <w:rFonts w:ascii="Arial Narrow" w:hAnsi="Arial Narrow" w:cs="Arial"/>
                <w:b/>
                <w:sz w:val="20"/>
                <w:lang w:eastAsia="en-NZ"/>
              </w:rPr>
              <w:t>1.35%</w:t>
            </w:r>
          </w:p>
        </w:tc>
        <w:tc>
          <w:tcPr>
            <w:tcW w:w="1984" w:type="dxa"/>
            <w:tcBorders>
              <w:top w:val="nil"/>
              <w:left w:val="nil"/>
              <w:bottom w:val="nil"/>
              <w:right w:val="single" w:sz="8" w:space="0" w:color="auto"/>
            </w:tcBorders>
            <w:shd w:val="clear" w:color="auto" w:fill="auto"/>
            <w:noWrap/>
            <w:vAlign w:val="bottom"/>
            <w:hideMark/>
          </w:tcPr>
          <w:p w:rsidR="0029657C" w:rsidRPr="006A0C0B" w:rsidRDefault="0029657C" w:rsidP="006A0C0B">
            <w:pPr>
              <w:jc w:val="center"/>
              <w:rPr>
                <w:rFonts w:ascii="Arial Narrow" w:hAnsi="Arial Narrow" w:cs="Arial"/>
                <w:b/>
                <w:sz w:val="20"/>
                <w:lang w:eastAsia="en-NZ"/>
              </w:rPr>
            </w:pPr>
            <w:r w:rsidRPr="006A0C0B">
              <w:rPr>
                <w:rFonts w:ascii="Arial Narrow" w:hAnsi="Arial Narrow" w:cs="Arial"/>
                <w:b/>
                <w:sz w:val="20"/>
                <w:lang w:eastAsia="en-NZ"/>
              </w:rPr>
              <w:t>3.78%</w:t>
            </w:r>
          </w:p>
        </w:tc>
      </w:tr>
      <w:tr w:rsidR="0029657C" w:rsidRPr="006A0C0B" w:rsidTr="00343121">
        <w:trPr>
          <w:trHeight w:val="255"/>
        </w:trPr>
        <w:tc>
          <w:tcPr>
            <w:tcW w:w="3979" w:type="dxa"/>
            <w:tcBorders>
              <w:top w:val="nil"/>
              <w:left w:val="single" w:sz="8" w:space="0" w:color="auto"/>
              <w:bottom w:val="nil"/>
              <w:right w:val="nil"/>
            </w:tcBorders>
            <w:shd w:val="clear" w:color="auto" w:fill="auto"/>
            <w:noWrap/>
            <w:vAlign w:val="bottom"/>
            <w:hideMark/>
          </w:tcPr>
          <w:p w:rsidR="0029657C" w:rsidRPr="006A0C0B" w:rsidRDefault="0029657C" w:rsidP="006A0C0B">
            <w:pPr>
              <w:rPr>
                <w:rFonts w:ascii="Arial Narrow" w:hAnsi="Arial Narrow" w:cs="Arial"/>
                <w:b/>
                <w:sz w:val="20"/>
                <w:lang w:eastAsia="en-NZ"/>
              </w:rPr>
            </w:pPr>
            <w:r w:rsidRPr="006A0C0B">
              <w:rPr>
                <w:rFonts w:ascii="Arial Narrow" w:hAnsi="Arial Narrow" w:cs="Arial"/>
                <w:b/>
                <w:sz w:val="20"/>
                <w:lang w:eastAsia="en-NZ"/>
              </w:rPr>
              <w:t>Water and air transport</w:t>
            </w:r>
          </w:p>
        </w:tc>
        <w:tc>
          <w:tcPr>
            <w:tcW w:w="2127" w:type="dxa"/>
            <w:tcBorders>
              <w:top w:val="nil"/>
              <w:left w:val="single" w:sz="4" w:space="0" w:color="auto"/>
              <w:bottom w:val="nil"/>
              <w:right w:val="single" w:sz="4" w:space="0" w:color="auto"/>
            </w:tcBorders>
            <w:shd w:val="clear" w:color="auto" w:fill="auto"/>
            <w:noWrap/>
            <w:vAlign w:val="bottom"/>
            <w:hideMark/>
          </w:tcPr>
          <w:p w:rsidR="0029657C" w:rsidRPr="006A0C0B" w:rsidRDefault="0029657C" w:rsidP="006A0C0B">
            <w:pPr>
              <w:jc w:val="center"/>
              <w:rPr>
                <w:rFonts w:ascii="Arial Narrow" w:hAnsi="Arial Narrow" w:cs="Arial"/>
                <w:b/>
                <w:sz w:val="20"/>
                <w:lang w:eastAsia="en-NZ"/>
              </w:rPr>
            </w:pPr>
            <w:r w:rsidRPr="006A0C0B">
              <w:rPr>
                <w:rFonts w:ascii="Arial Narrow" w:hAnsi="Arial Narrow" w:cs="Arial"/>
                <w:b/>
                <w:sz w:val="20"/>
                <w:lang w:eastAsia="en-NZ"/>
              </w:rPr>
              <w:t>3.84%</w:t>
            </w:r>
          </w:p>
        </w:tc>
        <w:tc>
          <w:tcPr>
            <w:tcW w:w="1984" w:type="dxa"/>
            <w:tcBorders>
              <w:top w:val="nil"/>
              <w:left w:val="nil"/>
              <w:bottom w:val="nil"/>
              <w:right w:val="single" w:sz="8" w:space="0" w:color="auto"/>
            </w:tcBorders>
            <w:shd w:val="clear" w:color="auto" w:fill="auto"/>
            <w:noWrap/>
            <w:vAlign w:val="bottom"/>
            <w:hideMark/>
          </w:tcPr>
          <w:p w:rsidR="0029657C" w:rsidRPr="006A0C0B" w:rsidRDefault="0029657C" w:rsidP="006A0C0B">
            <w:pPr>
              <w:jc w:val="center"/>
              <w:rPr>
                <w:rFonts w:ascii="Arial Narrow" w:hAnsi="Arial Narrow" w:cs="Arial"/>
                <w:b/>
                <w:sz w:val="20"/>
                <w:lang w:eastAsia="en-NZ"/>
              </w:rPr>
            </w:pPr>
            <w:r w:rsidRPr="006A0C0B">
              <w:rPr>
                <w:rFonts w:ascii="Arial Narrow" w:hAnsi="Arial Narrow" w:cs="Arial"/>
                <w:b/>
                <w:sz w:val="20"/>
                <w:lang w:eastAsia="en-NZ"/>
              </w:rPr>
              <w:t>10.31%</w:t>
            </w:r>
          </w:p>
        </w:tc>
      </w:tr>
      <w:tr w:rsidR="0029657C" w:rsidRPr="006A0C0B" w:rsidTr="00343121">
        <w:trPr>
          <w:trHeight w:val="255"/>
        </w:trPr>
        <w:tc>
          <w:tcPr>
            <w:tcW w:w="3979" w:type="dxa"/>
            <w:tcBorders>
              <w:top w:val="nil"/>
              <w:left w:val="single" w:sz="8" w:space="0" w:color="auto"/>
              <w:bottom w:val="nil"/>
              <w:right w:val="nil"/>
            </w:tcBorders>
            <w:shd w:val="clear" w:color="auto" w:fill="auto"/>
            <w:noWrap/>
            <w:vAlign w:val="bottom"/>
            <w:hideMark/>
          </w:tcPr>
          <w:p w:rsidR="0029657C" w:rsidRPr="006A0C0B" w:rsidRDefault="0029657C" w:rsidP="006A0C0B">
            <w:pPr>
              <w:rPr>
                <w:rFonts w:ascii="Arial Narrow" w:hAnsi="Arial Narrow" w:cs="Arial"/>
                <w:b/>
                <w:sz w:val="20"/>
                <w:lang w:eastAsia="en-NZ"/>
              </w:rPr>
            </w:pPr>
            <w:r w:rsidRPr="006A0C0B">
              <w:rPr>
                <w:rFonts w:ascii="Arial Narrow" w:hAnsi="Arial Narrow" w:cs="Arial"/>
                <w:b/>
                <w:sz w:val="20"/>
                <w:lang w:eastAsia="en-NZ"/>
              </w:rPr>
              <w:t>Services to transport</w:t>
            </w:r>
          </w:p>
        </w:tc>
        <w:tc>
          <w:tcPr>
            <w:tcW w:w="2127" w:type="dxa"/>
            <w:tcBorders>
              <w:top w:val="nil"/>
              <w:left w:val="single" w:sz="4" w:space="0" w:color="auto"/>
              <w:bottom w:val="nil"/>
              <w:right w:val="single" w:sz="4" w:space="0" w:color="auto"/>
            </w:tcBorders>
            <w:shd w:val="clear" w:color="auto" w:fill="auto"/>
            <w:noWrap/>
            <w:vAlign w:val="bottom"/>
            <w:hideMark/>
          </w:tcPr>
          <w:p w:rsidR="0029657C" w:rsidRPr="006A0C0B" w:rsidRDefault="0029657C" w:rsidP="006A0C0B">
            <w:pPr>
              <w:jc w:val="center"/>
              <w:rPr>
                <w:rFonts w:ascii="Arial Narrow" w:hAnsi="Arial Narrow" w:cs="Arial"/>
                <w:b/>
                <w:sz w:val="20"/>
                <w:lang w:eastAsia="en-NZ"/>
              </w:rPr>
            </w:pPr>
            <w:r w:rsidRPr="006A0C0B">
              <w:rPr>
                <w:rFonts w:ascii="Arial Narrow" w:hAnsi="Arial Narrow" w:cs="Arial"/>
                <w:b/>
                <w:sz w:val="20"/>
                <w:lang w:eastAsia="en-NZ"/>
              </w:rPr>
              <w:t>3.55%</w:t>
            </w:r>
          </w:p>
        </w:tc>
        <w:tc>
          <w:tcPr>
            <w:tcW w:w="1984" w:type="dxa"/>
            <w:tcBorders>
              <w:top w:val="nil"/>
              <w:left w:val="nil"/>
              <w:bottom w:val="nil"/>
              <w:right w:val="single" w:sz="8" w:space="0" w:color="auto"/>
            </w:tcBorders>
            <w:shd w:val="clear" w:color="auto" w:fill="auto"/>
            <w:noWrap/>
            <w:vAlign w:val="bottom"/>
            <w:hideMark/>
          </w:tcPr>
          <w:p w:rsidR="0029657C" w:rsidRPr="006A0C0B" w:rsidRDefault="0029657C" w:rsidP="006A0C0B">
            <w:pPr>
              <w:jc w:val="center"/>
              <w:rPr>
                <w:rFonts w:ascii="Arial Narrow" w:hAnsi="Arial Narrow" w:cs="Arial"/>
                <w:b/>
                <w:sz w:val="20"/>
                <w:lang w:eastAsia="en-NZ"/>
              </w:rPr>
            </w:pPr>
            <w:r w:rsidRPr="006A0C0B">
              <w:rPr>
                <w:rFonts w:ascii="Arial Narrow" w:hAnsi="Arial Narrow" w:cs="Arial"/>
                <w:b/>
                <w:sz w:val="20"/>
                <w:lang w:eastAsia="en-NZ"/>
              </w:rPr>
              <w:t>5.91%</w:t>
            </w:r>
          </w:p>
        </w:tc>
      </w:tr>
      <w:tr w:rsidR="0029657C" w:rsidRPr="006A0C0B" w:rsidTr="00343121">
        <w:trPr>
          <w:trHeight w:val="255"/>
        </w:trPr>
        <w:tc>
          <w:tcPr>
            <w:tcW w:w="3979" w:type="dxa"/>
            <w:tcBorders>
              <w:top w:val="nil"/>
              <w:left w:val="single" w:sz="8" w:space="0" w:color="auto"/>
              <w:bottom w:val="nil"/>
              <w:right w:val="nil"/>
            </w:tcBorders>
            <w:shd w:val="clear" w:color="auto" w:fill="auto"/>
            <w:noWrap/>
            <w:vAlign w:val="bottom"/>
            <w:hideMark/>
          </w:tcPr>
          <w:p w:rsidR="0029657C" w:rsidRPr="006A0C0B" w:rsidRDefault="0029657C" w:rsidP="006A0C0B">
            <w:pPr>
              <w:rPr>
                <w:rFonts w:ascii="Arial Narrow" w:hAnsi="Arial Narrow" w:cs="Arial"/>
                <w:sz w:val="20"/>
                <w:lang w:eastAsia="en-NZ"/>
              </w:rPr>
            </w:pPr>
            <w:r w:rsidRPr="006A0C0B">
              <w:rPr>
                <w:rFonts w:ascii="Arial Narrow" w:hAnsi="Arial Narrow" w:cs="Arial"/>
                <w:sz w:val="20"/>
                <w:lang w:eastAsia="en-NZ"/>
              </w:rPr>
              <w:t>Fin</w:t>
            </w:r>
            <w:r w:rsidR="00CD3E6B" w:rsidRPr="006A0C0B">
              <w:rPr>
                <w:rFonts w:ascii="Arial Narrow" w:hAnsi="Arial Narrow" w:cs="Arial"/>
                <w:sz w:val="20"/>
                <w:lang w:eastAsia="en-NZ"/>
              </w:rPr>
              <w:t>ance</w:t>
            </w:r>
            <w:r w:rsidR="00416B81">
              <w:rPr>
                <w:rFonts w:ascii="Arial Narrow" w:hAnsi="Arial Narrow" w:cs="Arial"/>
                <w:sz w:val="20"/>
                <w:lang w:eastAsia="en-NZ"/>
              </w:rPr>
              <w:t>,</w:t>
            </w:r>
            <w:r w:rsidR="00CD3E6B" w:rsidRPr="006A0C0B">
              <w:rPr>
                <w:rFonts w:ascii="Arial Narrow" w:hAnsi="Arial Narrow" w:cs="Arial"/>
                <w:sz w:val="20"/>
                <w:lang w:eastAsia="en-NZ"/>
              </w:rPr>
              <w:t xml:space="preserve"> </w:t>
            </w:r>
            <w:r w:rsidR="00416B81">
              <w:rPr>
                <w:rFonts w:ascii="Arial Narrow" w:hAnsi="Arial Narrow" w:cs="Arial"/>
                <w:sz w:val="20"/>
                <w:lang w:eastAsia="en-NZ"/>
              </w:rPr>
              <w:t>i</w:t>
            </w:r>
            <w:r w:rsidRPr="006A0C0B">
              <w:rPr>
                <w:rFonts w:ascii="Arial Narrow" w:hAnsi="Arial Narrow" w:cs="Arial"/>
                <w:sz w:val="20"/>
                <w:lang w:eastAsia="en-NZ"/>
              </w:rPr>
              <w:t>nsur</w:t>
            </w:r>
            <w:r w:rsidR="00CD3E6B" w:rsidRPr="006A0C0B">
              <w:rPr>
                <w:rFonts w:ascii="Arial Narrow" w:hAnsi="Arial Narrow" w:cs="Arial"/>
                <w:sz w:val="20"/>
                <w:lang w:eastAsia="en-NZ"/>
              </w:rPr>
              <w:t>ance</w:t>
            </w:r>
            <w:r w:rsidR="00416B81">
              <w:rPr>
                <w:rFonts w:ascii="Arial Narrow" w:hAnsi="Arial Narrow" w:cs="Arial"/>
                <w:sz w:val="20"/>
                <w:lang w:eastAsia="en-NZ"/>
              </w:rPr>
              <w:t xml:space="preserve"> and</w:t>
            </w:r>
            <w:r w:rsidR="00CD3E6B" w:rsidRPr="006A0C0B">
              <w:rPr>
                <w:rFonts w:ascii="Arial Narrow" w:hAnsi="Arial Narrow" w:cs="Arial"/>
                <w:sz w:val="20"/>
                <w:lang w:eastAsia="en-NZ"/>
              </w:rPr>
              <w:t xml:space="preserve"> </w:t>
            </w:r>
            <w:r w:rsidRPr="006A0C0B">
              <w:rPr>
                <w:rFonts w:ascii="Arial Narrow" w:hAnsi="Arial Narrow" w:cs="Arial"/>
                <w:sz w:val="20"/>
                <w:lang w:eastAsia="en-NZ"/>
              </w:rPr>
              <w:t>legal</w:t>
            </w:r>
            <w:r w:rsidR="00CD3E6B" w:rsidRPr="006A0C0B">
              <w:rPr>
                <w:rFonts w:ascii="Arial Narrow" w:hAnsi="Arial Narrow" w:cs="Arial"/>
                <w:sz w:val="20"/>
                <w:lang w:eastAsia="en-NZ"/>
              </w:rPr>
              <w:t xml:space="preserve"> services</w:t>
            </w:r>
          </w:p>
        </w:tc>
        <w:tc>
          <w:tcPr>
            <w:tcW w:w="2127" w:type="dxa"/>
            <w:tcBorders>
              <w:top w:val="nil"/>
              <w:left w:val="single" w:sz="4" w:space="0" w:color="auto"/>
              <w:bottom w:val="nil"/>
              <w:right w:val="single" w:sz="4" w:space="0" w:color="auto"/>
            </w:tcBorders>
            <w:shd w:val="clear" w:color="auto" w:fill="auto"/>
            <w:noWrap/>
            <w:vAlign w:val="bottom"/>
            <w:hideMark/>
          </w:tcPr>
          <w:p w:rsidR="0029657C" w:rsidRPr="006A0C0B" w:rsidRDefault="0029657C" w:rsidP="006A0C0B">
            <w:pPr>
              <w:jc w:val="center"/>
              <w:rPr>
                <w:rFonts w:ascii="Arial Narrow" w:hAnsi="Arial Narrow" w:cs="Arial"/>
                <w:sz w:val="20"/>
                <w:lang w:eastAsia="en-NZ"/>
              </w:rPr>
            </w:pPr>
            <w:r w:rsidRPr="006A0C0B">
              <w:rPr>
                <w:rFonts w:ascii="Arial Narrow" w:hAnsi="Arial Narrow" w:cs="Arial"/>
                <w:sz w:val="20"/>
                <w:lang w:eastAsia="en-NZ"/>
              </w:rPr>
              <w:t>1.60%</w:t>
            </w:r>
          </w:p>
        </w:tc>
        <w:tc>
          <w:tcPr>
            <w:tcW w:w="1984" w:type="dxa"/>
            <w:tcBorders>
              <w:top w:val="nil"/>
              <w:left w:val="nil"/>
              <w:bottom w:val="nil"/>
              <w:right w:val="single" w:sz="8" w:space="0" w:color="auto"/>
            </w:tcBorders>
            <w:shd w:val="clear" w:color="auto" w:fill="auto"/>
            <w:noWrap/>
            <w:vAlign w:val="bottom"/>
            <w:hideMark/>
          </w:tcPr>
          <w:p w:rsidR="0029657C" w:rsidRPr="006A0C0B" w:rsidRDefault="0029657C" w:rsidP="006A0C0B">
            <w:pPr>
              <w:jc w:val="center"/>
              <w:rPr>
                <w:rFonts w:ascii="Arial Narrow" w:hAnsi="Arial Narrow" w:cs="Arial"/>
                <w:sz w:val="20"/>
                <w:lang w:eastAsia="en-NZ"/>
              </w:rPr>
            </w:pPr>
            <w:r w:rsidRPr="006A0C0B">
              <w:rPr>
                <w:rFonts w:ascii="Arial Narrow" w:hAnsi="Arial Narrow" w:cs="Arial"/>
                <w:sz w:val="20"/>
                <w:lang w:eastAsia="en-NZ"/>
              </w:rPr>
              <w:t>2.99%</w:t>
            </w:r>
          </w:p>
        </w:tc>
      </w:tr>
      <w:tr w:rsidR="0029657C" w:rsidRPr="006A0C0B" w:rsidTr="00343121">
        <w:trPr>
          <w:trHeight w:val="255"/>
        </w:trPr>
        <w:tc>
          <w:tcPr>
            <w:tcW w:w="3979" w:type="dxa"/>
            <w:tcBorders>
              <w:top w:val="nil"/>
              <w:left w:val="single" w:sz="8" w:space="0" w:color="auto"/>
              <w:bottom w:val="nil"/>
              <w:right w:val="nil"/>
            </w:tcBorders>
            <w:shd w:val="clear" w:color="auto" w:fill="auto"/>
            <w:noWrap/>
            <w:vAlign w:val="bottom"/>
            <w:hideMark/>
          </w:tcPr>
          <w:p w:rsidR="0029657C" w:rsidRPr="006A0C0B" w:rsidRDefault="0029657C" w:rsidP="00416B81">
            <w:pPr>
              <w:rPr>
                <w:rFonts w:ascii="Arial Narrow" w:hAnsi="Arial Narrow" w:cs="Arial"/>
                <w:sz w:val="20"/>
                <w:lang w:eastAsia="en-NZ"/>
              </w:rPr>
            </w:pPr>
            <w:r w:rsidRPr="006A0C0B">
              <w:rPr>
                <w:rFonts w:ascii="Arial Narrow" w:hAnsi="Arial Narrow" w:cs="Arial"/>
                <w:sz w:val="20"/>
                <w:lang w:eastAsia="en-NZ"/>
              </w:rPr>
              <w:t xml:space="preserve">Central </w:t>
            </w:r>
            <w:r w:rsidR="00416B81">
              <w:rPr>
                <w:rFonts w:ascii="Arial Narrow" w:hAnsi="Arial Narrow" w:cs="Arial"/>
                <w:sz w:val="20"/>
                <w:lang w:eastAsia="en-NZ"/>
              </w:rPr>
              <w:t>and</w:t>
            </w:r>
            <w:r w:rsidR="00416B81" w:rsidRPr="006A0C0B">
              <w:rPr>
                <w:rFonts w:ascii="Arial Narrow" w:hAnsi="Arial Narrow" w:cs="Arial"/>
                <w:sz w:val="20"/>
                <w:lang w:eastAsia="en-NZ"/>
              </w:rPr>
              <w:t xml:space="preserve"> </w:t>
            </w:r>
            <w:r w:rsidRPr="006A0C0B">
              <w:rPr>
                <w:rFonts w:ascii="Arial Narrow" w:hAnsi="Arial Narrow" w:cs="Arial"/>
                <w:sz w:val="20"/>
                <w:lang w:eastAsia="en-NZ"/>
              </w:rPr>
              <w:t>local gov</w:t>
            </w:r>
            <w:r w:rsidR="00416B81">
              <w:rPr>
                <w:rFonts w:ascii="Arial Narrow" w:hAnsi="Arial Narrow" w:cs="Arial"/>
                <w:sz w:val="20"/>
                <w:lang w:eastAsia="en-NZ"/>
              </w:rPr>
              <w:t>ernmen</w:t>
            </w:r>
            <w:r w:rsidRPr="006A0C0B">
              <w:rPr>
                <w:rFonts w:ascii="Arial Narrow" w:hAnsi="Arial Narrow" w:cs="Arial"/>
                <w:sz w:val="20"/>
                <w:lang w:eastAsia="en-NZ"/>
              </w:rPr>
              <w:t>t</w:t>
            </w:r>
          </w:p>
        </w:tc>
        <w:tc>
          <w:tcPr>
            <w:tcW w:w="2127" w:type="dxa"/>
            <w:tcBorders>
              <w:top w:val="nil"/>
              <w:left w:val="single" w:sz="4" w:space="0" w:color="auto"/>
              <w:bottom w:val="nil"/>
              <w:right w:val="single" w:sz="4" w:space="0" w:color="auto"/>
            </w:tcBorders>
            <w:shd w:val="clear" w:color="auto" w:fill="auto"/>
            <w:noWrap/>
            <w:vAlign w:val="bottom"/>
            <w:hideMark/>
          </w:tcPr>
          <w:p w:rsidR="0029657C" w:rsidRPr="006A0C0B" w:rsidRDefault="0029657C" w:rsidP="006A0C0B">
            <w:pPr>
              <w:jc w:val="center"/>
              <w:rPr>
                <w:rFonts w:ascii="Arial Narrow" w:hAnsi="Arial Narrow" w:cs="Arial"/>
                <w:sz w:val="20"/>
                <w:lang w:eastAsia="en-NZ"/>
              </w:rPr>
            </w:pPr>
            <w:r w:rsidRPr="006A0C0B">
              <w:rPr>
                <w:rFonts w:ascii="Arial Narrow" w:hAnsi="Arial Narrow" w:cs="Arial"/>
                <w:sz w:val="20"/>
                <w:lang w:eastAsia="en-NZ"/>
              </w:rPr>
              <w:t>1.07%</w:t>
            </w:r>
          </w:p>
        </w:tc>
        <w:tc>
          <w:tcPr>
            <w:tcW w:w="1984" w:type="dxa"/>
            <w:tcBorders>
              <w:top w:val="nil"/>
              <w:left w:val="nil"/>
              <w:bottom w:val="nil"/>
              <w:right w:val="single" w:sz="8" w:space="0" w:color="auto"/>
            </w:tcBorders>
            <w:shd w:val="clear" w:color="auto" w:fill="auto"/>
            <w:noWrap/>
            <w:vAlign w:val="bottom"/>
            <w:hideMark/>
          </w:tcPr>
          <w:p w:rsidR="0029657C" w:rsidRPr="006A0C0B" w:rsidRDefault="0029657C" w:rsidP="006A0C0B">
            <w:pPr>
              <w:jc w:val="center"/>
              <w:rPr>
                <w:rFonts w:ascii="Arial Narrow" w:hAnsi="Arial Narrow" w:cs="Arial"/>
                <w:sz w:val="20"/>
                <w:lang w:eastAsia="en-NZ"/>
              </w:rPr>
            </w:pPr>
            <w:r w:rsidRPr="006A0C0B">
              <w:rPr>
                <w:rFonts w:ascii="Arial Narrow" w:hAnsi="Arial Narrow" w:cs="Arial"/>
                <w:sz w:val="20"/>
                <w:lang w:eastAsia="en-NZ"/>
              </w:rPr>
              <w:t>2.17%</w:t>
            </w:r>
          </w:p>
        </w:tc>
      </w:tr>
      <w:tr w:rsidR="0029657C" w:rsidRPr="006A0C0B" w:rsidTr="00343121">
        <w:trPr>
          <w:trHeight w:val="255"/>
        </w:trPr>
        <w:tc>
          <w:tcPr>
            <w:tcW w:w="3979" w:type="dxa"/>
            <w:tcBorders>
              <w:top w:val="nil"/>
              <w:left w:val="single" w:sz="8" w:space="0" w:color="auto"/>
              <w:bottom w:val="nil"/>
              <w:right w:val="nil"/>
            </w:tcBorders>
            <w:shd w:val="clear" w:color="auto" w:fill="auto"/>
            <w:noWrap/>
            <w:vAlign w:val="bottom"/>
            <w:hideMark/>
          </w:tcPr>
          <w:p w:rsidR="0029657C" w:rsidRPr="006A0C0B" w:rsidRDefault="0029657C" w:rsidP="006A0C0B">
            <w:pPr>
              <w:rPr>
                <w:rFonts w:ascii="Arial Narrow" w:hAnsi="Arial Narrow" w:cs="Arial"/>
                <w:sz w:val="20"/>
                <w:lang w:eastAsia="en-NZ"/>
              </w:rPr>
            </w:pPr>
            <w:r w:rsidRPr="006A0C0B">
              <w:rPr>
                <w:rFonts w:ascii="Arial Narrow" w:hAnsi="Arial Narrow" w:cs="Arial"/>
                <w:sz w:val="20"/>
                <w:lang w:eastAsia="en-NZ"/>
              </w:rPr>
              <w:t>Education</w:t>
            </w:r>
          </w:p>
        </w:tc>
        <w:tc>
          <w:tcPr>
            <w:tcW w:w="2127" w:type="dxa"/>
            <w:tcBorders>
              <w:top w:val="nil"/>
              <w:left w:val="single" w:sz="4" w:space="0" w:color="auto"/>
              <w:bottom w:val="nil"/>
              <w:right w:val="single" w:sz="4" w:space="0" w:color="auto"/>
            </w:tcBorders>
            <w:shd w:val="clear" w:color="auto" w:fill="auto"/>
            <w:noWrap/>
            <w:vAlign w:val="bottom"/>
            <w:hideMark/>
          </w:tcPr>
          <w:p w:rsidR="0029657C" w:rsidRPr="006A0C0B" w:rsidRDefault="0029657C" w:rsidP="006A0C0B">
            <w:pPr>
              <w:jc w:val="center"/>
              <w:rPr>
                <w:rFonts w:ascii="Arial Narrow" w:hAnsi="Arial Narrow" w:cs="Arial"/>
                <w:sz w:val="20"/>
                <w:lang w:eastAsia="en-NZ"/>
              </w:rPr>
            </w:pPr>
            <w:r w:rsidRPr="006A0C0B">
              <w:rPr>
                <w:rFonts w:ascii="Arial Narrow" w:hAnsi="Arial Narrow" w:cs="Arial"/>
                <w:sz w:val="20"/>
                <w:lang w:eastAsia="en-NZ"/>
              </w:rPr>
              <w:t>0.38%</w:t>
            </w:r>
          </w:p>
        </w:tc>
        <w:tc>
          <w:tcPr>
            <w:tcW w:w="1984" w:type="dxa"/>
            <w:tcBorders>
              <w:top w:val="nil"/>
              <w:left w:val="nil"/>
              <w:bottom w:val="nil"/>
              <w:right w:val="single" w:sz="8" w:space="0" w:color="auto"/>
            </w:tcBorders>
            <w:shd w:val="clear" w:color="auto" w:fill="auto"/>
            <w:noWrap/>
            <w:vAlign w:val="bottom"/>
            <w:hideMark/>
          </w:tcPr>
          <w:p w:rsidR="0029657C" w:rsidRPr="006A0C0B" w:rsidRDefault="0029657C" w:rsidP="006A0C0B">
            <w:pPr>
              <w:jc w:val="center"/>
              <w:rPr>
                <w:rFonts w:ascii="Arial Narrow" w:hAnsi="Arial Narrow" w:cs="Arial"/>
                <w:sz w:val="20"/>
                <w:lang w:eastAsia="en-NZ"/>
              </w:rPr>
            </w:pPr>
            <w:r w:rsidRPr="006A0C0B">
              <w:rPr>
                <w:rFonts w:ascii="Arial Narrow" w:hAnsi="Arial Narrow" w:cs="Arial"/>
                <w:sz w:val="20"/>
                <w:lang w:eastAsia="en-NZ"/>
              </w:rPr>
              <w:t>0.54%</w:t>
            </w:r>
          </w:p>
        </w:tc>
      </w:tr>
      <w:tr w:rsidR="0029657C" w:rsidRPr="006A0C0B" w:rsidTr="00343121">
        <w:trPr>
          <w:trHeight w:val="255"/>
        </w:trPr>
        <w:tc>
          <w:tcPr>
            <w:tcW w:w="3979" w:type="dxa"/>
            <w:tcBorders>
              <w:top w:val="nil"/>
              <w:left w:val="single" w:sz="8" w:space="0" w:color="auto"/>
              <w:bottom w:val="nil"/>
              <w:right w:val="nil"/>
            </w:tcBorders>
            <w:shd w:val="clear" w:color="auto" w:fill="auto"/>
            <w:noWrap/>
            <w:vAlign w:val="bottom"/>
            <w:hideMark/>
          </w:tcPr>
          <w:p w:rsidR="0029657C" w:rsidRPr="006A0C0B" w:rsidRDefault="0029657C" w:rsidP="00416B81">
            <w:pPr>
              <w:rPr>
                <w:rFonts w:ascii="Arial Narrow" w:hAnsi="Arial Narrow" w:cs="Arial"/>
                <w:sz w:val="20"/>
                <w:lang w:eastAsia="en-NZ"/>
              </w:rPr>
            </w:pPr>
            <w:r w:rsidRPr="006A0C0B">
              <w:rPr>
                <w:rFonts w:ascii="Arial Narrow" w:hAnsi="Arial Narrow" w:cs="Arial"/>
                <w:sz w:val="20"/>
                <w:lang w:eastAsia="en-NZ"/>
              </w:rPr>
              <w:t>Health</w:t>
            </w:r>
            <w:r w:rsidR="00CD3E6B" w:rsidRPr="006A0C0B">
              <w:rPr>
                <w:rFonts w:ascii="Arial Narrow" w:hAnsi="Arial Narrow" w:cs="Arial"/>
                <w:sz w:val="20"/>
                <w:lang w:eastAsia="en-NZ"/>
              </w:rPr>
              <w:t xml:space="preserve"> </w:t>
            </w:r>
            <w:r w:rsidR="00416B81">
              <w:rPr>
                <w:rFonts w:ascii="Arial Narrow" w:hAnsi="Arial Narrow" w:cs="Arial"/>
                <w:sz w:val="20"/>
                <w:lang w:eastAsia="en-NZ"/>
              </w:rPr>
              <w:t>and</w:t>
            </w:r>
            <w:r w:rsidR="00416B81" w:rsidRPr="006A0C0B">
              <w:rPr>
                <w:rFonts w:ascii="Arial Narrow" w:hAnsi="Arial Narrow" w:cs="Arial"/>
                <w:sz w:val="20"/>
                <w:lang w:eastAsia="en-NZ"/>
              </w:rPr>
              <w:t xml:space="preserve"> </w:t>
            </w:r>
            <w:r w:rsidRPr="006A0C0B">
              <w:rPr>
                <w:rFonts w:ascii="Arial Narrow" w:hAnsi="Arial Narrow" w:cs="Arial"/>
                <w:sz w:val="20"/>
                <w:lang w:eastAsia="en-NZ"/>
              </w:rPr>
              <w:t>commu</w:t>
            </w:r>
            <w:r w:rsidR="00CD3E6B" w:rsidRPr="006A0C0B">
              <w:rPr>
                <w:rFonts w:ascii="Arial Narrow" w:hAnsi="Arial Narrow" w:cs="Arial"/>
                <w:sz w:val="20"/>
                <w:lang w:eastAsia="en-NZ"/>
              </w:rPr>
              <w:t xml:space="preserve">nity </w:t>
            </w:r>
            <w:r w:rsidRPr="006A0C0B">
              <w:rPr>
                <w:rFonts w:ascii="Arial Narrow" w:hAnsi="Arial Narrow" w:cs="Arial"/>
                <w:sz w:val="20"/>
                <w:lang w:eastAsia="en-NZ"/>
              </w:rPr>
              <w:t>care</w:t>
            </w:r>
            <w:r w:rsidR="00CD3E6B" w:rsidRPr="006A0C0B">
              <w:rPr>
                <w:rFonts w:ascii="Arial Narrow" w:hAnsi="Arial Narrow" w:cs="Arial"/>
                <w:sz w:val="20"/>
                <w:lang w:eastAsia="en-NZ"/>
              </w:rPr>
              <w:t xml:space="preserve"> services</w:t>
            </w:r>
          </w:p>
        </w:tc>
        <w:tc>
          <w:tcPr>
            <w:tcW w:w="2127" w:type="dxa"/>
            <w:tcBorders>
              <w:top w:val="nil"/>
              <w:left w:val="single" w:sz="4" w:space="0" w:color="auto"/>
              <w:bottom w:val="nil"/>
              <w:right w:val="single" w:sz="4" w:space="0" w:color="auto"/>
            </w:tcBorders>
            <w:shd w:val="clear" w:color="auto" w:fill="auto"/>
            <w:noWrap/>
            <w:vAlign w:val="bottom"/>
            <w:hideMark/>
          </w:tcPr>
          <w:p w:rsidR="0029657C" w:rsidRPr="006A0C0B" w:rsidRDefault="0029657C" w:rsidP="006A0C0B">
            <w:pPr>
              <w:jc w:val="center"/>
              <w:rPr>
                <w:rFonts w:ascii="Arial Narrow" w:hAnsi="Arial Narrow" w:cs="Arial"/>
                <w:sz w:val="20"/>
                <w:lang w:eastAsia="en-NZ"/>
              </w:rPr>
            </w:pPr>
            <w:r w:rsidRPr="006A0C0B">
              <w:rPr>
                <w:rFonts w:ascii="Arial Narrow" w:hAnsi="Arial Narrow" w:cs="Arial"/>
                <w:sz w:val="20"/>
                <w:lang w:eastAsia="en-NZ"/>
              </w:rPr>
              <w:t>0.43%</w:t>
            </w:r>
          </w:p>
        </w:tc>
        <w:tc>
          <w:tcPr>
            <w:tcW w:w="1984" w:type="dxa"/>
            <w:tcBorders>
              <w:top w:val="nil"/>
              <w:left w:val="nil"/>
              <w:bottom w:val="nil"/>
              <w:right w:val="single" w:sz="8" w:space="0" w:color="auto"/>
            </w:tcBorders>
            <w:shd w:val="clear" w:color="auto" w:fill="auto"/>
            <w:noWrap/>
            <w:vAlign w:val="bottom"/>
            <w:hideMark/>
          </w:tcPr>
          <w:p w:rsidR="0029657C" w:rsidRPr="006A0C0B" w:rsidRDefault="0029657C" w:rsidP="006A0C0B">
            <w:pPr>
              <w:jc w:val="center"/>
              <w:rPr>
                <w:rFonts w:ascii="Arial Narrow" w:hAnsi="Arial Narrow" w:cs="Arial"/>
                <w:sz w:val="20"/>
                <w:lang w:eastAsia="en-NZ"/>
              </w:rPr>
            </w:pPr>
            <w:r w:rsidRPr="006A0C0B">
              <w:rPr>
                <w:rFonts w:ascii="Arial Narrow" w:hAnsi="Arial Narrow" w:cs="Arial"/>
                <w:sz w:val="20"/>
                <w:lang w:eastAsia="en-NZ"/>
              </w:rPr>
              <w:t>0.68%</w:t>
            </w:r>
          </w:p>
        </w:tc>
      </w:tr>
      <w:tr w:rsidR="0029657C" w:rsidRPr="006A0C0B" w:rsidTr="00343121">
        <w:trPr>
          <w:trHeight w:val="270"/>
        </w:trPr>
        <w:tc>
          <w:tcPr>
            <w:tcW w:w="3979" w:type="dxa"/>
            <w:tcBorders>
              <w:top w:val="nil"/>
              <w:left w:val="single" w:sz="8" w:space="0" w:color="auto"/>
              <w:bottom w:val="single" w:sz="8" w:space="0" w:color="auto"/>
              <w:right w:val="nil"/>
            </w:tcBorders>
            <w:shd w:val="clear" w:color="auto" w:fill="auto"/>
            <w:noWrap/>
            <w:vAlign w:val="bottom"/>
            <w:hideMark/>
          </w:tcPr>
          <w:p w:rsidR="0029657C" w:rsidRPr="006A0C0B" w:rsidRDefault="0029657C" w:rsidP="006A0C0B">
            <w:pPr>
              <w:rPr>
                <w:rFonts w:ascii="Arial Narrow" w:hAnsi="Arial Narrow" w:cs="Arial"/>
                <w:sz w:val="20"/>
                <w:lang w:eastAsia="en-NZ"/>
              </w:rPr>
            </w:pPr>
            <w:r w:rsidRPr="006A0C0B">
              <w:rPr>
                <w:rFonts w:ascii="Arial Narrow" w:hAnsi="Arial Narrow" w:cs="Arial"/>
                <w:sz w:val="20"/>
                <w:lang w:eastAsia="en-NZ"/>
              </w:rPr>
              <w:t>Recreation</w:t>
            </w:r>
          </w:p>
        </w:tc>
        <w:tc>
          <w:tcPr>
            <w:tcW w:w="2127" w:type="dxa"/>
            <w:tcBorders>
              <w:top w:val="nil"/>
              <w:left w:val="single" w:sz="4" w:space="0" w:color="auto"/>
              <w:bottom w:val="single" w:sz="8" w:space="0" w:color="auto"/>
              <w:right w:val="single" w:sz="4" w:space="0" w:color="auto"/>
            </w:tcBorders>
            <w:shd w:val="clear" w:color="auto" w:fill="auto"/>
            <w:noWrap/>
            <w:vAlign w:val="bottom"/>
            <w:hideMark/>
          </w:tcPr>
          <w:p w:rsidR="0029657C" w:rsidRPr="006A0C0B" w:rsidRDefault="0029657C" w:rsidP="006A0C0B">
            <w:pPr>
              <w:jc w:val="center"/>
              <w:rPr>
                <w:rFonts w:ascii="Arial Narrow" w:hAnsi="Arial Narrow" w:cs="Arial"/>
                <w:sz w:val="20"/>
                <w:lang w:eastAsia="en-NZ"/>
              </w:rPr>
            </w:pPr>
            <w:r w:rsidRPr="006A0C0B">
              <w:rPr>
                <w:rFonts w:ascii="Arial Narrow" w:hAnsi="Arial Narrow" w:cs="Arial"/>
                <w:sz w:val="20"/>
                <w:lang w:eastAsia="en-NZ"/>
              </w:rPr>
              <w:t>0.54%</w:t>
            </w:r>
          </w:p>
        </w:tc>
        <w:tc>
          <w:tcPr>
            <w:tcW w:w="1984" w:type="dxa"/>
            <w:tcBorders>
              <w:top w:val="nil"/>
              <w:left w:val="nil"/>
              <w:bottom w:val="single" w:sz="8" w:space="0" w:color="auto"/>
              <w:right w:val="single" w:sz="8" w:space="0" w:color="auto"/>
            </w:tcBorders>
            <w:shd w:val="clear" w:color="auto" w:fill="auto"/>
            <w:noWrap/>
            <w:vAlign w:val="bottom"/>
            <w:hideMark/>
          </w:tcPr>
          <w:p w:rsidR="0029657C" w:rsidRPr="006A0C0B" w:rsidRDefault="0029657C" w:rsidP="006A0C0B">
            <w:pPr>
              <w:jc w:val="center"/>
              <w:rPr>
                <w:rFonts w:ascii="Arial Narrow" w:hAnsi="Arial Narrow" w:cs="Arial"/>
                <w:color w:val="000000"/>
                <w:sz w:val="20"/>
                <w:lang w:eastAsia="en-NZ"/>
              </w:rPr>
            </w:pPr>
            <w:r w:rsidRPr="006A0C0B">
              <w:rPr>
                <w:rFonts w:ascii="Arial Narrow" w:hAnsi="Arial Narrow" w:cs="Arial"/>
                <w:color w:val="000000"/>
                <w:sz w:val="20"/>
                <w:lang w:eastAsia="en-NZ"/>
              </w:rPr>
              <w:t>1.10%</w:t>
            </w:r>
          </w:p>
        </w:tc>
      </w:tr>
    </w:tbl>
    <w:p w:rsidR="0029657C" w:rsidRPr="00F05BED" w:rsidRDefault="0029657C" w:rsidP="00F05BED">
      <w:pPr>
        <w:autoSpaceDE w:val="0"/>
        <w:autoSpaceDN w:val="0"/>
        <w:adjustRightInd w:val="0"/>
        <w:spacing w:line="320" w:lineRule="atLeast"/>
        <w:rPr>
          <w:rFonts w:cs="Arial"/>
          <w:sz w:val="22"/>
          <w:szCs w:val="22"/>
          <w:lang w:eastAsia="en-NZ"/>
        </w:rPr>
      </w:pPr>
    </w:p>
    <w:p w:rsidR="00EC5BF8" w:rsidRDefault="006A0C0B" w:rsidP="00F05BED">
      <w:pPr>
        <w:autoSpaceDE w:val="0"/>
        <w:autoSpaceDN w:val="0"/>
        <w:adjustRightInd w:val="0"/>
        <w:spacing w:line="320" w:lineRule="atLeast"/>
        <w:rPr>
          <w:rFonts w:cs="Arial"/>
          <w:sz w:val="22"/>
          <w:szCs w:val="22"/>
          <w:lang w:eastAsia="en-NZ"/>
        </w:rPr>
      </w:pPr>
      <w:r>
        <w:rPr>
          <w:rFonts w:cs="Arial"/>
          <w:sz w:val="22"/>
          <w:szCs w:val="22"/>
          <w:lang w:eastAsia="en-NZ"/>
        </w:rPr>
        <w:t xml:space="preserve">Table 1 </w:t>
      </w:r>
      <w:r w:rsidR="00AA301B" w:rsidRPr="00F05BED">
        <w:rPr>
          <w:rFonts w:cs="Arial"/>
          <w:sz w:val="22"/>
          <w:szCs w:val="22"/>
          <w:lang w:eastAsia="en-NZ"/>
        </w:rPr>
        <w:t xml:space="preserve">shows that, within the </w:t>
      </w:r>
      <w:r w:rsidR="005428D8">
        <w:rPr>
          <w:rFonts w:cs="Arial"/>
          <w:sz w:val="22"/>
          <w:szCs w:val="22"/>
          <w:lang w:eastAsia="en-NZ"/>
        </w:rPr>
        <w:t>transport industry</w:t>
      </w:r>
      <w:r w:rsidR="00AA301B" w:rsidRPr="00F05BED">
        <w:rPr>
          <w:rFonts w:cs="Arial"/>
          <w:sz w:val="22"/>
          <w:szCs w:val="22"/>
          <w:lang w:eastAsia="en-NZ"/>
        </w:rPr>
        <w:t xml:space="preserve">, </w:t>
      </w:r>
      <w:r w:rsidR="00416B81">
        <w:rPr>
          <w:rFonts w:cs="Arial"/>
          <w:sz w:val="22"/>
          <w:szCs w:val="22"/>
          <w:lang w:eastAsia="en-NZ"/>
        </w:rPr>
        <w:t xml:space="preserve">the </w:t>
      </w:r>
      <w:r w:rsidR="005F70C3">
        <w:rPr>
          <w:rFonts w:cs="Arial"/>
          <w:sz w:val="22"/>
          <w:szCs w:val="22"/>
          <w:lang w:eastAsia="en-NZ"/>
        </w:rPr>
        <w:t>‘</w:t>
      </w:r>
      <w:r w:rsidR="00EC5BF8" w:rsidRPr="00F05BED">
        <w:rPr>
          <w:rFonts w:cs="Arial"/>
          <w:sz w:val="22"/>
          <w:szCs w:val="22"/>
          <w:lang w:eastAsia="en-NZ"/>
        </w:rPr>
        <w:t>water and air transport</w:t>
      </w:r>
      <w:r w:rsidR="005F70C3">
        <w:rPr>
          <w:rFonts w:cs="Arial"/>
          <w:sz w:val="22"/>
          <w:szCs w:val="22"/>
          <w:lang w:eastAsia="en-NZ"/>
        </w:rPr>
        <w:t>’</w:t>
      </w:r>
      <w:r w:rsidR="00EC5BF8" w:rsidRPr="00F05BED">
        <w:rPr>
          <w:rFonts w:cs="Arial"/>
          <w:sz w:val="22"/>
          <w:szCs w:val="22"/>
          <w:lang w:eastAsia="en-NZ"/>
        </w:rPr>
        <w:t xml:space="preserve"> sub-group has the highest productivity gain </w:t>
      </w:r>
      <w:r w:rsidR="00AA301B" w:rsidRPr="00F05BED">
        <w:rPr>
          <w:rFonts w:cs="Arial"/>
          <w:sz w:val="22"/>
          <w:szCs w:val="22"/>
          <w:lang w:eastAsia="en-NZ"/>
        </w:rPr>
        <w:t xml:space="preserve">from 2003 </w:t>
      </w:r>
      <w:r w:rsidR="00EC5BF8" w:rsidRPr="00F05BED">
        <w:rPr>
          <w:rFonts w:cs="Arial"/>
          <w:sz w:val="22"/>
          <w:szCs w:val="22"/>
          <w:lang w:eastAsia="en-NZ"/>
        </w:rPr>
        <w:t xml:space="preserve">(estimated at </w:t>
      </w:r>
      <w:r w:rsidR="00AA301B" w:rsidRPr="00F05BED">
        <w:rPr>
          <w:rFonts w:cs="Arial"/>
          <w:sz w:val="22"/>
          <w:szCs w:val="22"/>
          <w:lang w:eastAsia="en-NZ"/>
        </w:rPr>
        <w:t xml:space="preserve">between 3.8 and </w:t>
      </w:r>
      <w:r w:rsidR="00EC5BF8" w:rsidRPr="00F05BED">
        <w:rPr>
          <w:rFonts w:cs="Arial"/>
          <w:sz w:val="22"/>
          <w:szCs w:val="22"/>
          <w:lang w:eastAsia="en-NZ"/>
        </w:rPr>
        <w:t>10</w:t>
      </w:r>
      <w:r w:rsidR="00AA301B" w:rsidRPr="00F05BED">
        <w:rPr>
          <w:rFonts w:cs="Arial"/>
          <w:sz w:val="22"/>
          <w:szCs w:val="22"/>
          <w:lang w:eastAsia="en-NZ"/>
        </w:rPr>
        <w:t>.3</w:t>
      </w:r>
      <w:r w:rsidR="00EC5BF8" w:rsidRPr="00F05BED">
        <w:rPr>
          <w:rFonts w:cs="Arial"/>
          <w:sz w:val="22"/>
          <w:szCs w:val="22"/>
          <w:lang w:eastAsia="en-NZ"/>
        </w:rPr>
        <w:t xml:space="preserve"> percent). </w:t>
      </w:r>
      <w:r w:rsidR="00416B81">
        <w:rPr>
          <w:rFonts w:cs="Arial"/>
          <w:sz w:val="22"/>
          <w:szCs w:val="22"/>
          <w:lang w:eastAsia="en-NZ"/>
        </w:rPr>
        <w:t>The m</w:t>
      </w:r>
      <w:r w:rsidR="00EC5BF8" w:rsidRPr="00F05BED">
        <w:rPr>
          <w:rFonts w:cs="Arial"/>
          <w:sz w:val="22"/>
          <w:szCs w:val="22"/>
          <w:lang w:eastAsia="en-NZ"/>
        </w:rPr>
        <w:t xml:space="preserve">anufacturing industry, </w:t>
      </w:r>
      <w:r w:rsidR="00AA301B" w:rsidRPr="00F05BED">
        <w:rPr>
          <w:rFonts w:cs="Arial"/>
          <w:sz w:val="22"/>
          <w:szCs w:val="22"/>
          <w:lang w:eastAsia="en-NZ"/>
        </w:rPr>
        <w:t>b</w:t>
      </w:r>
      <w:r w:rsidR="00EC5BF8" w:rsidRPr="00F05BED">
        <w:rPr>
          <w:rFonts w:cs="Arial"/>
          <w:sz w:val="22"/>
          <w:szCs w:val="22"/>
          <w:lang w:eastAsia="en-NZ"/>
        </w:rPr>
        <w:t>uilding construction industry and non-building construction industry ha</w:t>
      </w:r>
      <w:r w:rsidR="005A7396" w:rsidRPr="00F05BED">
        <w:rPr>
          <w:rFonts w:cs="Arial"/>
          <w:sz w:val="22"/>
          <w:szCs w:val="22"/>
          <w:lang w:eastAsia="en-NZ"/>
        </w:rPr>
        <w:t>ve</w:t>
      </w:r>
      <w:r w:rsidR="00EC5BF8" w:rsidRPr="00F05BED">
        <w:rPr>
          <w:rFonts w:cs="Arial"/>
          <w:sz w:val="22"/>
          <w:szCs w:val="22"/>
          <w:lang w:eastAsia="en-NZ"/>
        </w:rPr>
        <w:t xml:space="preserve"> </w:t>
      </w:r>
      <w:r w:rsidR="005A7396" w:rsidRPr="00F05BED">
        <w:rPr>
          <w:rFonts w:cs="Arial"/>
          <w:sz w:val="22"/>
          <w:szCs w:val="22"/>
          <w:lang w:eastAsia="en-NZ"/>
        </w:rPr>
        <w:t xml:space="preserve">all </w:t>
      </w:r>
      <w:r w:rsidR="00EC5BF8" w:rsidRPr="00F05BED">
        <w:rPr>
          <w:rFonts w:cs="Arial"/>
          <w:sz w:val="22"/>
          <w:szCs w:val="22"/>
          <w:lang w:eastAsia="en-NZ"/>
        </w:rPr>
        <w:t xml:space="preserve">shown productivity losses during the period </w:t>
      </w:r>
      <w:r w:rsidR="00AA301B" w:rsidRPr="00F05BED">
        <w:rPr>
          <w:rFonts w:cs="Arial"/>
          <w:sz w:val="22"/>
          <w:szCs w:val="22"/>
          <w:lang w:eastAsia="en-NZ"/>
        </w:rPr>
        <w:t xml:space="preserve">from </w:t>
      </w:r>
      <w:r w:rsidR="00EC5BF8" w:rsidRPr="00F05BED">
        <w:rPr>
          <w:rFonts w:cs="Arial"/>
          <w:sz w:val="22"/>
          <w:szCs w:val="22"/>
          <w:lang w:eastAsia="en-NZ"/>
        </w:rPr>
        <w:t>2003</w:t>
      </w:r>
      <w:r w:rsidR="00AA301B" w:rsidRPr="00F05BED">
        <w:rPr>
          <w:rFonts w:cs="Arial"/>
          <w:sz w:val="22"/>
          <w:szCs w:val="22"/>
          <w:lang w:eastAsia="en-NZ"/>
        </w:rPr>
        <w:t xml:space="preserve"> to </w:t>
      </w:r>
      <w:r w:rsidR="00EC5BF8" w:rsidRPr="00F05BED">
        <w:rPr>
          <w:rFonts w:cs="Arial"/>
          <w:sz w:val="22"/>
          <w:szCs w:val="22"/>
          <w:lang w:eastAsia="en-NZ"/>
        </w:rPr>
        <w:t xml:space="preserve">2007. </w:t>
      </w:r>
      <w:r w:rsidR="00657BC2">
        <w:rPr>
          <w:rFonts w:cs="Arial"/>
          <w:sz w:val="22"/>
          <w:szCs w:val="22"/>
          <w:lang w:eastAsia="en-NZ"/>
        </w:rPr>
        <w:t xml:space="preserve">Non-building </w:t>
      </w:r>
      <w:r w:rsidR="00EC5BF8" w:rsidRPr="00F05BED">
        <w:rPr>
          <w:rFonts w:cs="Arial"/>
          <w:sz w:val="22"/>
          <w:szCs w:val="22"/>
          <w:lang w:eastAsia="en-NZ"/>
        </w:rPr>
        <w:t xml:space="preserve">construction </w:t>
      </w:r>
      <w:r w:rsidR="00657BC2">
        <w:rPr>
          <w:rFonts w:cs="Arial"/>
          <w:sz w:val="22"/>
          <w:szCs w:val="22"/>
          <w:lang w:eastAsia="en-NZ"/>
        </w:rPr>
        <w:t>includes a large number of asset type</w:t>
      </w:r>
      <w:r w:rsidR="007B23CB">
        <w:rPr>
          <w:rFonts w:cs="Arial"/>
          <w:sz w:val="22"/>
          <w:szCs w:val="22"/>
          <w:lang w:eastAsia="en-NZ"/>
        </w:rPr>
        <w:t>s</w:t>
      </w:r>
      <w:r w:rsidR="00657BC2">
        <w:rPr>
          <w:rFonts w:cs="Arial"/>
          <w:sz w:val="22"/>
          <w:szCs w:val="22"/>
          <w:lang w:eastAsia="en-NZ"/>
        </w:rPr>
        <w:t xml:space="preserve"> such as construction of bridges, roads, utilit</w:t>
      </w:r>
      <w:r w:rsidR="00416B81">
        <w:rPr>
          <w:rFonts w:cs="Arial"/>
          <w:sz w:val="22"/>
          <w:szCs w:val="22"/>
          <w:lang w:eastAsia="en-NZ"/>
        </w:rPr>
        <w:t>y-</w:t>
      </w:r>
      <w:r w:rsidR="00657BC2">
        <w:rPr>
          <w:rFonts w:cs="Arial"/>
          <w:sz w:val="22"/>
          <w:szCs w:val="22"/>
          <w:lang w:eastAsia="en-NZ"/>
        </w:rPr>
        <w:t xml:space="preserve">related infrastructures and other public </w:t>
      </w:r>
      <w:r w:rsidR="007B23CB">
        <w:rPr>
          <w:rFonts w:cs="Arial"/>
          <w:sz w:val="22"/>
          <w:szCs w:val="22"/>
          <w:lang w:eastAsia="en-NZ"/>
        </w:rPr>
        <w:t xml:space="preserve">amenity </w:t>
      </w:r>
      <w:r w:rsidR="00FF7CCE">
        <w:rPr>
          <w:rFonts w:cs="Arial"/>
          <w:sz w:val="22"/>
          <w:szCs w:val="22"/>
          <w:lang w:eastAsia="en-NZ"/>
        </w:rPr>
        <w:t>facilities</w:t>
      </w:r>
      <w:r w:rsidR="00EC5BF8" w:rsidRPr="00F05BED">
        <w:rPr>
          <w:rFonts w:cs="Arial"/>
          <w:sz w:val="22"/>
          <w:szCs w:val="22"/>
          <w:lang w:eastAsia="en-NZ"/>
        </w:rPr>
        <w:t>.</w:t>
      </w:r>
      <w:r w:rsidR="00657BC2">
        <w:rPr>
          <w:rFonts w:cs="Arial"/>
          <w:sz w:val="22"/>
          <w:szCs w:val="22"/>
          <w:lang w:eastAsia="en-NZ"/>
        </w:rPr>
        <w:t xml:space="preserve"> Therefore, we cannot </w:t>
      </w:r>
      <w:r w:rsidR="00DD3FAA">
        <w:rPr>
          <w:rFonts w:cs="Arial"/>
          <w:sz w:val="22"/>
          <w:szCs w:val="22"/>
          <w:lang w:eastAsia="en-NZ"/>
        </w:rPr>
        <w:t xml:space="preserve">clearly </w:t>
      </w:r>
      <w:r w:rsidR="00657BC2">
        <w:rPr>
          <w:rFonts w:cs="Arial"/>
          <w:sz w:val="22"/>
          <w:szCs w:val="22"/>
          <w:lang w:eastAsia="en-NZ"/>
        </w:rPr>
        <w:t xml:space="preserve">conclude whether the level of productivity for the road construction industry has </w:t>
      </w:r>
      <w:r w:rsidR="00DD3FAA">
        <w:rPr>
          <w:rFonts w:cs="Arial"/>
          <w:sz w:val="22"/>
          <w:szCs w:val="22"/>
          <w:lang w:eastAsia="en-NZ"/>
        </w:rPr>
        <w:t>improved or fallen</w:t>
      </w:r>
      <w:r w:rsidR="00657BC2">
        <w:rPr>
          <w:rFonts w:cs="Arial"/>
          <w:sz w:val="22"/>
          <w:szCs w:val="22"/>
          <w:lang w:eastAsia="en-NZ"/>
        </w:rPr>
        <w:t>.</w:t>
      </w:r>
    </w:p>
    <w:p w:rsidR="00F11318" w:rsidRPr="00F05BED" w:rsidRDefault="00F11318" w:rsidP="00F05BED">
      <w:pPr>
        <w:autoSpaceDE w:val="0"/>
        <w:autoSpaceDN w:val="0"/>
        <w:adjustRightInd w:val="0"/>
        <w:spacing w:line="320" w:lineRule="atLeast"/>
        <w:rPr>
          <w:rFonts w:cs="Arial"/>
          <w:sz w:val="22"/>
          <w:szCs w:val="22"/>
          <w:lang w:eastAsia="en-NZ"/>
        </w:rPr>
      </w:pPr>
    </w:p>
    <w:p w:rsidR="003918AF" w:rsidRPr="00D73A09" w:rsidRDefault="00D73A09" w:rsidP="00DA6B17">
      <w:pPr>
        <w:pStyle w:val="ListParagraph"/>
        <w:numPr>
          <w:ilvl w:val="2"/>
          <w:numId w:val="3"/>
        </w:numPr>
        <w:autoSpaceDE w:val="0"/>
        <w:autoSpaceDN w:val="0"/>
        <w:adjustRightInd w:val="0"/>
        <w:spacing w:line="320" w:lineRule="atLeast"/>
        <w:rPr>
          <w:rFonts w:cs="Arial"/>
          <w:i/>
          <w:sz w:val="22"/>
          <w:szCs w:val="22"/>
          <w:u w:val="single"/>
          <w:lang w:eastAsia="en-NZ"/>
        </w:rPr>
      </w:pPr>
      <w:r>
        <w:rPr>
          <w:rFonts w:cs="Arial"/>
          <w:i/>
          <w:sz w:val="22"/>
          <w:szCs w:val="22"/>
          <w:u w:val="single"/>
          <w:lang w:eastAsia="en-NZ"/>
        </w:rPr>
        <w:t>Productivity changes by input type</w:t>
      </w:r>
    </w:p>
    <w:p w:rsidR="00F05BED" w:rsidRPr="00F05BED" w:rsidRDefault="00352768" w:rsidP="00F05BED">
      <w:pPr>
        <w:autoSpaceDE w:val="0"/>
        <w:autoSpaceDN w:val="0"/>
        <w:adjustRightInd w:val="0"/>
        <w:spacing w:line="320" w:lineRule="atLeast"/>
        <w:rPr>
          <w:rFonts w:cs="Arial"/>
          <w:sz w:val="22"/>
          <w:szCs w:val="22"/>
          <w:lang w:eastAsia="en-NZ"/>
        </w:rPr>
      </w:pPr>
      <w:r w:rsidRPr="00F05BED">
        <w:rPr>
          <w:rFonts w:cs="Arial"/>
          <w:sz w:val="22"/>
          <w:szCs w:val="22"/>
          <w:lang w:eastAsia="en-NZ"/>
        </w:rPr>
        <w:t>Analysis of contribut</w:t>
      </w:r>
      <w:r w:rsidR="006666B0" w:rsidRPr="00F05BED">
        <w:rPr>
          <w:rFonts w:cs="Arial"/>
          <w:sz w:val="22"/>
          <w:szCs w:val="22"/>
          <w:lang w:eastAsia="en-NZ"/>
        </w:rPr>
        <w:t>ions</w:t>
      </w:r>
      <w:r w:rsidRPr="00F05BED">
        <w:rPr>
          <w:rFonts w:cs="Arial"/>
          <w:sz w:val="22"/>
          <w:szCs w:val="22"/>
          <w:lang w:eastAsia="en-NZ"/>
        </w:rPr>
        <w:t xml:space="preserve"> </w:t>
      </w:r>
      <w:r w:rsidR="006666B0" w:rsidRPr="00F05BED">
        <w:rPr>
          <w:rFonts w:cs="Arial"/>
          <w:sz w:val="22"/>
          <w:szCs w:val="22"/>
          <w:lang w:eastAsia="en-NZ"/>
        </w:rPr>
        <w:t xml:space="preserve">of </w:t>
      </w:r>
      <w:r w:rsidR="007B701A" w:rsidRPr="00F05BED">
        <w:rPr>
          <w:rFonts w:cs="Arial"/>
          <w:sz w:val="22"/>
          <w:szCs w:val="22"/>
          <w:lang w:eastAsia="en-NZ"/>
        </w:rPr>
        <w:t xml:space="preserve">productivity </w:t>
      </w:r>
      <w:r w:rsidR="006666B0" w:rsidRPr="00F05BED">
        <w:rPr>
          <w:rFonts w:cs="Arial"/>
          <w:sz w:val="22"/>
          <w:szCs w:val="22"/>
          <w:lang w:eastAsia="en-NZ"/>
        </w:rPr>
        <w:t xml:space="preserve">change </w:t>
      </w:r>
      <w:r w:rsidR="005A7396" w:rsidRPr="00F05BED">
        <w:rPr>
          <w:rFonts w:cs="Arial"/>
          <w:sz w:val="22"/>
          <w:szCs w:val="22"/>
          <w:lang w:eastAsia="en-NZ"/>
        </w:rPr>
        <w:t xml:space="preserve">by individual input </w:t>
      </w:r>
      <w:r w:rsidR="006666B0" w:rsidRPr="00F05BED">
        <w:rPr>
          <w:rFonts w:cs="Arial"/>
          <w:sz w:val="22"/>
          <w:szCs w:val="22"/>
          <w:lang w:eastAsia="en-NZ"/>
        </w:rPr>
        <w:t xml:space="preserve">is based on </w:t>
      </w:r>
      <w:r w:rsidR="007B701A" w:rsidRPr="00F05BED">
        <w:rPr>
          <w:rFonts w:cs="Arial"/>
          <w:sz w:val="22"/>
          <w:szCs w:val="22"/>
          <w:lang w:eastAsia="en-NZ"/>
        </w:rPr>
        <w:t>the method</w:t>
      </w:r>
      <w:r w:rsidR="002216FE" w:rsidRPr="00F05BED">
        <w:rPr>
          <w:rFonts w:cs="Arial"/>
          <w:sz w:val="22"/>
          <w:szCs w:val="22"/>
          <w:lang w:eastAsia="en-NZ"/>
        </w:rPr>
        <w:t xml:space="preserve"> discussed </w:t>
      </w:r>
      <w:r w:rsidR="007B701A" w:rsidRPr="00F05BED">
        <w:rPr>
          <w:rFonts w:cs="Arial"/>
          <w:sz w:val="22"/>
          <w:szCs w:val="22"/>
          <w:lang w:eastAsia="en-NZ"/>
        </w:rPr>
        <w:t>by Miller &amp; Blair (2009)</w:t>
      </w:r>
      <w:r w:rsidR="00DD3FAA">
        <w:rPr>
          <w:rStyle w:val="FootnoteReference"/>
          <w:rFonts w:cs="Arial"/>
          <w:sz w:val="22"/>
          <w:szCs w:val="22"/>
          <w:lang w:eastAsia="en-NZ"/>
        </w:rPr>
        <w:footnoteReference w:id="4"/>
      </w:r>
      <w:r w:rsidR="007242DE">
        <w:rPr>
          <w:rFonts w:cs="Arial"/>
          <w:sz w:val="22"/>
          <w:szCs w:val="22"/>
          <w:lang w:eastAsia="en-NZ"/>
        </w:rPr>
        <w:t>.</w:t>
      </w:r>
    </w:p>
    <w:p w:rsidR="00F05BED" w:rsidRPr="00F05BED" w:rsidRDefault="00F05BED" w:rsidP="00F05BED">
      <w:pPr>
        <w:autoSpaceDE w:val="0"/>
        <w:autoSpaceDN w:val="0"/>
        <w:adjustRightInd w:val="0"/>
        <w:spacing w:line="320" w:lineRule="atLeast"/>
        <w:rPr>
          <w:rFonts w:cs="Arial"/>
          <w:sz w:val="22"/>
          <w:szCs w:val="22"/>
          <w:lang w:eastAsia="en-NZ"/>
        </w:rPr>
      </w:pPr>
    </w:p>
    <w:p w:rsidR="003361C6" w:rsidRPr="00F05BED" w:rsidRDefault="006666B0" w:rsidP="00F05BED">
      <w:pPr>
        <w:autoSpaceDE w:val="0"/>
        <w:autoSpaceDN w:val="0"/>
        <w:adjustRightInd w:val="0"/>
        <w:spacing w:line="320" w:lineRule="atLeast"/>
        <w:rPr>
          <w:rFonts w:cs="Arial"/>
          <w:sz w:val="22"/>
          <w:szCs w:val="22"/>
          <w:lang w:eastAsia="en-NZ"/>
        </w:rPr>
      </w:pPr>
      <w:r w:rsidRPr="00F05BED">
        <w:rPr>
          <w:rFonts w:cs="Arial"/>
          <w:sz w:val="22"/>
          <w:szCs w:val="22"/>
          <w:lang w:eastAsia="en-NZ"/>
        </w:rPr>
        <w:t xml:space="preserve">For the </w:t>
      </w:r>
      <w:r w:rsidR="005428D8">
        <w:rPr>
          <w:rFonts w:cs="Arial"/>
          <w:sz w:val="22"/>
          <w:szCs w:val="22"/>
          <w:lang w:eastAsia="en-NZ"/>
        </w:rPr>
        <w:t>transport industry</w:t>
      </w:r>
      <w:r w:rsidRPr="00F05BED">
        <w:rPr>
          <w:rFonts w:cs="Arial"/>
          <w:sz w:val="22"/>
          <w:szCs w:val="22"/>
          <w:lang w:eastAsia="en-NZ"/>
        </w:rPr>
        <w:t xml:space="preserve"> as a whole</w:t>
      </w:r>
      <w:r w:rsidR="003361C6" w:rsidRPr="00F05BED">
        <w:rPr>
          <w:rFonts w:cs="Arial"/>
          <w:sz w:val="22"/>
          <w:szCs w:val="22"/>
          <w:lang w:eastAsia="en-NZ"/>
        </w:rPr>
        <w:t>, the main source of productivity gain</w:t>
      </w:r>
      <w:r w:rsidR="00C51CD1" w:rsidRPr="00F05BED">
        <w:rPr>
          <w:rFonts w:cs="Arial"/>
          <w:sz w:val="22"/>
          <w:szCs w:val="22"/>
          <w:lang w:eastAsia="en-NZ"/>
        </w:rPr>
        <w:t>s</w:t>
      </w:r>
      <w:r w:rsidR="003361C6" w:rsidRPr="00F05BED">
        <w:rPr>
          <w:rFonts w:cs="Arial"/>
          <w:sz w:val="22"/>
          <w:szCs w:val="22"/>
          <w:lang w:eastAsia="en-NZ"/>
        </w:rPr>
        <w:t xml:space="preserve"> </w:t>
      </w:r>
      <w:r w:rsidRPr="00F05BED">
        <w:rPr>
          <w:rFonts w:cs="Arial"/>
          <w:sz w:val="22"/>
          <w:szCs w:val="22"/>
          <w:lang w:eastAsia="en-NZ"/>
        </w:rPr>
        <w:t>from</w:t>
      </w:r>
      <w:r w:rsidR="002A156C" w:rsidRPr="00F05BED">
        <w:rPr>
          <w:rFonts w:cs="Arial"/>
          <w:sz w:val="22"/>
          <w:szCs w:val="22"/>
          <w:lang w:eastAsia="en-NZ"/>
        </w:rPr>
        <w:t xml:space="preserve"> 1996</w:t>
      </w:r>
      <w:r w:rsidRPr="00F05BED">
        <w:rPr>
          <w:rFonts w:cs="Arial"/>
          <w:sz w:val="22"/>
          <w:szCs w:val="22"/>
          <w:lang w:eastAsia="en-NZ"/>
        </w:rPr>
        <w:t xml:space="preserve"> to </w:t>
      </w:r>
      <w:r w:rsidR="002A156C" w:rsidRPr="00F05BED">
        <w:rPr>
          <w:rFonts w:cs="Arial"/>
          <w:sz w:val="22"/>
          <w:szCs w:val="22"/>
          <w:lang w:eastAsia="en-NZ"/>
        </w:rPr>
        <w:t xml:space="preserve">2003 had been </w:t>
      </w:r>
      <w:r w:rsidRPr="00F05BED">
        <w:rPr>
          <w:rFonts w:cs="Arial"/>
          <w:sz w:val="22"/>
          <w:szCs w:val="22"/>
          <w:lang w:eastAsia="en-NZ"/>
        </w:rPr>
        <w:t xml:space="preserve">due to more </w:t>
      </w:r>
      <w:r w:rsidR="002A156C" w:rsidRPr="00F05BED">
        <w:rPr>
          <w:rFonts w:cs="Arial"/>
          <w:sz w:val="22"/>
          <w:szCs w:val="22"/>
          <w:lang w:eastAsia="en-NZ"/>
        </w:rPr>
        <w:t xml:space="preserve">efficient use of labour inputs (see Figure </w:t>
      </w:r>
      <w:r w:rsidR="005D7778" w:rsidRPr="00F05BED">
        <w:rPr>
          <w:rFonts w:cs="Arial"/>
          <w:sz w:val="22"/>
          <w:szCs w:val="22"/>
          <w:lang w:eastAsia="en-NZ"/>
        </w:rPr>
        <w:t>3</w:t>
      </w:r>
      <w:r w:rsidR="00C023AE" w:rsidRPr="00F05BED">
        <w:rPr>
          <w:rFonts w:cs="Arial"/>
          <w:sz w:val="22"/>
          <w:szCs w:val="22"/>
          <w:lang w:eastAsia="en-NZ"/>
        </w:rPr>
        <w:t>a</w:t>
      </w:r>
      <w:r w:rsidR="002A156C" w:rsidRPr="00F05BED">
        <w:rPr>
          <w:rFonts w:cs="Arial"/>
          <w:sz w:val="22"/>
          <w:szCs w:val="22"/>
          <w:lang w:eastAsia="en-NZ"/>
        </w:rPr>
        <w:t>).</w:t>
      </w:r>
      <w:r w:rsidR="006D24F0" w:rsidRPr="00F05BED">
        <w:rPr>
          <w:rFonts w:cs="Arial"/>
          <w:sz w:val="22"/>
          <w:szCs w:val="22"/>
          <w:lang w:eastAsia="en-NZ"/>
        </w:rPr>
        <w:t xml:space="preserve"> </w:t>
      </w:r>
      <w:r w:rsidRPr="00F05BED">
        <w:rPr>
          <w:rFonts w:cs="Arial"/>
          <w:sz w:val="22"/>
          <w:szCs w:val="22"/>
          <w:lang w:eastAsia="en-NZ"/>
        </w:rPr>
        <w:t xml:space="preserve">For </w:t>
      </w:r>
      <w:r w:rsidR="006D24F0" w:rsidRPr="00F05BED">
        <w:rPr>
          <w:rFonts w:cs="Arial"/>
          <w:sz w:val="22"/>
          <w:szCs w:val="22"/>
          <w:lang w:eastAsia="en-NZ"/>
        </w:rPr>
        <w:t xml:space="preserve">the period </w:t>
      </w:r>
      <w:r w:rsidRPr="00F05BED">
        <w:rPr>
          <w:rFonts w:cs="Arial"/>
          <w:sz w:val="22"/>
          <w:szCs w:val="22"/>
          <w:lang w:eastAsia="en-NZ"/>
        </w:rPr>
        <w:t xml:space="preserve">from </w:t>
      </w:r>
      <w:r w:rsidR="006D24F0" w:rsidRPr="00F05BED">
        <w:rPr>
          <w:rFonts w:cs="Arial"/>
          <w:sz w:val="22"/>
          <w:szCs w:val="22"/>
          <w:lang w:eastAsia="en-NZ"/>
        </w:rPr>
        <w:t>2003</w:t>
      </w:r>
      <w:r w:rsidRPr="00F05BED">
        <w:rPr>
          <w:rFonts w:cs="Arial"/>
          <w:sz w:val="22"/>
          <w:szCs w:val="22"/>
          <w:lang w:eastAsia="en-NZ"/>
        </w:rPr>
        <w:t xml:space="preserve"> to </w:t>
      </w:r>
      <w:r w:rsidR="006D24F0" w:rsidRPr="00F05BED">
        <w:rPr>
          <w:rFonts w:cs="Arial"/>
          <w:sz w:val="22"/>
          <w:szCs w:val="22"/>
          <w:lang w:eastAsia="en-NZ"/>
        </w:rPr>
        <w:t xml:space="preserve">2007, both labour and capital inputs had been efficiently used, but </w:t>
      </w:r>
      <w:r w:rsidRPr="00F05BED">
        <w:rPr>
          <w:rFonts w:cs="Arial"/>
          <w:sz w:val="22"/>
          <w:szCs w:val="22"/>
          <w:lang w:eastAsia="en-NZ"/>
        </w:rPr>
        <w:t xml:space="preserve">the </w:t>
      </w:r>
      <w:r w:rsidR="006D24F0" w:rsidRPr="00F05BED">
        <w:rPr>
          <w:rFonts w:cs="Arial"/>
          <w:sz w:val="22"/>
          <w:szCs w:val="22"/>
          <w:lang w:eastAsia="en-NZ"/>
        </w:rPr>
        <w:t xml:space="preserve">efficiency in </w:t>
      </w:r>
      <w:r w:rsidRPr="00F05BED">
        <w:rPr>
          <w:rFonts w:cs="Arial"/>
          <w:sz w:val="22"/>
          <w:szCs w:val="22"/>
          <w:lang w:eastAsia="en-NZ"/>
        </w:rPr>
        <w:t xml:space="preserve">the </w:t>
      </w:r>
      <w:r w:rsidR="006D24F0" w:rsidRPr="00F05BED">
        <w:rPr>
          <w:rFonts w:cs="Arial"/>
          <w:sz w:val="22"/>
          <w:szCs w:val="22"/>
          <w:lang w:eastAsia="en-NZ"/>
        </w:rPr>
        <w:t xml:space="preserve">use of capital inputs </w:t>
      </w:r>
      <w:r w:rsidRPr="00F05BED">
        <w:rPr>
          <w:rFonts w:cs="Arial"/>
          <w:sz w:val="22"/>
          <w:szCs w:val="22"/>
          <w:lang w:eastAsia="en-NZ"/>
        </w:rPr>
        <w:t xml:space="preserve">was higher </w:t>
      </w:r>
      <w:r w:rsidR="006D24F0" w:rsidRPr="00F05BED">
        <w:rPr>
          <w:rFonts w:cs="Arial"/>
          <w:sz w:val="22"/>
          <w:szCs w:val="22"/>
          <w:lang w:eastAsia="en-NZ"/>
        </w:rPr>
        <w:t>(see Figure 3b).</w:t>
      </w:r>
    </w:p>
    <w:p w:rsidR="006A14F2" w:rsidRPr="00F05BED" w:rsidRDefault="006A14F2" w:rsidP="00F05BED">
      <w:pPr>
        <w:autoSpaceDE w:val="0"/>
        <w:autoSpaceDN w:val="0"/>
        <w:adjustRightInd w:val="0"/>
        <w:spacing w:line="320" w:lineRule="atLeast"/>
        <w:rPr>
          <w:rFonts w:cs="Arial"/>
          <w:sz w:val="22"/>
          <w:szCs w:val="22"/>
          <w:lang w:eastAsia="en-NZ"/>
        </w:rPr>
      </w:pPr>
    </w:p>
    <w:p w:rsidR="005F70C3" w:rsidRDefault="005F70C3">
      <w:pPr>
        <w:rPr>
          <w:rFonts w:cs="Arial"/>
          <w:b/>
          <w:sz w:val="22"/>
          <w:szCs w:val="22"/>
          <w:lang w:eastAsia="en-NZ"/>
        </w:rPr>
      </w:pPr>
      <w:r>
        <w:rPr>
          <w:rFonts w:cs="Arial"/>
          <w:b/>
          <w:sz w:val="22"/>
          <w:szCs w:val="22"/>
          <w:lang w:eastAsia="en-NZ"/>
        </w:rPr>
        <w:br w:type="page"/>
      </w:r>
    </w:p>
    <w:p w:rsidR="00574BF6" w:rsidRPr="00F05BED" w:rsidRDefault="00574BF6" w:rsidP="00574BF6">
      <w:pPr>
        <w:autoSpaceDE w:val="0"/>
        <w:autoSpaceDN w:val="0"/>
        <w:adjustRightInd w:val="0"/>
        <w:spacing w:line="320" w:lineRule="atLeast"/>
        <w:rPr>
          <w:rFonts w:cs="Arial"/>
          <w:b/>
          <w:sz w:val="22"/>
          <w:szCs w:val="22"/>
          <w:lang w:eastAsia="en-NZ"/>
        </w:rPr>
      </w:pPr>
      <w:r w:rsidRPr="00F05BED">
        <w:rPr>
          <w:rFonts w:cs="Arial"/>
          <w:b/>
          <w:sz w:val="22"/>
          <w:szCs w:val="22"/>
          <w:lang w:eastAsia="en-NZ"/>
        </w:rPr>
        <w:lastRenderedPageBreak/>
        <w:t xml:space="preserve">Figure 3 Productivity </w:t>
      </w:r>
      <w:r>
        <w:rPr>
          <w:rFonts w:cs="Arial"/>
          <w:b/>
          <w:sz w:val="22"/>
          <w:szCs w:val="22"/>
          <w:lang w:eastAsia="en-NZ"/>
        </w:rPr>
        <w:t xml:space="preserve">changes by input type </w:t>
      </w:r>
      <w:r w:rsidRPr="00F05BED">
        <w:rPr>
          <w:rFonts w:cs="Arial"/>
          <w:b/>
          <w:sz w:val="22"/>
          <w:szCs w:val="22"/>
          <w:lang w:eastAsia="en-NZ"/>
        </w:rPr>
        <w:t>– all transport services</w:t>
      </w:r>
      <w:r>
        <w:rPr>
          <w:rFonts w:cs="Arial"/>
          <w:b/>
          <w:sz w:val="22"/>
          <w:szCs w:val="22"/>
          <w:lang w:eastAsia="en-NZ"/>
        </w:rPr>
        <w:t xml:space="preserve"> (2003 to 2007)</w:t>
      </w:r>
    </w:p>
    <w:p w:rsidR="00574BF6" w:rsidRPr="00F05BED" w:rsidRDefault="00574BF6" w:rsidP="00574BF6">
      <w:pPr>
        <w:autoSpaceDE w:val="0"/>
        <w:autoSpaceDN w:val="0"/>
        <w:adjustRightInd w:val="0"/>
        <w:spacing w:line="320" w:lineRule="atLeast"/>
        <w:ind w:left="1440" w:firstLine="720"/>
        <w:rPr>
          <w:rFonts w:cs="Arial"/>
          <w:sz w:val="22"/>
          <w:szCs w:val="22"/>
          <w:lang w:eastAsia="en-NZ"/>
        </w:rPr>
      </w:pPr>
      <w:r w:rsidRPr="00F05BED">
        <w:rPr>
          <w:rFonts w:cs="Arial"/>
          <w:sz w:val="22"/>
          <w:szCs w:val="22"/>
          <w:lang w:eastAsia="en-NZ"/>
        </w:rPr>
        <w:t xml:space="preserve">(a) </w:t>
      </w:r>
      <w:r w:rsidRPr="00F05BED">
        <w:rPr>
          <w:rFonts w:cs="Arial"/>
          <w:sz w:val="22"/>
          <w:szCs w:val="22"/>
          <w:lang w:eastAsia="en-NZ"/>
        </w:rPr>
        <w:tab/>
      </w:r>
      <w:r w:rsidRPr="00F05BED">
        <w:rPr>
          <w:rFonts w:cs="Arial"/>
          <w:sz w:val="22"/>
          <w:szCs w:val="22"/>
          <w:lang w:eastAsia="en-NZ"/>
        </w:rPr>
        <w:tab/>
      </w:r>
      <w:r w:rsidRPr="00F05BED">
        <w:rPr>
          <w:rFonts w:cs="Arial"/>
          <w:sz w:val="22"/>
          <w:szCs w:val="22"/>
          <w:lang w:eastAsia="en-NZ"/>
        </w:rPr>
        <w:tab/>
      </w:r>
      <w:r w:rsidRPr="00F05BED">
        <w:rPr>
          <w:rFonts w:cs="Arial"/>
          <w:sz w:val="22"/>
          <w:szCs w:val="22"/>
          <w:lang w:eastAsia="en-NZ"/>
        </w:rPr>
        <w:tab/>
      </w:r>
      <w:r w:rsidRPr="00F05BED">
        <w:rPr>
          <w:rFonts w:cs="Arial"/>
          <w:sz w:val="22"/>
          <w:szCs w:val="22"/>
          <w:lang w:eastAsia="en-NZ"/>
        </w:rPr>
        <w:tab/>
        <w:t>(</w:t>
      </w:r>
      <w:proofErr w:type="gramStart"/>
      <w:r w:rsidRPr="00F05BED">
        <w:rPr>
          <w:rFonts w:cs="Arial"/>
          <w:sz w:val="22"/>
          <w:szCs w:val="22"/>
          <w:lang w:eastAsia="en-NZ"/>
        </w:rPr>
        <w:t>b</w:t>
      </w:r>
      <w:proofErr w:type="gramEnd"/>
      <w:r w:rsidRPr="00F05BED">
        <w:rPr>
          <w:rFonts w:cs="Arial"/>
          <w:sz w:val="22"/>
          <w:szCs w:val="22"/>
          <w:lang w:eastAsia="en-NZ"/>
        </w:rPr>
        <w:t>)</w:t>
      </w:r>
    </w:p>
    <w:p w:rsidR="00574BF6" w:rsidRPr="00F05BED" w:rsidRDefault="007B1C74" w:rsidP="00574BF6">
      <w:pPr>
        <w:autoSpaceDE w:val="0"/>
        <w:autoSpaceDN w:val="0"/>
        <w:adjustRightInd w:val="0"/>
        <w:spacing w:line="320" w:lineRule="atLeast"/>
        <w:rPr>
          <w:rFonts w:cs="Arial"/>
          <w:sz w:val="22"/>
          <w:szCs w:val="22"/>
          <w:lang w:eastAsia="en-NZ"/>
        </w:rPr>
      </w:pPr>
      <w:r w:rsidRPr="007B1C74">
        <w:rPr>
          <w:noProof/>
          <w:szCs w:val="22"/>
          <w:lang w:eastAsia="en-NZ"/>
        </w:rPr>
        <w:drawing>
          <wp:inline distT="0" distB="0" distL="0" distR="0">
            <wp:extent cx="2590683" cy="2268000"/>
            <wp:effectExtent l="19050" t="0" r="117"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590683" cy="2268000"/>
                    </a:xfrm>
                    <a:prstGeom prst="rect">
                      <a:avLst/>
                    </a:prstGeom>
                    <a:noFill/>
                    <a:ln w="9525">
                      <a:noFill/>
                      <a:miter lim="800000"/>
                      <a:headEnd/>
                      <a:tailEnd/>
                    </a:ln>
                  </pic:spPr>
                </pic:pic>
              </a:graphicData>
            </a:graphic>
          </wp:inline>
        </w:drawing>
      </w:r>
      <w:r w:rsidRPr="007B1C74">
        <w:rPr>
          <w:rFonts w:cs="Arial"/>
          <w:sz w:val="22"/>
          <w:szCs w:val="22"/>
          <w:lang w:eastAsia="en-NZ"/>
        </w:rPr>
        <w:t xml:space="preserve"> </w:t>
      </w:r>
      <w:r w:rsidRPr="007B1C74">
        <w:rPr>
          <w:noProof/>
          <w:szCs w:val="22"/>
          <w:lang w:eastAsia="en-NZ"/>
        </w:rPr>
        <w:drawing>
          <wp:inline distT="0" distB="0" distL="0" distR="0">
            <wp:extent cx="2590683" cy="2268000"/>
            <wp:effectExtent l="19050" t="0" r="117"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590683" cy="2268000"/>
                    </a:xfrm>
                    <a:prstGeom prst="rect">
                      <a:avLst/>
                    </a:prstGeom>
                    <a:noFill/>
                    <a:ln w="9525">
                      <a:noFill/>
                      <a:miter lim="800000"/>
                      <a:headEnd/>
                      <a:tailEnd/>
                    </a:ln>
                  </pic:spPr>
                </pic:pic>
              </a:graphicData>
            </a:graphic>
          </wp:inline>
        </w:drawing>
      </w:r>
    </w:p>
    <w:p w:rsidR="00574BF6" w:rsidRDefault="00574BF6" w:rsidP="00574BF6">
      <w:pPr>
        <w:autoSpaceDE w:val="0"/>
        <w:autoSpaceDN w:val="0"/>
        <w:adjustRightInd w:val="0"/>
        <w:spacing w:line="320" w:lineRule="atLeast"/>
        <w:rPr>
          <w:rFonts w:cs="Arial"/>
          <w:sz w:val="22"/>
          <w:szCs w:val="22"/>
          <w:lang w:eastAsia="en-NZ"/>
        </w:rPr>
      </w:pPr>
    </w:p>
    <w:p w:rsidR="007B701A" w:rsidRPr="00F05BED" w:rsidRDefault="00C56AB4" w:rsidP="00F05BED">
      <w:pPr>
        <w:autoSpaceDE w:val="0"/>
        <w:autoSpaceDN w:val="0"/>
        <w:adjustRightInd w:val="0"/>
        <w:spacing w:line="320" w:lineRule="atLeast"/>
        <w:rPr>
          <w:rFonts w:cs="Arial"/>
          <w:b/>
          <w:sz w:val="22"/>
          <w:szCs w:val="22"/>
          <w:lang w:eastAsia="en-NZ"/>
        </w:rPr>
      </w:pPr>
      <w:r w:rsidRPr="00F05BED">
        <w:rPr>
          <w:rFonts w:cs="Arial"/>
          <w:b/>
          <w:sz w:val="22"/>
          <w:szCs w:val="22"/>
          <w:lang w:eastAsia="en-NZ"/>
        </w:rPr>
        <w:t xml:space="preserve">Figure </w:t>
      </w:r>
      <w:r w:rsidR="005D7778" w:rsidRPr="00F05BED">
        <w:rPr>
          <w:rFonts w:cs="Arial"/>
          <w:b/>
          <w:sz w:val="22"/>
          <w:szCs w:val="22"/>
          <w:lang w:eastAsia="en-NZ"/>
        </w:rPr>
        <w:t>4</w:t>
      </w:r>
      <w:r w:rsidRPr="00F05BED">
        <w:rPr>
          <w:rFonts w:cs="Arial"/>
          <w:b/>
          <w:sz w:val="22"/>
          <w:szCs w:val="22"/>
          <w:lang w:eastAsia="en-NZ"/>
        </w:rPr>
        <w:t xml:space="preserve"> Productivity </w:t>
      </w:r>
      <w:r w:rsidR="001719F6">
        <w:rPr>
          <w:rFonts w:cs="Arial"/>
          <w:b/>
          <w:sz w:val="22"/>
          <w:szCs w:val="22"/>
          <w:lang w:eastAsia="en-NZ"/>
        </w:rPr>
        <w:t xml:space="preserve">changes by input type </w:t>
      </w:r>
      <w:r w:rsidR="00C92BC0" w:rsidRPr="00F05BED">
        <w:rPr>
          <w:rFonts w:cs="Arial"/>
          <w:b/>
          <w:sz w:val="22"/>
          <w:szCs w:val="22"/>
          <w:lang w:eastAsia="en-NZ"/>
        </w:rPr>
        <w:t>– transport sub-</w:t>
      </w:r>
      <w:r w:rsidR="007B23CB">
        <w:rPr>
          <w:rFonts w:cs="Arial"/>
          <w:b/>
          <w:sz w:val="22"/>
          <w:szCs w:val="22"/>
          <w:lang w:eastAsia="en-NZ"/>
        </w:rPr>
        <w:t>groups</w:t>
      </w:r>
      <w:r w:rsidR="00C92BC0" w:rsidRPr="00F05BED">
        <w:rPr>
          <w:rFonts w:cs="Arial"/>
          <w:b/>
          <w:sz w:val="22"/>
          <w:szCs w:val="22"/>
          <w:lang w:eastAsia="en-NZ"/>
        </w:rPr>
        <w:t xml:space="preserve"> (2003-2007)</w:t>
      </w:r>
    </w:p>
    <w:p w:rsidR="00872070" w:rsidRPr="00F05BED" w:rsidRDefault="007B1C74" w:rsidP="00542D2F">
      <w:pPr>
        <w:autoSpaceDE w:val="0"/>
        <w:autoSpaceDN w:val="0"/>
        <w:adjustRightInd w:val="0"/>
        <w:spacing w:line="320" w:lineRule="atLeast"/>
        <w:jc w:val="center"/>
        <w:rPr>
          <w:rFonts w:cs="Arial"/>
          <w:sz w:val="22"/>
          <w:szCs w:val="22"/>
          <w:lang w:eastAsia="en-NZ"/>
        </w:rPr>
      </w:pPr>
      <w:r w:rsidRPr="007B1C74">
        <w:rPr>
          <w:noProof/>
          <w:szCs w:val="22"/>
          <w:lang w:eastAsia="en-NZ"/>
        </w:rPr>
        <w:drawing>
          <wp:inline distT="0" distB="0" distL="0" distR="0">
            <wp:extent cx="3476667" cy="2520000"/>
            <wp:effectExtent l="19050" t="0" r="9483"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476667" cy="2520000"/>
                    </a:xfrm>
                    <a:prstGeom prst="rect">
                      <a:avLst/>
                    </a:prstGeom>
                    <a:noFill/>
                    <a:ln w="9525">
                      <a:noFill/>
                      <a:miter lim="800000"/>
                      <a:headEnd/>
                      <a:tailEnd/>
                    </a:ln>
                  </pic:spPr>
                </pic:pic>
              </a:graphicData>
            </a:graphic>
          </wp:inline>
        </w:drawing>
      </w:r>
    </w:p>
    <w:p w:rsidR="00D73A09" w:rsidRDefault="00D73A09" w:rsidP="00D73A09">
      <w:pPr>
        <w:pStyle w:val="Default"/>
        <w:spacing w:line="320" w:lineRule="atLeast"/>
        <w:rPr>
          <w:rFonts w:cs="Arial"/>
          <w:b/>
          <w:i/>
          <w:sz w:val="22"/>
          <w:szCs w:val="22"/>
        </w:rPr>
      </w:pPr>
    </w:p>
    <w:p w:rsidR="006A0C0B" w:rsidRDefault="006A0C0B" w:rsidP="006A0C0B">
      <w:pPr>
        <w:autoSpaceDE w:val="0"/>
        <w:autoSpaceDN w:val="0"/>
        <w:adjustRightInd w:val="0"/>
        <w:spacing w:line="320" w:lineRule="atLeast"/>
        <w:rPr>
          <w:rFonts w:cs="Arial"/>
          <w:sz w:val="22"/>
          <w:szCs w:val="22"/>
          <w:lang w:eastAsia="en-NZ"/>
        </w:rPr>
      </w:pPr>
      <w:r w:rsidRPr="00F05BED">
        <w:rPr>
          <w:rFonts w:cs="Arial"/>
          <w:sz w:val="22"/>
          <w:szCs w:val="22"/>
          <w:lang w:eastAsia="en-NZ"/>
        </w:rPr>
        <w:t xml:space="preserve">Productivity gains from 2003 to 2007 mainly </w:t>
      </w:r>
      <w:r w:rsidR="00416B81" w:rsidRPr="00F05BED">
        <w:rPr>
          <w:rFonts w:cs="Arial"/>
          <w:sz w:val="22"/>
          <w:szCs w:val="22"/>
          <w:lang w:eastAsia="en-NZ"/>
        </w:rPr>
        <w:t>c</w:t>
      </w:r>
      <w:r w:rsidR="00416B81">
        <w:rPr>
          <w:rFonts w:cs="Arial"/>
          <w:sz w:val="22"/>
          <w:szCs w:val="22"/>
          <w:lang w:eastAsia="en-NZ"/>
        </w:rPr>
        <w:t>a</w:t>
      </w:r>
      <w:r w:rsidR="00416B81" w:rsidRPr="00F05BED">
        <w:rPr>
          <w:rFonts w:cs="Arial"/>
          <w:sz w:val="22"/>
          <w:szCs w:val="22"/>
          <w:lang w:eastAsia="en-NZ"/>
        </w:rPr>
        <w:t xml:space="preserve">me </w:t>
      </w:r>
      <w:r w:rsidRPr="00F05BED">
        <w:rPr>
          <w:rFonts w:cs="Arial"/>
          <w:sz w:val="22"/>
          <w:szCs w:val="22"/>
          <w:lang w:eastAsia="en-NZ"/>
        </w:rPr>
        <w:t xml:space="preserve">from better use of labour inputs in respect of </w:t>
      </w:r>
      <w:r w:rsidR="00416B81">
        <w:rPr>
          <w:rFonts w:cs="Arial"/>
          <w:sz w:val="22"/>
          <w:szCs w:val="22"/>
          <w:lang w:eastAsia="en-NZ"/>
        </w:rPr>
        <w:t>the ‘</w:t>
      </w:r>
      <w:r w:rsidRPr="00F05BED">
        <w:rPr>
          <w:rFonts w:cs="Arial"/>
          <w:sz w:val="22"/>
          <w:szCs w:val="22"/>
          <w:lang w:eastAsia="en-NZ"/>
        </w:rPr>
        <w:t xml:space="preserve">road and rail transport’ sub-group and ‘water and air transport’ sub-group (see Figure 4). On the other hand, productivity gains in </w:t>
      </w:r>
      <w:r w:rsidR="00416B81">
        <w:rPr>
          <w:rFonts w:cs="Arial"/>
          <w:sz w:val="22"/>
          <w:szCs w:val="22"/>
          <w:lang w:eastAsia="en-NZ"/>
        </w:rPr>
        <w:t xml:space="preserve">the </w:t>
      </w:r>
      <w:r w:rsidRPr="00F05BED">
        <w:rPr>
          <w:rFonts w:cs="Arial"/>
          <w:sz w:val="22"/>
          <w:szCs w:val="22"/>
          <w:lang w:eastAsia="en-NZ"/>
        </w:rPr>
        <w:t xml:space="preserve">‘services to transport’ sub-group is due to better use of intermediate and capital inputs. </w:t>
      </w:r>
    </w:p>
    <w:p w:rsidR="005F70C3" w:rsidRPr="00F05BED" w:rsidRDefault="005F70C3" w:rsidP="006A0C0B">
      <w:pPr>
        <w:autoSpaceDE w:val="0"/>
        <w:autoSpaceDN w:val="0"/>
        <w:adjustRightInd w:val="0"/>
        <w:spacing w:line="320" w:lineRule="atLeast"/>
        <w:rPr>
          <w:rFonts w:cs="Arial"/>
          <w:sz w:val="22"/>
          <w:szCs w:val="22"/>
          <w:lang w:eastAsia="en-NZ"/>
        </w:rPr>
      </w:pPr>
    </w:p>
    <w:p w:rsidR="002140E0" w:rsidRPr="00F05BED" w:rsidRDefault="005E0DC2" w:rsidP="00660939">
      <w:pPr>
        <w:pStyle w:val="Default"/>
        <w:numPr>
          <w:ilvl w:val="1"/>
          <w:numId w:val="3"/>
        </w:numPr>
        <w:spacing w:line="320" w:lineRule="atLeast"/>
        <w:ind w:left="567" w:hanging="567"/>
        <w:rPr>
          <w:rFonts w:cs="Arial"/>
          <w:b/>
          <w:i/>
          <w:sz w:val="22"/>
          <w:szCs w:val="22"/>
        </w:rPr>
      </w:pPr>
      <w:r w:rsidRPr="00F05BED">
        <w:rPr>
          <w:rFonts w:cs="Arial"/>
          <w:b/>
          <w:i/>
          <w:sz w:val="22"/>
          <w:szCs w:val="22"/>
        </w:rPr>
        <w:t xml:space="preserve">Limitations of the </w:t>
      </w:r>
      <w:r w:rsidR="00416B81">
        <w:rPr>
          <w:rFonts w:cs="Arial"/>
          <w:b/>
          <w:i/>
          <w:sz w:val="22"/>
          <w:szCs w:val="22"/>
        </w:rPr>
        <w:t>i</w:t>
      </w:r>
      <w:r w:rsidR="00416B81" w:rsidRPr="00F05BED">
        <w:rPr>
          <w:rFonts w:cs="Arial"/>
          <w:b/>
          <w:i/>
          <w:sz w:val="22"/>
          <w:szCs w:val="22"/>
        </w:rPr>
        <w:t>nput</w:t>
      </w:r>
      <w:r w:rsidR="004D3FE2" w:rsidRPr="00F05BED">
        <w:rPr>
          <w:rFonts w:cs="Arial"/>
          <w:b/>
          <w:i/>
          <w:sz w:val="22"/>
          <w:szCs w:val="22"/>
        </w:rPr>
        <w:t>-</w:t>
      </w:r>
      <w:r w:rsidR="00416B81">
        <w:rPr>
          <w:rFonts w:cs="Arial"/>
          <w:b/>
          <w:i/>
          <w:sz w:val="22"/>
          <w:szCs w:val="22"/>
        </w:rPr>
        <w:t>o</w:t>
      </w:r>
      <w:r w:rsidR="004D3FE2" w:rsidRPr="00F05BED">
        <w:rPr>
          <w:rFonts w:cs="Arial"/>
          <w:b/>
          <w:i/>
          <w:sz w:val="22"/>
          <w:szCs w:val="22"/>
        </w:rPr>
        <w:t>utput</w:t>
      </w:r>
      <w:r w:rsidR="00F65E89" w:rsidRPr="00F05BED">
        <w:rPr>
          <w:rFonts w:cs="Arial"/>
          <w:b/>
          <w:i/>
          <w:sz w:val="22"/>
          <w:szCs w:val="22"/>
        </w:rPr>
        <w:t xml:space="preserve"> analysis</w:t>
      </w:r>
    </w:p>
    <w:p w:rsidR="002140E0" w:rsidRPr="00F05BED" w:rsidRDefault="002140E0" w:rsidP="00F05BED">
      <w:pPr>
        <w:autoSpaceDE w:val="0"/>
        <w:autoSpaceDN w:val="0"/>
        <w:adjustRightInd w:val="0"/>
        <w:spacing w:line="320" w:lineRule="atLeast"/>
        <w:rPr>
          <w:rFonts w:cs="Arial"/>
          <w:sz w:val="22"/>
          <w:szCs w:val="22"/>
          <w:lang w:eastAsia="en-NZ"/>
        </w:rPr>
      </w:pPr>
      <w:r w:rsidRPr="00F05BED">
        <w:rPr>
          <w:rFonts w:cs="Arial"/>
          <w:sz w:val="22"/>
          <w:szCs w:val="22"/>
          <w:lang w:eastAsia="en-NZ"/>
        </w:rPr>
        <w:t xml:space="preserve">Most of the limitations </w:t>
      </w:r>
      <w:r w:rsidR="00660939">
        <w:rPr>
          <w:rFonts w:cs="Arial"/>
          <w:sz w:val="22"/>
          <w:szCs w:val="22"/>
          <w:lang w:eastAsia="en-NZ"/>
        </w:rPr>
        <w:t xml:space="preserve">are related to </w:t>
      </w:r>
      <w:r w:rsidRPr="00F05BED">
        <w:rPr>
          <w:rFonts w:cs="Arial"/>
          <w:sz w:val="22"/>
          <w:szCs w:val="22"/>
          <w:lang w:eastAsia="en-NZ"/>
        </w:rPr>
        <w:t>the lack of data</w:t>
      </w:r>
      <w:r w:rsidR="00660939">
        <w:rPr>
          <w:rFonts w:cs="Arial"/>
          <w:sz w:val="22"/>
          <w:szCs w:val="22"/>
          <w:lang w:eastAsia="en-NZ"/>
        </w:rPr>
        <w:t xml:space="preserve"> and </w:t>
      </w:r>
      <w:r w:rsidRPr="00F05BED">
        <w:rPr>
          <w:rFonts w:cs="Arial"/>
          <w:sz w:val="22"/>
          <w:szCs w:val="22"/>
          <w:lang w:eastAsia="en-NZ"/>
        </w:rPr>
        <w:t xml:space="preserve">are summarised below. </w:t>
      </w:r>
    </w:p>
    <w:p w:rsidR="002140E0" w:rsidRPr="00D73A09" w:rsidRDefault="00660939" w:rsidP="00DA6B17">
      <w:pPr>
        <w:pStyle w:val="ListParagraph"/>
        <w:numPr>
          <w:ilvl w:val="0"/>
          <w:numId w:val="5"/>
        </w:numPr>
        <w:autoSpaceDE w:val="0"/>
        <w:autoSpaceDN w:val="0"/>
        <w:adjustRightInd w:val="0"/>
        <w:spacing w:line="320" w:lineRule="atLeast"/>
        <w:contextualSpacing w:val="0"/>
        <w:rPr>
          <w:rFonts w:cs="Arial"/>
          <w:sz w:val="22"/>
          <w:szCs w:val="22"/>
          <w:lang w:eastAsia="en-NZ"/>
        </w:rPr>
      </w:pPr>
      <w:r>
        <w:rPr>
          <w:rFonts w:cs="Arial"/>
          <w:sz w:val="22"/>
          <w:szCs w:val="22"/>
          <w:lang w:eastAsia="en-NZ"/>
        </w:rPr>
        <w:t>D</w:t>
      </w:r>
      <w:r w:rsidRPr="00660939">
        <w:rPr>
          <w:rFonts w:cs="Arial"/>
          <w:sz w:val="22"/>
          <w:szCs w:val="22"/>
          <w:lang w:eastAsia="en-NZ"/>
        </w:rPr>
        <w:t xml:space="preserve">ue to changes in industry classifications by </w:t>
      </w:r>
      <w:r w:rsidR="005B5922">
        <w:rPr>
          <w:rFonts w:cs="Arial"/>
          <w:sz w:val="22"/>
          <w:szCs w:val="22"/>
          <w:lang w:eastAsia="en-NZ"/>
        </w:rPr>
        <w:t xml:space="preserve">SNZ </w:t>
      </w:r>
      <w:r w:rsidRPr="00660939">
        <w:rPr>
          <w:rFonts w:cs="Arial"/>
          <w:sz w:val="22"/>
          <w:szCs w:val="22"/>
          <w:lang w:eastAsia="en-NZ"/>
        </w:rPr>
        <w:t xml:space="preserve">over </w:t>
      </w:r>
      <w:r>
        <w:rPr>
          <w:rFonts w:cs="Arial"/>
          <w:sz w:val="22"/>
          <w:szCs w:val="22"/>
          <w:lang w:eastAsia="en-NZ"/>
        </w:rPr>
        <w:t>time, we are only able to divide transport</w:t>
      </w:r>
      <w:r w:rsidR="002140E0" w:rsidRPr="00D73A09">
        <w:rPr>
          <w:rFonts w:cs="Arial"/>
          <w:sz w:val="22"/>
          <w:szCs w:val="22"/>
          <w:lang w:eastAsia="en-NZ"/>
        </w:rPr>
        <w:t xml:space="preserve"> </w:t>
      </w:r>
      <w:r>
        <w:rPr>
          <w:rFonts w:cs="Arial"/>
          <w:sz w:val="22"/>
          <w:szCs w:val="22"/>
          <w:lang w:eastAsia="en-NZ"/>
        </w:rPr>
        <w:t xml:space="preserve">into </w:t>
      </w:r>
      <w:r w:rsidR="002140E0" w:rsidRPr="00D73A09">
        <w:rPr>
          <w:rFonts w:cs="Arial"/>
          <w:sz w:val="22"/>
          <w:szCs w:val="22"/>
          <w:lang w:eastAsia="en-NZ"/>
        </w:rPr>
        <w:t>three sub-</w:t>
      </w:r>
      <w:r w:rsidR="007B23CB">
        <w:rPr>
          <w:rFonts w:cs="Arial"/>
          <w:sz w:val="22"/>
          <w:szCs w:val="22"/>
          <w:lang w:eastAsia="en-NZ"/>
        </w:rPr>
        <w:t>groups</w:t>
      </w:r>
      <w:r w:rsidR="002140E0" w:rsidRPr="00D73A09">
        <w:rPr>
          <w:rFonts w:cs="Arial"/>
          <w:sz w:val="22"/>
          <w:szCs w:val="22"/>
          <w:lang w:eastAsia="en-NZ"/>
        </w:rPr>
        <w:t xml:space="preserve">. It would be </w:t>
      </w:r>
      <w:r>
        <w:rPr>
          <w:rFonts w:cs="Arial"/>
          <w:sz w:val="22"/>
          <w:szCs w:val="22"/>
          <w:lang w:eastAsia="en-NZ"/>
        </w:rPr>
        <w:t xml:space="preserve">preferable if such data can be disaggregated </w:t>
      </w:r>
      <w:r w:rsidR="002140E0" w:rsidRPr="00D73A09">
        <w:rPr>
          <w:rFonts w:cs="Arial"/>
          <w:sz w:val="22"/>
          <w:szCs w:val="22"/>
          <w:lang w:eastAsia="en-NZ"/>
        </w:rPr>
        <w:t xml:space="preserve">among eight </w:t>
      </w:r>
      <w:r>
        <w:rPr>
          <w:rFonts w:cs="Arial"/>
          <w:sz w:val="22"/>
          <w:szCs w:val="22"/>
          <w:lang w:eastAsia="en-NZ"/>
        </w:rPr>
        <w:t xml:space="preserve">transport </w:t>
      </w:r>
      <w:r w:rsidR="002140E0" w:rsidRPr="00D73A09">
        <w:rPr>
          <w:rFonts w:cs="Arial"/>
          <w:sz w:val="22"/>
          <w:szCs w:val="22"/>
          <w:lang w:eastAsia="en-NZ"/>
        </w:rPr>
        <w:t>sub-</w:t>
      </w:r>
      <w:r w:rsidR="007B23CB">
        <w:rPr>
          <w:rFonts w:cs="Arial"/>
          <w:sz w:val="22"/>
          <w:szCs w:val="22"/>
          <w:lang w:eastAsia="en-NZ"/>
        </w:rPr>
        <w:t>groups</w:t>
      </w:r>
      <w:r w:rsidR="00416B81">
        <w:rPr>
          <w:rFonts w:cs="Arial"/>
          <w:sz w:val="22"/>
          <w:szCs w:val="22"/>
          <w:lang w:eastAsia="en-NZ"/>
        </w:rPr>
        <w:t>,</w:t>
      </w:r>
      <w:r w:rsidR="002140E0" w:rsidRPr="00D73A09">
        <w:rPr>
          <w:rFonts w:cs="Arial"/>
          <w:sz w:val="22"/>
          <w:szCs w:val="22"/>
          <w:lang w:eastAsia="en-NZ"/>
        </w:rPr>
        <w:t xml:space="preserve"> namely: road passenger, road freight, rail passenger, rail freight, air passenger, air freight, </w:t>
      </w:r>
      <w:proofErr w:type="gramStart"/>
      <w:r w:rsidR="002140E0" w:rsidRPr="00D73A09">
        <w:rPr>
          <w:rFonts w:cs="Arial"/>
          <w:sz w:val="22"/>
          <w:szCs w:val="22"/>
          <w:lang w:eastAsia="en-NZ"/>
        </w:rPr>
        <w:t>water</w:t>
      </w:r>
      <w:proofErr w:type="gramEnd"/>
      <w:r w:rsidR="002140E0" w:rsidRPr="00D73A09">
        <w:rPr>
          <w:rFonts w:cs="Arial"/>
          <w:sz w:val="22"/>
          <w:szCs w:val="22"/>
          <w:lang w:eastAsia="en-NZ"/>
        </w:rPr>
        <w:t xml:space="preserve"> passenger and water freight.</w:t>
      </w:r>
    </w:p>
    <w:p w:rsidR="002140E0" w:rsidRPr="00D73A09" w:rsidRDefault="00660939" w:rsidP="00DA6B17">
      <w:pPr>
        <w:pStyle w:val="ListParagraph"/>
        <w:numPr>
          <w:ilvl w:val="0"/>
          <w:numId w:val="5"/>
        </w:numPr>
        <w:autoSpaceDE w:val="0"/>
        <w:autoSpaceDN w:val="0"/>
        <w:adjustRightInd w:val="0"/>
        <w:spacing w:line="320" w:lineRule="atLeast"/>
        <w:contextualSpacing w:val="0"/>
        <w:rPr>
          <w:rFonts w:cs="Arial"/>
          <w:sz w:val="22"/>
          <w:szCs w:val="22"/>
          <w:lang w:eastAsia="en-NZ"/>
        </w:rPr>
      </w:pPr>
      <w:r>
        <w:rPr>
          <w:rFonts w:cs="Arial"/>
          <w:sz w:val="22"/>
          <w:szCs w:val="22"/>
          <w:lang w:eastAsia="en-NZ"/>
        </w:rPr>
        <w:lastRenderedPageBreak/>
        <w:t xml:space="preserve">As </w:t>
      </w:r>
      <w:r w:rsidR="00416B81">
        <w:rPr>
          <w:rFonts w:cs="Arial"/>
          <w:sz w:val="22"/>
          <w:szCs w:val="22"/>
          <w:lang w:eastAsia="en-NZ"/>
        </w:rPr>
        <w:t>supply</w:t>
      </w:r>
      <w:r>
        <w:rPr>
          <w:rFonts w:cs="Arial"/>
          <w:sz w:val="22"/>
          <w:szCs w:val="22"/>
          <w:lang w:eastAsia="en-NZ"/>
        </w:rPr>
        <w:t>-</w:t>
      </w:r>
      <w:r w:rsidR="00416B81">
        <w:rPr>
          <w:rFonts w:cs="Arial"/>
          <w:sz w:val="22"/>
          <w:szCs w:val="22"/>
          <w:lang w:eastAsia="en-NZ"/>
        </w:rPr>
        <w:t>u</w:t>
      </w:r>
      <w:r w:rsidRPr="00D73A09">
        <w:rPr>
          <w:rFonts w:cs="Arial"/>
          <w:sz w:val="22"/>
          <w:szCs w:val="22"/>
          <w:lang w:eastAsia="en-NZ"/>
        </w:rPr>
        <w:t>se</w:t>
      </w:r>
      <w:r>
        <w:rPr>
          <w:rFonts w:cs="Arial"/>
          <w:sz w:val="22"/>
          <w:szCs w:val="22"/>
          <w:lang w:eastAsia="en-NZ"/>
        </w:rPr>
        <w:t xml:space="preserve"> and </w:t>
      </w:r>
      <w:r w:rsidR="00416B81">
        <w:rPr>
          <w:rFonts w:cs="Arial"/>
          <w:sz w:val="22"/>
          <w:szCs w:val="22"/>
          <w:lang w:eastAsia="en-NZ"/>
        </w:rPr>
        <w:t>i</w:t>
      </w:r>
      <w:r w:rsidRPr="00D73A09">
        <w:rPr>
          <w:rFonts w:cs="Arial"/>
          <w:sz w:val="22"/>
          <w:szCs w:val="22"/>
          <w:lang w:eastAsia="en-NZ"/>
        </w:rPr>
        <w:t>nput-</w:t>
      </w:r>
      <w:r w:rsidR="00416B81">
        <w:rPr>
          <w:rFonts w:cs="Arial"/>
          <w:sz w:val="22"/>
          <w:szCs w:val="22"/>
          <w:lang w:eastAsia="en-NZ"/>
        </w:rPr>
        <w:t>o</w:t>
      </w:r>
      <w:r w:rsidRPr="00D73A09">
        <w:rPr>
          <w:rFonts w:cs="Arial"/>
          <w:sz w:val="22"/>
          <w:szCs w:val="22"/>
          <w:lang w:eastAsia="en-NZ"/>
        </w:rPr>
        <w:t xml:space="preserve">utput tables </w:t>
      </w:r>
      <w:r>
        <w:rPr>
          <w:rFonts w:cs="Arial"/>
          <w:sz w:val="22"/>
          <w:szCs w:val="22"/>
          <w:lang w:eastAsia="en-NZ"/>
        </w:rPr>
        <w:t xml:space="preserve">are </w:t>
      </w:r>
      <w:r w:rsidR="00416B81">
        <w:rPr>
          <w:rFonts w:cs="Arial"/>
          <w:sz w:val="22"/>
          <w:szCs w:val="22"/>
          <w:lang w:eastAsia="en-NZ"/>
        </w:rPr>
        <w:t xml:space="preserve">only </w:t>
      </w:r>
      <w:r>
        <w:rPr>
          <w:rFonts w:cs="Arial"/>
          <w:sz w:val="22"/>
          <w:szCs w:val="22"/>
          <w:lang w:eastAsia="en-NZ"/>
        </w:rPr>
        <w:t xml:space="preserve">available for specific </w:t>
      </w:r>
      <w:r w:rsidRPr="00D73A09">
        <w:rPr>
          <w:rFonts w:cs="Arial"/>
          <w:sz w:val="22"/>
          <w:szCs w:val="22"/>
          <w:lang w:eastAsia="en-NZ"/>
        </w:rPr>
        <w:t>years</w:t>
      </w:r>
      <w:r>
        <w:rPr>
          <w:rFonts w:cs="Arial"/>
          <w:sz w:val="22"/>
          <w:szCs w:val="22"/>
          <w:lang w:eastAsia="en-NZ"/>
        </w:rPr>
        <w:t xml:space="preserve">, we are unable to </w:t>
      </w:r>
      <w:r w:rsidR="002140E0" w:rsidRPr="00D73A09">
        <w:rPr>
          <w:rFonts w:cs="Arial"/>
          <w:sz w:val="22"/>
          <w:szCs w:val="22"/>
          <w:lang w:eastAsia="en-NZ"/>
        </w:rPr>
        <w:t>measure</w:t>
      </w:r>
      <w:r>
        <w:rPr>
          <w:rFonts w:cs="Arial"/>
          <w:sz w:val="22"/>
          <w:szCs w:val="22"/>
          <w:lang w:eastAsia="en-NZ"/>
        </w:rPr>
        <w:t xml:space="preserve"> year-to-</w:t>
      </w:r>
      <w:r w:rsidR="002140E0" w:rsidRPr="00D73A09">
        <w:rPr>
          <w:rFonts w:cs="Arial"/>
          <w:sz w:val="22"/>
          <w:szCs w:val="22"/>
          <w:lang w:eastAsia="en-NZ"/>
        </w:rPr>
        <w:t xml:space="preserve">year productivity </w:t>
      </w:r>
      <w:r>
        <w:rPr>
          <w:rFonts w:cs="Arial"/>
          <w:sz w:val="22"/>
          <w:szCs w:val="22"/>
          <w:lang w:eastAsia="en-NZ"/>
        </w:rPr>
        <w:t xml:space="preserve">changes based on the </w:t>
      </w:r>
      <w:r w:rsidR="00416B81">
        <w:rPr>
          <w:rFonts w:cs="Arial"/>
          <w:sz w:val="22"/>
          <w:szCs w:val="22"/>
          <w:lang w:eastAsia="en-NZ"/>
        </w:rPr>
        <w:t>input</w:t>
      </w:r>
      <w:r>
        <w:rPr>
          <w:rFonts w:cs="Arial"/>
          <w:sz w:val="22"/>
          <w:szCs w:val="22"/>
          <w:lang w:eastAsia="en-NZ"/>
        </w:rPr>
        <w:t>-</w:t>
      </w:r>
      <w:r w:rsidR="00416B81">
        <w:rPr>
          <w:rFonts w:cs="Arial"/>
          <w:sz w:val="22"/>
          <w:szCs w:val="22"/>
          <w:lang w:eastAsia="en-NZ"/>
        </w:rPr>
        <w:t xml:space="preserve">output </w:t>
      </w:r>
      <w:r>
        <w:rPr>
          <w:rFonts w:cs="Arial"/>
          <w:sz w:val="22"/>
          <w:szCs w:val="22"/>
          <w:lang w:eastAsia="en-NZ"/>
        </w:rPr>
        <w:t>approaches.</w:t>
      </w:r>
    </w:p>
    <w:p w:rsidR="002140E0" w:rsidRPr="00D73A09" w:rsidRDefault="00971A37" w:rsidP="00DA6B17">
      <w:pPr>
        <w:pStyle w:val="ListParagraph"/>
        <w:numPr>
          <w:ilvl w:val="0"/>
          <w:numId w:val="5"/>
        </w:numPr>
        <w:autoSpaceDE w:val="0"/>
        <w:autoSpaceDN w:val="0"/>
        <w:adjustRightInd w:val="0"/>
        <w:spacing w:line="320" w:lineRule="atLeast"/>
        <w:contextualSpacing w:val="0"/>
        <w:rPr>
          <w:rFonts w:cs="Arial"/>
          <w:sz w:val="22"/>
          <w:szCs w:val="22"/>
          <w:lang w:eastAsia="en-NZ"/>
        </w:rPr>
      </w:pPr>
      <w:r w:rsidRPr="00D73A09">
        <w:rPr>
          <w:rFonts w:cs="Arial"/>
          <w:sz w:val="22"/>
          <w:szCs w:val="22"/>
          <w:lang w:eastAsia="en-NZ"/>
        </w:rPr>
        <w:t xml:space="preserve">Price data </w:t>
      </w:r>
      <w:r w:rsidR="00416B81" w:rsidRPr="00D73A09">
        <w:rPr>
          <w:rFonts w:cs="Arial"/>
          <w:sz w:val="22"/>
          <w:szCs w:val="22"/>
          <w:lang w:eastAsia="en-NZ"/>
        </w:rPr>
        <w:t>ha</w:t>
      </w:r>
      <w:r w:rsidR="00416B81">
        <w:rPr>
          <w:rFonts w:cs="Arial"/>
          <w:sz w:val="22"/>
          <w:szCs w:val="22"/>
          <w:lang w:eastAsia="en-NZ"/>
        </w:rPr>
        <w:t>s</w:t>
      </w:r>
      <w:r w:rsidR="00416B81" w:rsidRPr="00D73A09">
        <w:rPr>
          <w:rFonts w:cs="Arial"/>
          <w:sz w:val="22"/>
          <w:szCs w:val="22"/>
          <w:lang w:eastAsia="en-NZ"/>
        </w:rPr>
        <w:t xml:space="preserve"> </w:t>
      </w:r>
      <w:r w:rsidRPr="00D73A09">
        <w:rPr>
          <w:rFonts w:cs="Arial"/>
          <w:sz w:val="22"/>
          <w:szCs w:val="22"/>
          <w:lang w:eastAsia="en-NZ"/>
        </w:rPr>
        <w:t xml:space="preserve">been a major concern to carry out comprehensive productivity analysis. For most </w:t>
      </w:r>
      <w:r w:rsidR="005B5922">
        <w:rPr>
          <w:rFonts w:cs="Arial"/>
          <w:sz w:val="22"/>
          <w:szCs w:val="22"/>
          <w:lang w:eastAsia="en-NZ"/>
        </w:rPr>
        <w:t xml:space="preserve">industry </w:t>
      </w:r>
      <w:r w:rsidRPr="00D73A09">
        <w:rPr>
          <w:rFonts w:cs="Arial"/>
          <w:sz w:val="22"/>
          <w:szCs w:val="22"/>
          <w:lang w:eastAsia="en-NZ"/>
        </w:rPr>
        <w:t>sub-</w:t>
      </w:r>
      <w:r w:rsidR="005B5922">
        <w:rPr>
          <w:rFonts w:cs="Arial"/>
          <w:sz w:val="22"/>
          <w:szCs w:val="22"/>
          <w:lang w:eastAsia="en-NZ"/>
        </w:rPr>
        <w:t xml:space="preserve">groups, </w:t>
      </w:r>
      <w:r w:rsidRPr="00D73A09">
        <w:rPr>
          <w:rFonts w:cs="Arial"/>
          <w:sz w:val="22"/>
          <w:szCs w:val="22"/>
          <w:lang w:eastAsia="en-NZ"/>
        </w:rPr>
        <w:t>price data were not available</w:t>
      </w:r>
      <w:r w:rsidR="005B5922">
        <w:rPr>
          <w:rFonts w:cs="Arial"/>
          <w:sz w:val="22"/>
          <w:szCs w:val="22"/>
          <w:lang w:eastAsia="en-NZ"/>
        </w:rPr>
        <w:t>.</w:t>
      </w:r>
      <w:r w:rsidRPr="00D73A09">
        <w:rPr>
          <w:rFonts w:cs="Arial"/>
          <w:sz w:val="22"/>
          <w:szCs w:val="22"/>
          <w:lang w:eastAsia="en-NZ"/>
        </w:rPr>
        <w:t xml:space="preserve"> </w:t>
      </w:r>
      <w:r w:rsidR="005B5922">
        <w:rPr>
          <w:rFonts w:cs="Arial"/>
          <w:sz w:val="22"/>
          <w:szCs w:val="22"/>
          <w:lang w:eastAsia="en-NZ"/>
        </w:rPr>
        <w:t>T</w:t>
      </w:r>
      <w:r w:rsidRPr="00D73A09">
        <w:rPr>
          <w:rFonts w:cs="Arial"/>
          <w:sz w:val="22"/>
          <w:szCs w:val="22"/>
          <w:lang w:eastAsia="en-NZ"/>
        </w:rPr>
        <w:t>herefore</w:t>
      </w:r>
      <w:r w:rsidR="005B5922">
        <w:rPr>
          <w:rFonts w:cs="Arial"/>
          <w:sz w:val="22"/>
          <w:szCs w:val="22"/>
          <w:lang w:eastAsia="en-NZ"/>
        </w:rPr>
        <w:t>, we have</w:t>
      </w:r>
      <w:r w:rsidRPr="00D73A09">
        <w:rPr>
          <w:rFonts w:cs="Arial"/>
          <w:sz w:val="22"/>
          <w:szCs w:val="22"/>
          <w:lang w:eastAsia="en-NZ"/>
        </w:rPr>
        <w:t xml:space="preserve"> </w:t>
      </w:r>
      <w:r w:rsidR="005B5922">
        <w:rPr>
          <w:rFonts w:cs="Arial"/>
          <w:sz w:val="22"/>
          <w:szCs w:val="22"/>
          <w:lang w:eastAsia="en-NZ"/>
        </w:rPr>
        <w:t xml:space="preserve">used </w:t>
      </w:r>
      <w:r w:rsidRPr="00D73A09">
        <w:rPr>
          <w:rFonts w:cs="Arial"/>
          <w:sz w:val="22"/>
          <w:szCs w:val="22"/>
          <w:lang w:eastAsia="en-NZ"/>
        </w:rPr>
        <w:t>either weighed aggregate price series or aggregate price index for all industries</w:t>
      </w:r>
      <w:r w:rsidR="005B5922">
        <w:rPr>
          <w:rFonts w:cs="Arial"/>
          <w:sz w:val="22"/>
          <w:szCs w:val="22"/>
          <w:lang w:eastAsia="en-NZ"/>
        </w:rPr>
        <w:t xml:space="preserve"> as </w:t>
      </w:r>
      <w:r w:rsidR="00BE65C8">
        <w:rPr>
          <w:rFonts w:cs="Arial"/>
          <w:sz w:val="22"/>
          <w:szCs w:val="22"/>
          <w:lang w:eastAsia="en-NZ"/>
        </w:rPr>
        <w:t>proxies</w:t>
      </w:r>
      <w:r w:rsidRPr="00D73A09">
        <w:rPr>
          <w:rFonts w:cs="Arial"/>
          <w:sz w:val="22"/>
          <w:szCs w:val="22"/>
          <w:lang w:eastAsia="en-NZ"/>
        </w:rPr>
        <w:t>.</w:t>
      </w:r>
      <w:r w:rsidR="00524E3A" w:rsidRPr="00D73A09">
        <w:rPr>
          <w:rFonts w:cs="Arial"/>
          <w:sz w:val="22"/>
          <w:szCs w:val="22"/>
          <w:lang w:eastAsia="en-NZ"/>
        </w:rPr>
        <w:t xml:space="preserve"> </w:t>
      </w:r>
    </w:p>
    <w:p w:rsidR="00F05BED" w:rsidRDefault="00F05BED" w:rsidP="00F05BED">
      <w:pPr>
        <w:autoSpaceDE w:val="0"/>
        <w:autoSpaceDN w:val="0"/>
        <w:adjustRightInd w:val="0"/>
        <w:spacing w:line="320" w:lineRule="atLeast"/>
        <w:rPr>
          <w:rFonts w:cs="Arial"/>
          <w:b/>
          <w:sz w:val="22"/>
          <w:szCs w:val="22"/>
          <w:lang w:eastAsia="en-NZ"/>
        </w:rPr>
      </w:pPr>
    </w:p>
    <w:p w:rsidR="008E765F" w:rsidRPr="00F05BED" w:rsidRDefault="00AD73E4" w:rsidP="00F05BED">
      <w:pPr>
        <w:autoSpaceDE w:val="0"/>
        <w:autoSpaceDN w:val="0"/>
        <w:adjustRightInd w:val="0"/>
        <w:spacing w:line="320" w:lineRule="atLeast"/>
        <w:rPr>
          <w:rFonts w:cs="Arial"/>
          <w:b/>
          <w:sz w:val="26"/>
          <w:szCs w:val="26"/>
          <w:lang w:eastAsia="en-NZ"/>
        </w:rPr>
      </w:pPr>
      <w:r>
        <w:rPr>
          <w:rFonts w:cs="Arial"/>
          <w:b/>
          <w:sz w:val="26"/>
          <w:szCs w:val="26"/>
          <w:lang w:eastAsia="en-NZ"/>
        </w:rPr>
        <w:t>3.</w:t>
      </w:r>
      <w:r>
        <w:rPr>
          <w:rFonts w:cs="Arial"/>
          <w:b/>
          <w:sz w:val="26"/>
          <w:szCs w:val="26"/>
          <w:lang w:eastAsia="en-NZ"/>
        </w:rPr>
        <w:tab/>
      </w:r>
      <w:r w:rsidR="008E765F" w:rsidRPr="00F05BED">
        <w:rPr>
          <w:rFonts w:cs="Arial"/>
          <w:b/>
          <w:sz w:val="26"/>
          <w:szCs w:val="26"/>
          <w:lang w:eastAsia="en-NZ"/>
        </w:rPr>
        <w:t>Time series analysis</w:t>
      </w:r>
    </w:p>
    <w:p w:rsidR="00343121" w:rsidRPr="00F05BED" w:rsidRDefault="00343121" w:rsidP="00F05BED">
      <w:pPr>
        <w:autoSpaceDE w:val="0"/>
        <w:autoSpaceDN w:val="0"/>
        <w:adjustRightInd w:val="0"/>
        <w:spacing w:line="320" w:lineRule="atLeast"/>
        <w:rPr>
          <w:rFonts w:cs="Arial"/>
          <w:sz w:val="22"/>
          <w:szCs w:val="22"/>
          <w:lang w:eastAsia="en-NZ"/>
        </w:rPr>
      </w:pPr>
      <w:r w:rsidRPr="00F05BED">
        <w:rPr>
          <w:rFonts w:cs="Arial"/>
          <w:sz w:val="22"/>
          <w:szCs w:val="22"/>
          <w:lang w:eastAsia="en-NZ"/>
        </w:rPr>
        <w:t xml:space="preserve">This section looks at the empirical evidence of the contribution of transport infrastructure investment to New Zealand’s </w:t>
      </w:r>
      <w:r w:rsidR="00F05BED">
        <w:rPr>
          <w:rFonts w:cs="Arial"/>
          <w:sz w:val="22"/>
          <w:szCs w:val="22"/>
          <w:lang w:eastAsia="en-NZ"/>
        </w:rPr>
        <w:t>GDP</w:t>
      </w:r>
      <w:r w:rsidRPr="00F05BED">
        <w:rPr>
          <w:rFonts w:cs="Arial"/>
          <w:sz w:val="22"/>
          <w:szCs w:val="22"/>
          <w:lang w:eastAsia="en-NZ"/>
        </w:rPr>
        <w:t>. The analysis is based on the aggregate production function (APF) approach</w:t>
      </w:r>
      <w:r w:rsidR="005F70C3">
        <w:rPr>
          <w:rFonts w:cs="Arial"/>
          <w:sz w:val="22"/>
          <w:szCs w:val="22"/>
          <w:lang w:eastAsia="en-NZ"/>
        </w:rPr>
        <w:t xml:space="preserve">, which </w:t>
      </w:r>
      <w:r w:rsidRPr="00F05BED">
        <w:rPr>
          <w:rFonts w:cs="Arial"/>
          <w:sz w:val="22"/>
          <w:szCs w:val="22"/>
          <w:lang w:eastAsia="en-NZ"/>
        </w:rPr>
        <w:t xml:space="preserve">allows the contribution of output growth to be broken down </w:t>
      </w:r>
      <w:r w:rsidR="00671238">
        <w:rPr>
          <w:rFonts w:cs="Arial"/>
          <w:sz w:val="22"/>
          <w:szCs w:val="22"/>
          <w:lang w:eastAsia="en-NZ"/>
        </w:rPr>
        <w:t>by input type</w:t>
      </w:r>
      <w:r w:rsidRPr="00F05BED">
        <w:rPr>
          <w:rFonts w:cs="Arial"/>
          <w:sz w:val="22"/>
          <w:szCs w:val="22"/>
          <w:lang w:eastAsia="en-NZ"/>
        </w:rPr>
        <w:t>.</w:t>
      </w:r>
    </w:p>
    <w:p w:rsidR="00343121" w:rsidRPr="00F05BED" w:rsidRDefault="00343121" w:rsidP="00F05BED">
      <w:pPr>
        <w:autoSpaceDE w:val="0"/>
        <w:autoSpaceDN w:val="0"/>
        <w:adjustRightInd w:val="0"/>
        <w:spacing w:line="320" w:lineRule="atLeast"/>
        <w:rPr>
          <w:rFonts w:cs="Arial"/>
          <w:sz w:val="22"/>
          <w:szCs w:val="22"/>
          <w:lang w:eastAsia="en-NZ"/>
        </w:rPr>
      </w:pPr>
    </w:p>
    <w:p w:rsidR="00343121" w:rsidRDefault="00AD73E4" w:rsidP="00DA6B17">
      <w:pPr>
        <w:pStyle w:val="Default"/>
        <w:numPr>
          <w:ilvl w:val="0"/>
          <w:numId w:val="4"/>
        </w:numPr>
        <w:spacing w:line="320" w:lineRule="atLeast"/>
        <w:ind w:left="567" w:hanging="501"/>
        <w:rPr>
          <w:rFonts w:cs="Arial"/>
          <w:b/>
          <w:i/>
          <w:sz w:val="22"/>
          <w:szCs w:val="22"/>
        </w:rPr>
      </w:pPr>
      <w:r>
        <w:rPr>
          <w:rFonts w:cs="Arial"/>
          <w:b/>
          <w:i/>
          <w:sz w:val="22"/>
          <w:szCs w:val="22"/>
        </w:rPr>
        <w:t>The model</w:t>
      </w:r>
    </w:p>
    <w:p w:rsidR="00343121" w:rsidRPr="00F05BED" w:rsidRDefault="00343121" w:rsidP="00F05BED">
      <w:pPr>
        <w:autoSpaceDE w:val="0"/>
        <w:autoSpaceDN w:val="0"/>
        <w:adjustRightInd w:val="0"/>
        <w:spacing w:line="320" w:lineRule="atLeast"/>
        <w:rPr>
          <w:rFonts w:cs="Arial"/>
          <w:sz w:val="22"/>
          <w:szCs w:val="22"/>
          <w:lang w:eastAsia="en-NZ"/>
        </w:rPr>
      </w:pPr>
      <w:r w:rsidRPr="00F05BED">
        <w:rPr>
          <w:rFonts w:cs="Arial"/>
          <w:sz w:val="22"/>
          <w:szCs w:val="22"/>
          <w:lang w:eastAsia="en-NZ"/>
        </w:rPr>
        <w:t xml:space="preserve">One of the earliest APF studies is by </w:t>
      </w:r>
      <w:proofErr w:type="spellStart"/>
      <w:r w:rsidRPr="00F05BED">
        <w:rPr>
          <w:rFonts w:cs="Arial"/>
          <w:sz w:val="22"/>
          <w:szCs w:val="22"/>
          <w:lang w:eastAsia="en-NZ"/>
        </w:rPr>
        <w:t>Ashauer</w:t>
      </w:r>
      <w:proofErr w:type="spellEnd"/>
      <w:r w:rsidRPr="00F05BED">
        <w:rPr>
          <w:rFonts w:cs="Arial"/>
          <w:sz w:val="22"/>
          <w:szCs w:val="22"/>
          <w:lang w:eastAsia="en-NZ"/>
        </w:rPr>
        <w:t xml:space="preserve"> </w:t>
      </w:r>
      <w:r w:rsidRPr="00F05BED">
        <w:rPr>
          <w:rFonts w:cs="Arial"/>
          <w:iCs/>
          <w:sz w:val="22"/>
          <w:szCs w:val="22"/>
          <w:lang w:eastAsia="en-NZ"/>
        </w:rPr>
        <w:t>(1989)</w:t>
      </w:r>
      <w:r w:rsidRPr="00F05BED">
        <w:rPr>
          <w:rFonts w:cs="Arial"/>
          <w:sz w:val="22"/>
          <w:szCs w:val="22"/>
          <w:lang w:eastAsia="en-NZ"/>
        </w:rPr>
        <w:t xml:space="preserve">, who finds the contribution of infrastructure input to economic growth to be large (with output elasticity of between 0.4 and 0.5). Later studies find the output elasticity to be much smaller (eg </w:t>
      </w:r>
      <w:proofErr w:type="spellStart"/>
      <w:r w:rsidRPr="00F05BED">
        <w:rPr>
          <w:rFonts w:cs="Arial"/>
          <w:sz w:val="22"/>
          <w:szCs w:val="22"/>
          <w:lang w:eastAsia="en-NZ"/>
        </w:rPr>
        <w:t>Munnel</w:t>
      </w:r>
      <w:proofErr w:type="spellEnd"/>
      <w:r w:rsidRPr="00F05BED">
        <w:rPr>
          <w:rFonts w:cs="Arial"/>
          <w:sz w:val="22"/>
          <w:szCs w:val="22"/>
          <w:lang w:eastAsia="en-NZ"/>
        </w:rPr>
        <w:t xml:space="preserve"> (</w:t>
      </w:r>
      <w:r w:rsidRPr="00F05BED">
        <w:rPr>
          <w:rFonts w:cs="Arial"/>
          <w:iCs/>
          <w:sz w:val="22"/>
          <w:szCs w:val="22"/>
          <w:lang w:eastAsia="en-NZ"/>
        </w:rPr>
        <w:t xml:space="preserve">1990) </w:t>
      </w:r>
      <w:r w:rsidRPr="00F05BED">
        <w:rPr>
          <w:rFonts w:cs="Arial"/>
          <w:sz w:val="22"/>
          <w:szCs w:val="22"/>
          <w:lang w:eastAsia="en-NZ"/>
        </w:rPr>
        <w:t xml:space="preserve">and Garcia-Mila </w:t>
      </w:r>
      <w:r w:rsidR="0087738B">
        <w:rPr>
          <w:rFonts w:cs="Arial"/>
          <w:sz w:val="22"/>
          <w:szCs w:val="22"/>
          <w:lang w:eastAsia="en-NZ"/>
        </w:rPr>
        <w:t>and</w:t>
      </w:r>
      <w:r w:rsidR="0087738B" w:rsidRPr="00F05BED">
        <w:rPr>
          <w:rFonts w:cs="Arial"/>
          <w:sz w:val="22"/>
          <w:szCs w:val="22"/>
          <w:lang w:eastAsia="en-NZ"/>
        </w:rPr>
        <w:t xml:space="preserve"> </w:t>
      </w:r>
      <w:r w:rsidRPr="00F05BED">
        <w:rPr>
          <w:rFonts w:cs="Arial"/>
          <w:sz w:val="22"/>
          <w:szCs w:val="22"/>
          <w:lang w:eastAsia="en-NZ"/>
        </w:rPr>
        <w:t xml:space="preserve">McGuire </w:t>
      </w:r>
      <w:r w:rsidRPr="00F05BED">
        <w:rPr>
          <w:rFonts w:cs="Arial"/>
          <w:iCs/>
          <w:sz w:val="22"/>
          <w:szCs w:val="22"/>
          <w:lang w:eastAsia="en-NZ"/>
        </w:rPr>
        <w:t xml:space="preserve">(1992) </w:t>
      </w:r>
      <w:r w:rsidRPr="00F05BED">
        <w:rPr>
          <w:rFonts w:cs="Arial"/>
          <w:sz w:val="22"/>
          <w:szCs w:val="22"/>
          <w:lang w:eastAsia="en-NZ"/>
        </w:rPr>
        <w:t xml:space="preserve">find an elasticity of between 0.05 and 0.06). On the other hand, </w:t>
      </w:r>
      <w:r w:rsidR="00763535">
        <w:rPr>
          <w:rFonts w:cs="Arial"/>
          <w:sz w:val="22"/>
          <w:szCs w:val="22"/>
          <w:lang w:eastAsia="en-NZ"/>
        </w:rPr>
        <w:t xml:space="preserve">some </w:t>
      </w:r>
      <w:r w:rsidRPr="00F05BED">
        <w:rPr>
          <w:rFonts w:cs="Arial"/>
          <w:sz w:val="22"/>
          <w:szCs w:val="22"/>
          <w:lang w:eastAsia="en-NZ"/>
        </w:rPr>
        <w:t>studies find public infrastructure investment to have a small negative impact on economic growth (Brian, 2005</w:t>
      </w:r>
      <w:r w:rsidRPr="00F05BED">
        <w:rPr>
          <w:rFonts w:cs="Arial"/>
          <w:iCs/>
          <w:sz w:val="22"/>
          <w:szCs w:val="22"/>
          <w:lang w:eastAsia="en-NZ"/>
        </w:rPr>
        <w:t xml:space="preserve"> </w:t>
      </w:r>
      <w:r w:rsidRPr="00F05BED">
        <w:rPr>
          <w:rFonts w:cs="Arial"/>
          <w:sz w:val="22"/>
          <w:szCs w:val="22"/>
          <w:lang w:eastAsia="en-NZ"/>
        </w:rPr>
        <w:t xml:space="preserve">and </w:t>
      </w:r>
      <w:r w:rsidRPr="00F05BED">
        <w:rPr>
          <w:rFonts w:cs="Arial"/>
          <w:iCs/>
          <w:sz w:val="22"/>
          <w:szCs w:val="22"/>
          <w:lang w:eastAsia="en-NZ"/>
        </w:rPr>
        <w:t xml:space="preserve">Preston and </w:t>
      </w:r>
      <w:proofErr w:type="spellStart"/>
      <w:r w:rsidRPr="00F05BED">
        <w:rPr>
          <w:rFonts w:cs="Arial"/>
          <w:iCs/>
          <w:sz w:val="22"/>
          <w:szCs w:val="22"/>
          <w:lang w:eastAsia="en-NZ"/>
        </w:rPr>
        <w:t>Holvad</w:t>
      </w:r>
      <w:proofErr w:type="spellEnd"/>
      <w:r w:rsidRPr="00F05BED">
        <w:rPr>
          <w:rFonts w:cs="Arial"/>
          <w:iCs/>
          <w:sz w:val="22"/>
          <w:szCs w:val="22"/>
          <w:lang w:eastAsia="en-NZ"/>
        </w:rPr>
        <w:t>, 2005</w:t>
      </w:r>
      <w:r w:rsidRPr="00F05BED">
        <w:rPr>
          <w:rFonts w:cs="Arial"/>
          <w:sz w:val="22"/>
          <w:szCs w:val="22"/>
          <w:lang w:eastAsia="en-NZ"/>
        </w:rPr>
        <w:t>).</w:t>
      </w:r>
      <w:r w:rsidR="00A3412D">
        <w:rPr>
          <w:rFonts w:cs="Arial"/>
          <w:sz w:val="22"/>
          <w:szCs w:val="22"/>
          <w:lang w:eastAsia="en-NZ"/>
        </w:rPr>
        <w:t xml:space="preserve"> </w:t>
      </w:r>
      <w:r w:rsidRPr="00F05BED">
        <w:rPr>
          <w:rFonts w:cs="Arial"/>
          <w:sz w:val="22"/>
          <w:szCs w:val="22"/>
          <w:lang w:eastAsia="en-NZ"/>
        </w:rPr>
        <w:t xml:space="preserve">The functional form </w:t>
      </w:r>
      <w:r w:rsidR="00BE65C8">
        <w:rPr>
          <w:rFonts w:cs="Arial"/>
          <w:sz w:val="22"/>
          <w:szCs w:val="22"/>
          <w:lang w:eastAsia="en-NZ"/>
        </w:rPr>
        <w:t xml:space="preserve">(a Cobb-Douglas function) </w:t>
      </w:r>
      <w:r w:rsidRPr="00F05BED">
        <w:rPr>
          <w:rFonts w:cs="Arial"/>
          <w:sz w:val="22"/>
          <w:szCs w:val="22"/>
          <w:lang w:eastAsia="en-NZ"/>
        </w:rPr>
        <w:t>of the APF is shown in equation (6).</w:t>
      </w:r>
    </w:p>
    <w:p w:rsidR="00343121" w:rsidRPr="00F05BED" w:rsidRDefault="00343121" w:rsidP="00F05BED">
      <w:pPr>
        <w:autoSpaceDE w:val="0"/>
        <w:autoSpaceDN w:val="0"/>
        <w:adjustRightInd w:val="0"/>
        <w:spacing w:line="320" w:lineRule="atLeast"/>
        <w:rPr>
          <w:rFonts w:cs="Arial"/>
          <w:sz w:val="22"/>
          <w:szCs w:val="22"/>
          <w:lang w:eastAsia="en-NZ"/>
        </w:rPr>
      </w:pPr>
    </w:p>
    <w:p w:rsidR="00343121" w:rsidRPr="00F05BED" w:rsidRDefault="0091264A" w:rsidP="00F05BED">
      <w:pPr>
        <w:autoSpaceDE w:val="0"/>
        <w:autoSpaceDN w:val="0"/>
        <w:adjustRightInd w:val="0"/>
        <w:spacing w:line="320" w:lineRule="atLeast"/>
        <w:jc w:val="center"/>
        <w:rPr>
          <w:rFonts w:cs="Arial"/>
          <w:sz w:val="22"/>
          <w:szCs w:val="22"/>
          <w:lang w:eastAsia="en-NZ"/>
        </w:rPr>
      </w:pPr>
      <m:oMath>
        <m:sSub>
          <m:sSubPr>
            <m:ctrlPr>
              <w:rPr>
                <w:rFonts w:ascii="Cambria Math" w:hAnsi="Cambria Math" w:cs="Arial"/>
                <w:i/>
                <w:sz w:val="22"/>
                <w:szCs w:val="22"/>
                <w:lang w:eastAsia="en-NZ"/>
              </w:rPr>
            </m:ctrlPr>
          </m:sSubPr>
          <m:e>
            <m:r>
              <w:rPr>
                <w:rFonts w:ascii="Cambria Math" w:hAnsi="Cambria Math" w:cs="Arial"/>
                <w:sz w:val="22"/>
                <w:szCs w:val="22"/>
                <w:lang w:eastAsia="en-NZ"/>
              </w:rPr>
              <m:t>Y</m:t>
            </m:r>
          </m:e>
          <m:sub>
            <m:r>
              <w:rPr>
                <w:rFonts w:ascii="Cambria Math" w:hAnsi="Cambria Math" w:cs="Arial"/>
                <w:sz w:val="22"/>
                <w:szCs w:val="22"/>
                <w:lang w:eastAsia="en-NZ"/>
              </w:rPr>
              <m:t>t</m:t>
            </m:r>
          </m:sub>
        </m:sSub>
        <m:r>
          <w:rPr>
            <w:rFonts w:ascii="Cambria Math" w:cs="Arial"/>
            <w:sz w:val="22"/>
            <w:szCs w:val="22"/>
            <w:lang w:eastAsia="en-NZ"/>
          </w:rPr>
          <m:t>=</m:t>
        </m:r>
        <m:sSub>
          <m:sSubPr>
            <m:ctrlPr>
              <w:rPr>
                <w:rFonts w:ascii="Cambria Math" w:hAnsi="Cambria Math" w:cs="Arial"/>
                <w:i/>
                <w:sz w:val="22"/>
                <w:szCs w:val="22"/>
                <w:lang w:eastAsia="en-NZ"/>
              </w:rPr>
            </m:ctrlPr>
          </m:sSubPr>
          <m:e>
            <m:r>
              <w:rPr>
                <w:rFonts w:ascii="Cambria Math" w:hAnsi="Cambria Math" w:cs="Arial"/>
                <w:sz w:val="22"/>
                <w:szCs w:val="22"/>
                <w:lang w:eastAsia="en-NZ"/>
              </w:rPr>
              <m:t>A</m:t>
            </m:r>
          </m:e>
          <m:sub>
            <m:r>
              <w:rPr>
                <w:rFonts w:ascii="Cambria Math" w:hAnsi="Cambria Math" w:cs="Arial"/>
                <w:sz w:val="22"/>
                <w:szCs w:val="22"/>
                <w:lang w:eastAsia="en-NZ"/>
              </w:rPr>
              <m:t>t</m:t>
            </m:r>
          </m:sub>
        </m:sSub>
        <m:sSubSup>
          <m:sSubSupPr>
            <m:ctrlPr>
              <w:rPr>
                <w:rFonts w:ascii="Cambria Math" w:hAnsi="Cambria Math" w:cs="Arial"/>
                <w:i/>
                <w:sz w:val="22"/>
                <w:szCs w:val="22"/>
                <w:lang w:eastAsia="en-NZ"/>
              </w:rPr>
            </m:ctrlPr>
          </m:sSubSupPr>
          <m:e>
            <m:r>
              <w:rPr>
                <w:rFonts w:ascii="Cambria Math" w:hAnsi="Cambria Math" w:cs="Arial"/>
                <w:sz w:val="22"/>
                <w:szCs w:val="22"/>
                <w:lang w:eastAsia="en-NZ"/>
              </w:rPr>
              <m:t>R</m:t>
            </m:r>
          </m:e>
          <m:sub>
            <m:r>
              <w:rPr>
                <w:rFonts w:ascii="Cambria Math" w:hAnsi="Cambria Math" w:cs="Arial"/>
                <w:sz w:val="22"/>
                <w:szCs w:val="22"/>
                <w:lang w:eastAsia="en-NZ"/>
              </w:rPr>
              <m:t>t</m:t>
            </m:r>
          </m:sub>
          <m:sup>
            <m:r>
              <w:rPr>
                <w:rFonts w:ascii="Cambria Math" w:hAnsi="Cambria Math" w:cs="Arial"/>
                <w:sz w:val="22"/>
                <w:szCs w:val="22"/>
                <w:lang w:eastAsia="en-NZ"/>
              </w:rPr>
              <m:t>β</m:t>
            </m:r>
            <m:r>
              <w:rPr>
                <w:rFonts w:ascii="Cambria Math" w:cs="Arial"/>
                <w:sz w:val="22"/>
                <w:szCs w:val="22"/>
                <w:lang w:eastAsia="en-NZ"/>
              </w:rPr>
              <m:t>1</m:t>
            </m:r>
          </m:sup>
        </m:sSubSup>
        <m:sSubSup>
          <m:sSubSupPr>
            <m:ctrlPr>
              <w:rPr>
                <w:rFonts w:ascii="Cambria Math" w:hAnsi="Cambria Math" w:cs="Arial"/>
                <w:i/>
                <w:sz w:val="22"/>
                <w:szCs w:val="22"/>
                <w:lang w:eastAsia="en-NZ"/>
              </w:rPr>
            </m:ctrlPr>
          </m:sSubSupPr>
          <m:e>
            <m:r>
              <w:rPr>
                <w:rFonts w:ascii="Cambria Math" w:hAnsi="Cambria Math" w:cs="Arial"/>
                <w:sz w:val="22"/>
                <w:szCs w:val="22"/>
                <w:lang w:eastAsia="en-NZ"/>
              </w:rPr>
              <m:t>K</m:t>
            </m:r>
          </m:e>
          <m:sub>
            <m:r>
              <w:rPr>
                <w:rFonts w:ascii="Cambria Math" w:hAnsi="Cambria Math" w:cs="Arial"/>
                <w:sz w:val="22"/>
                <w:szCs w:val="22"/>
                <w:lang w:eastAsia="en-NZ"/>
              </w:rPr>
              <m:t>t</m:t>
            </m:r>
          </m:sub>
          <m:sup>
            <m:r>
              <w:rPr>
                <w:rFonts w:ascii="Cambria Math" w:hAnsi="Cambria Math" w:cs="Arial"/>
                <w:sz w:val="22"/>
                <w:szCs w:val="22"/>
                <w:lang w:eastAsia="en-NZ"/>
              </w:rPr>
              <m:t>β</m:t>
            </m:r>
            <m:r>
              <w:rPr>
                <w:rFonts w:ascii="Cambria Math" w:cs="Arial"/>
                <w:sz w:val="22"/>
                <w:szCs w:val="22"/>
                <w:lang w:eastAsia="en-NZ"/>
              </w:rPr>
              <m:t>2</m:t>
            </m:r>
          </m:sup>
        </m:sSubSup>
        <m:sSubSup>
          <m:sSubSupPr>
            <m:ctrlPr>
              <w:rPr>
                <w:rFonts w:ascii="Cambria Math" w:hAnsi="Cambria Math" w:cs="Arial"/>
                <w:i/>
                <w:sz w:val="22"/>
                <w:szCs w:val="22"/>
                <w:lang w:eastAsia="en-NZ"/>
              </w:rPr>
            </m:ctrlPr>
          </m:sSubSupPr>
          <m:e>
            <m:r>
              <w:rPr>
                <w:rFonts w:ascii="Cambria Math" w:hAnsi="Cambria Math" w:cs="Arial"/>
                <w:sz w:val="22"/>
                <w:szCs w:val="22"/>
                <w:lang w:eastAsia="en-NZ"/>
              </w:rPr>
              <m:t>L</m:t>
            </m:r>
          </m:e>
          <m:sub>
            <m:r>
              <w:rPr>
                <w:rFonts w:ascii="Cambria Math" w:hAnsi="Cambria Math" w:cs="Arial"/>
                <w:sz w:val="22"/>
                <w:szCs w:val="22"/>
                <w:lang w:eastAsia="en-NZ"/>
              </w:rPr>
              <m:t>t</m:t>
            </m:r>
          </m:sub>
          <m:sup>
            <m:r>
              <w:rPr>
                <w:rFonts w:ascii="Cambria Math" w:hAnsi="Cambria Math" w:cs="Arial"/>
                <w:sz w:val="22"/>
                <w:szCs w:val="22"/>
                <w:lang w:eastAsia="en-NZ"/>
              </w:rPr>
              <m:t>β</m:t>
            </m:r>
            <m:r>
              <w:rPr>
                <w:rFonts w:ascii="Cambria Math" w:cs="Arial"/>
                <w:sz w:val="22"/>
                <w:szCs w:val="22"/>
                <w:lang w:eastAsia="en-NZ"/>
              </w:rPr>
              <m:t>3</m:t>
            </m:r>
          </m:sup>
        </m:sSubSup>
      </m:oMath>
      <w:r w:rsidR="00343121" w:rsidRPr="00F05BED">
        <w:rPr>
          <w:rFonts w:cs="Arial"/>
          <w:sz w:val="22"/>
          <w:szCs w:val="22"/>
          <w:lang w:eastAsia="en-NZ"/>
        </w:rPr>
        <w:tab/>
      </w:r>
      <w:r w:rsidR="00343121" w:rsidRPr="00F05BED">
        <w:rPr>
          <w:rFonts w:cs="Arial"/>
          <w:sz w:val="22"/>
          <w:szCs w:val="22"/>
          <w:lang w:eastAsia="en-NZ"/>
        </w:rPr>
        <w:tab/>
      </w:r>
      <w:r w:rsidR="00343121" w:rsidRPr="00F05BED">
        <w:rPr>
          <w:rFonts w:cs="Arial"/>
          <w:sz w:val="22"/>
          <w:szCs w:val="22"/>
          <w:lang w:eastAsia="en-NZ"/>
        </w:rPr>
        <w:tab/>
      </w:r>
      <w:r w:rsidR="00343121" w:rsidRPr="00F05BED">
        <w:rPr>
          <w:rFonts w:cs="Arial"/>
          <w:sz w:val="22"/>
          <w:szCs w:val="22"/>
          <w:lang w:eastAsia="en-NZ"/>
        </w:rPr>
        <w:tab/>
      </w:r>
      <w:r w:rsidR="00343121" w:rsidRPr="00F05BED">
        <w:rPr>
          <w:rFonts w:cs="Arial"/>
          <w:sz w:val="22"/>
          <w:szCs w:val="22"/>
          <w:lang w:eastAsia="en-NZ"/>
        </w:rPr>
        <w:tab/>
      </w:r>
      <w:r w:rsidR="00343121" w:rsidRPr="00F05BED">
        <w:rPr>
          <w:rFonts w:cs="Arial"/>
          <w:sz w:val="22"/>
          <w:szCs w:val="22"/>
          <w:lang w:eastAsia="en-NZ"/>
        </w:rPr>
        <w:tab/>
      </w:r>
      <w:r w:rsidR="00343121" w:rsidRPr="00F05BED">
        <w:rPr>
          <w:rFonts w:cs="Arial"/>
          <w:sz w:val="22"/>
          <w:szCs w:val="22"/>
          <w:lang w:eastAsia="en-NZ"/>
        </w:rPr>
        <w:tab/>
        <w:t>(6)</w:t>
      </w:r>
    </w:p>
    <w:p w:rsidR="00343121" w:rsidRPr="00F05BED" w:rsidRDefault="00343121" w:rsidP="00F05BED">
      <w:pPr>
        <w:autoSpaceDE w:val="0"/>
        <w:autoSpaceDN w:val="0"/>
        <w:adjustRightInd w:val="0"/>
        <w:spacing w:line="320" w:lineRule="atLeast"/>
        <w:rPr>
          <w:rFonts w:cs="Arial"/>
          <w:sz w:val="22"/>
          <w:szCs w:val="22"/>
          <w:lang w:eastAsia="en-NZ"/>
        </w:rPr>
      </w:pPr>
    </w:p>
    <w:p w:rsidR="00343121" w:rsidRPr="00F05BED" w:rsidRDefault="00343121" w:rsidP="00F05BED">
      <w:pPr>
        <w:autoSpaceDE w:val="0"/>
        <w:autoSpaceDN w:val="0"/>
        <w:adjustRightInd w:val="0"/>
        <w:spacing w:line="320" w:lineRule="atLeast"/>
        <w:rPr>
          <w:rFonts w:cs="Arial"/>
          <w:sz w:val="22"/>
          <w:szCs w:val="22"/>
          <w:lang w:eastAsia="en-NZ"/>
        </w:rPr>
      </w:pPr>
      <w:r w:rsidRPr="00F05BED">
        <w:rPr>
          <w:rFonts w:cs="Arial"/>
          <w:sz w:val="22"/>
          <w:szCs w:val="22"/>
          <w:lang w:eastAsia="en-NZ"/>
        </w:rPr>
        <w:t xml:space="preserve">where </w:t>
      </w:r>
      <w:r w:rsidRPr="007665E2">
        <w:rPr>
          <w:rFonts w:cs="Arial"/>
          <w:i/>
          <w:sz w:val="22"/>
          <w:szCs w:val="22"/>
          <w:lang w:eastAsia="en-NZ"/>
        </w:rPr>
        <w:t>Y</w:t>
      </w:r>
      <w:r w:rsidRPr="00F05BED">
        <w:rPr>
          <w:rFonts w:cs="Arial"/>
          <w:sz w:val="22"/>
          <w:szCs w:val="22"/>
          <w:lang w:eastAsia="en-NZ"/>
        </w:rPr>
        <w:t xml:space="preserve"> is the </w:t>
      </w:r>
      <w:r w:rsidR="00235896">
        <w:rPr>
          <w:rFonts w:cs="Arial"/>
          <w:sz w:val="22"/>
          <w:szCs w:val="22"/>
          <w:lang w:eastAsia="en-NZ"/>
        </w:rPr>
        <w:t xml:space="preserve">GDP </w:t>
      </w:r>
      <w:r w:rsidRPr="00F05BED">
        <w:rPr>
          <w:rFonts w:cs="Arial"/>
          <w:sz w:val="22"/>
          <w:szCs w:val="22"/>
          <w:lang w:eastAsia="en-NZ"/>
        </w:rPr>
        <w:t xml:space="preserve">in constant price; </w:t>
      </w:r>
      <w:r w:rsidRPr="007665E2">
        <w:rPr>
          <w:rFonts w:cs="Arial"/>
          <w:i/>
          <w:sz w:val="22"/>
          <w:szCs w:val="22"/>
          <w:lang w:eastAsia="en-NZ"/>
        </w:rPr>
        <w:t>A</w:t>
      </w:r>
      <w:r w:rsidRPr="00F05BED">
        <w:rPr>
          <w:rFonts w:cs="Arial"/>
          <w:sz w:val="22"/>
          <w:szCs w:val="22"/>
          <w:lang w:eastAsia="en-NZ"/>
        </w:rPr>
        <w:t xml:space="preserve"> is a parameter that captures any shift in the production function over time that is not incorporated in a specific factor of </w:t>
      </w:r>
      <w:r w:rsidR="00F05BED">
        <w:rPr>
          <w:rFonts w:cs="Arial"/>
          <w:sz w:val="22"/>
          <w:szCs w:val="22"/>
          <w:lang w:eastAsia="en-NZ"/>
        </w:rPr>
        <w:t xml:space="preserve">production; </w:t>
      </w:r>
      <w:r w:rsidR="00F05BED" w:rsidRPr="007665E2">
        <w:rPr>
          <w:rFonts w:cs="Arial"/>
          <w:i/>
          <w:sz w:val="22"/>
          <w:szCs w:val="22"/>
          <w:lang w:eastAsia="en-NZ"/>
        </w:rPr>
        <w:t>R</w:t>
      </w:r>
      <w:r w:rsidR="00F05BED">
        <w:rPr>
          <w:rFonts w:cs="Arial"/>
          <w:sz w:val="22"/>
          <w:szCs w:val="22"/>
          <w:lang w:eastAsia="en-NZ"/>
        </w:rPr>
        <w:t xml:space="preserve"> is the productive road</w:t>
      </w:r>
      <w:r w:rsidRPr="00F05BED">
        <w:rPr>
          <w:rFonts w:cs="Arial"/>
          <w:sz w:val="22"/>
          <w:szCs w:val="22"/>
          <w:lang w:eastAsia="en-NZ"/>
        </w:rPr>
        <w:t xml:space="preserve"> infrastructure </w:t>
      </w:r>
      <w:r w:rsidR="00F05BED">
        <w:rPr>
          <w:rFonts w:cs="Arial"/>
          <w:sz w:val="22"/>
          <w:szCs w:val="22"/>
          <w:lang w:eastAsia="en-NZ"/>
        </w:rPr>
        <w:t xml:space="preserve">capital stock </w:t>
      </w:r>
      <w:r w:rsidRPr="00F05BED">
        <w:rPr>
          <w:rFonts w:cs="Arial"/>
          <w:sz w:val="22"/>
          <w:szCs w:val="22"/>
          <w:lang w:eastAsia="en-NZ"/>
        </w:rPr>
        <w:t>in const</w:t>
      </w:r>
      <w:r w:rsidR="00F05BED">
        <w:rPr>
          <w:rFonts w:cs="Arial"/>
          <w:sz w:val="22"/>
          <w:szCs w:val="22"/>
          <w:lang w:eastAsia="en-NZ"/>
        </w:rPr>
        <w:t xml:space="preserve">ant price; </w:t>
      </w:r>
      <w:r w:rsidR="00F05BED" w:rsidRPr="007665E2">
        <w:rPr>
          <w:rFonts w:cs="Arial"/>
          <w:i/>
          <w:sz w:val="22"/>
          <w:szCs w:val="22"/>
          <w:lang w:eastAsia="en-NZ"/>
        </w:rPr>
        <w:t>K</w:t>
      </w:r>
      <w:r w:rsidR="00F05BED">
        <w:rPr>
          <w:rFonts w:cs="Arial"/>
          <w:sz w:val="22"/>
          <w:szCs w:val="22"/>
          <w:lang w:eastAsia="en-NZ"/>
        </w:rPr>
        <w:t xml:space="preserve"> is the productive non-road </w:t>
      </w:r>
      <w:r w:rsidRPr="00F05BED">
        <w:rPr>
          <w:rFonts w:cs="Arial"/>
          <w:sz w:val="22"/>
          <w:szCs w:val="22"/>
          <w:lang w:eastAsia="en-NZ"/>
        </w:rPr>
        <w:t xml:space="preserve">capital </w:t>
      </w:r>
      <w:r w:rsidR="00F05BED">
        <w:rPr>
          <w:rFonts w:cs="Arial"/>
          <w:sz w:val="22"/>
          <w:szCs w:val="22"/>
          <w:lang w:eastAsia="en-NZ"/>
        </w:rPr>
        <w:t xml:space="preserve">stock </w:t>
      </w:r>
      <w:r w:rsidRPr="00F05BED">
        <w:rPr>
          <w:rFonts w:cs="Arial"/>
          <w:sz w:val="22"/>
          <w:szCs w:val="22"/>
          <w:lang w:eastAsia="en-NZ"/>
        </w:rPr>
        <w:t xml:space="preserve">in constant price; </w:t>
      </w:r>
      <w:r w:rsidRPr="007665E2">
        <w:rPr>
          <w:rFonts w:cs="Arial"/>
          <w:i/>
          <w:sz w:val="22"/>
          <w:szCs w:val="22"/>
          <w:lang w:eastAsia="en-NZ"/>
        </w:rPr>
        <w:t>L</w:t>
      </w:r>
      <w:r w:rsidRPr="00F05BED">
        <w:rPr>
          <w:rFonts w:cs="Arial"/>
          <w:sz w:val="22"/>
          <w:szCs w:val="22"/>
          <w:lang w:eastAsia="en-NZ"/>
        </w:rPr>
        <w:t xml:space="preserve"> is the employee count</w:t>
      </w:r>
      <w:r w:rsidR="00F05BED">
        <w:rPr>
          <w:rFonts w:cs="Arial"/>
          <w:sz w:val="22"/>
          <w:szCs w:val="22"/>
          <w:lang w:eastAsia="en-NZ"/>
        </w:rPr>
        <w:t>;</w:t>
      </w:r>
      <w:r w:rsidRPr="00F05BED">
        <w:rPr>
          <w:rFonts w:cs="Arial"/>
          <w:sz w:val="22"/>
          <w:szCs w:val="22"/>
          <w:lang w:eastAsia="en-NZ"/>
        </w:rPr>
        <w:t xml:space="preserve"> </w:t>
      </w:r>
      <w:r w:rsidRPr="00F05BED">
        <w:rPr>
          <w:rFonts w:ascii="Symbol" w:eastAsia="SymbolOOEnc" w:hAnsi="Symbol" w:cs="Arial"/>
          <w:sz w:val="22"/>
          <w:szCs w:val="22"/>
          <w:lang w:eastAsia="en-NZ"/>
        </w:rPr>
        <w:t></w:t>
      </w:r>
      <w:r w:rsidRPr="00F05BED">
        <w:rPr>
          <w:rFonts w:cs="Arial"/>
          <w:sz w:val="22"/>
          <w:szCs w:val="22"/>
          <w:lang w:eastAsia="en-NZ"/>
        </w:rPr>
        <w:t>’s are the parameter</w:t>
      </w:r>
      <w:r w:rsidR="00F05BED">
        <w:rPr>
          <w:rFonts w:cs="Arial"/>
          <w:sz w:val="22"/>
          <w:szCs w:val="22"/>
          <w:lang w:eastAsia="en-NZ"/>
        </w:rPr>
        <w:t xml:space="preserve">s representing returns to scale and </w:t>
      </w:r>
      <w:r w:rsidR="00F05BED" w:rsidRPr="00986CF6">
        <w:rPr>
          <w:rFonts w:cs="Arial"/>
          <w:i/>
          <w:sz w:val="22"/>
          <w:szCs w:val="22"/>
          <w:lang w:eastAsia="en-NZ"/>
        </w:rPr>
        <w:t>t</w:t>
      </w:r>
      <w:r w:rsidR="00F05BED" w:rsidRPr="00F05BED">
        <w:rPr>
          <w:rFonts w:cs="Arial"/>
          <w:sz w:val="22"/>
          <w:szCs w:val="22"/>
          <w:lang w:eastAsia="en-NZ"/>
        </w:rPr>
        <w:t xml:space="preserve"> denotes time period</w:t>
      </w:r>
      <w:r w:rsidR="00A21B24">
        <w:rPr>
          <w:rFonts w:cs="Arial"/>
          <w:sz w:val="22"/>
          <w:szCs w:val="22"/>
          <w:lang w:eastAsia="en-NZ"/>
        </w:rPr>
        <w:t>.</w:t>
      </w:r>
    </w:p>
    <w:p w:rsidR="00343121" w:rsidRPr="00F05BED" w:rsidRDefault="00343121" w:rsidP="00F05BED">
      <w:pPr>
        <w:autoSpaceDE w:val="0"/>
        <w:autoSpaceDN w:val="0"/>
        <w:adjustRightInd w:val="0"/>
        <w:spacing w:line="320" w:lineRule="atLeast"/>
        <w:rPr>
          <w:rFonts w:cs="Arial"/>
          <w:sz w:val="22"/>
          <w:szCs w:val="22"/>
          <w:lang w:eastAsia="en-NZ"/>
        </w:rPr>
      </w:pPr>
    </w:p>
    <w:p w:rsidR="00343121" w:rsidRPr="00F05BED" w:rsidRDefault="00343121" w:rsidP="00F05BED">
      <w:pPr>
        <w:autoSpaceDE w:val="0"/>
        <w:autoSpaceDN w:val="0"/>
        <w:adjustRightInd w:val="0"/>
        <w:spacing w:line="320" w:lineRule="atLeast"/>
        <w:rPr>
          <w:rFonts w:cs="Arial"/>
          <w:sz w:val="22"/>
          <w:szCs w:val="22"/>
          <w:lang w:eastAsia="en-NZ"/>
        </w:rPr>
      </w:pPr>
      <w:r w:rsidRPr="00F05BED">
        <w:rPr>
          <w:rFonts w:cs="Arial"/>
          <w:sz w:val="22"/>
          <w:szCs w:val="22"/>
          <w:lang w:eastAsia="en-NZ"/>
        </w:rPr>
        <w:t xml:space="preserve">The term </w:t>
      </w:r>
      <w:proofErr w:type="gramStart"/>
      <w:r w:rsidRPr="007665E2">
        <w:rPr>
          <w:rFonts w:cs="Arial"/>
          <w:i/>
          <w:sz w:val="22"/>
          <w:szCs w:val="22"/>
          <w:lang w:eastAsia="en-NZ"/>
        </w:rPr>
        <w:t>A</w:t>
      </w:r>
      <w:r w:rsidRPr="007665E2">
        <w:rPr>
          <w:rFonts w:cs="Arial"/>
          <w:i/>
          <w:sz w:val="22"/>
          <w:szCs w:val="22"/>
          <w:vertAlign w:val="subscript"/>
          <w:lang w:eastAsia="en-NZ"/>
        </w:rPr>
        <w:t>t</w:t>
      </w:r>
      <w:proofErr w:type="gramEnd"/>
      <w:r w:rsidRPr="00F05BED">
        <w:rPr>
          <w:rFonts w:cs="Arial"/>
          <w:sz w:val="22"/>
          <w:szCs w:val="22"/>
          <w:lang w:eastAsia="en-NZ"/>
        </w:rPr>
        <w:t xml:space="preserve"> can be viewed as a measure of the multi</w:t>
      </w:r>
      <w:r w:rsidR="0087738B">
        <w:rPr>
          <w:rFonts w:cs="Arial"/>
          <w:sz w:val="22"/>
          <w:szCs w:val="22"/>
          <w:lang w:eastAsia="en-NZ"/>
        </w:rPr>
        <w:t>-</w:t>
      </w:r>
      <w:r w:rsidRPr="00F05BED">
        <w:rPr>
          <w:rFonts w:cs="Arial"/>
          <w:sz w:val="22"/>
          <w:szCs w:val="22"/>
          <w:lang w:eastAsia="en-NZ"/>
        </w:rPr>
        <w:t xml:space="preserve">factor productivity. It measures the spill-over effects from other factors of production; efficiency gains from diffusion of knowledge and better management methods of production techniques and the efficiency and effectiveness gains from utilising the capital stock already </w:t>
      </w:r>
      <w:r w:rsidR="0087738B" w:rsidRPr="00F05BED">
        <w:rPr>
          <w:rFonts w:cs="Arial"/>
          <w:sz w:val="22"/>
          <w:szCs w:val="22"/>
          <w:lang w:eastAsia="en-NZ"/>
        </w:rPr>
        <w:t>exist</w:t>
      </w:r>
      <w:r w:rsidR="0087738B">
        <w:rPr>
          <w:rFonts w:cs="Arial"/>
          <w:sz w:val="22"/>
          <w:szCs w:val="22"/>
          <w:lang w:eastAsia="en-NZ"/>
        </w:rPr>
        <w:t>ing</w:t>
      </w:r>
      <w:r w:rsidR="0087738B" w:rsidRPr="00F05BED">
        <w:rPr>
          <w:rFonts w:cs="Arial"/>
          <w:sz w:val="22"/>
          <w:szCs w:val="22"/>
          <w:lang w:eastAsia="en-NZ"/>
        </w:rPr>
        <w:t xml:space="preserve"> </w:t>
      </w:r>
      <w:r w:rsidRPr="00F05BED">
        <w:rPr>
          <w:rFonts w:cs="Arial"/>
          <w:sz w:val="22"/>
          <w:szCs w:val="22"/>
          <w:lang w:eastAsia="en-NZ"/>
        </w:rPr>
        <w:t>in the economy.</w:t>
      </w:r>
    </w:p>
    <w:p w:rsidR="00343121" w:rsidRPr="00F05BED" w:rsidRDefault="00343121" w:rsidP="00F05BED">
      <w:pPr>
        <w:spacing w:line="320" w:lineRule="atLeast"/>
        <w:rPr>
          <w:rFonts w:cs="Arial"/>
          <w:sz w:val="22"/>
          <w:szCs w:val="22"/>
          <w:lang w:eastAsia="en-NZ"/>
        </w:rPr>
      </w:pPr>
    </w:p>
    <w:p w:rsidR="00343121" w:rsidRPr="00F05BED" w:rsidRDefault="00343121" w:rsidP="00F05BED">
      <w:pPr>
        <w:autoSpaceDE w:val="0"/>
        <w:autoSpaceDN w:val="0"/>
        <w:adjustRightInd w:val="0"/>
        <w:spacing w:line="320" w:lineRule="atLeast"/>
        <w:rPr>
          <w:rFonts w:cs="Arial"/>
          <w:sz w:val="22"/>
          <w:szCs w:val="22"/>
          <w:lang w:eastAsia="en-NZ"/>
        </w:rPr>
      </w:pPr>
      <w:r w:rsidRPr="00F05BED">
        <w:rPr>
          <w:rFonts w:cs="Arial"/>
          <w:sz w:val="22"/>
          <w:szCs w:val="22"/>
          <w:lang w:eastAsia="en-NZ"/>
        </w:rPr>
        <w:t>Several variations of the APF have been used in the literature to overcome the well-known methodological deficiencies, such as non-</w:t>
      </w:r>
      <w:proofErr w:type="spellStart"/>
      <w:r w:rsidRPr="00F05BED">
        <w:rPr>
          <w:rFonts w:cs="Arial"/>
          <w:sz w:val="22"/>
          <w:szCs w:val="22"/>
          <w:lang w:eastAsia="en-NZ"/>
        </w:rPr>
        <w:t>stationarity</w:t>
      </w:r>
      <w:proofErr w:type="spellEnd"/>
      <w:r w:rsidRPr="00F05BED">
        <w:rPr>
          <w:rFonts w:cs="Arial"/>
          <w:sz w:val="22"/>
          <w:szCs w:val="22"/>
          <w:lang w:eastAsia="en-NZ"/>
        </w:rPr>
        <w:t xml:space="preserve">. We use an error correction model </w:t>
      </w:r>
      <w:r w:rsidR="00986CF6">
        <w:rPr>
          <w:rFonts w:cs="Arial"/>
          <w:sz w:val="22"/>
          <w:szCs w:val="22"/>
          <w:lang w:eastAsia="en-NZ"/>
        </w:rPr>
        <w:t xml:space="preserve">(ECM) </w:t>
      </w:r>
      <w:r w:rsidRPr="00F05BED">
        <w:rPr>
          <w:rFonts w:cs="Arial"/>
          <w:sz w:val="22"/>
          <w:szCs w:val="22"/>
          <w:lang w:eastAsia="en-NZ"/>
        </w:rPr>
        <w:t xml:space="preserve">for this analysis as there are evidences that </w:t>
      </w:r>
      <w:r w:rsidR="00A21B24">
        <w:rPr>
          <w:rFonts w:cs="Arial"/>
          <w:sz w:val="22"/>
          <w:szCs w:val="22"/>
          <w:lang w:eastAsia="en-NZ"/>
        </w:rPr>
        <w:t xml:space="preserve">the </w:t>
      </w:r>
      <w:r w:rsidRPr="00F05BED">
        <w:rPr>
          <w:rFonts w:cs="Arial"/>
          <w:sz w:val="22"/>
          <w:szCs w:val="22"/>
          <w:lang w:eastAsia="en-NZ"/>
        </w:rPr>
        <w:t xml:space="preserve">dependent </w:t>
      </w:r>
      <w:r w:rsidRPr="00F05BED">
        <w:rPr>
          <w:rFonts w:cs="Arial"/>
          <w:sz w:val="22"/>
          <w:szCs w:val="22"/>
          <w:lang w:eastAsia="en-NZ"/>
        </w:rPr>
        <w:lastRenderedPageBreak/>
        <w:t xml:space="preserve">and independent variables are </w:t>
      </w:r>
      <w:proofErr w:type="spellStart"/>
      <w:r w:rsidRPr="00F05BED">
        <w:rPr>
          <w:rFonts w:cs="Arial"/>
          <w:sz w:val="22"/>
          <w:szCs w:val="22"/>
          <w:lang w:eastAsia="en-NZ"/>
        </w:rPr>
        <w:t>cointegrated</w:t>
      </w:r>
      <w:proofErr w:type="spellEnd"/>
      <w:r w:rsidRPr="00F05BED">
        <w:rPr>
          <w:rStyle w:val="FootnoteReference"/>
          <w:rFonts w:cs="Arial"/>
          <w:sz w:val="22"/>
          <w:szCs w:val="22"/>
          <w:lang w:eastAsia="en-NZ"/>
        </w:rPr>
        <w:footnoteReference w:id="5"/>
      </w:r>
      <w:r w:rsidRPr="00F05BED">
        <w:rPr>
          <w:rFonts w:cs="Arial"/>
          <w:sz w:val="22"/>
          <w:szCs w:val="22"/>
          <w:lang w:eastAsia="en-NZ"/>
        </w:rPr>
        <w:t>. Equation (6) has been modelled in double logarithm form. The long run equation is shown in equation (</w:t>
      </w:r>
      <w:r w:rsidR="007665E2">
        <w:rPr>
          <w:rFonts w:cs="Arial"/>
          <w:sz w:val="22"/>
          <w:szCs w:val="22"/>
          <w:lang w:eastAsia="en-NZ"/>
        </w:rPr>
        <w:t>7</w:t>
      </w:r>
      <w:r w:rsidRPr="00F05BED">
        <w:rPr>
          <w:rFonts w:cs="Arial"/>
          <w:sz w:val="22"/>
          <w:szCs w:val="22"/>
          <w:lang w:eastAsia="en-NZ"/>
        </w:rPr>
        <w:t>).</w:t>
      </w:r>
    </w:p>
    <w:p w:rsidR="00343121" w:rsidRPr="00F05BED" w:rsidRDefault="00343121" w:rsidP="00F05BED">
      <w:pPr>
        <w:spacing w:line="320" w:lineRule="atLeast"/>
        <w:rPr>
          <w:rFonts w:cs="Arial"/>
          <w:sz w:val="22"/>
          <w:szCs w:val="22"/>
          <w:lang w:eastAsia="en-NZ"/>
        </w:rPr>
      </w:pPr>
    </w:p>
    <w:p w:rsidR="00343121" w:rsidRPr="00F05BED" w:rsidRDefault="00343121" w:rsidP="00F05BED">
      <w:pPr>
        <w:spacing w:line="320" w:lineRule="atLeast"/>
        <w:rPr>
          <w:rFonts w:cs="Arial"/>
          <w:sz w:val="22"/>
          <w:szCs w:val="22"/>
          <w:lang w:eastAsia="en-NZ"/>
        </w:rPr>
      </w:pPr>
      <w:r w:rsidRPr="00F05BED">
        <w:rPr>
          <w:rFonts w:cs="Arial"/>
          <w:sz w:val="22"/>
          <w:szCs w:val="22"/>
          <w:lang w:eastAsia="en-NZ"/>
        </w:rPr>
        <w:tab/>
      </w:r>
      <m:oMath>
        <m:r>
          <w:rPr>
            <w:rFonts w:ascii="Cambria Math" w:hAnsi="Cambria Math" w:cs="Arial"/>
            <w:sz w:val="22"/>
            <w:szCs w:val="22"/>
            <w:lang w:eastAsia="en-NZ"/>
          </w:rPr>
          <m:t>ln</m:t>
        </m:r>
        <m:sSub>
          <m:sSubPr>
            <m:ctrlPr>
              <w:rPr>
                <w:rFonts w:ascii="Cambria Math" w:hAnsi="Cambria Math" w:cs="Arial"/>
                <w:i/>
                <w:sz w:val="22"/>
                <w:szCs w:val="22"/>
                <w:lang w:eastAsia="en-NZ"/>
              </w:rPr>
            </m:ctrlPr>
          </m:sSubPr>
          <m:e>
            <m:r>
              <w:rPr>
                <w:rFonts w:ascii="Cambria Math" w:hAnsi="Cambria Math" w:cs="Arial"/>
                <w:sz w:val="22"/>
                <w:szCs w:val="22"/>
                <w:lang w:eastAsia="en-NZ"/>
              </w:rPr>
              <m:t>Y</m:t>
            </m:r>
          </m:e>
          <m:sub>
            <m:r>
              <w:rPr>
                <w:rFonts w:ascii="Cambria Math" w:hAnsi="Cambria Math" w:cs="Arial"/>
                <w:sz w:val="22"/>
                <w:szCs w:val="22"/>
                <w:lang w:eastAsia="en-NZ"/>
              </w:rPr>
              <m:t>t</m:t>
            </m:r>
          </m:sub>
        </m:sSub>
        <m:r>
          <w:rPr>
            <w:rFonts w:ascii="Cambria Math" w:hAnsi="Cambria Math" w:cs="Arial"/>
            <w:sz w:val="22"/>
            <w:szCs w:val="22"/>
            <w:lang w:eastAsia="en-NZ"/>
          </w:rPr>
          <m:t>=α+δtrend +</m:t>
        </m:r>
        <m:sSub>
          <m:sSubPr>
            <m:ctrlPr>
              <w:rPr>
                <w:rFonts w:ascii="Cambria Math" w:hAnsi="Cambria Math" w:cs="Arial"/>
                <w:i/>
                <w:sz w:val="22"/>
                <w:szCs w:val="22"/>
                <w:lang w:eastAsia="en-NZ"/>
              </w:rPr>
            </m:ctrlPr>
          </m:sSubPr>
          <m:e>
            <m:sSub>
              <m:sSubPr>
                <m:ctrlPr>
                  <w:rPr>
                    <w:rFonts w:ascii="Cambria Math" w:hAnsi="Cambria Math" w:cs="Arial"/>
                    <w:i/>
                    <w:sz w:val="22"/>
                    <w:szCs w:val="22"/>
                    <w:lang w:eastAsia="en-NZ"/>
                  </w:rPr>
                </m:ctrlPr>
              </m:sSubPr>
              <m:e>
                <m:r>
                  <w:rPr>
                    <w:rFonts w:ascii="Cambria Math" w:hAnsi="Cambria Math" w:cs="Arial"/>
                    <w:sz w:val="22"/>
                    <w:szCs w:val="22"/>
                    <w:lang w:eastAsia="en-NZ"/>
                  </w:rPr>
                  <m:t>β</m:t>
                </m:r>
              </m:e>
              <m:sub>
                <m:r>
                  <w:rPr>
                    <w:rFonts w:ascii="Cambria Math" w:hAnsi="Cambria Math" w:cs="Arial"/>
                    <w:sz w:val="22"/>
                    <w:szCs w:val="22"/>
                    <w:lang w:eastAsia="en-NZ"/>
                  </w:rPr>
                  <m:t>1</m:t>
                </m:r>
              </m:sub>
            </m:sSub>
            <m:r>
              <w:rPr>
                <w:rFonts w:ascii="Cambria Math" w:hAnsi="Cambria Math" w:cs="Arial"/>
                <w:sz w:val="22"/>
                <w:szCs w:val="22"/>
                <w:lang w:eastAsia="en-NZ"/>
              </w:rPr>
              <m:t>lnR</m:t>
            </m:r>
          </m:e>
          <m:sub>
            <m:r>
              <w:rPr>
                <w:rFonts w:ascii="Cambria Math" w:hAnsi="Cambria Math" w:cs="Arial"/>
                <w:sz w:val="22"/>
                <w:szCs w:val="22"/>
                <w:lang w:eastAsia="en-NZ"/>
              </w:rPr>
              <m:t>t</m:t>
            </m:r>
          </m:sub>
        </m:sSub>
        <m:r>
          <w:rPr>
            <w:rFonts w:ascii="Cambria Math" w:hAnsi="Cambria Math" w:cs="Arial"/>
            <w:sz w:val="22"/>
            <w:szCs w:val="22"/>
            <w:lang w:eastAsia="en-NZ"/>
          </w:rPr>
          <m:t>+</m:t>
        </m:r>
        <m:sSub>
          <m:sSubPr>
            <m:ctrlPr>
              <w:rPr>
                <w:rFonts w:ascii="Cambria Math" w:hAnsi="Cambria Math" w:cs="Arial"/>
                <w:i/>
                <w:sz w:val="22"/>
                <w:szCs w:val="22"/>
                <w:lang w:eastAsia="en-NZ"/>
              </w:rPr>
            </m:ctrlPr>
          </m:sSubPr>
          <m:e>
            <m:sSub>
              <m:sSubPr>
                <m:ctrlPr>
                  <w:rPr>
                    <w:rFonts w:ascii="Cambria Math" w:hAnsi="Cambria Math" w:cs="Arial"/>
                    <w:i/>
                    <w:sz w:val="22"/>
                    <w:szCs w:val="22"/>
                    <w:lang w:eastAsia="en-NZ"/>
                  </w:rPr>
                </m:ctrlPr>
              </m:sSubPr>
              <m:e>
                <m:r>
                  <w:rPr>
                    <w:rFonts w:ascii="Cambria Math" w:hAnsi="Cambria Math" w:cs="Arial"/>
                    <w:sz w:val="22"/>
                    <w:szCs w:val="22"/>
                    <w:lang w:eastAsia="en-NZ"/>
                  </w:rPr>
                  <m:t>β</m:t>
                </m:r>
              </m:e>
              <m:sub>
                <m:r>
                  <w:rPr>
                    <w:rFonts w:ascii="Cambria Math" w:hAnsi="Cambria Math" w:cs="Arial"/>
                    <w:sz w:val="22"/>
                    <w:szCs w:val="22"/>
                    <w:lang w:eastAsia="en-NZ"/>
                  </w:rPr>
                  <m:t>2</m:t>
                </m:r>
              </m:sub>
            </m:sSub>
            <m:r>
              <w:rPr>
                <w:rFonts w:ascii="Cambria Math" w:hAnsi="Cambria Math" w:cs="Arial"/>
                <w:sz w:val="22"/>
                <w:szCs w:val="22"/>
                <w:lang w:eastAsia="en-NZ"/>
              </w:rPr>
              <m:t>lnK</m:t>
            </m:r>
          </m:e>
          <m:sub>
            <m:r>
              <w:rPr>
                <w:rFonts w:ascii="Cambria Math" w:hAnsi="Cambria Math" w:cs="Arial"/>
                <w:sz w:val="22"/>
                <w:szCs w:val="22"/>
                <w:lang w:eastAsia="en-NZ"/>
              </w:rPr>
              <m:t>t</m:t>
            </m:r>
          </m:sub>
        </m:sSub>
        <m:r>
          <w:rPr>
            <w:rFonts w:ascii="Cambria Math" w:hAnsi="Cambria Math" w:cs="Arial"/>
            <w:sz w:val="22"/>
            <w:szCs w:val="22"/>
            <w:lang w:eastAsia="en-NZ"/>
          </w:rPr>
          <m:t>+</m:t>
        </m:r>
        <m:sSub>
          <m:sSubPr>
            <m:ctrlPr>
              <w:rPr>
                <w:rFonts w:ascii="Cambria Math" w:hAnsi="Cambria Math" w:cs="Arial"/>
                <w:i/>
                <w:sz w:val="22"/>
                <w:szCs w:val="22"/>
                <w:lang w:eastAsia="en-NZ"/>
              </w:rPr>
            </m:ctrlPr>
          </m:sSubPr>
          <m:e>
            <m:sSub>
              <m:sSubPr>
                <m:ctrlPr>
                  <w:rPr>
                    <w:rFonts w:ascii="Cambria Math" w:hAnsi="Cambria Math" w:cs="Arial"/>
                    <w:i/>
                    <w:sz w:val="22"/>
                    <w:szCs w:val="22"/>
                    <w:lang w:eastAsia="en-NZ"/>
                  </w:rPr>
                </m:ctrlPr>
              </m:sSubPr>
              <m:e>
                <m:r>
                  <w:rPr>
                    <w:rFonts w:ascii="Cambria Math" w:hAnsi="Cambria Math" w:cs="Arial"/>
                    <w:sz w:val="22"/>
                    <w:szCs w:val="22"/>
                    <w:lang w:eastAsia="en-NZ"/>
                  </w:rPr>
                  <m:t>β</m:t>
                </m:r>
              </m:e>
              <m:sub>
                <m:r>
                  <w:rPr>
                    <w:rFonts w:ascii="Cambria Math" w:hAnsi="Cambria Math" w:cs="Arial"/>
                    <w:sz w:val="22"/>
                    <w:szCs w:val="22"/>
                    <w:lang w:eastAsia="en-NZ"/>
                  </w:rPr>
                  <m:t>3</m:t>
                </m:r>
              </m:sub>
            </m:sSub>
            <m:r>
              <w:rPr>
                <w:rFonts w:ascii="Cambria Math" w:hAnsi="Cambria Math" w:cs="Arial"/>
                <w:sz w:val="22"/>
                <w:szCs w:val="22"/>
                <w:lang w:eastAsia="en-NZ"/>
              </w:rPr>
              <m:t>lnL</m:t>
            </m:r>
          </m:e>
          <m:sub>
            <m:r>
              <w:rPr>
                <w:rFonts w:ascii="Cambria Math" w:hAnsi="Cambria Math" w:cs="Arial"/>
                <w:sz w:val="22"/>
                <w:szCs w:val="22"/>
                <w:lang w:eastAsia="en-NZ"/>
              </w:rPr>
              <m:t>t</m:t>
            </m:r>
          </m:sub>
        </m:sSub>
        <m:r>
          <w:rPr>
            <w:rFonts w:ascii="Cambria Math" w:hAnsi="Cambria Math" w:cs="Arial"/>
            <w:sz w:val="22"/>
            <w:szCs w:val="22"/>
            <w:lang w:eastAsia="en-NZ"/>
          </w:rPr>
          <m:t>+</m:t>
        </m:r>
        <m:sSub>
          <m:sSubPr>
            <m:ctrlPr>
              <w:rPr>
                <w:rFonts w:ascii="Cambria Math" w:hAnsi="Cambria Math" w:cs="Arial"/>
                <w:i/>
                <w:sz w:val="22"/>
                <w:szCs w:val="22"/>
                <w:lang w:eastAsia="en-NZ"/>
              </w:rPr>
            </m:ctrlPr>
          </m:sSubPr>
          <m:e>
            <m:r>
              <w:rPr>
                <w:rFonts w:ascii="Cambria Math" w:hAnsi="Cambria Math" w:cs="Arial"/>
                <w:sz w:val="22"/>
                <w:szCs w:val="22"/>
                <w:lang w:eastAsia="en-NZ"/>
              </w:rPr>
              <m:t>ε</m:t>
            </m:r>
          </m:e>
          <m:sub>
            <m:r>
              <w:rPr>
                <w:rFonts w:ascii="Cambria Math" w:hAnsi="Cambria Math" w:cs="Arial"/>
                <w:sz w:val="22"/>
                <w:szCs w:val="22"/>
                <w:lang w:eastAsia="en-NZ"/>
              </w:rPr>
              <m:t>t</m:t>
            </m:r>
          </m:sub>
        </m:sSub>
      </m:oMath>
      <w:r w:rsidRPr="00F05BED">
        <w:rPr>
          <w:rFonts w:cs="Arial"/>
          <w:sz w:val="22"/>
          <w:szCs w:val="22"/>
          <w:lang w:eastAsia="en-NZ"/>
        </w:rPr>
        <w:tab/>
      </w:r>
      <w:r w:rsidRPr="00F05BED">
        <w:rPr>
          <w:rFonts w:cs="Arial"/>
          <w:sz w:val="22"/>
          <w:szCs w:val="22"/>
          <w:lang w:eastAsia="en-NZ"/>
        </w:rPr>
        <w:tab/>
      </w:r>
      <w:r w:rsidRPr="00F05BED">
        <w:rPr>
          <w:rFonts w:cs="Arial"/>
          <w:sz w:val="22"/>
          <w:szCs w:val="22"/>
          <w:lang w:eastAsia="en-NZ"/>
        </w:rPr>
        <w:tab/>
        <w:t>(7)</w:t>
      </w:r>
    </w:p>
    <w:p w:rsidR="00343121" w:rsidRDefault="00343121" w:rsidP="00F05BED">
      <w:pPr>
        <w:spacing w:line="320" w:lineRule="atLeast"/>
        <w:rPr>
          <w:rFonts w:cs="Arial"/>
          <w:sz w:val="22"/>
          <w:szCs w:val="22"/>
          <w:lang w:eastAsia="en-NZ"/>
        </w:rPr>
      </w:pPr>
    </w:p>
    <w:p w:rsidR="00BE65C8" w:rsidRPr="00F05BED" w:rsidRDefault="00BE65C8" w:rsidP="00BE65C8">
      <w:pPr>
        <w:spacing w:line="320" w:lineRule="atLeast"/>
        <w:rPr>
          <w:rFonts w:cs="Arial"/>
          <w:sz w:val="22"/>
          <w:szCs w:val="22"/>
          <w:lang w:eastAsia="en-NZ"/>
        </w:rPr>
      </w:pPr>
      <w:proofErr w:type="gramStart"/>
      <w:r w:rsidRPr="00F05BED">
        <w:rPr>
          <w:rFonts w:cs="Arial"/>
          <w:sz w:val="22"/>
          <w:szCs w:val="22"/>
          <w:lang w:eastAsia="en-NZ"/>
        </w:rPr>
        <w:t>where</w:t>
      </w:r>
      <w:proofErr w:type="gramEnd"/>
      <w:r w:rsidRPr="00F05BED">
        <w:rPr>
          <w:rFonts w:cs="Arial"/>
          <w:sz w:val="22"/>
          <w:szCs w:val="22"/>
          <w:lang w:eastAsia="en-NZ"/>
        </w:rPr>
        <w:t xml:space="preserve"> </w:t>
      </w:r>
      <w:r w:rsidRPr="00BE65C8">
        <w:rPr>
          <w:rFonts w:ascii="Symbol" w:hAnsi="Symbol" w:cs="Arial"/>
          <w:i/>
          <w:sz w:val="22"/>
          <w:szCs w:val="22"/>
          <w:lang w:eastAsia="en-NZ"/>
        </w:rPr>
        <w:t></w:t>
      </w:r>
      <w:r w:rsidRPr="00BE65C8">
        <w:rPr>
          <w:rFonts w:cs="Arial"/>
          <w:i/>
          <w:sz w:val="22"/>
          <w:szCs w:val="22"/>
          <w:vertAlign w:val="subscript"/>
          <w:lang w:eastAsia="en-NZ"/>
        </w:rPr>
        <w:t>t</w:t>
      </w:r>
      <w:r w:rsidRPr="00F05BED">
        <w:rPr>
          <w:rFonts w:cs="Arial"/>
          <w:sz w:val="22"/>
          <w:szCs w:val="22"/>
          <w:lang w:eastAsia="en-NZ"/>
        </w:rPr>
        <w:t xml:space="preserve"> is </w:t>
      </w:r>
      <w:r>
        <w:rPr>
          <w:rFonts w:cs="Arial"/>
          <w:sz w:val="22"/>
          <w:szCs w:val="22"/>
          <w:lang w:eastAsia="en-NZ"/>
        </w:rPr>
        <w:t xml:space="preserve">the </w:t>
      </w:r>
      <w:r w:rsidRPr="00F05BED">
        <w:rPr>
          <w:rFonts w:cs="Arial"/>
          <w:sz w:val="22"/>
          <w:szCs w:val="22"/>
          <w:lang w:eastAsia="en-NZ"/>
        </w:rPr>
        <w:t>error term.</w:t>
      </w:r>
    </w:p>
    <w:p w:rsidR="00BE65C8" w:rsidRPr="00F05BED" w:rsidRDefault="00BE65C8" w:rsidP="00F05BED">
      <w:pPr>
        <w:spacing w:line="320" w:lineRule="atLeast"/>
        <w:rPr>
          <w:rFonts w:cs="Arial"/>
          <w:sz w:val="22"/>
          <w:szCs w:val="22"/>
          <w:lang w:eastAsia="en-NZ"/>
        </w:rPr>
      </w:pPr>
    </w:p>
    <w:p w:rsidR="00343121" w:rsidRPr="00F05BED" w:rsidRDefault="00343121" w:rsidP="00F05BED">
      <w:pPr>
        <w:autoSpaceDE w:val="0"/>
        <w:autoSpaceDN w:val="0"/>
        <w:adjustRightInd w:val="0"/>
        <w:spacing w:line="320" w:lineRule="atLeast"/>
        <w:rPr>
          <w:rFonts w:cs="Arial"/>
          <w:sz w:val="22"/>
          <w:szCs w:val="22"/>
          <w:lang w:eastAsia="en-NZ"/>
        </w:rPr>
      </w:pPr>
      <w:r w:rsidRPr="00F05BED">
        <w:rPr>
          <w:rFonts w:cs="Arial"/>
          <w:sz w:val="22"/>
          <w:szCs w:val="22"/>
          <w:lang w:eastAsia="en-NZ"/>
        </w:rPr>
        <w:t>The parameters in equation (</w:t>
      </w:r>
      <w:r w:rsidR="00235896">
        <w:rPr>
          <w:rFonts w:cs="Arial"/>
          <w:sz w:val="22"/>
          <w:szCs w:val="22"/>
          <w:lang w:eastAsia="en-NZ"/>
        </w:rPr>
        <w:t>7</w:t>
      </w:r>
      <w:r w:rsidRPr="00F05BED">
        <w:rPr>
          <w:rFonts w:cs="Arial"/>
          <w:sz w:val="22"/>
          <w:szCs w:val="22"/>
          <w:lang w:eastAsia="en-NZ"/>
        </w:rPr>
        <w:t xml:space="preserve">) refer to the output </w:t>
      </w:r>
      <w:proofErr w:type="spellStart"/>
      <w:r w:rsidRPr="00F05BED">
        <w:rPr>
          <w:rFonts w:cs="Arial"/>
          <w:sz w:val="22"/>
          <w:szCs w:val="22"/>
          <w:lang w:eastAsia="en-NZ"/>
        </w:rPr>
        <w:t>elasticities</w:t>
      </w:r>
      <w:proofErr w:type="spellEnd"/>
      <w:r w:rsidRPr="00F05BED">
        <w:rPr>
          <w:rFonts w:cs="Arial"/>
          <w:sz w:val="22"/>
          <w:szCs w:val="22"/>
          <w:lang w:eastAsia="en-NZ"/>
        </w:rPr>
        <w:t xml:space="preserve"> of various inputs. For a Cobb-Douglas assumption of a unitary elasticity of substitution, the sum of the betas should equal to one. In this paper, we relax this assumption. </w:t>
      </w:r>
      <w:r w:rsidR="00235896">
        <w:rPr>
          <w:rFonts w:cs="Arial"/>
          <w:sz w:val="22"/>
          <w:szCs w:val="22"/>
          <w:lang w:eastAsia="en-NZ"/>
        </w:rPr>
        <w:t>The first term of equation (6</w:t>
      </w:r>
      <w:r w:rsidR="0011774F">
        <w:rPr>
          <w:rFonts w:cs="Arial"/>
          <w:sz w:val="22"/>
          <w:szCs w:val="22"/>
          <w:lang w:eastAsia="en-NZ"/>
        </w:rPr>
        <w:t xml:space="preserve">), </w:t>
      </w:r>
      <w:proofErr w:type="spellStart"/>
      <w:proofErr w:type="gramStart"/>
      <w:r w:rsidR="0011774F" w:rsidRPr="00986CF6">
        <w:rPr>
          <w:rFonts w:cs="Arial"/>
          <w:i/>
          <w:sz w:val="22"/>
          <w:szCs w:val="22"/>
          <w:lang w:eastAsia="en-NZ"/>
        </w:rPr>
        <w:t>ln</w:t>
      </w:r>
      <w:proofErr w:type="spellEnd"/>
      <w:r w:rsidR="0011774F">
        <w:rPr>
          <w:rFonts w:cs="Arial"/>
          <w:sz w:val="22"/>
          <w:szCs w:val="22"/>
          <w:lang w:eastAsia="en-NZ"/>
        </w:rPr>
        <w:t>(</w:t>
      </w:r>
      <w:proofErr w:type="gramEnd"/>
      <w:r w:rsidR="0011774F" w:rsidRPr="00BE65C8">
        <w:rPr>
          <w:rFonts w:cs="Arial"/>
          <w:i/>
          <w:sz w:val="22"/>
          <w:szCs w:val="22"/>
          <w:lang w:eastAsia="en-NZ"/>
        </w:rPr>
        <w:t>A</w:t>
      </w:r>
      <w:r w:rsidR="0011774F" w:rsidRPr="00BE65C8">
        <w:rPr>
          <w:rFonts w:cs="Arial"/>
          <w:i/>
          <w:sz w:val="22"/>
          <w:szCs w:val="22"/>
          <w:vertAlign w:val="subscript"/>
          <w:lang w:eastAsia="en-NZ"/>
        </w:rPr>
        <w:t>t</w:t>
      </w:r>
      <w:r w:rsidR="0011774F">
        <w:rPr>
          <w:rFonts w:cs="Arial"/>
          <w:sz w:val="22"/>
          <w:szCs w:val="22"/>
          <w:lang w:eastAsia="en-NZ"/>
        </w:rPr>
        <w:t xml:space="preserve">), is captured by the constant term and a trend term </w:t>
      </w:r>
      <w:r w:rsidR="00A21B24">
        <w:rPr>
          <w:rFonts w:cs="Arial"/>
          <w:sz w:val="22"/>
          <w:szCs w:val="22"/>
          <w:lang w:eastAsia="en-NZ"/>
        </w:rPr>
        <w:t xml:space="preserve">is added </w:t>
      </w:r>
      <w:r w:rsidR="0011774F">
        <w:rPr>
          <w:rFonts w:cs="Arial"/>
          <w:sz w:val="22"/>
          <w:szCs w:val="22"/>
          <w:lang w:eastAsia="en-NZ"/>
        </w:rPr>
        <w:t>as the dependent variable is trended.</w:t>
      </w:r>
      <w:r w:rsidR="00A3412D">
        <w:rPr>
          <w:rFonts w:cs="Arial"/>
          <w:sz w:val="22"/>
          <w:szCs w:val="22"/>
          <w:lang w:eastAsia="en-NZ"/>
        </w:rPr>
        <w:t xml:space="preserve"> </w:t>
      </w:r>
      <w:r w:rsidRPr="00F05BED">
        <w:rPr>
          <w:rFonts w:cs="Arial"/>
          <w:sz w:val="22"/>
          <w:szCs w:val="22"/>
          <w:lang w:eastAsia="en-NZ"/>
        </w:rPr>
        <w:t>The short run dynamics (or the error correction equation) is shown in equation (8).</w:t>
      </w:r>
    </w:p>
    <w:p w:rsidR="00343121" w:rsidRPr="00F05BED" w:rsidRDefault="00343121" w:rsidP="00F05BED">
      <w:pPr>
        <w:autoSpaceDE w:val="0"/>
        <w:autoSpaceDN w:val="0"/>
        <w:adjustRightInd w:val="0"/>
        <w:spacing w:line="320" w:lineRule="atLeast"/>
        <w:rPr>
          <w:rFonts w:cs="Arial"/>
          <w:sz w:val="22"/>
          <w:szCs w:val="22"/>
          <w:lang w:eastAsia="en-NZ"/>
        </w:rPr>
      </w:pPr>
    </w:p>
    <w:p w:rsidR="00343121" w:rsidRPr="00F05BED" w:rsidRDefault="00343121" w:rsidP="00FB5FDC">
      <w:pPr>
        <w:spacing w:line="320" w:lineRule="atLeast"/>
        <w:jc w:val="center"/>
        <w:rPr>
          <w:rFonts w:cs="Arial"/>
          <w:sz w:val="22"/>
          <w:szCs w:val="22"/>
          <w:lang w:eastAsia="en-NZ"/>
        </w:rPr>
      </w:pPr>
      <m:oMath>
        <m:r>
          <w:rPr>
            <w:rFonts w:ascii="Cambria Math" w:hAnsi="Cambria Math" w:cs="Arial"/>
            <w:sz w:val="22"/>
            <w:szCs w:val="22"/>
            <w:lang w:eastAsia="en-NZ"/>
          </w:rPr>
          <m:t>∆ln</m:t>
        </m:r>
        <m:sSub>
          <m:sSubPr>
            <m:ctrlPr>
              <w:rPr>
                <w:rFonts w:ascii="Cambria Math" w:hAnsi="Cambria Math" w:cs="Arial"/>
                <w:i/>
                <w:sz w:val="22"/>
                <w:szCs w:val="22"/>
                <w:lang w:eastAsia="en-NZ"/>
              </w:rPr>
            </m:ctrlPr>
          </m:sSubPr>
          <m:e>
            <m:r>
              <w:rPr>
                <w:rFonts w:ascii="Cambria Math" w:hAnsi="Cambria Math" w:cs="Arial"/>
                <w:sz w:val="22"/>
                <w:szCs w:val="22"/>
                <w:lang w:eastAsia="en-NZ"/>
              </w:rPr>
              <m:t>Y</m:t>
            </m:r>
          </m:e>
          <m:sub>
            <m:r>
              <w:rPr>
                <w:rFonts w:ascii="Cambria Math" w:hAnsi="Cambria Math" w:cs="Arial"/>
                <w:sz w:val="22"/>
                <w:szCs w:val="22"/>
                <w:lang w:eastAsia="en-NZ"/>
              </w:rPr>
              <m:t>t</m:t>
            </m:r>
          </m:sub>
        </m:sSub>
        <m:r>
          <w:rPr>
            <w:rFonts w:ascii="Cambria Math" w:hAnsi="Cambria Math" w:cs="Arial"/>
            <w:sz w:val="22"/>
            <w:szCs w:val="22"/>
            <w:lang w:eastAsia="en-NZ"/>
          </w:rPr>
          <m:t>=a+</m:t>
        </m:r>
        <m:sSub>
          <m:sSubPr>
            <m:ctrlPr>
              <w:rPr>
                <w:rFonts w:ascii="Cambria Math" w:hAnsi="Cambria Math" w:cs="Arial"/>
                <w:i/>
                <w:sz w:val="22"/>
                <w:szCs w:val="22"/>
                <w:lang w:eastAsia="en-NZ"/>
              </w:rPr>
            </m:ctrlPr>
          </m:sSubPr>
          <m:e>
            <m:r>
              <w:rPr>
                <w:rFonts w:ascii="Cambria Math" w:hAnsi="Cambria Math" w:cs="Arial"/>
                <w:sz w:val="22"/>
                <w:szCs w:val="22"/>
                <w:lang w:eastAsia="en-NZ"/>
              </w:rPr>
              <m:t>b</m:t>
            </m:r>
          </m:e>
          <m:sub>
            <m:r>
              <w:rPr>
                <w:rFonts w:ascii="Cambria Math" w:hAnsi="Cambria Math" w:cs="Arial"/>
                <w:sz w:val="22"/>
                <w:szCs w:val="22"/>
                <w:lang w:eastAsia="en-NZ"/>
              </w:rPr>
              <m:t>0</m:t>
            </m:r>
          </m:sub>
        </m:sSub>
        <m:d>
          <m:dPr>
            <m:ctrlPr>
              <w:rPr>
                <w:rFonts w:ascii="Cambria Math" w:hAnsi="Cambria Math" w:cs="Arial"/>
                <w:i/>
                <w:sz w:val="22"/>
                <w:szCs w:val="22"/>
                <w:lang w:eastAsia="en-NZ"/>
              </w:rPr>
            </m:ctrlPr>
          </m:dPr>
          <m:e>
            <m:sSub>
              <m:sSubPr>
                <m:ctrlPr>
                  <w:rPr>
                    <w:rFonts w:ascii="Cambria Math" w:hAnsi="Cambria Math" w:cs="Arial"/>
                    <w:i/>
                    <w:sz w:val="22"/>
                    <w:szCs w:val="22"/>
                    <w:lang w:eastAsia="en-NZ"/>
                  </w:rPr>
                </m:ctrlPr>
              </m:sSubPr>
              <m:e>
                <m:r>
                  <w:rPr>
                    <w:rFonts w:ascii="Cambria Math" w:hAnsi="Cambria Math" w:cs="Arial"/>
                    <w:sz w:val="22"/>
                    <w:szCs w:val="22"/>
                    <w:lang w:eastAsia="en-NZ"/>
                  </w:rPr>
                  <m:t>ε</m:t>
                </m:r>
              </m:e>
              <m:sub>
                <m:r>
                  <w:rPr>
                    <w:rFonts w:ascii="Cambria Math" w:hAnsi="Cambria Math" w:cs="Arial"/>
                    <w:sz w:val="22"/>
                    <w:szCs w:val="22"/>
                    <w:lang w:eastAsia="en-NZ"/>
                  </w:rPr>
                  <m:t>t-1</m:t>
                </m:r>
              </m:sub>
            </m:sSub>
          </m:e>
        </m:d>
        <m:r>
          <w:rPr>
            <w:rFonts w:ascii="Cambria Math" w:hAnsi="Cambria Math" w:cs="Arial"/>
            <w:sz w:val="22"/>
            <w:szCs w:val="22"/>
            <w:lang w:eastAsia="en-NZ"/>
          </w:rPr>
          <m:t>+</m:t>
        </m:r>
        <m:sSub>
          <m:sSubPr>
            <m:ctrlPr>
              <w:rPr>
                <w:rFonts w:ascii="Cambria Math" w:hAnsi="Cambria Math" w:cs="Arial"/>
                <w:i/>
                <w:sz w:val="22"/>
                <w:szCs w:val="22"/>
                <w:lang w:eastAsia="en-NZ"/>
              </w:rPr>
            </m:ctrlPr>
          </m:sSubPr>
          <m:e>
            <m:r>
              <w:rPr>
                <w:rFonts w:ascii="Cambria Math" w:hAnsi="Cambria Math" w:cs="Arial"/>
                <w:sz w:val="22"/>
                <w:szCs w:val="22"/>
                <w:lang w:eastAsia="en-NZ"/>
              </w:rPr>
              <m:t>b</m:t>
            </m:r>
          </m:e>
          <m:sub>
            <m:r>
              <w:rPr>
                <w:rFonts w:ascii="Cambria Math" w:hAnsi="Cambria Math" w:cs="Arial"/>
                <w:sz w:val="22"/>
                <w:szCs w:val="22"/>
                <w:lang w:eastAsia="en-NZ"/>
              </w:rPr>
              <m:t>1</m:t>
            </m:r>
          </m:sub>
        </m:sSub>
        <m:d>
          <m:dPr>
            <m:ctrlPr>
              <w:rPr>
                <w:rFonts w:ascii="Cambria Math" w:hAnsi="Cambria Math" w:cs="Arial"/>
                <w:i/>
                <w:sz w:val="22"/>
                <w:szCs w:val="22"/>
                <w:lang w:eastAsia="en-NZ"/>
              </w:rPr>
            </m:ctrlPr>
          </m:dPr>
          <m:e>
            <m:sSub>
              <m:sSubPr>
                <m:ctrlPr>
                  <w:rPr>
                    <w:rFonts w:ascii="Cambria Math" w:hAnsi="Cambria Math" w:cs="Arial"/>
                    <w:i/>
                    <w:sz w:val="22"/>
                    <w:szCs w:val="22"/>
                    <w:lang w:eastAsia="en-NZ"/>
                  </w:rPr>
                </m:ctrlPr>
              </m:sSubPr>
              <m:e>
                <m:r>
                  <w:rPr>
                    <w:rFonts w:ascii="Cambria Math" w:hAnsi="Cambria Math" w:cs="Arial"/>
                    <w:sz w:val="22"/>
                    <w:szCs w:val="22"/>
                    <w:lang w:eastAsia="en-NZ"/>
                  </w:rPr>
                  <m:t>∆lnR</m:t>
                </m:r>
              </m:e>
              <m:sub>
                <m:r>
                  <w:rPr>
                    <w:rFonts w:ascii="Cambria Math" w:hAnsi="Cambria Math" w:cs="Arial"/>
                    <w:sz w:val="22"/>
                    <w:szCs w:val="22"/>
                    <w:lang w:eastAsia="en-NZ"/>
                  </w:rPr>
                  <m:t>t</m:t>
                </m:r>
              </m:sub>
            </m:sSub>
          </m:e>
        </m:d>
        <m:r>
          <w:rPr>
            <w:rFonts w:ascii="Cambria Math" w:hAnsi="Cambria Math" w:cs="Arial"/>
            <w:sz w:val="22"/>
            <w:szCs w:val="22"/>
            <w:lang w:eastAsia="en-NZ"/>
          </w:rPr>
          <m:t>+</m:t>
        </m:r>
        <m:sSub>
          <m:sSubPr>
            <m:ctrlPr>
              <w:rPr>
                <w:rFonts w:ascii="Cambria Math" w:hAnsi="Cambria Math" w:cs="Arial"/>
                <w:i/>
                <w:sz w:val="22"/>
                <w:szCs w:val="22"/>
                <w:lang w:eastAsia="en-NZ"/>
              </w:rPr>
            </m:ctrlPr>
          </m:sSubPr>
          <m:e>
            <m:r>
              <w:rPr>
                <w:rFonts w:ascii="Cambria Math" w:hAnsi="Cambria Math" w:cs="Arial"/>
                <w:sz w:val="22"/>
                <w:szCs w:val="22"/>
                <w:lang w:eastAsia="en-NZ"/>
              </w:rPr>
              <m:t>b</m:t>
            </m:r>
          </m:e>
          <m:sub>
            <m:r>
              <w:rPr>
                <w:rFonts w:ascii="Cambria Math" w:hAnsi="Cambria Math" w:cs="Arial"/>
                <w:sz w:val="22"/>
                <w:szCs w:val="22"/>
                <w:lang w:eastAsia="en-NZ"/>
              </w:rPr>
              <m:t>2</m:t>
            </m:r>
          </m:sub>
        </m:sSub>
        <m:d>
          <m:dPr>
            <m:ctrlPr>
              <w:rPr>
                <w:rFonts w:ascii="Cambria Math" w:hAnsi="Cambria Math" w:cs="Arial"/>
                <w:i/>
                <w:sz w:val="22"/>
                <w:szCs w:val="22"/>
                <w:lang w:eastAsia="en-NZ"/>
              </w:rPr>
            </m:ctrlPr>
          </m:dPr>
          <m:e>
            <m:sSub>
              <m:sSubPr>
                <m:ctrlPr>
                  <w:rPr>
                    <w:rFonts w:ascii="Cambria Math" w:hAnsi="Cambria Math" w:cs="Arial"/>
                    <w:i/>
                    <w:sz w:val="22"/>
                    <w:szCs w:val="22"/>
                    <w:lang w:eastAsia="en-NZ"/>
                  </w:rPr>
                </m:ctrlPr>
              </m:sSubPr>
              <m:e>
                <m:r>
                  <w:rPr>
                    <w:rFonts w:ascii="Cambria Math" w:hAnsi="Cambria Math" w:cs="Arial"/>
                    <w:sz w:val="22"/>
                    <w:szCs w:val="22"/>
                    <w:lang w:eastAsia="en-NZ"/>
                  </w:rPr>
                  <m:t>∆lnK</m:t>
                </m:r>
              </m:e>
              <m:sub>
                <m:r>
                  <w:rPr>
                    <w:rFonts w:ascii="Cambria Math" w:hAnsi="Cambria Math" w:cs="Arial"/>
                    <w:sz w:val="22"/>
                    <w:szCs w:val="22"/>
                    <w:lang w:eastAsia="en-NZ"/>
                  </w:rPr>
                  <m:t>t</m:t>
                </m:r>
              </m:sub>
            </m:sSub>
          </m:e>
        </m:d>
        <m:r>
          <w:rPr>
            <w:rFonts w:ascii="Cambria Math" w:hAnsi="Cambria Math" w:cs="Arial"/>
            <w:sz w:val="22"/>
            <w:szCs w:val="22"/>
            <w:lang w:eastAsia="en-NZ"/>
          </w:rPr>
          <m:t>+</m:t>
        </m:r>
        <m:sSub>
          <m:sSubPr>
            <m:ctrlPr>
              <w:rPr>
                <w:rFonts w:ascii="Cambria Math" w:hAnsi="Cambria Math" w:cs="Arial"/>
                <w:i/>
                <w:sz w:val="22"/>
                <w:szCs w:val="22"/>
                <w:lang w:eastAsia="en-NZ"/>
              </w:rPr>
            </m:ctrlPr>
          </m:sSubPr>
          <m:e>
            <m:r>
              <w:rPr>
                <w:rFonts w:ascii="Cambria Math" w:hAnsi="Cambria Math" w:cs="Arial"/>
                <w:sz w:val="22"/>
                <w:szCs w:val="22"/>
                <w:lang w:eastAsia="en-NZ"/>
              </w:rPr>
              <m:t>b</m:t>
            </m:r>
          </m:e>
          <m:sub>
            <m:r>
              <w:rPr>
                <w:rFonts w:ascii="Cambria Math" w:hAnsi="Cambria Math" w:cs="Arial"/>
                <w:sz w:val="22"/>
                <w:szCs w:val="22"/>
                <w:lang w:eastAsia="en-NZ"/>
              </w:rPr>
              <m:t>3</m:t>
            </m:r>
          </m:sub>
        </m:sSub>
        <m:d>
          <m:dPr>
            <m:ctrlPr>
              <w:rPr>
                <w:rFonts w:ascii="Cambria Math" w:hAnsi="Cambria Math" w:cs="Arial"/>
                <w:i/>
                <w:sz w:val="22"/>
                <w:szCs w:val="22"/>
                <w:lang w:eastAsia="en-NZ"/>
              </w:rPr>
            </m:ctrlPr>
          </m:dPr>
          <m:e>
            <m:sSub>
              <m:sSubPr>
                <m:ctrlPr>
                  <w:rPr>
                    <w:rFonts w:ascii="Cambria Math" w:hAnsi="Cambria Math" w:cs="Arial"/>
                    <w:i/>
                    <w:sz w:val="22"/>
                    <w:szCs w:val="22"/>
                    <w:lang w:eastAsia="en-NZ"/>
                  </w:rPr>
                </m:ctrlPr>
              </m:sSubPr>
              <m:e>
                <m:r>
                  <w:rPr>
                    <w:rFonts w:ascii="Cambria Math" w:hAnsi="Cambria Math" w:cs="Arial"/>
                    <w:sz w:val="22"/>
                    <w:szCs w:val="22"/>
                    <w:lang w:eastAsia="en-NZ"/>
                  </w:rPr>
                  <m:t>∆lnL</m:t>
                </m:r>
              </m:e>
              <m:sub>
                <m:r>
                  <w:rPr>
                    <w:rFonts w:ascii="Cambria Math" w:hAnsi="Cambria Math" w:cs="Arial"/>
                    <w:sz w:val="22"/>
                    <w:szCs w:val="22"/>
                    <w:lang w:eastAsia="en-NZ"/>
                  </w:rPr>
                  <m:t>t</m:t>
                </m:r>
              </m:sub>
            </m:sSub>
          </m:e>
        </m:d>
        <m:r>
          <w:rPr>
            <w:rFonts w:ascii="Cambria Math" w:hAnsi="Cambria Math" w:cs="Arial"/>
            <w:sz w:val="22"/>
            <w:szCs w:val="22"/>
            <w:lang w:eastAsia="en-NZ"/>
          </w:rPr>
          <m:t>+</m:t>
        </m:r>
        <m:sSub>
          <m:sSubPr>
            <m:ctrlPr>
              <w:rPr>
                <w:rFonts w:ascii="Cambria Math" w:hAnsi="Cambria Math" w:cs="Arial"/>
                <w:i/>
                <w:sz w:val="22"/>
                <w:szCs w:val="22"/>
                <w:lang w:eastAsia="en-NZ"/>
              </w:rPr>
            </m:ctrlPr>
          </m:sSubPr>
          <m:e>
            <m:r>
              <w:rPr>
                <w:rFonts w:ascii="Cambria Math" w:hAnsi="Cambria Math" w:cs="Arial"/>
                <w:sz w:val="22"/>
                <w:szCs w:val="22"/>
                <w:lang w:eastAsia="en-NZ"/>
              </w:rPr>
              <m:t>u</m:t>
            </m:r>
          </m:e>
          <m:sub>
            <m:r>
              <w:rPr>
                <w:rFonts w:ascii="Cambria Math" w:hAnsi="Cambria Math" w:cs="Arial"/>
                <w:sz w:val="22"/>
                <w:szCs w:val="22"/>
                <w:lang w:eastAsia="en-NZ"/>
              </w:rPr>
              <m:t>t</m:t>
            </m:r>
          </m:sub>
        </m:sSub>
      </m:oMath>
      <w:r w:rsidRPr="00F05BED">
        <w:rPr>
          <w:rFonts w:cs="Arial"/>
          <w:sz w:val="22"/>
          <w:szCs w:val="22"/>
          <w:lang w:eastAsia="en-NZ"/>
        </w:rPr>
        <w:tab/>
        <w:t>(8)</w:t>
      </w:r>
    </w:p>
    <w:p w:rsidR="00343121" w:rsidRPr="00F05BED" w:rsidRDefault="00343121" w:rsidP="00F05BED">
      <w:pPr>
        <w:spacing w:line="320" w:lineRule="atLeast"/>
        <w:rPr>
          <w:rFonts w:cs="Arial"/>
          <w:sz w:val="22"/>
          <w:szCs w:val="22"/>
          <w:lang w:eastAsia="en-NZ"/>
        </w:rPr>
      </w:pPr>
    </w:p>
    <w:p w:rsidR="00343121" w:rsidRPr="00F05BED" w:rsidRDefault="00343121" w:rsidP="00F05BED">
      <w:pPr>
        <w:spacing w:line="320" w:lineRule="atLeast"/>
        <w:rPr>
          <w:rFonts w:cs="Arial"/>
          <w:sz w:val="22"/>
          <w:szCs w:val="22"/>
          <w:lang w:eastAsia="en-NZ"/>
        </w:rPr>
      </w:pPr>
      <w:proofErr w:type="gramStart"/>
      <w:r w:rsidRPr="00F05BED">
        <w:rPr>
          <w:rFonts w:cs="Arial"/>
          <w:sz w:val="22"/>
          <w:szCs w:val="22"/>
          <w:lang w:eastAsia="en-NZ"/>
        </w:rPr>
        <w:t>where</w:t>
      </w:r>
      <w:proofErr w:type="gramEnd"/>
      <w:r w:rsidRPr="00F05BED">
        <w:rPr>
          <w:rFonts w:cs="Arial"/>
          <w:sz w:val="22"/>
          <w:szCs w:val="22"/>
          <w:lang w:eastAsia="en-NZ"/>
        </w:rPr>
        <w:t xml:space="preserve"> </w:t>
      </w:r>
      <w:proofErr w:type="spellStart"/>
      <w:r w:rsidRPr="00BE65C8">
        <w:rPr>
          <w:rFonts w:cs="Arial"/>
          <w:i/>
          <w:sz w:val="22"/>
          <w:szCs w:val="22"/>
          <w:lang w:eastAsia="en-NZ"/>
        </w:rPr>
        <w:t>u</w:t>
      </w:r>
      <w:r w:rsidRPr="00BE65C8">
        <w:rPr>
          <w:rFonts w:cs="Arial"/>
          <w:i/>
          <w:sz w:val="22"/>
          <w:szCs w:val="22"/>
          <w:vertAlign w:val="subscript"/>
          <w:lang w:eastAsia="en-NZ"/>
        </w:rPr>
        <w:t>t</w:t>
      </w:r>
      <w:proofErr w:type="spellEnd"/>
      <w:r w:rsidRPr="00F05BED">
        <w:rPr>
          <w:rFonts w:cs="Arial"/>
          <w:sz w:val="22"/>
          <w:szCs w:val="22"/>
          <w:lang w:eastAsia="en-NZ"/>
        </w:rPr>
        <w:t xml:space="preserve"> is </w:t>
      </w:r>
      <w:r w:rsidR="00F11318">
        <w:rPr>
          <w:rFonts w:cs="Arial"/>
          <w:sz w:val="22"/>
          <w:szCs w:val="22"/>
          <w:lang w:eastAsia="en-NZ"/>
        </w:rPr>
        <w:t xml:space="preserve">the </w:t>
      </w:r>
      <w:r w:rsidRPr="00F05BED">
        <w:rPr>
          <w:rFonts w:cs="Arial"/>
          <w:sz w:val="22"/>
          <w:szCs w:val="22"/>
          <w:lang w:eastAsia="en-NZ"/>
        </w:rPr>
        <w:t>error term.</w:t>
      </w:r>
    </w:p>
    <w:p w:rsidR="00343121" w:rsidRPr="00F05BED" w:rsidRDefault="00343121" w:rsidP="00F05BED">
      <w:pPr>
        <w:spacing w:line="320" w:lineRule="atLeast"/>
        <w:rPr>
          <w:rFonts w:cs="Arial"/>
          <w:sz w:val="22"/>
          <w:szCs w:val="22"/>
          <w:lang w:eastAsia="en-NZ"/>
        </w:rPr>
      </w:pPr>
    </w:p>
    <w:p w:rsidR="00343121" w:rsidRPr="00AD73E4" w:rsidRDefault="00343121" w:rsidP="00DA6B17">
      <w:pPr>
        <w:pStyle w:val="Default"/>
        <w:numPr>
          <w:ilvl w:val="0"/>
          <w:numId w:val="4"/>
        </w:numPr>
        <w:spacing w:line="320" w:lineRule="atLeast"/>
        <w:ind w:left="567" w:hanging="501"/>
        <w:rPr>
          <w:rFonts w:cs="Arial"/>
          <w:b/>
          <w:i/>
          <w:sz w:val="22"/>
          <w:szCs w:val="22"/>
        </w:rPr>
      </w:pPr>
      <w:r w:rsidRPr="00F05BED">
        <w:rPr>
          <w:rFonts w:cs="Arial"/>
          <w:b/>
          <w:i/>
          <w:sz w:val="22"/>
          <w:szCs w:val="22"/>
        </w:rPr>
        <w:t>Data</w:t>
      </w:r>
    </w:p>
    <w:p w:rsidR="00343121" w:rsidRPr="00F05BED" w:rsidRDefault="00343121" w:rsidP="00F05BED">
      <w:pPr>
        <w:autoSpaceDE w:val="0"/>
        <w:autoSpaceDN w:val="0"/>
        <w:adjustRightInd w:val="0"/>
        <w:spacing w:line="320" w:lineRule="atLeast"/>
        <w:rPr>
          <w:rFonts w:cs="Arial"/>
          <w:sz w:val="22"/>
          <w:szCs w:val="22"/>
          <w:lang w:eastAsia="en-NZ"/>
        </w:rPr>
      </w:pPr>
      <w:r w:rsidRPr="00F05BED">
        <w:rPr>
          <w:rFonts w:cs="Arial"/>
          <w:sz w:val="22"/>
          <w:szCs w:val="22"/>
          <w:lang w:eastAsia="en-NZ"/>
        </w:rPr>
        <w:t>This analysis includes annual data from 1972 to 2009. All data used in this analysis w</w:t>
      </w:r>
      <w:r w:rsidR="005F70C3">
        <w:rPr>
          <w:rFonts w:cs="Arial"/>
          <w:sz w:val="22"/>
          <w:szCs w:val="22"/>
          <w:lang w:eastAsia="en-NZ"/>
        </w:rPr>
        <w:t>ere</w:t>
      </w:r>
      <w:r w:rsidRPr="00F05BED">
        <w:rPr>
          <w:rFonts w:cs="Arial"/>
          <w:sz w:val="22"/>
          <w:szCs w:val="22"/>
          <w:lang w:eastAsia="en-NZ"/>
        </w:rPr>
        <w:t xml:space="preserve"> sourced from </w:t>
      </w:r>
      <w:r w:rsidR="00235896">
        <w:rPr>
          <w:rFonts w:cs="Arial"/>
          <w:sz w:val="22"/>
          <w:szCs w:val="22"/>
          <w:lang w:eastAsia="en-NZ"/>
        </w:rPr>
        <w:t>SNZ</w:t>
      </w:r>
      <w:r w:rsidRPr="00F05BED">
        <w:rPr>
          <w:rFonts w:cs="Arial"/>
          <w:sz w:val="22"/>
          <w:szCs w:val="22"/>
          <w:lang w:eastAsia="en-NZ"/>
        </w:rPr>
        <w:t xml:space="preserve"> and Reserve Bank of New Zealand. </w:t>
      </w:r>
      <w:r w:rsidR="00695272">
        <w:rPr>
          <w:rFonts w:cs="Arial"/>
          <w:sz w:val="22"/>
          <w:szCs w:val="22"/>
          <w:lang w:eastAsia="en-NZ"/>
        </w:rPr>
        <w:t xml:space="preserve">All values are in 1995/96 </w:t>
      </w:r>
      <w:r w:rsidR="00235896">
        <w:rPr>
          <w:rFonts w:cs="Arial"/>
          <w:sz w:val="22"/>
          <w:szCs w:val="22"/>
          <w:lang w:eastAsia="en-NZ"/>
        </w:rPr>
        <w:t>prices</w:t>
      </w:r>
      <w:r w:rsidR="00695272">
        <w:rPr>
          <w:rFonts w:cs="Arial"/>
          <w:sz w:val="22"/>
          <w:szCs w:val="22"/>
          <w:lang w:eastAsia="en-NZ"/>
        </w:rPr>
        <w:t>.</w:t>
      </w:r>
    </w:p>
    <w:p w:rsidR="00343121" w:rsidRPr="00F05BED" w:rsidRDefault="00343121" w:rsidP="00F05BED">
      <w:pPr>
        <w:autoSpaceDE w:val="0"/>
        <w:autoSpaceDN w:val="0"/>
        <w:adjustRightInd w:val="0"/>
        <w:spacing w:line="320" w:lineRule="atLeast"/>
        <w:rPr>
          <w:rFonts w:cs="Arial"/>
          <w:sz w:val="22"/>
          <w:szCs w:val="22"/>
          <w:lang w:eastAsia="en-NZ"/>
        </w:rPr>
      </w:pPr>
    </w:p>
    <w:p w:rsidR="00343121" w:rsidRDefault="00342862" w:rsidP="00F05BED">
      <w:pPr>
        <w:autoSpaceDE w:val="0"/>
        <w:autoSpaceDN w:val="0"/>
        <w:adjustRightInd w:val="0"/>
        <w:spacing w:line="320" w:lineRule="atLeast"/>
        <w:rPr>
          <w:rFonts w:cs="Arial"/>
          <w:sz w:val="22"/>
          <w:szCs w:val="22"/>
          <w:lang w:eastAsia="en-NZ"/>
        </w:rPr>
      </w:pPr>
      <w:r>
        <w:rPr>
          <w:rFonts w:cs="Arial"/>
          <w:sz w:val="22"/>
          <w:szCs w:val="22"/>
          <w:lang w:eastAsia="en-NZ"/>
        </w:rPr>
        <w:t>S</w:t>
      </w:r>
      <w:r w:rsidR="00343121" w:rsidRPr="00F05BED">
        <w:rPr>
          <w:rFonts w:cs="Arial"/>
          <w:sz w:val="22"/>
          <w:szCs w:val="22"/>
          <w:lang w:eastAsia="en-NZ"/>
        </w:rPr>
        <w:t>ome calculation was requi</w:t>
      </w:r>
      <w:r w:rsidR="000005B2">
        <w:rPr>
          <w:rFonts w:cs="Arial"/>
          <w:sz w:val="22"/>
          <w:szCs w:val="22"/>
          <w:lang w:eastAsia="en-NZ"/>
        </w:rPr>
        <w:t xml:space="preserve">red to generate the </w:t>
      </w:r>
      <w:r w:rsidR="005F70C3">
        <w:rPr>
          <w:rFonts w:cs="Arial"/>
          <w:sz w:val="22"/>
          <w:szCs w:val="22"/>
          <w:lang w:eastAsia="en-NZ"/>
        </w:rPr>
        <w:t xml:space="preserve">net </w:t>
      </w:r>
      <w:r w:rsidR="000005B2">
        <w:rPr>
          <w:rFonts w:cs="Arial"/>
          <w:sz w:val="22"/>
          <w:szCs w:val="22"/>
          <w:lang w:eastAsia="en-NZ"/>
        </w:rPr>
        <w:t>productive</w:t>
      </w:r>
      <w:r w:rsidR="00343121" w:rsidRPr="00F05BED">
        <w:rPr>
          <w:rFonts w:cs="Arial"/>
          <w:sz w:val="22"/>
          <w:szCs w:val="22"/>
          <w:lang w:eastAsia="en-NZ"/>
        </w:rPr>
        <w:t xml:space="preserve"> road infrastructure capital stock from year 1990 onwards. </w:t>
      </w:r>
      <w:r w:rsidR="00A21B24">
        <w:rPr>
          <w:rFonts w:cs="Arial"/>
          <w:sz w:val="22"/>
          <w:szCs w:val="22"/>
          <w:lang w:eastAsia="en-NZ"/>
        </w:rPr>
        <w:t xml:space="preserve">Such measure is different </w:t>
      </w:r>
      <w:r w:rsidR="00A21B24" w:rsidRPr="00A21B24">
        <w:rPr>
          <w:rFonts w:cs="Arial"/>
          <w:sz w:val="22"/>
          <w:szCs w:val="22"/>
          <w:lang w:eastAsia="en-NZ"/>
        </w:rPr>
        <w:t xml:space="preserve">from road infrastructure expenditure because </w:t>
      </w:r>
      <w:r w:rsidR="005F70C3">
        <w:rPr>
          <w:rFonts w:cs="Arial"/>
          <w:sz w:val="22"/>
          <w:szCs w:val="22"/>
          <w:lang w:eastAsia="en-NZ"/>
        </w:rPr>
        <w:t xml:space="preserve">part </w:t>
      </w:r>
      <w:r w:rsidR="00A21B24" w:rsidRPr="00A21B24">
        <w:rPr>
          <w:rFonts w:cs="Arial"/>
          <w:sz w:val="22"/>
          <w:szCs w:val="22"/>
          <w:lang w:eastAsia="en-NZ"/>
        </w:rPr>
        <w:t xml:space="preserve">of </w:t>
      </w:r>
      <w:r w:rsidR="005F70C3">
        <w:rPr>
          <w:rFonts w:cs="Arial"/>
          <w:sz w:val="22"/>
          <w:szCs w:val="22"/>
          <w:lang w:eastAsia="en-NZ"/>
        </w:rPr>
        <w:t xml:space="preserve">such </w:t>
      </w:r>
      <w:r w:rsidR="00A21B24" w:rsidRPr="00A21B24">
        <w:rPr>
          <w:rFonts w:cs="Arial"/>
          <w:sz w:val="22"/>
          <w:szCs w:val="22"/>
          <w:lang w:eastAsia="en-NZ"/>
        </w:rPr>
        <w:t xml:space="preserve">expenditure is </w:t>
      </w:r>
      <w:r w:rsidR="005F70C3">
        <w:rPr>
          <w:rFonts w:cs="Arial"/>
          <w:sz w:val="22"/>
          <w:szCs w:val="22"/>
          <w:lang w:eastAsia="en-NZ"/>
        </w:rPr>
        <w:t xml:space="preserve">used </w:t>
      </w:r>
      <w:r w:rsidR="00A21B24" w:rsidRPr="00A21B24">
        <w:rPr>
          <w:rFonts w:cs="Arial"/>
          <w:sz w:val="22"/>
          <w:szCs w:val="22"/>
          <w:lang w:eastAsia="en-NZ"/>
        </w:rPr>
        <w:t xml:space="preserve">to maintain </w:t>
      </w:r>
      <w:r w:rsidR="005F70C3">
        <w:rPr>
          <w:rFonts w:cs="Arial"/>
          <w:sz w:val="22"/>
          <w:szCs w:val="22"/>
          <w:lang w:eastAsia="en-NZ"/>
        </w:rPr>
        <w:t xml:space="preserve">or restore </w:t>
      </w:r>
      <w:r w:rsidR="00A21B24" w:rsidRPr="00A21B24">
        <w:rPr>
          <w:rFonts w:cs="Arial"/>
          <w:sz w:val="22"/>
          <w:szCs w:val="22"/>
          <w:lang w:eastAsia="en-NZ"/>
        </w:rPr>
        <w:t>existing roads</w:t>
      </w:r>
      <w:r w:rsidR="005F70C3">
        <w:rPr>
          <w:rFonts w:cs="Arial"/>
          <w:sz w:val="22"/>
          <w:szCs w:val="22"/>
          <w:lang w:eastAsia="en-NZ"/>
        </w:rPr>
        <w:t xml:space="preserve"> and therefore would have little effect on the level of productive capital stock</w:t>
      </w:r>
      <w:r w:rsidR="00A21B24" w:rsidRPr="00A21B24">
        <w:rPr>
          <w:rFonts w:cs="Arial"/>
          <w:sz w:val="22"/>
          <w:szCs w:val="22"/>
          <w:lang w:eastAsia="en-NZ"/>
        </w:rPr>
        <w:t xml:space="preserve">. There are also efficiency losses due to under-utilisation (such as during off-peak </w:t>
      </w:r>
      <w:r w:rsidR="00A21B24">
        <w:rPr>
          <w:rFonts w:cs="Arial"/>
          <w:sz w:val="22"/>
          <w:szCs w:val="22"/>
          <w:lang w:eastAsia="en-NZ"/>
        </w:rPr>
        <w:t xml:space="preserve">periods </w:t>
      </w:r>
      <w:r w:rsidR="00A21B24" w:rsidRPr="00A21B24">
        <w:rPr>
          <w:rFonts w:cs="Arial"/>
          <w:sz w:val="22"/>
          <w:szCs w:val="22"/>
          <w:lang w:eastAsia="en-NZ"/>
        </w:rPr>
        <w:t>and at rural locations).</w:t>
      </w:r>
      <w:r w:rsidR="00A21B24">
        <w:rPr>
          <w:rFonts w:cs="Arial"/>
          <w:sz w:val="22"/>
          <w:szCs w:val="22"/>
          <w:lang w:eastAsia="en-NZ"/>
        </w:rPr>
        <w:t xml:space="preserve"> </w:t>
      </w:r>
      <w:r w:rsidR="00343121" w:rsidRPr="00F05BED">
        <w:rPr>
          <w:rFonts w:cs="Arial"/>
          <w:sz w:val="22"/>
          <w:szCs w:val="22"/>
          <w:lang w:eastAsia="en-NZ"/>
        </w:rPr>
        <w:t xml:space="preserve">Following </w:t>
      </w:r>
      <w:r w:rsidR="00235896">
        <w:rPr>
          <w:rFonts w:cs="Arial"/>
          <w:sz w:val="22"/>
          <w:szCs w:val="22"/>
          <w:lang w:eastAsia="en-NZ"/>
        </w:rPr>
        <w:t>SNZ</w:t>
      </w:r>
      <w:r w:rsidR="00343121" w:rsidRPr="00F05BED">
        <w:rPr>
          <w:rFonts w:cs="Arial"/>
          <w:sz w:val="22"/>
          <w:szCs w:val="22"/>
          <w:lang w:eastAsia="en-NZ"/>
        </w:rPr>
        <w:t>’s perpetual inventory method, we accumulate the investment flows and apply depreciation</w:t>
      </w:r>
      <w:r w:rsidR="00343121" w:rsidRPr="00F05BED">
        <w:rPr>
          <w:rStyle w:val="FootnoteReference"/>
          <w:rFonts w:cs="Arial"/>
          <w:sz w:val="22"/>
          <w:szCs w:val="22"/>
          <w:lang w:eastAsia="en-NZ"/>
        </w:rPr>
        <w:footnoteReference w:id="6"/>
      </w:r>
      <w:r w:rsidR="00343121" w:rsidRPr="00F05BED">
        <w:rPr>
          <w:rFonts w:cs="Arial"/>
          <w:sz w:val="22"/>
          <w:szCs w:val="22"/>
          <w:lang w:eastAsia="en-NZ"/>
        </w:rPr>
        <w:t>, efficiency and discount parameters</w:t>
      </w:r>
      <w:r w:rsidR="00343121" w:rsidRPr="00F05BED">
        <w:rPr>
          <w:rStyle w:val="FootnoteReference"/>
          <w:rFonts w:cs="Arial"/>
          <w:sz w:val="22"/>
          <w:szCs w:val="22"/>
          <w:lang w:eastAsia="en-NZ"/>
        </w:rPr>
        <w:footnoteReference w:id="7"/>
      </w:r>
      <w:r w:rsidR="00343121" w:rsidRPr="00F05BED">
        <w:rPr>
          <w:rFonts w:cs="Arial"/>
          <w:sz w:val="22"/>
          <w:szCs w:val="22"/>
          <w:lang w:eastAsia="en-NZ"/>
        </w:rPr>
        <w:t xml:space="preserve"> to derive estimates of productive road infrastructure capital stock</w:t>
      </w:r>
      <w:r>
        <w:rPr>
          <w:rFonts w:cs="Arial"/>
          <w:sz w:val="22"/>
          <w:szCs w:val="22"/>
          <w:lang w:eastAsia="en-NZ"/>
        </w:rPr>
        <w:t xml:space="preserve"> from 1990 to 2009</w:t>
      </w:r>
      <w:r w:rsidR="00343121" w:rsidRPr="00F05BED">
        <w:rPr>
          <w:rFonts w:cs="Arial"/>
          <w:sz w:val="22"/>
          <w:szCs w:val="22"/>
          <w:lang w:eastAsia="en-NZ"/>
        </w:rPr>
        <w:t xml:space="preserve">. </w:t>
      </w:r>
    </w:p>
    <w:p w:rsidR="00343121" w:rsidRPr="00F05BED" w:rsidRDefault="00343121" w:rsidP="00F05BED">
      <w:pPr>
        <w:spacing w:line="320" w:lineRule="atLeast"/>
        <w:rPr>
          <w:rFonts w:cs="Arial"/>
          <w:sz w:val="22"/>
          <w:szCs w:val="22"/>
        </w:rPr>
      </w:pPr>
    </w:p>
    <w:p w:rsidR="00BE65C8" w:rsidRDefault="00BE65C8">
      <w:pPr>
        <w:rPr>
          <w:rFonts w:ascii="STATSsans Light" w:hAnsi="STATSsans Light" w:cs="Arial"/>
          <w:b/>
          <w:i/>
          <w:color w:val="000000"/>
          <w:sz w:val="22"/>
          <w:szCs w:val="22"/>
          <w:lang w:eastAsia="en-NZ"/>
        </w:rPr>
      </w:pPr>
      <w:r>
        <w:rPr>
          <w:rFonts w:cs="Arial"/>
          <w:b/>
          <w:i/>
          <w:sz w:val="22"/>
          <w:szCs w:val="22"/>
        </w:rPr>
        <w:br w:type="page"/>
      </w:r>
    </w:p>
    <w:p w:rsidR="00343121" w:rsidRPr="00F05BED" w:rsidRDefault="00343121" w:rsidP="00DA6B17">
      <w:pPr>
        <w:pStyle w:val="Default"/>
        <w:numPr>
          <w:ilvl w:val="0"/>
          <w:numId w:val="4"/>
        </w:numPr>
        <w:spacing w:line="320" w:lineRule="atLeast"/>
        <w:ind w:left="567" w:hanging="501"/>
        <w:rPr>
          <w:rFonts w:cs="Arial"/>
          <w:b/>
          <w:i/>
          <w:sz w:val="22"/>
          <w:szCs w:val="22"/>
        </w:rPr>
      </w:pPr>
      <w:r w:rsidRPr="00F05BED">
        <w:rPr>
          <w:rFonts w:cs="Arial"/>
          <w:b/>
          <w:i/>
          <w:sz w:val="22"/>
          <w:szCs w:val="22"/>
        </w:rPr>
        <w:lastRenderedPageBreak/>
        <w:t>Results</w:t>
      </w:r>
    </w:p>
    <w:p w:rsidR="006C3CBB" w:rsidRDefault="006C3CBB" w:rsidP="00F05BED">
      <w:pPr>
        <w:spacing w:line="320" w:lineRule="atLeast"/>
        <w:rPr>
          <w:rFonts w:cs="Arial"/>
          <w:sz w:val="22"/>
          <w:szCs w:val="22"/>
        </w:rPr>
      </w:pPr>
      <w:r>
        <w:rPr>
          <w:rFonts w:cs="Arial"/>
          <w:sz w:val="22"/>
          <w:szCs w:val="22"/>
        </w:rPr>
        <w:t>The adjusted-R</w:t>
      </w:r>
      <w:r w:rsidRPr="006C3CBB">
        <w:rPr>
          <w:rFonts w:ascii="b" w:hAnsi="b" w:cs="Arial"/>
          <w:sz w:val="22"/>
          <w:szCs w:val="22"/>
          <w:vertAlign w:val="superscript"/>
        </w:rPr>
        <w:t>2</w:t>
      </w:r>
      <w:r>
        <w:rPr>
          <w:rFonts w:cs="Arial"/>
          <w:sz w:val="22"/>
          <w:szCs w:val="22"/>
        </w:rPr>
        <w:t xml:space="preserve"> for the long run model is 0.99 and the model satisfies the requirements of all appropriate diagnostic tests</w:t>
      </w:r>
      <w:r>
        <w:rPr>
          <w:rStyle w:val="FootnoteReference"/>
          <w:rFonts w:cs="Arial"/>
          <w:sz w:val="22"/>
          <w:szCs w:val="22"/>
        </w:rPr>
        <w:footnoteReference w:id="8"/>
      </w:r>
      <w:r>
        <w:rPr>
          <w:rFonts w:cs="Arial"/>
          <w:sz w:val="22"/>
          <w:szCs w:val="22"/>
        </w:rPr>
        <w:t xml:space="preserve">.  </w:t>
      </w:r>
      <w:r w:rsidR="00343121" w:rsidRPr="00F05BED">
        <w:rPr>
          <w:rFonts w:cs="Arial"/>
          <w:sz w:val="22"/>
          <w:szCs w:val="22"/>
        </w:rPr>
        <w:t>Our analysis found that the long run output elasticity of productive road infrastructure capital stock is 0.41</w:t>
      </w:r>
      <w:r w:rsidR="008C3B2E">
        <w:rPr>
          <w:rFonts w:cs="Arial"/>
          <w:sz w:val="22"/>
          <w:szCs w:val="22"/>
        </w:rPr>
        <w:t xml:space="preserve"> (p-value &lt;0.01)</w:t>
      </w:r>
      <w:r w:rsidR="00343121" w:rsidRPr="00F05BED">
        <w:rPr>
          <w:rFonts w:cs="Arial"/>
          <w:sz w:val="22"/>
          <w:szCs w:val="22"/>
        </w:rPr>
        <w:t xml:space="preserve">. This means for every one percent increase in productive road infrastructure capital stock, output will increase by 0.41 percent. </w:t>
      </w:r>
    </w:p>
    <w:p w:rsidR="006C3CBB" w:rsidRDefault="006C3CBB" w:rsidP="00F05BED">
      <w:pPr>
        <w:spacing w:line="320" w:lineRule="atLeast"/>
        <w:rPr>
          <w:rFonts w:cs="Arial"/>
          <w:sz w:val="22"/>
          <w:szCs w:val="22"/>
        </w:rPr>
      </w:pPr>
    </w:p>
    <w:p w:rsidR="006C3CBB" w:rsidRDefault="004F4C18" w:rsidP="00F05BED">
      <w:pPr>
        <w:spacing w:line="320" w:lineRule="atLeast"/>
        <w:rPr>
          <w:rFonts w:cs="Arial"/>
          <w:sz w:val="22"/>
          <w:szCs w:val="22"/>
        </w:rPr>
      </w:pPr>
      <w:r>
        <w:rPr>
          <w:rFonts w:cs="Arial"/>
          <w:sz w:val="22"/>
          <w:szCs w:val="22"/>
        </w:rPr>
        <w:t xml:space="preserve">The estimated output elasticity of labour is 0.92 </w:t>
      </w:r>
      <w:r w:rsidR="008C3B2E">
        <w:rPr>
          <w:rFonts w:cs="Arial"/>
          <w:sz w:val="22"/>
          <w:szCs w:val="22"/>
        </w:rPr>
        <w:t xml:space="preserve">(p-value &lt; 0.01) </w:t>
      </w:r>
      <w:r>
        <w:rPr>
          <w:rFonts w:cs="Arial"/>
          <w:sz w:val="22"/>
          <w:szCs w:val="22"/>
        </w:rPr>
        <w:t xml:space="preserve">and </w:t>
      </w:r>
      <w:r w:rsidR="00A21B24">
        <w:rPr>
          <w:rFonts w:cs="Arial"/>
          <w:sz w:val="22"/>
          <w:szCs w:val="22"/>
        </w:rPr>
        <w:t xml:space="preserve">that </w:t>
      </w:r>
      <w:r>
        <w:rPr>
          <w:rFonts w:cs="Arial"/>
          <w:sz w:val="22"/>
          <w:szCs w:val="22"/>
        </w:rPr>
        <w:t>of productive non-road infrastructure capital stock</w:t>
      </w:r>
      <w:r w:rsidR="000B34A2" w:rsidRPr="00F05BED">
        <w:rPr>
          <w:rFonts w:cs="Arial"/>
          <w:sz w:val="22"/>
          <w:szCs w:val="22"/>
        </w:rPr>
        <w:t xml:space="preserve"> </w:t>
      </w:r>
      <w:r>
        <w:rPr>
          <w:rFonts w:cs="Arial"/>
          <w:sz w:val="22"/>
          <w:szCs w:val="22"/>
        </w:rPr>
        <w:t>is -0.34</w:t>
      </w:r>
      <w:r w:rsidR="008C3B2E">
        <w:rPr>
          <w:rFonts w:cs="Arial"/>
          <w:sz w:val="22"/>
          <w:szCs w:val="22"/>
        </w:rPr>
        <w:t xml:space="preserve"> (p-value &lt; 0.01)</w:t>
      </w:r>
      <w:r>
        <w:rPr>
          <w:rFonts w:cs="Arial"/>
          <w:sz w:val="22"/>
          <w:szCs w:val="22"/>
        </w:rPr>
        <w:t xml:space="preserve">. The higher contribution from labour inputs is consistent with the </w:t>
      </w:r>
      <w:r w:rsidR="00235896">
        <w:rPr>
          <w:rFonts w:cs="Arial"/>
          <w:sz w:val="22"/>
          <w:szCs w:val="22"/>
        </w:rPr>
        <w:t>result</w:t>
      </w:r>
      <w:r w:rsidR="00E6101E">
        <w:rPr>
          <w:rFonts w:cs="Arial"/>
          <w:sz w:val="22"/>
          <w:szCs w:val="22"/>
        </w:rPr>
        <w:t>s</w:t>
      </w:r>
      <w:r w:rsidR="00235896">
        <w:rPr>
          <w:rFonts w:cs="Arial"/>
          <w:sz w:val="22"/>
          <w:szCs w:val="22"/>
        </w:rPr>
        <w:t xml:space="preserve"> obtained from the </w:t>
      </w:r>
      <w:r w:rsidR="0087738B">
        <w:rPr>
          <w:rFonts w:cs="Arial"/>
          <w:sz w:val="22"/>
          <w:szCs w:val="22"/>
        </w:rPr>
        <w:t>input</w:t>
      </w:r>
      <w:r>
        <w:rPr>
          <w:rFonts w:cs="Arial"/>
          <w:sz w:val="22"/>
          <w:szCs w:val="22"/>
        </w:rPr>
        <w:t>-</w:t>
      </w:r>
      <w:r w:rsidR="0087738B">
        <w:rPr>
          <w:rFonts w:cs="Arial"/>
          <w:sz w:val="22"/>
          <w:szCs w:val="22"/>
        </w:rPr>
        <w:t xml:space="preserve">output </w:t>
      </w:r>
      <w:r>
        <w:rPr>
          <w:rFonts w:cs="Arial"/>
          <w:sz w:val="22"/>
          <w:szCs w:val="22"/>
        </w:rPr>
        <w:t>analy</w:t>
      </w:r>
      <w:r w:rsidR="006C3CBB">
        <w:rPr>
          <w:rFonts w:cs="Arial"/>
          <w:sz w:val="22"/>
          <w:szCs w:val="22"/>
        </w:rPr>
        <w:t xml:space="preserve">ses. </w:t>
      </w:r>
      <w:r>
        <w:rPr>
          <w:rFonts w:cs="Arial"/>
          <w:sz w:val="22"/>
          <w:szCs w:val="22"/>
        </w:rPr>
        <w:t xml:space="preserve">The negative effect of non-road capital stock </w:t>
      </w:r>
      <w:r w:rsidR="00A3412D">
        <w:rPr>
          <w:rFonts w:cs="Arial"/>
          <w:sz w:val="22"/>
          <w:szCs w:val="22"/>
        </w:rPr>
        <w:t xml:space="preserve">implies </w:t>
      </w:r>
      <w:r>
        <w:rPr>
          <w:rFonts w:cs="Arial"/>
          <w:sz w:val="22"/>
          <w:szCs w:val="22"/>
        </w:rPr>
        <w:t xml:space="preserve">some of </w:t>
      </w:r>
      <w:r w:rsidR="00E6101E">
        <w:rPr>
          <w:rFonts w:cs="Arial"/>
          <w:sz w:val="22"/>
          <w:szCs w:val="22"/>
        </w:rPr>
        <w:t xml:space="preserve">these </w:t>
      </w:r>
      <w:r>
        <w:rPr>
          <w:rFonts w:cs="Arial"/>
          <w:sz w:val="22"/>
          <w:szCs w:val="22"/>
        </w:rPr>
        <w:t xml:space="preserve">capital stocks might have hindered economic growth due to resources being tied up in less efficient areas. </w:t>
      </w:r>
    </w:p>
    <w:p w:rsidR="006C3CBB" w:rsidRDefault="006C3CBB" w:rsidP="00F05BED">
      <w:pPr>
        <w:spacing w:line="320" w:lineRule="atLeast"/>
        <w:rPr>
          <w:rFonts w:cs="Arial"/>
          <w:sz w:val="22"/>
          <w:szCs w:val="22"/>
        </w:rPr>
      </w:pPr>
    </w:p>
    <w:p w:rsidR="00E6101E" w:rsidRPr="00F05BED" w:rsidRDefault="006C3CBB" w:rsidP="00E6101E">
      <w:pPr>
        <w:spacing w:line="320" w:lineRule="atLeast"/>
        <w:rPr>
          <w:rFonts w:cs="Arial"/>
          <w:sz w:val="22"/>
          <w:szCs w:val="22"/>
        </w:rPr>
      </w:pPr>
      <w:r>
        <w:rPr>
          <w:rFonts w:cs="Arial"/>
          <w:sz w:val="22"/>
          <w:szCs w:val="22"/>
        </w:rPr>
        <w:t>The short run model</w:t>
      </w:r>
      <w:r w:rsidR="00E6101E">
        <w:rPr>
          <w:rStyle w:val="FootnoteReference"/>
          <w:rFonts w:cs="Arial"/>
          <w:sz w:val="22"/>
          <w:szCs w:val="22"/>
        </w:rPr>
        <w:footnoteReference w:id="9"/>
      </w:r>
      <w:r>
        <w:rPr>
          <w:rFonts w:cs="Arial"/>
          <w:sz w:val="22"/>
          <w:szCs w:val="22"/>
        </w:rPr>
        <w:t xml:space="preserve"> has an adjusted-R</w:t>
      </w:r>
      <w:r w:rsidRPr="006C3CBB">
        <w:rPr>
          <w:rFonts w:ascii="b" w:hAnsi="b" w:cs="Arial"/>
          <w:sz w:val="22"/>
          <w:szCs w:val="22"/>
          <w:vertAlign w:val="superscript"/>
        </w:rPr>
        <w:t>2</w:t>
      </w:r>
      <w:r>
        <w:rPr>
          <w:rFonts w:cs="Arial"/>
          <w:sz w:val="22"/>
          <w:szCs w:val="22"/>
        </w:rPr>
        <w:t xml:space="preserve"> value of 0.7.  Results show </w:t>
      </w:r>
      <w:r w:rsidR="00343121" w:rsidRPr="00F05BED">
        <w:rPr>
          <w:rFonts w:cs="Arial"/>
          <w:sz w:val="22"/>
          <w:szCs w:val="22"/>
        </w:rPr>
        <w:t xml:space="preserve">that capital stock levels </w:t>
      </w:r>
      <w:r w:rsidR="004D589E">
        <w:rPr>
          <w:rFonts w:cs="Arial"/>
          <w:sz w:val="22"/>
          <w:szCs w:val="22"/>
        </w:rPr>
        <w:t xml:space="preserve">do not have </w:t>
      </w:r>
      <w:r w:rsidR="00343121" w:rsidRPr="00F05BED">
        <w:rPr>
          <w:rFonts w:cs="Arial"/>
          <w:sz w:val="22"/>
          <w:szCs w:val="22"/>
        </w:rPr>
        <w:t>significant</w:t>
      </w:r>
      <w:r w:rsidR="004D589E">
        <w:rPr>
          <w:rFonts w:cs="Arial"/>
          <w:sz w:val="22"/>
          <w:szCs w:val="22"/>
        </w:rPr>
        <w:t xml:space="preserve"> impacts on GDP</w:t>
      </w:r>
      <w:r>
        <w:rPr>
          <w:rFonts w:cs="Arial"/>
          <w:sz w:val="22"/>
          <w:szCs w:val="22"/>
        </w:rPr>
        <w:t xml:space="preserve"> in the short run</w:t>
      </w:r>
      <w:r w:rsidR="00343121" w:rsidRPr="00F05BED">
        <w:rPr>
          <w:rFonts w:cs="Arial"/>
          <w:sz w:val="22"/>
          <w:szCs w:val="22"/>
        </w:rPr>
        <w:t xml:space="preserve">. </w:t>
      </w:r>
    </w:p>
    <w:p w:rsidR="00343121" w:rsidRPr="00F05BED" w:rsidRDefault="00343121" w:rsidP="00F05BED">
      <w:pPr>
        <w:spacing w:line="320" w:lineRule="atLeast"/>
        <w:rPr>
          <w:rFonts w:cs="Arial"/>
          <w:sz w:val="22"/>
          <w:szCs w:val="22"/>
        </w:rPr>
      </w:pPr>
    </w:p>
    <w:p w:rsidR="00343121" w:rsidRPr="00F05BED" w:rsidRDefault="00343121" w:rsidP="00F05BED">
      <w:pPr>
        <w:spacing w:line="320" w:lineRule="atLeast"/>
        <w:rPr>
          <w:rFonts w:cs="Arial"/>
          <w:sz w:val="22"/>
          <w:szCs w:val="22"/>
        </w:rPr>
      </w:pPr>
      <w:r w:rsidRPr="00F05BED">
        <w:rPr>
          <w:rFonts w:cs="Arial"/>
          <w:sz w:val="22"/>
          <w:szCs w:val="22"/>
        </w:rPr>
        <w:t>However, when applying the causalit</w:t>
      </w:r>
      <w:r w:rsidR="0004600F">
        <w:rPr>
          <w:rFonts w:cs="Arial"/>
          <w:sz w:val="22"/>
          <w:szCs w:val="22"/>
        </w:rPr>
        <w:t xml:space="preserve">y test for </w:t>
      </w:r>
      <w:r w:rsidR="00BE65C8">
        <w:rPr>
          <w:rFonts w:cs="Arial"/>
          <w:sz w:val="22"/>
          <w:szCs w:val="22"/>
        </w:rPr>
        <w:t xml:space="preserve">ECM errors </w:t>
      </w:r>
      <w:r w:rsidRPr="00F05BED">
        <w:rPr>
          <w:rFonts w:cs="Arial"/>
          <w:sz w:val="22"/>
          <w:szCs w:val="22"/>
        </w:rPr>
        <w:t>found there are some feedback effects. In other words, we found the direction of causality between each independent variable and the dependent variable goes both ways.</w:t>
      </w:r>
      <w:r w:rsidR="00695272">
        <w:rPr>
          <w:rFonts w:cs="Arial"/>
          <w:sz w:val="22"/>
          <w:szCs w:val="22"/>
        </w:rPr>
        <w:t xml:space="preserve"> </w:t>
      </w:r>
      <w:r w:rsidR="00F97013" w:rsidRPr="00F97013">
        <w:rPr>
          <w:rFonts w:cs="Arial"/>
          <w:sz w:val="22"/>
          <w:szCs w:val="22"/>
        </w:rPr>
        <w:t>This is not surprising because better utilisation of capital and labour inputs can induce economic growth but as an economy grows it also generates demand for extra capital and labour inputs.</w:t>
      </w:r>
    </w:p>
    <w:p w:rsidR="00AD73E4" w:rsidRDefault="00AD73E4" w:rsidP="00F05BED">
      <w:pPr>
        <w:autoSpaceDE w:val="0"/>
        <w:autoSpaceDN w:val="0"/>
        <w:adjustRightInd w:val="0"/>
        <w:spacing w:line="320" w:lineRule="atLeast"/>
        <w:rPr>
          <w:rFonts w:cs="Arial"/>
          <w:b/>
          <w:sz w:val="22"/>
          <w:szCs w:val="22"/>
          <w:lang w:eastAsia="en-NZ"/>
        </w:rPr>
      </w:pPr>
    </w:p>
    <w:p w:rsidR="00F05BED" w:rsidRPr="00F05BED" w:rsidRDefault="00AD73E4" w:rsidP="00F05BED">
      <w:pPr>
        <w:autoSpaceDE w:val="0"/>
        <w:autoSpaceDN w:val="0"/>
        <w:adjustRightInd w:val="0"/>
        <w:spacing w:line="320" w:lineRule="atLeast"/>
        <w:rPr>
          <w:rFonts w:cs="Arial"/>
          <w:b/>
          <w:sz w:val="26"/>
          <w:szCs w:val="26"/>
          <w:lang w:eastAsia="en-NZ"/>
        </w:rPr>
      </w:pPr>
      <w:r>
        <w:rPr>
          <w:rFonts w:cs="Arial"/>
          <w:b/>
          <w:sz w:val="26"/>
          <w:szCs w:val="26"/>
          <w:lang w:eastAsia="en-NZ"/>
        </w:rPr>
        <w:t>4.</w:t>
      </w:r>
      <w:r>
        <w:rPr>
          <w:rFonts w:cs="Arial"/>
          <w:b/>
          <w:sz w:val="26"/>
          <w:szCs w:val="26"/>
          <w:lang w:eastAsia="en-NZ"/>
        </w:rPr>
        <w:tab/>
      </w:r>
      <w:r w:rsidR="00BD0B36">
        <w:rPr>
          <w:rFonts w:cs="Arial"/>
          <w:b/>
          <w:sz w:val="26"/>
          <w:szCs w:val="26"/>
          <w:lang w:eastAsia="en-NZ"/>
        </w:rPr>
        <w:t>Summary and conclusions</w:t>
      </w:r>
    </w:p>
    <w:p w:rsidR="00BD0B36" w:rsidRDefault="00BD0B36" w:rsidP="00F05BED">
      <w:pPr>
        <w:autoSpaceDE w:val="0"/>
        <w:autoSpaceDN w:val="0"/>
        <w:adjustRightInd w:val="0"/>
        <w:spacing w:line="320" w:lineRule="atLeast"/>
        <w:rPr>
          <w:rFonts w:cs="Arial"/>
          <w:sz w:val="22"/>
          <w:szCs w:val="22"/>
          <w:lang w:eastAsia="en-NZ"/>
        </w:rPr>
      </w:pPr>
    </w:p>
    <w:p w:rsidR="00FB5A9F" w:rsidRDefault="00FB5A9F" w:rsidP="00F05BED">
      <w:pPr>
        <w:autoSpaceDE w:val="0"/>
        <w:autoSpaceDN w:val="0"/>
        <w:adjustRightInd w:val="0"/>
        <w:spacing w:line="320" w:lineRule="atLeast"/>
        <w:rPr>
          <w:sz w:val="22"/>
          <w:szCs w:val="22"/>
        </w:rPr>
      </w:pPr>
      <w:r w:rsidRPr="00F05BED">
        <w:rPr>
          <w:sz w:val="22"/>
          <w:szCs w:val="22"/>
        </w:rPr>
        <w:t>In response to the recent economic recession, governments worldwide have been using infrastructure as a means to accelerate the rate of economic growth. The key question is: how much do transport and transport infrastructure contribute to the growth of the economy?</w:t>
      </w:r>
    </w:p>
    <w:p w:rsidR="00FB5A9F" w:rsidRDefault="00FB5A9F" w:rsidP="00F05BED">
      <w:pPr>
        <w:autoSpaceDE w:val="0"/>
        <w:autoSpaceDN w:val="0"/>
        <w:adjustRightInd w:val="0"/>
        <w:spacing w:line="320" w:lineRule="atLeast"/>
        <w:rPr>
          <w:rFonts w:cs="Arial"/>
          <w:sz w:val="22"/>
          <w:szCs w:val="22"/>
          <w:lang w:eastAsia="en-NZ"/>
        </w:rPr>
      </w:pPr>
    </w:p>
    <w:p w:rsidR="006C3CBB" w:rsidRPr="00F05BED" w:rsidRDefault="006C3CBB" w:rsidP="006C3CBB">
      <w:pPr>
        <w:spacing w:line="320" w:lineRule="atLeast"/>
        <w:rPr>
          <w:sz w:val="22"/>
          <w:szCs w:val="22"/>
        </w:rPr>
      </w:pPr>
      <w:r w:rsidRPr="00F05BED">
        <w:rPr>
          <w:sz w:val="22"/>
          <w:szCs w:val="22"/>
        </w:rPr>
        <w:t xml:space="preserve">The </w:t>
      </w:r>
      <w:r>
        <w:rPr>
          <w:sz w:val="22"/>
          <w:szCs w:val="22"/>
        </w:rPr>
        <w:t>paper looks into several input-output</w:t>
      </w:r>
      <w:r w:rsidR="0087738B">
        <w:rPr>
          <w:sz w:val="22"/>
          <w:szCs w:val="22"/>
        </w:rPr>
        <w:t>-</w:t>
      </w:r>
      <w:r>
        <w:rPr>
          <w:sz w:val="22"/>
          <w:szCs w:val="22"/>
        </w:rPr>
        <w:t>related productivity measures and conducts</w:t>
      </w:r>
      <w:r w:rsidRPr="00F05BED">
        <w:rPr>
          <w:sz w:val="22"/>
          <w:szCs w:val="22"/>
        </w:rPr>
        <w:t xml:space="preserve"> time series </w:t>
      </w:r>
      <w:r>
        <w:rPr>
          <w:sz w:val="22"/>
          <w:szCs w:val="22"/>
        </w:rPr>
        <w:t xml:space="preserve">analysis to gain a better </w:t>
      </w:r>
      <w:r w:rsidRPr="00F05BED">
        <w:rPr>
          <w:sz w:val="22"/>
          <w:szCs w:val="22"/>
        </w:rPr>
        <w:t xml:space="preserve">understanding of the economic impacts of transport and transport infrastructure in New Zealand. </w:t>
      </w:r>
    </w:p>
    <w:p w:rsidR="006C3CBB" w:rsidRDefault="006C3CBB" w:rsidP="00F05BED">
      <w:pPr>
        <w:autoSpaceDE w:val="0"/>
        <w:autoSpaceDN w:val="0"/>
        <w:adjustRightInd w:val="0"/>
        <w:spacing w:line="320" w:lineRule="atLeast"/>
        <w:rPr>
          <w:rFonts w:cs="Arial"/>
          <w:sz w:val="22"/>
          <w:szCs w:val="22"/>
          <w:lang w:eastAsia="en-NZ"/>
        </w:rPr>
      </w:pPr>
    </w:p>
    <w:p w:rsidR="00FB5A9F" w:rsidRDefault="00FB5A9F" w:rsidP="00F05BED">
      <w:pPr>
        <w:autoSpaceDE w:val="0"/>
        <w:autoSpaceDN w:val="0"/>
        <w:adjustRightInd w:val="0"/>
        <w:spacing w:line="320" w:lineRule="atLeast"/>
        <w:rPr>
          <w:rFonts w:cs="Arial"/>
          <w:sz w:val="22"/>
          <w:szCs w:val="22"/>
          <w:lang w:eastAsia="en-NZ"/>
        </w:rPr>
      </w:pPr>
      <w:r>
        <w:rPr>
          <w:rFonts w:cs="Arial"/>
          <w:sz w:val="22"/>
          <w:szCs w:val="22"/>
          <w:lang w:eastAsia="en-NZ"/>
        </w:rPr>
        <w:t xml:space="preserve">Our analysis shows </w:t>
      </w:r>
      <w:r w:rsidR="0087738B">
        <w:rPr>
          <w:rFonts w:cs="Arial"/>
          <w:sz w:val="22"/>
          <w:szCs w:val="22"/>
          <w:lang w:eastAsia="en-NZ"/>
        </w:rPr>
        <w:t xml:space="preserve">the </w:t>
      </w:r>
      <w:r w:rsidR="005428D8">
        <w:rPr>
          <w:rFonts w:cs="Arial"/>
          <w:sz w:val="22"/>
          <w:szCs w:val="22"/>
          <w:lang w:eastAsia="en-NZ"/>
        </w:rPr>
        <w:t>transport industry</w:t>
      </w:r>
      <w:r>
        <w:rPr>
          <w:rFonts w:cs="Arial"/>
          <w:sz w:val="22"/>
          <w:szCs w:val="22"/>
          <w:lang w:eastAsia="en-NZ"/>
        </w:rPr>
        <w:t xml:space="preserve"> as a whole has shown some productivity gains over time but the gains in early years (from 1996 to 2003) was originated mostly from better utilisation of labour inputs. In </w:t>
      </w:r>
      <w:r w:rsidR="0087738B">
        <w:rPr>
          <w:rFonts w:cs="Arial"/>
          <w:sz w:val="22"/>
          <w:szCs w:val="22"/>
          <w:lang w:eastAsia="en-NZ"/>
        </w:rPr>
        <w:t xml:space="preserve">the </w:t>
      </w:r>
      <w:r>
        <w:rPr>
          <w:rFonts w:cs="Arial"/>
          <w:sz w:val="22"/>
          <w:szCs w:val="22"/>
          <w:lang w:eastAsia="en-NZ"/>
        </w:rPr>
        <w:t xml:space="preserve">subsequent period (from 2003 to 2007), better capital utilisation </w:t>
      </w:r>
      <w:r w:rsidR="000005B2">
        <w:rPr>
          <w:rFonts w:cs="Arial"/>
          <w:sz w:val="22"/>
          <w:szCs w:val="22"/>
          <w:lang w:eastAsia="en-NZ"/>
        </w:rPr>
        <w:t xml:space="preserve">only </w:t>
      </w:r>
      <w:r>
        <w:rPr>
          <w:rFonts w:cs="Arial"/>
          <w:sz w:val="22"/>
          <w:szCs w:val="22"/>
          <w:lang w:eastAsia="en-NZ"/>
        </w:rPr>
        <w:t>started to occur</w:t>
      </w:r>
      <w:r w:rsidR="000005B2">
        <w:rPr>
          <w:rFonts w:cs="Arial"/>
          <w:sz w:val="22"/>
          <w:szCs w:val="22"/>
          <w:lang w:eastAsia="en-NZ"/>
        </w:rPr>
        <w:t xml:space="preserve"> for the ‘services to transport’ sub-</w:t>
      </w:r>
      <w:r w:rsidR="000005B2">
        <w:rPr>
          <w:rFonts w:cs="Arial"/>
          <w:sz w:val="22"/>
          <w:szCs w:val="22"/>
          <w:lang w:eastAsia="en-NZ"/>
        </w:rPr>
        <w:lastRenderedPageBreak/>
        <w:t>group</w:t>
      </w:r>
      <w:r>
        <w:rPr>
          <w:rFonts w:cs="Arial"/>
          <w:sz w:val="22"/>
          <w:szCs w:val="22"/>
          <w:lang w:eastAsia="en-NZ"/>
        </w:rPr>
        <w:t xml:space="preserve">. In terms of productivity gains from transport infrastructure investment, the </w:t>
      </w:r>
      <w:r w:rsidR="0087738B">
        <w:rPr>
          <w:rFonts w:cs="Arial"/>
          <w:sz w:val="22"/>
          <w:szCs w:val="22"/>
          <w:lang w:eastAsia="en-NZ"/>
        </w:rPr>
        <w:t>input</w:t>
      </w:r>
      <w:r>
        <w:rPr>
          <w:rFonts w:cs="Arial"/>
          <w:sz w:val="22"/>
          <w:szCs w:val="22"/>
          <w:lang w:eastAsia="en-NZ"/>
        </w:rPr>
        <w:t>-</w:t>
      </w:r>
      <w:r w:rsidR="0087738B">
        <w:rPr>
          <w:rFonts w:cs="Arial"/>
          <w:sz w:val="22"/>
          <w:szCs w:val="22"/>
          <w:lang w:eastAsia="en-NZ"/>
        </w:rPr>
        <w:t>o</w:t>
      </w:r>
      <w:r>
        <w:rPr>
          <w:rFonts w:cs="Arial"/>
          <w:sz w:val="22"/>
          <w:szCs w:val="22"/>
          <w:lang w:eastAsia="en-NZ"/>
        </w:rPr>
        <w:t xml:space="preserve">utput approach did not shed much light on this because we do not have transport infrastructure construction as a separate industry. However, our econometric analysis did find a positive contribution from productive road infrastructure capital stock to GDP. </w:t>
      </w:r>
    </w:p>
    <w:p w:rsidR="00FB5A9F" w:rsidRDefault="00FB5A9F" w:rsidP="00F05BED">
      <w:pPr>
        <w:autoSpaceDE w:val="0"/>
        <w:autoSpaceDN w:val="0"/>
        <w:adjustRightInd w:val="0"/>
        <w:spacing w:line="320" w:lineRule="atLeast"/>
        <w:rPr>
          <w:rFonts w:cs="Arial"/>
          <w:sz w:val="22"/>
          <w:szCs w:val="22"/>
          <w:lang w:eastAsia="en-NZ"/>
        </w:rPr>
      </w:pPr>
    </w:p>
    <w:p w:rsidR="000005B2" w:rsidRDefault="008C3B2E" w:rsidP="000005B2">
      <w:pPr>
        <w:autoSpaceDE w:val="0"/>
        <w:autoSpaceDN w:val="0"/>
        <w:adjustRightInd w:val="0"/>
        <w:spacing w:line="320" w:lineRule="atLeast"/>
        <w:rPr>
          <w:rFonts w:cs="Arial"/>
          <w:sz w:val="22"/>
          <w:szCs w:val="22"/>
          <w:lang w:eastAsia="en-NZ"/>
        </w:rPr>
      </w:pPr>
      <w:r>
        <w:rPr>
          <w:rFonts w:cs="Arial"/>
          <w:sz w:val="22"/>
          <w:szCs w:val="22"/>
          <w:lang w:eastAsia="en-NZ"/>
        </w:rPr>
        <w:t>T</w:t>
      </w:r>
      <w:r w:rsidR="000005B2">
        <w:rPr>
          <w:rFonts w:cs="Arial"/>
          <w:sz w:val="22"/>
          <w:szCs w:val="22"/>
          <w:lang w:eastAsia="en-NZ"/>
        </w:rPr>
        <w:t xml:space="preserve">he above results have important policy implications. Firstly, there is a need to encourage better capital utilisation for all transport industry sub-groups. Secondly, well-targeted transport infrastructure investment </w:t>
      </w:r>
      <w:r w:rsidR="00DF2A34">
        <w:rPr>
          <w:rFonts w:cs="Arial"/>
          <w:sz w:val="22"/>
          <w:szCs w:val="22"/>
          <w:lang w:eastAsia="en-NZ"/>
        </w:rPr>
        <w:t xml:space="preserve">can enhance economic growth if such investment </w:t>
      </w:r>
      <w:r w:rsidR="000005B2">
        <w:rPr>
          <w:rFonts w:cs="Arial"/>
          <w:sz w:val="22"/>
          <w:szCs w:val="22"/>
          <w:lang w:eastAsia="en-NZ"/>
        </w:rPr>
        <w:t xml:space="preserve">can increase the </w:t>
      </w:r>
      <w:r w:rsidR="00DF2A34">
        <w:rPr>
          <w:rFonts w:cs="Arial"/>
          <w:sz w:val="22"/>
          <w:szCs w:val="22"/>
          <w:lang w:eastAsia="en-NZ"/>
        </w:rPr>
        <w:t xml:space="preserve">level of </w:t>
      </w:r>
      <w:r w:rsidR="000005B2">
        <w:rPr>
          <w:rFonts w:cs="Arial"/>
          <w:sz w:val="22"/>
          <w:szCs w:val="22"/>
          <w:lang w:eastAsia="en-NZ"/>
        </w:rPr>
        <w:t>net productive road infrastructure capital stock</w:t>
      </w:r>
      <w:r w:rsidR="00DF2A34">
        <w:rPr>
          <w:rFonts w:cs="Arial"/>
          <w:sz w:val="22"/>
          <w:szCs w:val="22"/>
          <w:lang w:eastAsia="en-NZ"/>
        </w:rPr>
        <w:t>.</w:t>
      </w:r>
    </w:p>
    <w:p w:rsidR="000005B2" w:rsidRPr="000005B2" w:rsidRDefault="000005B2" w:rsidP="000005B2">
      <w:pPr>
        <w:autoSpaceDE w:val="0"/>
        <w:autoSpaceDN w:val="0"/>
        <w:adjustRightInd w:val="0"/>
        <w:spacing w:line="320" w:lineRule="atLeast"/>
        <w:rPr>
          <w:rFonts w:cs="Arial"/>
          <w:sz w:val="22"/>
          <w:szCs w:val="22"/>
          <w:lang w:eastAsia="en-NZ"/>
        </w:rPr>
      </w:pPr>
    </w:p>
    <w:p w:rsidR="00E15213" w:rsidRDefault="00BD0B36" w:rsidP="00E15213">
      <w:pPr>
        <w:autoSpaceDE w:val="0"/>
        <w:autoSpaceDN w:val="0"/>
        <w:adjustRightInd w:val="0"/>
        <w:spacing w:line="320" w:lineRule="atLeast"/>
        <w:rPr>
          <w:rFonts w:cs="Arial"/>
          <w:b/>
          <w:sz w:val="22"/>
          <w:szCs w:val="22"/>
          <w:lang w:eastAsia="en-NZ"/>
        </w:rPr>
      </w:pPr>
      <w:r w:rsidRPr="00F05BED">
        <w:rPr>
          <w:rFonts w:cs="Arial"/>
          <w:sz w:val="22"/>
          <w:szCs w:val="22"/>
          <w:lang w:eastAsia="en-NZ"/>
        </w:rPr>
        <w:t>There a</w:t>
      </w:r>
      <w:r w:rsidR="00E15213">
        <w:rPr>
          <w:rFonts w:cs="Arial"/>
          <w:sz w:val="22"/>
          <w:szCs w:val="22"/>
          <w:lang w:eastAsia="en-NZ"/>
        </w:rPr>
        <w:t>re opportunities to expand this r</w:t>
      </w:r>
      <w:r w:rsidRPr="00F05BED">
        <w:rPr>
          <w:rFonts w:cs="Arial"/>
          <w:sz w:val="22"/>
          <w:szCs w:val="22"/>
          <w:lang w:eastAsia="en-NZ"/>
        </w:rPr>
        <w:t xml:space="preserve">esearch in a number of areas. </w:t>
      </w:r>
      <w:r w:rsidR="00E15213">
        <w:rPr>
          <w:rFonts w:cs="Arial"/>
          <w:sz w:val="22"/>
          <w:szCs w:val="22"/>
          <w:lang w:eastAsia="en-NZ"/>
        </w:rPr>
        <w:t xml:space="preserve">Firstly, it would be useful to further </w:t>
      </w:r>
      <w:r w:rsidRPr="00F05BED">
        <w:rPr>
          <w:rFonts w:cs="Arial"/>
          <w:sz w:val="22"/>
          <w:szCs w:val="22"/>
          <w:lang w:eastAsia="en-NZ"/>
        </w:rPr>
        <w:t xml:space="preserve">disaggregate </w:t>
      </w:r>
      <w:r w:rsidR="00E15213">
        <w:rPr>
          <w:rFonts w:cs="Arial"/>
          <w:sz w:val="22"/>
          <w:szCs w:val="22"/>
          <w:lang w:eastAsia="en-NZ"/>
        </w:rPr>
        <w:t xml:space="preserve">transport industries into smaller sub-groups to better understand how individual transport </w:t>
      </w:r>
      <w:r w:rsidR="00986CF6">
        <w:rPr>
          <w:rFonts w:cs="Arial"/>
          <w:sz w:val="22"/>
          <w:szCs w:val="22"/>
          <w:lang w:eastAsia="en-NZ"/>
        </w:rPr>
        <w:t>services</w:t>
      </w:r>
      <w:r w:rsidR="00E15213">
        <w:rPr>
          <w:rFonts w:cs="Arial"/>
          <w:sz w:val="22"/>
          <w:szCs w:val="22"/>
          <w:lang w:eastAsia="en-NZ"/>
        </w:rPr>
        <w:t xml:space="preserve"> contribute to the economy. Secondly, to help </w:t>
      </w:r>
      <w:r w:rsidR="00DF2A34">
        <w:rPr>
          <w:rFonts w:cs="Arial"/>
          <w:sz w:val="22"/>
          <w:szCs w:val="22"/>
          <w:lang w:eastAsia="en-NZ"/>
        </w:rPr>
        <w:t>identify</w:t>
      </w:r>
      <w:r w:rsidR="00826C79">
        <w:rPr>
          <w:rFonts w:cs="Arial"/>
          <w:sz w:val="22"/>
          <w:szCs w:val="22"/>
          <w:lang w:eastAsia="en-NZ"/>
        </w:rPr>
        <w:t xml:space="preserve"> trends in productivity changes</w:t>
      </w:r>
      <w:r w:rsidR="00E15213">
        <w:rPr>
          <w:rFonts w:cs="Arial"/>
          <w:sz w:val="22"/>
          <w:szCs w:val="22"/>
          <w:lang w:eastAsia="en-NZ"/>
        </w:rPr>
        <w:t xml:space="preserve">, it would be </w:t>
      </w:r>
      <w:r w:rsidR="00826C79">
        <w:rPr>
          <w:rFonts w:cs="Arial"/>
          <w:sz w:val="22"/>
          <w:szCs w:val="22"/>
          <w:lang w:eastAsia="en-NZ"/>
        </w:rPr>
        <w:t xml:space="preserve">necessary </w:t>
      </w:r>
      <w:r w:rsidR="00E15213">
        <w:rPr>
          <w:rFonts w:cs="Arial"/>
          <w:sz w:val="22"/>
          <w:szCs w:val="22"/>
          <w:lang w:eastAsia="en-NZ"/>
        </w:rPr>
        <w:t xml:space="preserve">to develop a </w:t>
      </w:r>
      <w:r w:rsidRPr="00F05BED">
        <w:rPr>
          <w:rFonts w:cs="Arial"/>
          <w:sz w:val="22"/>
          <w:szCs w:val="22"/>
          <w:lang w:eastAsia="en-NZ"/>
        </w:rPr>
        <w:t>time series</w:t>
      </w:r>
      <w:r w:rsidR="00826C79">
        <w:rPr>
          <w:rFonts w:cs="Arial"/>
          <w:sz w:val="22"/>
          <w:szCs w:val="22"/>
          <w:lang w:eastAsia="en-NZ"/>
        </w:rPr>
        <w:t xml:space="preserve"> measure </w:t>
      </w:r>
      <w:r w:rsidR="00E15213">
        <w:rPr>
          <w:rFonts w:cs="Arial"/>
          <w:sz w:val="22"/>
          <w:szCs w:val="22"/>
          <w:lang w:eastAsia="en-NZ"/>
        </w:rPr>
        <w:t>of productivity indicators, preferably at the industry sub-group level</w:t>
      </w:r>
      <w:r w:rsidRPr="00F05BED">
        <w:rPr>
          <w:rFonts w:cs="Arial"/>
          <w:sz w:val="22"/>
          <w:szCs w:val="22"/>
          <w:lang w:eastAsia="en-NZ"/>
        </w:rPr>
        <w:t xml:space="preserve">. </w:t>
      </w:r>
      <w:r w:rsidR="00E15213">
        <w:rPr>
          <w:rFonts w:cs="Arial"/>
          <w:sz w:val="22"/>
          <w:szCs w:val="22"/>
          <w:lang w:eastAsia="en-NZ"/>
        </w:rPr>
        <w:t xml:space="preserve"> Finally, a</w:t>
      </w:r>
      <w:r w:rsidR="00E15213">
        <w:rPr>
          <w:rFonts w:cs="Arial"/>
          <w:sz w:val="22"/>
          <w:szCs w:val="22"/>
        </w:rPr>
        <w:t xml:space="preserve">s the econometric approach adopted may not be appropriate for data with feedback effects, further research on other approaches to handle such effects </w:t>
      </w:r>
      <w:r w:rsidR="004F4C18">
        <w:rPr>
          <w:rFonts w:cs="Arial"/>
          <w:sz w:val="22"/>
          <w:szCs w:val="22"/>
        </w:rPr>
        <w:t>is needed</w:t>
      </w:r>
      <w:r w:rsidR="00E15213">
        <w:rPr>
          <w:rFonts w:cs="Arial"/>
          <w:sz w:val="22"/>
          <w:szCs w:val="22"/>
        </w:rPr>
        <w:t>.</w:t>
      </w:r>
    </w:p>
    <w:p w:rsidR="006A0C0B" w:rsidRDefault="006A0C0B">
      <w:pPr>
        <w:rPr>
          <w:rFonts w:cs="Arial"/>
          <w:b/>
          <w:sz w:val="22"/>
          <w:szCs w:val="22"/>
          <w:lang w:eastAsia="en-NZ"/>
        </w:rPr>
      </w:pPr>
    </w:p>
    <w:p w:rsidR="002625A3" w:rsidRDefault="002625A3">
      <w:pPr>
        <w:rPr>
          <w:rFonts w:cs="Arial"/>
          <w:b/>
          <w:sz w:val="22"/>
          <w:szCs w:val="22"/>
          <w:lang w:eastAsia="en-NZ"/>
        </w:rPr>
      </w:pPr>
    </w:p>
    <w:p w:rsidR="00AD2232" w:rsidRPr="00F05BED" w:rsidRDefault="00CD1D46" w:rsidP="00F05BED">
      <w:pPr>
        <w:autoSpaceDE w:val="0"/>
        <w:autoSpaceDN w:val="0"/>
        <w:adjustRightInd w:val="0"/>
        <w:spacing w:line="320" w:lineRule="atLeast"/>
        <w:rPr>
          <w:rFonts w:cs="Arial"/>
          <w:b/>
          <w:sz w:val="22"/>
          <w:szCs w:val="22"/>
          <w:lang w:eastAsia="en-NZ"/>
        </w:rPr>
      </w:pPr>
      <w:r w:rsidRPr="00F05BED">
        <w:rPr>
          <w:rFonts w:cs="Arial"/>
          <w:b/>
          <w:sz w:val="22"/>
          <w:szCs w:val="22"/>
          <w:lang w:eastAsia="en-NZ"/>
        </w:rPr>
        <w:t>References</w:t>
      </w:r>
    </w:p>
    <w:p w:rsidR="00CD1D46" w:rsidRPr="00F05BED" w:rsidRDefault="00CD1D46" w:rsidP="00F05BED">
      <w:pPr>
        <w:autoSpaceDE w:val="0"/>
        <w:autoSpaceDN w:val="0"/>
        <w:adjustRightInd w:val="0"/>
        <w:spacing w:line="320" w:lineRule="atLeast"/>
        <w:rPr>
          <w:rFonts w:cs="Arial"/>
          <w:sz w:val="22"/>
          <w:szCs w:val="22"/>
          <w:lang w:eastAsia="en-NZ"/>
        </w:rPr>
      </w:pPr>
    </w:p>
    <w:p w:rsidR="00E43F83" w:rsidRDefault="00E43F83" w:rsidP="00E43F83">
      <w:pPr>
        <w:autoSpaceDE w:val="0"/>
        <w:autoSpaceDN w:val="0"/>
        <w:adjustRightInd w:val="0"/>
        <w:spacing w:after="120" w:line="320" w:lineRule="atLeast"/>
        <w:ind w:left="425" w:hanging="425"/>
        <w:rPr>
          <w:rFonts w:cs="Arial"/>
          <w:sz w:val="22"/>
          <w:szCs w:val="22"/>
        </w:rPr>
      </w:pPr>
      <w:proofErr w:type="spellStart"/>
      <w:r w:rsidRPr="00E43F83">
        <w:rPr>
          <w:rFonts w:cs="Arial"/>
          <w:sz w:val="22"/>
          <w:szCs w:val="22"/>
        </w:rPr>
        <w:t>Ashauer</w:t>
      </w:r>
      <w:proofErr w:type="spellEnd"/>
      <w:r w:rsidRPr="00E43F83">
        <w:rPr>
          <w:rFonts w:cs="Arial"/>
          <w:sz w:val="22"/>
          <w:szCs w:val="22"/>
        </w:rPr>
        <w:t xml:space="preserve">, D </w:t>
      </w:r>
      <w:r>
        <w:rPr>
          <w:rFonts w:cs="Arial"/>
          <w:sz w:val="22"/>
          <w:szCs w:val="22"/>
        </w:rPr>
        <w:t xml:space="preserve">(1989), </w:t>
      </w:r>
      <w:proofErr w:type="gramStart"/>
      <w:r w:rsidRPr="00E43F83">
        <w:rPr>
          <w:rFonts w:cs="Arial"/>
          <w:i/>
          <w:sz w:val="22"/>
          <w:szCs w:val="22"/>
        </w:rPr>
        <w:t>Is</w:t>
      </w:r>
      <w:proofErr w:type="gramEnd"/>
      <w:r w:rsidRPr="00E43F83">
        <w:rPr>
          <w:rFonts w:cs="Arial"/>
          <w:i/>
          <w:sz w:val="22"/>
          <w:szCs w:val="22"/>
        </w:rPr>
        <w:t xml:space="preserve"> public expenditure productive?</w:t>
      </w:r>
      <w:r w:rsidRPr="00E43F83">
        <w:rPr>
          <w:rFonts w:cs="Arial"/>
          <w:sz w:val="22"/>
          <w:szCs w:val="22"/>
        </w:rPr>
        <w:t xml:space="preserve"> </w:t>
      </w:r>
      <w:proofErr w:type="gramStart"/>
      <w:r w:rsidRPr="00E43F83">
        <w:rPr>
          <w:rFonts w:cs="Arial"/>
          <w:sz w:val="22"/>
          <w:szCs w:val="22"/>
        </w:rPr>
        <w:t>New England Economic Review,</w:t>
      </w:r>
      <w:r>
        <w:rPr>
          <w:rFonts w:cs="Arial"/>
          <w:sz w:val="22"/>
          <w:szCs w:val="22"/>
        </w:rPr>
        <w:t xml:space="preserve"> </w:t>
      </w:r>
      <w:r w:rsidRPr="00E43F83">
        <w:rPr>
          <w:rFonts w:cs="Arial"/>
          <w:sz w:val="22"/>
          <w:szCs w:val="22"/>
        </w:rPr>
        <w:t>Jan/Feb, pp.3-22.</w:t>
      </w:r>
      <w:proofErr w:type="gramEnd"/>
    </w:p>
    <w:p w:rsidR="00E43F83" w:rsidRDefault="00E43F83" w:rsidP="00E43F83">
      <w:pPr>
        <w:autoSpaceDE w:val="0"/>
        <w:autoSpaceDN w:val="0"/>
        <w:adjustRightInd w:val="0"/>
        <w:spacing w:after="120" w:line="320" w:lineRule="atLeast"/>
        <w:ind w:left="425" w:hanging="425"/>
        <w:rPr>
          <w:rFonts w:cs="Arial"/>
          <w:sz w:val="22"/>
          <w:szCs w:val="22"/>
        </w:rPr>
      </w:pPr>
      <w:r>
        <w:rPr>
          <w:rFonts w:cs="Arial"/>
          <w:sz w:val="22"/>
          <w:szCs w:val="22"/>
        </w:rPr>
        <w:t xml:space="preserve">Brian, B (2005), </w:t>
      </w:r>
      <w:r w:rsidRPr="00E43F83">
        <w:rPr>
          <w:rFonts w:cs="Arial"/>
          <w:i/>
          <w:sz w:val="22"/>
          <w:szCs w:val="22"/>
        </w:rPr>
        <w:t>Public Infrastructure and Economic Productivity: A Transportation-Focused Review</w:t>
      </w:r>
      <w:r w:rsidRPr="00E43F83">
        <w:rPr>
          <w:rFonts w:cs="Arial"/>
          <w:sz w:val="22"/>
          <w:szCs w:val="22"/>
        </w:rPr>
        <w:t>, Journal of the Transportation Research Board, No. 1932, pp. 54-60.</w:t>
      </w:r>
    </w:p>
    <w:p w:rsidR="00E43F83" w:rsidRPr="00E43F83" w:rsidRDefault="00E43F83" w:rsidP="00E43F83">
      <w:pPr>
        <w:autoSpaceDE w:val="0"/>
        <w:autoSpaceDN w:val="0"/>
        <w:adjustRightInd w:val="0"/>
        <w:spacing w:after="120" w:line="320" w:lineRule="atLeast"/>
        <w:ind w:left="425" w:hanging="425"/>
        <w:rPr>
          <w:rFonts w:cs="Arial"/>
          <w:sz w:val="22"/>
          <w:szCs w:val="22"/>
        </w:rPr>
      </w:pPr>
      <w:r w:rsidRPr="00E43F83">
        <w:rPr>
          <w:rFonts w:cs="Arial"/>
          <w:sz w:val="22"/>
          <w:szCs w:val="22"/>
        </w:rPr>
        <w:t>Gar</w:t>
      </w:r>
      <w:r>
        <w:rPr>
          <w:rFonts w:cs="Arial"/>
          <w:sz w:val="22"/>
          <w:szCs w:val="22"/>
        </w:rPr>
        <w:t xml:space="preserve">cia-Mila, T and McGuire, T (1992), </w:t>
      </w:r>
      <w:r w:rsidRPr="00E43F83">
        <w:rPr>
          <w:rFonts w:cs="Arial"/>
          <w:i/>
          <w:sz w:val="22"/>
          <w:szCs w:val="22"/>
        </w:rPr>
        <w:t>The contribution of publicly provided inputs to states’ economies</w:t>
      </w:r>
      <w:r>
        <w:rPr>
          <w:rFonts w:cs="Arial"/>
          <w:i/>
          <w:sz w:val="22"/>
          <w:szCs w:val="22"/>
        </w:rPr>
        <w:t>,</w:t>
      </w:r>
      <w:r w:rsidRPr="00E43F83">
        <w:rPr>
          <w:rFonts w:cs="Arial"/>
          <w:sz w:val="22"/>
          <w:szCs w:val="22"/>
        </w:rPr>
        <w:t xml:space="preserve"> Regional Science and Urban Economics, Vol. 22, pp. 229-241.</w:t>
      </w:r>
    </w:p>
    <w:p w:rsidR="00CD1D46" w:rsidRPr="00F05BED" w:rsidRDefault="00B81D1B" w:rsidP="00E43F83">
      <w:pPr>
        <w:autoSpaceDE w:val="0"/>
        <w:autoSpaceDN w:val="0"/>
        <w:adjustRightInd w:val="0"/>
        <w:spacing w:after="120" w:line="320" w:lineRule="atLeast"/>
        <w:ind w:left="425" w:hanging="425"/>
        <w:rPr>
          <w:rFonts w:cs="Arial"/>
          <w:sz w:val="22"/>
          <w:szCs w:val="22"/>
        </w:rPr>
      </w:pPr>
      <w:proofErr w:type="gramStart"/>
      <w:r w:rsidRPr="00F05BED">
        <w:rPr>
          <w:rFonts w:cs="Arial"/>
          <w:sz w:val="22"/>
          <w:szCs w:val="22"/>
        </w:rPr>
        <w:t>Miller, R</w:t>
      </w:r>
      <w:r w:rsidR="00CD1D46" w:rsidRPr="00F05BED">
        <w:rPr>
          <w:rFonts w:cs="Arial"/>
          <w:sz w:val="22"/>
          <w:szCs w:val="22"/>
        </w:rPr>
        <w:t xml:space="preserve"> and Blair</w:t>
      </w:r>
      <w:r w:rsidRPr="00F05BED">
        <w:rPr>
          <w:rFonts w:cs="Arial"/>
          <w:sz w:val="22"/>
          <w:szCs w:val="22"/>
        </w:rPr>
        <w:t>, P</w:t>
      </w:r>
      <w:r w:rsidR="00CD1D46" w:rsidRPr="00F05BED">
        <w:rPr>
          <w:rFonts w:cs="Arial"/>
          <w:sz w:val="22"/>
          <w:szCs w:val="22"/>
        </w:rPr>
        <w:t xml:space="preserve"> (2009), </w:t>
      </w:r>
      <w:r w:rsidR="004D3FE2" w:rsidRPr="00F05BED">
        <w:rPr>
          <w:rFonts w:cs="Arial"/>
          <w:i/>
          <w:sz w:val="22"/>
          <w:szCs w:val="22"/>
        </w:rPr>
        <w:t>Input-Output</w:t>
      </w:r>
      <w:r w:rsidR="00CD1D46" w:rsidRPr="00F05BED">
        <w:rPr>
          <w:rFonts w:cs="Arial"/>
          <w:i/>
          <w:sz w:val="22"/>
          <w:szCs w:val="22"/>
        </w:rPr>
        <w:t xml:space="preserve"> Analysis – Foundations and Extensions</w:t>
      </w:r>
      <w:r w:rsidRPr="00F05BED">
        <w:rPr>
          <w:rFonts w:cs="Arial"/>
          <w:i/>
          <w:sz w:val="22"/>
          <w:szCs w:val="22"/>
        </w:rPr>
        <w:t>,</w:t>
      </w:r>
      <w:r w:rsidR="00CD1D46" w:rsidRPr="00F05BED">
        <w:rPr>
          <w:rFonts w:cs="Arial"/>
          <w:sz w:val="22"/>
          <w:szCs w:val="22"/>
        </w:rPr>
        <w:t xml:space="preserve"> 2</w:t>
      </w:r>
      <w:r w:rsidR="00CD1D46" w:rsidRPr="00F05BED">
        <w:rPr>
          <w:rFonts w:cs="Arial"/>
          <w:sz w:val="22"/>
          <w:szCs w:val="22"/>
          <w:vertAlign w:val="superscript"/>
        </w:rPr>
        <w:t>nd</w:t>
      </w:r>
      <w:r w:rsidR="00CD1D46" w:rsidRPr="00F05BED">
        <w:rPr>
          <w:rFonts w:cs="Arial"/>
          <w:sz w:val="22"/>
          <w:szCs w:val="22"/>
        </w:rPr>
        <w:t xml:space="preserve"> Edition, Cambridge.</w:t>
      </w:r>
      <w:proofErr w:type="gramEnd"/>
    </w:p>
    <w:p w:rsidR="00E43F83" w:rsidRPr="00E43F83" w:rsidRDefault="00E43F83" w:rsidP="00E43F83">
      <w:pPr>
        <w:autoSpaceDE w:val="0"/>
        <w:autoSpaceDN w:val="0"/>
        <w:adjustRightInd w:val="0"/>
        <w:spacing w:after="120" w:line="320" w:lineRule="atLeast"/>
        <w:ind w:left="425" w:hanging="425"/>
        <w:rPr>
          <w:rFonts w:cs="Arial"/>
          <w:sz w:val="22"/>
          <w:szCs w:val="22"/>
        </w:rPr>
      </w:pPr>
      <w:proofErr w:type="spellStart"/>
      <w:r w:rsidRPr="00E43F83">
        <w:rPr>
          <w:rFonts w:cs="Arial"/>
          <w:sz w:val="22"/>
          <w:szCs w:val="22"/>
        </w:rPr>
        <w:t>Munnell</w:t>
      </w:r>
      <w:proofErr w:type="spellEnd"/>
      <w:r w:rsidRPr="00E43F83">
        <w:rPr>
          <w:rFonts w:cs="Arial"/>
          <w:sz w:val="22"/>
          <w:szCs w:val="22"/>
        </w:rPr>
        <w:t xml:space="preserve">, A </w:t>
      </w:r>
      <w:r>
        <w:rPr>
          <w:rFonts w:cs="Arial"/>
          <w:sz w:val="22"/>
          <w:szCs w:val="22"/>
        </w:rPr>
        <w:t xml:space="preserve">(1990), </w:t>
      </w:r>
      <w:proofErr w:type="gramStart"/>
      <w:r w:rsidRPr="00E43F83">
        <w:rPr>
          <w:rFonts w:cs="Arial"/>
          <w:i/>
          <w:sz w:val="22"/>
          <w:szCs w:val="22"/>
        </w:rPr>
        <w:t>How</w:t>
      </w:r>
      <w:proofErr w:type="gramEnd"/>
      <w:r w:rsidRPr="00E43F83">
        <w:rPr>
          <w:rFonts w:cs="Arial"/>
          <w:i/>
          <w:sz w:val="22"/>
          <w:szCs w:val="22"/>
        </w:rPr>
        <w:t xml:space="preserve"> does public infrastructure affect regional economic performance?</w:t>
      </w:r>
      <w:r>
        <w:rPr>
          <w:rFonts w:cs="Arial"/>
          <w:sz w:val="22"/>
          <w:szCs w:val="22"/>
        </w:rPr>
        <w:t xml:space="preserve"> </w:t>
      </w:r>
      <w:proofErr w:type="gramStart"/>
      <w:r w:rsidRPr="00E43F83">
        <w:rPr>
          <w:rFonts w:cs="Arial"/>
          <w:sz w:val="22"/>
          <w:szCs w:val="22"/>
        </w:rPr>
        <w:t>New England Economic Review, Sept/Oct, pp.11-32.</w:t>
      </w:r>
      <w:proofErr w:type="gramEnd"/>
    </w:p>
    <w:p w:rsidR="00CD1D46" w:rsidRPr="00F05BED" w:rsidRDefault="00B81D1B" w:rsidP="00E43F83">
      <w:pPr>
        <w:autoSpaceDE w:val="0"/>
        <w:autoSpaceDN w:val="0"/>
        <w:adjustRightInd w:val="0"/>
        <w:spacing w:after="120" w:line="320" w:lineRule="atLeast"/>
        <w:ind w:left="425" w:hanging="425"/>
        <w:rPr>
          <w:rFonts w:cs="Arial"/>
          <w:sz w:val="22"/>
          <w:szCs w:val="22"/>
          <w:lang w:eastAsia="en-NZ"/>
        </w:rPr>
      </w:pPr>
      <w:r w:rsidRPr="00F05BED">
        <w:rPr>
          <w:rFonts w:cs="Arial"/>
          <w:sz w:val="22"/>
          <w:szCs w:val="22"/>
        </w:rPr>
        <w:t>OECD (2001),</w:t>
      </w:r>
      <w:r w:rsidR="00CD1D46" w:rsidRPr="00F05BED">
        <w:rPr>
          <w:rFonts w:cs="Arial"/>
          <w:sz w:val="22"/>
          <w:szCs w:val="22"/>
        </w:rPr>
        <w:t xml:space="preserve"> </w:t>
      </w:r>
      <w:r w:rsidR="00CD1D46" w:rsidRPr="00F05BED">
        <w:rPr>
          <w:rFonts w:cs="Arial"/>
          <w:i/>
          <w:sz w:val="22"/>
          <w:szCs w:val="22"/>
        </w:rPr>
        <w:t>Measuring productivity: Measurement of aggregate and industry-level productivity growth</w:t>
      </w:r>
      <w:r w:rsidRPr="00F05BED">
        <w:rPr>
          <w:rFonts w:cs="Arial"/>
          <w:i/>
          <w:sz w:val="22"/>
          <w:szCs w:val="22"/>
        </w:rPr>
        <w:t xml:space="preserve">, </w:t>
      </w:r>
      <w:r w:rsidR="00CD1D46" w:rsidRPr="00F05BED">
        <w:rPr>
          <w:rFonts w:cs="Arial"/>
          <w:sz w:val="22"/>
          <w:szCs w:val="22"/>
        </w:rPr>
        <w:t>Paris</w:t>
      </w:r>
      <w:r w:rsidRPr="00F05BED">
        <w:rPr>
          <w:rFonts w:cs="Arial"/>
          <w:sz w:val="22"/>
          <w:szCs w:val="22"/>
        </w:rPr>
        <w:t>,</w:t>
      </w:r>
      <w:r w:rsidR="00CD1D46" w:rsidRPr="00F05BED">
        <w:rPr>
          <w:rFonts w:cs="Arial"/>
          <w:sz w:val="22"/>
          <w:szCs w:val="22"/>
        </w:rPr>
        <w:t xml:space="preserve"> OECD.</w:t>
      </w:r>
    </w:p>
    <w:p w:rsidR="00E43F83" w:rsidRPr="00F05BED" w:rsidRDefault="00E43F83" w:rsidP="00E43F83">
      <w:pPr>
        <w:autoSpaceDE w:val="0"/>
        <w:autoSpaceDN w:val="0"/>
        <w:adjustRightInd w:val="0"/>
        <w:spacing w:after="120" w:line="320" w:lineRule="atLeast"/>
        <w:ind w:left="425" w:hanging="425"/>
        <w:rPr>
          <w:rFonts w:cs="Arial"/>
          <w:sz w:val="22"/>
          <w:szCs w:val="22"/>
        </w:rPr>
      </w:pPr>
      <w:r w:rsidRPr="00E43F83">
        <w:rPr>
          <w:rFonts w:cs="Arial"/>
          <w:sz w:val="22"/>
          <w:szCs w:val="22"/>
        </w:rPr>
        <w:t xml:space="preserve">Preston, J and </w:t>
      </w:r>
      <w:proofErr w:type="spellStart"/>
      <w:r w:rsidRPr="00E43F83">
        <w:rPr>
          <w:rFonts w:cs="Arial"/>
          <w:sz w:val="22"/>
          <w:szCs w:val="22"/>
        </w:rPr>
        <w:t>Holvad</w:t>
      </w:r>
      <w:proofErr w:type="spellEnd"/>
      <w:r w:rsidRPr="00E43F83">
        <w:rPr>
          <w:rFonts w:cs="Arial"/>
          <w:sz w:val="22"/>
          <w:szCs w:val="22"/>
        </w:rPr>
        <w:t>, T</w:t>
      </w:r>
      <w:r>
        <w:rPr>
          <w:rFonts w:cs="Arial"/>
          <w:sz w:val="22"/>
          <w:szCs w:val="22"/>
        </w:rPr>
        <w:t xml:space="preserve"> (2005),</w:t>
      </w:r>
      <w:r w:rsidRPr="00E43F83">
        <w:rPr>
          <w:rFonts w:cs="Arial"/>
          <w:sz w:val="22"/>
          <w:szCs w:val="22"/>
        </w:rPr>
        <w:t xml:space="preserve"> </w:t>
      </w:r>
      <w:r w:rsidRPr="00E43F83">
        <w:rPr>
          <w:rFonts w:cs="Arial"/>
          <w:i/>
          <w:sz w:val="22"/>
          <w:szCs w:val="22"/>
        </w:rPr>
        <w:t>Road Transport and Additional Benefits: A Review of the Empirical Evidence on the additional benefits of road investment</w:t>
      </w:r>
      <w:r>
        <w:rPr>
          <w:rFonts w:cs="Arial"/>
          <w:i/>
          <w:sz w:val="22"/>
          <w:szCs w:val="22"/>
        </w:rPr>
        <w:t>,</w:t>
      </w:r>
      <w:r w:rsidRPr="00E43F83">
        <w:rPr>
          <w:rFonts w:cs="Arial"/>
          <w:sz w:val="22"/>
          <w:szCs w:val="22"/>
        </w:rPr>
        <w:t xml:space="preserve"> Transport Study</w:t>
      </w:r>
      <w:r>
        <w:rPr>
          <w:rFonts w:cs="Arial"/>
          <w:sz w:val="22"/>
          <w:szCs w:val="22"/>
        </w:rPr>
        <w:t xml:space="preserve"> Unit, University of Oxford</w:t>
      </w:r>
      <w:r w:rsidRPr="00E43F83">
        <w:rPr>
          <w:rFonts w:cs="Arial"/>
          <w:sz w:val="22"/>
          <w:szCs w:val="22"/>
        </w:rPr>
        <w:t>.</w:t>
      </w:r>
    </w:p>
    <w:p w:rsidR="00AD2232" w:rsidRPr="00F05BED" w:rsidRDefault="00CD1D46" w:rsidP="00E43F83">
      <w:pPr>
        <w:autoSpaceDE w:val="0"/>
        <w:autoSpaceDN w:val="0"/>
        <w:adjustRightInd w:val="0"/>
        <w:spacing w:after="120" w:line="320" w:lineRule="atLeast"/>
        <w:ind w:left="425" w:hanging="425"/>
        <w:rPr>
          <w:rFonts w:cs="Arial"/>
          <w:sz w:val="22"/>
          <w:szCs w:val="22"/>
        </w:rPr>
      </w:pPr>
      <w:proofErr w:type="gramStart"/>
      <w:r w:rsidRPr="00F05BED">
        <w:rPr>
          <w:rFonts w:cs="Arial"/>
          <w:sz w:val="22"/>
          <w:szCs w:val="22"/>
          <w:lang w:eastAsia="en-NZ"/>
        </w:rPr>
        <w:lastRenderedPageBreak/>
        <w:t xml:space="preserve">Statistics New Zealand (2010), </w:t>
      </w:r>
      <w:r w:rsidRPr="00F05BED">
        <w:rPr>
          <w:rFonts w:cs="Arial"/>
          <w:i/>
          <w:sz w:val="22"/>
          <w:szCs w:val="22"/>
          <w:lang w:eastAsia="en-NZ"/>
        </w:rPr>
        <w:t>Industry Productivity Statistics 1978 – 2008</w:t>
      </w:r>
      <w:r w:rsidRPr="00F05BED">
        <w:rPr>
          <w:rFonts w:cs="Arial"/>
          <w:sz w:val="22"/>
          <w:szCs w:val="22"/>
          <w:lang w:eastAsia="en-NZ"/>
        </w:rPr>
        <w:t xml:space="preserve">, SNZ, </w:t>
      </w:r>
      <w:r w:rsidRPr="00F05BED">
        <w:rPr>
          <w:rFonts w:cs="Arial"/>
          <w:sz w:val="22"/>
          <w:szCs w:val="22"/>
        </w:rPr>
        <w:t>Wellington</w:t>
      </w:r>
      <w:r w:rsidR="00B81D1B" w:rsidRPr="00F05BED">
        <w:rPr>
          <w:rFonts w:cs="Arial"/>
          <w:sz w:val="22"/>
          <w:szCs w:val="22"/>
        </w:rPr>
        <w:t>.</w:t>
      </w:r>
      <w:proofErr w:type="gramEnd"/>
    </w:p>
    <w:p w:rsidR="002D465A" w:rsidRDefault="002D465A" w:rsidP="00E43F83">
      <w:pPr>
        <w:autoSpaceDE w:val="0"/>
        <w:autoSpaceDN w:val="0"/>
        <w:adjustRightInd w:val="0"/>
        <w:spacing w:after="120" w:line="320" w:lineRule="atLeast"/>
        <w:ind w:left="425" w:hanging="425"/>
        <w:rPr>
          <w:rFonts w:cs="Arial"/>
          <w:sz w:val="22"/>
          <w:szCs w:val="22"/>
        </w:rPr>
      </w:pPr>
      <w:proofErr w:type="gramStart"/>
      <w:r w:rsidRPr="00F05BED">
        <w:rPr>
          <w:rFonts w:cs="Arial"/>
          <w:sz w:val="22"/>
          <w:szCs w:val="22"/>
        </w:rPr>
        <w:t>United Nations (1999)</w:t>
      </w:r>
      <w:r w:rsidR="00B81D1B" w:rsidRPr="00F05BED">
        <w:rPr>
          <w:rFonts w:cs="Arial"/>
          <w:sz w:val="22"/>
          <w:szCs w:val="22"/>
        </w:rPr>
        <w:t>,</w:t>
      </w:r>
      <w:r w:rsidRPr="00F05BED">
        <w:rPr>
          <w:rFonts w:cs="Arial"/>
          <w:sz w:val="22"/>
          <w:szCs w:val="22"/>
        </w:rPr>
        <w:t xml:space="preserve"> </w:t>
      </w:r>
      <w:r w:rsidRPr="00F05BED">
        <w:rPr>
          <w:rFonts w:cs="Arial"/>
          <w:i/>
          <w:sz w:val="22"/>
          <w:szCs w:val="22"/>
        </w:rPr>
        <w:t xml:space="preserve">Handbook of </w:t>
      </w:r>
      <w:r w:rsidR="004D3FE2" w:rsidRPr="00F05BED">
        <w:rPr>
          <w:rFonts w:cs="Arial"/>
          <w:i/>
          <w:sz w:val="22"/>
          <w:szCs w:val="22"/>
        </w:rPr>
        <w:t>Input-Output</w:t>
      </w:r>
      <w:r w:rsidRPr="00F05BED">
        <w:rPr>
          <w:rFonts w:cs="Arial"/>
          <w:i/>
          <w:sz w:val="22"/>
          <w:szCs w:val="22"/>
        </w:rPr>
        <w:t xml:space="preserve"> Table Compilation and </w:t>
      </w:r>
      <w:r w:rsidR="00B81D1B" w:rsidRPr="00F05BED">
        <w:rPr>
          <w:rFonts w:cs="Arial"/>
          <w:i/>
          <w:sz w:val="22"/>
          <w:szCs w:val="22"/>
        </w:rPr>
        <w:t>A</w:t>
      </w:r>
      <w:r w:rsidRPr="00F05BED">
        <w:rPr>
          <w:rFonts w:cs="Arial"/>
          <w:i/>
          <w:sz w:val="22"/>
          <w:szCs w:val="22"/>
        </w:rPr>
        <w:t>nalysis</w:t>
      </w:r>
      <w:r w:rsidRPr="00F05BED">
        <w:rPr>
          <w:rFonts w:cs="Arial"/>
          <w:sz w:val="22"/>
          <w:szCs w:val="22"/>
        </w:rPr>
        <w:t>, New</w:t>
      </w:r>
      <w:r w:rsidR="00376D9B" w:rsidRPr="00F05BED">
        <w:rPr>
          <w:rFonts w:cs="Arial"/>
          <w:sz w:val="22"/>
          <w:szCs w:val="22"/>
        </w:rPr>
        <w:t xml:space="preserve"> Y</w:t>
      </w:r>
      <w:r w:rsidRPr="00F05BED">
        <w:rPr>
          <w:rFonts w:cs="Arial"/>
          <w:sz w:val="22"/>
          <w:szCs w:val="22"/>
        </w:rPr>
        <w:t>ork</w:t>
      </w:r>
      <w:r w:rsidR="00B81D1B" w:rsidRPr="00F05BED">
        <w:rPr>
          <w:rFonts w:cs="Arial"/>
          <w:sz w:val="22"/>
          <w:szCs w:val="22"/>
        </w:rPr>
        <w:t>.</w:t>
      </w:r>
      <w:proofErr w:type="gramEnd"/>
    </w:p>
    <w:sectPr w:rsidR="002D465A" w:rsidSect="00F52F2F">
      <w:footerReference w:type="default" r:id="rId13"/>
      <w:pgSz w:w="11906" w:h="16838"/>
      <w:pgMar w:top="1440" w:right="1800" w:bottom="1440" w:left="180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A28" w:rsidRDefault="00293A28">
      <w:r>
        <w:separator/>
      </w:r>
    </w:p>
  </w:endnote>
  <w:endnote w:type="continuationSeparator" w:id="0">
    <w:p w:rsidR="00293A28" w:rsidRDefault="00293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TATSsans Light">
    <w:altName w:val="STATSsans 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b">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1813"/>
      <w:docPartObj>
        <w:docPartGallery w:val="Page Numbers (Bottom of Page)"/>
        <w:docPartUnique/>
      </w:docPartObj>
    </w:sdtPr>
    <w:sdtContent>
      <w:p w:rsidR="00416B81" w:rsidRDefault="0091264A">
        <w:pPr>
          <w:pStyle w:val="Footer"/>
          <w:jc w:val="right"/>
        </w:pPr>
        <w:fldSimple w:instr=" PAGE   \* MERGEFORMAT ">
          <w:r w:rsidR="00062BD2">
            <w:rPr>
              <w:noProof/>
            </w:rPr>
            <w:t>11</w:t>
          </w:r>
        </w:fldSimple>
      </w:p>
    </w:sdtContent>
  </w:sdt>
  <w:p w:rsidR="00416B81" w:rsidRPr="008501AB" w:rsidRDefault="00416B81" w:rsidP="00EE4FF2">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A28" w:rsidRDefault="00293A28">
      <w:r>
        <w:separator/>
      </w:r>
    </w:p>
  </w:footnote>
  <w:footnote w:type="continuationSeparator" w:id="0">
    <w:p w:rsidR="00293A28" w:rsidRDefault="00293A28">
      <w:r>
        <w:continuationSeparator/>
      </w:r>
    </w:p>
  </w:footnote>
  <w:footnote w:id="1">
    <w:p w:rsidR="00416B81" w:rsidRDefault="00416B81">
      <w:pPr>
        <w:pStyle w:val="FootnoteText"/>
      </w:pPr>
      <w:r>
        <w:rPr>
          <w:rStyle w:val="FootnoteReference"/>
        </w:rPr>
        <w:footnoteRef/>
      </w:r>
      <w:r>
        <w:t xml:space="preserve"> For details, please refer to OECD (2001) and Miller and Blair (2009).</w:t>
      </w:r>
    </w:p>
  </w:footnote>
  <w:footnote w:id="2">
    <w:p w:rsidR="00416B81" w:rsidRDefault="00416B81">
      <w:pPr>
        <w:pStyle w:val="FootnoteText"/>
      </w:pPr>
      <w:r>
        <w:rPr>
          <w:rStyle w:val="FootnoteReference"/>
        </w:rPr>
        <w:footnoteRef/>
      </w:r>
      <w:r>
        <w:t xml:space="preserve"> Input-output table for 1996 was available from SNZ. Input-output tables for 2003 and 2007 were derived from SNZ’s published supply-use tables using the methods </w:t>
      </w:r>
      <w:r w:rsidRPr="00493B7F">
        <w:t xml:space="preserve">described in </w:t>
      </w:r>
      <w:r>
        <w:t xml:space="preserve">the </w:t>
      </w:r>
      <w:r w:rsidRPr="00493B7F">
        <w:t xml:space="preserve">UN manual for compilation of </w:t>
      </w:r>
      <w:r>
        <w:t>input-output</w:t>
      </w:r>
      <w:r w:rsidRPr="00493B7F">
        <w:t xml:space="preserve"> tables (UN 2009)</w:t>
      </w:r>
      <w:r>
        <w:t>. All input-output and supply-use tables are for years ending March.</w:t>
      </w:r>
    </w:p>
  </w:footnote>
  <w:footnote w:id="3">
    <w:p w:rsidR="00416B81" w:rsidRDefault="00416B81">
      <w:pPr>
        <w:pStyle w:val="FootnoteText"/>
      </w:pPr>
      <w:r>
        <w:rPr>
          <w:rStyle w:val="FootnoteReference"/>
        </w:rPr>
        <w:footnoteRef/>
      </w:r>
      <w:r>
        <w:t xml:space="preserve"> Our results are different from</w:t>
      </w:r>
      <w:r w:rsidRPr="000A1D6E">
        <w:t xml:space="preserve"> SNZ’s result </w:t>
      </w:r>
      <w:r>
        <w:t xml:space="preserve">of </w:t>
      </w:r>
      <w:r w:rsidRPr="000A1D6E">
        <w:t xml:space="preserve">a decline </w:t>
      </w:r>
      <w:r>
        <w:t xml:space="preserve">in productivity </w:t>
      </w:r>
      <w:r w:rsidRPr="000A1D6E">
        <w:t>from 2003 to 2007.</w:t>
      </w:r>
      <w:r>
        <w:t xml:space="preserve"> </w:t>
      </w:r>
      <w:r w:rsidRPr="000A1D6E">
        <w:t>Ther</w:t>
      </w:r>
      <w:r>
        <w:t xml:space="preserve">e may be several reasons for such </w:t>
      </w:r>
      <w:r w:rsidRPr="000A1D6E">
        <w:t xml:space="preserve">difference. For example, the differences in data definitions and the level of industry disaggregation might have affected the overall productivity estimates. Further </w:t>
      </w:r>
      <w:r>
        <w:t>investigation into the reasons behind such difference is required</w:t>
      </w:r>
      <w:r w:rsidRPr="000A1D6E">
        <w:t>.</w:t>
      </w:r>
    </w:p>
  </w:footnote>
  <w:footnote w:id="4">
    <w:p w:rsidR="00DD3FAA" w:rsidRPr="00F05BED" w:rsidRDefault="00DD3FAA" w:rsidP="00DD3FAA">
      <w:pPr>
        <w:autoSpaceDE w:val="0"/>
        <w:autoSpaceDN w:val="0"/>
        <w:adjustRightInd w:val="0"/>
        <w:spacing w:line="320" w:lineRule="atLeast"/>
        <w:rPr>
          <w:rFonts w:cs="Arial"/>
          <w:sz w:val="22"/>
          <w:szCs w:val="22"/>
          <w:lang w:eastAsia="en-NZ"/>
        </w:rPr>
      </w:pPr>
      <w:r>
        <w:rPr>
          <w:rStyle w:val="FootnoteReference"/>
        </w:rPr>
        <w:footnoteRef/>
      </w:r>
      <w:r>
        <w:t xml:space="preserve"> </w:t>
      </w:r>
      <w:r>
        <w:rPr>
          <w:rFonts w:cs="Arial"/>
          <w:sz w:val="22"/>
          <w:szCs w:val="22"/>
          <w:lang w:eastAsia="en-NZ"/>
        </w:rPr>
        <w:t xml:space="preserve">The analysis is based on input-output tables in nominal terms. Further investigation is required to obtain relevant price indices to convert the results in real terms. </w:t>
      </w:r>
    </w:p>
    <w:p w:rsidR="00DD3FAA" w:rsidRDefault="00DD3FAA">
      <w:pPr>
        <w:pStyle w:val="FootnoteText"/>
      </w:pPr>
    </w:p>
  </w:footnote>
  <w:footnote w:id="5">
    <w:p w:rsidR="00416B81" w:rsidRDefault="00416B81" w:rsidP="00343121">
      <w:pPr>
        <w:pStyle w:val="FootnoteText"/>
      </w:pPr>
      <w:r>
        <w:rPr>
          <w:rStyle w:val="FootnoteReference"/>
        </w:rPr>
        <w:footnoteRef/>
      </w:r>
      <w:r>
        <w:t xml:space="preserve"> Based on augmented Dickey-Fuller unit root test, we verified that each of the series Y, R, K and L is non-stationary in levels but stationary in first difference. The unit root tests include intercept and time trend as each of the series is trended. Johansen </w:t>
      </w:r>
      <w:proofErr w:type="spellStart"/>
      <w:r>
        <w:t>cointegration</w:t>
      </w:r>
      <w:proofErr w:type="spellEnd"/>
      <w:r>
        <w:t xml:space="preserve"> test confirms these series are </w:t>
      </w:r>
      <w:proofErr w:type="spellStart"/>
      <w:r>
        <w:t>cointegrated</w:t>
      </w:r>
      <w:proofErr w:type="spellEnd"/>
      <w:r>
        <w:t xml:space="preserve"> of order one. Augmented Dickey-Fuller test on the error correction term confirms the long run equation is stationary.</w:t>
      </w:r>
    </w:p>
  </w:footnote>
  <w:footnote w:id="6">
    <w:p w:rsidR="00416B81" w:rsidRDefault="00416B81" w:rsidP="00343121">
      <w:pPr>
        <w:pStyle w:val="FootnoteText"/>
      </w:pPr>
      <w:r>
        <w:rPr>
          <w:rStyle w:val="FootnoteReference"/>
        </w:rPr>
        <w:footnoteRef/>
      </w:r>
      <w:r>
        <w:t xml:space="preserve"> Productive stock brought forward from previous period is depreciated using a straight-line reducing balance approach based on a mean asset life of 75 years.</w:t>
      </w:r>
    </w:p>
  </w:footnote>
  <w:footnote w:id="7">
    <w:p w:rsidR="00416B81" w:rsidRDefault="00416B81" w:rsidP="00343121">
      <w:pPr>
        <w:pStyle w:val="FootnoteText"/>
      </w:pPr>
      <w:r>
        <w:rPr>
          <w:rStyle w:val="FootnoteReference"/>
        </w:rPr>
        <w:footnoteRef/>
      </w:r>
      <w:r>
        <w:t xml:space="preserve"> This analysis extends the downward trend in SNZ’s efficiency factor of 68</w:t>
      </w:r>
      <w:r w:rsidR="0087738B">
        <w:t xml:space="preserve"> percent </w:t>
      </w:r>
      <w:r>
        <w:t>in 1972 reducing to 57</w:t>
      </w:r>
      <w:r w:rsidR="0087738B">
        <w:t xml:space="preserve"> percent </w:t>
      </w:r>
      <w:r>
        <w:t>in 1989. The estimated efficiency factor gradually reduces to 54</w:t>
      </w:r>
      <w:r w:rsidR="0087738B">
        <w:t xml:space="preserve"> percent </w:t>
      </w:r>
      <w:r>
        <w:t>by 2009.</w:t>
      </w:r>
    </w:p>
  </w:footnote>
  <w:footnote w:id="8">
    <w:p w:rsidR="00416B81" w:rsidRDefault="00416B81">
      <w:pPr>
        <w:pStyle w:val="FootnoteText"/>
      </w:pPr>
      <w:r>
        <w:rPr>
          <w:rStyle w:val="FootnoteReference"/>
        </w:rPr>
        <w:footnoteRef/>
      </w:r>
      <w:r>
        <w:t xml:space="preserve"> This includes W</w:t>
      </w:r>
      <w:r w:rsidRPr="006C3CBB">
        <w:t xml:space="preserve">hite test for </w:t>
      </w:r>
      <w:proofErr w:type="spellStart"/>
      <w:r w:rsidRPr="006C3CBB">
        <w:t>heteroskedasticity</w:t>
      </w:r>
      <w:proofErr w:type="spellEnd"/>
      <w:r w:rsidRPr="006C3CBB">
        <w:t xml:space="preserve"> </w:t>
      </w:r>
      <w:r>
        <w:t>o</w:t>
      </w:r>
      <w:r w:rsidRPr="006C3CBB">
        <w:t xml:space="preserve">f the error correction equation </w:t>
      </w:r>
      <w:r>
        <w:t>and A</w:t>
      </w:r>
      <w:r w:rsidRPr="006C3CBB">
        <w:t>utocorrelation tests.</w:t>
      </w:r>
    </w:p>
  </w:footnote>
  <w:footnote w:id="9">
    <w:p w:rsidR="00416B81" w:rsidRDefault="00416B81" w:rsidP="00E6101E">
      <w:pPr>
        <w:pStyle w:val="FootnoteText"/>
      </w:pPr>
      <w:r>
        <w:rPr>
          <w:rStyle w:val="FootnoteReference"/>
        </w:rPr>
        <w:footnoteRef/>
      </w:r>
      <w:r>
        <w:t xml:space="preserve"> The short run model </w:t>
      </w:r>
      <w:r w:rsidRPr="00E6101E">
        <w:t>satisfies the standard properties of the residuals</w:t>
      </w:r>
      <w:r>
        <w:t>.</w:t>
      </w:r>
      <w:r w:rsidRPr="00E6101E">
        <w:t xml:space="preserve"> </w:t>
      </w:r>
      <w:r>
        <w:t>The error correction term has a value of -0.44, meaning 44</w:t>
      </w:r>
      <w:r w:rsidR="0087738B">
        <w:t xml:space="preserve"> percent </w:t>
      </w:r>
      <w:r>
        <w:t>of the gap between long run trend and the short run dynamic measures will be closed in one period</w:t>
      </w:r>
      <w:r w:rsidR="00137306">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7F8C"/>
    <w:multiLevelType w:val="multilevel"/>
    <w:tmpl w:val="C2B404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CD3E5F"/>
    <w:multiLevelType w:val="hybridMultilevel"/>
    <w:tmpl w:val="FF421C00"/>
    <w:lvl w:ilvl="0" w:tplc="980A42AC">
      <w:start w:val="1"/>
      <w:numFmt w:val="decimal"/>
      <w:lvlText w:val="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3F34E55"/>
    <w:multiLevelType w:val="hybridMultilevel"/>
    <w:tmpl w:val="2D905E22"/>
    <w:lvl w:ilvl="0" w:tplc="5F78FFC0">
      <w:start w:val="1"/>
      <w:numFmt w:val="lowerRoman"/>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63976A03"/>
    <w:multiLevelType w:val="hybridMultilevel"/>
    <w:tmpl w:val="0DCC88F8"/>
    <w:lvl w:ilvl="0" w:tplc="52C0FC8C">
      <w:start w:val="1"/>
      <w:numFmt w:val="lowerRoman"/>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674A5734"/>
    <w:multiLevelType w:val="hybridMultilevel"/>
    <w:tmpl w:val="6CD81F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74860310"/>
    <w:multiLevelType w:val="hybridMultilevel"/>
    <w:tmpl w:val="05ECB022"/>
    <w:lvl w:ilvl="0" w:tplc="41B2A7AC">
      <w:start w:val="1"/>
      <w:numFmt w:val="decimal"/>
      <w:lvlText w:val="4.%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7A130A07"/>
    <w:multiLevelType w:val="hybridMultilevel"/>
    <w:tmpl w:val="A2E25E96"/>
    <w:lvl w:ilvl="0" w:tplc="94CE4A7C">
      <w:start w:val="1"/>
      <w:numFmt w:val="decimal"/>
      <w:lvlText w:val="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7C801818"/>
    <w:multiLevelType w:val="hybridMultilevel"/>
    <w:tmpl w:val="F63E58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7"/>
  </w:num>
  <w:num w:numId="6">
    <w:abstractNumId w:val="1"/>
  </w:num>
  <w:num w:numId="7">
    <w:abstractNumId w:val="5"/>
  </w:num>
  <w:num w:numId="8">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rsids>
    <w:rsidRoot w:val="00343C3E"/>
    <w:rsid w:val="000005B2"/>
    <w:rsid w:val="00000728"/>
    <w:rsid w:val="000008BD"/>
    <w:rsid w:val="00003177"/>
    <w:rsid w:val="0000500E"/>
    <w:rsid w:val="00007457"/>
    <w:rsid w:val="000075BA"/>
    <w:rsid w:val="000102B1"/>
    <w:rsid w:val="00014AE5"/>
    <w:rsid w:val="00015A12"/>
    <w:rsid w:val="00016819"/>
    <w:rsid w:val="00021CAA"/>
    <w:rsid w:val="00025FD7"/>
    <w:rsid w:val="0002630A"/>
    <w:rsid w:val="00031F69"/>
    <w:rsid w:val="00040936"/>
    <w:rsid w:val="00041675"/>
    <w:rsid w:val="000456F4"/>
    <w:rsid w:val="00045714"/>
    <w:rsid w:val="0004600F"/>
    <w:rsid w:val="00047525"/>
    <w:rsid w:val="00047A5A"/>
    <w:rsid w:val="00053BC1"/>
    <w:rsid w:val="00055777"/>
    <w:rsid w:val="00060C15"/>
    <w:rsid w:val="00062BD2"/>
    <w:rsid w:val="00066544"/>
    <w:rsid w:val="00071D2D"/>
    <w:rsid w:val="0007570E"/>
    <w:rsid w:val="00077962"/>
    <w:rsid w:val="00077F4F"/>
    <w:rsid w:val="000828C3"/>
    <w:rsid w:val="000856A2"/>
    <w:rsid w:val="000917FE"/>
    <w:rsid w:val="00091A1C"/>
    <w:rsid w:val="00093135"/>
    <w:rsid w:val="00096ADF"/>
    <w:rsid w:val="00097DFA"/>
    <w:rsid w:val="000A01B0"/>
    <w:rsid w:val="000A1D6E"/>
    <w:rsid w:val="000A2694"/>
    <w:rsid w:val="000A2AD2"/>
    <w:rsid w:val="000A6CD8"/>
    <w:rsid w:val="000A6E63"/>
    <w:rsid w:val="000B0B96"/>
    <w:rsid w:val="000B1BCE"/>
    <w:rsid w:val="000B34A2"/>
    <w:rsid w:val="000B4E35"/>
    <w:rsid w:val="000B58D5"/>
    <w:rsid w:val="000C0E50"/>
    <w:rsid w:val="000C75F2"/>
    <w:rsid w:val="000D0B8F"/>
    <w:rsid w:val="000D679F"/>
    <w:rsid w:val="000E0A3D"/>
    <w:rsid w:val="000E2B1F"/>
    <w:rsid w:val="000F3D27"/>
    <w:rsid w:val="000F7810"/>
    <w:rsid w:val="0010266F"/>
    <w:rsid w:val="00105A3E"/>
    <w:rsid w:val="00107243"/>
    <w:rsid w:val="00114119"/>
    <w:rsid w:val="00114760"/>
    <w:rsid w:val="00116766"/>
    <w:rsid w:val="00116AB2"/>
    <w:rsid w:val="001173B1"/>
    <w:rsid w:val="0011774F"/>
    <w:rsid w:val="00117CAF"/>
    <w:rsid w:val="001208B5"/>
    <w:rsid w:val="00121946"/>
    <w:rsid w:val="00121C90"/>
    <w:rsid w:val="00124494"/>
    <w:rsid w:val="001256A4"/>
    <w:rsid w:val="001301D0"/>
    <w:rsid w:val="0013335D"/>
    <w:rsid w:val="00137306"/>
    <w:rsid w:val="001375DE"/>
    <w:rsid w:val="00140845"/>
    <w:rsid w:val="00141DE8"/>
    <w:rsid w:val="00146F7E"/>
    <w:rsid w:val="001534B4"/>
    <w:rsid w:val="00153F56"/>
    <w:rsid w:val="00160663"/>
    <w:rsid w:val="00162F63"/>
    <w:rsid w:val="0016584B"/>
    <w:rsid w:val="00165B68"/>
    <w:rsid w:val="00166C9E"/>
    <w:rsid w:val="0016763A"/>
    <w:rsid w:val="001710CF"/>
    <w:rsid w:val="0017115E"/>
    <w:rsid w:val="0017147D"/>
    <w:rsid w:val="00171756"/>
    <w:rsid w:val="001719F6"/>
    <w:rsid w:val="00173290"/>
    <w:rsid w:val="00176FC1"/>
    <w:rsid w:val="00177C09"/>
    <w:rsid w:val="00180041"/>
    <w:rsid w:val="001837FE"/>
    <w:rsid w:val="00186688"/>
    <w:rsid w:val="00187918"/>
    <w:rsid w:val="00190F3D"/>
    <w:rsid w:val="00192DC5"/>
    <w:rsid w:val="00194EC4"/>
    <w:rsid w:val="00196146"/>
    <w:rsid w:val="001B315D"/>
    <w:rsid w:val="001B412D"/>
    <w:rsid w:val="001B5638"/>
    <w:rsid w:val="001B7FBF"/>
    <w:rsid w:val="001C0F28"/>
    <w:rsid w:val="001C1E30"/>
    <w:rsid w:val="001D1FEA"/>
    <w:rsid w:val="001D2655"/>
    <w:rsid w:val="001D5898"/>
    <w:rsid w:val="001D5A57"/>
    <w:rsid w:val="001E2079"/>
    <w:rsid w:val="001E2975"/>
    <w:rsid w:val="001E3504"/>
    <w:rsid w:val="001E4627"/>
    <w:rsid w:val="001E5D07"/>
    <w:rsid w:val="001E69A3"/>
    <w:rsid w:val="001F3E04"/>
    <w:rsid w:val="001F438F"/>
    <w:rsid w:val="00200B04"/>
    <w:rsid w:val="0020276A"/>
    <w:rsid w:val="00205AC8"/>
    <w:rsid w:val="002140E0"/>
    <w:rsid w:val="0021549C"/>
    <w:rsid w:val="002179AF"/>
    <w:rsid w:val="002216FE"/>
    <w:rsid w:val="002246BD"/>
    <w:rsid w:val="002248FF"/>
    <w:rsid w:val="0023058D"/>
    <w:rsid w:val="00230E9B"/>
    <w:rsid w:val="00230FAE"/>
    <w:rsid w:val="00231305"/>
    <w:rsid w:val="00231FDE"/>
    <w:rsid w:val="00235896"/>
    <w:rsid w:val="00237460"/>
    <w:rsid w:val="002432C7"/>
    <w:rsid w:val="00247A9D"/>
    <w:rsid w:val="00250881"/>
    <w:rsid w:val="00252CFD"/>
    <w:rsid w:val="0025366A"/>
    <w:rsid w:val="00257A60"/>
    <w:rsid w:val="00257E2D"/>
    <w:rsid w:val="002625A3"/>
    <w:rsid w:val="002625F0"/>
    <w:rsid w:val="00264E04"/>
    <w:rsid w:val="00265380"/>
    <w:rsid w:val="002654DF"/>
    <w:rsid w:val="00266C20"/>
    <w:rsid w:val="00266DFC"/>
    <w:rsid w:val="00267795"/>
    <w:rsid w:val="00271AF2"/>
    <w:rsid w:val="00271BC7"/>
    <w:rsid w:val="002744E2"/>
    <w:rsid w:val="00274F3C"/>
    <w:rsid w:val="002755CC"/>
    <w:rsid w:val="00280674"/>
    <w:rsid w:val="002827D4"/>
    <w:rsid w:val="0028525A"/>
    <w:rsid w:val="002879AD"/>
    <w:rsid w:val="002904B3"/>
    <w:rsid w:val="0029211F"/>
    <w:rsid w:val="002924FD"/>
    <w:rsid w:val="00292EE8"/>
    <w:rsid w:val="00293268"/>
    <w:rsid w:val="00293A28"/>
    <w:rsid w:val="00294A86"/>
    <w:rsid w:val="0029657C"/>
    <w:rsid w:val="00296AAB"/>
    <w:rsid w:val="002A156C"/>
    <w:rsid w:val="002A2FFF"/>
    <w:rsid w:val="002A32DB"/>
    <w:rsid w:val="002A6A59"/>
    <w:rsid w:val="002A731F"/>
    <w:rsid w:val="002B1EDF"/>
    <w:rsid w:val="002B221A"/>
    <w:rsid w:val="002B3E2A"/>
    <w:rsid w:val="002B505D"/>
    <w:rsid w:val="002C06BD"/>
    <w:rsid w:val="002C1D5B"/>
    <w:rsid w:val="002D17AC"/>
    <w:rsid w:val="002D26E8"/>
    <w:rsid w:val="002D465A"/>
    <w:rsid w:val="002D48CC"/>
    <w:rsid w:val="002E0C1F"/>
    <w:rsid w:val="002E0D32"/>
    <w:rsid w:val="002E4480"/>
    <w:rsid w:val="002E6EF7"/>
    <w:rsid w:val="002E7FB4"/>
    <w:rsid w:val="002F4A21"/>
    <w:rsid w:val="00300E8B"/>
    <w:rsid w:val="00303FEF"/>
    <w:rsid w:val="0031170A"/>
    <w:rsid w:val="00312B50"/>
    <w:rsid w:val="00313210"/>
    <w:rsid w:val="00313975"/>
    <w:rsid w:val="0031598C"/>
    <w:rsid w:val="00321D6A"/>
    <w:rsid w:val="00324492"/>
    <w:rsid w:val="00325D3D"/>
    <w:rsid w:val="00326CD0"/>
    <w:rsid w:val="003327D0"/>
    <w:rsid w:val="00335058"/>
    <w:rsid w:val="003361C6"/>
    <w:rsid w:val="00337119"/>
    <w:rsid w:val="0034112C"/>
    <w:rsid w:val="00342862"/>
    <w:rsid w:val="00343121"/>
    <w:rsid w:val="00343C3E"/>
    <w:rsid w:val="00352768"/>
    <w:rsid w:val="0036047A"/>
    <w:rsid w:val="00361C35"/>
    <w:rsid w:val="00361DE7"/>
    <w:rsid w:val="00363EE1"/>
    <w:rsid w:val="00364C86"/>
    <w:rsid w:val="00367B1D"/>
    <w:rsid w:val="00375453"/>
    <w:rsid w:val="00376D9B"/>
    <w:rsid w:val="0037786B"/>
    <w:rsid w:val="00380721"/>
    <w:rsid w:val="0038435B"/>
    <w:rsid w:val="0038439B"/>
    <w:rsid w:val="0038670F"/>
    <w:rsid w:val="003918AF"/>
    <w:rsid w:val="00393CF4"/>
    <w:rsid w:val="00395459"/>
    <w:rsid w:val="003A1EE0"/>
    <w:rsid w:val="003A2023"/>
    <w:rsid w:val="003A2590"/>
    <w:rsid w:val="003A2783"/>
    <w:rsid w:val="003A305A"/>
    <w:rsid w:val="003A4E08"/>
    <w:rsid w:val="003B24E2"/>
    <w:rsid w:val="003B3106"/>
    <w:rsid w:val="003B6B08"/>
    <w:rsid w:val="003B7106"/>
    <w:rsid w:val="003B7857"/>
    <w:rsid w:val="003C0FD7"/>
    <w:rsid w:val="003D6712"/>
    <w:rsid w:val="003D6F2F"/>
    <w:rsid w:val="003D7669"/>
    <w:rsid w:val="003E0801"/>
    <w:rsid w:val="003E41C2"/>
    <w:rsid w:val="003E58DF"/>
    <w:rsid w:val="003F07DE"/>
    <w:rsid w:val="003F244D"/>
    <w:rsid w:val="003F2FF6"/>
    <w:rsid w:val="003F3DF4"/>
    <w:rsid w:val="003F3FF7"/>
    <w:rsid w:val="003F64E7"/>
    <w:rsid w:val="004005F1"/>
    <w:rsid w:val="00401EEB"/>
    <w:rsid w:val="00402433"/>
    <w:rsid w:val="00403D04"/>
    <w:rsid w:val="00403DDC"/>
    <w:rsid w:val="00405DDA"/>
    <w:rsid w:val="00406C53"/>
    <w:rsid w:val="0040704E"/>
    <w:rsid w:val="004071BA"/>
    <w:rsid w:val="004146DB"/>
    <w:rsid w:val="00416B81"/>
    <w:rsid w:val="004210FD"/>
    <w:rsid w:val="00425490"/>
    <w:rsid w:val="00426512"/>
    <w:rsid w:val="004310EB"/>
    <w:rsid w:val="00432C50"/>
    <w:rsid w:val="00441868"/>
    <w:rsid w:val="004439DF"/>
    <w:rsid w:val="00444386"/>
    <w:rsid w:val="00446AA3"/>
    <w:rsid w:val="004517C7"/>
    <w:rsid w:val="004552D7"/>
    <w:rsid w:val="0045558C"/>
    <w:rsid w:val="00456CA7"/>
    <w:rsid w:val="004603B2"/>
    <w:rsid w:val="00461380"/>
    <w:rsid w:val="00461DA9"/>
    <w:rsid w:val="00462903"/>
    <w:rsid w:val="00463C29"/>
    <w:rsid w:val="00465998"/>
    <w:rsid w:val="00466A39"/>
    <w:rsid w:val="00467282"/>
    <w:rsid w:val="004705FB"/>
    <w:rsid w:val="0047471F"/>
    <w:rsid w:val="00481247"/>
    <w:rsid w:val="004839E1"/>
    <w:rsid w:val="004913F4"/>
    <w:rsid w:val="00493B7F"/>
    <w:rsid w:val="00496192"/>
    <w:rsid w:val="00497D19"/>
    <w:rsid w:val="00497ED8"/>
    <w:rsid w:val="004A0050"/>
    <w:rsid w:val="004A2248"/>
    <w:rsid w:val="004A2B07"/>
    <w:rsid w:val="004A650D"/>
    <w:rsid w:val="004A7C69"/>
    <w:rsid w:val="004B0508"/>
    <w:rsid w:val="004B2D2F"/>
    <w:rsid w:val="004B34C7"/>
    <w:rsid w:val="004B4D25"/>
    <w:rsid w:val="004C192D"/>
    <w:rsid w:val="004C1E51"/>
    <w:rsid w:val="004C3BF3"/>
    <w:rsid w:val="004C5D40"/>
    <w:rsid w:val="004C62B7"/>
    <w:rsid w:val="004C70C0"/>
    <w:rsid w:val="004D206A"/>
    <w:rsid w:val="004D2D34"/>
    <w:rsid w:val="004D3FE2"/>
    <w:rsid w:val="004D589E"/>
    <w:rsid w:val="004E0414"/>
    <w:rsid w:val="004E04F5"/>
    <w:rsid w:val="004E575A"/>
    <w:rsid w:val="004F4C18"/>
    <w:rsid w:val="004F628D"/>
    <w:rsid w:val="004F6D2E"/>
    <w:rsid w:val="00503028"/>
    <w:rsid w:val="00504102"/>
    <w:rsid w:val="00505227"/>
    <w:rsid w:val="00507656"/>
    <w:rsid w:val="00513B4E"/>
    <w:rsid w:val="005141EF"/>
    <w:rsid w:val="0051747D"/>
    <w:rsid w:val="00524CC5"/>
    <w:rsid w:val="00524E3A"/>
    <w:rsid w:val="00527619"/>
    <w:rsid w:val="0053026F"/>
    <w:rsid w:val="005305F3"/>
    <w:rsid w:val="005309D8"/>
    <w:rsid w:val="00532A25"/>
    <w:rsid w:val="00533055"/>
    <w:rsid w:val="005371A8"/>
    <w:rsid w:val="005428D8"/>
    <w:rsid w:val="00542CF5"/>
    <w:rsid w:val="00542D2F"/>
    <w:rsid w:val="00545839"/>
    <w:rsid w:val="00546851"/>
    <w:rsid w:val="005527CB"/>
    <w:rsid w:val="00554A39"/>
    <w:rsid w:val="00554E52"/>
    <w:rsid w:val="00555151"/>
    <w:rsid w:val="00560FBD"/>
    <w:rsid w:val="00561221"/>
    <w:rsid w:val="00567BE4"/>
    <w:rsid w:val="00571C31"/>
    <w:rsid w:val="0057418A"/>
    <w:rsid w:val="00574BF6"/>
    <w:rsid w:val="00576E34"/>
    <w:rsid w:val="00577EE5"/>
    <w:rsid w:val="0058291F"/>
    <w:rsid w:val="00585C34"/>
    <w:rsid w:val="005910AB"/>
    <w:rsid w:val="005916CE"/>
    <w:rsid w:val="00592806"/>
    <w:rsid w:val="00594683"/>
    <w:rsid w:val="005A17E3"/>
    <w:rsid w:val="005A1BAA"/>
    <w:rsid w:val="005A61BD"/>
    <w:rsid w:val="005A7396"/>
    <w:rsid w:val="005A79ED"/>
    <w:rsid w:val="005B2205"/>
    <w:rsid w:val="005B34D1"/>
    <w:rsid w:val="005B3AE4"/>
    <w:rsid w:val="005B5922"/>
    <w:rsid w:val="005B61A8"/>
    <w:rsid w:val="005B65FB"/>
    <w:rsid w:val="005C13DC"/>
    <w:rsid w:val="005C49B9"/>
    <w:rsid w:val="005C5344"/>
    <w:rsid w:val="005D279C"/>
    <w:rsid w:val="005D3878"/>
    <w:rsid w:val="005D3EB1"/>
    <w:rsid w:val="005D5C27"/>
    <w:rsid w:val="005D7403"/>
    <w:rsid w:val="005D7778"/>
    <w:rsid w:val="005E0474"/>
    <w:rsid w:val="005E0DC2"/>
    <w:rsid w:val="005E1A6D"/>
    <w:rsid w:val="005E1F1A"/>
    <w:rsid w:val="005E2B96"/>
    <w:rsid w:val="005E5EF8"/>
    <w:rsid w:val="005E6A51"/>
    <w:rsid w:val="005F0C03"/>
    <w:rsid w:val="005F511E"/>
    <w:rsid w:val="005F61DA"/>
    <w:rsid w:val="005F70C3"/>
    <w:rsid w:val="005F7331"/>
    <w:rsid w:val="00603142"/>
    <w:rsid w:val="00603498"/>
    <w:rsid w:val="00604823"/>
    <w:rsid w:val="00610636"/>
    <w:rsid w:val="0061094C"/>
    <w:rsid w:val="006114C6"/>
    <w:rsid w:val="0062000A"/>
    <w:rsid w:val="00621B85"/>
    <w:rsid w:val="00621D57"/>
    <w:rsid w:val="00624499"/>
    <w:rsid w:val="00624EC8"/>
    <w:rsid w:val="00627904"/>
    <w:rsid w:val="00635458"/>
    <w:rsid w:val="00640BE0"/>
    <w:rsid w:val="00641880"/>
    <w:rsid w:val="00643059"/>
    <w:rsid w:val="00643B4B"/>
    <w:rsid w:val="0064642F"/>
    <w:rsid w:val="006468AF"/>
    <w:rsid w:val="00647554"/>
    <w:rsid w:val="00650BB8"/>
    <w:rsid w:val="0065211A"/>
    <w:rsid w:val="00655A9F"/>
    <w:rsid w:val="00655CF4"/>
    <w:rsid w:val="00656BE8"/>
    <w:rsid w:val="00657BC2"/>
    <w:rsid w:val="00657C30"/>
    <w:rsid w:val="00660939"/>
    <w:rsid w:val="006638FC"/>
    <w:rsid w:val="0066448B"/>
    <w:rsid w:val="00664E52"/>
    <w:rsid w:val="006666B0"/>
    <w:rsid w:val="00671238"/>
    <w:rsid w:val="00672835"/>
    <w:rsid w:val="00674E1B"/>
    <w:rsid w:val="006760F7"/>
    <w:rsid w:val="00676CCD"/>
    <w:rsid w:val="006835FD"/>
    <w:rsid w:val="0068750A"/>
    <w:rsid w:val="006917BE"/>
    <w:rsid w:val="00692F0E"/>
    <w:rsid w:val="0069476F"/>
    <w:rsid w:val="00694A1E"/>
    <w:rsid w:val="00695272"/>
    <w:rsid w:val="00696F51"/>
    <w:rsid w:val="00697600"/>
    <w:rsid w:val="006A0C0B"/>
    <w:rsid w:val="006A1140"/>
    <w:rsid w:val="006A14F2"/>
    <w:rsid w:val="006A1D36"/>
    <w:rsid w:val="006A5082"/>
    <w:rsid w:val="006B178C"/>
    <w:rsid w:val="006B1F99"/>
    <w:rsid w:val="006B26BB"/>
    <w:rsid w:val="006B2CC5"/>
    <w:rsid w:val="006B50D0"/>
    <w:rsid w:val="006B666C"/>
    <w:rsid w:val="006B69ED"/>
    <w:rsid w:val="006B6C65"/>
    <w:rsid w:val="006B6CB3"/>
    <w:rsid w:val="006C35EA"/>
    <w:rsid w:val="006C3CBB"/>
    <w:rsid w:val="006C5A24"/>
    <w:rsid w:val="006C70AF"/>
    <w:rsid w:val="006D01F1"/>
    <w:rsid w:val="006D24F0"/>
    <w:rsid w:val="006D7291"/>
    <w:rsid w:val="006E1A35"/>
    <w:rsid w:val="006E7AFD"/>
    <w:rsid w:val="006F31FB"/>
    <w:rsid w:val="006F4C30"/>
    <w:rsid w:val="006F5CA0"/>
    <w:rsid w:val="0070167C"/>
    <w:rsid w:val="00701DF6"/>
    <w:rsid w:val="00703024"/>
    <w:rsid w:val="00703E7E"/>
    <w:rsid w:val="00705168"/>
    <w:rsid w:val="00705CB2"/>
    <w:rsid w:val="00706A8A"/>
    <w:rsid w:val="00710844"/>
    <w:rsid w:val="00711CA7"/>
    <w:rsid w:val="00711E5C"/>
    <w:rsid w:val="00712550"/>
    <w:rsid w:val="0071587F"/>
    <w:rsid w:val="00715D6B"/>
    <w:rsid w:val="00717DA6"/>
    <w:rsid w:val="00723F39"/>
    <w:rsid w:val="007242DE"/>
    <w:rsid w:val="0072585C"/>
    <w:rsid w:val="007301BD"/>
    <w:rsid w:val="00734CE1"/>
    <w:rsid w:val="0073660C"/>
    <w:rsid w:val="00736F83"/>
    <w:rsid w:val="00737535"/>
    <w:rsid w:val="007400F3"/>
    <w:rsid w:val="00742791"/>
    <w:rsid w:val="0074405E"/>
    <w:rsid w:val="0074643D"/>
    <w:rsid w:val="007517FC"/>
    <w:rsid w:val="007563EC"/>
    <w:rsid w:val="007570D9"/>
    <w:rsid w:val="00757F11"/>
    <w:rsid w:val="00760710"/>
    <w:rsid w:val="00760A35"/>
    <w:rsid w:val="0076224D"/>
    <w:rsid w:val="00763535"/>
    <w:rsid w:val="00763C99"/>
    <w:rsid w:val="007665E2"/>
    <w:rsid w:val="0077035C"/>
    <w:rsid w:val="007738AF"/>
    <w:rsid w:val="007742B1"/>
    <w:rsid w:val="00774721"/>
    <w:rsid w:val="00774F7A"/>
    <w:rsid w:val="00777591"/>
    <w:rsid w:val="00777E2C"/>
    <w:rsid w:val="00780984"/>
    <w:rsid w:val="00781198"/>
    <w:rsid w:val="00783E3A"/>
    <w:rsid w:val="00785A00"/>
    <w:rsid w:val="00786166"/>
    <w:rsid w:val="00786750"/>
    <w:rsid w:val="00787743"/>
    <w:rsid w:val="0079152A"/>
    <w:rsid w:val="00791EAA"/>
    <w:rsid w:val="007929B3"/>
    <w:rsid w:val="007952A9"/>
    <w:rsid w:val="00796371"/>
    <w:rsid w:val="007A112A"/>
    <w:rsid w:val="007A6529"/>
    <w:rsid w:val="007B0079"/>
    <w:rsid w:val="007B1C74"/>
    <w:rsid w:val="007B23CB"/>
    <w:rsid w:val="007B701A"/>
    <w:rsid w:val="007B7FC4"/>
    <w:rsid w:val="007C044A"/>
    <w:rsid w:val="007C1443"/>
    <w:rsid w:val="007C2906"/>
    <w:rsid w:val="007C4B63"/>
    <w:rsid w:val="007D098C"/>
    <w:rsid w:val="007D1837"/>
    <w:rsid w:val="007D2814"/>
    <w:rsid w:val="007E1AB6"/>
    <w:rsid w:val="007E5AB3"/>
    <w:rsid w:val="007E6E60"/>
    <w:rsid w:val="007E76A8"/>
    <w:rsid w:val="007F0832"/>
    <w:rsid w:val="007F0FE3"/>
    <w:rsid w:val="007F2CB7"/>
    <w:rsid w:val="007F329B"/>
    <w:rsid w:val="007F3956"/>
    <w:rsid w:val="007F4873"/>
    <w:rsid w:val="007F778E"/>
    <w:rsid w:val="00802EA5"/>
    <w:rsid w:val="00803B25"/>
    <w:rsid w:val="00806D6B"/>
    <w:rsid w:val="00814E70"/>
    <w:rsid w:val="00814E82"/>
    <w:rsid w:val="00817142"/>
    <w:rsid w:val="00826C79"/>
    <w:rsid w:val="00834127"/>
    <w:rsid w:val="00834FD2"/>
    <w:rsid w:val="00835F83"/>
    <w:rsid w:val="0084278D"/>
    <w:rsid w:val="008501AB"/>
    <w:rsid w:val="00851128"/>
    <w:rsid w:val="00852AB7"/>
    <w:rsid w:val="008554B0"/>
    <w:rsid w:val="00855C58"/>
    <w:rsid w:val="00855C72"/>
    <w:rsid w:val="008614CA"/>
    <w:rsid w:val="008622F2"/>
    <w:rsid w:val="008650F4"/>
    <w:rsid w:val="00867243"/>
    <w:rsid w:val="00871DD8"/>
    <w:rsid w:val="00872070"/>
    <w:rsid w:val="0087738B"/>
    <w:rsid w:val="00881D83"/>
    <w:rsid w:val="00892C82"/>
    <w:rsid w:val="00897779"/>
    <w:rsid w:val="008A1E75"/>
    <w:rsid w:val="008A2E6D"/>
    <w:rsid w:val="008A64F4"/>
    <w:rsid w:val="008A78A4"/>
    <w:rsid w:val="008B1601"/>
    <w:rsid w:val="008B1AEF"/>
    <w:rsid w:val="008B2323"/>
    <w:rsid w:val="008B4EBA"/>
    <w:rsid w:val="008C3B2E"/>
    <w:rsid w:val="008C7FEF"/>
    <w:rsid w:val="008D48E6"/>
    <w:rsid w:val="008D5517"/>
    <w:rsid w:val="008D5534"/>
    <w:rsid w:val="008E04D0"/>
    <w:rsid w:val="008E18E9"/>
    <w:rsid w:val="008E30FF"/>
    <w:rsid w:val="008E765F"/>
    <w:rsid w:val="008E7EF7"/>
    <w:rsid w:val="008F0AF3"/>
    <w:rsid w:val="008F3843"/>
    <w:rsid w:val="008F4D3E"/>
    <w:rsid w:val="008F76B2"/>
    <w:rsid w:val="009015FB"/>
    <w:rsid w:val="00901974"/>
    <w:rsid w:val="0090402E"/>
    <w:rsid w:val="00905DBF"/>
    <w:rsid w:val="00906E02"/>
    <w:rsid w:val="0091264A"/>
    <w:rsid w:val="009138EC"/>
    <w:rsid w:val="0091667B"/>
    <w:rsid w:val="009237C6"/>
    <w:rsid w:val="0092438A"/>
    <w:rsid w:val="0092659F"/>
    <w:rsid w:val="00927893"/>
    <w:rsid w:val="00934378"/>
    <w:rsid w:val="0093455F"/>
    <w:rsid w:val="00941046"/>
    <w:rsid w:val="00941657"/>
    <w:rsid w:val="0095286F"/>
    <w:rsid w:val="00955E21"/>
    <w:rsid w:val="00961B20"/>
    <w:rsid w:val="0096627D"/>
    <w:rsid w:val="00971A37"/>
    <w:rsid w:val="00974A6A"/>
    <w:rsid w:val="009771C7"/>
    <w:rsid w:val="00980A28"/>
    <w:rsid w:val="00982416"/>
    <w:rsid w:val="009837C3"/>
    <w:rsid w:val="00984633"/>
    <w:rsid w:val="00985C9C"/>
    <w:rsid w:val="00986CF6"/>
    <w:rsid w:val="009871D3"/>
    <w:rsid w:val="00990389"/>
    <w:rsid w:val="0099077A"/>
    <w:rsid w:val="00991703"/>
    <w:rsid w:val="009954D4"/>
    <w:rsid w:val="0099554F"/>
    <w:rsid w:val="0099599E"/>
    <w:rsid w:val="009A24C4"/>
    <w:rsid w:val="009A414E"/>
    <w:rsid w:val="009B2298"/>
    <w:rsid w:val="009C13F0"/>
    <w:rsid w:val="009D0367"/>
    <w:rsid w:val="009D2758"/>
    <w:rsid w:val="009D75CF"/>
    <w:rsid w:val="009E25E4"/>
    <w:rsid w:val="009E4CE4"/>
    <w:rsid w:val="009F6E42"/>
    <w:rsid w:val="009F786F"/>
    <w:rsid w:val="00A00855"/>
    <w:rsid w:val="00A0556C"/>
    <w:rsid w:val="00A07B4E"/>
    <w:rsid w:val="00A13EB5"/>
    <w:rsid w:val="00A1450E"/>
    <w:rsid w:val="00A21B24"/>
    <w:rsid w:val="00A23417"/>
    <w:rsid w:val="00A24058"/>
    <w:rsid w:val="00A30BED"/>
    <w:rsid w:val="00A3412D"/>
    <w:rsid w:val="00A37102"/>
    <w:rsid w:val="00A371D8"/>
    <w:rsid w:val="00A42F86"/>
    <w:rsid w:val="00A466BB"/>
    <w:rsid w:val="00A466CA"/>
    <w:rsid w:val="00A47421"/>
    <w:rsid w:val="00A50819"/>
    <w:rsid w:val="00A50B42"/>
    <w:rsid w:val="00A51902"/>
    <w:rsid w:val="00A51EB1"/>
    <w:rsid w:val="00A56B68"/>
    <w:rsid w:val="00A56F98"/>
    <w:rsid w:val="00A614C7"/>
    <w:rsid w:val="00A62542"/>
    <w:rsid w:val="00A64C45"/>
    <w:rsid w:val="00A65C03"/>
    <w:rsid w:val="00A71CAE"/>
    <w:rsid w:val="00A720ED"/>
    <w:rsid w:val="00A721B2"/>
    <w:rsid w:val="00A72B67"/>
    <w:rsid w:val="00A73343"/>
    <w:rsid w:val="00A735E7"/>
    <w:rsid w:val="00A77B44"/>
    <w:rsid w:val="00A83B5B"/>
    <w:rsid w:val="00A87B0A"/>
    <w:rsid w:val="00A90A36"/>
    <w:rsid w:val="00AA230B"/>
    <w:rsid w:val="00AA286B"/>
    <w:rsid w:val="00AA2CEA"/>
    <w:rsid w:val="00AA301B"/>
    <w:rsid w:val="00AA346F"/>
    <w:rsid w:val="00AA35F5"/>
    <w:rsid w:val="00AA4CC4"/>
    <w:rsid w:val="00AA5238"/>
    <w:rsid w:val="00AB03F3"/>
    <w:rsid w:val="00AB5082"/>
    <w:rsid w:val="00AB5D27"/>
    <w:rsid w:val="00AD2232"/>
    <w:rsid w:val="00AD29BE"/>
    <w:rsid w:val="00AD3B79"/>
    <w:rsid w:val="00AD73E4"/>
    <w:rsid w:val="00AE0E7A"/>
    <w:rsid w:val="00AE324C"/>
    <w:rsid w:val="00AF1234"/>
    <w:rsid w:val="00AF58E7"/>
    <w:rsid w:val="00AF6BF3"/>
    <w:rsid w:val="00B0100A"/>
    <w:rsid w:val="00B12DC9"/>
    <w:rsid w:val="00B1310D"/>
    <w:rsid w:val="00B137DD"/>
    <w:rsid w:val="00B14B4D"/>
    <w:rsid w:val="00B16349"/>
    <w:rsid w:val="00B17ADE"/>
    <w:rsid w:val="00B21B1F"/>
    <w:rsid w:val="00B22B87"/>
    <w:rsid w:val="00B25663"/>
    <w:rsid w:val="00B26646"/>
    <w:rsid w:val="00B30465"/>
    <w:rsid w:val="00B31072"/>
    <w:rsid w:val="00B33FE8"/>
    <w:rsid w:val="00B34611"/>
    <w:rsid w:val="00B4106E"/>
    <w:rsid w:val="00B4146D"/>
    <w:rsid w:val="00B41902"/>
    <w:rsid w:val="00B42751"/>
    <w:rsid w:val="00B442FE"/>
    <w:rsid w:val="00B44F04"/>
    <w:rsid w:val="00B50065"/>
    <w:rsid w:val="00B5177D"/>
    <w:rsid w:val="00B518B7"/>
    <w:rsid w:val="00B52743"/>
    <w:rsid w:val="00B53FC2"/>
    <w:rsid w:val="00B57546"/>
    <w:rsid w:val="00B63640"/>
    <w:rsid w:val="00B64C19"/>
    <w:rsid w:val="00B67695"/>
    <w:rsid w:val="00B67D59"/>
    <w:rsid w:val="00B71D12"/>
    <w:rsid w:val="00B73883"/>
    <w:rsid w:val="00B74C1F"/>
    <w:rsid w:val="00B771F2"/>
    <w:rsid w:val="00B81D1B"/>
    <w:rsid w:val="00B90774"/>
    <w:rsid w:val="00B92BFB"/>
    <w:rsid w:val="00B96E84"/>
    <w:rsid w:val="00BA2643"/>
    <w:rsid w:val="00BA270F"/>
    <w:rsid w:val="00BA3957"/>
    <w:rsid w:val="00BA3F07"/>
    <w:rsid w:val="00BA4121"/>
    <w:rsid w:val="00BA4DC0"/>
    <w:rsid w:val="00BB77E5"/>
    <w:rsid w:val="00BB7D88"/>
    <w:rsid w:val="00BC2C95"/>
    <w:rsid w:val="00BC3BE0"/>
    <w:rsid w:val="00BC442B"/>
    <w:rsid w:val="00BC4C30"/>
    <w:rsid w:val="00BC5F6E"/>
    <w:rsid w:val="00BC7B8C"/>
    <w:rsid w:val="00BD0786"/>
    <w:rsid w:val="00BD0B36"/>
    <w:rsid w:val="00BE05E2"/>
    <w:rsid w:val="00BE30D0"/>
    <w:rsid w:val="00BE4F7F"/>
    <w:rsid w:val="00BE65C8"/>
    <w:rsid w:val="00BE70D7"/>
    <w:rsid w:val="00BE70F4"/>
    <w:rsid w:val="00BE7EA2"/>
    <w:rsid w:val="00BF164E"/>
    <w:rsid w:val="00BF3E3D"/>
    <w:rsid w:val="00BF5142"/>
    <w:rsid w:val="00BF522A"/>
    <w:rsid w:val="00C022DD"/>
    <w:rsid w:val="00C023AE"/>
    <w:rsid w:val="00C04D0B"/>
    <w:rsid w:val="00C10AC5"/>
    <w:rsid w:val="00C120B5"/>
    <w:rsid w:val="00C13143"/>
    <w:rsid w:val="00C145B9"/>
    <w:rsid w:val="00C1464A"/>
    <w:rsid w:val="00C158C4"/>
    <w:rsid w:val="00C22397"/>
    <w:rsid w:val="00C2492A"/>
    <w:rsid w:val="00C24D0E"/>
    <w:rsid w:val="00C2713A"/>
    <w:rsid w:val="00C32A83"/>
    <w:rsid w:val="00C33873"/>
    <w:rsid w:val="00C363A1"/>
    <w:rsid w:val="00C3734D"/>
    <w:rsid w:val="00C41214"/>
    <w:rsid w:val="00C42CB5"/>
    <w:rsid w:val="00C442C0"/>
    <w:rsid w:val="00C44633"/>
    <w:rsid w:val="00C448DE"/>
    <w:rsid w:val="00C50016"/>
    <w:rsid w:val="00C51CD1"/>
    <w:rsid w:val="00C547CD"/>
    <w:rsid w:val="00C55928"/>
    <w:rsid w:val="00C56AB4"/>
    <w:rsid w:val="00C56D0F"/>
    <w:rsid w:val="00C57E9F"/>
    <w:rsid w:val="00C60D66"/>
    <w:rsid w:val="00C60FC1"/>
    <w:rsid w:val="00C6269B"/>
    <w:rsid w:val="00C62E43"/>
    <w:rsid w:val="00C62EFF"/>
    <w:rsid w:val="00C650FA"/>
    <w:rsid w:val="00C659C7"/>
    <w:rsid w:val="00C67BB2"/>
    <w:rsid w:val="00C70042"/>
    <w:rsid w:val="00C72059"/>
    <w:rsid w:val="00C732FF"/>
    <w:rsid w:val="00C73F51"/>
    <w:rsid w:val="00C76D2F"/>
    <w:rsid w:val="00C778DE"/>
    <w:rsid w:val="00C80668"/>
    <w:rsid w:val="00C81188"/>
    <w:rsid w:val="00C8120F"/>
    <w:rsid w:val="00C83639"/>
    <w:rsid w:val="00C85B98"/>
    <w:rsid w:val="00C85F83"/>
    <w:rsid w:val="00C86858"/>
    <w:rsid w:val="00C90311"/>
    <w:rsid w:val="00C92BC0"/>
    <w:rsid w:val="00C93347"/>
    <w:rsid w:val="00C956F3"/>
    <w:rsid w:val="00C970E1"/>
    <w:rsid w:val="00C973D3"/>
    <w:rsid w:val="00CA0B44"/>
    <w:rsid w:val="00CA1815"/>
    <w:rsid w:val="00CA1F73"/>
    <w:rsid w:val="00CA2462"/>
    <w:rsid w:val="00CA3DD4"/>
    <w:rsid w:val="00CB0ED3"/>
    <w:rsid w:val="00CB37C1"/>
    <w:rsid w:val="00CB4F2B"/>
    <w:rsid w:val="00CB6B69"/>
    <w:rsid w:val="00CC0AC3"/>
    <w:rsid w:val="00CC3535"/>
    <w:rsid w:val="00CC4CD0"/>
    <w:rsid w:val="00CC761D"/>
    <w:rsid w:val="00CD098B"/>
    <w:rsid w:val="00CD0996"/>
    <w:rsid w:val="00CD0EC3"/>
    <w:rsid w:val="00CD1817"/>
    <w:rsid w:val="00CD1C40"/>
    <w:rsid w:val="00CD1D46"/>
    <w:rsid w:val="00CD3E6B"/>
    <w:rsid w:val="00CD4148"/>
    <w:rsid w:val="00CD46B6"/>
    <w:rsid w:val="00CD580E"/>
    <w:rsid w:val="00CE09EF"/>
    <w:rsid w:val="00CE0B61"/>
    <w:rsid w:val="00CE399D"/>
    <w:rsid w:val="00CE6FB9"/>
    <w:rsid w:val="00CE7880"/>
    <w:rsid w:val="00CE7F72"/>
    <w:rsid w:val="00CE7F91"/>
    <w:rsid w:val="00CF027C"/>
    <w:rsid w:val="00CF056B"/>
    <w:rsid w:val="00CF3FF5"/>
    <w:rsid w:val="00D02565"/>
    <w:rsid w:val="00D026E7"/>
    <w:rsid w:val="00D02D57"/>
    <w:rsid w:val="00D04315"/>
    <w:rsid w:val="00D0511E"/>
    <w:rsid w:val="00D06EC5"/>
    <w:rsid w:val="00D070FA"/>
    <w:rsid w:val="00D07C93"/>
    <w:rsid w:val="00D110D3"/>
    <w:rsid w:val="00D11617"/>
    <w:rsid w:val="00D11803"/>
    <w:rsid w:val="00D13CD8"/>
    <w:rsid w:val="00D158C4"/>
    <w:rsid w:val="00D20D9A"/>
    <w:rsid w:val="00D20E89"/>
    <w:rsid w:val="00D21B14"/>
    <w:rsid w:val="00D22345"/>
    <w:rsid w:val="00D230C3"/>
    <w:rsid w:val="00D255EC"/>
    <w:rsid w:val="00D26417"/>
    <w:rsid w:val="00D27F91"/>
    <w:rsid w:val="00D30AC2"/>
    <w:rsid w:val="00D33C8C"/>
    <w:rsid w:val="00D349D8"/>
    <w:rsid w:val="00D4213F"/>
    <w:rsid w:val="00D42292"/>
    <w:rsid w:val="00D42A52"/>
    <w:rsid w:val="00D446ED"/>
    <w:rsid w:val="00D45B95"/>
    <w:rsid w:val="00D47CD3"/>
    <w:rsid w:val="00D51238"/>
    <w:rsid w:val="00D53FBE"/>
    <w:rsid w:val="00D56B07"/>
    <w:rsid w:val="00D571B2"/>
    <w:rsid w:val="00D6480C"/>
    <w:rsid w:val="00D70F86"/>
    <w:rsid w:val="00D71F42"/>
    <w:rsid w:val="00D73A09"/>
    <w:rsid w:val="00D73BD0"/>
    <w:rsid w:val="00D74269"/>
    <w:rsid w:val="00D801F7"/>
    <w:rsid w:val="00D8199B"/>
    <w:rsid w:val="00D82412"/>
    <w:rsid w:val="00D83D10"/>
    <w:rsid w:val="00D845D2"/>
    <w:rsid w:val="00D84658"/>
    <w:rsid w:val="00D922A6"/>
    <w:rsid w:val="00D96D21"/>
    <w:rsid w:val="00D97102"/>
    <w:rsid w:val="00D97B8E"/>
    <w:rsid w:val="00DA2123"/>
    <w:rsid w:val="00DA3DDB"/>
    <w:rsid w:val="00DA56FE"/>
    <w:rsid w:val="00DA593B"/>
    <w:rsid w:val="00DA6B17"/>
    <w:rsid w:val="00DA7046"/>
    <w:rsid w:val="00DB00BE"/>
    <w:rsid w:val="00DB138E"/>
    <w:rsid w:val="00DB1AC7"/>
    <w:rsid w:val="00DB1C1E"/>
    <w:rsid w:val="00DB55EE"/>
    <w:rsid w:val="00DC294A"/>
    <w:rsid w:val="00DC3539"/>
    <w:rsid w:val="00DC565E"/>
    <w:rsid w:val="00DC5C34"/>
    <w:rsid w:val="00DC747D"/>
    <w:rsid w:val="00DD3F81"/>
    <w:rsid w:val="00DD3FAA"/>
    <w:rsid w:val="00DD54DF"/>
    <w:rsid w:val="00DD74E1"/>
    <w:rsid w:val="00DE5D57"/>
    <w:rsid w:val="00DE672E"/>
    <w:rsid w:val="00DE741B"/>
    <w:rsid w:val="00DF18CB"/>
    <w:rsid w:val="00DF2A34"/>
    <w:rsid w:val="00DF385A"/>
    <w:rsid w:val="00DF4B48"/>
    <w:rsid w:val="00E03677"/>
    <w:rsid w:val="00E04987"/>
    <w:rsid w:val="00E05699"/>
    <w:rsid w:val="00E07BF5"/>
    <w:rsid w:val="00E10CB0"/>
    <w:rsid w:val="00E1141C"/>
    <w:rsid w:val="00E1226D"/>
    <w:rsid w:val="00E15213"/>
    <w:rsid w:val="00E15713"/>
    <w:rsid w:val="00E25460"/>
    <w:rsid w:val="00E278BD"/>
    <w:rsid w:val="00E3168D"/>
    <w:rsid w:val="00E353D6"/>
    <w:rsid w:val="00E36C77"/>
    <w:rsid w:val="00E40D4C"/>
    <w:rsid w:val="00E43F83"/>
    <w:rsid w:val="00E4625E"/>
    <w:rsid w:val="00E46F93"/>
    <w:rsid w:val="00E6074C"/>
    <w:rsid w:val="00E6101E"/>
    <w:rsid w:val="00E6124C"/>
    <w:rsid w:val="00E616D8"/>
    <w:rsid w:val="00E63670"/>
    <w:rsid w:val="00E64935"/>
    <w:rsid w:val="00E720EB"/>
    <w:rsid w:val="00E7352E"/>
    <w:rsid w:val="00E74704"/>
    <w:rsid w:val="00E76F59"/>
    <w:rsid w:val="00E86EA5"/>
    <w:rsid w:val="00EA0C05"/>
    <w:rsid w:val="00EA43EE"/>
    <w:rsid w:val="00EB0581"/>
    <w:rsid w:val="00EB0ED3"/>
    <w:rsid w:val="00EB2110"/>
    <w:rsid w:val="00EB22DD"/>
    <w:rsid w:val="00EB285B"/>
    <w:rsid w:val="00EB5325"/>
    <w:rsid w:val="00EB5896"/>
    <w:rsid w:val="00EB6C93"/>
    <w:rsid w:val="00EB6FF5"/>
    <w:rsid w:val="00EC296F"/>
    <w:rsid w:val="00EC4DB4"/>
    <w:rsid w:val="00EC4E2F"/>
    <w:rsid w:val="00EC5BF8"/>
    <w:rsid w:val="00EC5CA2"/>
    <w:rsid w:val="00EC6F21"/>
    <w:rsid w:val="00ED2610"/>
    <w:rsid w:val="00ED359E"/>
    <w:rsid w:val="00ED3883"/>
    <w:rsid w:val="00EE297A"/>
    <w:rsid w:val="00EE4FF2"/>
    <w:rsid w:val="00EE5C70"/>
    <w:rsid w:val="00EE6D26"/>
    <w:rsid w:val="00EE6DE1"/>
    <w:rsid w:val="00EF3E3C"/>
    <w:rsid w:val="00EF6082"/>
    <w:rsid w:val="00EF701E"/>
    <w:rsid w:val="00F01406"/>
    <w:rsid w:val="00F04732"/>
    <w:rsid w:val="00F05BED"/>
    <w:rsid w:val="00F11318"/>
    <w:rsid w:val="00F11463"/>
    <w:rsid w:val="00F12219"/>
    <w:rsid w:val="00F1230F"/>
    <w:rsid w:val="00F13FBC"/>
    <w:rsid w:val="00F1541A"/>
    <w:rsid w:val="00F159AC"/>
    <w:rsid w:val="00F22930"/>
    <w:rsid w:val="00F266AC"/>
    <w:rsid w:val="00F26C82"/>
    <w:rsid w:val="00F26F00"/>
    <w:rsid w:val="00F27A5D"/>
    <w:rsid w:val="00F313E0"/>
    <w:rsid w:val="00F36DF0"/>
    <w:rsid w:val="00F37B03"/>
    <w:rsid w:val="00F37CE9"/>
    <w:rsid w:val="00F40BAF"/>
    <w:rsid w:val="00F40D6B"/>
    <w:rsid w:val="00F44E1D"/>
    <w:rsid w:val="00F45314"/>
    <w:rsid w:val="00F4582E"/>
    <w:rsid w:val="00F5098E"/>
    <w:rsid w:val="00F52474"/>
    <w:rsid w:val="00F52F2F"/>
    <w:rsid w:val="00F54481"/>
    <w:rsid w:val="00F56B47"/>
    <w:rsid w:val="00F65E89"/>
    <w:rsid w:val="00F67B44"/>
    <w:rsid w:val="00F72B49"/>
    <w:rsid w:val="00F730E1"/>
    <w:rsid w:val="00F7310D"/>
    <w:rsid w:val="00F73E0C"/>
    <w:rsid w:val="00F74CFA"/>
    <w:rsid w:val="00F76D98"/>
    <w:rsid w:val="00F76F0E"/>
    <w:rsid w:val="00F77AEC"/>
    <w:rsid w:val="00F81716"/>
    <w:rsid w:val="00F93230"/>
    <w:rsid w:val="00F944CF"/>
    <w:rsid w:val="00F944F1"/>
    <w:rsid w:val="00F94825"/>
    <w:rsid w:val="00F97013"/>
    <w:rsid w:val="00FA0961"/>
    <w:rsid w:val="00FA1540"/>
    <w:rsid w:val="00FA6862"/>
    <w:rsid w:val="00FA6AE6"/>
    <w:rsid w:val="00FB223B"/>
    <w:rsid w:val="00FB4582"/>
    <w:rsid w:val="00FB5A9F"/>
    <w:rsid w:val="00FB5FDC"/>
    <w:rsid w:val="00FC04E6"/>
    <w:rsid w:val="00FC2BCC"/>
    <w:rsid w:val="00FC3919"/>
    <w:rsid w:val="00FC4CD9"/>
    <w:rsid w:val="00FC4F17"/>
    <w:rsid w:val="00FC5C80"/>
    <w:rsid w:val="00FC70F8"/>
    <w:rsid w:val="00FC7C93"/>
    <w:rsid w:val="00FD2143"/>
    <w:rsid w:val="00FD2551"/>
    <w:rsid w:val="00FD396E"/>
    <w:rsid w:val="00FD4A08"/>
    <w:rsid w:val="00FD5218"/>
    <w:rsid w:val="00FD543C"/>
    <w:rsid w:val="00FE446A"/>
    <w:rsid w:val="00FF4092"/>
    <w:rsid w:val="00FF5B79"/>
    <w:rsid w:val="00FF787C"/>
    <w:rsid w:val="00FF7CCE"/>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7C7"/>
    <w:rPr>
      <w:rFonts w:ascii="Arial" w:hAnsi="Arial"/>
      <w:sz w:val="24"/>
      <w:lang w:eastAsia="en-GB"/>
    </w:rPr>
  </w:style>
  <w:style w:type="paragraph" w:styleId="Heading1">
    <w:name w:val="heading 1"/>
    <w:basedOn w:val="Normal"/>
    <w:next w:val="Normal"/>
    <w:link w:val="Heading1Char"/>
    <w:qFormat/>
    <w:rsid w:val="00343C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517C7"/>
    <w:pPr>
      <w:keepNext/>
      <w:spacing w:before="12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7C7"/>
    <w:pPr>
      <w:tabs>
        <w:tab w:val="center" w:pos="4153"/>
        <w:tab w:val="right" w:pos="8306"/>
      </w:tabs>
    </w:pPr>
  </w:style>
  <w:style w:type="paragraph" w:styleId="Footer">
    <w:name w:val="footer"/>
    <w:basedOn w:val="Normal"/>
    <w:link w:val="FooterChar"/>
    <w:uiPriority w:val="99"/>
    <w:rsid w:val="004517C7"/>
    <w:pPr>
      <w:tabs>
        <w:tab w:val="center" w:pos="4153"/>
        <w:tab w:val="right" w:pos="8306"/>
      </w:tabs>
    </w:pPr>
  </w:style>
  <w:style w:type="character" w:customStyle="1" w:styleId="Heading1Char">
    <w:name w:val="Heading 1 Char"/>
    <w:basedOn w:val="DefaultParagraphFont"/>
    <w:link w:val="Heading1"/>
    <w:rsid w:val="00343C3E"/>
    <w:rPr>
      <w:rFonts w:asciiTheme="majorHAnsi" w:eastAsiaTheme="majorEastAsia" w:hAnsiTheme="majorHAnsi" w:cstheme="majorBidi"/>
      <w:b/>
      <w:bCs/>
      <w:color w:val="365F91" w:themeColor="accent1" w:themeShade="BF"/>
      <w:sz w:val="28"/>
      <w:szCs w:val="28"/>
      <w:lang w:eastAsia="en-GB"/>
    </w:rPr>
  </w:style>
  <w:style w:type="paragraph" w:styleId="ListParagraph">
    <w:name w:val="List Paragraph"/>
    <w:basedOn w:val="Normal"/>
    <w:uiPriority w:val="34"/>
    <w:qFormat/>
    <w:rsid w:val="00343C3E"/>
    <w:pPr>
      <w:ind w:left="720"/>
      <w:contextualSpacing/>
    </w:pPr>
  </w:style>
  <w:style w:type="paragraph" w:styleId="FootnoteText">
    <w:name w:val="footnote text"/>
    <w:basedOn w:val="Normal"/>
    <w:link w:val="FootnoteTextChar"/>
    <w:rsid w:val="00053BC1"/>
    <w:rPr>
      <w:sz w:val="20"/>
    </w:rPr>
  </w:style>
  <w:style w:type="character" w:customStyle="1" w:styleId="FootnoteTextChar">
    <w:name w:val="Footnote Text Char"/>
    <w:basedOn w:val="DefaultParagraphFont"/>
    <w:link w:val="FootnoteText"/>
    <w:rsid w:val="00053BC1"/>
    <w:rPr>
      <w:rFonts w:ascii="Arial" w:hAnsi="Arial"/>
      <w:lang w:eastAsia="en-GB"/>
    </w:rPr>
  </w:style>
  <w:style w:type="character" w:styleId="FootnoteReference">
    <w:name w:val="footnote reference"/>
    <w:basedOn w:val="DefaultParagraphFont"/>
    <w:rsid w:val="00053BC1"/>
    <w:rPr>
      <w:vertAlign w:val="superscript"/>
    </w:rPr>
  </w:style>
  <w:style w:type="character" w:styleId="PlaceholderText">
    <w:name w:val="Placeholder Text"/>
    <w:basedOn w:val="DefaultParagraphFont"/>
    <w:uiPriority w:val="99"/>
    <w:semiHidden/>
    <w:rsid w:val="00053BC1"/>
    <w:rPr>
      <w:color w:val="808080"/>
    </w:rPr>
  </w:style>
  <w:style w:type="paragraph" w:styleId="BalloonText">
    <w:name w:val="Balloon Text"/>
    <w:basedOn w:val="Normal"/>
    <w:link w:val="BalloonTextChar"/>
    <w:rsid w:val="00053BC1"/>
    <w:rPr>
      <w:rFonts w:ascii="Tahoma" w:hAnsi="Tahoma" w:cs="Tahoma"/>
      <w:sz w:val="16"/>
      <w:szCs w:val="16"/>
    </w:rPr>
  </w:style>
  <w:style w:type="character" w:customStyle="1" w:styleId="BalloonTextChar">
    <w:name w:val="Balloon Text Char"/>
    <w:basedOn w:val="DefaultParagraphFont"/>
    <w:link w:val="BalloonText"/>
    <w:rsid w:val="00053BC1"/>
    <w:rPr>
      <w:rFonts w:ascii="Tahoma" w:hAnsi="Tahoma" w:cs="Tahoma"/>
      <w:sz w:val="16"/>
      <w:szCs w:val="16"/>
      <w:lang w:eastAsia="en-GB"/>
    </w:rPr>
  </w:style>
  <w:style w:type="paragraph" w:customStyle="1" w:styleId="Default">
    <w:name w:val="Default"/>
    <w:rsid w:val="00B25663"/>
    <w:pPr>
      <w:autoSpaceDE w:val="0"/>
      <w:autoSpaceDN w:val="0"/>
      <w:adjustRightInd w:val="0"/>
    </w:pPr>
    <w:rPr>
      <w:rFonts w:ascii="STATSsans Light" w:hAnsi="STATSsans Light" w:cs="STATSsans Light"/>
      <w:color w:val="000000"/>
      <w:sz w:val="24"/>
      <w:szCs w:val="24"/>
    </w:rPr>
  </w:style>
  <w:style w:type="character" w:styleId="Strong">
    <w:name w:val="Strong"/>
    <w:basedOn w:val="DefaultParagraphFont"/>
    <w:qFormat/>
    <w:rsid w:val="001C1E30"/>
    <w:rPr>
      <w:b/>
      <w:bCs/>
    </w:rPr>
  </w:style>
  <w:style w:type="table" w:styleId="TableGrid">
    <w:name w:val="Table Grid"/>
    <w:basedOn w:val="TableNormal"/>
    <w:rsid w:val="003B24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BC3BE0"/>
    <w:rPr>
      <w:sz w:val="16"/>
      <w:szCs w:val="16"/>
    </w:rPr>
  </w:style>
  <w:style w:type="paragraph" w:styleId="CommentText">
    <w:name w:val="annotation text"/>
    <w:basedOn w:val="Normal"/>
    <w:link w:val="CommentTextChar"/>
    <w:rsid w:val="00BC3BE0"/>
    <w:rPr>
      <w:sz w:val="20"/>
    </w:rPr>
  </w:style>
  <w:style w:type="character" w:customStyle="1" w:styleId="CommentTextChar">
    <w:name w:val="Comment Text Char"/>
    <w:basedOn w:val="DefaultParagraphFont"/>
    <w:link w:val="CommentText"/>
    <w:rsid w:val="00BC3BE0"/>
    <w:rPr>
      <w:rFonts w:ascii="Arial" w:hAnsi="Arial"/>
      <w:lang w:eastAsia="en-GB"/>
    </w:rPr>
  </w:style>
  <w:style w:type="paragraph" w:styleId="CommentSubject">
    <w:name w:val="annotation subject"/>
    <w:basedOn w:val="CommentText"/>
    <w:next w:val="CommentText"/>
    <w:link w:val="CommentSubjectChar"/>
    <w:rsid w:val="00BC3BE0"/>
    <w:rPr>
      <w:b/>
      <w:bCs/>
    </w:rPr>
  </w:style>
  <w:style w:type="character" w:customStyle="1" w:styleId="CommentSubjectChar">
    <w:name w:val="Comment Subject Char"/>
    <w:basedOn w:val="CommentTextChar"/>
    <w:link w:val="CommentSubject"/>
    <w:rsid w:val="00BC3BE0"/>
    <w:rPr>
      <w:b/>
      <w:bCs/>
    </w:rPr>
  </w:style>
  <w:style w:type="character" w:customStyle="1" w:styleId="FooterChar">
    <w:name w:val="Footer Char"/>
    <w:basedOn w:val="DefaultParagraphFont"/>
    <w:link w:val="Footer"/>
    <w:uiPriority w:val="99"/>
    <w:rsid w:val="00F52F2F"/>
    <w:rPr>
      <w:rFonts w:ascii="Arial" w:hAnsi="Arial"/>
      <w:sz w:val="24"/>
      <w:lang w:eastAsia="en-GB"/>
    </w:rPr>
  </w:style>
  <w:style w:type="paragraph" w:styleId="Revision">
    <w:name w:val="Revision"/>
    <w:hidden/>
    <w:uiPriority w:val="99"/>
    <w:semiHidden/>
    <w:rsid w:val="00416B81"/>
    <w:rPr>
      <w:rFonts w:ascii="Arial" w:hAnsi="Arial"/>
      <w:sz w:val="24"/>
      <w:lang w:eastAsia="en-GB"/>
    </w:rPr>
  </w:style>
</w:styles>
</file>

<file path=word/webSettings.xml><?xml version="1.0" encoding="utf-8"?>
<w:webSettings xmlns:r="http://schemas.openxmlformats.org/officeDocument/2006/relationships" xmlns:w="http://schemas.openxmlformats.org/wordprocessingml/2006/main">
  <w:divs>
    <w:div w:id="79571379">
      <w:bodyDiv w:val="1"/>
      <w:marLeft w:val="0"/>
      <w:marRight w:val="0"/>
      <w:marTop w:val="0"/>
      <w:marBottom w:val="0"/>
      <w:divBdr>
        <w:top w:val="none" w:sz="0" w:space="0" w:color="auto"/>
        <w:left w:val="none" w:sz="0" w:space="0" w:color="auto"/>
        <w:bottom w:val="none" w:sz="0" w:space="0" w:color="auto"/>
        <w:right w:val="none" w:sz="0" w:space="0" w:color="auto"/>
      </w:divBdr>
    </w:div>
    <w:div w:id="250622993">
      <w:bodyDiv w:val="1"/>
      <w:marLeft w:val="0"/>
      <w:marRight w:val="0"/>
      <w:marTop w:val="0"/>
      <w:marBottom w:val="0"/>
      <w:divBdr>
        <w:top w:val="none" w:sz="0" w:space="0" w:color="auto"/>
        <w:left w:val="none" w:sz="0" w:space="0" w:color="auto"/>
        <w:bottom w:val="none" w:sz="0" w:space="0" w:color="auto"/>
        <w:right w:val="none" w:sz="0" w:space="0" w:color="auto"/>
      </w:divBdr>
    </w:div>
    <w:div w:id="406540154">
      <w:bodyDiv w:val="1"/>
      <w:marLeft w:val="0"/>
      <w:marRight w:val="0"/>
      <w:marTop w:val="0"/>
      <w:marBottom w:val="0"/>
      <w:divBdr>
        <w:top w:val="none" w:sz="0" w:space="0" w:color="auto"/>
        <w:left w:val="none" w:sz="0" w:space="0" w:color="auto"/>
        <w:bottom w:val="none" w:sz="0" w:space="0" w:color="auto"/>
        <w:right w:val="none" w:sz="0" w:space="0" w:color="auto"/>
      </w:divBdr>
    </w:div>
    <w:div w:id="461659090">
      <w:bodyDiv w:val="1"/>
      <w:marLeft w:val="0"/>
      <w:marRight w:val="0"/>
      <w:marTop w:val="0"/>
      <w:marBottom w:val="0"/>
      <w:divBdr>
        <w:top w:val="none" w:sz="0" w:space="0" w:color="auto"/>
        <w:left w:val="none" w:sz="0" w:space="0" w:color="auto"/>
        <w:bottom w:val="none" w:sz="0" w:space="0" w:color="auto"/>
        <w:right w:val="none" w:sz="0" w:space="0" w:color="auto"/>
      </w:divBdr>
    </w:div>
    <w:div w:id="484787959">
      <w:bodyDiv w:val="1"/>
      <w:marLeft w:val="0"/>
      <w:marRight w:val="0"/>
      <w:marTop w:val="0"/>
      <w:marBottom w:val="0"/>
      <w:divBdr>
        <w:top w:val="none" w:sz="0" w:space="0" w:color="auto"/>
        <w:left w:val="none" w:sz="0" w:space="0" w:color="auto"/>
        <w:bottom w:val="none" w:sz="0" w:space="0" w:color="auto"/>
        <w:right w:val="none" w:sz="0" w:space="0" w:color="auto"/>
      </w:divBdr>
    </w:div>
    <w:div w:id="638417110">
      <w:bodyDiv w:val="1"/>
      <w:marLeft w:val="0"/>
      <w:marRight w:val="0"/>
      <w:marTop w:val="0"/>
      <w:marBottom w:val="0"/>
      <w:divBdr>
        <w:top w:val="none" w:sz="0" w:space="0" w:color="auto"/>
        <w:left w:val="none" w:sz="0" w:space="0" w:color="auto"/>
        <w:bottom w:val="none" w:sz="0" w:space="0" w:color="auto"/>
        <w:right w:val="none" w:sz="0" w:space="0" w:color="auto"/>
      </w:divBdr>
    </w:div>
    <w:div w:id="927890409">
      <w:bodyDiv w:val="1"/>
      <w:marLeft w:val="0"/>
      <w:marRight w:val="0"/>
      <w:marTop w:val="0"/>
      <w:marBottom w:val="0"/>
      <w:divBdr>
        <w:top w:val="none" w:sz="0" w:space="0" w:color="auto"/>
        <w:left w:val="none" w:sz="0" w:space="0" w:color="auto"/>
        <w:bottom w:val="none" w:sz="0" w:space="0" w:color="auto"/>
        <w:right w:val="none" w:sz="0" w:space="0" w:color="auto"/>
      </w:divBdr>
    </w:div>
    <w:div w:id="975985978">
      <w:bodyDiv w:val="1"/>
      <w:marLeft w:val="0"/>
      <w:marRight w:val="0"/>
      <w:marTop w:val="0"/>
      <w:marBottom w:val="0"/>
      <w:divBdr>
        <w:top w:val="none" w:sz="0" w:space="0" w:color="auto"/>
        <w:left w:val="none" w:sz="0" w:space="0" w:color="auto"/>
        <w:bottom w:val="none" w:sz="0" w:space="0" w:color="auto"/>
        <w:right w:val="none" w:sz="0" w:space="0" w:color="auto"/>
      </w:divBdr>
    </w:div>
    <w:div w:id="997540831">
      <w:bodyDiv w:val="1"/>
      <w:marLeft w:val="0"/>
      <w:marRight w:val="0"/>
      <w:marTop w:val="0"/>
      <w:marBottom w:val="0"/>
      <w:divBdr>
        <w:top w:val="none" w:sz="0" w:space="0" w:color="auto"/>
        <w:left w:val="none" w:sz="0" w:space="0" w:color="auto"/>
        <w:bottom w:val="none" w:sz="0" w:space="0" w:color="auto"/>
        <w:right w:val="none" w:sz="0" w:space="0" w:color="auto"/>
      </w:divBdr>
    </w:div>
    <w:div w:id="1021664019">
      <w:bodyDiv w:val="1"/>
      <w:marLeft w:val="0"/>
      <w:marRight w:val="0"/>
      <w:marTop w:val="0"/>
      <w:marBottom w:val="0"/>
      <w:divBdr>
        <w:top w:val="none" w:sz="0" w:space="0" w:color="auto"/>
        <w:left w:val="none" w:sz="0" w:space="0" w:color="auto"/>
        <w:bottom w:val="none" w:sz="0" w:space="0" w:color="auto"/>
        <w:right w:val="none" w:sz="0" w:space="0" w:color="auto"/>
      </w:divBdr>
    </w:div>
    <w:div w:id="1099712793">
      <w:bodyDiv w:val="1"/>
      <w:marLeft w:val="0"/>
      <w:marRight w:val="0"/>
      <w:marTop w:val="0"/>
      <w:marBottom w:val="0"/>
      <w:divBdr>
        <w:top w:val="none" w:sz="0" w:space="0" w:color="auto"/>
        <w:left w:val="none" w:sz="0" w:space="0" w:color="auto"/>
        <w:bottom w:val="none" w:sz="0" w:space="0" w:color="auto"/>
        <w:right w:val="none" w:sz="0" w:space="0" w:color="auto"/>
      </w:divBdr>
    </w:div>
    <w:div w:id="1249852718">
      <w:bodyDiv w:val="1"/>
      <w:marLeft w:val="0"/>
      <w:marRight w:val="0"/>
      <w:marTop w:val="0"/>
      <w:marBottom w:val="0"/>
      <w:divBdr>
        <w:top w:val="none" w:sz="0" w:space="0" w:color="auto"/>
        <w:left w:val="none" w:sz="0" w:space="0" w:color="auto"/>
        <w:bottom w:val="none" w:sz="0" w:space="0" w:color="auto"/>
        <w:right w:val="none" w:sz="0" w:space="0" w:color="auto"/>
      </w:divBdr>
    </w:div>
    <w:div w:id="1294360645">
      <w:bodyDiv w:val="1"/>
      <w:marLeft w:val="0"/>
      <w:marRight w:val="0"/>
      <w:marTop w:val="0"/>
      <w:marBottom w:val="0"/>
      <w:divBdr>
        <w:top w:val="none" w:sz="0" w:space="0" w:color="auto"/>
        <w:left w:val="none" w:sz="0" w:space="0" w:color="auto"/>
        <w:bottom w:val="none" w:sz="0" w:space="0" w:color="auto"/>
        <w:right w:val="none" w:sz="0" w:space="0" w:color="auto"/>
      </w:divBdr>
    </w:div>
    <w:div w:id="1346441222">
      <w:bodyDiv w:val="1"/>
      <w:marLeft w:val="0"/>
      <w:marRight w:val="0"/>
      <w:marTop w:val="0"/>
      <w:marBottom w:val="0"/>
      <w:divBdr>
        <w:top w:val="none" w:sz="0" w:space="0" w:color="auto"/>
        <w:left w:val="none" w:sz="0" w:space="0" w:color="auto"/>
        <w:bottom w:val="none" w:sz="0" w:space="0" w:color="auto"/>
        <w:right w:val="none" w:sz="0" w:space="0" w:color="auto"/>
      </w:divBdr>
    </w:div>
    <w:div w:id="1639720768">
      <w:bodyDiv w:val="1"/>
      <w:marLeft w:val="0"/>
      <w:marRight w:val="0"/>
      <w:marTop w:val="0"/>
      <w:marBottom w:val="0"/>
      <w:divBdr>
        <w:top w:val="none" w:sz="0" w:space="0" w:color="auto"/>
        <w:left w:val="none" w:sz="0" w:space="0" w:color="auto"/>
        <w:bottom w:val="none" w:sz="0" w:space="0" w:color="auto"/>
        <w:right w:val="none" w:sz="0" w:space="0" w:color="auto"/>
      </w:divBdr>
    </w:div>
    <w:div w:id="1937320663">
      <w:bodyDiv w:val="1"/>
      <w:marLeft w:val="0"/>
      <w:marRight w:val="0"/>
      <w:marTop w:val="0"/>
      <w:marBottom w:val="0"/>
      <w:divBdr>
        <w:top w:val="none" w:sz="0" w:space="0" w:color="auto"/>
        <w:left w:val="none" w:sz="0" w:space="0" w:color="auto"/>
        <w:bottom w:val="none" w:sz="0" w:space="0" w:color="auto"/>
        <w:right w:val="none" w:sz="0" w:space="0" w:color="auto"/>
      </w:divBdr>
    </w:div>
    <w:div w:id="193895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DF030-6A80-4F05-B417-6C173D68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3092</Words>
  <Characters>17994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Ministry of Transport</Company>
  <LinksUpToDate>false</LinksUpToDate>
  <CharactersWithSpaces>21044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Tantri Tantirigama</dc:creator>
  <cp:keywords/>
  <dc:description/>
  <cp:lastModifiedBy>Tantri Tantirigama</cp:lastModifiedBy>
  <cp:revision>11</cp:revision>
  <cp:lastPrinted>2011-04-29T01:32:00Z</cp:lastPrinted>
  <dcterms:created xsi:type="dcterms:W3CDTF">2011-04-29T02:50:00Z</dcterms:created>
  <dcterms:modified xsi:type="dcterms:W3CDTF">2011-04-29T03:20:00Z</dcterms:modified>
</cp:coreProperties>
</file>