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CD5" w:rsidRDefault="00D35CD5" w:rsidP="00D90CC8">
      <w:pPr>
        <w:rPr>
          <w:b/>
          <w:bCs/>
        </w:rPr>
      </w:pPr>
    </w:p>
    <w:p w:rsidR="00D35CD5" w:rsidRDefault="00D35CD5" w:rsidP="00D90CC8">
      <w:pPr>
        <w:rPr>
          <w:b/>
          <w:bCs/>
        </w:rPr>
      </w:pPr>
    </w:p>
    <w:p w:rsidR="00D35CD5" w:rsidRDefault="00D35CD5" w:rsidP="00D90CC8">
      <w:pPr>
        <w:rPr>
          <w:b/>
          <w:bCs/>
        </w:rPr>
      </w:pPr>
    </w:p>
    <w:p w:rsidR="00D35CD5" w:rsidRDefault="00D35CD5" w:rsidP="00D90CC8">
      <w:pPr>
        <w:rPr>
          <w:b/>
          <w:bCs/>
        </w:rPr>
      </w:pPr>
    </w:p>
    <w:p w:rsidR="00D35CD5" w:rsidRDefault="00D35CD5" w:rsidP="00D90CC8">
      <w:pPr>
        <w:rPr>
          <w:b/>
          <w:bCs/>
        </w:rPr>
      </w:pPr>
    </w:p>
    <w:p w:rsidR="00D35CD5" w:rsidRPr="00D35CD5" w:rsidRDefault="00D35CD5" w:rsidP="00D90CC8">
      <w:pPr>
        <w:rPr>
          <w:b/>
          <w:bCs/>
          <w:sz w:val="28"/>
          <w:szCs w:val="28"/>
        </w:rPr>
      </w:pPr>
      <w:r w:rsidRPr="00D35CD5">
        <w:rPr>
          <w:b/>
          <w:bCs/>
          <w:sz w:val="28"/>
          <w:szCs w:val="28"/>
        </w:rPr>
        <w:t xml:space="preserve">Using the Inforum </w:t>
      </w:r>
      <w:r w:rsidRPr="00D35CD5">
        <w:rPr>
          <w:b/>
          <w:bCs/>
          <w:i/>
          <w:iCs/>
          <w:sz w:val="28"/>
          <w:szCs w:val="28"/>
        </w:rPr>
        <w:t>LIFT</w:t>
      </w:r>
      <w:r w:rsidRPr="00D35CD5">
        <w:rPr>
          <w:b/>
          <w:bCs/>
          <w:sz w:val="28"/>
          <w:szCs w:val="28"/>
        </w:rPr>
        <w:t xml:space="preserve"> and </w:t>
      </w:r>
      <w:r w:rsidRPr="00D35CD5">
        <w:rPr>
          <w:b/>
          <w:bCs/>
          <w:i/>
          <w:iCs/>
          <w:sz w:val="28"/>
          <w:szCs w:val="28"/>
        </w:rPr>
        <w:t>Mudan</w:t>
      </w:r>
      <w:r w:rsidRPr="00D35CD5">
        <w:rPr>
          <w:b/>
          <w:bCs/>
          <w:sz w:val="28"/>
          <w:szCs w:val="28"/>
        </w:rPr>
        <w:t xml:space="preserve"> Models to Investigate the Impacts of Cap and</w:t>
      </w:r>
      <w:r>
        <w:rPr>
          <w:b/>
          <w:bCs/>
        </w:rPr>
        <w:t xml:space="preserve"> </w:t>
      </w:r>
      <w:r w:rsidRPr="00D35CD5">
        <w:rPr>
          <w:b/>
          <w:bCs/>
          <w:sz w:val="28"/>
          <w:szCs w:val="28"/>
        </w:rPr>
        <w:t>Trade Legislation on International Leakages</w:t>
      </w:r>
    </w:p>
    <w:p w:rsidR="00D35CD5" w:rsidRDefault="00D35CD5" w:rsidP="00D90CC8">
      <w:pPr>
        <w:rPr>
          <w:b/>
          <w:bCs/>
        </w:rPr>
      </w:pPr>
    </w:p>
    <w:p w:rsidR="00D35CD5" w:rsidRPr="00D35CD5" w:rsidRDefault="00D35CD5" w:rsidP="00D35CD5">
      <w:pPr>
        <w:spacing w:after="0"/>
        <w:rPr>
          <w:b/>
          <w:bCs/>
        </w:rPr>
      </w:pPr>
      <w:r w:rsidRPr="00D35CD5">
        <w:rPr>
          <w:b/>
          <w:bCs/>
        </w:rPr>
        <w:t>Douglas S. Meade and Douglas E. Nyhus</w:t>
      </w:r>
    </w:p>
    <w:p w:rsidR="00D35CD5" w:rsidRDefault="00D35CD5" w:rsidP="00D90CC8">
      <w:pPr>
        <w:rPr>
          <w:b/>
          <w:bCs/>
        </w:rPr>
      </w:pPr>
    </w:p>
    <w:p w:rsidR="00D35CD5" w:rsidRDefault="00D35CD5" w:rsidP="00D90CC8">
      <w:pPr>
        <w:rPr>
          <w:b/>
          <w:bCs/>
        </w:rPr>
      </w:pPr>
    </w:p>
    <w:p w:rsidR="00D35CD5" w:rsidRDefault="00D35CD5" w:rsidP="00D90CC8">
      <w:pPr>
        <w:rPr>
          <w:b/>
          <w:bCs/>
        </w:rPr>
      </w:pPr>
    </w:p>
    <w:p w:rsidR="00D35CD5" w:rsidRDefault="00D35CD5" w:rsidP="00D90CC8">
      <w:pPr>
        <w:rPr>
          <w:b/>
          <w:bCs/>
        </w:rPr>
      </w:pPr>
    </w:p>
    <w:p w:rsidR="00D35CD5" w:rsidRDefault="00D35CD5" w:rsidP="00D90CC8">
      <w:pPr>
        <w:rPr>
          <w:b/>
          <w:bCs/>
        </w:rPr>
      </w:pPr>
    </w:p>
    <w:p w:rsidR="00D35CD5" w:rsidRDefault="00D35CD5" w:rsidP="00D90CC8">
      <w:pPr>
        <w:rPr>
          <w:b/>
          <w:bCs/>
        </w:rPr>
      </w:pPr>
    </w:p>
    <w:p w:rsidR="00D35CD5" w:rsidRDefault="00D35CD5" w:rsidP="00D90CC8">
      <w:pPr>
        <w:rPr>
          <w:b/>
          <w:bCs/>
        </w:rPr>
      </w:pPr>
      <w:r>
        <w:rPr>
          <w:b/>
          <w:bCs/>
        </w:rPr>
        <w:t>19</w:t>
      </w:r>
      <w:r w:rsidRPr="00D35CD5">
        <w:rPr>
          <w:b/>
          <w:bCs/>
          <w:vertAlign w:val="superscript"/>
        </w:rPr>
        <w:t>th</w:t>
      </w:r>
      <w:r>
        <w:rPr>
          <w:b/>
          <w:bCs/>
        </w:rPr>
        <w:t xml:space="preserve"> International Input-Output Conference</w:t>
      </w:r>
    </w:p>
    <w:p w:rsidR="00D35CD5" w:rsidRDefault="00D35CD5" w:rsidP="00D90CC8">
      <w:pPr>
        <w:rPr>
          <w:b/>
          <w:bCs/>
        </w:rPr>
      </w:pPr>
      <w:r>
        <w:rPr>
          <w:b/>
          <w:bCs/>
        </w:rPr>
        <w:t>June 13 – 17, 2011</w:t>
      </w:r>
    </w:p>
    <w:p w:rsidR="00D35CD5" w:rsidRDefault="00D35CD5" w:rsidP="00D90CC8">
      <w:pPr>
        <w:rPr>
          <w:b/>
          <w:bCs/>
        </w:rPr>
      </w:pPr>
      <w:r>
        <w:rPr>
          <w:b/>
          <w:bCs/>
        </w:rPr>
        <w:t>Alexandria VA, USA</w:t>
      </w:r>
    </w:p>
    <w:p w:rsidR="00D35CD5" w:rsidRDefault="00D35CD5" w:rsidP="00D90CC8">
      <w:pPr>
        <w:rPr>
          <w:b/>
          <w:bCs/>
        </w:rPr>
        <w:sectPr w:rsidR="00D35CD5">
          <w:headerReference w:type="default" r:id="rId8"/>
          <w:footerReference w:type="default" r:id="rId9"/>
          <w:pgSz w:w="12240" w:h="15840"/>
          <w:pgMar w:top="1440" w:right="1800" w:bottom="1440" w:left="1800" w:header="720" w:footer="720" w:gutter="0"/>
          <w:cols w:space="720"/>
          <w:docGrid w:linePitch="360"/>
        </w:sectPr>
      </w:pPr>
    </w:p>
    <w:p w:rsidR="00D90CC8" w:rsidRDefault="00D90CC8" w:rsidP="00D90CC8">
      <w:pPr>
        <w:rPr>
          <w:b/>
          <w:bCs/>
        </w:rPr>
      </w:pPr>
      <w:r>
        <w:rPr>
          <w:b/>
          <w:bCs/>
        </w:rPr>
        <w:lastRenderedPageBreak/>
        <w:t xml:space="preserve">Using the Inforum </w:t>
      </w:r>
      <w:r w:rsidR="00473ACC" w:rsidRPr="00473ACC">
        <w:rPr>
          <w:b/>
          <w:bCs/>
          <w:i/>
          <w:iCs/>
        </w:rPr>
        <w:t>LIFT</w:t>
      </w:r>
      <w:r w:rsidR="00473ACC">
        <w:rPr>
          <w:b/>
          <w:bCs/>
        </w:rPr>
        <w:t xml:space="preserve"> and </w:t>
      </w:r>
      <w:r w:rsidR="00473ACC" w:rsidRPr="00473ACC">
        <w:rPr>
          <w:b/>
          <w:bCs/>
          <w:i/>
          <w:iCs/>
        </w:rPr>
        <w:t>Mudan</w:t>
      </w:r>
      <w:r w:rsidR="00473ACC">
        <w:rPr>
          <w:b/>
          <w:bCs/>
        </w:rPr>
        <w:t xml:space="preserve"> </w:t>
      </w:r>
      <w:r>
        <w:rPr>
          <w:b/>
          <w:bCs/>
        </w:rPr>
        <w:t>Models to Investigate the Impacts of Cap and Trade Legislation on International Leakages</w:t>
      </w:r>
      <w:r w:rsidR="00957FC8">
        <w:rPr>
          <w:rStyle w:val="FootnoteReference"/>
          <w:b/>
          <w:bCs/>
        </w:rPr>
        <w:footnoteReference w:id="1"/>
      </w:r>
    </w:p>
    <w:p w:rsidR="00D90CC8" w:rsidRPr="00FD688E" w:rsidRDefault="00D90CC8" w:rsidP="00E74955">
      <w:pPr>
        <w:spacing w:after="0"/>
        <w:rPr>
          <w:b/>
          <w:bCs/>
          <w:sz w:val="20"/>
          <w:szCs w:val="20"/>
        </w:rPr>
      </w:pPr>
      <w:r>
        <w:rPr>
          <w:b/>
          <w:bCs/>
          <w:sz w:val="20"/>
          <w:szCs w:val="20"/>
        </w:rPr>
        <w:t>Douglas S. Meade</w:t>
      </w:r>
      <w:r w:rsidR="00473ACC">
        <w:rPr>
          <w:b/>
          <w:bCs/>
          <w:sz w:val="20"/>
          <w:szCs w:val="20"/>
        </w:rPr>
        <w:t xml:space="preserve"> and Douglas E. Nyhus</w:t>
      </w:r>
    </w:p>
    <w:p w:rsidR="0016643C" w:rsidRDefault="0016643C"/>
    <w:p w:rsidR="00D90CC8" w:rsidRDefault="00D90CC8">
      <w:pPr>
        <w:rPr>
          <w:i/>
          <w:iCs/>
        </w:rPr>
      </w:pPr>
      <w:r>
        <w:rPr>
          <w:i/>
          <w:iCs/>
        </w:rPr>
        <w:t>Background</w:t>
      </w:r>
    </w:p>
    <w:p w:rsidR="00EA55EE" w:rsidRDefault="00EA55EE" w:rsidP="00E74955">
      <w:pPr>
        <w:jc w:val="both"/>
      </w:pPr>
      <w:r>
        <w:t xml:space="preserve">In the last two years, various policy initiatives have been drafted with the goal of putting a system in place for reducing </w:t>
      </w:r>
      <w:smartTag w:uri="urn:schemas-microsoft-com:office:smarttags" w:element="country-region">
        <w:smartTag w:uri="urn:schemas-microsoft-com:office:smarttags" w:element="place">
          <w:r>
            <w:t>U.S.</w:t>
          </w:r>
        </w:smartTag>
      </w:smartTag>
      <w:r>
        <w:t xml:space="preserve"> carbon emissions.  Most of these initiatives have incorporated some form of cap and trade system, whereby a given number of emissions allowances are marketed by the government to emitters, and a market price for the emission of carbon dioxide is established.  Under certain simplifying assumptions, such a cap and trade system is equivalent to the imposition of a carbon tax, but with the advantage that the market sets the value of the allowances according to the marginal cost curves of the producers who must reduce their emissions.</w:t>
      </w:r>
    </w:p>
    <w:p w:rsidR="00D90CC8" w:rsidRDefault="00EA55EE" w:rsidP="00E74955">
      <w:pPr>
        <w:jc w:val="both"/>
      </w:pPr>
      <w:r>
        <w:t>An interesting and politically relevant question with regard to cap and trade is the effect of the carbon price on “international leakages”</w:t>
      </w:r>
      <w:r w:rsidR="0047744C">
        <w:t xml:space="preserve">.   These leakages are the effect of higher export prices of </w:t>
      </w:r>
      <w:smartTag w:uri="urn:schemas-microsoft-com:office:smarttags" w:element="country-region">
        <w:r w:rsidR="0047744C">
          <w:t>U.S.</w:t>
        </w:r>
      </w:smartTag>
      <w:r w:rsidR="0047744C">
        <w:t xml:space="preserve"> goods that require energy inputs that use carbon, either directly or indirectly, which will lead to a reduction of </w:t>
      </w:r>
      <w:smartTag w:uri="urn:schemas-microsoft-com:office:smarttags" w:element="country-region">
        <w:smartTag w:uri="urn:schemas-microsoft-com:office:smarttags" w:element="place">
          <w:r w:rsidR="0047744C">
            <w:t>U.S.</w:t>
          </w:r>
        </w:smartTag>
      </w:smartTag>
      <w:r w:rsidR="0047744C">
        <w:t xml:space="preserve"> exports.  Imports to the </w:t>
      </w:r>
      <w:smartTag w:uri="urn:schemas-microsoft-com:office:smarttags" w:element="country-region">
        <w:r w:rsidR="0047744C">
          <w:t>U.S.</w:t>
        </w:r>
      </w:smartTag>
      <w:r w:rsidR="0047744C">
        <w:t xml:space="preserve"> may increase due to the increased relative cost of domestic goods compared to goods produced in other countries </w:t>
      </w:r>
      <w:r w:rsidR="009D47E6">
        <w:t xml:space="preserve">without an emissions reduction system, </w:t>
      </w:r>
      <w:r w:rsidR="0047744C">
        <w:t xml:space="preserve">such as </w:t>
      </w:r>
      <w:smartTag w:uri="urn:schemas-microsoft-com:office:smarttags" w:element="country-region">
        <w:smartTag w:uri="urn:schemas-microsoft-com:office:smarttags" w:element="place">
          <w:r w:rsidR="0047744C">
            <w:t>China</w:t>
          </w:r>
        </w:smartTag>
      </w:smartTag>
      <w:r w:rsidR="0047744C">
        <w:t xml:space="preserve">.    </w:t>
      </w:r>
      <w:r>
        <w:t xml:space="preserve"> </w:t>
      </w:r>
    </w:p>
    <w:p w:rsidR="00EA55EE" w:rsidRPr="0047744C" w:rsidRDefault="0047744C" w:rsidP="00E74955">
      <w:pPr>
        <w:jc w:val="both"/>
      </w:pPr>
      <w:r>
        <w:t>Our</w:t>
      </w:r>
      <w:r w:rsidR="00EA55EE">
        <w:t xml:space="preserve"> study use</w:t>
      </w:r>
      <w:r>
        <w:t>s</w:t>
      </w:r>
      <w:r w:rsidR="00EA55EE">
        <w:t xml:space="preserve"> the Inforum </w:t>
      </w:r>
      <w:r w:rsidR="00EA55EE" w:rsidRPr="00473ACC">
        <w:rPr>
          <w:i/>
          <w:iCs/>
        </w:rPr>
        <w:t>LIFT</w:t>
      </w:r>
      <w:r w:rsidR="00EA55EE">
        <w:t xml:space="preserve"> model of the U.S. </w:t>
      </w:r>
      <w:r w:rsidR="00A527CA">
        <w:t>e</w:t>
      </w:r>
      <w:r w:rsidR="00EA55EE">
        <w:t xml:space="preserve">conomy, the </w:t>
      </w:r>
      <w:r w:rsidR="00EA55EE" w:rsidRPr="00473ACC">
        <w:rPr>
          <w:i/>
          <w:iCs/>
        </w:rPr>
        <w:t>Mudan</w:t>
      </w:r>
      <w:r w:rsidR="00EA55EE">
        <w:t xml:space="preserve"> model of the Chinese economy, and the Inforum Bilateral </w:t>
      </w:r>
      <w:r w:rsidR="00A527CA">
        <w:t>T</w:t>
      </w:r>
      <w:r w:rsidR="00EA55EE">
        <w:t xml:space="preserve">rade model to assess the leakages associated with the adoption of a carbon </w:t>
      </w:r>
      <w:r>
        <w:t>price</w:t>
      </w:r>
      <w:r w:rsidR="00EA55EE">
        <w:t xml:space="preserve"> in the U.S.  </w:t>
      </w:r>
      <w:r w:rsidR="007707DB">
        <w:t>This paper</w:t>
      </w:r>
      <w:r>
        <w:t xml:space="preserve"> begin</w:t>
      </w:r>
      <w:r w:rsidR="007707DB">
        <w:t>s the analysis</w:t>
      </w:r>
      <w:r>
        <w:t xml:space="preserve"> by comparing </w:t>
      </w:r>
      <w:r w:rsidR="00561B58">
        <w:t>several</w:t>
      </w:r>
      <w:r>
        <w:t xml:space="preserve"> scenarios for the U.S</w:t>
      </w:r>
      <w:r w:rsidR="00EA55EE">
        <w:t>.</w:t>
      </w:r>
      <w:r>
        <w:t xml:space="preserve">  The first </w:t>
      </w:r>
      <w:r w:rsidR="00983410">
        <w:t xml:space="preserve">scenario </w:t>
      </w:r>
      <w:r>
        <w:t xml:space="preserve">is the base case, based on the </w:t>
      </w:r>
      <w:r>
        <w:rPr>
          <w:i/>
          <w:iCs/>
        </w:rPr>
        <w:t>Annual Energy Outlook</w:t>
      </w:r>
      <w:r>
        <w:t xml:space="preserve"> </w:t>
      </w:r>
      <w:r w:rsidR="00A07FEB">
        <w:t xml:space="preserve">(AEO) </w:t>
      </w:r>
      <w:r>
        <w:t xml:space="preserve">2009 “Stimulus” case, produced by the Energy Information Administration (EIA).  </w:t>
      </w:r>
      <w:r w:rsidR="00561B58">
        <w:t xml:space="preserve">In this </w:t>
      </w:r>
      <w:r w:rsidR="00983410">
        <w:t>scenario</w:t>
      </w:r>
      <w:r w:rsidR="00561B58">
        <w:t xml:space="preserve">, the reference case is also used for </w:t>
      </w:r>
      <w:r w:rsidR="00561B58" w:rsidRPr="0028743D">
        <w:rPr>
          <w:i/>
        </w:rPr>
        <w:t>Mudan</w:t>
      </w:r>
      <w:r w:rsidR="00561B58">
        <w:t xml:space="preserve">, which assumes no price is imposed on carbon emissions.  </w:t>
      </w:r>
      <w:r>
        <w:t xml:space="preserve">The second </w:t>
      </w:r>
      <w:r w:rsidR="00983410">
        <w:t>scenario</w:t>
      </w:r>
      <w:r>
        <w:t xml:space="preserve"> </w:t>
      </w:r>
      <w:r w:rsidR="00983410">
        <w:t>assumes</w:t>
      </w:r>
      <w:r>
        <w:t xml:space="preserve"> implementation of certain key features of the Waxman-Markey (WM</w:t>
      </w:r>
      <w:r w:rsidR="007707DB">
        <w:t xml:space="preserve"> or HR2454</w:t>
      </w:r>
      <w:r>
        <w:t xml:space="preserve">) legislation. </w:t>
      </w:r>
      <w:r w:rsidR="00A527CA">
        <w:t>We used the Brookhaven National Laboratory</w:t>
      </w:r>
      <w:r w:rsidR="00A527CA">
        <w:rPr>
          <w:rStyle w:val="FootnoteReference"/>
        </w:rPr>
        <w:footnoteReference w:id="2"/>
      </w:r>
      <w:r w:rsidR="00A527CA">
        <w:t xml:space="preserve"> U.S. Market Allocation model</w:t>
      </w:r>
      <w:r w:rsidR="00A527CA">
        <w:rPr>
          <w:rStyle w:val="FootnoteReference"/>
        </w:rPr>
        <w:footnoteReference w:id="3"/>
      </w:r>
      <w:r w:rsidR="00A527CA">
        <w:rPr>
          <w:rStyle w:val="FootnoteReference"/>
        </w:rPr>
        <w:footnoteReference w:id="4"/>
      </w:r>
      <w:r w:rsidR="00A527CA">
        <w:t xml:space="preserve"> (BNL-MARKAL) to project the energy system impacts of the legislation.</w:t>
      </w:r>
      <w:r>
        <w:t xml:space="preserve"> </w:t>
      </w:r>
      <w:r w:rsidR="00561B58">
        <w:t xml:space="preserve">In this </w:t>
      </w:r>
      <w:r w:rsidR="00983410">
        <w:t>scenario</w:t>
      </w:r>
      <w:r w:rsidR="00561B58">
        <w:t xml:space="preserve">, we still assume that China does not price carbon emissions.  In </w:t>
      </w:r>
      <w:r w:rsidR="00983410">
        <w:t>Scenario</w:t>
      </w:r>
      <w:r w:rsidR="00A07FEB">
        <w:t xml:space="preserve"> 3</w:t>
      </w:r>
      <w:r w:rsidR="00561B58">
        <w:t xml:space="preserve">, we assume that </w:t>
      </w:r>
      <w:smartTag w:uri="urn:schemas-microsoft-com:office:smarttags" w:element="country-region">
        <w:r w:rsidR="00561B58">
          <w:t>China</w:t>
        </w:r>
      </w:smartTag>
      <w:r w:rsidR="00561B58">
        <w:t xml:space="preserve"> does price carbon, but does not </w:t>
      </w:r>
      <w:r w:rsidR="00A07FEB">
        <w:t xml:space="preserve">try to </w:t>
      </w:r>
      <w:r w:rsidR="00983410">
        <w:t xml:space="preserve">establish the price at the same level as the </w:t>
      </w:r>
      <w:smartTag w:uri="urn:schemas-microsoft-com:office:smarttags" w:element="country-region">
        <w:smartTag w:uri="urn:schemas-microsoft-com:office:smarttags" w:element="place">
          <w:r w:rsidR="00983410">
            <w:t>U.S.</w:t>
          </w:r>
        </w:smartTag>
      </w:smartTag>
      <w:r w:rsidR="00983410">
        <w:t xml:space="preserve"> price</w:t>
      </w:r>
      <w:r w:rsidR="00561B58">
        <w:t>.</w:t>
      </w:r>
      <w:r w:rsidR="00561B58">
        <w:rPr>
          <w:rStyle w:val="FootnoteReference"/>
        </w:rPr>
        <w:footnoteReference w:id="5"/>
      </w:r>
      <w:r w:rsidR="00561B58">
        <w:t xml:space="preserve">  The revenue obtained by the Chinese </w:t>
      </w:r>
      <w:r w:rsidR="00561B58">
        <w:lastRenderedPageBreak/>
        <w:t xml:space="preserve">government is recycled in the form of tax relief, to keep the </w:t>
      </w:r>
      <w:smartTag w:uri="urn:schemas-microsoft-com:office:smarttags" w:element="place">
        <w:smartTag w:uri="urn:schemas-microsoft-com:office:smarttags" w:element="country-region">
          <w:r w:rsidR="00561B58">
            <w:t>China</w:t>
          </w:r>
        </w:smartTag>
      </w:smartTag>
      <w:r w:rsidR="00561B58">
        <w:t xml:space="preserve"> scenario roughly deficit-neutral.  Finally, in </w:t>
      </w:r>
      <w:r w:rsidR="00982733">
        <w:t>Scenario</w:t>
      </w:r>
      <w:r w:rsidR="00561B58">
        <w:t xml:space="preserve"> 4, </w:t>
      </w:r>
      <w:smartTag w:uri="urn:schemas-microsoft-com:office:smarttags" w:element="country-region">
        <w:smartTag w:uri="urn:schemas-microsoft-com:office:smarttags" w:element="place">
          <w:r w:rsidR="00561B58">
            <w:t>China</w:t>
          </w:r>
        </w:smartTag>
      </w:smartTag>
      <w:r w:rsidR="00561B58">
        <w:t xml:space="preserve"> also prices carbon, but the revenue is distributed as a combination of tax relief and increased health care spending.  </w:t>
      </w:r>
      <w:r>
        <w:t xml:space="preserve">This paper discusses the implementation of these scenarios and reviews the results, </w:t>
      </w:r>
      <w:r w:rsidR="007707DB">
        <w:t>including</w:t>
      </w:r>
      <w:r>
        <w:t xml:space="preserve"> the </w:t>
      </w:r>
      <w:smartTag w:uri="urn:schemas-microsoft-com:office:smarttags" w:element="country-region">
        <w:smartTag w:uri="urn:schemas-microsoft-com:office:smarttags" w:element="place">
          <w:r w:rsidR="00561B58">
            <w:t>U.S.</w:t>
          </w:r>
        </w:smartTag>
      </w:smartTag>
      <w:r w:rsidR="00561B58">
        <w:t xml:space="preserve"> </w:t>
      </w:r>
      <w:r>
        <w:t>trade impacts</w:t>
      </w:r>
      <w:r w:rsidR="00561B58">
        <w:t xml:space="preserve"> in the different cases</w:t>
      </w:r>
      <w:r>
        <w:t>.</w:t>
      </w:r>
      <w:r w:rsidR="00473ACC">
        <w:t xml:space="preserve">  This paper focuses on effects of the legislation from the </w:t>
      </w:r>
      <w:smartTag w:uri="urn:schemas-microsoft-com:office:smarttags" w:element="place">
        <w:smartTag w:uri="urn:schemas-microsoft-com:office:smarttags" w:element="country-region">
          <w:r w:rsidR="00473ACC">
            <w:t>U.S.</w:t>
          </w:r>
        </w:smartTag>
      </w:smartTag>
      <w:r w:rsidR="00473ACC">
        <w:t xml:space="preserve"> perspective, but we also discuss some of the policy issues and choices from the Chinese perspective.</w:t>
      </w:r>
    </w:p>
    <w:p w:rsidR="0047744C" w:rsidRDefault="0047744C" w:rsidP="00E74955">
      <w:pPr>
        <w:jc w:val="both"/>
      </w:pPr>
      <w:r>
        <w:t xml:space="preserve">The Inforum </w:t>
      </w:r>
      <w:r w:rsidRPr="00473ACC">
        <w:rPr>
          <w:i/>
          <w:iCs/>
        </w:rPr>
        <w:t>LIFT</w:t>
      </w:r>
      <w:r>
        <w:t xml:space="preserve"> model is ideally suited for an analysis such as this since it models the </w:t>
      </w:r>
      <w:smartTag w:uri="urn:schemas-microsoft-com:office:smarttags" w:element="place">
        <w:smartTag w:uri="urn:schemas-microsoft-com:office:smarttags" w:element="country-region">
          <w:r>
            <w:t>U.S.</w:t>
          </w:r>
        </w:smartTag>
      </w:smartTag>
      <w:r>
        <w:t xml:space="preserve"> economy at a detailed level of 90 industries</w:t>
      </w:r>
      <w:r w:rsidR="006C4542">
        <w:rPr>
          <w:rStyle w:val="FootnoteReference"/>
        </w:rPr>
        <w:footnoteReference w:id="6"/>
      </w:r>
      <w:r>
        <w:t xml:space="preserve">.  Effects of carbon taxes on industry prices are explicitly modeled in the cost structure of each industry.  A carbon tax raises the cost of energy inputs, such as electricity, petroleum and natural gas.  Each industry </w:t>
      </w:r>
      <w:r w:rsidR="00982733">
        <w:t xml:space="preserve">can </w:t>
      </w:r>
      <w:r>
        <w:t xml:space="preserve">pass </w:t>
      </w:r>
      <w:r w:rsidR="00982733">
        <w:t xml:space="preserve">some portion of </w:t>
      </w:r>
      <w:r>
        <w:t xml:space="preserve">these costs on in the form of higher prices, which may lead to a reduction in competitiveness.  </w:t>
      </w:r>
      <w:r w:rsidRPr="00473ACC">
        <w:rPr>
          <w:i/>
          <w:iCs/>
        </w:rPr>
        <w:t>LIFT</w:t>
      </w:r>
      <w:r>
        <w:t xml:space="preserve"> also models imports and exports at this 90 industry level, and both import and export equations make use of the ratio between foreign and domestic prices for each commodity.  </w:t>
      </w:r>
      <w:r w:rsidRPr="00473ACC">
        <w:rPr>
          <w:i/>
          <w:iCs/>
        </w:rPr>
        <w:t>LIFT</w:t>
      </w:r>
      <w:r>
        <w:t xml:space="preserve"> models the </w:t>
      </w:r>
      <w:smartTag w:uri="urn:schemas-microsoft-com:office:smarttags" w:element="place">
        <w:smartTag w:uri="urn:schemas-microsoft-com:office:smarttags" w:element="country-region">
          <w:r>
            <w:t>U.S.</w:t>
          </w:r>
        </w:smartTag>
      </w:smartTag>
      <w:r>
        <w:t xml:space="preserve"> economy annually, showing the dynamic response to policy and price changes, and is capable of making projections out to 2050</w:t>
      </w:r>
      <w:r w:rsidR="006F1958">
        <w:rPr>
          <w:rStyle w:val="FootnoteReference"/>
        </w:rPr>
        <w:footnoteReference w:id="7"/>
      </w:r>
      <w:r>
        <w:t>.</w:t>
      </w:r>
    </w:p>
    <w:p w:rsidR="0047744C" w:rsidRDefault="0047744C" w:rsidP="00E74955">
      <w:pPr>
        <w:jc w:val="both"/>
      </w:pPr>
      <w:r>
        <w:t xml:space="preserve">The Inforum </w:t>
      </w:r>
      <w:r w:rsidRPr="00473ACC">
        <w:rPr>
          <w:i/>
          <w:iCs/>
        </w:rPr>
        <w:t>Mudan</w:t>
      </w:r>
      <w:r>
        <w:t xml:space="preserve"> model of China is similar to the </w:t>
      </w:r>
      <w:r w:rsidRPr="00473ACC">
        <w:rPr>
          <w:i/>
          <w:iCs/>
        </w:rPr>
        <w:t>LIFT</w:t>
      </w:r>
      <w:r>
        <w:t xml:space="preserve"> model but has industry detail for 59 industries</w:t>
      </w:r>
      <w:r w:rsidR="006C4542">
        <w:rPr>
          <w:rStyle w:val="FootnoteReference"/>
        </w:rPr>
        <w:footnoteReference w:id="8"/>
      </w:r>
      <w:r>
        <w:t xml:space="preserve">. Energy consumption detail </w:t>
      </w:r>
      <w:r w:rsidR="00172FF3">
        <w:t xml:space="preserve">in Mudan </w:t>
      </w:r>
      <w:r>
        <w:t>has recently been enhanced</w:t>
      </w:r>
      <w:r w:rsidR="00172FF3">
        <w:t xml:space="preserve"> to enable the analysis of alternative scenarios in which China reaches its stated goal of reducing energy use to GDP to 50% of its 2000 level by 2020</w:t>
      </w:r>
      <w:r>
        <w:t xml:space="preserve">.  The </w:t>
      </w:r>
      <w:r w:rsidRPr="00473ACC">
        <w:rPr>
          <w:i/>
          <w:iCs/>
        </w:rPr>
        <w:t>Mudan</w:t>
      </w:r>
      <w:r>
        <w:t xml:space="preserve"> model </w:t>
      </w:r>
      <w:r w:rsidR="00A527CA">
        <w:t>was</w:t>
      </w:r>
      <w:r>
        <w:t xml:space="preserve"> </w:t>
      </w:r>
      <w:r w:rsidR="00172FF3">
        <w:t xml:space="preserve">further modified </w:t>
      </w:r>
      <w:r>
        <w:t xml:space="preserve">for the current study to </w:t>
      </w:r>
      <w:r w:rsidR="00172FF3">
        <w:t xml:space="preserve">be able to </w:t>
      </w:r>
      <w:r>
        <w:t xml:space="preserve">analyze the price effects of carbon taxes in China.  </w:t>
      </w:r>
    </w:p>
    <w:p w:rsidR="00EA55EE" w:rsidRDefault="0047744C" w:rsidP="00E74955">
      <w:pPr>
        <w:jc w:val="both"/>
      </w:pPr>
      <w:r w:rsidRPr="00473ACC">
        <w:rPr>
          <w:i/>
          <w:iCs/>
        </w:rPr>
        <w:t>Mudan</w:t>
      </w:r>
      <w:r>
        <w:t xml:space="preserve"> and </w:t>
      </w:r>
      <w:r w:rsidRPr="00473ACC">
        <w:rPr>
          <w:i/>
          <w:iCs/>
        </w:rPr>
        <w:t>LIFT</w:t>
      </w:r>
      <w:r>
        <w:t xml:space="preserve"> are linked, along with other Inforum international models, in the Bilateral Trade Model</w:t>
      </w:r>
      <w:r w:rsidR="006C4542">
        <w:rPr>
          <w:rStyle w:val="FootnoteReference"/>
        </w:rPr>
        <w:footnoteReference w:id="9"/>
      </w:r>
      <w:r>
        <w:t xml:space="preserve">.  This model converts import demands of each country into the exports of bilateral trading partners, using an econometrically estimated equation for each country/commodity pair that uses relative exchange rate adjusted price and relative growth in industry specific investment in each country. </w:t>
      </w:r>
    </w:p>
    <w:p w:rsidR="00473ACC" w:rsidRPr="00473ACC" w:rsidRDefault="00473ACC" w:rsidP="00E74955">
      <w:pPr>
        <w:jc w:val="both"/>
      </w:pPr>
      <w:r>
        <w:t xml:space="preserve">We begin by summarizing the main components of the proposed Waxman-Markey legislation. We then describe the development of the base case for the </w:t>
      </w:r>
      <w:smartTag w:uri="urn:schemas-microsoft-com:office:smarttags" w:element="country-region">
        <w:smartTag w:uri="urn:schemas-microsoft-com:office:smarttags" w:element="place">
          <w:r>
            <w:t>U.S.</w:t>
          </w:r>
        </w:smartTag>
      </w:smartTag>
      <w:r>
        <w:t xml:space="preserve"> </w:t>
      </w:r>
      <w:r>
        <w:rPr>
          <w:i/>
          <w:iCs/>
        </w:rPr>
        <w:t>LIFT</w:t>
      </w:r>
      <w:r>
        <w:t xml:space="preserve"> model, which is calibrated to the </w:t>
      </w:r>
      <w:r w:rsidR="00A07FEB" w:rsidRPr="00A07FEB">
        <w:rPr>
          <w:i/>
          <w:iCs/>
        </w:rPr>
        <w:t>Annual</w:t>
      </w:r>
      <w:r w:rsidR="00A07FEB">
        <w:t xml:space="preserve"> </w:t>
      </w:r>
      <w:r w:rsidR="00A07FEB" w:rsidRPr="00A07FEB">
        <w:rPr>
          <w:i/>
          <w:iCs/>
        </w:rPr>
        <w:t>Energy Outlook</w:t>
      </w:r>
      <w:r w:rsidR="00A07FEB">
        <w:t xml:space="preserve"> (</w:t>
      </w:r>
      <w:r>
        <w:t>AEO</w:t>
      </w:r>
      <w:r w:rsidR="00A07FEB">
        <w:t>)</w:t>
      </w:r>
      <w:r>
        <w:t xml:space="preserve"> 2009 Stimulus case. The next section describes the main assumptions adopted in the modeling of the Waxman-Markey legislation, and provides an overview of results.  </w:t>
      </w:r>
      <w:r w:rsidR="00561B58">
        <w:t xml:space="preserve">Here we only compare the reference case (“Case 1”) with the </w:t>
      </w:r>
      <w:r w:rsidR="0077550F">
        <w:t xml:space="preserve">case where the </w:t>
      </w:r>
      <w:smartTag w:uri="urn:schemas-microsoft-com:office:smarttags" w:element="country-region">
        <w:r w:rsidR="0077550F">
          <w:t>U.S.</w:t>
        </w:r>
      </w:smartTag>
      <w:r w:rsidR="0077550F">
        <w:t xml:space="preserve"> prices carbon but </w:t>
      </w:r>
      <w:smartTag w:uri="urn:schemas-microsoft-com:office:smarttags" w:element="country-region">
        <w:smartTag w:uri="urn:schemas-microsoft-com:office:smarttags" w:element="place">
          <w:r w:rsidR="0077550F">
            <w:t>China</w:t>
          </w:r>
        </w:smartTag>
      </w:smartTag>
      <w:r w:rsidR="0077550F">
        <w:t xml:space="preserve"> doesn’t (“Case 2”).  The next section discusses how the adoption of carbon pricing in </w:t>
      </w:r>
      <w:smartTag w:uri="urn:schemas-microsoft-com:office:smarttags" w:element="country-region">
        <w:smartTag w:uri="urn:schemas-microsoft-com:office:smarttags" w:element="place">
          <w:r w:rsidR="0077550F">
            <w:t>China</w:t>
          </w:r>
        </w:smartTag>
      </w:smartTag>
      <w:r w:rsidR="0077550F">
        <w:t xml:space="preserve"> changes the results, and compares the differential effects of the two forms of revenue recycling. </w:t>
      </w:r>
      <w:r>
        <w:t xml:space="preserve"> The </w:t>
      </w:r>
      <w:r>
        <w:lastRenderedPageBreak/>
        <w:t>final section concludes, and discusses how a similar framework could be adopted to analyze different cap and trade policies</w:t>
      </w:r>
      <w:r w:rsidR="00E10B76">
        <w:t>, as well as the calibration to newer versions of the AEO and the extension of the modeling horizon</w:t>
      </w:r>
      <w:r>
        <w:t xml:space="preserve">.  The </w:t>
      </w:r>
      <w:r>
        <w:rPr>
          <w:i/>
          <w:iCs/>
        </w:rPr>
        <w:t xml:space="preserve">LIFT </w:t>
      </w:r>
      <w:r>
        <w:t xml:space="preserve">model, </w:t>
      </w:r>
      <w:r>
        <w:rPr>
          <w:i/>
          <w:iCs/>
        </w:rPr>
        <w:t>Mudan</w:t>
      </w:r>
      <w:r>
        <w:t xml:space="preserve"> model and Bilateral Trade Model are described in more detail in appendices to this paper.</w:t>
      </w:r>
    </w:p>
    <w:p w:rsidR="00D90CC8" w:rsidRDefault="00D90CC8"/>
    <w:p w:rsidR="00D90CC8" w:rsidRDefault="00D90CC8">
      <w:pPr>
        <w:rPr>
          <w:i/>
          <w:iCs/>
        </w:rPr>
      </w:pPr>
      <w:r>
        <w:rPr>
          <w:i/>
          <w:iCs/>
        </w:rPr>
        <w:t>Summary of the Proposed Waxman-Markey Bill</w:t>
      </w:r>
    </w:p>
    <w:p w:rsidR="00E10F2A" w:rsidRPr="00E10F2A" w:rsidRDefault="0077550F" w:rsidP="00E74955">
      <w:pPr>
        <w:jc w:val="both"/>
      </w:pPr>
      <w:r>
        <w:t xml:space="preserve">There have been </w:t>
      </w:r>
      <w:r w:rsidR="009D47E6">
        <w:t>many proposed bills for reducing</w:t>
      </w:r>
      <w:r>
        <w:t xml:space="preserve"> carbon emissions in the </w:t>
      </w:r>
      <w:smartTag w:uri="urn:schemas-microsoft-com:office:smarttags" w:element="country-region">
        <w:smartTag w:uri="urn:schemas-microsoft-com:office:smarttags" w:element="place">
          <w:r>
            <w:t>U.S.</w:t>
          </w:r>
        </w:smartTag>
      </w:smartTag>
      <w:r>
        <w:t xml:space="preserve">  At the time this study was initiated, the Waxman-Markey bill was being considered by Congress.  </w:t>
      </w:r>
      <w:r w:rsidR="00E10F2A">
        <w:t xml:space="preserve">The </w:t>
      </w:r>
      <w:r w:rsidR="00E10F2A" w:rsidRPr="00E10F2A">
        <w:t xml:space="preserve">Waxman-Markey </w:t>
      </w:r>
      <w:r w:rsidR="00E10F2A">
        <w:t xml:space="preserve">legislation </w:t>
      </w:r>
      <w:r w:rsidR="00E10F2A" w:rsidRPr="00E10F2A">
        <w:t>(H.R. 2454)</w:t>
      </w:r>
      <w:r w:rsidR="00E10F2A">
        <w:t xml:space="preserve"> is also known as the </w:t>
      </w:r>
      <w:r w:rsidR="00E10F2A" w:rsidRPr="00E10F2A">
        <w:t xml:space="preserve">American Clean Energy and Security Act (ACESA) of 2009.  </w:t>
      </w:r>
      <w:r>
        <w:t>This</w:t>
      </w:r>
      <w:r w:rsidR="00E10F2A">
        <w:t xml:space="preserve"> legislation h</w:t>
      </w:r>
      <w:r w:rsidR="00E10F2A" w:rsidRPr="00E10F2A">
        <w:t>as 4 major titles</w:t>
      </w:r>
      <w:r w:rsidR="00204D8E">
        <w:rPr>
          <w:rStyle w:val="FootnoteReference"/>
        </w:rPr>
        <w:footnoteReference w:id="10"/>
      </w:r>
      <w:r w:rsidR="00E10F2A" w:rsidRPr="00E10F2A">
        <w:t>:</w:t>
      </w:r>
    </w:p>
    <w:p w:rsidR="00E10F2A" w:rsidRPr="00E10F2A" w:rsidRDefault="00E10F2A" w:rsidP="00E74955">
      <w:pPr>
        <w:numPr>
          <w:ilvl w:val="0"/>
          <w:numId w:val="6"/>
        </w:numPr>
        <w:jc w:val="both"/>
      </w:pPr>
      <w:r w:rsidRPr="00E10F2A">
        <w:rPr>
          <w:b/>
          <w:bCs/>
        </w:rPr>
        <w:t>Clean Energy</w:t>
      </w:r>
      <w:r w:rsidRPr="00E10F2A">
        <w:t xml:space="preserve">: </w:t>
      </w:r>
      <w:r>
        <w:t>This title includes stimulus for r</w:t>
      </w:r>
      <w:r w:rsidRPr="00E10F2A">
        <w:t xml:space="preserve">enewable power generation, carbon capture and sequestration (CCS), clean transportation, smart grid investments </w:t>
      </w:r>
      <w:r>
        <w:t xml:space="preserve">and </w:t>
      </w:r>
      <w:r w:rsidRPr="00E10F2A">
        <w:t>nuclear</w:t>
      </w:r>
      <w:r>
        <w:t xml:space="preserve"> power.</w:t>
      </w:r>
    </w:p>
    <w:p w:rsidR="00E10F2A" w:rsidRPr="00E10F2A" w:rsidRDefault="00E10F2A" w:rsidP="00E74955">
      <w:pPr>
        <w:numPr>
          <w:ilvl w:val="0"/>
          <w:numId w:val="6"/>
        </w:numPr>
        <w:jc w:val="both"/>
      </w:pPr>
      <w:r w:rsidRPr="00E10F2A">
        <w:rPr>
          <w:b/>
          <w:bCs/>
        </w:rPr>
        <w:t>Energy Efficiency</w:t>
      </w:r>
      <w:r w:rsidRPr="00E10F2A">
        <w:t xml:space="preserve">: </w:t>
      </w:r>
      <w:r>
        <w:t>This title includes incentives for improving b</w:t>
      </w:r>
      <w:r w:rsidRPr="00E10F2A">
        <w:t>uilding efficiency (lighting and appliances) and transportation efficiency.</w:t>
      </w:r>
    </w:p>
    <w:p w:rsidR="00E10F2A" w:rsidRPr="00E10F2A" w:rsidRDefault="00E10F2A" w:rsidP="003B7299">
      <w:pPr>
        <w:numPr>
          <w:ilvl w:val="0"/>
          <w:numId w:val="6"/>
        </w:numPr>
        <w:jc w:val="both"/>
      </w:pPr>
      <w:r w:rsidRPr="00E10F2A">
        <w:rPr>
          <w:b/>
          <w:bCs/>
        </w:rPr>
        <w:t>Reducing Global Warming</w:t>
      </w:r>
      <w:r>
        <w:t>: This is the title that includes the</w:t>
      </w:r>
      <w:r w:rsidRPr="00E10F2A">
        <w:t xml:space="preserve"> </w:t>
      </w:r>
      <w:r>
        <w:t>c</w:t>
      </w:r>
      <w:r w:rsidRPr="00E10F2A">
        <w:t>ap and trade system with allowance allocation, banking of allowances and offsets.</w:t>
      </w:r>
    </w:p>
    <w:p w:rsidR="00D90CC8" w:rsidRDefault="00E10F2A" w:rsidP="003B7299">
      <w:pPr>
        <w:numPr>
          <w:ilvl w:val="0"/>
          <w:numId w:val="6"/>
        </w:numPr>
        <w:jc w:val="both"/>
      </w:pPr>
      <w:r w:rsidRPr="00E10F2A">
        <w:rPr>
          <w:b/>
          <w:bCs/>
        </w:rPr>
        <w:t>Transition Issues</w:t>
      </w:r>
      <w:r w:rsidRPr="00E10F2A">
        <w:t xml:space="preserve">: </w:t>
      </w:r>
      <w:r>
        <w:t xml:space="preserve">This title consists of two major provisions: </w:t>
      </w:r>
      <w:r w:rsidRPr="00E10F2A">
        <w:t>A</w:t>
      </w:r>
      <w:r>
        <w:t>)</w:t>
      </w:r>
      <w:r w:rsidRPr="00E10F2A">
        <w:t xml:space="preserve"> “Inslee/Doyle Provisions” or output-based rebates to Energy-Intensive Trade E</w:t>
      </w:r>
      <w:r w:rsidR="00D071BD">
        <w:t>xposed</w:t>
      </w:r>
      <w:r w:rsidRPr="00E10F2A">
        <w:t xml:space="preserve"> (EITE) industries, and B</w:t>
      </w:r>
      <w:r>
        <w:t>)</w:t>
      </w:r>
      <w:r w:rsidRPr="00E10F2A">
        <w:t xml:space="preserve"> “Green Jobs” or worker transition assistance.</w:t>
      </w:r>
    </w:p>
    <w:p w:rsidR="00E10F2A" w:rsidRDefault="00E10F2A" w:rsidP="00E10F2A">
      <w:pPr>
        <w:rPr>
          <w:i/>
          <w:iCs/>
        </w:rPr>
      </w:pPr>
    </w:p>
    <w:p w:rsidR="00E10F2A" w:rsidRDefault="00E10F2A" w:rsidP="00E10F2A">
      <w:pPr>
        <w:rPr>
          <w:i/>
          <w:iCs/>
        </w:rPr>
      </w:pPr>
      <w:r>
        <w:rPr>
          <w:i/>
          <w:iCs/>
        </w:rPr>
        <w:t>Development of the AEO Base Case with the LIFT Model</w:t>
      </w:r>
    </w:p>
    <w:p w:rsidR="005242DC" w:rsidRDefault="005242DC" w:rsidP="003B7299">
      <w:pPr>
        <w:jc w:val="both"/>
      </w:pPr>
      <w:r>
        <w:t xml:space="preserve">The </w:t>
      </w:r>
      <w:r w:rsidRPr="002F5486">
        <w:rPr>
          <w:i/>
          <w:iCs/>
        </w:rPr>
        <w:t>LIFT</w:t>
      </w:r>
      <w:r>
        <w:t xml:space="preserve"> model was calibrated to be consistent with the AEO 2009 Stimulus case.  This was done in two stages.  In the first stage, industry variables, macroeconomic variables, and IO coefficients were modified to produce a macroeconomic forecast consistent with the AEO.  In the second stage, imports, exports, personal consumption expenditures and IO coefficients were modified to calibrate energy and carbon projections from the AEO.  For this study, the </w:t>
      </w:r>
      <w:r w:rsidRPr="00E15389">
        <w:rPr>
          <w:i/>
          <w:iCs/>
        </w:rPr>
        <w:t>LIFT</w:t>
      </w:r>
      <w:r>
        <w:t xml:space="preserve"> projections were made to 2030, which is the same forecast horizon used in AEO 2009.  </w:t>
      </w:r>
    </w:p>
    <w:p w:rsidR="003E66EA" w:rsidRDefault="005242DC" w:rsidP="003B7299">
      <w:pPr>
        <w:jc w:val="both"/>
      </w:pPr>
      <w:r>
        <w:t xml:space="preserve">The following </w:t>
      </w:r>
      <w:r w:rsidR="00FD37F2">
        <w:t>table</w:t>
      </w:r>
      <w:r>
        <w:t xml:space="preserve"> provides an outline of the general calibration strategy, but the final version required several iterations of these steps.  The general strategy is based on the goal of getting the exogenous variables calibrated first, and then working down into further degrees of endogeneity. </w:t>
      </w:r>
    </w:p>
    <w:p w:rsidR="003E66EA" w:rsidRDefault="003E66EA">
      <w:pPr>
        <w:spacing w:after="0"/>
      </w:pPr>
      <w:r>
        <w:br w:type="page"/>
      </w:r>
    </w:p>
    <w:tbl>
      <w:tblPr>
        <w:tblStyle w:val="TableGrid"/>
        <w:tblW w:w="0" w:type="auto"/>
        <w:tblLook w:val="01E0"/>
      </w:tblPr>
      <w:tblGrid>
        <w:gridCol w:w="2628"/>
        <w:gridCol w:w="6228"/>
      </w:tblGrid>
      <w:tr w:rsidR="00FD37F2" w:rsidTr="00FD37F2">
        <w:tc>
          <w:tcPr>
            <w:tcW w:w="2628" w:type="dxa"/>
          </w:tcPr>
          <w:p w:rsidR="00FD37F2" w:rsidRPr="00FD37F2" w:rsidRDefault="00FD37F2" w:rsidP="00FD37F2">
            <w:pPr>
              <w:rPr>
                <w:sz w:val="18"/>
                <w:szCs w:val="18"/>
              </w:rPr>
            </w:pPr>
            <w:r w:rsidRPr="00FD37F2">
              <w:rPr>
                <w:i/>
                <w:iCs/>
                <w:sz w:val="18"/>
                <w:szCs w:val="18"/>
              </w:rPr>
              <w:lastRenderedPageBreak/>
              <w:t>Population and labor force</w:t>
            </w:r>
          </w:p>
        </w:tc>
        <w:tc>
          <w:tcPr>
            <w:tcW w:w="6228" w:type="dxa"/>
          </w:tcPr>
          <w:p w:rsidR="00FD37F2" w:rsidRPr="00FD37F2" w:rsidRDefault="00FD37F2" w:rsidP="003B7299">
            <w:pPr>
              <w:jc w:val="both"/>
              <w:rPr>
                <w:sz w:val="18"/>
                <w:szCs w:val="18"/>
              </w:rPr>
            </w:pPr>
            <w:r>
              <w:rPr>
                <w:sz w:val="18"/>
                <w:szCs w:val="18"/>
              </w:rPr>
              <w:t>P</w:t>
            </w:r>
            <w:r w:rsidRPr="00FD37F2">
              <w:rPr>
                <w:sz w:val="18"/>
                <w:szCs w:val="18"/>
              </w:rPr>
              <w:t xml:space="preserve">opulation projections are made by detailed age group in </w:t>
            </w:r>
            <w:r>
              <w:rPr>
                <w:i/>
                <w:iCs/>
                <w:sz w:val="18"/>
                <w:szCs w:val="18"/>
              </w:rPr>
              <w:t>LIFT</w:t>
            </w:r>
            <w:r w:rsidRPr="00FD37F2">
              <w:rPr>
                <w:sz w:val="18"/>
                <w:szCs w:val="18"/>
              </w:rPr>
              <w:t xml:space="preserve">, and participation rates by age group can be fixed by assumption.  However, total population and labor force can also be </w:t>
            </w:r>
            <w:r>
              <w:rPr>
                <w:sz w:val="18"/>
                <w:szCs w:val="18"/>
              </w:rPr>
              <w:t>set exogenously</w:t>
            </w:r>
            <w:r w:rsidRPr="00FD37F2">
              <w:rPr>
                <w:sz w:val="18"/>
                <w:szCs w:val="18"/>
              </w:rPr>
              <w:t>.</w:t>
            </w:r>
          </w:p>
        </w:tc>
      </w:tr>
      <w:tr w:rsidR="00FD37F2" w:rsidTr="00FD37F2">
        <w:tc>
          <w:tcPr>
            <w:tcW w:w="2628" w:type="dxa"/>
          </w:tcPr>
          <w:p w:rsidR="00FD37F2" w:rsidRPr="00FD37F2" w:rsidRDefault="00FD37F2" w:rsidP="00FD37F2">
            <w:pPr>
              <w:rPr>
                <w:i/>
                <w:iCs/>
                <w:sz w:val="18"/>
                <w:szCs w:val="18"/>
              </w:rPr>
            </w:pPr>
            <w:r w:rsidRPr="00FD37F2">
              <w:rPr>
                <w:i/>
                <w:iCs/>
                <w:sz w:val="18"/>
                <w:szCs w:val="18"/>
              </w:rPr>
              <w:t>Government spending</w:t>
            </w:r>
          </w:p>
        </w:tc>
        <w:tc>
          <w:tcPr>
            <w:tcW w:w="6228" w:type="dxa"/>
          </w:tcPr>
          <w:p w:rsidR="00FD37F2" w:rsidRPr="00FD37F2" w:rsidRDefault="00FD37F2" w:rsidP="00A527CA">
            <w:pPr>
              <w:jc w:val="both"/>
              <w:rPr>
                <w:sz w:val="18"/>
                <w:szCs w:val="18"/>
              </w:rPr>
            </w:pPr>
            <w:r w:rsidRPr="00FD37F2">
              <w:rPr>
                <w:sz w:val="18"/>
                <w:szCs w:val="18"/>
              </w:rPr>
              <w:t xml:space="preserve">Government spending in LIFT is composed of many small </w:t>
            </w:r>
            <w:r>
              <w:rPr>
                <w:sz w:val="18"/>
                <w:szCs w:val="18"/>
              </w:rPr>
              <w:t>components</w:t>
            </w:r>
            <w:r w:rsidRPr="00FD37F2">
              <w:rPr>
                <w:sz w:val="18"/>
                <w:szCs w:val="18"/>
              </w:rPr>
              <w:t xml:space="preserve">, </w:t>
            </w:r>
            <w:r>
              <w:rPr>
                <w:sz w:val="18"/>
                <w:szCs w:val="18"/>
              </w:rPr>
              <w:t xml:space="preserve">which are adjusted to </w:t>
            </w:r>
            <w:r w:rsidR="00A527CA">
              <w:rPr>
                <w:sz w:val="18"/>
                <w:szCs w:val="18"/>
              </w:rPr>
              <w:t xml:space="preserve">calibrate </w:t>
            </w:r>
            <w:r>
              <w:rPr>
                <w:sz w:val="18"/>
                <w:szCs w:val="18"/>
              </w:rPr>
              <w:t>to the total government spending</w:t>
            </w:r>
            <w:r w:rsidRPr="00FD37F2">
              <w:rPr>
                <w:sz w:val="18"/>
                <w:szCs w:val="18"/>
              </w:rPr>
              <w:t xml:space="preserve"> shown in the AEO.</w:t>
            </w:r>
          </w:p>
        </w:tc>
      </w:tr>
      <w:tr w:rsidR="00FD37F2" w:rsidTr="00FD37F2">
        <w:tc>
          <w:tcPr>
            <w:tcW w:w="2628" w:type="dxa"/>
          </w:tcPr>
          <w:p w:rsidR="00FD37F2" w:rsidRPr="00FD37F2" w:rsidRDefault="00FD37F2" w:rsidP="00FD37F2">
            <w:pPr>
              <w:rPr>
                <w:i/>
                <w:iCs/>
                <w:sz w:val="18"/>
                <w:szCs w:val="18"/>
              </w:rPr>
            </w:pPr>
            <w:r w:rsidRPr="00FD37F2">
              <w:rPr>
                <w:i/>
                <w:iCs/>
                <w:sz w:val="18"/>
                <w:szCs w:val="18"/>
              </w:rPr>
              <w:t>Exports</w:t>
            </w:r>
          </w:p>
        </w:tc>
        <w:tc>
          <w:tcPr>
            <w:tcW w:w="6228" w:type="dxa"/>
          </w:tcPr>
          <w:p w:rsidR="00FD37F2" w:rsidRPr="00FD37F2" w:rsidRDefault="00FD37F2" w:rsidP="003B7299">
            <w:pPr>
              <w:jc w:val="both"/>
              <w:rPr>
                <w:sz w:val="18"/>
                <w:szCs w:val="18"/>
              </w:rPr>
            </w:pPr>
            <w:r>
              <w:rPr>
                <w:sz w:val="18"/>
                <w:szCs w:val="18"/>
              </w:rPr>
              <w:t>In</w:t>
            </w:r>
            <w:r w:rsidRPr="00FD37F2">
              <w:rPr>
                <w:sz w:val="18"/>
                <w:szCs w:val="18"/>
              </w:rPr>
              <w:t xml:space="preserve"> this study exports were endogenous.  In other words, the export equations based on forecasts of foreign demands and foreign competing export prices.  However, we applied add factors to exports to bring the total in line with the AEO.</w:t>
            </w:r>
          </w:p>
        </w:tc>
      </w:tr>
      <w:tr w:rsidR="00FD37F2" w:rsidTr="00FD37F2">
        <w:tc>
          <w:tcPr>
            <w:tcW w:w="2628" w:type="dxa"/>
          </w:tcPr>
          <w:p w:rsidR="00FD37F2" w:rsidRPr="00FD37F2" w:rsidRDefault="00FD37F2" w:rsidP="00FD37F2">
            <w:pPr>
              <w:rPr>
                <w:i/>
                <w:iCs/>
                <w:sz w:val="18"/>
                <w:szCs w:val="18"/>
              </w:rPr>
            </w:pPr>
            <w:r w:rsidRPr="00FD37F2">
              <w:rPr>
                <w:i/>
                <w:iCs/>
                <w:sz w:val="18"/>
                <w:szCs w:val="18"/>
              </w:rPr>
              <w:t>Crude oil price, natural gas price and coal price</w:t>
            </w:r>
          </w:p>
        </w:tc>
        <w:tc>
          <w:tcPr>
            <w:tcW w:w="6228" w:type="dxa"/>
          </w:tcPr>
          <w:p w:rsidR="00FD37F2" w:rsidRPr="00FD37F2" w:rsidRDefault="00FD37F2" w:rsidP="003B7299">
            <w:pPr>
              <w:jc w:val="both"/>
              <w:rPr>
                <w:sz w:val="18"/>
                <w:szCs w:val="18"/>
              </w:rPr>
            </w:pPr>
            <w:r w:rsidRPr="00FD37F2">
              <w:rPr>
                <w:sz w:val="18"/>
                <w:szCs w:val="18"/>
              </w:rPr>
              <w:t xml:space="preserve">The price in </w:t>
            </w:r>
            <w:r w:rsidRPr="00FD37F2">
              <w:rPr>
                <w:i/>
                <w:iCs/>
                <w:sz w:val="18"/>
                <w:szCs w:val="18"/>
              </w:rPr>
              <w:t>LIFT</w:t>
            </w:r>
            <w:r w:rsidRPr="00FD37F2">
              <w:rPr>
                <w:sz w:val="18"/>
                <w:szCs w:val="18"/>
              </w:rPr>
              <w:t xml:space="preserve"> is specified as a nominal price index.  AEO presents these prices in real terms, i.e., divided by the GDP deflator.  Once the path of the GDP deflator has settled down, this assumption can be fine-tuned.</w:t>
            </w:r>
          </w:p>
        </w:tc>
      </w:tr>
      <w:tr w:rsidR="00FD37F2" w:rsidTr="00FD37F2">
        <w:tc>
          <w:tcPr>
            <w:tcW w:w="2628" w:type="dxa"/>
          </w:tcPr>
          <w:p w:rsidR="00FD37F2" w:rsidRPr="00FD37F2" w:rsidRDefault="00FD37F2" w:rsidP="00FD37F2">
            <w:pPr>
              <w:rPr>
                <w:i/>
                <w:iCs/>
                <w:sz w:val="18"/>
                <w:szCs w:val="18"/>
              </w:rPr>
            </w:pPr>
            <w:r w:rsidRPr="00FD37F2">
              <w:rPr>
                <w:i/>
                <w:iCs/>
                <w:sz w:val="18"/>
                <w:szCs w:val="18"/>
              </w:rPr>
              <w:t>Personal consumption</w:t>
            </w:r>
          </w:p>
        </w:tc>
        <w:tc>
          <w:tcPr>
            <w:tcW w:w="6228" w:type="dxa"/>
          </w:tcPr>
          <w:p w:rsidR="00FD37F2" w:rsidRPr="00FD37F2" w:rsidRDefault="00FD37F2" w:rsidP="003B7299">
            <w:pPr>
              <w:jc w:val="both"/>
              <w:rPr>
                <w:sz w:val="18"/>
                <w:szCs w:val="18"/>
              </w:rPr>
            </w:pPr>
            <w:r w:rsidRPr="00FD37F2">
              <w:rPr>
                <w:sz w:val="18"/>
                <w:szCs w:val="18"/>
              </w:rPr>
              <w:t xml:space="preserve">The real personal consumption total can be specified exogenously to </w:t>
            </w:r>
            <w:r w:rsidRPr="00FD37F2">
              <w:rPr>
                <w:i/>
                <w:iCs/>
                <w:sz w:val="18"/>
                <w:szCs w:val="18"/>
              </w:rPr>
              <w:t>LIFT</w:t>
            </w:r>
            <w:r w:rsidRPr="00FD37F2">
              <w:rPr>
                <w:sz w:val="18"/>
                <w:szCs w:val="18"/>
              </w:rPr>
              <w:t>.  However, this takes away much of the model's behavioral responses.  So, while it may be helpful to fix total personal consumption at first, before we are done we need to take this as</w:t>
            </w:r>
            <w:r w:rsidR="00DA486E">
              <w:rPr>
                <w:sz w:val="18"/>
                <w:szCs w:val="18"/>
              </w:rPr>
              <w:t>s</w:t>
            </w:r>
            <w:r w:rsidRPr="00FD37F2">
              <w:rPr>
                <w:sz w:val="18"/>
                <w:szCs w:val="18"/>
              </w:rPr>
              <w:t>umption off, and guide personal consumption total to its target, through a combination of hitting the real disposable income target, and changing the personal savings rate.</w:t>
            </w:r>
          </w:p>
        </w:tc>
      </w:tr>
      <w:tr w:rsidR="00FD37F2" w:rsidTr="00FD37F2">
        <w:tc>
          <w:tcPr>
            <w:tcW w:w="2628" w:type="dxa"/>
          </w:tcPr>
          <w:p w:rsidR="00FD37F2" w:rsidRPr="00FD37F2" w:rsidRDefault="00FD37F2" w:rsidP="00FD37F2">
            <w:pPr>
              <w:rPr>
                <w:i/>
                <w:iCs/>
                <w:sz w:val="18"/>
                <w:szCs w:val="18"/>
              </w:rPr>
            </w:pPr>
            <w:r w:rsidRPr="00FD37F2">
              <w:rPr>
                <w:i/>
                <w:iCs/>
                <w:sz w:val="18"/>
                <w:szCs w:val="18"/>
              </w:rPr>
              <w:t>Investment</w:t>
            </w:r>
          </w:p>
        </w:tc>
        <w:tc>
          <w:tcPr>
            <w:tcW w:w="6228" w:type="dxa"/>
          </w:tcPr>
          <w:p w:rsidR="00FD37F2" w:rsidRPr="00FD37F2" w:rsidRDefault="00FD37F2" w:rsidP="003B7299">
            <w:pPr>
              <w:jc w:val="both"/>
              <w:rPr>
                <w:sz w:val="18"/>
                <w:szCs w:val="18"/>
              </w:rPr>
            </w:pPr>
            <w:r w:rsidRPr="00FD37F2">
              <w:rPr>
                <w:sz w:val="18"/>
                <w:szCs w:val="18"/>
              </w:rPr>
              <w:t xml:space="preserve">The AEO macro table only shows the total investment figure.  In </w:t>
            </w:r>
            <w:r w:rsidRPr="003E66EA">
              <w:rPr>
                <w:i/>
                <w:sz w:val="18"/>
                <w:szCs w:val="18"/>
              </w:rPr>
              <w:t>LIFT</w:t>
            </w:r>
            <w:r w:rsidRPr="00FD37F2">
              <w:rPr>
                <w:sz w:val="18"/>
                <w:szCs w:val="18"/>
              </w:rPr>
              <w:t xml:space="preserve"> this is the sum of equipment investment, residential structures investment and nonresidential structures investment.</w:t>
            </w:r>
          </w:p>
        </w:tc>
      </w:tr>
      <w:tr w:rsidR="00FD37F2" w:rsidTr="00FD37F2">
        <w:tc>
          <w:tcPr>
            <w:tcW w:w="2628" w:type="dxa"/>
          </w:tcPr>
          <w:p w:rsidR="00FD37F2" w:rsidRPr="00FD37F2" w:rsidRDefault="00FD37F2" w:rsidP="00FD37F2">
            <w:pPr>
              <w:rPr>
                <w:i/>
                <w:iCs/>
                <w:sz w:val="18"/>
                <w:szCs w:val="18"/>
              </w:rPr>
            </w:pPr>
            <w:r w:rsidRPr="00FD37F2">
              <w:rPr>
                <w:i/>
                <w:iCs/>
                <w:sz w:val="18"/>
                <w:szCs w:val="18"/>
              </w:rPr>
              <w:t>Total Imports</w:t>
            </w:r>
          </w:p>
        </w:tc>
        <w:tc>
          <w:tcPr>
            <w:tcW w:w="6228" w:type="dxa"/>
          </w:tcPr>
          <w:p w:rsidR="00FD37F2" w:rsidRPr="00FD37F2" w:rsidRDefault="00FD37F2" w:rsidP="003B7299">
            <w:pPr>
              <w:jc w:val="both"/>
              <w:rPr>
                <w:sz w:val="18"/>
                <w:szCs w:val="18"/>
              </w:rPr>
            </w:pPr>
            <w:r w:rsidRPr="00FD37F2">
              <w:rPr>
                <w:sz w:val="18"/>
                <w:szCs w:val="18"/>
              </w:rPr>
              <w:t xml:space="preserve">In </w:t>
            </w:r>
            <w:r w:rsidRPr="003E66EA">
              <w:rPr>
                <w:i/>
                <w:sz w:val="18"/>
                <w:szCs w:val="18"/>
              </w:rPr>
              <w:t>LIFT</w:t>
            </w:r>
            <w:r w:rsidRPr="00FD37F2">
              <w:rPr>
                <w:sz w:val="18"/>
                <w:szCs w:val="18"/>
              </w:rPr>
              <w:t>, imports are the sum of imports of about 90 commodities.  Individual equations relate these imports to domestic demand for that commodity, and relative domestic to foreign import prices.  Imports are calibrated to the AEO base through aggregate modifiers.</w:t>
            </w:r>
          </w:p>
        </w:tc>
      </w:tr>
      <w:tr w:rsidR="00FD37F2" w:rsidTr="00FD37F2">
        <w:tc>
          <w:tcPr>
            <w:tcW w:w="2628" w:type="dxa"/>
          </w:tcPr>
          <w:p w:rsidR="00FD37F2" w:rsidRPr="00A80AB3" w:rsidRDefault="00A80AB3" w:rsidP="00FD37F2">
            <w:pPr>
              <w:rPr>
                <w:i/>
                <w:iCs/>
                <w:sz w:val="18"/>
                <w:szCs w:val="18"/>
              </w:rPr>
            </w:pPr>
            <w:r w:rsidRPr="00A80AB3">
              <w:rPr>
                <w:i/>
                <w:iCs/>
                <w:sz w:val="18"/>
                <w:szCs w:val="18"/>
              </w:rPr>
              <w:t>Imports of Crude Oil</w:t>
            </w:r>
          </w:p>
        </w:tc>
        <w:tc>
          <w:tcPr>
            <w:tcW w:w="6228" w:type="dxa"/>
          </w:tcPr>
          <w:p w:rsidR="00FD37F2" w:rsidRPr="00A80AB3" w:rsidRDefault="00A80AB3" w:rsidP="003B7299">
            <w:pPr>
              <w:jc w:val="both"/>
              <w:rPr>
                <w:sz w:val="18"/>
                <w:szCs w:val="18"/>
              </w:rPr>
            </w:pPr>
            <w:r w:rsidRPr="00A80AB3">
              <w:rPr>
                <w:sz w:val="18"/>
                <w:szCs w:val="18"/>
              </w:rPr>
              <w:t>Imports can also be adjusted by targeting the import share of domestic demand.  This is often a useful method for calibrating imports of crude oil.  Given the domestic requirements for crude oil, the import share variable specifies the share of that demand that will be imported.</w:t>
            </w:r>
          </w:p>
        </w:tc>
      </w:tr>
      <w:tr w:rsidR="00FD37F2" w:rsidTr="00FD37F2">
        <w:tc>
          <w:tcPr>
            <w:tcW w:w="2628" w:type="dxa"/>
          </w:tcPr>
          <w:p w:rsidR="00FD37F2" w:rsidRPr="00A80AB3" w:rsidRDefault="00A80AB3" w:rsidP="00FD37F2">
            <w:pPr>
              <w:rPr>
                <w:i/>
                <w:iCs/>
                <w:sz w:val="18"/>
                <w:szCs w:val="18"/>
              </w:rPr>
            </w:pPr>
            <w:r w:rsidRPr="00A80AB3">
              <w:rPr>
                <w:i/>
                <w:iCs/>
                <w:sz w:val="18"/>
                <w:szCs w:val="18"/>
              </w:rPr>
              <w:t>Labor Productivity Growth</w:t>
            </w:r>
          </w:p>
        </w:tc>
        <w:tc>
          <w:tcPr>
            <w:tcW w:w="6228" w:type="dxa"/>
          </w:tcPr>
          <w:p w:rsidR="00FD37F2" w:rsidRPr="00A80AB3" w:rsidRDefault="00A80AB3" w:rsidP="003B7299">
            <w:pPr>
              <w:jc w:val="both"/>
              <w:rPr>
                <w:sz w:val="18"/>
                <w:szCs w:val="18"/>
              </w:rPr>
            </w:pPr>
            <w:r w:rsidRPr="00A80AB3">
              <w:rPr>
                <w:sz w:val="18"/>
                <w:szCs w:val="18"/>
              </w:rPr>
              <w:t>Aggregate labor productivity growth in LIFT is essentially a weighted average of productivity growth by industry.  The LIFT labor productivity equations are time trend equations with a cyclical component to model pro-cy</w:t>
            </w:r>
            <w:r w:rsidR="00DA486E">
              <w:rPr>
                <w:sz w:val="18"/>
                <w:szCs w:val="18"/>
              </w:rPr>
              <w:t>c</w:t>
            </w:r>
            <w:r w:rsidRPr="00A80AB3">
              <w:rPr>
                <w:sz w:val="18"/>
                <w:szCs w:val="18"/>
              </w:rPr>
              <w:t>lical labor productivity.</w:t>
            </w:r>
          </w:p>
        </w:tc>
      </w:tr>
      <w:tr w:rsidR="00FD37F2" w:rsidTr="00FD37F2">
        <w:tc>
          <w:tcPr>
            <w:tcW w:w="2628" w:type="dxa"/>
          </w:tcPr>
          <w:p w:rsidR="00FD37F2" w:rsidRPr="00A80AB3" w:rsidRDefault="00A80AB3" w:rsidP="00FD37F2">
            <w:pPr>
              <w:rPr>
                <w:i/>
                <w:iCs/>
                <w:sz w:val="18"/>
                <w:szCs w:val="18"/>
              </w:rPr>
            </w:pPr>
            <w:r w:rsidRPr="00A80AB3">
              <w:rPr>
                <w:i/>
                <w:iCs/>
                <w:sz w:val="18"/>
                <w:szCs w:val="18"/>
              </w:rPr>
              <w:t>Employment and Unemployment</w:t>
            </w:r>
          </w:p>
        </w:tc>
        <w:tc>
          <w:tcPr>
            <w:tcW w:w="6228" w:type="dxa"/>
          </w:tcPr>
          <w:p w:rsidR="00FD37F2" w:rsidRPr="00A80AB3" w:rsidRDefault="00A80AB3" w:rsidP="003B7299">
            <w:pPr>
              <w:jc w:val="both"/>
              <w:rPr>
                <w:sz w:val="18"/>
                <w:szCs w:val="18"/>
              </w:rPr>
            </w:pPr>
            <w:r w:rsidRPr="00A80AB3">
              <w:rPr>
                <w:sz w:val="18"/>
                <w:szCs w:val="18"/>
              </w:rPr>
              <w:t>Employment is also calculated in LIFT at the industry level, based on output, productivity, and average hours worked per employee.  Since employment and productivity trends are integrally related, it is useful to get the productivity targets in line first, and then make minor modifications to employment.  The aggregate unemployment rate can also be calibrated by altering the multiple job adjustment, which relates industry employment to household employment.</w:t>
            </w:r>
          </w:p>
        </w:tc>
      </w:tr>
      <w:tr w:rsidR="00FD37F2" w:rsidTr="00FD37F2">
        <w:tc>
          <w:tcPr>
            <w:tcW w:w="2628" w:type="dxa"/>
          </w:tcPr>
          <w:p w:rsidR="00FD37F2" w:rsidRPr="00A80AB3" w:rsidRDefault="00A80AB3" w:rsidP="00FD37F2">
            <w:pPr>
              <w:rPr>
                <w:i/>
                <w:iCs/>
                <w:sz w:val="18"/>
                <w:szCs w:val="18"/>
              </w:rPr>
            </w:pPr>
            <w:r w:rsidRPr="00A80AB3">
              <w:rPr>
                <w:i/>
                <w:iCs/>
                <w:sz w:val="18"/>
                <w:szCs w:val="18"/>
              </w:rPr>
              <w:t>Energy Consumption, Energy/GDP ratios</w:t>
            </w:r>
          </w:p>
        </w:tc>
        <w:tc>
          <w:tcPr>
            <w:tcW w:w="6228" w:type="dxa"/>
          </w:tcPr>
          <w:p w:rsidR="00FD37F2" w:rsidRPr="00A80AB3" w:rsidRDefault="00A80AB3" w:rsidP="00A527CA">
            <w:pPr>
              <w:jc w:val="both"/>
              <w:rPr>
                <w:sz w:val="18"/>
                <w:szCs w:val="18"/>
              </w:rPr>
            </w:pPr>
            <w:r w:rsidRPr="00A80AB3">
              <w:rPr>
                <w:sz w:val="18"/>
                <w:szCs w:val="18"/>
              </w:rPr>
              <w:t xml:space="preserve">Energy consumption can be traced in the </w:t>
            </w:r>
            <w:r w:rsidRPr="00A80AB3">
              <w:rPr>
                <w:i/>
                <w:iCs/>
                <w:sz w:val="18"/>
                <w:szCs w:val="18"/>
              </w:rPr>
              <w:t>LIFT</w:t>
            </w:r>
            <w:r w:rsidRPr="00A80AB3">
              <w:rPr>
                <w:sz w:val="18"/>
                <w:szCs w:val="18"/>
              </w:rPr>
              <w:t xml:space="preserve"> model at several different levels.  Energy consumed in final demand includes personal consumption of gasoline, heating oil, natural gas and electricity; government purchases of fuels and electricity, and energy consumed in building residential and nonresidential structures.  Energy flows in the intermediate demand part of the model include industrial consumption of energy for space heat and light, stationary power sources, transportation fuels, and electricity for many uses.  These flows also include the conversion of energy from one type to another, such as the refining of crude oil into petroleum products, and the generation of electricity from coal and other fuel sources.  The main objective when measuring energy use to GDP is </w:t>
            </w:r>
            <w:r w:rsidR="00A527CA">
              <w:rPr>
                <w:sz w:val="18"/>
                <w:szCs w:val="18"/>
              </w:rPr>
              <w:t>to prevent</w:t>
            </w:r>
            <w:r w:rsidRPr="00A80AB3">
              <w:rPr>
                <w:sz w:val="18"/>
                <w:szCs w:val="18"/>
              </w:rPr>
              <w:t xml:space="preserve"> double-count</w:t>
            </w:r>
            <w:r w:rsidR="00A527CA">
              <w:rPr>
                <w:sz w:val="18"/>
                <w:szCs w:val="18"/>
              </w:rPr>
              <w:t>ing</w:t>
            </w:r>
            <w:r w:rsidRPr="00A80AB3">
              <w:rPr>
                <w:sz w:val="18"/>
                <w:szCs w:val="18"/>
              </w:rPr>
              <w:t xml:space="preserve"> </w:t>
            </w:r>
            <w:r w:rsidR="00A527CA">
              <w:rPr>
                <w:sz w:val="18"/>
                <w:szCs w:val="18"/>
              </w:rPr>
              <w:t xml:space="preserve">and </w:t>
            </w:r>
            <w:r w:rsidRPr="00A80AB3">
              <w:rPr>
                <w:sz w:val="18"/>
                <w:szCs w:val="18"/>
              </w:rPr>
              <w:t>to measure only net flows of energy.</w:t>
            </w:r>
          </w:p>
        </w:tc>
      </w:tr>
      <w:tr w:rsidR="00FD37F2" w:rsidTr="00FD37F2">
        <w:tc>
          <w:tcPr>
            <w:tcW w:w="2628" w:type="dxa"/>
          </w:tcPr>
          <w:p w:rsidR="00FD37F2" w:rsidRPr="00A80AB3" w:rsidRDefault="00A80AB3" w:rsidP="00FD37F2">
            <w:pPr>
              <w:rPr>
                <w:i/>
                <w:iCs/>
                <w:sz w:val="18"/>
                <w:szCs w:val="18"/>
              </w:rPr>
            </w:pPr>
            <w:r w:rsidRPr="00A80AB3">
              <w:rPr>
                <w:i/>
                <w:iCs/>
                <w:sz w:val="18"/>
                <w:szCs w:val="18"/>
              </w:rPr>
              <w:t>Nominal and Real Disposable Income</w:t>
            </w:r>
          </w:p>
        </w:tc>
        <w:tc>
          <w:tcPr>
            <w:tcW w:w="6228" w:type="dxa"/>
          </w:tcPr>
          <w:p w:rsidR="00FD37F2" w:rsidRPr="00A80AB3" w:rsidRDefault="00A80AB3" w:rsidP="003B7299">
            <w:pPr>
              <w:jc w:val="both"/>
              <w:rPr>
                <w:sz w:val="18"/>
                <w:szCs w:val="18"/>
              </w:rPr>
            </w:pPr>
            <w:r w:rsidRPr="00A80AB3">
              <w:rPr>
                <w:sz w:val="18"/>
                <w:szCs w:val="18"/>
              </w:rPr>
              <w:t xml:space="preserve">The AEO shows a projection for real disposable income only.  Real disposable income in </w:t>
            </w:r>
            <w:r w:rsidRPr="00A80AB3">
              <w:rPr>
                <w:i/>
                <w:iCs/>
                <w:sz w:val="18"/>
                <w:szCs w:val="18"/>
              </w:rPr>
              <w:t>LIFT</w:t>
            </w:r>
            <w:r w:rsidRPr="00A80AB3">
              <w:rPr>
                <w:sz w:val="18"/>
                <w:szCs w:val="18"/>
              </w:rPr>
              <w:t xml:space="preserve"> is determined by first building up personal income from its pieces (labor compensation, dividends, net interest, proprietors’ income, transfer payments, etc.) and then removing personal taxes to obtain nominal disposable income.  Nominal disposable income is then divided by the aggregate consumption deflator to obtain real disposable income.  To calibrate real disposable income, we </w:t>
            </w:r>
            <w:r w:rsidRPr="00A80AB3">
              <w:rPr>
                <w:sz w:val="18"/>
                <w:szCs w:val="18"/>
              </w:rPr>
              <w:lastRenderedPageBreak/>
              <w:t>need to adjust components of personal income and the personal tax rate.</w:t>
            </w:r>
          </w:p>
        </w:tc>
      </w:tr>
      <w:tr w:rsidR="00FD37F2" w:rsidTr="00FD37F2">
        <w:tc>
          <w:tcPr>
            <w:tcW w:w="2628" w:type="dxa"/>
          </w:tcPr>
          <w:p w:rsidR="00FD37F2" w:rsidRPr="00A80AB3" w:rsidRDefault="00A80AB3" w:rsidP="00FD37F2">
            <w:pPr>
              <w:rPr>
                <w:i/>
                <w:iCs/>
                <w:sz w:val="18"/>
                <w:szCs w:val="18"/>
              </w:rPr>
            </w:pPr>
            <w:r w:rsidRPr="00A80AB3">
              <w:rPr>
                <w:i/>
                <w:iCs/>
                <w:sz w:val="18"/>
                <w:szCs w:val="18"/>
              </w:rPr>
              <w:lastRenderedPageBreak/>
              <w:t>GDP Price Level and Inflation</w:t>
            </w:r>
          </w:p>
        </w:tc>
        <w:tc>
          <w:tcPr>
            <w:tcW w:w="6228" w:type="dxa"/>
          </w:tcPr>
          <w:p w:rsidR="00FD37F2" w:rsidRPr="00A80AB3" w:rsidRDefault="00A80AB3" w:rsidP="003B7299">
            <w:pPr>
              <w:jc w:val="both"/>
              <w:rPr>
                <w:sz w:val="18"/>
                <w:szCs w:val="18"/>
              </w:rPr>
            </w:pPr>
            <w:r w:rsidRPr="00A80AB3">
              <w:rPr>
                <w:sz w:val="18"/>
                <w:szCs w:val="18"/>
              </w:rPr>
              <w:t>The aggregate GDP price level in LIFT is determined as a combination of all commodity prices, including of course exogenous prices such as those for crude oil and coal.  These prices are used to calculate final demand in current prices.  The sum of all final demands equals GDP, and the price level is obtained simply by dividing nominal GDP by real GDP.  We define inflation in LIFT as the first difference in logarithms of the GDP deflator, multiplied by 100.</w:t>
            </w:r>
            <w:r>
              <w:t xml:space="preserve"> </w:t>
            </w:r>
            <w:r w:rsidRPr="00A80AB3">
              <w:rPr>
                <w:sz w:val="18"/>
                <w:szCs w:val="18"/>
              </w:rPr>
              <w:t xml:space="preserve">To target, or calibrate an inflation rate such as </w:t>
            </w:r>
            <w:r w:rsidR="00A527CA">
              <w:rPr>
                <w:sz w:val="18"/>
                <w:szCs w:val="18"/>
              </w:rPr>
              <w:t xml:space="preserve">in </w:t>
            </w:r>
            <w:r w:rsidRPr="00A80AB3">
              <w:rPr>
                <w:sz w:val="18"/>
                <w:szCs w:val="18"/>
              </w:rPr>
              <w:t>AEO, adjustments are made to the forecasts of several categories of value added by industry.</w:t>
            </w:r>
          </w:p>
        </w:tc>
      </w:tr>
    </w:tbl>
    <w:p w:rsidR="00FD37F2" w:rsidRDefault="00FD37F2" w:rsidP="00FD37F2"/>
    <w:p w:rsidR="005242DC" w:rsidRDefault="005242DC" w:rsidP="003B7299">
      <w:pPr>
        <w:pStyle w:val="PlainText"/>
        <w:spacing w:after="120"/>
        <w:jc w:val="both"/>
        <w:rPr>
          <w:rFonts w:ascii="Times New Roman" w:hAnsi="Times New Roman" w:cs="Times New Roman"/>
          <w:sz w:val="24"/>
          <w:szCs w:val="24"/>
        </w:rPr>
      </w:pPr>
      <w:r>
        <w:rPr>
          <w:rFonts w:ascii="Times New Roman" w:hAnsi="Times New Roman" w:cs="Times New Roman"/>
          <w:sz w:val="24"/>
          <w:szCs w:val="24"/>
        </w:rPr>
        <w:t xml:space="preserve">Energy consumption by sector and by source is calibrated by mapping major sectors of the NEMS/AEO framework to industries and final demands in </w:t>
      </w:r>
      <w:r w:rsidRPr="00473ACC">
        <w:rPr>
          <w:rFonts w:ascii="Times New Roman" w:hAnsi="Times New Roman" w:cs="Times New Roman"/>
          <w:i/>
          <w:iCs/>
          <w:sz w:val="24"/>
          <w:szCs w:val="24"/>
        </w:rPr>
        <w:t>LIFT</w:t>
      </w:r>
      <w:r>
        <w:rPr>
          <w:rFonts w:ascii="Times New Roman" w:hAnsi="Times New Roman" w:cs="Times New Roman"/>
          <w:sz w:val="24"/>
          <w:szCs w:val="24"/>
        </w:rPr>
        <w:t>.  For example, the NEMS Industrial sector includes industries 1 to 58 in LIFT.  The NEMS Commercial sector includes industries 65, 6</w:t>
      </w:r>
      <w:r w:rsidR="009D47E6">
        <w:rPr>
          <w:rFonts w:ascii="Times New Roman" w:hAnsi="Times New Roman" w:cs="Times New Roman"/>
          <w:sz w:val="24"/>
          <w:szCs w:val="24"/>
        </w:rPr>
        <w:t>8</w:t>
      </w:r>
      <w:r>
        <w:rPr>
          <w:rFonts w:ascii="Times New Roman" w:hAnsi="Times New Roman" w:cs="Times New Roman"/>
          <w:sz w:val="24"/>
          <w:szCs w:val="24"/>
        </w:rPr>
        <w:t xml:space="preserve"> to 88 plus government.  The Residential sector corresponds to personal consumption expenditures for electricity, natural gas and heating oil.  The Transportation sector maps to </w:t>
      </w:r>
      <w:r w:rsidRPr="00473ACC">
        <w:rPr>
          <w:rFonts w:ascii="Times New Roman" w:hAnsi="Times New Roman" w:cs="Times New Roman"/>
          <w:i/>
          <w:iCs/>
          <w:sz w:val="24"/>
          <w:szCs w:val="24"/>
        </w:rPr>
        <w:t>LIFT</w:t>
      </w:r>
      <w:r>
        <w:rPr>
          <w:rFonts w:ascii="Times New Roman" w:hAnsi="Times New Roman" w:cs="Times New Roman"/>
          <w:sz w:val="24"/>
          <w:szCs w:val="24"/>
        </w:rPr>
        <w:t xml:space="preserve"> sectors 59 to 64 for commercial transportation activities, and to personal consumption of gasoline and oil for personal consumption.</w:t>
      </w:r>
      <w:r w:rsidR="009D47E6">
        <w:rPr>
          <w:rFonts w:ascii="Times New Roman" w:hAnsi="Times New Roman" w:cs="Times New Roman"/>
          <w:sz w:val="24"/>
          <w:szCs w:val="24"/>
        </w:rPr>
        <w:t xml:space="preserve">  Sectors 66 and 67 are electric utilities and natural gas utilities, respectively.</w:t>
      </w:r>
    </w:p>
    <w:p w:rsidR="005242DC" w:rsidRDefault="005242DC" w:rsidP="003B7299">
      <w:pPr>
        <w:pStyle w:val="PlainText"/>
        <w:spacing w:after="120"/>
        <w:jc w:val="both"/>
        <w:rPr>
          <w:rFonts w:ascii="Times New Roman" w:hAnsi="Times New Roman" w:cs="Times New Roman"/>
          <w:sz w:val="24"/>
          <w:szCs w:val="24"/>
        </w:rPr>
      </w:pPr>
      <w:r>
        <w:rPr>
          <w:rFonts w:ascii="Times New Roman" w:hAnsi="Times New Roman" w:cs="Times New Roman"/>
          <w:sz w:val="24"/>
          <w:szCs w:val="24"/>
        </w:rPr>
        <w:t xml:space="preserve">Energy consumption by business is represented in </w:t>
      </w:r>
      <w:r w:rsidRPr="00473ACC">
        <w:rPr>
          <w:rFonts w:ascii="Times New Roman" w:hAnsi="Times New Roman" w:cs="Times New Roman"/>
          <w:i/>
          <w:iCs/>
          <w:sz w:val="24"/>
          <w:szCs w:val="24"/>
        </w:rPr>
        <w:t>LIFT</w:t>
      </w:r>
      <w:r>
        <w:rPr>
          <w:rFonts w:ascii="Times New Roman" w:hAnsi="Times New Roman" w:cs="Times New Roman"/>
          <w:sz w:val="24"/>
          <w:szCs w:val="24"/>
        </w:rPr>
        <w:t xml:space="preserve"> in the intermediate sales block of the model.  This consumption is calibrated by adjusting IO coefficients of energy products to </w:t>
      </w:r>
      <w:r w:rsidR="00DA486E">
        <w:rPr>
          <w:rFonts w:ascii="Times New Roman" w:hAnsi="Times New Roman" w:cs="Times New Roman"/>
          <w:sz w:val="24"/>
          <w:szCs w:val="24"/>
        </w:rPr>
        <w:t>energy-consuming</w:t>
      </w:r>
      <w:r>
        <w:rPr>
          <w:rFonts w:ascii="Times New Roman" w:hAnsi="Times New Roman" w:cs="Times New Roman"/>
          <w:sz w:val="24"/>
          <w:szCs w:val="24"/>
        </w:rPr>
        <w:t xml:space="preserve"> industries, so that the total energy consumption by sector in real terms grows at the same rate as the energy consumption in AEO.  For the personal consumption sector, which includes household energy use, and fuel for personal vehicles, a multiplicative factor i</w:t>
      </w:r>
      <w:r w:rsidR="00DA486E">
        <w:rPr>
          <w:rFonts w:ascii="Times New Roman" w:hAnsi="Times New Roman" w:cs="Times New Roman"/>
          <w:sz w:val="24"/>
          <w:szCs w:val="24"/>
        </w:rPr>
        <w:t>s applied to the personal consu</w:t>
      </w:r>
      <w:r>
        <w:rPr>
          <w:rFonts w:ascii="Times New Roman" w:hAnsi="Times New Roman" w:cs="Times New Roman"/>
          <w:sz w:val="24"/>
          <w:szCs w:val="24"/>
        </w:rPr>
        <w:t xml:space="preserve">mption equation in </w:t>
      </w:r>
      <w:r w:rsidRPr="00473ACC">
        <w:rPr>
          <w:rFonts w:ascii="Times New Roman" w:hAnsi="Times New Roman" w:cs="Times New Roman"/>
          <w:i/>
          <w:iCs/>
          <w:sz w:val="24"/>
          <w:szCs w:val="24"/>
        </w:rPr>
        <w:t>LIFT</w:t>
      </w:r>
      <w:r>
        <w:rPr>
          <w:rFonts w:ascii="Times New Roman" w:hAnsi="Times New Roman" w:cs="Times New Roman"/>
          <w:sz w:val="24"/>
          <w:szCs w:val="24"/>
        </w:rPr>
        <w:t xml:space="preserve"> to match the AEO growth rate.</w:t>
      </w:r>
    </w:p>
    <w:p w:rsidR="005242DC" w:rsidRDefault="005242DC" w:rsidP="003B7299">
      <w:pPr>
        <w:pStyle w:val="PlainText"/>
        <w:spacing w:after="120"/>
        <w:jc w:val="both"/>
        <w:rPr>
          <w:rFonts w:ascii="Times New Roman" w:hAnsi="Times New Roman" w:cs="Times New Roman"/>
          <w:sz w:val="24"/>
          <w:szCs w:val="24"/>
        </w:rPr>
      </w:pPr>
      <w:r>
        <w:rPr>
          <w:rFonts w:ascii="Times New Roman" w:hAnsi="Times New Roman" w:cs="Times New Roman"/>
          <w:sz w:val="24"/>
          <w:szCs w:val="24"/>
        </w:rPr>
        <w:t xml:space="preserve">The electricity generation model is calibrated by first fixing the shares or levels of electricity generation by type (coal, gas, nuclear, etc.).  The model can also be adjusted to model increased efficiency of generation from fuels (electricity produced from a unit of coal).  The demand for fuels and other inputs </w:t>
      </w:r>
      <w:r w:rsidR="00A527CA">
        <w:rPr>
          <w:rFonts w:ascii="Times New Roman" w:hAnsi="Times New Roman" w:cs="Times New Roman"/>
          <w:sz w:val="24"/>
          <w:szCs w:val="24"/>
        </w:rPr>
        <w:t xml:space="preserve">to </w:t>
      </w:r>
      <w:r>
        <w:rPr>
          <w:rFonts w:ascii="Times New Roman" w:hAnsi="Times New Roman" w:cs="Times New Roman"/>
          <w:sz w:val="24"/>
          <w:szCs w:val="24"/>
        </w:rPr>
        <w:t xml:space="preserve">the electric power industry is then determined as a weighted sum of the inputs from the </w:t>
      </w:r>
      <w:r w:rsidR="00A527CA">
        <w:rPr>
          <w:rFonts w:ascii="Times New Roman" w:hAnsi="Times New Roman" w:cs="Times New Roman"/>
          <w:sz w:val="24"/>
          <w:szCs w:val="24"/>
        </w:rPr>
        <w:t>eight</w:t>
      </w:r>
      <w:r>
        <w:rPr>
          <w:rFonts w:ascii="Times New Roman" w:hAnsi="Times New Roman" w:cs="Times New Roman"/>
          <w:sz w:val="24"/>
          <w:szCs w:val="24"/>
        </w:rPr>
        <w:t xml:space="preserve"> types of power generation, to determine coal, gas and petroleum requirements.</w:t>
      </w:r>
    </w:p>
    <w:p w:rsidR="00D90CC8" w:rsidRDefault="00D90CC8">
      <w:pPr>
        <w:rPr>
          <w:i/>
          <w:iCs/>
        </w:rPr>
      </w:pPr>
    </w:p>
    <w:p w:rsidR="00D90CC8" w:rsidRDefault="00D90CC8" w:rsidP="00D866AA">
      <w:pPr>
        <w:rPr>
          <w:i/>
          <w:iCs/>
        </w:rPr>
      </w:pPr>
      <w:r w:rsidRPr="00D90CC8">
        <w:rPr>
          <w:i/>
          <w:iCs/>
        </w:rPr>
        <w:t>The Main Assumptions</w:t>
      </w:r>
      <w:r w:rsidR="001A71E9">
        <w:rPr>
          <w:i/>
          <w:iCs/>
        </w:rPr>
        <w:t xml:space="preserve"> </w:t>
      </w:r>
      <w:r w:rsidR="00D866AA">
        <w:rPr>
          <w:i/>
          <w:iCs/>
        </w:rPr>
        <w:t>for the</w:t>
      </w:r>
      <w:r w:rsidRPr="00D90CC8">
        <w:rPr>
          <w:i/>
          <w:iCs/>
        </w:rPr>
        <w:t xml:space="preserve"> Modeling </w:t>
      </w:r>
      <w:r w:rsidR="00D866AA">
        <w:rPr>
          <w:i/>
          <w:iCs/>
        </w:rPr>
        <w:t xml:space="preserve">of </w:t>
      </w:r>
      <w:r w:rsidR="00473ACC">
        <w:rPr>
          <w:i/>
          <w:iCs/>
        </w:rPr>
        <w:t>Waxman-Markey</w:t>
      </w:r>
    </w:p>
    <w:p w:rsidR="005242DC" w:rsidRPr="005242DC" w:rsidRDefault="005242DC" w:rsidP="003B7299">
      <w:pPr>
        <w:jc w:val="both"/>
      </w:pPr>
      <w:r>
        <w:t xml:space="preserve">The Waxman-Markey scenario was developed by starting with the AEO 2009 calibrated baseline, and then incrementally changing existing assumptions or adding new assumptions.  </w:t>
      </w:r>
      <w:r w:rsidR="00A527CA">
        <w:t xml:space="preserve">Working with Brookhaven National Laboratory, we used BNL-MARKAL projections of carbon emission allowance prices, electricity generation shares, </w:t>
      </w:r>
      <w:r w:rsidR="00642203">
        <w:t xml:space="preserve">and </w:t>
      </w:r>
      <w:r w:rsidR="003B0C98">
        <w:t xml:space="preserve">efficiency </w:t>
      </w:r>
      <w:r w:rsidR="00642203">
        <w:t xml:space="preserve">responses in residential, commercial and industrial energy consumption.  Assumptions about the total number of carbon credits issued, </w:t>
      </w:r>
      <w:r w:rsidR="00A527CA">
        <w:t>domestic</w:t>
      </w:r>
      <w:r w:rsidR="00642203">
        <w:t xml:space="preserve"> offsets</w:t>
      </w:r>
      <w:r w:rsidR="00A527CA">
        <w:t>, and banking of allowances under the Waxman-Markey scenario</w:t>
      </w:r>
      <w:r w:rsidR="00642203">
        <w:t xml:space="preserve"> were taken from a previous study</w:t>
      </w:r>
      <w:r w:rsidR="00565F54">
        <w:rPr>
          <w:rStyle w:val="FootnoteReference"/>
        </w:rPr>
        <w:footnoteReference w:id="11"/>
      </w:r>
      <w:r w:rsidR="00A527CA">
        <w:t xml:space="preserve">.  </w:t>
      </w:r>
      <w:r>
        <w:t>These assumptions are described below.</w:t>
      </w:r>
    </w:p>
    <w:p w:rsidR="009F6EAA" w:rsidRDefault="00D90CC8" w:rsidP="003B7299">
      <w:pPr>
        <w:jc w:val="both"/>
      </w:pPr>
      <w:r w:rsidRPr="005242DC">
        <w:rPr>
          <w:b/>
          <w:bCs/>
        </w:rPr>
        <w:lastRenderedPageBreak/>
        <w:t>Carbon allowance price</w:t>
      </w:r>
      <w:r w:rsidR="005242DC">
        <w:t xml:space="preserve">.  The </w:t>
      </w:r>
      <w:r w:rsidR="005242DC" w:rsidRPr="00473ACC">
        <w:rPr>
          <w:i/>
          <w:iCs/>
        </w:rPr>
        <w:t>LIFT</w:t>
      </w:r>
      <w:r w:rsidR="005242DC">
        <w:t xml:space="preserve"> model does not solve for the equilibrium carbon price.  However, an exogenously derived price can be input as an assumption, and the price effects on energy sectors and energy-intensive sectors can be determined.  Table 1 shows the assumed carbon price for selected years, in real and nominal terms.</w:t>
      </w:r>
      <w:r w:rsidR="00C51C48">
        <w:rPr>
          <w:rStyle w:val="FootnoteReference"/>
        </w:rPr>
        <w:footnoteReference w:id="12"/>
      </w:r>
      <w:r w:rsidR="00A85A00">
        <w:t xml:space="preserve">  </w:t>
      </w:r>
    </w:p>
    <w:p w:rsidR="009F6EAA" w:rsidRPr="009F6EAA" w:rsidRDefault="006D7839" w:rsidP="005242DC">
      <w:r>
        <w:rPr>
          <w:noProof/>
        </w:rPr>
        <w:drawing>
          <wp:inline distT="0" distB="0" distL="0" distR="0">
            <wp:extent cx="3865880" cy="127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865880" cy="1270000"/>
                    </a:xfrm>
                    <a:prstGeom prst="rect">
                      <a:avLst/>
                    </a:prstGeom>
                    <a:noFill/>
                    <a:ln w="9525">
                      <a:noFill/>
                      <a:miter lim="800000"/>
                      <a:headEnd/>
                      <a:tailEnd/>
                    </a:ln>
                  </pic:spPr>
                </pic:pic>
              </a:graphicData>
            </a:graphic>
          </wp:inline>
        </w:drawing>
      </w:r>
    </w:p>
    <w:p w:rsidR="005242DC" w:rsidRDefault="005242DC" w:rsidP="005242DC"/>
    <w:p w:rsidR="00A85A00" w:rsidRDefault="00A85A00" w:rsidP="005242DC">
      <w:pPr>
        <w:rPr>
          <w:b/>
          <w:bCs/>
        </w:rPr>
      </w:pPr>
    </w:p>
    <w:p w:rsidR="00A85A00" w:rsidRDefault="00A85A00" w:rsidP="005242DC">
      <w:pPr>
        <w:rPr>
          <w:b/>
          <w:bCs/>
        </w:rPr>
      </w:pPr>
      <w:r>
        <w:rPr>
          <w:b/>
          <w:bCs/>
        </w:rPr>
        <w:t>C</w:t>
      </w:r>
      <w:r w:rsidR="00D35CD5">
        <w:rPr>
          <w:b/>
          <w:bCs/>
        </w:rPr>
        <w:t>hanges in energy prices</w:t>
      </w:r>
    </w:p>
    <w:p w:rsidR="00C51C48" w:rsidRDefault="00C51C48" w:rsidP="003B7299">
      <w:pPr>
        <w:jc w:val="both"/>
      </w:pPr>
      <w:r>
        <w:t>In order to avoid double-counting, the carbon tax was assumed to apply to domestic and imported natural gas, coal and refined petroleum products</w:t>
      </w:r>
      <w:r w:rsidR="009D47E6">
        <w:t xml:space="preserve">.  It was not applied to electricity, but </w:t>
      </w:r>
      <w:r>
        <w:t>electricity price rises due to the higher cost of fossil fuel inputs.</w:t>
      </w:r>
      <w:r>
        <w:rPr>
          <w:rStyle w:val="FootnoteReference"/>
        </w:rPr>
        <w:footnoteReference w:id="13"/>
      </w:r>
      <w:r>
        <w:t xml:space="preserve">  We leave the price of crude equal to that in the AEO 2009 base case.</w:t>
      </w:r>
    </w:p>
    <w:p w:rsidR="00C51C48" w:rsidRDefault="00C51C48" w:rsidP="00C51C48">
      <w:r>
        <w:t>In the Inforum model, prices satisfy the IO price identity:</w:t>
      </w:r>
    </w:p>
    <w:p w:rsidR="00C51C48" w:rsidRPr="00875AC0" w:rsidRDefault="00C51C48" w:rsidP="00C51C48">
      <w:pPr>
        <w:ind w:firstLine="720"/>
      </w:pPr>
      <w:r w:rsidRPr="0069120F">
        <w:rPr>
          <w:position w:val="-12"/>
        </w:rPr>
        <w:object w:dxaOrig="2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8pt;height:18pt" o:ole="">
            <v:imagedata r:id="rId11" o:title=""/>
          </v:shape>
          <o:OLEObject Type="Embed" ProgID="Equation.3" ShapeID="_x0000_i1025" DrawAspect="Content" ObjectID="_1365588342" r:id="rId12"/>
        </w:object>
      </w:r>
    </w:p>
    <w:p w:rsidR="00C51C48" w:rsidRDefault="00C51C48" w:rsidP="00C51C48">
      <w:pPr>
        <w:spacing w:after="0"/>
      </w:pPr>
      <w:r>
        <w:t xml:space="preserve">where </w:t>
      </w:r>
      <w:r>
        <w:tab/>
      </w:r>
      <w:r>
        <w:tab/>
      </w:r>
      <w:r w:rsidRPr="0069120F">
        <w:rPr>
          <w:position w:val="-12"/>
        </w:rPr>
        <w:object w:dxaOrig="320" w:dyaOrig="360">
          <v:shape id="_x0000_i1026" type="#_x0000_t75" style="width:15.6pt;height:18pt" o:ole="">
            <v:imagedata r:id="rId13" o:title=""/>
          </v:shape>
          <o:OLEObject Type="Embed" ProgID="Equation.3" ShapeID="_x0000_i1026" DrawAspect="Content" ObjectID="_1365588343" r:id="rId14"/>
        </w:object>
      </w:r>
      <w:r>
        <w:t>= the domestic output price vector</w:t>
      </w:r>
    </w:p>
    <w:p w:rsidR="00C51C48" w:rsidRDefault="00C51C48" w:rsidP="00C51C48">
      <w:pPr>
        <w:spacing w:after="0"/>
      </w:pPr>
      <w:r>
        <w:tab/>
      </w:r>
      <w:r>
        <w:tab/>
      </w:r>
      <w:r w:rsidRPr="0069120F">
        <w:rPr>
          <w:position w:val="-12"/>
        </w:rPr>
        <w:object w:dxaOrig="340" w:dyaOrig="360">
          <v:shape id="_x0000_i1027" type="#_x0000_t75" style="width:16.8pt;height:18pt" o:ole="">
            <v:imagedata r:id="rId15" o:title=""/>
          </v:shape>
          <o:OLEObject Type="Embed" ProgID="Equation.3" ShapeID="_x0000_i1027" DrawAspect="Content" ObjectID="_1365588344" r:id="rId16"/>
        </w:object>
      </w:r>
      <w:r>
        <w:t>= the import price vector</w:t>
      </w:r>
    </w:p>
    <w:p w:rsidR="00C51C48" w:rsidRDefault="00C51C48" w:rsidP="00C51C48">
      <w:pPr>
        <w:spacing w:after="0"/>
      </w:pPr>
      <w:r>
        <w:tab/>
      </w:r>
      <w:r>
        <w:tab/>
      </w:r>
      <w:r w:rsidRPr="0069120F">
        <w:rPr>
          <w:position w:val="-12"/>
        </w:rPr>
        <w:object w:dxaOrig="320" w:dyaOrig="360">
          <v:shape id="_x0000_i1028" type="#_x0000_t75" style="width:15.6pt;height:18pt" o:ole="">
            <v:imagedata r:id="rId17" o:title=""/>
          </v:shape>
          <o:OLEObject Type="Embed" ProgID="Equation.3" ShapeID="_x0000_i1028" DrawAspect="Content" ObjectID="_1365588345" r:id="rId18"/>
        </w:object>
      </w:r>
      <w:r>
        <w:t>= the direct requirements matrix of domestic requirements</w:t>
      </w:r>
    </w:p>
    <w:p w:rsidR="00C51C48" w:rsidRDefault="00C51C48" w:rsidP="00C51C48">
      <w:pPr>
        <w:spacing w:after="0"/>
      </w:pPr>
      <w:r>
        <w:tab/>
      </w:r>
      <w:r>
        <w:tab/>
      </w:r>
      <w:r w:rsidRPr="0069120F">
        <w:rPr>
          <w:position w:val="-12"/>
        </w:rPr>
        <w:object w:dxaOrig="320" w:dyaOrig="360">
          <v:shape id="_x0000_i1029" type="#_x0000_t75" style="width:15.6pt;height:18pt" o:ole="">
            <v:imagedata r:id="rId19" o:title=""/>
          </v:shape>
          <o:OLEObject Type="Embed" ProgID="Equation.3" ShapeID="_x0000_i1029" DrawAspect="Content" ObjectID="_1365588346" r:id="rId20"/>
        </w:object>
      </w:r>
      <w:r>
        <w:t>= the direct requirements matrix of import requirements</w:t>
      </w:r>
    </w:p>
    <w:p w:rsidR="00C51C48" w:rsidRDefault="00C51C48" w:rsidP="00C51C48">
      <w:pPr>
        <w:spacing w:after="0"/>
        <w:rPr>
          <w:i/>
          <w:iCs/>
        </w:rPr>
      </w:pPr>
      <w:r>
        <w:tab/>
      </w:r>
      <w:r>
        <w:tab/>
      </w:r>
      <w:r w:rsidRPr="00206AD0">
        <w:rPr>
          <w:position w:val="-6"/>
        </w:rPr>
        <w:object w:dxaOrig="180" w:dyaOrig="220">
          <v:shape id="_x0000_i1030" type="#_x0000_t75" style="width:8.4pt;height:10.8pt" o:ole="">
            <v:imagedata r:id="rId21" o:title=""/>
          </v:shape>
          <o:OLEObject Type="Embed" ProgID="Equation.3" ShapeID="_x0000_i1030" DrawAspect="Content" ObjectID="_1365588347" r:id="rId22"/>
        </w:object>
      </w:r>
      <w:r>
        <w:t xml:space="preserve"> = nominal value added per unit of real output </w:t>
      </w:r>
      <w:r>
        <w:rPr>
          <w:i/>
          <w:iCs/>
        </w:rPr>
        <w:t>q</w:t>
      </w:r>
    </w:p>
    <w:p w:rsidR="00C51C48" w:rsidRDefault="00C51C48" w:rsidP="00C51C48">
      <w:pPr>
        <w:spacing w:after="0"/>
      </w:pPr>
    </w:p>
    <w:p w:rsidR="00C51C48" w:rsidRDefault="00C51C48" w:rsidP="003B7299">
      <w:pPr>
        <w:jc w:val="both"/>
      </w:pPr>
      <w:r>
        <w:t xml:space="preserve">The value added vector </w:t>
      </w:r>
      <w:r>
        <w:rPr>
          <w:i/>
          <w:iCs/>
        </w:rPr>
        <w:t>v</w:t>
      </w:r>
      <w:r>
        <w:t xml:space="preserve"> is comprised of 13 components of value added, one of which is taxes on production and imports, or indirect taxes.  Energy taxes are modeled for this exercise as a separate vector of indirect taxes.  Energy taxes increase the prices of energy products directly, but also cause an increase in the prices of all other products indirectly.</w:t>
      </w:r>
    </w:p>
    <w:p w:rsidR="00C51C48" w:rsidRDefault="00C51C48" w:rsidP="003B7299">
      <w:pPr>
        <w:jc w:val="both"/>
      </w:pPr>
      <w:r>
        <w:t xml:space="preserve">The amount of carbon associated with each energy product was determined during the calibration of the </w:t>
      </w:r>
      <w:r w:rsidRPr="00E10B76">
        <w:rPr>
          <w:i/>
          <w:iCs/>
        </w:rPr>
        <w:t>LIFT</w:t>
      </w:r>
      <w:r>
        <w:t xml:space="preserve"> model to the AEO 2009.  </w:t>
      </w:r>
      <w:r w:rsidR="005C187D">
        <w:t>T</w:t>
      </w:r>
      <w:r w:rsidR="00D866AA">
        <w:t>able</w:t>
      </w:r>
      <w:r>
        <w:t xml:space="preserve"> </w:t>
      </w:r>
      <w:r w:rsidR="005C187D">
        <w:t xml:space="preserve">A-18 </w:t>
      </w:r>
      <w:r>
        <w:t xml:space="preserve">in the </w:t>
      </w:r>
      <w:r w:rsidR="00D866AA">
        <w:rPr>
          <w:i/>
          <w:iCs/>
        </w:rPr>
        <w:t xml:space="preserve">Annual Energy </w:t>
      </w:r>
      <w:r w:rsidR="00D866AA">
        <w:rPr>
          <w:i/>
          <w:iCs/>
        </w:rPr>
        <w:lastRenderedPageBreak/>
        <w:t>Outlook</w:t>
      </w:r>
      <w:r>
        <w:t xml:space="preserve"> shows carbon emissions by sector and source</w:t>
      </w:r>
      <w:r w:rsidR="005C187D">
        <w:rPr>
          <w:rStyle w:val="FootnoteReference"/>
        </w:rPr>
        <w:footnoteReference w:id="14"/>
      </w:r>
      <w:r>
        <w:t xml:space="preserve">.  These emissions were linked to energy consumption flows in </w:t>
      </w:r>
      <w:r w:rsidRPr="00E10B76">
        <w:rPr>
          <w:i/>
          <w:iCs/>
        </w:rPr>
        <w:t>LIFT</w:t>
      </w:r>
      <w:r>
        <w:t xml:space="preserve">.  </w:t>
      </w:r>
      <w:r w:rsidRPr="00E10B76">
        <w:rPr>
          <w:i/>
          <w:iCs/>
        </w:rPr>
        <w:t>LIFT</w:t>
      </w:r>
      <w:r>
        <w:t xml:space="preserve"> energy flows were first calibrated to Table A-2 (“Energy Consumption by Sector and Source”) and in several other tables</w:t>
      </w:r>
      <w:r w:rsidR="005C187D">
        <w:rPr>
          <w:rStyle w:val="FootnoteReference"/>
        </w:rPr>
        <w:footnoteReference w:id="15"/>
      </w:r>
      <w:r>
        <w:t xml:space="preserve">, and then carbon emission coefficients were calculated to yield the carbon emission projections in </w:t>
      </w:r>
      <w:r w:rsidR="00D866AA">
        <w:t>AEO</w:t>
      </w:r>
      <w:r>
        <w:t xml:space="preserve">. </w:t>
      </w:r>
    </w:p>
    <w:p w:rsidR="00C51C48" w:rsidRDefault="00C51C48" w:rsidP="003B7299">
      <w:pPr>
        <w:jc w:val="both"/>
      </w:pPr>
      <w:r>
        <w:t xml:space="preserve">Note that </w:t>
      </w:r>
      <w:r w:rsidRPr="00E10B76">
        <w:rPr>
          <w:i/>
          <w:iCs/>
        </w:rPr>
        <w:t>LIFT</w:t>
      </w:r>
      <w:r>
        <w:t xml:space="preserve"> maintains a full and consistent accounting for the price effects of the carbon tax, as well as the revenue generated, and the status of government receipts and expenditures. </w:t>
      </w:r>
    </w:p>
    <w:p w:rsidR="00C51C48" w:rsidRDefault="00C51C48" w:rsidP="003B7299">
      <w:pPr>
        <w:jc w:val="both"/>
      </w:pPr>
      <w:r>
        <w:t xml:space="preserve">Table 2 shows the impact of the </w:t>
      </w:r>
      <w:r w:rsidR="00EF2870">
        <w:t xml:space="preserve">assumed </w:t>
      </w:r>
      <w:r>
        <w:t>carbon taxes on selected energy price variables.  Of course, the largest difference is for coal</w:t>
      </w:r>
      <w:r w:rsidR="00FB3B67">
        <w:t xml:space="preserve"> (124% by 2030)</w:t>
      </w:r>
      <w:r>
        <w:t xml:space="preserve">, which has a high carbon content per </w:t>
      </w:r>
      <w:r w:rsidR="00A4560A">
        <w:t xml:space="preserve">unit of constant </w:t>
      </w:r>
      <w:r w:rsidR="0048375B">
        <w:t>dollar</w:t>
      </w:r>
      <w:r w:rsidR="00A4560A">
        <w:t xml:space="preserve"> value</w:t>
      </w:r>
      <w:r>
        <w:t xml:space="preserve">.  The increase in the natural gas price by </w:t>
      </w:r>
      <w:r w:rsidRPr="00FB3B67">
        <w:t>2030 is also significant (</w:t>
      </w:r>
      <w:r w:rsidR="00FB3B67">
        <w:t>18</w:t>
      </w:r>
      <w:r w:rsidRPr="00FB3B67">
        <w:t>%).  The gasoline price increases to a lesser extent (</w:t>
      </w:r>
      <w:r w:rsidR="00FB3B67">
        <w:t>6.3</w:t>
      </w:r>
      <w:r w:rsidRPr="00FB3B67">
        <w:t>%), with the increase in the electricity price slightly lower than this.</w:t>
      </w:r>
    </w:p>
    <w:p w:rsidR="00C51C48" w:rsidRDefault="00C51C48" w:rsidP="00C51C48"/>
    <w:p w:rsidR="00A85A00" w:rsidRPr="00BA6C88" w:rsidRDefault="006D7839" w:rsidP="005242DC">
      <w:pPr>
        <w:rPr>
          <w:b/>
          <w:bCs/>
        </w:rPr>
      </w:pPr>
      <w:r>
        <w:rPr>
          <w:b/>
          <w:bCs/>
          <w:noProof/>
        </w:rPr>
        <w:drawing>
          <wp:inline distT="0" distB="0" distL="0" distR="0">
            <wp:extent cx="5481320" cy="1767840"/>
            <wp:effectExtent l="1905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5481320" cy="1767840"/>
                    </a:xfrm>
                    <a:prstGeom prst="rect">
                      <a:avLst/>
                    </a:prstGeom>
                    <a:noFill/>
                    <a:ln w="9525">
                      <a:noFill/>
                      <a:miter lim="800000"/>
                      <a:headEnd/>
                      <a:tailEnd/>
                    </a:ln>
                  </pic:spPr>
                </pic:pic>
              </a:graphicData>
            </a:graphic>
          </wp:inline>
        </w:drawing>
      </w:r>
    </w:p>
    <w:p w:rsidR="00D90CC8" w:rsidRDefault="00D90CC8" w:rsidP="005242DC">
      <w:pPr>
        <w:rPr>
          <w:b/>
          <w:bCs/>
        </w:rPr>
      </w:pPr>
      <w:r w:rsidRPr="005242DC">
        <w:rPr>
          <w:b/>
          <w:bCs/>
        </w:rPr>
        <w:t>Changes in industrial, commercial</w:t>
      </w:r>
      <w:r w:rsidR="00FB3B67">
        <w:rPr>
          <w:b/>
          <w:bCs/>
        </w:rPr>
        <w:t xml:space="preserve"> and</w:t>
      </w:r>
      <w:r w:rsidRPr="005242DC">
        <w:rPr>
          <w:b/>
          <w:bCs/>
        </w:rPr>
        <w:t xml:space="preserve"> residential energy consumption</w:t>
      </w:r>
    </w:p>
    <w:p w:rsidR="008F3631" w:rsidRDefault="008F3631" w:rsidP="003B7299">
      <w:pPr>
        <w:jc w:val="both"/>
      </w:pPr>
      <w:r>
        <w:t xml:space="preserve">In the industrial and commercial sectors of the </w:t>
      </w:r>
      <w:r w:rsidRPr="00E10B76">
        <w:rPr>
          <w:i/>
          <w:iCs/>
        </w:rPr>
        <w:t>LIFT</w:t>
      </w:r>
      <w:r>
        <w:t xml:space="preserve"> model, there are no price-responsive energy consumption equations.  Energy demand in the intermediate part of the model is determined by IO coefficients.  However, these IO coefficients can be made to respond to price, either through an implied or estimated demand function, or through the behavior of another model or study.  For the current study, </w:t>
      </w:r>
      <w:r w:rsidR="00EF2870">
        <w:t xml:space="preserve">we used BNL-MARKAL projections for </w:t>
      </w:r>
      <w:r w:rsidR="00A20293" w:rsidRPr="00A4560A">
        <w:t>changes</w:t>
      </w:r>
      <w:r w:rsidR="00EF2870">
        <w:t xml:space="preserve"> in industrial and commercial energy demand</w:t>
      </w:r>
      <w:r w:rsidR="00A4560A">
        <w:t xml:space="preserve"> relative to the base case</w:t>
      </w:r>
      <w:r w:rsidR="00EF2870">
        <w:t>, which</w:t>
      </w:r>
      <w:r>
        <w:t xml:space="preserve"> were imposed as changes in the time path of IO coefficients.</w:t>
      </w:r>
    </w:p>
    <w:p w:rsidR="008F3631" w:rsidRPr="008F3631" w:rsidRDefault="008F3631" w:rsidP="003B7299">
      <w:pPr>
        <w:jc w:val="both"/>
      </w:pPr>
      <w:r>
        <w:t>The residential sector does have price-responsive demand equations, but these were overridden for the current study</w:t>
      </w:r>
      <w:r w:rsidR="00EF2870">
        <w:t xml:space="preserve"> by BNL-MARKAL projections of </w:t>
      </w:r>
      <w:r w:rsidR="00A20293" w:rsidRPr="00A4560A">
        <w:t>changes</w:t>
      </w:r>
      <w:r w:rsidR="00EF2870">
        <w:t xml:space="preserve"> in residential energy demand</w:t>
      </w:r>
      <w:r w:rsidR="00A4560A">
        <w:t xml:space="preserve"> relative to the base case</w:t>
      </w:r>
      <w:r>
        <w:t xml:space="preserve">.  Table 3 below shows a summary of the </w:t>
      </w:r>
      <w:r>
        <w:lastRenderedPageBreak/>
        <w:t>aggregate demand response by sector to the carbon-induced price changes.  Detail is also available by type of energy used.</w:t>
      </w:r>
    </w:p>
    <w:p w:rsidR="008F3631" w:rsidRDefault="008F3631" w:rsidP="005242DC">
      <w:pPr>
        <w:rPr>
          <w:b/>
          <w:bCs/>
        </w:rPr>
      </w:pPr>
    </w:p>
    <w:p w:rsidR="00FB3B67" w:rsidRPr="008F3631" w:rsidRDefault="006D7839" w:rsidP="005242DC">
      <w:pPr>
        <w:rPr>
          <w:b/>
          <w:bCs/>
        </w:rPr>
      </w:pPr>
      <w:r>
        <w:rPr>
          <w:b/>
          <w:bCs/>
          <w:noProof/>
        </w:rPr>
        <w:drawing>
          <wp:inline distT="0" distB="0" distL="0" distR="0">
            <wp:extent cx="5481320" cy="149352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srcRect/>
                    <a:stretch>
                      <a:fillRect/>
                    </a:stretch>
                  </pic:blipFill>
                  <pic:spPr bwMode="auto">
                    <a:xfrm>
                      <a:off x="0" y="0"/>
                      <a:ext cx="5481320" cy="1493520"/>
                    </a:xfrm>
                    <a:prstGeom prst="rect">
                      <a:avLst/>
                    </a:prstGeom>
                    <a:noFill/>
                    <a:ln w="9525">
                      <a:noFill/>
                      <a:miter lim="800000"/>
                      <a:headEnd/>
                      <a:tailEnd/>
                    </a:ln>
                  </pic:spPr>
                </pic:pic>
              </a:graphicData>
            </a:graphic>
          </wp:inline>
        </w:drawing>
      </w:r>
    </w:p>
    <w:p w:rsidR="00D90CC8" w:rsidRDefault="00D90CC8" w:rsidP="005242DC">
      <w:pPr>
        <w:rPr>
          <w:b/>
          <w:bCs/>
        </w:rPr>
      </w:pPr>
      <w:r w:rsidRPr="005242DC">
        <w:rPr>
          <w:b/>
          <w:bCs/>
        </w:rPr>
        <w:t>Changes in electric utility generation mix</w:t>
      </w:r>
      <w:r w:rsidR="005242DC" w:rsidRPr="005242DC">
        <w:rPr>
          <w:b/>
          <w:bCs/>
        </w:rPr>
        <w:t>.</w:t>
      </w:r>
    </w:p>
    <w:p w:rsidR="008F3631" w:rsidRDefault="00053022" w:rsidP="003B7299">
      <w:pPr>
        <w:jc w:val="both"/>
      </w:pPr>
      <w:r w:rsidRPr="00E10B76">
        <w:rPr>
          <w:i/>
          <w:iCs/>
        </w:rPr>
        <w:t>LIFT</w:t>
      </w:r>
      <w:r>
        <w:t xml:space="preserve"> includes a disaggregation of the electric power sector into </w:t>
      </w:r>
      <w:r w:rsidR="00EF2870">
        <w:t xml:space="preserve">eight </w:t>
      </w:r>
      <w:r>
        <w:t xml:space="preserve">types of generation.  The total input-output column for electric power has been split into </w:t>
      </w:r>
      <w:r w:rsidR="00EF2870">
        <w:t xml:space="preserve">eight </w:t>
      </w:r>
      <w:r>
        <w:t xml:space="preserve">columns, allocating the different types of fuel requirements according to energy supplying sector (coal, gas, oil).  The nuclear, wind, solar and hydro have higher capital requirements.  </w:t>
      </w:r>
    </w:p>
    <w:p w:rsidR="00053022" w:rsidRDefault="00EF2870" w:rsidP="003B7299">
      <w:pPr>
        <w:jc w:val="both"/>
      </w:pPr>
      <w:r>
        <w:t>The LIFT model used</w:t>
      </w:r>
      <w:r w:rsidR="00A4560A">
        <w:t xml:space="preserve"> BNL-MARKAL projections of the change in</w:t>
      </w:r>
      <w:r>
        <w:t xml:space="preserve"> share</w:t>
      </w:r>
      <w:r w:rsidR="00ED4B69">
        <w:t>s</w:t>
      </w:r>
      <w:r>
        <w:t xml:space="preserve"> of generation by type</w:t>
      </w:r>
      <w:r w:rsidR="00053022" w:rsidRPr="00EF2870">
        <w:t xml:space="preserve"> </w:t>
      </w:r>
      <w:r w:rsidR="00A4560A">
        <w:t xml:space="preserve">relative to the reference case </w:t>
      </w:r>
      <w:r w:rsidR="00053022" w:rsidRPr="00EF2870">
        <w:t>to estimate fuel and other</w:t>
      </w:r>
      <w:r w:rsidR="00053022">
        <w:t xml:space="preserve"> requirements from the electric power sector.  For example, the sales of coal are much reduced.  The effects of the carbon price are somewhat alleviated by the switch to less carbon-intensive modes of generation.</w:t>
      </w:r>
    </w:p>
    <w:p w:rsidR="00053022" w:rsidRDefault="00053022" w:rsidP="003B7299">
      <w:pPr>
        <w:jc w:val="both"/>
      </w:pPr>
      <w:r>
        <w:t>Table 4 shows the generation by type in each scenario, in billions of kilowatt hours.  Note that total power generation is lower in the HR2454 scenario due to reductions in overall electricity demand.</w:t>
      </w:r>
    </w:p>
    <w:p w:rsidR="00053022" w:rsidRPr="00053022" w:rsidRDefault="00053022" w:rsidP="005242DC"/>
    <w:p w:rsidR="008F3631" w:rsidRPr="00A27828" w:rsidRDefault="007D2682" w:rsidP="005242DC">
      <w:pPr>
        <w:rPr>
          <w:b/>
          <w:bCs/>
        </w:rPr>
      </w:pPr>
      <w:r w:rsidRPr="00A4560A">
        <w:rPr>
          <w:b/>
          <w:bCs/>
          <w:noProof/>
        </w:rPr>
        <w:drawing>
          <wp:inline distT="0" distB="0" distL="0" distR="0">
            <wp:extent cx="5486400" cy="265684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5486400" cy="2656840"/>
                    </a:xfrm>
                    <a:prstGeom prst="rect">
                      <a:avLst/>
                    </a:prstGeom>
                    <a:noFill/>
                    <a:ln w="9525">
                      <a:noFill/>
                      <a:miter lim="800000"/>
                      <a:headEnd/>
                      <a:tailEnd/>
                    </a:ln>
                  </pic:spPr>
                </pic:pic>
              </a:graphicData>
            </a:graphic>
          </wp:inline>
        </w:drawing>
      </w:r>
    </w:p>
    <w:p w:rsidR="00A85A00" w:rsidRPr="005242DC" w:rsidRDefault="00A85A00" w:rsidP="005242DC">
      <w:pPr>
        <w:rPr>
          <w:b/>
          <w:bCs/>
        </w:rPr>
      </w:pPr>
    </w:p>
    <w:p w:rsidR="00D90CC8" w:rsidRDefault="00D90CC8" w:rsidP="005242DC">
      <w:pPr>
        <w:rPr>
          <w:b/>
          <w:bCs/>
        </w:rPr>
      </w:pPr>
      <w:r w:rsidRPr="005242DC">
        <w:rPr>
          <w:b/>
          <w:bCs/>
        </w:rPr>
        <w:lastRenderedPageBreak/>
        <w:t>Recycling of revenue</w:t>
      </w:r>
    </w:p>
    <w:p w:rsidR="00053022" w:rsidRPr="00053022" w:rsidRDefault="00053022" w:rsidP="003B7299">
      <w:pPr>
        <w:jc w:val="both"/>
      </w:pPr>
      <w:r>
        <w:t>The revenue collected from the marketing of allowances represents a net drain on the economy</w:t>
      </w:r>
      <w:r w:rsidR="00ED4B69">
        <w:t>, i</w:t>
      </w:r>
      <w:r>
        <w:t>n the absence of any revenue recycling, put</w:t>
      </w:r>
      <w:r w:rsidR="00ED4B69">
        <w:t>ting</w:t>
      </w:r>
      <w:r>
        <w:t xml:space="preserve"> </w:t>
      </w:r>
      <w:r w:rsidR="00ED4B69">
        <w:t xml:space="preserve">a </w:t>
      </w:r>
      <w:r>
        <w:t>strong downward pressure on macroeconomic aggregates such as GDP, real income and personal consumption.</w:t>
      </w:r>
      <w:r w:rsidR="00AE4B47">
        <w:t xml:space="preserve">  The HR2454 legislation provides </w:t>
      </w:r>
      <w:r w:rsidR="00ED4B69">
        <w:t xml:space="preserve">a </w:t>
      </w:r>
      <w:r w:rsidR="00AE4B47">
        <w:t>guide as to how this revenue recycling may likely occur.  In our modeling exercise, the recycling took the form of the following set of policy instruments:</w:t>
      </w:r>
    </w:p>
    <w:p w:rsidR="00D90CC8" w:rsidRDefault="00D90CC8" w:rsidP="00AE4B47">
      <w:pPr>
        <w:numPr>
          <w:ilvl w:val="0"/>
          <w:numId w:val="10"/>
        </w:numPr>
      </w:pPr>
      <w:r>
        <w:t>Personal tax rebates</w:t>
      </w:r>
    </w:p>
    <w:p w:rsidR="00D90CC8" w:rsidRDefault="00D90CC8" w:rsidP="00AE4B47">
      <w:pPr>
        <w:numPr>
          <w:ilvl w:val="0"/>
          <w:numId w:val="10"/>
        </w:numPr>
      </w:pPr>
      <w:r>
        <w:t>Assistance to industries: electric utility, petroleum refining, agriculture</w:t>
      </w:r>
    </w:p>
    <w:p w:rsidR="00D90CC8" w:rsidRDefault="00D90CC8" w:rsidP="00AE4B47">
      <w:pPr>
        <w:numPr>
          <w:ilvl w:val="0"/>
          <w:numId w:val="10"/>
        </w:numPr>
      </w:pPr>
      <w:r>
        <w:t>EITE industry assistance</w:t>
      </w:r>
    </w:p>
    <w:p w:rsidR="00D90CC8" w:rsidRDefault="00D90CC8" w:rsidP="00AE4B47">
      <w:pPr>
        <w:numPr>
          <w:ilvl w:val="0"/>
          <w:numId w:val="10"/>
        </w:numPr>
      </w:pPr>
      <w:r>
        <w:t>International transfers</w:t>
      </w:r>
    </w:p>
    <w:p w:rsidR="00D90CC8" w:rsidRDefault="00D90CC8" w:rsidP="00AE4B47">
      <w:pPr>
        <w:numPr>
          <w:ilvl w:val="0"/>
          <w:numId w:val="10"/>
        </w:numPr>
      </w:pPr>
      <w:r>
        <w:t>Household rebates and subsidies</w:t>
      </w:r>
    </w:p>
    <w:p w:rsidR="00AE4B47" w:rsidRDefault="00AE4B47" w:rsidP="00AE4B47"/>
    <w:p w:rsidR="00AE4B47" w:rsidRPr="00E10B76" w:rsidRDefault="00AE4B47" w:rsidP="003B7299">
      <w:pPr>
        <w:jc w:val="both"/>
        <w:rPr>
          <w:color w:val="FF6600"/>
        </w:rPr>
      </w:pPr>
      <w:r>
        <w:t xml:space="preserve">The total revenue collected was </w:t>
      </w:r>
      <w:r w:rsidR="00ED4B69">
        <w:t>calculated using</w:t>
      </w:r>
      <w:r w:rsidR="003F0A73">
        <w:t xml:space="preserve"> </w:t>
      </w:r>
      <w:r w:rsidR="00ED4B69">
        <w:t>the projected number of</w:t>
      </w:r>
      <w:r w:rsidR="003F0A73">
        <w:t xml:space="preserve"> carbon </w:t>
      </w:r>
      <w:r w:rsidR="00DC293F">
        <w:t>allowances</w:t>
      </w:r>
      <w:r w:rsidR="003F0A73">
        <w:t xml:space="preserve"> allocated</w:t>
      </w:r>
      <w:r w:rsidR="00ED4B69">
        <w:t xml:space="preserve"> in the BNL-MARKAL model</w:t>
      </w:r>
      <w:r w:rsidR="003F0A73">
        <w:t>, multiplied by the allowance price.</w:t>
      </w:r>
      <w:r w:rsidR="00291090">
        <w:t xml:space="preserve">  Table 5 shows the assumptions used in this study for the number of carbon </w:t>
      </w:r>
      <w:r w:rsidR="00774CDB">
        <w:t>credits</w:t>
      </w:r>
      <w:r w:rsidR="00291090">
        <w:t xml:space="preserve"> issued, the domestic offsets used, banking of </w:t>
      </w:r>
      <w:r w:rsidR="004A2E6A">
        <w:t>allowances</w:t>
      </w:r>
      <w:r w:rsidR="00291090">
        <w:t xml:space="preserve"> and the international offsets purchased.  The bottom section of the table shows the revenue implications of these assumptions and results.</w:t>
      </w:r>
      <w:r w:rsidR="00E10B76">
        <w:t xml:space="preserve">  </w:t>
      </w:r>
    </w:p>
    <w:p w:rsidR="003F0A73" w:rsidRDefault="003F0A73"/>
    <w:p w:rsidR="003F0A73" w:rsidRPr="00257B03" w:rsidRDefault="00342E66">
      <w:r w:rsidRPr="00446ECF">
        <w:rPr>
          <w:noProof/>
        </w:rPr>
        <w:drawing>
          <wp:inline distT="0" distB="0" distL="0" distR="0">
            <wp:extent cx="5237480" cy="2367280"/>
            <wp:effectExtent l="1905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cstate="print"/>
                    <a:srcRect/>
                    <a:stretch>
                      <a:fillRect/>
                    </a:stretch>
                  </pic:blipFill>
                  <pic:spPr bwMode="auto">
                    <a:xfrm>
                      <a:off x="0" y="0"/>
                      <a:ext cx="5237480" cy="2367280"/>
                    </a:xfrm>
                    <a:prstGeom prst="rect">
                      <a:avLst/>
                    </a:prstGeom>
                    <a:noFill/>
                    <a:ln w="9525">
                      <a:noFill/>
                      <a:miter lim="800000"/>
                      <a:headEnd/>
                      <a:tailEnd/>
                    </a:ln>
                  </pic:spPr>
                </pic:pic>
              </a:graphicData>
            </a:graphic>
          </wp:inline>
        </w:drawing>
      </w:r>
    </w:p>
    <w:p w:rsidR="003F0A73" w:rsidRDefault="003F0A73"/>
    <w:p w:rsidR="00160B88" w:rsidRDefault="00160B88">
      <w:pPr>
        <w:rPr>
          <w:i/>
          <w:iCs/>
        </w:rPr>
      </w:pPr>
      <w:r>
        <w:rPr>
          <w:i/>
          <w:iCs/>
        </w:rPr>
        <w:t xml:space="preserve">Modeling Alternative Chinese Response to a </w:t>
      </w:r>
      <w:smartTag w:uri="urn:schemas-microsoft-com:office:smarttags" w:element="country-region">
        <w:smartTag w:uri="urn:schemas-microsoft-com:office:smarttags" w:element="place">
          <w:r>
            <w:rPr>
              <w:i/>
              <w:iCs/>
            </w:rPr>
            <w:t>U.S.</w:t>
          </w:r>
        </w:smartTag>
      </w:smartTag>
      <w:r>
        <w:rPr>
          <w:i/>
          <w:iCs/>
        </w:rPr>
        <w:t xml:space="preserve"> Cap &amp; Trade Policy</w:t>
      </w:r>
    </w:p>
    <w:p w:rsidR="00160B88" w:rsidRDefault="00160B88" w:rsidP="003B7299">
      <w:pPr>
        <w:jc w:val="both"/>
      </w:pPr>
      <w:r w:rsidRPr="00543C95">
        <w:t xml:space="preserve">We </w:t>
      </w:r>
      <w:r w:rsidR="00D866AA" w:rsidRPr="00543C95">
        <w:t>assume</w:t>
      </w:r>
      <w:r w:rsidRPr="00543C95">
        <w:t xml:space="preserve"> that </w:t>
      </w:r>
      <w:smartTag w:uri="urn:schemas-microsoft-com:office:smarttags" w:element="country-region">
        <w:smartTag w:uri="urn:schemas-microsoft-com:office:smarttags" w:element="place">
          <w:r w:rsidRPr="00543C95">
            <w:t>China</w:t>
          </w:r>
        </w:smartTag>
      </w:smartTag>
      <w:r w:rsidRPr="00543C95">
        <w:t xml:space="preserve"> </w:t>
      </w:r>
      <w:r w:rsidR="00D866AA" w:rsidRPr="00543C95">
        <w:t>starts</w:t>
      </w:r>
      <w:r w:rsidRPr="00543C95">
        <w:t xml:space="preserve"> implementing a carbon tax in 2010.  The tax begins at 5 yuan per </w:t>
      </w:r>
      <w:r w:rsidR="00543C95">
        <w:t>ton</w:t>
      </w:r>
      <w:r w:rsidRPr="00543C95">
        <w:t xml:space="preserve"> of CO2 (approximately $.</w:t>
      </w:r>
      <w:r w:rsidR="00543C95">
        <w:t>76</w:t>
      </w:r>
      <w:r w:rsidR="00D866AA" w:rsidRPr="00543C95">
        <w:t>/ton</w:t>
      </w:r>
      <w:r w:rsidRPr="00543C95">
        <w:t>) and gradually rises to 130 yuan in 2015 ($</w:t>
      </w:r>
      <w:r w:rsidR="00543C95">
        <w:t>23</w:t>
      </w:r>
      <w:r w:rsidRPr="00543C95">
        <w:t>.</w:t>
      </w:r>
      <w:r w:rsidR="00543C95">
        <w:t>68</w:t>
      </w:r>
      <w:r w:rsidRPr="00543C95">
        <w:t>)</w:t>
      </w:r>
      <w:r w:rsidR="000B40A2">
        <w:t>,</w:t>
      </w:r>
      <w:r w:rsidRPr="00543C95">
        <w:t xml:space="preserve"> </w:t>
      </w:r>
      <w:r w:rsidR="00543C95">
        <w:t>230</w:t>
      </w:r>
      <w:r w:rsidRPr="00543C95">
        <w:t xml:space="preserve"> in 2020 ($</w:t>
      </w:r>
      <w:r w:rsidR="00543C95">
        <w:t>44</w:t>
      </w:r>
      <w:r w:rsidRPr="00543C95">
        <w:t>.7</w:t>
      </w:r>
      <w:r w:rsidR="00543C95">
        <w:t>6</w:t>
      </w:r>
      <w:r w:rsidRPr="00543C95">
        <w:t>)</w:t>
      </w:r>
      <w:r w:rsidR="000B40A2">
        <w:t>,</w:t>
      </w:r>
      <w:r w:rsidR="00543C95">
        <w:t xml:space="preserve"> and 350 by 2030 ($72.34)</w:t>
      </w:r>
      <w:r w:rsidRPr="00543C95">
        <w:t>.  We have assumed that the yuan will appreciate from 6.83 per dollar today to 5.14 per dollar in 2020</w:t>
      </w:r>
      <w:r w:rsidR="00543C95">
        <w:t>, and 4.84 by</w:t>
      </w:r>
      <w:r w:rsidR="00D866AA" w:rsidRPr="00543C95">
        <w:t xml:space="preserve"> 2030</w:t>
      </w:r>
      <w:r w:rsidR="00543C95">
        <w:t>.</w:t>
      </w:r>
      <w:r w:rsidR="00D866AA" w:rsidRPr="00543C95">
        <w:t xml:space="preserve">  </w:t>
      </w:r>
      <w:r w:rsidRPr="00543C95">
        <w:t>Since there is</w:t>
      </w:r>
      <w:r>
        <w:t xml:space="preserve"> a direct relationship between tons of coal and CO2 we are able to </w:t>
      </w:r>
      <w:r>
        <w:lastRenderedPageBreak/>
        <w:t>estimate the amount of the tax and the resulting increase in the price of coal to the ultimate users.  The ultimate users see the high relative prices of coal (costs) and react by reducing their purchases</w:t>
      </w:r>
      <w:r w:rsidR="00D866AA">
        <w:t xml:space="preserve">.  </w:t>
      </w:r>
      <w:r>
        <w:t xml:space="preserve">The reduced usage shows up as a reduction in tons used and that in turn lowers CO2 </w:t>
      </w:r>
      <w:r w:rsidR="00D866AA">
        <w:t>emissions</w:t>
      </w:r>
      <w:r>
        <w:t>.   The exact level of the tax was calibrated so that the combination of policies used (</w:t>
      </w:r>
      <w:r w:rsidR="00774CDB">
        <w:t xml:space="preserve">investments in nuclear and renewable </w:t>
      </w:r>
      <w:r>
        <w:t>electric</w:t>
      </w:r>
      <w:r w:rsidR="00774CDB">
        <w:t xml:space="preserve"> power</w:t>
      </w:r>
      <w:r>
        <w:t xml:space="preserve"> generation and the </w:t>
      </w:r>
      <w:r w:rsidR="00774CDB">
        <w:t xml:space="preserve">carbon </w:t>
      </w:r>
      <w:r>
        <w:t xml:space="preserve">tax) were able to reduce the </w:t>
      </w:r>
      <w:r w:rsidR="00B37C7B">
        <w:t>CO2 intens</w:t>
      </w:r>
      <w:r w:rsidR="00774CDB">
        <w:t>ity (</w:t>
      </w:r>
      <w:r>
        <w:t>ratio of CO2 emissions to real GDP</w:t>
      </w:r>
      <w:r w:rsidR="00774CDB">
        <w:t>)</w:t>
      </w:r>
      <w:r>
        <w:t xml:space="preserve"> by 50% from the level in 2000</w:t>
      </w:r>
      <w:r w:rsidR="00543C95">
        <w:t>, by 2020.</w:t>
      </w:r>
    </w:p>
    <w:p w:rsidR="00160B88" w:rsidRDefault="00543C95" w:rsidP="003B7299">
      <w:pPr>
        <w:jc w:val="both"/>
      </w:pPr>
      <w:r>
        <w:t>The amount of tax revenue generated can be quite large.</w:t>
      </w:r>
      <w:r w:rsidR="004E3668">
        <w:t xml:space="preserve">  A critical modeling question is to decide w</w:t>
      </w:r>
      <w:r w:rsidR="00160B88">
        <w:t xml:space="preserve">hat the government </w:t>
      </w:r>
      <w:r w:rsidR="004E3668">
        <w:t xml:space="preserve">will </w:t>
      </w:r>
      <w:r w:rsidR="00160B88">
        <w:t>do with th</w:t>
      </w:r>
      <w:r w:rsidR="004E3668">
        <w:t>e carbon tax</w:t>
      </w:r>
      <w:r w:rsidR="00160B88">
        <w:t xml:space="preserve"> revenue</w:t>
      </w:r>
      <w:r w:rsidR="006F743B">
        <w:t>.</w:t>
      </w:r>
      <w:r w:rsidR="00160B88">
        <w:t xml:space="preserve">  Simply letting the </w:t>
      </w:r>
      <w:r w:rsidR="004E3668">
        <w:t>revenue</w:t>
      </w:r>
      <w:r w:rsidR="00160B88">
        <w:t xml:space="preserve"> acc</w:t>
      </w:r>
      <w:r w:rsidR="004E3668">
        <w:t>rue to government savings will serve as a Key</w:t>
      </w:r>
      <w:r w:rsidR="004A2E6A">
        <w:t>ne</w:t>
      </w:r>
      <w:r w:rsidR="004E3668">
        <w:t>sian drag on the economy, and result</w:t>
      </w:r>
      <w:r w:rsidR="00160B88">
        <w:t xml:space="preserve"> in a decrease in </w:t>
      </w:r>
      <w:r w:rsidR="004E3668">
        <w:t>household income</w:t>
      </w:r>
      <w:r w:rsidR="00160B88">
        <w:t xml:space="preserve"> (higher prices for energy goods), high prices of exports and lower real GDP.  We have postulated two possible courses of action</w:t>
      </w:r>
      <w:r w:rsidR="006F743B">
        <w:t>, which both serve to recycle the revenue generated by the tax</w:t>
      </w:r>
      <w:r w:rsidR="00160B88">
        <w:t xml:space="preserve">.  The first is to reduce most indirect taxes and the other is to spend the money for social needs.  Nearly 70% of government income comes from indirect taxes and </w:t>
      </w:r>
      <w:r w:rsidR="00583C00">
        <w:t xml:space="preserve">the </w:t>
      </w:r>
      <w:r w:rsidR="00160B88">
        <w:t xml:space="preserve">rest about equally divided between social security and income taxes from persons.  </w:t>
      </w:r>
      <w:r w:rsidR="00426A81">
        <w:t>The second is to reduce personal income taxes</w:t>
      </w:r>
      <w:r w:rsidR="006806CC">
        <w:rPr>
          <w:rStyle w:val="FootnoteReference"/>
        </w:rPr>
        <w:footnoteReference w:id="16"/>
      </w:r>
      <w:r w:rsidR="00426A81">
        <w:t xml:space="preserve"> and then use the remaining revenue</w:t>
      </w:r>
      <w:r w:rsidR="00426A81" w:rsidRPr="00426A81">
        <w:t xml:space="preserve"> on a massive improvement of health care across the country</w:t>
      </w:r>
      <w:r w:rsidR="00426A81">
        <w:t>,</w:t>
      </w:r>
      <w:r w:rsidR="00426A81" w:rsidRPr="00426A81">
        <w:t xml:space="preserve"> particularly in the west and rural areas where about 350 million people are currently without any adequate health care.</w:t>
      </w:r>
      <w:r w:rsidR="00426A81">
        <w:t xml:space="preserve"> </w:t>
      </w:r>
      <w:r w:rsidR="00160B88">
        <w:t xml:space="preserve">We have </w:t>
      </w:r>
      <w:r w:rsidR="00426A81">
        <w:t>modeled</w:t>
      </w:r>
      <w:r w:rsidR="00160B88">
        <w:t xml:space="preserve"> both </w:t>
      </w:r>
      <w:r w:rsidR="00426A81">
        <w:t xml:space="preserve">scenarios </w:t>
      </w:r>
      <w:r w:rsidR="00160B88">
        <w:t xml:space="preserve">and they lead to somewhat different outcomes.  One common feature of both </w:t>
      </w:r>
      <w:r w:rsidR="00426A81">
        <w:t xml:space="preserve">scenarios </w:t>
      </w:r>
      <w:r w:rsidR="00160B88">
        <w:t xml:space="preserve">is </w:t>
      </w:r>
      <w:r w:rsidR="00426A81">
        <w:t>the</w:t>
      </w:r>
      <w:r w:rsidR="00160B88">
        <w:t xml:space="preserve"> reduction in personal income taxes</w:t>
      </w:r>
      <w:r w:rsidR="006806CC">
        <w:t>, which is roughly the same in both scenarios</w:t>
      </w:r>
      <w:r w:rsidR="00160B88">
        <w:t>.</w:t>
      </w:r>
    </w:p>
    <w:p w:rsidR="009E4B3E" w:rsidRPr="009E4B3E" w:rsidRDefault="009E4B3E" w:rsidP="003B7299">
      <w:pPr>
        <w:jc w:val="both"/>
      </w:pPr>
      <w:r>
        <w:t xml:space="preserve">Four sets of scenarios were run, as summarized in the following table.  Each case consists of a U.S. </w:t>
      </w:r>
      <w:r>
        <w:rPr>
          <w:i/>
          <w:iCs/>
        </w:rPr>
        <w:t>LIFT</w:t>
      </w:r>
      <w:r>
        <w:t xml:space="preserve"> model run, </w:t>
      </w:r>
      <w:r w:rsidR="002C7025">
        <w:t xml:space="preserve">a </w:t>
      </w:r>
      <w:r>
        <w:t xml:space="preserve">China </w:t>
      </w:r>
      <w:r>
        <w:rPr>
          <w:i/>
          <w:iCs/>
        </w:rPr>
        <w:t>Mudan</w:t>
      </w:r>
      <w:r>
        <w:t xml:space="preserve"> model run, and a run with the Bilateral Trade </w:t>
      </w:r>
      <w:r w:rsidR="002C7025">
        <w:t>model</w:t>
      </w:r>
      <w:r>
        <w:t xml:space="preserve">, to model the impacts on world trade flows, as well as Bilateral U.S. China flows.  The next section describes results from the </w:t>
      </w:r>
      <w:smartTag w:uri="urn:schemas-microsoft-com:office:smarttags" w:element="country-region">
        <w:smartTag w:uri="urn:schemas-microsoft-com:office:smarttags" w:element="place">
          <w:r>
            <w:t>U.S.</w:t>
          </w:r>
        </w:smartTag>
      </w:smartTag>
      <w:r>
        <w:t xml:space="preserve"> side.  The following section discusses the Mudan results.  After this, we return to the </w:t>
      </w:r>
      <w:smartTag w:uri="urn:schemas-microsoft-com:office:smarttags" w:element="country-region">
        <w:r>
          <w:t>U.S.</w:t>
        </w:r>
      </w:smartTag>
      <w:r>
        <w:t xml:space="preserve"> perspective to see the differential impacts of </w:t>
      </w:r>
      <w:smartTag w:uri="urn:schemas-microsoft-com:office:smarttags" w:element="country-region">
        <w:smartTag w:uri="urn:schemas-microsoft-com:office:smarttags" w:element="place">
          <w:r>
            <w:t>China</w:t>
          </w:r>
        </w:smartTag>
      </w:smartTag>
      <w:r>
        <w:t xml:space="preserve"> adopting or not adopting a tax framework.</w:t>
      </w:r>
    </w:p>
    <w:p w:rsidR="00160B88" w:rsidRDefault="00160B88" w:rsidP="00160B88"/>
    <w:p w:rsidR="004E3668" w:rsidRDefault="006F743B" w:rsidP="00160B88">
      <w:pPr>
        <w:rPr>
          <w:b/>
          <w:bCs/>
        </w:rPr>
      </w:pPr>
      <w:r>
        <w:rPr>
          <w:b/>
          <w:bCs/>
        </w:rPr>
        <w:t>Summary of Modeling Cases</w:t>
      </w:r>
    </w:p>
    <w:tbl>
      <w:tblPr>
        <w:tblStyle w:val="TableGrid"/>
        <w:tblW w:w="0" w:type="auto"/>
        <w:tblLook w:val="01E0"/>
      </w:tblPr>
      <w:tblGrid>
        <w:gridCol w:w="710"/>
        <w:gridCol w:w="1738"/>
        <w:gridCol w:w="6408"/>
      </w:tblGrid>
      <w:tr w:rsidR="00AD6BEC" w:rsidTr="00AD6BEC">
        <w:tc>
          <w:tcPr>
            <w:tcW w:w="710" w:type="dxa"/>
          </w:tcPr>
          <w:p w:rsidR="00AD6BEC" w:rsidRDefault="00AD6BEC" w:rsidP="00160B88">
            <w:pPr>
              <w:rPr>
                <w:b/>
                <w:bCs/>
              </w:rPr>
            </w:pPr>
            <w:r>
              <w:rPr>
                <w:b/>
                <w:bCs/>
              </w:rPr>
              <w:t>Case</w:t>
            </w:r>
          </w:p>
        </w:tc>
        <w:tc>
          <w:tcPr>
            <w:tcW w:w="1738" w:type="dxa"/>
          </w:tcPr>
          <w:p w:rsidR="00AD6BEC" w:rsidRDefault="006F743B" w:rsidP="00160B88">
            <w:pPr>
              <w:rPr>
                <w:b/>
                <w:bCs/>
              </w:rPr>
            </w:pPr>
            <w:r>
              <w:rPr>
                <w:b/>
                <w:bCs/>
              </w:rPr>
              <w:t>Summary</w:t>
            </w:r>
          </w:p>
        </w:tc>
        <w:tc>
          <w:tcPr>
            <w:tcW w:w="6408" w:type="dxa"/>
          </w:tcPr>
          <w:p w:rsidR="00AD6BEC" w:rsidRDefault="006F743B" w:rsidP="00160B88">
            <w:pPr>
              <w:rPr>
                <w:b/>
                <w:bCs/>
              </w:rPr>
            </w:pPr>
            <w:r>
              <w:rPr>
                <w:b/>
                <w:bCs/>
              </w:rPr>
              <w:t>Description</w:t>
            </w:r>
          </w:p>
        </w:tc>
      </w:tr>
      <w:tr w:rsidR="00AD6BEC" w:rsidTr="00AD6BEC">
        <w:tc>
          <w:tcPr>
            <w:tcW w:w="710" w:type="dxa"/>
          </w:tcPr>
          <w:p w:rsidR="00AD6BEC" w:rsidRPr="00AD6BEC" w:rsidRDefault="00AD6BEC" w:rsidP="00160B88">
            <w:pPr>
              <w:rPr>
                <w:sz w:val="20"/>
                <w:szCs w:val="20"/>
              </w:rPr>
            </w:pPr>
            <w:r w:rsidRPr="00AD6BEC">
              <w:rPr>
                <w:sz w:val="20"/>
                <w:szCs w:val="20"/>
              </w:rPr>
              <w:t>1</w:t>
            </w:r>
          </w:p>
        </w:tc>
        <w:tc>
          <w:tcPr>
            <w:tcW w:w="1738" w:type="dxa"/>
          </w:tcPr>
          <w:p w:rsidR="00AD6BEC" w:rsidRPr="00AD6BEC" w:rsidRDefault="00AD6BEC" w:rsidP="00160B88">
            <w:pPr>
              <w:rPr>
                <w:sz w:val="20"/>
                <w:szCs w:val="20"/>
              </w:rPr>
            </w:pPr>
            <w:r w:rsidRPr="00AD6BEC">
              <w:rPr>
                <w:sz w:val="20"/>
                <w:szCs w:val="20"/>
              </w:rPr>
              <w:t>Reference</w:t>
            </w:r>
          </w:p>
        </w:tc>
        <w:tc>
          <w:tcPr>
            <w:tcW w:w="6408" w:type="dxa"/>
          </w:tcPr>
          <w:p w:rsidR="00AD6BEC" w:rsidRPr="00AD6BEC" w:rsidRDefault="00AD6BEC" w:rsidP="00AD6BEC">
            <w:pPr>
              <w:rPr>
                <w:sz w:val="20"/>
                <w:szCs w:val="20"/>
              </w:rPr>
            </w:pPr>
            <w:r w:rsidRPr="00AD6BEC">
              <w:rPr>
                <w:sz w:val="20"/>
                <w:szCs w:val="20"/>
              </w:rPr>
              <w:t>Neither country pursues a carbon tax or cap and trade system in this reference case.</w:t>
            </w:r>
          </w:p>
        </w:tc>
      </w:tr>
      <w:tr w:rsidR="00AD6BEC" w:rsidTr="00AD6BEC">
        <w:tc>
          <w:tcPr>
            <w:tcW w:w="710" w:type="dxa"/>
          </w:tcPr>
          <w:p w:rsidR="00AD6BEC" w:rsidRPr="00AD6BEC" w:rsidRDefault="00AD6BEC" w:rsidP="00160B88">
            <w:pPr>
              <w:rPr>
                <w:sz w:val="20"/>
                <w:szCs w:val="20"/>
              </w:rPr>
            </w:pPr>
            <w:r w:rsidRPr="00AD6BEC">
              <w:rPr>
                <w:sz w:val="20"/>
                <w:szCs w:val="20"/>
              </w:rPr>
              <w:t>2</w:t>
            </w:r>
          </w:p>
        </w:tc>
        <w:tc>
          <w:tcPr>
            <w:tcW w:w="1738" w:type="dxa"/>
          </w:tcPr>
          <w:p w:rsidR="00AD6BEC" w:rsidRPr="00AD6BEC" w:rsidRDefault="00AD6BEC" w:rsidP="00160B88">
            <w:pPr>
              <w:rPr>
                <w:sz w:val="20"/>
                <w:szCs w:val="20"/>
              </w:rPr>
            </w:pPr>
            <w:r>
              <w:rPr>
                <w:sz w:val="20"/>
                <w:szCs w:val="20"/>
              </w:rPr>
              <w:t xml:space="preserve">US yes, </w:t>
            </w:r>
            <w:smartTag w:uri="urn:schemas-microsoft-com:office:smarttags" w:element="place">
              <w:smartTag w:uri="urn:schemas-microsoft-com:office:smarttags" w:element="country-region">
                <w:r>
                  <w:rPr>
                    <w:sz w:val="20"/>
                    <w:szCs w:val="20"/>
                  </w:rPr>
                  <w:t>China</w:t>
                </w:r>
              </w:smartTag>
            </w:smartTag>
            <w:r>
              <w:rPr>
                <w:sz w:val="20"/>
                <w:szCs w:val="20"/>
              </w:rPr>
              <w:t xml:space="preserve"> no</w:t>
            </w:r>
          </w:p>
        </w:tc>
        <w:tc>
          <w:tcPr>
            <w:tcW w:w="6408" w:type="dxa"/>
          </w:tcPr>
          <w:p w:rsidR="00AD6BEC" w:rsidRPr="006F743B" w:rsidRDefault="006F743B" w:rsidP="00160B88">
            <w:pPr>
              <w:rPr>
                <w:sz w:val="20"/>
                <w:szCs w:val="20"/>
              </w:rPr>
            </w:pPr>
            <w:r>
              <w:rPr>
                <w:sz w:val="20"/>
                <w:szCs w:val="20"/>
              </w:rPr>
              <w:t xml:space="preserve">US pursues </w:t>
            </w:r>
            <w:r w:rsidR="004A2E6A">
              <w:rPr>
                <w:sz w:val="20"/>
                <w:szCs w:val="20"/>
              </w:rPr>
              <w:t xml:space="preserve">a </w:t>
            </w:r>
            <w:r>
              <w:rPr>
                <w:sz w:val="20"/>
                <w:szCs w:val="20"/>
              </w:rPr>
              <w:t xml:space="preserve">cap &amp; trade policy but </w:t>
            </w:r>
            <w:smartTag w:uri="urn:schemas-microsoft-com:office:smarttags" w:element="place">
              <w:smartTag w:uri="urn:schemas-microsoft-com:office:smarttags" w:element="country-region">
                <w:r>
                  <w:rPr>
                    <w:sz w:val="20"/>
                    <w:szCs w:val="20"/>
                  </w:rPr>
                  <w:t>China</w:t>
                </w:r>
              </w:smartTag>
            </w:smartTag>
            <w:r>
              <w:rPr>
                <w:sz w:val="20"/>
                <w:szCs w:val="20"/>
              </w:rPr>
              <w:t xml:space="preserve"> doesn’t enact any policy.</w:t>
            </w:r>
          </w:p>
        </w:tc>
      </w:tr>
      <w:tr w:rsidR="00AD6BEC" w:rsidTr="00AD6BEC">
        <w:tc>
          <w:tcPr>
            <w:tcW w:w="710" w:type="dxa"/>
          </w:tcPr>
          <w:p w:rsidR="00AD6BEC" w:rsidRPr="00AD6BEC" w:rsidRDefault="00AD6BEC" w:rsidP="00160B88">
            <w:pPr>
              <w:rPr>
                <w:sz w:val="20"/>
                <w:szCs w:val="20"/>
              </w:rPr>
            </w:pPr>
            <w:r w:rsidRPr="00AD6BEC">
              <w:rPr>
                <w:sz w:val="20"/>
                <w:szCs w:val="20"/>
              </w:rPr>
              <w:t>3</w:t>
            </w:r>
          </w:p>
        </w:tc>
        <w:tc>
          <w:tcPr>
            <w:tcW w:w="1738" w:type="dxa"/>
          </w:tcPr>
          <w:p w:rsidR="00AD6BEC" w:rsidRPr="006F743B" w:rsidRDefault="006F743B" w:rsidP="00160B88">
            <w:pPr>
              <w:rPr>
                <w:sz w:val="20"/>
                <w:szCs w:val="20"/>
              </w:rPr>
            </w:pPr>
            <w:r>
              <w:rPr>
                <w:sz w:val="20"/>
                <w:szCs w:val="20"/>
              </w:rPr>
              <w:t xml:space="preserve">US yes, </w:t>
            </w:r>
            <w:smartTag w:uri="urn:schemas-microsoft-com:office:smarttags" w:element="country-region">
              <w:smartTag w:uri="urn:schemas-microsoft-com:office:smarttags" w:element="place">
                <w:r>
                  <w:rPr>
                    <w:sz w:val="20"/>
                    <w:szCs w:val="20"/>
                  </w:rPr>
                  <w:t>China</w:t>
                </w:r>
              </w:smartTag>
            </w:smartTag>
            <w:r>
              <w:rPr>
                <w:sz w:val="20"/>
                <w:szCs w:val="20"/>
              </w:rPr>
              <w:t xml:space="preserve"> yes, with tax cuts</w:t>
            </w:r>
          </w:p>
        </w:tc>
        <w:tc>
          <w:tcPr>
            <w:tcW w:w="6408" w:type="dxa"/>
          </w:tcPr>
          <w:p w:rsidR="00AD6BEC" w:rsidRPr="006F743B" w:rsidRDefault="006F743B" w:rsidP="00160B88">
            <w:pPr>
              <w:rPr>
                <w:sz w:val="20"/>
                <w:szCs w:val="20"/>
              </w:rPr>
            </w:pPr>
            <w:smartTag w:uri="urn:schemas-microsoft-com:office:smarttags" w:element="country-region">
              <w:smartTag w:uri="urn:schemas-microsoft-com:office:smarttags" w:element="place">
                <w:r w:rsidRPr="006F743B">
                  <w:rPr>
                    <w:sz w:val="20"/>
                    <w:szCs w:val="20"/>
                  </w:rPr>
                  <w:t>China</w:t>
                </w:r>
              </w:smartTag>
            </w:smartTag>
            <w:r w:rsidRPr="006F743B">
              <w:rPr>
                <w:sz w:val="20"/>
                <w:szCs w:val="20"/>
              </w:rPr>
              <w:t xml:space="preserve"> fulfills plans to move its electrical generation capacity away from coal and towards nuclear and renewable sources, and also introduces a carbon tax.  It reduces other indirect taxes (except those on tobacco and alcohol) and reduces personal income taxes such that the effect on the government budget is approximately neutral.</w:t>
            </w:r>
            <w:r w:rsidR="006806CC">
              <w:rPr>
                <w:sz w:val="20"/>
                <w:szCs w:val="20"/>
              </w:rPr>
              <w:t xml:space="preserve">  </w:t>
            </w:r>
            <w:r w:rsidR="00DB57B0">
              <w:rPr>
                <w:sz w:val="20"/>
                <w:szCs w:val="20"/>
              </w:rPr>
              <w:t>(</w:t>
            </w:r>
            <w:r w:rsidR="006806CC">
              <w:rPr>
                <w:sz w:val="20"/>
                <w:szCs w:val="20"/>
              </w:rPr>
              <w:t>This means that the increase in carbon tax revenue is roughly offset by other tax reductions and expenditure increases.</w:t>
            </w:r>
            <w:r w:rsidR="00DB57B0">
              <w:rPr>
                <w:sz w:val="20"/>
                <w:szCs w:val="20"/>
              </w:rPr>
              <w:t>)</w:t>
            </w:r>
          </w:p>
        </w:tc>
      </w:tr>
      <w:tr w:rsidR="00AD6BEC" w:rsidTr="00AD6BEC">
        <w:tc>
          <w:tcPr>
            <w:tcW w:w="710" w:type="dxa"/>
          </w:tcPr>
          <w:p w:rsidR="00AD6BEC" w:rsidRPr="00AD6BEC" w:rsidRDefault="00AD6BEC" w:rsidP="00160B88">
            <w:pPr>
              <w:rPr>
                <w:sz w:val="20"/>
                <w:szCs w:val="20"/>
              </w:rPr>
            </w:pPr>
            <w:r w:rsidRPr="00AD6BEC">
              <w:rPr>
                <w:sz w:val="20"/>
                <w:szCs w:val="20"/>
              </w:rPr>
              <w:t>4</w:t>
            </w:r>
          </w:p>
        </w:tc>
        <w:tc>
          <w:tcPr>
            <w:tcW w:w="1738" w:type="dxa"/>
          </w:tcPr>
          <w:p w:rsidR="00AD6BEC" w:rsidRPr="006F743B" w:rsidRDefault="006F743B" w:rsidP="00160B88">
            <w:pPr>
              <w:rPr>
                <w:sz w:val="20"/>
                <w:szCs w:val="20"/>
              </w:rPr>
            </w:pPr>
            <w:smartTag w:uri="urn:schemas-microsoft-com:office:smarttags" w:element="country-region">
              <w:r>
                <w:rPr>
                  <w:sz w:val="20"/>
                  <w:szCs w:val="20"/>
                </w:rPr>
                <w:t>US</w:t>
              </w:r>
            </w:smartTag>
            <w:r>
              <w:rPr>
                <w:sz w:val="20"/>
                <w:szCs w:val="20"/>
              </w:rPr>
              <w:t xml:space="preserve"> yes, </w:t>
            </w:r>
            <w:smartTag w:uri="urn:schemas-microsoft-com:office:smarttags" w:element="country-region">
              <w:smartTag w:uri="urn:schemas-microsoft-com:office:smarttags" w:element="place">
                <w:r>
                  <w:rPr>
                    <w:sz w:val="20"/>
                    <w:szCs w:val="20"/>
                  </w:rPr>
                  <w:t>China</w:t>
                </w:r>
              </w:smartTag>
            </w:smartTag>
            <w:r>
              <w:rPr>
                <w:sz w:val="20"/>
                <w:szCs w:val="20"/>
              </w:rPr>
              <w:t xml:space="preserve"> yes, tax cuts &amp; health </w:t>
            </w:r>
            <w:r>
              <w:rPr>
                <w:sz w:val="20"/>
                <w:szCs w:val="20"/>
              </w:rPr>
              <w:lastRenderedPageBreak/>
              <w:t>care</w:t>
            </w:r>
          </w:p>
        </w:tc>
        <w:tc>
          <w:tcPr>
            <w:tcW w:w="6408" w:type="dxa"/>
          </w:tcPr>
          <w:p w:rsidR="00AD6BEC" w:rsidRPr="006F743B" w:rsidRDefault="006F743B" w:rsidP="00583C00">
            <w:pPr>
              <w:rPr>
                <w:sz w:val="20"/>
                <w:szCs w:val="20"/>
              </w:rPr>
            </w:pPr>
            <w:r w:rsidRPr="006F743B">
              <w:rPr>
                <w:sz w:val="20"/>
                <w:szCs w:val="20"/>
              </w:rPr>
              <w:lastRenderedPageBreak/>
              <w:t xml:space="preserve">China fulfills its electrical generation plans and introduces a carbon tax (same as case 3) and provides for personal income tax reductions.  However </w:t>
            </w:r>
            <w:r w:rsidRPr="006F743B">
              <w:rPr>
                <w:sz w:val="20"/>
                <w:szCs w:val="20"/>
              </w:rPr>
              <w:lastRenderedPageBreak/>
              <w:t xml:space="preserve">instead of lowering other indirect taxes it </w:t>
            </w:r>
            <w:bookmarkStart w:id="0" w:name="OLE_LINK1"/>
            <w:bookmarkStart w:id="1" w:name="OLE_LINK2"/>
            <w:r w:rsidRPr="006F743B">
              <w:rPr>
                <w:sz w:val="20"/>
                <w:szCs w:val="20"/>
              </w:rPr>
              <w:t>uses the money on a massive improvement of health care across the country</w:t>
            </w:r>
            <w:r w:rsidR="00583C00">
              <w:rPr>
                <w:sz w:val="20"/>
                <w:szCs w:val="20"/>
              </w:rPr>
              <w:t>.</w:t>
            </w:r>
            <w:r w:rsidRPr="006F743B">
              <w:rPr>
                <w:sz w:val="20"/>
                <w:szCs w:val="20"/>
              </w:rPr>
              <w:t xml:space="preserve"> </w:t>
            </w:r>
            <w:bookmarkEnd w:id="0"/>
            <w:bookmarkEnd w:id="1"/>
          </w:p>
        </w:tc>
      </w:tr>
    </w:tbl>
    <w:p w:rsidR="00AD6BEC" w:rsidRDefault="00AD6BEC" w:rsidP="00160B88">
      <w:pPr>
        <w:rPr>
          <w:b/>
          <w:bCs/>
        </w:rPr>
      </w:pPr>
    </w:p>
    <w:p w:rsidR="00160B88" w:rsidRDefault="00160B88"/>
    <w:p w:rsidR="00160B88" w:rsidRDefault="00160B88">
      <w:pPr>
        <w:rPr>
          <w:i/>
          <w:iCs/>
        </w:rPr>
      </w:pPr>
      <w:smartTag w:uri="urn:schemas-microsoft-com:office:smarttags" w:element="place">
        <w:smartTag w:uri="urn:schemas-microsoft-com:office:smarttags" w:element="country-region">
          <w:r>
            <w:rPr>
              <w:i/>
              <w:iCs/>
            </w:rPr>
            <w:t>U.S.</w:t>
          </w:r>
        </w:smartTag>
      </w:smartTag>
      <w:r>
        <w:rPr>
          <w:i/>
          <w:iCs/>
        </w:rPr>
        <w:t xml:space="preserve"> Modeling Results</w:t>
      </w:r>
    </w:p>
    <w:p w:rsidR="00160B88" w:rsidRDefault="00B81FB8" w:rsidP="003B7299">
      <w:pPr>
        <w:jc w:val="both"/>
      </w:pPr>
      <w:r>
        <w:t>T</w:t>
      </w:r>
      <w:r w:rsidR="00BC0D03">
        <w:t xml:space="preserve">his </w:t>
      </w:r>
      <w:r w:rsidR="009E4B3E">
        <w:t xml:space="preserve">part of the </w:t>
      </w:r>
      <w:r w:rsidR="00BC0D03">
        <w:t>paper focuses on the impact of the carbon pricing and any resulting trade leakages from the U.S. perspective.</w:t>
      </w:r>
      <w:r w:rsidR="00A07FEB">
        <w:t xml:space="preserve">  From the </w:t>
      </w:r>
      <w:smartTag w:uri="urn:schemas-microsoft-com:office:smarttags" w:element="country-region">
        <w:r w:rsidR="00A07FEB">
          <w:t>U.S.</w:t>
        </w:r>
      </w:smartTag>
      <w:r w:rsidR="00A07FEB">
        <w:t xml:space="preserve"> side, we will begin by </w:t>
      </w:r>
      <w:r w:rsidR="009E4B3E">
        <w:t>examining</w:t>
      </w:r>
      <w:r w:rsidR="00A07FEB">
        <w:t xml:space="preserve"> the differences between the reference case (Case 1) and the case where only the </w:t>
      </w:r>
      <w:smartTag w:uri="urn:schemas-microsoft-com:office:smarttags" w:element="country-region">
        <w:smartTag w:uri="urn:schemas-microsoft-com:office:smarttags" w:element="place">
          <w:r w:rsidR="00A07FEB">
            <w:t>U.S.</w:t>
          </w:r>
        </w:smartTag>
      </w:smartTag>
      <w:r w:rsidR="00A07FEB">
        <w:t xml:space="preserve"> imposes a tax (Case 2).</w:t>
      </w:r>
    </w:p>
    <w:p w:rsidR="002B4231" w:rsidRPr="00BC0D03" w:rsidRDefault="002B4231" w:rsidP="003B7299">
      <w:pPr>
        <w:jc w:val="both"/>
      </w:pPr>
    </w:p>
    <w:p w:rsidR="00D90CC8" w:rsidRDefault="00D35CD5" w:rsidP="00515183">
      <w:pPr>
        <w:rPr>
          <w:b/>
          <w:bCs/>
        </w:rPr>
      </w:pPr>
      <w:r>
        <w:rPr>
          <w:b/>
          <w:bCs/>
        </w:rPr>
        <w:t>Carbon dioxide emissions</w:t>
      </w:r>
    </w:p>
    <w:p w:rsidR="00291090" w:rsidRDefault="00291090" w:rsidP="003B7299">
      <w:pPr>
        <w:jc w:val="both"/>
      </w:pPr>
      <w:r>
        <w:t xml:space="preserve">The </w:t>
      </w:r>
      <w:r w:rsidRPr="00E10B76">
        <w:rPr>
          <w:i/>
          <w:iCs/>
        </w:rPr>
        <w:t>LIFT</w:t>
      </w:r>
      <w:r>
        <w:t xml:space="preserve"> model calculates carbon dioxide emissions by sector and source, based on the energy consumption by type of energy product in each industry, and assumed carbon emissions ratios to energy consumption by type.</w:t>
      </w:r>
      <w:r>
        <w:rPr>
          <w:rStyle w:val="FootnoteReference"/>
        </w:rPr>
        <w:footnoteReference w:id="17"/>
      </w:r>
      <w:r>
        <w:t xml:space="preserve"> </w:t>
      </w:r>
    </w:p>
    <w:p w:rsidR="003F0A73" w:rsidRPr="00291090" w:rsidRDefault="00291090" w:rsidP="003B7299">
      <w:pPr>
        <w:jc w:val="both"/>
      </w:pPr>
      <w:r>
        <w:t xml:space="preserve">Table 6 shows the emissions by sector and source in 2010, and then the estimated emissions in the base case and the Waxman-Markey case in 2030. </w:t>
      </w:r>
    </w:p>
    <w:p w:rsidR="003F0A73" w:rsidRPr="004915BC" w:rsidRDefault="006D7839" w:rsidP="00515183">
      <w:pPr>
        <w:rPr>
          <w:b/>
          <w:bCs/>
        </w:rPr>
      </w:pPr>
      <w:r>
        <w:rPr>
          <w:b/>
          <w:bCs/>
          <w:noProof/>
        </w:rPr>
        <w:drawing>
          <wp:inline distT="0" distB="0" distL="0" distR="0">
            <wp:extent cx="3774440" cy="373888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3774440" cy="3738880"/>
                    </a:xfrm>
                    <a:prstGeom prst="rect">
                      <a:avLst/>
                    </a:prstGeom>
                    <a:noFill/>
                    <a:ln w="9525">
                      <a:noFill/>
                      <a:miter lim="800000"/>
                      <a:headEnd/>
                      <a:tailEnd/>
                    </a:ln>
                  </pic:spPr>
                </pic:pic>
              </a:graphicData>
            </a:graphic>
          </wp:inline>
        </w:drawing>
      </w:r>
    </w:p>
    <w:p w:rsidR="00CE2056" w:rsidRDefault="00CE2056" w:rsidP="00D90CC8">
      <w:pPr>
        <w:rPr>
          <w:i/>
          <w:iCs/>
        </w:rPr>
      </w:pPr>
    </w:p>
    <w:p w:rsidR="0079667D" w:rsidRDefault="0079667D" w:rsidP="003B7299">
      <w:pPr>
        <w:jc w:val="both"/>
      </w:pPr>
      <w:r>
        <w:lastRenderedPageBreak/>
        <w:t>Note that even in the base case, although the total emissions are rising from 2010 to 2030, emissions per person have fallen, from 18.5 tons to 16.6 tons</w:t>
      </w:r>
      <w:r w:rsidR="004915BC">
        <w:t>, a decline of 10.3%</w:t>
      </w:r>
      <w:r>
        <w:t xml:space="preserve">.  Emissions to real GDP also decline, from </w:t>
      </w:r>
      <w:r w:rsidR="004915BC">
        <w:t xml:space="preserve">500 tons per millions $ GDP to 324.3 tons, a decline of 35.2%.  These declines in the base case are due mainly to the following three </w:t>
      </w:r>
      <w:r w:rsidR="006806CC">
        <w:t>factors, assumed in the AEO</w:t>
      </w:r>
      <w:r w:rsidR="004915BC">
        <w:t>:</w:t>
      </w:r>
    </w:p>
    <w:p w:rsidR="004915BC" w:rsidRDefault="004915BC" w:rsidP="003B7299">
      <w:pPr>
        <w:numPr>
          <w:ilvl w:val="0"/>
          <w:numId w:val="15"/>
        </w:numPr>
        <w:jc w:val="both"/>
      </w:pPr>
      <w:r>
        <w:t>Increasing energy efficiency of the industrial, commercial and transportation sectors, and a reduction in residential energy use.</w:t>
      </w:r>
    </w:p>
    <w:p w:rsidR="004915BC" w:rsidRDefault="004915BC" w:rsidP="003B7299">
      <w:pPr>
        <w:numPr>
          <w:ilvl w:val="0"/>
          <w:numId w:val="15"/>
        </w:numPr>
        <w:jc w:val="both"/>
      </w:pPr>
      <w:r>
        <w:t>A shift away from coal in electric power generation.</w:t>
      </w:r>
    </w:p>
    <w:p w:rsidR="004915BC" w:rsidRDefault="004915BC" w:rsidP="003B7299">
      <w:pPr>
        <w:numPr>
          <w:ilvl w:val="0"/>
          <w:numId w:val="15"/>
        </w:numPr>
        <w:jc w:val="both"/>
      </w:pPr>
      <w:r>
        <w:t>Sectoral shifts from energy/carbon intensive sectors to sectors that are less energy/carbon intensive.</w:t>
      </w:r>
    </w:p>
    <w:p w:rsidR="004915BC" w:rsidRDefault="004915BC" w:rsidP="004915BC"/>
    <w:p w:rsidR="0079667D" w:rsidRDefault="004915BC" w:rsidP="003B7299">
      <w:pPr>
        <w:jc w:val="both"/>
      </w:pPr>
      <w:r>
        <w:t xml:space="preserve">In the </w:t>
      </w:r>
      <w:r w:rsidR="005926AA">
        <w:t>c</w:t>
      </w:r>
      <w:r>
        <w:t>ase 2, there is a further decline in emissions, to 13.1 tons per person (29.2% decline) and to 256.2 tons per million$ GDP (48.8% decline).  These changes from the base case are also due to an intensification of the same 3 factors listed above which were already changing over time in the base.  Efficiencies in response to higher energy costs have accelerated, the electric power sector has shifted even further away from fossil fuels (especially coal) than in the base case, and there have been further sectoral shifts, partially from international trade.</w:t>
      </w:r>
      <w:r w:rsidR="006806CC">
        <w:rPr>
          <w:rStyle w:val="FootnoteReference"/>
        </w:rPr>
        <w:footnoteReference w:id="18"/>
      </w:r>
    </w:p>
    <w:p w:rsidR="00C13DDA" w:rsidRDefault="00C13DDA" w:rsidP="00B03C43">
      <w:pPr>
        <w:rPr>
          <w:b/>
          <w:bCs/>
        </w:rPr>
      </w:pPr>
    </w:p>
    <w:p w:rsidR="00B03C43" w:rsidRDefault="00B03C43" w:rsidP="00B03C43">
      <w:pPr>
        <w:rPr>
          <w:b/>
          <w:bCs/>
        </w:rPr>
      </w:pPr>
      <w:r w:rsidRPr="00291090">
        <w:rPr>
          <w:b/>
          <w:bCs/>
        </w:rPr>
        <w:t>Macroeconomic effects: GDP, real income, GDP deflator, net exports.</w:t>
      </w:r>
    </w:p>
    <w:p w:rsidR="00B03C43" w:rsidRPr="00CE2056" w:rsidRDefault="00CE2056" w:rsidP="003B7299">
      <w:pPr>
        <w:jc w:val="both"/>
      </w:pPr>
      <w:r>
        <w:t xml:space="preserve">Table 7 summarizes the broad picture of the macroeconomic effects of the HR2454 </w:t>
      </w:r>
      <w:r w:rsidR="00BC0D03">
        <w:t xml:space="preserve">(“Case 2”) </w:t>
      </w:r>
      <w:r>
        <w:t xml:space="preserve">scenario.  </w:t>
      </w:r>
      <w:r w:rsidR="00446ECF">
        <w:t xml:space="preserve">Early on, </w:t>
      </w:r>
      <w:r>
        <w:t xml:space="preserve">GDP falls </w:t>
      </w:r>
      <w:r w:rsidR="00DE103C">
        <w:t xml:space="preserve">significantly (-1.1%) </w:t>
      </w:r>
      <w:r>
        <w:t xml:space="preserve">relative to the base as the carbon price is first introduced.  However, due partly to increased energy efficiencies, and partly to the positive effects of revenue recycling, </w:t>
      </w:r>
      <w:r w:rsidR="00DE103C">
        <w:t xml:space="preserve">the </w:t>
      </w:r>
      <w:r w:rsidR="00144B3A">
        <w:t xml:space="preserve">difference </w:t>
      </w:r>
      <w:r w:rsidR="00DE103C">
        <w:t xml:space="preserve">in </w:t>
      </w:r>
      <w:r>
        <w:t xml:space="preserve">GDP </w:t>
      </w:r>
      <w:r w:rsidR="00DE103C">
        <w:t>from</w:t>
      </w:r>
      <w:r>
        <w:t xml:space="preserve"> the base </w:t>
      </w:r>
      <w:r w:rsidR="00DE103C">
        <w:t>is only -0.6</w:t>
      </w:r>
      <w:r w:rsidR="00DB57B0">
        <w:t xml:space="preserve"> percent</w:t>
      </w:r>
      <w:r w:rsidR="00DE103C">
        <w:t xml:space="preserve"> </w:t>
      </w:r>
      <w:r>
        <w:t xml:space="preserve">by 2020, and </w:t>
      </w:r>
      <w:r w:rsidR="00DE103C">
        <w:t>-0.3</w:t>
      </w:r>
      <w:r w:rsidR="00DB57B0">
        <w:t xml:space="preserve"> percent </w:t>
      </w:r>
      <w:r>
        <w:t>by 2030.  Real exports and real imports both decline in the aggregate, but exports decline more than imports.  Some of the import decline is a decline in oil imports.  The impact on real disposable income is relatively larger than the impact on GDP</w:t>
      </w:r>
      <w:r w:rsidR="00A8214A">
        <w:t xml:space="preserve"> in the early</w:t>
      </w:r>
      <w:r w:rsidR="00446ECF">
        <w:t xml:space="preserve"> years</w:t>
      </w:r>
      <w:r>
        <w:t>, declining by 1.</w:t>
      </w:r>
      <w:r w:rsidR="00DE103C">
        <w:t>2</w:t>
      </w:r>
      <w:r w:rsidR="00DB57B0">
        <w:t xml:space="preserve"> percent</w:t>
      </w:r>
      <w:r>
        <w:t xml:space="preserve"> in 2015, but </w:t>
      </w:r>
      <w:r w:rsidR="00A8214A">
        <w:t>about the same level as the GDP decline</w:t>
      </w:r>
      <w:r>
        <w:t xml:space="preserve"> in the subsequent years.  The effect of HR2454 on the aggregate GDP price deflator is </w:t>
      </w:r>
      <w:r w:rsidR="00A8214A">
        <w:t>positive, reflecting the higher energy prices due to the carbon price</w:t>
      </w:r>
      <w:r>
        <w:t xml:space="preserve">.  The last line </w:t>
      </w:r>
      <w:r w:rsidR="00A8214A">
        <w:t xml:space="preserve">of the table </w:t>
      </w:r>
      <w:r>
        <w:t xml:space="preserve">summarizes economy wide energy efficiency, as summarized by the ratio of </w:t>
      </w:r>
      <w:r w:rsidR="005926AA">
        <w:t>energy (</w:t>
      </w:r>
      <w:r>
        <w:t>Btus</w:t>
      </w:r>
      <w:r w:rsidR="005926AA">
        <w:t>)</w:t>
      </w:r>
      <w:r>
        <w:t xml:space="preserve"> to real GDP</w:t>
      </w:r>
      <w:r w:rsidR="005926AA">
        <w:t xml:space="preserve"> (constant 2000$)</w:t>
      </w:r>
      <w:r>
        <w:t>.  Energy efficiency increases by 5.</w:t>
      </w:r>
      <w:r w:rsidR="00A8214A">
        <w:t>9</w:t>
      </w:r>
      <w:r w:rsidR="00DB57B0">
        <w:t xml:space="preserve"> percent</w:t>
      </w:r>
      <w:r>
        <w:t xml:space="preserve"> by 2030.</w:t>
      </w:r>
    </w:p>
    <w:p w:rsidR="00B03C43" w:rsidRPr="007D2A99" w:rsidRDefault="00B03C43" w:rsidP="00291090">
      <w:pPr>
        <w:rPr>
          <w:b/>
          <w:bCs/>
        </w:rPr>
      </w:pPr>
    </w:p>
    <w:p w:rsidR="00B03C43" w:rsidRDefault="00B03C43" w:rsidP="00291090">
      <w:pPr>
        <w:rPr>
          <w:b/>
          <w:bCs/>
        </w:rPr>
      </w:pPr>
    </w:p>
    <w:p w:rsidR="00DB57B0" w:rsidRDefault="004E76A7" w:rsidP="00291090">
      <w:pPr>
        <w:rPr>
          <w:b/>
          <w:bCs/>
        </w:rPr>
      </w:pPr>
      <w:r>
        <w:rPr>
          <w:b/>
          <w:bCs/>
          <w:noProof/>
        </w:rPr>
        <w:lastRenderedPageBreak/>
        <w:drawing>
          <wp:inline distT="0" distB="0" distL="0" distR="0">
            <wp:extent cx="5486400" cy="3018157"/>
            <wp:effectExtent l="1905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srcRect/>
                    <a:stretch>
                      <a:fillRect/>
                    </a:stretch>
                  </pic:blipFill>
                  <pic:spPr bwMode="auto">
                    <a:xfrm>
                      <a:off x="0" y="0"/>
                      <a:ext cx="5486400" cy="3018157"/>
                    </a:xfrm>
                    <a:prstGeom prst="rect">
                      <a:avLst/>
                    </a:prstGeom>
                    <a:noFill/>
                    <a:ln w="9525">
                      <a:noFill/>
                      <a:miter lim="800000"/>
                      <a:headEnd/>
                      <a:tailEnd/>
                    </a:ln>
                  </pic:spPr>
                </pic:pic>
              </a:graphicData>
            </a:graphic>
          </wp:inline>
        </w:drawing>
      </w:r>
    </w:p>
    <w:p w:rsidR="00D90CC8" w:rsidRDefault="00D90CC8" w:rsidP="00291090">
      <w:pPr>
        <w:rPr>
          <w:b/>
          <w:bCs/>
        </w:rPr>
      </w:pPr>
      <w:r w:rsidRPr="00291090">
        <w:rPr>
          <w:b/>
          <w:bCs/>
        </w:rPr>
        <w:t>Price effects on other industries</w:t>
      </w:r>
      <w:r w:rsidR="00291090" w:rsidRPr="00291090">
        <w:rPr>
          <w:b/>
          <w:bCs/>
        </w:rPr>
        <w:t>.</w:t>
      </w:r>
    </w:p>
    <w:p w:rsidR="00291090" w:rsidRDefault="00291090" w:rsidP="003B7299">
      <w:pPr>
        <w:jc w:val="both"/>
      </w:pPr>
      <w:r>
        <w:t>In addition to the increased price of energy products, sectors that use energy intensively also experience price increases.</w:t>
      </w:r>
      <w:r w:rsidR="00B03C43">
        <w:t xml:space="preserve"> Table 8 shows the top 10 sectors, ranked by the percent of price increase in 2030.  We have removed from the ranking the petroleum refining and utilities sectors.</w:t>
      </w:r>
    </w:p>
    <w:p w:rsidR="00B03C43" w:rsidRDefault="00B03C43" w:rsidP="003B7299">
      <w:pPr>
        <w:jc w:val="both"/>
      </w:pPr>
      <w:r>
        <w:t xml:space="preserve">All industries in the list are </w:t>
      </w:r>
      <w:r w:rsidR="00FF23C2">
        <w:t>either transportation</w:t>
      </w:r>
      <w:r w:rsidR="007B45B2">
        <w:rPr>
          <w:rStyle w:val="FootnoteReference"/>
        </w:rPr>
        <w:footnoteReference w:id="19"/>
      </w:r>
      <w:r w:rsidR="00FF23C2">
        <w:t xml:space="preserve"> or </w:t>
      </w:r>
      <w:r>
        <w:t xml:space="preserve">energy-intensive industrial sectors.  </w:t>
      </w:r>
      <w:r w:rsidR="00FF23C2">
        <w:t>Agricultural fertilizers (7.4%), Stone, clay and glass (6.3%), Other chemicals (5.4%), Primary ferrous metals (4.0%), Plastics and synthetics</w:t>
      </w:r>
      <w:r w:rsidR="004E76A7">
        <w:rPr>
          <w:rStyle w:val="FootnoteReference"/>
        </w:rPr>
        <w:footnoteReference w:id="20"/>
      </w:r>
      <w:r w:rsidR="00FF23C2">
        <w:t xml:space="preserve"> (2.6%) and Paper (2.3%) are the industrial sectors with the largest price increases, that we would expect to suffer from international trade leakages.</w:t>
      </w:r>
    </w:p>
    <w:p w:rsidR="00B03C43" w:rsidRPr="00550FAC" w:rsidRDefault="006D7839" w:rsidP="00291090">
      <w:r>
        <w:rPr>
          <w:noProof/>
        </w:rPr>
        <w:lastRenderedPageBreak/>
        <w:drawing>
          <wp:inline distT="0" distB="0" distL="0" distR="0">
            <wp:extent cx="5481320" cy="2773680"/>
            <wp:effectExtent l="1905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srcRect/>
                    <a:stretch>
                      <a:fillRect/>
                    </a:stretch>
                  </pic:blipFill>
                  <pic:spPr bwMode="auto">
                    <a:xfrm>
                      <a:off x="0" y="0"/>
                      <a:ext cx="5481320" cy="2773680"/>
                    </a:xfrm>
                    <a:prstGeom prst="rect">
                      <a:avLst/>
                    </a:prstGeom>
                    <a:noFill/>
                    <a:ln w="9525">
                      <a:noFill/>
                      <a:miter lim="800000"/>
                      <a:headEnd/>
                      <a:tailEnd/>
                    </a:ln>
                  </pic:spPr>
                </pic:pic>
              </a:graphicData>
            </a:graphic>
          </wp:inline>
        </w:drawing>
      </w:r>
    </w:p>
    <w:p w:rsidR="00D90CC8" w:rsidRDefault="00D90CC8" w:rsidP="00291090">
      <w:pPr>
        <w:rPr>
          <w:b/>
          <w:bCs/>
        </w:rPr>
      </w:pPr>
      <w:r w:rsidRPr="00291090">
        <w:rPr>
          <w:b/>
          <w:bCs/>
        </w:rPr>
        <w:t xml:space="preserve">Changes in </w:t>
      </w:r>
      <w:r w:rsidR="00CE2056">
        <w:rPr>
          <w:b/>
          <w:bCs/>
        </w:rPr>
        <w:t xml:space="preserve">sectoral exports and </w:t>
      </w:r>
      <w:r w:rsidRPr="00291090">
        <w:rPr>
          <w:b/>
          <w:bCs/>
        </w:rPr>
        <w:t>imports</w:t>
      </w:r>
    </w:p>
    <w:p w:rsidR="002F5EB8" w:rsidRDefault="002F5EB8" w:rsidP="003B7299">
      <w:pPr>
        <w:jc w:val="both"/>
      </w:pPr>
      <w:r>
        <w:t xml:space="preserve">Imports for a given commodity are determined by domestic demand of that commodity and relative domestic and import prices.  With domestic prices rising in response to the carbon price, we expect imports of several sectors to rise.  Table 9 shows imports between the base case </w:t>
      </w:r>
      <w:r w:rsidR="007B45B2">
        <w:t xml:space="preserve">(case 1) </w:t>
      </w:r>
      <w:r>
        <w:t xml:space="preserve">and the Waxman-Markey </w:t>
      </w:r>
      <w:r w:rsidR="00342E66">
        <w:t>(</w:t>
      </w:r>
      <w:r>
        <w:t>case 2</w:t>
      </w:r>
      <w:r w:rsidR="00342E66">
        <w:t>) scenario</w:t>
      </w:r>
      <w:r>
        <w:t xml:space="preserve"> for 2020 and 2030, ranked by the percentage difference in 2030.  </w:t>
      </w:r>
      <w:r w:rsidR="007B45B2">
        <w:t>Note that the difference in imports between cases is not always directly related to the difference in price by sector</w:t>
      </w:r>
      <w:r>
        <w:t xml:space="preserve">.  </w:t>
      </w:r>
      <w:r w:rsidR="007B45B2">
        <w:t xml:space="preserve">Some of the increases in imports are likely related to the revenue recycling mechanism.  For example, recycling revenue in the form of a personal tax cut stimulates demand for imports of consumer goods.  Subsidies or tax breaks for specific sectors may generate imports for the products these industries use as inputs.  </w:t>
      </w:r>
      <w:r>
        <w:t>The largest 5 sectors are investment goods, and the next several sectors are consumer goods.    Note that overall imports are down</w:t>
      </w:r>
      <w:r w:rsidR="00971CEC">
        <w:t xml:space="preserve"> about 12.5 billion dollars in 2030, or about 0.4 percent.</w:t>
      </w:r>
      <w:r>
        <w:t xml:space="preserve"> </w:t>
      </w:r>
      <w:r w:rsidR="00971CEC">
        <w:t xml:space="preserve">This result is the combination </w:t>
      </w:r>
      <w:r>
        <w:t xml:space="preserve">of a slower economy, and the fact that oil imports </w:t>
      </w:r>
      <w:r w:rsidR="00971CEC">
        <w:t xml:space="preserve">alone </w:t>
      </w:r>
      <w:r>
        <w:t>have been reduced</w:t>
      </w:r>
      <w:r w:rsidR="00971CEC">
        <w:t xml:space="preserve"> by about 5.3 billion dollars in 2030 (about 6.9 percent)</w:t>
      </w:r>
      <w:r>
        <w:t>.</w:t>
      </w:r>
    </w:p>
    <w:p w:rsidR="002F5EB8" w:rsidRDefault="002F5EB8" w:rsidP="003B7299">
      <w:pPr>
        <w:jc w:val="both"/>
      </w:pPr>
      <w:r>
        <w:t xml:space="preserve">Table 10 shows the results for exports, again ranked by the percentage change.  This time, we have ranked the sectors with the largest decline first.  In the case of exports, the </w:t>
      </w:r>
      <w:r w:rsidR="00D54E2B">
        <w:t>largest declines</w:t>
      </w:r>
      <w:r>
        <w:t xml:space="preserve"> are also </w:t>
      </w:r>
      <w:r w:rsidR="00D54E2B">
        <w:t xml:space="preserve">in </w:t>
      </w:r>
      <w:r>
        <w:t>sectors with large increases in domestic price, such as Agricultural fertilizers, Ferrous metals, Stone clay and glass, and Chemicals.  Remember, total exports are down by 1.8% by 2030</w:t>
      </w:r>
      <w:r w:rsidR="00D54E2B">
        <w:t xml:space="preserve"> compared to the base case</w:t>
      </w:r>
      <w:r>
        <w:t>, and exports of most sectors have declined, though not nearly as much as in these sectors that have carbon intensive production techniques.</w:t>
      </w:r>
    </w:p>
    <w:p w:rsidR="000821AC" w:rsidRDefault="000821AC" w:rsidP="00291090"/>
    <w:p w:rsidR="000821AC" w:rsidRPr="000821AC" w:rsidRDefault="000821AC" w:rsidP="00291090"/>
    <w:p w:rsidR="00291090" w:rsidRDefault="007B45B2" w:rsidP="00291090">
      <w:r>
        <w:rPr>
          <w:noProof/>
        </w:rPr>
        <w:lastRenderedPageBreak/>
        <w:drawing>
          <wp:inline distT="0" distB="0" distL="0" distR="0">
            <wp:extent cx="722630" cy="169545"/>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srcRect/>
                    <a:stretch>
                      <a:fillRect/>
                    </a:stretch>
                  </pic:blipFill>
                  <pic:spPr bwMode="auto">
                    <a:xfrm>
                      <a:off x="0" y="0"/>
                      <a:ext cx="722630" cy="169545"/>
                    </a:xfrm>
                    <a:prstGeom prst="rect">
                      <a:avLst/>
                    </a:prstGeom>
                    <a:noFill/>
                    <a:ln w="9525">
                      <a:noFill/>
                      <a:miter lim="800000"/>
                      <a:headEnd/>
                      <a:tailEnd/>
                    </a:ln>
                  </pic:spPr>
                </pic:pic>
              </a:graphicData>
            </a:graphic>
          </wp:inline>
        </w:drawing>
      </w:r>
      <w:r w:rsidRPr="007B45B2">
        <w:t xml:space="preserve"> </w:t>
      </w:r>
      <w:r>
        <w:rPr>
          <w:noProof/>
        </w:rPr>
        <w:drawing>
          <wp:inline distT="0" distB="0" distL="0" distR="0">
            <wp:extent cx="5486400" cy="2643286"/>
            <wp:effectExtent l="1905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srcRect/>
                    <a:stretch>
                      <a:fillRect/>
                    </a:stretch>
                  </pic:blipFill>
                  <pic:spPr bwMode="auto">
                    <a:xfrm>
                      <a:off x="0" y="0"/>
                      <a:ext cx="5486400" cy="2643286"/>
                    </a:xfrm>
                    <a:prstGeom prst="rect">
                      <a:avLst/>
                    </a:prstGeom>
                    <a:noFill/>
                    <a:ln w="9525">
                      <a:noFill/>
                      <a:miter lim="800000"/>
                      <a:headEnd/>
                      <a:tailEnd/>
                    </a:ln>
                  </pic:spPr>
                </pic:pic>
              </a:graphicData>
            </a:graphic>
          </wp:inline>
        </w:drawing>
      </w:r>
    </w:p>
    <w:p w:rsidR="00DD3261" w:rsidRDefault="00DD3261" w:rsidP="00291090"/>
    <w:p w:rsidR="00DD3261" w:rsidRPr="00550FAC" w:rsidRDefault="00DD3261" w:rsidP="00291090"/>
    <w:p w:rsidR="00484ECB" w:rsidRPr="00770344" w:rsidRDefault="007B45B2" w:rsidP="00D90CC8">
      <w:r>
        <w:rPr>
          <w:noProof/>
        </w:rPr>
        <w:drawing>
          <wp:inline distT="0" distB="0" distL="0" distR="0">
            <wp:extent cx="5486400" cy="2919153"/>
            <wp:effectExtent l="19050" t="0" r="0" b="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srcRect/>
                    <a:stretch>
                      <a:fillRect/>
                    </a:stretch>
                  </pic:blipFill>
                  <pic:spPr bwMode="auto">
                    <a:xfrm>
                      <a:off x="0" y="0"/>
                      <a:ext cx="5486400" cy="2919153"/>
                    </a:xfrm>
                    <a:prstGeom prst="rect">
                      <a:avLst/>
                    </a:prstGeom>
                    <a:noFill/>
                    <a:ln w="9525">
                      <a:noFill/>
                      <a:miter lim="800000"/>
                      <a:headEnd/>
                      <a:tailEnd/>
                    </a:ln>
                  </pic:spPr>
                </pic:pic>
              </a:graphicData>
            </a:graphic>
          </wp:inline>
        </w:drawing>
      </w:r>
    </w:p>
    <w:p w:rsidR="00484ECB" w:rsidRDefault="00484ECB" w:rsidP="00D90CC8">
      <w:pPr>
        <w:rPr>
          <w:i/>
          <w:iCs/>
        </w:rPr>
      </w:pPr>
    </w:p>
    <w:p w:rsidR="009E4B3E" w:rsidRDefault="009E4B3E" w:rsidP="009E4B3E">
      <w:pPr>
        <w:rPr>
          <w:i/>
          <w:iCs/>
        </w:rPr>
      </w:pPr>
      <w:r>
        <w:rPr>
          <w:i/>
          <w:iCs/>
        </w:rPr>
        <w:t>China Modeling Results</w:t>
      </w:r>
    </w:p>
    <w:p w:rsidR="009E4B3E" w:rsidRDefault="002F5EB8" w:rsidP="003B7299">
      <w:pPr>
        <w:jc w:val="both"/>
      </w:pPr>
      <w:r>
        <w:t xml:space="preserve">Before turning back to the U.S. to see the effects of China adopting </w:t>
      </w:r>
      <w:r w:rsidR="00D54E2B">
        <w:t xml:space="preserve">a carbon </w:t>
      </w:r>
      <w:r>
        <w:t xml:space="preserve">tax, we will look at a few features of the China modeling results, to better understand the </w:t>
      </w:r>
      <w:r w:rsidR="0063441E">
        <w:t xml:space="preserve">full </w:t>
      </w:r>
      <w:r>
        <w:t>model scenarios</w:t>
      </w:r>
      <w:r w:rsidR="0063441E">
        <w:t xml:space="preserve">. The </w:t>
      </w:r>
      <w:r w:rsidR="0063441E">
        <w:rPr>
          <w:i/>
          <w:iCs/>
        </w:rPr>
        <w:t>Mudan</w:t>
      </w:r>
      <w:r w:rsidR="0063441E">
        <w:t xml:space="preserve"> model maintains a domestic price vector, but also a vector of prices for exported goods.  It is the domestic price that is directly affected by the carbon charge, and the export price is related to that price.  </w:t>
      </w:r>
    </w:p>
    <w:p w:rsidR="0063441E" w:rsidRDefault="0063441E" w:rsidP="003B7299">
      <w:pPr>
        <w:jc w:val="both"/>
      </w:pPr>
      <w:r>
        <w:t>Table 11 compares the export prices with and without the carbon tax (</w:t>
      </w:r>
      <w:r w:rsidR="00F14BCF">
        <w:t>C</w:t>
      </w:r>
      <w:r>
        <w:t xml:space="preserve">ase 2 compared with </w:t>
      </w:r>
      <w:r w:rsidR="00F14BCF">
        <w:t>C</w:t>
      </w:r>
      <w:r>
        <w:t xml:space="preserve">ase 3), for the </w:t>
      </w:r>
      <w:r w:rsidR="00D54E2B">
        <w:t xml:space="preserve">ten </w:t>
      </w:r>
      <w:r>
        <w:t>sectors with the largest export price increase.</w:t>
      </w:r>
      <w:r w:rsidR="003750D0">
        <w:t xml:space="preserve">  We have removed </w:t>
      </w:r>
      <w:r w:rsidR="003750D0">
        <w:lastRenderedPageBreak/>
        <w:t xml:space="preserve">the energy industries from this ranking (coal, gas, petroleum and electricity).  In </w:t>
      </w:r>
      <w:smartTag w:uri="urn:schemas-microsoft-com:office:smarttags" w:element="country-region">
        <w:smartTag w:uri="urn:schemas-microsoft-com:office:smarttags" w:element="place">
          <w:r w:rsidR="003750D0">
            <w:t>China</w:t>
          </w:r>
        </w:smartTag>
      </w:smartTag>
      <w:r w:rsidR="003750D0">
        <w:t xml:space="preserve">, logging and transport of timber and bamboo has the highest export price increase (19.7%).    Four of the other top </w:t>
      </w:r>
      <w:r w:rsidR="00D54E2B">
        <w:t xml:space="preserve">ten </w:t>
      </w:r>
      <w:r w:rsidR="003750D0">
        <w:t xml:space="preserve">industries are transportation industries.  The only overlap with the high price increase sectors in the U.S. is ferrous ore mining (2.2%) and </w:t>
      </w:r>
      <w:r w:rsidR="00971CEC">
        <w:t xml:space="preserve">primary </w:t>
      </w:r>
      <w:r w:rsidR="003750D0">
        <w:t>non-ferrous metals (1.5%).</w:t>
      </w:r>
    </w:p>
    <w:p w:rsidR="00971CEC" w:rsidRDefault="00971CEC" w:rsidP="003B7299">
      <w:pPr>
        <w:jc w:val="both"/>
      </w:pPr>
    </w:p>
    <w:p w:rsidR="003750D0" w:rsidRPr="003750D0" w:rsidRDefault="00F37E62" w:rsidP="009E4B3E">
      <w:r>
        <w:rPr>
          <w:noProof/>
        </w:rPr>
        <w:drawing>
          <wp:inline distT="0" distB="0" distL="0" distR="0">
            <wp:extent cx="5486400" cy="2204586"/>
            <wp:effectExtent l="19050" t="0" r="0" b="0"/>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srcRect/>
                    <a:stretch>
                      <a:fillRect/>
                    </a:stretch>
                  </pic:blipFill>
                  <pic:spPr bwMode="auto">
                    <a:xfrm>
                      <a:off x="0" y="0"/>
                      <a:ext cx="5486400" cy="2204586"/>
                    </a:xfrm>
                    <a:prstGeom prst="rect">
                      <a:avLst/>
                    </a:prstGeom>
                    <a:noFill/>
                    <a:ln w="9525">
                      <a:noFill/>
                      <a:miter lim="800000"/>
                      <a:headEnd/>
                      <a:tailEnd/>
                    </a:ln>
                  </pic:spPr>
                </pic:pic>
              </a:graphicData>
            </a:graphic>
          </wp:inline>
        </w:drawing>
      </w:r>
    </w:p>
    <w:p w:rsidR="009E4B3E" w:rsidRDefault="00545851" w:rsidP="003B7299">
      <w:pPr>
        <w:jc w:val="both"/>
      </w:pPr>
      <w:r>
        <w:t xml:space="preserve">Table 12 shows the differences in Chinese exports after imposing the carbon tax.  The top </w:t>
      </w:r>
      <w:r w:rsidR="00D54E2B">
        <w:t xml:space="preserve">ten </w:t>
      </w:r>
      <w:r>
        <w:t xml:space="preserve">industries are shown, ranked by the largest decline in exports relative to Case 2.  Only </w:t>
      </w:r>
      <w:r w:rsidR="00D54E2B">
        <w:t>three</w:t>
      </w:r>
      <w:r>
        <w:t xml:space="preserve"> of these sectors are also in </w:t>
      </w:r>
      <w:r w:rsidR="00D54E2B">
        <w:t>T</w:t>
      </w:r>
      <w:r>
        <w:t>able 11: Logging and transport of timber and bamboo (-6.9%), Primary non-ferrous metals manufacturing (-4.8%) and Non-ferrous ore mining (-3.9%).  Forestry, with a large export decline (-6.9%), had only a small export price increase (0.1%).  Aerospace, with a 4.6% decline, had only a 0.2% export price increase</w:t>
      </w:r>
      <w:r w:rsidR="00DD3261">
        <w:rPr>
          <w:rStyle w:val="FootnoteReference"/>
        </w:rPr>
        <w:footnoteReference w:id="21"/>
      </w:r>
      <w:r>
        <w:t>.</w:t>
      </w:r>
    </w:p>
    <w:p w:rsidR="00545851" w:rsidRPr="00545851" w:rsidRDefault="00545851" w:rsidP="003B7299">
      <w:pPr>
        <w:jc w:val="both"/>
      </w:pPr>
      <w:r>
        <w:t>The Bilateral Trade Model, which determines the exports for each country, relies not just on relative</w:t>
      </w:r>
      <w:r w:rsidR="00DB57B0">
        <w:t xml:space="preserve"> prices</w:t>
      </w:r>
      <w:r>
        <w:t xml:space="preserve"> but also on relative investment growth.  It is possible that these sectors saw relative investment declines compared to case 2.</w:t>
      </w:r>
      <w:r w:rsidR="00DD3261">
        <w:t xml:space="preserve">  This is because case 3 also had large investments in nuclear and renewable energy, which crowded out investments in other sectors.</w:t>
      </w:r>
    </w:p>
    <w:p w:rsidR="00545851" w:rsidRDefault="00545851" w:rsidP="009E4B3E">
      <w:pPr>
        <w:rPr>
          <w:i/>
          <w:iCs/>
        </w:rPr>
      </w:pPr>
    </w:p>
    <w:p w:rsidR="003750D0" w:rsidRPr="003750D0" w:rsidRDefault="00781BB6" w:rsidP="009E4B3E">
      <w:pPr>
        <w:rPr>
          <w:i/>
          <w:iCs/>
        </w:rPr>
      </w:pPr>
      <w:r>
        <w:rPr>
          <w:i/>
          <w:iCs/>
          <w:noProof/>
        </w:rPr>
        <w:lastRenderedPageBreak/>
        <w:drawing>
          <wp:inline distT="0" distB="0" distL="0" distR="0">
            <wp:extent cx="5486400" cy="2511400"/>
            <wp:effectExtent l="19050" t="0" r="0" b="0"/>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srcRect/>
                    <a:stretch>
                      <a:fillRect/>
                    </a:stretch>
                  </pic:blipFill>
                  <pic:spPr bwMode="auto">
                    <a:xfrm>
                      <a:off x="0" y="0"/>
                      <a:ext cx="5486400" cy="2511400"/>
                    </a:xfrm>
                    <a:prstGeom prst="rect">
                      <a:avLst/>
                    </a:prstGeom>
                    <a:noFill/>
                    <a:ln w="9525">
                      <a:noFill/>
                      <a:miter lim="800000"/>
                      <a:headEnd/>
                      <a:tailEnd/>
                    </a:ln>
                  </pic:spPr>
                </pic:pic>
              </a:graphicData>
            </a:graphic>
          </wp:inline>
        </w:drawing>
      </w:r>
    </w:p>
    <w:p w:rsidR="00B10135" w:rsidRDefault="00334585" w:rsidP="003B7299">
      <w:pPr>
        <w:jc w:val="both"/>
      </w:pPr>
      <w:r>
        <w:t xml:space="preserve">Table 13 shows selected variables in the macroeconomic summary for </w:t>
      </w:r>
      <w:smartTag w:uri="urn:schemas-microsoft-com:office:smarttags" w:element="country-region">
        <w:smartTag w:uri="urn:schemas-microsoft-com:office:smarttags" w:element="place">
          <w:r>
            <w:t>China</w:t>
          </w:r>
        </w:smartTag>
      </w:smartTag>
      <w:r>
        <w:t>, comparing case</w:t>
      </w:r>
      <w:r w:rsidR="00726982">
        <w:t>s</w:t>
      </w:r>
      <w:r>
        <w:t xml:space="preserve"> 3 </w:t>
      </w:r>
      <w:r w:rsidR="00726982">
        <w:t xml:space="preserve">and 4 </w:t>
      </w:r>
      <w:r>
        <w:t xml:space="preserve">with case 2.  Unlike in the </w:t>
      </w:r>
      <w:smartTag w:uri="urn:schemas-microsoft-com:office:smarttags" w:element="country-region">
        <w:r>
          <w:t>U.S.</w:t>
        </w:r>
      </w:smartTag>
      <w:r>
        <w:t xml:space="preserve"> scenarios, GDP in </w:t>
      </w:r>
      <w:smartTag w:uri="urn:schemas-microsoft-com:office:smarttags" w:element="place">
        <w:smartTag w:uri="urn:schemas-microsoft-com:office:smarttags" w:element="country-region">
          <w:r>
            <w:t>China</w:t>
          </w:r>
        </w:smartTag>
      </w:smartTag>
      <w:r>
        <w:t xml:space="preserve"> after imposing the tax regime is higher than without the tax</w:t>
      </w:r>
      <w:r w:rsidR="00726982">
        <w:t xml:space="preserve"> (except for 2012 in case 3).  In case 3 GDP </w:t>
      </w:r>
      <w:r>
        <w:t>ris</w:t>
      </w:r>
      <w:r w:rsidR="00726982">
        <w:t>es</w:t>
      </w:r>
      <w:r>
        <w:t xml:space="preserve"> to </w:t>
      </w:r>
      <w:r w:rsidR="00726982">
        <w:t xml:space="preserve">be </w:t>
      </w:r>
      <w:r>
        <w:t xml:space="preserve">1.1% higher </w:t>
      </w:r>
      <w:r w:rsidR="00726982">
        <w:t xml:space="preserve">than case 2 </w:t>
      </w:r>
      <w:r>
        <w:t xml:space="preserve">by 2030.  </w:t>
      </w:r>
      <w:r w:rsidR="00726982">
        <w:t xml:space="preserve">In case 4 it is 0.7% higher.  </w:t>
      </w:r>
      <w:r w:rsidR="00B10135">
        <w:t>However, the mix of GDP changes is quite different between the two simulations.  Case 4 of course is characterized by a large increase in “public consumption” of health care, which increases total public consu</w:t>
      </w:r>
      <w:r w:rsidR="00AF1A81">
        <w:t>m</w:t>
      </w:r>
      <w:r w:rsidR="00B10135">
        <w:t>ption by 12.2% by 2030</w:t>
      </w:r>
      <w:r w:rsidR="00AF1A81">
        <w:t>, relative to case 2</w:t>
      </w:r>
      <w:r w:rsidR="00B10135">
        <w:t xml:space="preserve">.  Conversely, total private consumption falls in this case compared with case 2, by 2.1% by 2030, whereas private </w:t>
      </w:r>
      <w:r w:rsidR="00D54E2B">
        <w:t>consumption</w:t>
      </w:r>
      <w:r w:rsidR="00DB57B0">
        <w:t xml:space="preserve"> </w:t>
      </w:r>
      <w:r w:rsidR="00B10135">
        <w:t>rises slightly</w:t>
      </w:r>
      <w:r w:rsidR="005F7332">
        <w:t xml:space="preserve"> (0.5% by 2030)</w:t>
      </w:r>
      <w:r w:rsidR="00B10135">
        <w:t xml:space="preserve"> in case 3.  Total fixed investment is down in both cases</w:t>
      </w:r>
      <w:r w:rsidR="005F7332">
        <w:t>.  This is due to the fact that to achieve the necessary reduction in carbon emissions, there was a large investment in nuclear power.  Investment funds were assumed to be diverted from other industries to achieve the targeted nuclear capacity level.</w:t>
      </w:r>
      <w:r w:rsidR="00EF5FD9">
        <w:t xml:space="preserve">  In case 4, total fixed investment is down even further than in case 3 (3.8% vs. 3.4%), as the increase in health investment is crowding out some private investment.</w:t>
      </w:r>
    </w:p>
    <w:p w:rsidR="005F7332" w:rsidRDefault="00334585" w:rsidP="003B7299">
      <w:pPr>
        <w:jc w:val="both"/>
      </w:pPr>
      <w:r>
        <w:t>Imports are down significantly</w:t>
      </w:r>
      <w:r w:rsidR="00726982">
        <w:t xml:space="preserve"> in both cases</w:t>
      </w:r>
      <w:r>
        <w:t xml:space="preserve">, falling by 5.5% by 2030.  </w:t>
      </w:r>
      <w:r w:rsidR="005F7332">
        <w:t>This is due partly to a reduction in energy imports, particularly crude oil and natural gas.  However, it is also due to a reduction in capital goods imports, driven by the reduction in fixed investment described above</w:t>
      </w:r>
    </w:p>
    <w:p w:rsidR="008114A9" w:rsidRDefault="00334585" w:rsidP="00C745A0">
      <w:pPr>
        <w:jc w:val="both"/>
      </w:pPr>
      <w:r>
        <w:t>Exports are down for most years</w:t>
      </w:r>
      <w:r w:rsidR="00726982">
        <w:t xml:space="preserve"> in case 3</w:t>
      </w:r>
      <w:r>
        <w:t xml:space="preserve"> but reach rough parity with case 2 by 2030.  </w:t>
      </w:r>
      <w:r w:rsidR="00726982">
        <w:t xml:space="preserve">In case 4, exports are reduced in all years. </w:t>
      </w:r>
      <w:r w:rsidR="00D54E2B">
        <w:t>Why</w:t>
      </w:r>
      <w:r w:rsidR="008114A9">
        <w:t xml:space="preserve"> is this</w:t>
      </w:r>
      <w:r w:rsidR="00D54E2B">
        <w:t>?</w:t>
      </w:r>
      <w:r w:rsidR="00726982">
        <w:t xml:space="preserve">  </w:t>
      </w:r>
      <w:r w:rsidR="008114A9">
        <w:t>Recall that in case 3, indirect taxes are reduced across all sectors except for tobacco and alcohol.  The result is that some sectors see a net reduction in combined carbon and other indirect taxes, which means that their price will be reduced relative to case</w:t>
      </w:r>
      <w:r w:rsidR="00C745A0">
        <w:t xml:space="preserve"> 2</w:t>
      </w:r>
      <w:r w:rsidR="008114A9">
        <w:t>.  In case 4, these indirect taxes are not reduced, so all sectors experience price increases, in proportion to the rise in carbon taxes that they pay directly and indirectly.</w:t>
      </w:r>
    </w:p>
    <w:p w:rsidR="003750D0" w:rsidRDefault="00C745A0" w:rsidP="00C745A0">
      <w:r>
        <w:t>I</w:t>
      </w:r>
      <w:r w:rsidR="0051357E">
        <w:t xml:space="preserve">n either scenario </w:t>
      </w:r>
      <w:r w:rsidR="00334585">
        <w:t>China is able to make a big cut in carbon emissions, which see a decline of about 40% by 2030.</w:t>
      </w:r>
      <w:r>
        <w:t xml:space="preserve">  The largest decline stems from the electric power sector, but there are also significant reductions in industrial and residential emissions.</w:t>
      </w:r>
    </w:p>
    <w:p w:rsidR="005F7332" w:rsidRDefault="005F7332" w:rsidP="003B7299">
      <w:pPr>
        <w:jc w:val="both"/>
      </w:pPr>
      <w:r>
        <w:t>Prices are higher with the carbon tax, as we would expect, and this shows up as a higher aggregate GDP deflator.  However, in case 3, where part of the carbon tax revenue w</w:t>
      </w:r>
      <w:r w:rsidR="00740224">
        <w:t>as</w:t>
      </w:r>
      <w:r>
        <w:t xml:space="preserve"> </w:t>
      </w:r>
      <w:r>
        <w:lastRenderedPageBreak/>
        <w:t>recycled in the form of reduced other indirect taxes, the price increases are ameliorated.  However, in the case where a large portion of the recycling is through health care spending, the price increases show up more strongly.  In this case (case 4), the aggregate deflator is 4.7% higher than case 2 by 2030, whereas it is only 0.9% higher in case 3.</w:t>
      </w:r>
    </w:p>
    <w:p w:rsidR="00C745A0" w:rsidRDefault="00C745A0" w:rsidP="00C745A0">
      <w:r>
        <w:t xml:space="preserve">Real disposable income is higher in most years in case 3, rising to 1% above case 2 by 2030.  However, in case 4 it is reduced relative to case 2.   Since indirect taxes are not reduced in this case, the higher GDP deflator discussed above translates directly into a reduction in real disposable income.   </w:t>
      </w:r>
    </w:p>
    <w:p w:rsidR="007D0164" w:rsidRPr="00625473" w:rsidRDefault="007D0164" w:rsidP="003B7299">
      <w:pPr>
        <w:jc w:val="both"/>
      </w:pPr>
      <w:r>
        <w:t>Contrary to many other studies that have investigated the impact of a CO2 tax, this set of results from Mudan shows an increase in GDP, whether revenue is recycled as other taxes, or whether it is recycled as a combination of taxes and health care investment.  Is it true that such revenue recycling can fully compensate for the negative impacts of a carbon tax?</w:t>
      </w:r>
      <w:r w:rsidR="00625473">
        <w:t xml:space="preserve">  The differences from case 2 do not appear to be caused by the behavior of exports, which are predominantly lower than case 2 in both cases 3 and 4.  Both cases see a sizeable reduction in imports, whereas we might have expected to see an </w:t>
      </w:r>
      <w:r w:rsidR="00625473">
        <w:rPr>
          <w:i/>
          <w:iCs/>
        </w:rPr>
        <w:t>increase</w:t>
      </w:r>
      <w:r w:rsidR="00625473">
        <w:t xml:space="preserve"> in imports in response to a tax driving up domestic prices.</w:t>
      </w:r>
      <w:r w:rsidR="005F7332">
        <w:t xml:space="preserve">  However, as mentioned above, the import reductions are concentrated in energy imports and capital goods imports. </w:t>
      </w:r>
    </w:p>
    <w:p w:rsidR="00A77F6A" w:rsidRPr="00B10135" w:rsidRDefault="00781BB6" w:rsidP="009E4B3E">
      <w:pPr>
        <w:rPr>
          <w:i/>
          <w:iCs/>
        </w:rPr>
      </w:pPr>
      <w:r>
        <w:rPr>
          <w:i/>
          <w:iCs/>
          <w:noProof/>
        </w:rPr>
        <w:lastRenderedPageBreak/>
        <w:drawing>
          <wp:inline distT="0" distB="0" distL="0" distR="0">
            <wp:extent cx="4440061" cy="5194990"/>
            <wp:effectExtent l="19050" t="0" r="0" b="0"/>
            <wp:docPr id="2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srcRect/>
                    <a:stretch>
                      <a:fillRect/>
                    </a:stretch>
                  </pic:blipFill>
                  <pic:spPr bwMode="auto">
                    <a:xfrm>
                      <a:off x="0" y="0"/>
                      <a:ext cx="4441341" cy="5196487"/>
                    </a:xfrm>
                    <a:prstGeom prst="rect">
                      <a:avLst/>
                    </a:prstGeom>
                    <a:noFill/>
                    <a:ln w="9525">
                      <a:noFill/>
                      <a:miter lim="800000"/>
                      <a:headEnd/>
                      <a:tailEnd/>
                    </a:ln>
                  </pic:spPr>
                </pic:pic>
              </a:graphicData>
            </a:graphic>
          </wp:inline>
        </w:drawing>
      </w:r>
    </w:p>
    <w:p w:rsidR="00A77F6A" w:rsidRDefault="00A77F6A" w:rsidP="009E4B3E">
      <w:pPr>
        <w:rPr>
          <w:i/>
          <w:iCs/>
        </w:rPr>
      </w:pPr>
    </w:p>
    <w:p w:rsidR="00A77F6A" w:rsidRPr="00A77F6A" w:rsidRDefault="00A77F6A" w:rsidP="009E4B3E">
      <w:pPr>
        <w:rPr>
          <w:i/>
          <w:iCs/>
        </w:rPr>
      </w:pPr>
    </w:p>
    <w:p w:rsidR="009E4B3E" w:rsidRPr="00D90CC8" w:rsidRDefault="00646ABE" w:rsidP="009E4B3E">
      <w:pPr>
        <w:rPr>
          <w:i/>
          <w:iCs/>
        </w:rPr>
      </w:pPr>
      <w:r>
        <w:rPr>
          <w:i/>
          <w:iCs/>
        </w:rPr>
        <w:br w:type="page"/>
      </w:r>
      <w:r w:rsidR="009E4B3E">
        <w:rPr>
          <w:i/>
          <w:iCs/>
        </w:rPr>
        <w:lastRenderedPageBreak/>
        <w:t xml:space="preserve">Comparison of U.S. Macro and Trade Impacts with China </w:t>
      </w:r>
      <w:r w:rsidR="00D54E2B">
        <w:rPr>
          <w:i/>
          <w:iCs/>
        </w:rPr>
        <w:t>Carbon Policy</w:t>
      </w:r>
    </w:p>
    <w:p w:rsidR="00484ECB" w:rsidRDefault="00334585" w:rsidP="003B7299">
      <w:pPr>
        <w:jc w:val="both"/>
      </w:pPr>
      <w:r>
        <w:t xml:space="preserve">In this section, we bring in the comparison of case 3 and case 4 for the </w:t>
      </w:r>
      <w:smartTag w:uri="urn:schemas-microsoft-com:office:smarttags" w:element="country-region">
        <w:smartTag w:uri="urn:schemas-microsoft-com:office:smarttags" w:element="place">
          <w:r>
            <w:t>U.S.</w:t>
          </w:r>
        </w:smartTag>
      </w:smartTag>
      <w:r>
        <w:t xml:space="preserve">  Case 2 will be used as the reference for comparison, as we are trying to establish clear</w:t>
      </w:r>
      <w:r w:rsidR="0051357E">
        <w:t>ly</w:t>
      </w:r>
      <w:r>
        <w:t xml:space="preserve"> the differences due to </w:t>
      </w:r>
      <w:smartTag w:uri="urn:schemas-microsoft-com:office:smarttags" w:element="country-region">
        <w:smartTag w:uri="urn:schemas-microsoft-com:office:smarttags" w:element="place">
          <w:r>
            <w:t>China</w:t>
          </w:r>
        </w:smartTag>
      </w:smartTag>
      <w:r>
        <w:t xml:space="preserve"> adopting the carbon tax.  </w:t>
      </w:r>
    </w:p>
    <w:p w:rsidR="00334585" w:rsidRDefault="00334585" w:rsidP="003B7299">
      <w:pPr>
        <w:jc w:val="both"/>
      </w:pPr>
      <w:r>
        <w:t xml:space="preserve">Table 14 is the </w:t>
      </w:r>
      <w:smartTag w:uri="urn:schemas-microsoft-com:office:smarttags" w:element="country-region">
        <w:smartTag w:uri="urn:schemas-microsoft-com:office:smarttags" w:element="place">
          <w:r w:rsidR="005F7332">
            <w:t>U.S.</w:t>
          </w:r>
        </w:smartTag>
      </w:smartTag>
      <w:r w:rsidR="005F7332">
        <w:t xml:space="preserve"> </w:t>
      </w:r>
      <w:r>
        <w:t>macroeconomic summary, comparing cases 3 and 4 with case 2.</w:t>
      </w:r>
      <w:r w:rsidR="00130086">
        <w:t xml:space="preserve">  In case 3, where </w:t>
      </w:r>
      <w:smartTag w:uri="urn:schemas-microsoft-com:office:smarttags" w:element="country-region">
        <w:smartTag w:uri="urn:schemas-microsoft-com:office:smarttags" w:element="place">
          <w:r w:rsidR="00130086">
            <w:t>China</w:t>
          </w:r>
        </w:smartTag>
      </w:smartTag>
      <w:r w:rsidR="00130086">
        <w:t xml:space="preserve"> recycles the tax through a reduction in other taxes, U.S. GDP is higher by 2030, by 0.3%.  In case 4, where </w:t>
      </w:r>
      <w:smartTag w:uri="urn:schemas-microsoft-com:office:smarttags" w:element="country-region">
        <w:smartTag w:uri="urn:schemas-microsoft-com:office:smarttags" w:element="place">
          <w:r w:rsidR="00130086">
            <w:t>China</w:t>
          </w:r>
        </w:smartTag>
      </w:smartTag>
      <w:r w:rsidR="00130086">
        <w:t xml:space="preserve"> uses a combination of taxes and health care investment, </w:t>
      </w:r>
      <w:r w:rsidR="0051357E">
        <w:t xml:space="preserve">U.S. </w:t>
      </w:r>
      <w:r w:rsidR="00130086">
        <w:t>GDP is 0.1% lower.</w:t>
      </w:r>
      <w:r w:rsidR="00154940">
        <w:t xml:space="preserve">  Total </w:t>
      </w:r>
      <w:smartTag w:uri="urn:schemas-microsoft-com:office:smarttags" w:element="country-region">
        <w:smartTag w:uri="urn:schemas-microsoft-com:office:smarttags" w:element="place">
          <w:r w:rsidR="00154940">
            <w:t>U.S.</w:t>
          </w:r>
        </w:smartTag>
      </w:smartTag>
      <w:r w:rsidR="00154940">
        <w:t xml:space="preserve"> real exports are reduced from case 2 in both cases, down 0.4% in case 3, and 0.2% in case 4.</w:t>
      </w:r>
      <w:r w:rsidR="005F7332">
        <w:t xml:space="preserve">  This is contrary to our expectations, which is that we would see less leakage in the form of export loss, once </w:t>
      </w:r>
      <w:smartTag w:uri="urn:schemas-microsoft-com:office:smarttags" w:element="country-region">
        <w:smartTag w:uri="urn:schemas-microsoft-com:office:smarttags" w:element="place">
          <w:r w:rsidR="005F7332">
            <w:t>China</w:t>
          </w:r>
        </w:smartTag>
      </w:smartTag>
      <w:r w:rsidR="005F7332">
        <w:t xml:space="preserve"> also adopted a carbon pricing regime.  Total </w:t>
      </w:r>
      <w:smartTag w:uri="urn:schemas-microsoft-com:office:smarttags" w:element="country-region">
        <w:smartTag w:uri="urn:schemas-microsoft-com:office:smarttags" w:element="place">
          <w:r w:rsidR="005F7332">
            <w:t>U.S.</w:t>
          </w:r>
        </w:smartTag>
      </w:smartTag>
      <w:r w:rsidR="005F7332">
        <w:t xml:space="preserve"> real imports are higher </w:t>
      </w:r>
      <w:r w:rsidR="00646ABE">
        <w:t xml:space="preserve">in case 3 </w:t>
      </w:r>
      <w:r w:rsidR="005F7332">
        <w:t xml:space="preserve">than </w:t>
      </w:r>
      <w:r w:rsidR="00646ABE">
        <w:t xml:space="preserve">in </w:t>
      </w:r>
      <w:r w:rsidR="005F7332">
        <w:t>case 2, but there is no significant change in case 4.</w:t>
      </w:r>
    </w:p>
    <w:p w:rsidR="008D093D" w:rsidRDefault="008D093D" w:rsidP="00D90CC8"/>
    <w:p w:rsidR="00334585" w:rsidRPr="00646ABE" w:rsidRDefault="00474C9E" w:rsidP="00D90CC8">
      <w:r>
        <w:rPr>
          <w:noProof/>
        </w:rPr>
        <w:drawing>
          <wp:inline distT="0" distB="0" distL="0" distR="0">
            <wp:extent cx="5486400" cy="3929341"/>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srcRect/>
                    <a:stretch>
                      <a:fillRect/>
                    </a:stretch>
                  </pic:blipFill>
                  <pic:spPr bwMode="auto">
                    <a:xfrm>
                      <a:off x="0" y="0"/>
                      <a:ext cx="5486400" cy="3929341"/>
                    </a:xfrm>
                    <a:prstGeom prst="rect">
                      <a:avLst/>
                    </a:prstGeom>
                    <a:noFill/>
                    <a:ln w="9525">
                      <a:noFill/>
                      <a:miter lim="800000"/>
                      <a:headEnd/>
                      <a:tailEnd/>
                    </a:ln>
                  </pic:spPr>
                </pic:pic>
              </a:graphicData>
            </a:graphic>
          </wp:inline>
        </w:drawing>
      </w:r>
    </w:p>
    <w:p w:rsidR="00334585" w:rsidRDefault="00334585" w:rsidP="00D90CC8"/>
    <w:p w:rsidR="00334585" w:rsidRDefault="00825EA5" w:rsidP="003B7299">
      <w:pPr>
        <w:jc w:val="both"/>
      </w:pPr>
      <w:r>
        <w:t xml:space="preserve">What of the effects of </w:t>
      </w:r>
      <w:smartTag w:uri="urn:schemas-microsoft-com:office:smarttags" w:element="country-region">
        <w:r>
          <w:t>China</w:t>
        </w:r>
      </w:smartTag>
      <w:r>
        <w:t xml:space="preserve">’s carbon taxes on the export sectors that had been hit the hardest by the </w:t>
      </w:r>
      <w:smartTag w:uri="urn:schemas-microsoft-com:office:smarttags" w:element="place">
        <w:smartTag w:uri="urn:schemas-microsoft-com:office:smarttags" w:element="country-region">
          <w:r>
            <w:t>U.S.</w:t>
          </w:r>
        </w:smartTag>
      </w:smartTag>
      <w:r>
        <w:t xml:space="preserve"> carbon price?  </w:t>
      </w:r>
      <w:r w:rsidR="00334585">
        <w:t>Table 15 is</w:t>
      </w:r>
      <w:r w:rsidR="00C600B7">
        <w:t xml:space="preserve"> the summary of export</w:t>
      </w:r>
      <w:r>
        <w:t xml:space="preserve"> changes, comparing the percent difference from base in cases 2 through 4.   These comparisons are for the 10 industries which lost the most in exports with the adoption of the </w:t>
      </w:r>
      <w:smartTag w:uri="urn:schemas-microsoft-com:office:smarttags" w:element="country-region">
        <w:smartTag w:uri="urn:schemas-microsoft-com:office:smarttags" w:element="place">
          <w:r>
            <w:t>U.S.</w:t>
          </w:r>
        </w:smartTag>
      </w:smartTag>
      <w:r>
        <w:t xml:space="preserve"> carbon pricing scheme.   We would have expected to see some mitigation of the exports leakage as </w:t>
      </w:r>
      <w:smartTag w:uri="urn:schemas-microsoft-com:office:smarttags" w:element="country-region">
        <w:smartTag w:uri="urn:schemas-microsoft-com:office:smarttags" w:element="place">
          <w:r>
            <w:t>China</w:t>
          </w:r>
        </w:smartTag>
      </w:smartTag>
      <w:r>
        <w:t xml:space="preserve"> adopts an energy tax.  There is a minor reduction in the loss in some sectors (Agricultural fertilizers, Rubber products, Plastic products), a stronger reduction in a few </w:t>
      </w:r>
      <w:r>
        <w:lastRenderedPageBreak/>
        <w:t>sectors (Primary nonferrous metals, Office equipment), but some sectors see a larger export loss in cases 3 and 4 (Metal mining, Agriculture, forestry and fisheries, Advertising).</w:t>
      </w:r>
      <w:r w:rsidR="00C147B7">
        <w:t xml:space="preserve">  It is not only the bilateral trade flows between China and the U.S. that are important for determining these results, but the multiple bilateral trade flows between China, U.S. and the other countries and regions of the Bilateral Trade Model.  As the U.S. price for metals mining increases, the U.S. loses advantage to other countries</w:t>
      </w:r>
      <w:r w:rsidR="00295C62">
        <w:t xml:space="preserve"> or regions that export metal ore.  The largest markets for U.S. metal mining ore are China, Rest of OECD, and Canada.  The largest competing suppliers are Rest of world, Rest of OECD and Germany.  In the case of metal mining ores, the largest absolute declines in U.S. exports are those to China.  The biggest differences across cases 2, 3 and 4 are also due to the differences in exports to China.</w:t>
      </w:r>
      <w:r w:rsidR="00295C62">
        <w:rPr>
          <w:rStyle w:val="FootnoteReference"/>
        </w:rPr>
        <w:footnoteReference w:id="22"/>
      </w:r>
    </w:p>
    <w:p w:rsidR="00825EA5" w:rsidRDefault="00825EA5" w:rsidP="00295C62">
      <w:pPr>
        <w:jc w:val="both"/>
      </w:pPr>
      <w:r>
        <w:t xml:space="preserve">On the whole, these results are inconclusive.  </w:t>
      </w:r>
      <w:r w:rsidR="00295C62">
        <w:t xml:space="preserve">This is due largely to the fact that the simulations were designed to be roughly deficit neutral, and the </w:t>
      </w:r>
      <w:r>
        <w:t>mechanism</w:t>
      </w:r>
      <w:r w:rsidR="00295C62">
        <w:t>s</w:t>
      </w:r>
      <w:r>
        <w:t xml:space="preserve"> for recycling</w:t>
      </w:r>
      <w:r w:rsidR="00740224">
        <w:t xml:space="preserve"> the </w:t>
      </w:r>
      <w:r w:rsidR="00295C62">
        <w:t xml:space="preserve">carbon </w:t>
      </w:r>
      <w:r w:rsidR="00740224">
        <w:t>tax revenue</w:t>
      </w:r>
      <w:r w:rsidR="00295C62">
        <w:t xml:space="preserve"> altered the price and demand effects caused by the carbon tax.</w:t>
      </w:r>
      <w:r>
        <w:t xml:space="preserve">  In the case of recycling revenue by reducing other indirect taxes, we have </w:t>
      </w:r>
      <w:r w:rsidR="00474C9E">
        <w:t>reduced</w:t>
      </w:r>
      <w:r>
        <w:t xml:space="preserve"> the </w:t>
      </w:r>
      <w:r w:rsidR="00295C62">
        <w:t xml:space="preserve">output </w:t>
      </w:r>
      <w:r>
        <w:t xml:space="preserve">price </w:t>
      </w:r>
      <w:r w:rsidR="00474C9E">
        <w:t>impact of the carbon tax</w:t>
      </w:r>
      <w:r w:rsidR="00295C62">
        <w:t xml:space="preserve"> on the various industry sectors</w:t>
      </w:r>
      <w:r w:rsidR="00474C9E">
        <w:t>.</w:t>
      </w:r>
      <w:r>
        <w:t xml:space="preserve">  In other words, in sectors where the increase in price from the carbon tax outweighs the reduction in other indirect taxes, the price will go up.  In sectors where the reduction in indirect taxes outweighs the carbon tax, prices </w:t>
      </w:r>
      <w:r w:rsidR="00C600B7">
        <w:t xml:space="preserve">actually </w:t>
      </w:r>
      <w:r>
        <w:t>go down.</w:t>
      </w:r>
      <w:r w:rsidR="00EF5FD9">
        <w:t xml:space="preserve"> </w:t>
      </w:r>
      <w:r w:rsidR="00C600B7">
        <w:t xml:space="preserve"> The impact of the China carbon policy on U.S. exports is directly related to the degree of price impact.  In case 4, there is a direct increase in Chinese prices by sector, which mitigates the loss of U.S. exports seen in case 2.  However, in case 3, the price impact is mixed, and the mitigation in U.S. export loss is slightly reduced.</w:t>
      </w:r>
      <w:r>
        <w:t xml:space="preserve"> </w:t>
      </w:r>
    </w:p>
    <w:p w:rsidR="00EF5FD9" w:rsidRDefault="00EF5FD9" w:rsidP="003B7299">
      <w:pPr>
        <w:jc w:val="both"/>
      </w:pPr>
      <w:r>
        <w:t xml:space="preserve">Another factor at </w:t>
      </w:r>
      <w:r w:rsidR="00C600B7">
        <w:t>work</w:t>
      </w:r>
      <w:r>
        <w:t xml:space="preserve"> </w:t>
      </w:r>
      <w:r w:rsidR="00295C62">
        <w:t xml:space="preserve">in China </w:t>
      </w:r>
      <w:r>
        <w:t xml:space="preserve">is the assumption that increasing nuclear </w:t>
      </w:r>
      <w:r w:rsidR="00295C62">
        <w:t xml:space="preserve">and renewable electric power generating </w:t>
      </w:r>
      <w:r>
        <w:t xml:space="preserve">capacity is done at the expense of total fixed investment.  This results in a reduction of imports of </w:t>
      </w:r>
      <w:r w:rsidR="00327A0C">
        <w:t xml:space="preserve">other </w:t>
      </w:r>
      <w:r>
        <w:t>capital goods, which are supplied partly from the U.S.</w:t>
      </w:r>
    </w:p>
    <w:p w:rsidR="00D34D58" w:rsidRDefault="00D34D58" w:rsidP="003B7299">
      <w:pPr>
        <w:jc w:val="both"/>
      </w:pPr>
    </w:p>
    <w:p w:rsidR="008D093D" w:rsidRPr="00770344" w:rsidRDefault="00C600B7" w:rsidP="003B7299">
      <w:pPr>
        <w:jc w:val="both"/>
      </w:pPr>
      <w:r>
        <w:rPr>
          <w:noProof/>
        </w:rPr>
        <w:drawing>
          <wp:inline distT="0" distB="0" distL="0" distR="0">
            <wp:extent cx="5486400" cy="2239932"/>
            <wp:effectExtent l="1905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srcRect/>
                    <a:stretch>
                      <a:fillRect/>
                    </a:stretch>
                  </pic:blipFill>
                  <pic:spPr bwMode="auto">
                    <a:xfrm>
                      <a:off x="0" y="0"/>
                      <a:ext cx="5486400" cy="2239932"/>
                    </a:xfrm>
                    <a:prstGeom prst="rect">
                      <a:avLst/>
                    </a:prstGeom>
                    <a:noFill/>
                    <a:ln w="9525">
                      <a:noFill/>
                      <a:miter lim="800000"/>
                      <a:headEnd/>
                      <a:tailEnd/>
                    </a:ln>
                  </pic:spPr>
                </pic:pic>
              </a:graphicData>
            </a:graphic>
          </wp:inline>
        </w:drawing>
      </w:r>
    </w:p>
    <w:p w:rsidR="008D093D" w:rsidRPr="00334585" w:rsidRDefault="008D093D" w:rsidP="003B7299">
      <w:pPr>
        <w:jc w:val="both"/>
      </w:pPr>
    </w:p>
    <w:p w:rsidR="00D90CC8" w:rsidRPr="00D90CC8" w:rsidRDefault="003B7299" w:rsidP="003B7299">
      <w:pPr>
        <w:jc w:val="both"/>
        <w:rPr>
          <w:i/>
          <w:iCs/>
        </w:rPr>
      </w:pPr>
      <w:r>
        <w:rPr>
          <w:i/>
          <w:iCs/>
        </w:rPr>
        <w:t>Conclusions</w:t>
      </w:r>
    </w:p>
    <w:p w:rsidR="007707DB" w:rsidRDefault="00EF5FD9" w:rsidP="00DB7859">
      <w:pPr>
        <w:jc w:val="both"/>
      </w:pPr>
      <w:r>
        <w:t xml:space="preserve">This paper has illustrated the use of the Inforum </w:t>
      </w:r>
      <w:r w:rsidRPr="00DB7859">
        <w:t>LIFT</w:t>
      </w:r>
      <w:r>
        <w:t xml:space="preserve"> model of the U.S., the </w:t>
      </w:r>
      <w:r w:rsidRPr="00DB7859">
        <w:t>Mudan</w:t>
      </w:r>
      <w:r>
        <w:t xml:space="preserve"> model of China, and the Inforum Bilateral Trade Model to examine the question of the differential impact </w:t>
      </w:r>
      <w:r w:rsidR="00327A0C">
        <w:t xml:space="preserve">of climate change mitigation policies </w:t>
      </w:r>
      <w:r>
        <w:t xml:space="preserve">on U.S. trade leakages.  A reference case was first developed that embodied “business as usual” assumptions for both the </w:t>
      </w:r>
      <w:smartTag w:uri="urn:schemas-microsoft-com:office:smarttags" w:element="country-region">
        <w:r>
          <w:t>U.S.</w:t>
        </w:r>
      </w:smartTag>
      <w:r>
        <w:t xml:space="preserve"> and </w:t>
      </w:r>
      <w:smartTag w:uri="urn:schemas-microsoft-com:office:smarttags" w:element="country-region">
        <w:smartTag w:uri="urn:schemas-microsoft-com:office:smarttags" w:element="place">
          <w:r>
            <w:t>China</w:t>
          </w:r>
        </w:smartTag>
      </w:smartTag>
      <w:r>
        <w:t xml:space="preserve">.  In the U.S. case, the base was calibrated to the Department of Energy </w:t>
      </w:r>
      <w:r w:rsidRPr="00DB7859">
        <w:t>Annual Energy Outlook</w:t>
      </w:r>
      <w:r>
        <w:t xml:space="preserve"> (with s</w:t>
      </w:r>
      <w:r w:rsidR="00D35CD5">
        <w:t>t</w:t>
      </w:r>
      <w:r>
        <w:t>imulus) for 2009.  In the case of China, the Inforum</w:t>
      </w:r>
      <w:r w:rsidR="00474C9E">
        <w:t xml:space="preserve"> Mudan</w:t>
      </w:r>
      <w:r>
        <w:t xml:space="preserve"> base case was used.  A second case was developed where the U.S. </w:t>
      </w:r>
      <w:r w:rsidR="00474C9E">
        <w:t>a</w:t>
      </w:r>
      <w:r>
        <w:t>dopt</w:t>
      </w:r>
      <w:r w:rsidR="00327A0C">
        <w:t>s</w:t>
      </w:r>
      <w:r>
        <w:t xml:space="preserve"> the major features of the Waxman-Markey legislation, but China d</w:t>
      </w:r>
      <w:r w:rsidR="00327A0C">
        <w:t>oes</w:t>
      </w:r>
      <w:r>
        <w:t xml:space="preserve"> not adopt any similar policy.  In the third and fourth cases, China d</w:t>
      </w:r>
      <w:r w:rsidR="00327A0C">
        <w:t>oes</w:t>
      </w:r>
      <w:r>
        <w:t xml:space="preserve"> adopt a carbon tax,</w:t>
      </w:r>
      <w:r w:rsidR="00474C9E">
        <w:t xml:space="preserve"> </w:t>
      </w:r>
      <w:r w:rsidR="00327A0C">
        <w:t>at a level lower than in the US, to meet carbon intensity targets</w:t>
      </w:r>
      <w:r>
        <w:t xml:space="preserve">.  Furthermore, the revenue recycling mechanism chosen for China was </w:t>
      </w:r>
      <w:r w:rsidR="00327A0C">
        <w:t>to reduce personal income taxes, reduce indirect taxes, or increase health care investments</w:t>
      </w:r>
      <w:r>
        <w:t xml:space="preserve">.  </w:t>
      </w:r>
    </w:p>
    <w:p w:rsidR="00A32B8A" w:rsidRDefault="00A32B8A" w:rsidP="00542246">
      <w:pPr>
        <w:jc w:val="both"/>
      </w:pPr>
      <w:r>
        <w:t xml:space="preserve">In case 2, where the U.S. adopts a carbon tax policy but China doesn’t, the U.S. sees both a decline in exports and a decline in imports relative to case 1.  The cause of the export decline is clear – U.S. prices increase in response to the carbon taxes, reducing competitiveness for certain U.S. export sectors.  The cause of the import reductions is more indirect.  First, there is a reduction in crude oil imports of about 5.3 billion dollars by 2030, </w:t>
      </w:r>
      <w:r w:rsidR="00B238A0">
        <w:t>resulting from reductions in fossil fuel use due to the carbon tax, mainly in transportation.  Imports in other sectors are down because of declines in aggregate economic activity.</w:t>
      </w:r>
    </w:p>
    <w:p w:rsidR="00B238A0" w:rsidRDefault="00C14B2F" w:rsidP="001F4CB1">
      <w:pPr>
        <w:jc w:val="both"/>
      </w:pPr>
      <w:r>
        <w:t xml:space="preserve">In </w:t>
      </w:r>
      <w:r w:rsidR="00757150">
        <w:t>conclusion</w:t>
      </w:r>
      <w:r>
        <w:t xml:space="preserve">, it does not appear that the parallel adoption of carbon tax policy in China </w:t>
      </w:r>
      <w:r w:rsidR="00757150">
        <w:t>necessarily will significantly reduce</w:t>
      </w:r>
      <w:r>
        <w:t xml:space="preserve"> the trade leakage in the U.S.  As we have alluded above, this could be partly due to the nature of the carbon tax revenue recycling mechanisms we have assumed</w:t>
      </w:r>
      <w:r w:rsidR="00757150">
        <w:t xml:space="preserve"> for China</w:t>
      </w:r>
      <w:r>
        <w:t>.  But from a broader per</w:t>
      </w:r>
      <w:r w:rsidR="00D35CD5">
        <w:t>s</w:t>
      </w:r>
      <w:r>
        <w:t xml:space="preserve">pective, it is also due to the fact that China is not the only trading partner of the U.S., although it is a significant one, especially with regard to U.S. imports.  However, the behavior of other countries has a much larger </w:t>
      </w:r>
      <w:r w:rsidR="008779C8">
        <w:t>e</w:t>
      </w:r>
      <w:r>
        <w:t>ffect on the path of U.S. exports</w:t>
      </w:r>
      <w:r w:rsidR="001B22D4">
        <w:t xml:space="preserve">.   According to the current Census trade data, </w:t>
      </w:r>
      <w:smartTag w:uri="urn:schemas-microsoft-com:office:smarttags" w:element="country-region">
        <w:r w:rsidR="001B22D4">
          <w:t>China</w:t>
        </w:r>
      </w:smartTag>
      <w:r w:rsidR="001B22D4">
        <w:t xml:space="preserve"> is the third largest purchaser of </w:t>
      </w:r>
      <w:smartTag w:uri="urn:schemas-microsoft-com:office:smarttags" w:element="country-region">
        <w:r w:rsidR="001B22D4">
          <w:t>U.S.</w:t>
        </w:r>
      </w:smartTag>
      <w:r w:rsidR="001B22D4">
        <w:t xml:space="preserve"> exports, after </w:t>
      </w:r>
      <w:smartTag w:uri="urn:schemas-microsoft-com:office:smarttags" w:element="country-region">
        <w:r w:rsidR="001B22D4">
          <w:t>Canada</w:t>
        </w:r>
      </w:smartTag>
      <w:r w:rsidR="001B22D4">
        <w:t xml:space="preserve"> and </w:t>
      </w:r>
      <w:smartTag w:uri="urn:schemas-microsoft-com:office:smarttags" w:element="country-region">
        <w:smartTag w:uri="urn:schemas-microsoft-com:office:smarttags" w:element="place">
          <w:r w:rsidR="001B22D4">
            <w:t>Mexico</w:t>
          </w:r>
        </w:smartTag>
      </w:smartTag>
      <w:r w:rsidR="001B22D4">
        <w:t xml:space="preserve">.  However, exports to </w:t>
      </w:r>
      <w:smartTag w:uri="urn:schemas-microsoft-com:office:smarttags" w:element="country-region">
        <w:r w:rsidR="001B22D4">
          <w:t>China</w:t>
        </w:r>
      </w:smartTag>
      <w:r w:rsidR="001B22D4">
        <w:t xml:space="preserve"> represent only about </w:t>
      </w:r>
      <w:r w:rsidR="00C77CAD">
        <w:t xml:space="preserve">7% of total </w:t>
      </w:r>
      <w:smartTag w:uri="urn:schemas-microsoft-com:office:smarttags" w:element="country-region">
        <w:smartTag w:uri="urn:schemas-microsoft-com:office:smarttags" w:element="place">
          <w:r w:rsidR="00C77CAD">
            <w:t>U.S.</w:t>
          </w:r>
        </w:smartTag>
      </w:smartTag>
      <w:r w:rsidR="00C77CAD">
        <w:t xml:space="preserve"> exports. On the import side, </w:t>
      </w:r>
      <w:smartTag w:uri="urn:schemas-microsoft-com:office:smarttags" w:element="country-region">
        <w:r w:rsidR="00C77CAD">
          <w:t>China</w:t>
        </w:r>
      </w:smartTag>
      <w:r w:rsidR="00C77CAD">
        <w:t xml:space="preserve"> is the single largest source of </w:t>
      </w:r>
      <w:smartTag w:uri="urn:schemas-microsoft-com:office:smarttags" w:element="country-region">
        <w:r w:rsidR="00C77CAD">
          <w:t>U.S.</w:t>
        </w:r>
      </w:smartTag>
      <w:r w:rsidR="00C77CAD">
        <w:t xml:space="preserve"> imports, with </w:t>
      </w:r>
      <w:smartTag w:uri="urn:schemas-microsoft-com:office:smarttags" w:element="country-region">
        <w:r w:rsidR="00C77CAD">
          <w:t>Canada</w:t>
        </w:r>
      </w:smartTag>
      <w:r w:rsidR="00C77CAD">
        <w:t xml:space="preserve"> and </w:t>
      </w:r>
      <w:smartTag w:uri="urn:schemas-microsoft-com:office:smarttags" w:element="country-region">
        <w:smartTag w:uri="urn:schemas-microsoft-com:office:smarttags" w:element="place">
          <w:r w:rsidR="00C77CAD">
            <w:t>Mexico</w:t>
          </w:r>
        </w:smartTag>
      </w:smartTag>
      <w:r w:rsidR="00C77CAD">
        <w:t xml:space="preserve"> not far behind.  Of total </w:t>
      </w:r>
      <w:smartTag w:uri="urn:schemas-microsoft-com:office:smarttags" w:element="country-region">
        <w:r w:rsidR="00C77CAD">
          <w:t>U.S.</w:t>
        </w:r>
      </w:smartTag>
      <w:r w:rsidR="00C77CAD">
        <w:t xml:space="preserve"> imports, those from </w:t>
      </w:r>
      <w:smartTag w:uri="urn:schemas-microsoft-com:office:smarttags" w:element="country-region">
        <w:smartTag w:uri="urn:schemas-microsoft-com:office:smarttags" w:element="place">
          <w:r w:rsidR="00C77CAD">
            <w:t>China</w:t>
          </w:r>
        </w:smartTag>
      </w:smartTag>
      <w:r w:rsidR="00C77CAD">
        <w:t xml:space="preserve"> comprise 17.7%.  However, </w:t>
      </w:r>
      <w:smartTag w:uri="urn:schemas-microsoft-com:office:smarttags" w:element="country-region">
        <w:r w:rsidR="00C77CAD">
          <w:t>U.S.</w:t>
        </w:r>
      </w:smartTag>
      <w:r w:rsidR="00C77CAD">
        <w:t xml:space="preserve"> imports actually increased from case 2 to case 3, where </w:t>
      </w:r>
      <w:smartTag w:uri="urn:schemas-microsoft-com:office:smarttags" w:element="country-region">
        <w:smartTag w:uri="urn:schemas-microsoft-com:office:smarttags" w:element="place">
          <w:r w:rsidR="00C77CAD">
            <w:t>China</w:t>
          </w:r>
        </w:smartTag>
      </w:smartTag>
      <w:r w:rsidR="00C77CAD">
        <w:t xml:space="preserve"> adopted a carbon tax but recycled other taxes.  There was no significant change in imports from case 2 to case 4.</w:t>
      </w:r>
      <w:r w:rsidR="00757150">
        <w:t xml:space="preserve">  Our conclusion should lead to caution in the assumption that a matched response in carbon policy will completely ameliorate the leakages expected from higher export prices in certain U.S. industries.</w:t>
      </w:r>
      <w:r w:rsidR="00B238A0">
        <w:t xml:space="preserve">  The particular type of revenue recycling mechanism adopted as part of the policy can make a big difference.  Any mechanism adopted is sure to provide economic stimulus that counteracts the mostly negative economic impacts of the tax.  Which sectors are stimulated depends on the relative size of tax and subsidy changes to consumers and to business, and to which sectors these tax and subsidy changes accrue.</w:t>
      </w:r>
    </w:p>
    <w:p w:rsidR="00B238A0" w:rsidRDefault="00B238A0" w:rsidP="00DB7859">
      <w:pPr>
        <w:jc w:val="both"/>
      </w:pPr>
    </w:p>
    <w:p w:rsidR="00757150" w:rsidRDefault="00757150" w:rsidP="003B7299">
      <w:pPr>
        <w:ind w:left="360"/>
        <w:jc w:val="both"/>
      </w:pPr>
    </w:p>
    <w:p w:rsidR="0047744C" w:rsidRPr="00E10B76" w:rsidRDefault="008365F8" w:rsidP="0028743D">
      <w:pPr>
        <w:rPr>
          <w:b/>
          <w:bCs/>
        </w:rPr>
      </w:pPr>
      <w:r>
        <w:br w:type="page"/>
      </w:r>
      <w:r w:rsidR="0047744C" w:rsidRPr="00E10B76">
        <w:rPr>
          <w:b/>
          <w:bCs/>
        </w:rPr>
        <w:lastRenderedPageBreak/>
        <w:t>Appendix</w:t>
      </w:r>
      <w:r w:rsidR="00E10B76" w:rsidRPr="00E10B76">
        <w:rPr>
          <w:b/>
          <w:bCs/>
        </w:rPr>
        <w:t xml:space="preserve"> A.</w:t>
      </w:r>
      <w:r w:rsidR="0047744C" w:rsidRPr="00E10B76">
        <w:rPr>
          <w:b/>
          <w:bCs/>
        </w:rPr>
        <w:t xml:space="preserve"> The Structure of the Inforum LIFT Model</w:t>
      </w:r>
    </w:p>
    <w:p w:rsidR="005242DC" w:rsidRDefault="005242DC" w:rsidP="003B7299">
      <w:pPr>
        <w:pStyle w:val="BodyText"/>
        <w:jc w:val="both"/>
      </w:pPr>
      <w:r>
        <w:t xml:space="preserve">The Inforum </w:t>
      </w:r>
      <w:r>
        <w:rPr>
          <w:i/>
        </w:rPr>
        <w:t>LIFT</w:t>
      </w:r>
      <w:r>
        <w:t xml:space="preserve"> (Long-term Interindustry Forecasting Tool) model is unique among large-scale models of the U.S. economy in that it is based on an input-output (IO) core, and builds up macroeconomic forecasts from the bottom up.  In fact, this characteristic of </w:t>
      </w:r>
      <w:r>
        <w:rPr>
          <w:i/>
        </w:rPr>
        <w:t>LIFT</w:t>
      </w:r>
      <w:r>
        <w:t xml:space="preserve"> is one of the principles that has guided the development of Inforum models from the beginning.  This is in part because the understanding of industry behavior is important in its own right, but also because this parallels how the economy actually works.  Investments are made in individual firms in response to market conditions in the industries in which those firms produce and compete.  Aggregate investment is simply the sum of these industry investment purchases.  Decisions to hire and fire workers are made jointly with investment decisions with a view to the outlook for product demand in each industry.  The net result of these hiring and firing decisions across all industries determines total employment, and hence the unemployment rate.  In the real world economy pricing decisions are made at the detailed product level.  Modeling price changes at the commodity level certainly captures the price structure of the economy better than an aggregate price equation.  In </w:t>
      </w:r>
      <w:r>
        <w:rPr>
          <w:i/>
        </w:rPr>
        <w:t>LIFT</w:t>
      </w:r>
      <w:r>
        <w:t xml:space="preserve">, prices and incomes are forced into consistency through the fundamental input-output identity, and the aggregate price level is determined as current price GDP divided by constant price GDP.  </w:t>
      </w:r>
    </w:p>
    <w:p w:rsidR="005242DC" w:rsidRDefault="005242DC" w:rsidP="003B7299">
      <w:pPr>
        <w:pStyle w:val="BodyText"/>
        <w:jc w:val="both"/>
      </w:pPr>
      <w:r>
        <w:t xml:space="preserve">Despite its industry basis, </w:t>
      </w:r>
      <w:r>
        <w:rPr>
          <w:i/>
        </w:rPr>
        <w:t>LIFT</w:t>
      </w:r>
      <w:r w:rsidR="003E66EA">
        <w:t xml:space="preserve"> is a full macroeconomic model</w:t>
      </w:r>
      <w:r>
        <w:t xml:space="preserve"> with more than 1200 macroeconomic variables determined either by econometric equation, exogenously or by identity.  The econometric equations tend to be those where behavior is more naturally modeled in the aggregate.  Many aggregates are formed </w:t>
      </w:r>
      <w:r w:rsidR="00F712D8">
        <w:t xml:space="preserve">as </w:t>
      </w:r>
      <w:r>
        <w:t>the sum of industry detail, such as total corporate profits.  An equation for the effective corporate tax rate is used to determine total profits taxes, which is a source of revenue in the Federal government account.  Equations for contribution rates for social insurance programs and equations for transfer payments out of these programs can be used to study the future solvency of the trust funds.  Certain macrovariables provide important levers for studying effects of government policy.  Examples are the monetary base and the personal tax rate.  Other macrovariables, such as potential GDP and the associated GDP gap provide a framework for perceiving tightness or slack in the economy.</w:t>
      </w:r>
    </w:p>
    <w:p w:rsidR="005242DC" w:rsidRDefault="005242DC" w:rsidP="003B7299">
      <w:pPr>
        <w:pStyle w:val="BodyText"/>
        <w:jc w:val="both"/>
      </w:pPr>
      <w:r>
        <w:t xml:space="preserve">Since its inception, </w:t>
      </w:r>
      <w:r>
        <w:rPr>
          <w:i/>
        </w:rPr>
        <w:t>LIFT</w:t>
      </w:r>
      <w:r>
        <w:t xml:space="preserve"> has continued to develop and change.  We have learned much about the properties of the model through analytical studies and simulation tests.  We have learned about the behavior of the general Inforum type of model, from work with Inforum partners in other countries, including </w:t>
      </w:r>
      <w:smartTag w:uri="urn:schemas-microsoft-com:office:smarttags" w:element="country-region">
        <w:r>
          <w:t>China</w:t>
        </w:r>
      </w:smartTag>
      <w:r>
        <w:t xml:space="preserve">, </w:t>
      </w:r>
      <w:smartTag w:uri="urn:schemas-microsoft-com:office:smarttags" w:element="country-region">
        <w:r>
          <w:t>Japan</w:t>
        </w:r>
      </w:smartTag>
      <w:r>
        <w:t xml:space="preserve">, </w:t>
      </w:r>
      <w:smartTag w:uri="urn:schemas-microsoft-com:office:smarttags" w:element="country-region">
        <w:r>
          <w:t>Germany</w:t>
        </w:r>
      </w:smartTag>
      <w:r>
        <w:t xml:space="preserve"> and </w:t>
      </w:r>
      <w:smartTag w:uri="urn:schemas-microsoft-com:office:smarttags" w:element="place">
        <w:smartTag w:uri="urn:schemas-microsoft-com:office:smarttags" w:element="country-region">
          <w:r>
            <w:t>Italy</w:t>
          </w:r>
        </w:smartTag>
      </w:smartTag>
      <w:r>
        <w:t xml:space="preserve">.  </w:t>
      </w:r>
    </w:p>
    <w:p w:rsidR="005242DC" w:rsidRDefault="005242DC" w:rsidP="003B7299">
      <w:pPr>
        <w:pStyle w:val="BodyText"/>
        <w:jc w:val="both"/>
      </w:pPr>
      <w:r>
        <w:t xml:space="preserve">In the last several years, the </w:t>
      </w:r>
      <w:r>
        <w:rPr>
          <w:i/>
          <w:iCs/>
        </w:rPr>
        <w:t>LIFT</w:t>
      </w:r>
      <w:r>
        <w:t xml:space="preserve"> model has been extended through the incorporation of several modules that can be used to study energy demand and supply, and the implications of energy use on carbon emissions.</w:t>
      </w:r>
    </w:p>
    <w:p w:rsidR="005242DC" w:rsidRPr="007C5F52" w:rsidRDefault="005242DC" w:rsidP="005242DC">
      <w:pPr>
        <w:pStyle w:val="BodyText"/>
      </w:pPr>
    </w:p>
    <w:p w:rsidR="005242DC" w:rsidRDefault="005242DC" w:rsidP="003B7299">
      <w:pPr>
        <w:pStyle w:val="Section"/>
        <w:numPr>
          <w:ilvl w:val="0"/>
          <w:numId w:val="0"/>
        </w:numPr>
      </w:pPr>
      <w:r>
        <w:t>An Overview of the Model</w:t>
      </w:r>
    </w:p>
    <w:p w:rsidR="005242DC" w:rsidRDefault="005242DC" w:rsidP="003B7299">
      <w:pPr>
        <w:pStyle w:val="BodyText"/>
        <w:jc w:val="both"/>
      </w:pPr>
      <w:r>
        <w:t xml:space="preserve">We first focus on the “real side” of the model, where the expenditure components of GDP are calculated in constant prices.  First personal savings are determined, which affect how much of real disposable income will result in total expenditures on consumption.  Personal consumption is modeled in the PADS (consumer demand system) function to </w:t>
      </w:r>
      <w:r>
        <w:lastRenderedPageBreak/>
        <w:t>get consumption by category.  PADS allows the classification of consumption goods into related expenditure groups, for example food, transportation or medical care.  In PADS, motor vehicles prices affect the demand for public transportation, since motor vehicles and public transport are substitutes.</w:t>
      </w:r>
    </w:p>
    <w:p w:rsidR="005242DC" w:rsidRDefault="005242DC" w:rsidP="003B7299">
      <w:pPr>
        <w:pStyle w:val="BodyText"/>
        <w:jc w:val="both"/>
      </w:pPr>
      <w:r>
        <w:t>Exports by commodity may be determined outside the model, from the Inforum bilateral trade model (BTM) or by equations use information from BTM in the form of weighted foreign demands and foreign prices.  The equipment investment equations are based on a Diewert cost function, that models the substitution (or complementarity) of equipment capital with labor and energy.  The equations use a cost of capital measure that includes real interest rates, present value of depreciation, investment tax credit and corporate profits tax.  The construction equations are for the roughly 20 categories of private construction.  Though each has a different form, common variables are interest rates, disposable income and sectoral output.</w:t>
      </w:r>
    </w:p>
    <w:p w:rsidR="005242DC" w:rsidRDefault="005242DC" w:rsidP="003B7299">
      <w:pPr>
        <w:pStyle w:val="BodyText"/>
        <w:jc w:val="both"/>
      </w:pPr>
      <w:r>
        <w:t xml:space="preserve">Federal and state and local consumption and investment expenditures are specified exogenously in real terms, but </w:t>
      </w:r>
      <w:r>
        <w:rPr>
          <w:i/>
        </w:rPr>
        <w:t>LIFT</w:t>
      </w:r>
      <w:r>
        <w:t xml:space="preserve"> allows for detailed control of these expenditures.  For example, defense purchases of aircraft can be specified independently of missiles, ships or tanks.  </w:t>
      </w:r>
    </w:p>
    <w:p w:rsidR="005242DC" w:rsidRDefault="005242DC" w:rsidP="003B7299">
      <w:pPr>
        <w:pStyle w:val="BodyText"/>
        <w:jc w:val="both"/>
      </w:pPr>
      <w:r>
        <w:t>The input-output solution solves jointly for output, imports and inventory change.  Note that the IO matrix coefficients are specified to change over time, according to trends for each row.  However, individual coefficients can also be fixed, to model changes in price or technology.</w:t>
      </w:r>
    </w:p>
    <w:p w:rsidR="005242DC" w:rsidRDefault="005242DC" w:rsidP="003B7299">
      <w:pPr>
        <w:pStyle w:val="BodyText"/>
        <w:jc w:val="both"/>
      </w:pPr>
      <w:r>
        <w:t xml:space="preserve">Labor productivity equations are used to determine the ratio of output to hours worked by industry.  Average hours equations determine the average hours per employed person per year.  Together, the productivity, average hours and output forecast generate employment by industry in the private sector.  Adding in exogenous projections of government and domestic employment, total civilian employment is obtained.  Subtracting total employment from projected labor force yields unemployment, and the unemployment rate, which is a pivotal variable in the model.  </w:t>
      </w:r>
    </w:p>
    <w:p w:rsidR="005242DC" w:rsidRDefault="005242DC" w:rsidP="003B7299">
      <w:pPr>
        <w:pStyle w:val="BodyText"/>
        <w:jc w:val="both"/>
      </w:pPr>
      <w:r>
        <w:t xml:space="preserve">Prices in </w:t>
      </w:r>
      <w:r w:rsidRPr="003E66EA">
        <w:rPr>
          <w:i/>
        </w:rPr>
        <w:t>LIFT</w:t>
      </w:r>
      <w:r>
        <w:t xml:space="preserve"> are determined as a markup over unit intermediate and labor costs.  However, all components of value added are calculated first.  Some are then scaled so that value added by commodity and prices are consistent.  The largest component of value added is labor compensation by industry, which we call simply the “wage rate”, although it also includes supplements.  The “wage” equations relate the growth of the wage rate to growth in the ratio of M2 to GDP, expected inflation, and the growth in labor productivity.  Multiplying the wage rate by the total hours worked per industry gives total labor compensation per industry.</w:t>
      </w:r>
    </w:p>
    <w:p w:rsidR="005242DC" w:rsidRDefault="005242DC" w:rsidP="003B7299">
      <w:pPr>
        <w:pStyle w:val="BodyText"/>
        <w:jc w:val="both"/>
      </w:pPr>
      <w:r>
        <w:t xml:space="preserve">It is also important to determine the components of capital income.  Such items as </w:t>
      </w:r>
      <w:r w:rsidR="00F712D8">
        <w:t>c</w:t>
      </w:r>
      <w:r>
        <w:t xml:space="preserve">orporate profits, proprietors’ income and capital consumption allowances are calculated in </w:t>
      </w:r>
      <w:r w:rsidRPr="003E66EA">
        <w:rPr>
          <w:i/>
        </w:rPr>
        <w:t>LIFT</w:t>
      </w:r>
      <w:r>
        <w:t xml:space="preserve"> by industry.  The value added relationships not only play a role in the determination of prices, but are also needed to be able to calculate corporate profits taxes, and retained earnings and capital consumption allowances are the large components of business savings, which is an important part of the savings-investment identity.  Furthermore, dividends, proprietors’ income, interest income and rental income all contribute to personal income.</w:t>
      </w:r>
    </w:p>
    <w:p w:rsidR="005242DC" w:rsidRDefault="005242DC" w:rsidP="003B7299">
      <w:pPr>
        <w:pStyle w:val="BodyText"/>
        <w:jc w:val="both"/>
      </w:pPr>
      <w:r>
        <w:lastRenderedPageBreak/>
        <w:t>Finally, there is a block of the model called  “the Accountant”, which is a large set of equations and identities that aggregate industry and commodity level variables up to the aggregate level, and calculate many of the main variables in the National Income and Product Accounts (NIPA).  Part of the job of the accountant is to estimate all of the components of national income, personal income and disposable income.  It also calculates federal and state and local government receipts and expenditures, as well as transfer payments and social insurance contributions.  All of the fundamental national accounts identities are also calculated by the Accountant.</w:t>
      </w:r>
    </w:p>
    <w:p w:rsidR="005242DC" w:rsidRDefault="005242DC" w:rsidP="003B7299">
      <w:pPr>
        <w:pStyle w:val="BodyText"/>
        <w:jc w:val="both"/>
      </w:pPr>
      <w:r>
        <w:t xml:space="preserve">The standard solution interval for </w:t>
      </w:r>
      <w:r>
        <w:rPr>
          <w:i/>
          <w:iCs/>
        </w:rPr>
        <w:t xml:space="preserve">LIFT </w:t>
      </w:r>
      <w:r>
        <w:t xml:space="preserve">has recently been to 2030.  For the calibration to the </w:t>
      </w:r>
      <w:r w:rsidRPr="00767E67">
        <w:rPr>
          <w:i/>
          <w:iCs/>
        </w:rPr>
        <w:t xml:space="preserve">2010 </w:t>
      </w:r>
      <w:r>
        <w:rPr>
          <w:i/>
          <w:iCs/>
        </w:rPr>
        <w:t>Annual Energy Outlook</w:t>
      </w:r>
      <w:r>
        <w:t xml:space="preserve">, the solution interval will be extended to 2035.  Note that we have also developed special versions of </w:t>
      </w:r>
      <w:r>
        <w:rPr>
          <w:i/>
          <w:iCs/>
        </w:rPr>
        <w:t>LIFT</w:t>
      </w:r>
      <w:r>
        <w:t xml:space="preserve"> that forecast to 2050 (for carbon emissions modeling) or to 2085 (for long-term health care projects).</w:t>
      </w:r>
    </w:p>
    <w:p w:rsidR="005242DC" w:rsidRDefault="005242DC" w:rsidP="005242DC">
      <w:pPr>
        <w:pStyle w:val="BodyText"/>
      </w:pPr>
    </w:p>
    <w:p w:rsidR="005242DC" w:rsidRDefault="005242DC" w:rsidP="003B7299">
      <w:pPr>
        <w:pStyle w:val="Section"/>
        <w:numPr>
          <w:ilvl w:val="0"/>
          <w:numId w:val="0"/>
        </w:numPr>
      </w:pPr>
      <w:r>
        <w:t>The Use of LIFT for Energy Modeling</w:t>
      </w:r>
    </w:p>
    <w:p w:rsidR="005242DC" w:rsidRDefault="005242DC" w:rsidP="003B7299">
      <w:pPr>
        <w:jc w:val="both"/>
      </w:pPr>
      <w:r>
        <w:t xml:space="preserve">As described above, </w:t>
      </w:r>
      <w:r w:rsidRPr="00AD70CB">
        <w:rPr>
          <w:i/>
          <w:iCs/>
        </w:rPr>
        <w:t>LIFT</w:t>
      </w:r>
      <w:r>
        <w:t xml:space="preserve"> is an interindustry macroeconomic (IM) model.  Price and quantity calculations are grounded in the IO relationships.  To a large extent, the macroeconomic forecasts are aggregates of detailed industry equations.  The </w:t>
      </w:r>
      <w:r w:rsidRPr="00AD70CB">
        <w:rPr>
          <w:i/>
          <w:iCs/>
        </w:rPr>
        <w:t>LIFT</w:t>
      </w:r>
      <w:r>
        <w:t xml:space="preserve"> model embodies industry and interindustry detail for about 90 commodities, as well as a full set of NIPA (national accounts) variables.  While not an energy model </w:t>
      </w:r>
      <w:r w:rsidRPr="00982612">
        <w:rPr>
          <w:i/>
          <w:iCs/>
        </w:rPr>
        <w:t>per se</w:t>
      </w:r>
      <w:r>
        <w:t xml:space="preserve">, </w:t>
      </w:r>
      <w:r w:rsidRPr="003E66EA">
        <w:rPr>
          <w:i/>
        </w:rPr>
        <w:t>LIFT</w:t>
      </w:r>
      <w:r>
        <w:t xml:space="preserve"> maintains detail for the following energy industries.</w:t>
      </w:r>
    </w:p>
    <w:p w:rsidR="005242DC" w:rsidRPr="00EC0D09" w:rsidRDefault="006D7839" w:rsidP="005242DC">
      <w:pPr>
        <w:ind w:left="720"/>
      </w:pPr>
      <w:r>
        <w:rPr>
          <w:noProof/>
        </w:rPr>
        <w:drawing>
          <wp:inline distT="0" distB="0" distL="0" distR="0">
            <wp:extent cx="2016760" cy="111252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cstate="print"/>
                    <a:srcRect/>
                    <a:stretch>
                      <a:fillRect/>
                    </a:stretch>
                  </pic:blipFill>
                  <pic:spPr bwMode="auto">
                    <a:xfrm>
                      <a:off x="0" y="0"/>
                      <a:ext cx="2016760" cy="1112520"/>
                    </a:xfrm>
                    <a:prstGeom prst="rect">
                      <a:avLst/>
                    </a:prstGeom>
                    <a:noFill/>
                    <a:ln w="9525">
                      <a:noFill/>
                      <a:miter lim="800000"/>
                      <a:headEnd/>
                      <a:tailEnd/>
                    </a:ln>
                  </pic:spPr>
                </pic:pic>
              </a:graphicData>
            </a:graphic>
          </wp:inline>
        </w:drawing>
      </w:r>
    </w:p>
    <w:p w:rsidR="005242DC" w:rsidRDefault="005242DC" w:rsidP="003B7299">
      <w:pPr>
        <w:jc w:val="both"/>
      </w:pPr>
      <w:r w:rsidRPr="00AD70CB">
        <w:rPr>
          <w:i/>
          <w:iCs/>
        </w:rPr>
        <w:t>LIFT</w:t>
      </w:r>
      <w:r>
        <w:t xml:space="preserve"> shows constant and current price sales of these industries to all other industries and to final demand, as well as showing the purchases of these industries from other industries in the economy.</w:t>
      </w:r>
    </w:p>
    <w:p w:rsidR="005242DC" w:rsidRDefault="005242DC" w:rsidP="003B7299">
      <w:pPr>
        <w:jc w:val="both"/>
      </w:pPr>
      <w:r>
        <w:t xml:space="preserve">The calculation of prices in </w:t>
      </w:r>
      <w:r w:rsidRPr="00AD70CB">
        <w:rPr>
          <w:i/>
          <w:iCs/>
        </w:rPr>
        <w:t>LIFT</w:t>
      </w:r>
      <w:r>
        <w:t xml:space="preserve"> is also based on IO relationships.  Prices are based on the prices of domestic and imported inputs, and the value added generated in production, including labor compensation, gross operating surplus and indirect taxes.  Energy taxes, such as those analyzed in this study, are implemented as an indirect tax, which affects the price of the target industry directly, and the prices of all other industries indirectly.</w:t>
      </w:r>
    </w:p>
    <w:p w:rsidR="005242DC" w:rsidRDefault="00F712D8" w:rsidP="003B7299">
      <w:pPr>
        <w:jc w:val="both"/>
      </w:pPr>
      <w:r>
        <w:t>Residential energy demand</w:t>
      </w:r>
      <w:r w:rsidR="005242DC">
        <w:t xml:space="preserve"> and household transportation are modeled as part of a system of personal consumption expenditure equations.  These consumption equations respond to disposable income, relative prices and other variables.  Industrial, commercial and non-household transportation energy demand is modeled via IO relationships.  The IO relationships are not static, but may be modeled to incorporate efficiency improvements, price-induced substitution, or changes in structure due to technological change.  The structure of the electric power generating industry is represented as a disaggregat</w:t>
      </w:r>
      <w:r w:rsidR="003E66EA">
        <w:t>ion into the following list of eight</w:t>
      </w:r>
      <w:r w:rsidR="005242DC">
        <w:t xml:space="preserve"> separate components, based on the technology or fuel type.  </w:t>
      </w:r>
    </w:p>
    <w:p w:rsidR="005242DC" w:rsidRPr="00590163" w:rsidRDefault="006D7839" w:rsidP="005242DC">
      <w:pPr>
        <w:ind w:left="720"/>
      </w:pPr>
      <w:r>
        <w:rPr>
          <w:noProof/>
        </w:rPr>
        <w:lastRenderedPageBreak/>
        <w:drawing>
          <wp:inline distT="0" distB="0" distL="0" distR="0">
            <wp:extent cx="2174240" cy="1584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cstate="print"/>
                    <a:srcRect/>
                    <a:stretch>
                      <a:fillRect/>
                    </a:stretch>
                  </pic:blipFill>
                  <pic:spPr bwMode="auto">
                    <a:xfrm>
                      <a:off x="0" y="0"/>
                      <a:ext cx="2174240" cy="1584960"/>
                    </a:xfrm>
                    <a:prstGeom prst="rect">
                      <a:avLst/>
                    </a:prstGeom>
                    <a:noFill/>
                    <a:ln w="9525">
                      <a:noFill/>
                      <a:miter lim="800000"/>
                      <a:headEnd/>
                      <a:tailEnd/>
                    </a:ln>
                  </pic:spPr>
                </pic:pic>
              </a:graphicData>
            </a:graphic>
          </wp:inline>
        </w:drawing>
      </w:r>
    </w:p>
    <w:p w:rsidR="005242DC" w:rsidRDefault="005242DC" w:rsidP="003B7299">
      <w:pPr>
        <w:jc w:val="both"/>
      </w:pPr>
      <w:r>
        <w:t xml:space="preserve">Additional modules have been </w:t>
      </w:r>
      <w:r w:rsidR="003B7299">
        <w:t>built into</w:t>
      </w:r>
      <w:r>
        <w:t xml:space="preserve"> </w:t>
      </w:r>
      <w:r w:rsidRPr="00AD70CB">
        <w:rPr>
          <w:i/>
          <w:iCs/>
        </w:rPr>
        <w:t>LIFT</w:t>
      </w:r>
      <w:r>
        <w:t xml:space="preserve">, which perform side calculations.  These modules take output, price and other variables from the model, solve, and then provide variables to feed back to the main model.  Examples of modules now functioning with </w:t>
      </w:r>
      <w:r w:rsidRPr="00AD70CB">
        <w:rPr>
          <w:i/>
          <w:iCs/>
        </w:rPr>
        <w:t>LIFT</w:t>
      </w:r>
      <w:r>
        <w:t xml:space="preserve"> include:</w:t>
      </w:r>
    </w:p>
    <w:p w:rsidR="005242DC" w:rsidRDefault="005242DC" w:rsidP="005242DC">
      <w:pPr>
        <w:numPr>
          <w:ilvl w:val="0"/>
          <w:numId w:val="7"/>
        </w:numPr>
        <w:spacing w:after="0"/>
      </w:pPr>
      <w:r>
        <w:t xml:space="preserve">Biofuels </w:t>
      </w:r>
    </w:p>
    <w:p w:rsidR="005242DC" w:rsidRDefault="005242DC" w:rsidP="005242DC">
      <w:pPr>
        <w:numPr>
          <w:ilvl w:val="0"/>
          <w:numId w:val="7"/>
        </w:numPr>
        <w:spacing w:after="0"/>
      </w:pPr>
      <w:r>
        <w:t xml:space="preserve">Light-duty vehicles </w:t>
      </w:r>
    </w:p>
    <w:p w:rsidR="005242DC" w:rsidRDefault="005242DC" w:rsidP="005242DC">
      <w:pPr>
        <w:numPr>
          <w:ilvl w:val="0"/>
          <w:numId w:val="7"/>
        </w:numPr>
        <w:spacing w:after="0"/>
      </w:pPr>
      <w:r>
        <w:t xml:space="preserve">Building efficiency </w:t>
      </w:r>
    </w:p>
    <w:p w:rsidR="005242DC" w:rsidRDefault="003E66EA" w:rsidP="005242DC">
      <w:pPr>
        <w:numPr>
          <w:ilvl w:val="0"/>
          <w:numId w:val="7"/>
        </w:numPr>
        <w:spacing w:after="0"/>
      </w:pPr>
      <w:r>
        <w:t>Carbon capture and storage (CCS)</w:t>
      </w:r>
    </w:p>
    <w:p w:rsidR="005242DC" w:rsidRDefault="005242DC" w:rsidP="005242DC">
      <w:pPr>
        <w:numPr>
          <w:ilvl w:val="0"/>
          <w:numId w:val="7"/>
        </w:numPr>
        <w:spacing w:after="0"/>
      </w:pPr>
      <w:r>
        <w:t>Renewable power (wind and solar)</w:t>
      </w:r>
    </w:p>
    <w:p w:rsidR="005242DC" w:rsidRDefault="005242DC" w:rsidP="005242DC">
      <w:pPr>
        <w:numPr>
          <w:ilvl w:val="0"/>
          <w:numId w:val="7"/>
        </w:numPr>
        <w:spacing w:after="0"/>
      </w:pPr>
      <w:r>
        <w:t>Nuclear power</w:t>
      </w:r>
    </w:p>
    <w:p w:rsidR="005242DC" w:rsidRDefault="005242DC" w:rsidP="005242DC">
      <w:pPr>
        <w:numPr>
          <w:ilvl w:val="0"/>
          <w:numId w:val="7"/>
        </w:numPr>
        <w:spacing w:after="0"/>
      </w:pPr>
      <w:r>
        <w:t>Carbon and carbon tax calculator</w:t>
      </w:r>
    </w:p>
    <w:p w:rsidR="005242DC" w:rsidRDefault="005242DC" w:rsidP="005242DC">
      <w:pPr>
        <w:numPr>
          <w:ilvl w:val="0"/>
          <w:numId w:val="7"/>
        </w:numPr>
      </w:pPr>
      <w:r>
        <w:t>Electricity generation by type</w:t>
      </w:r>
    </w:p>
    <w:p w:rsidR="007707DB" w:rsidRDefault="005242DC" w:rsidP="003B7299">
      <w:pPr>
        <w:jc w:val="both"/>
      </w:pPr>
      <w:r>
        <w:t xml:space="preserve">A module such as the building efficiency or light duty vehicles calculates variables such as residential and commercial energy demand for which </w:t>
      </w:r>
      <w:r w:rsidRPr="00AD70CB">
        <w:rPr>
          <w:i/>
          <w:iCs/>
        </w:rPr>
        <w:t>LIFT</w:t>
      </w:r>
      <w:r>
        <w:t xml:space="preserve"> would normally use the personal consumption equations or the IO coefficients.  With the addition of the module, these default calculations are either replaced or modified.  Personal consumption expenditures on gasoline may then be calculated as the sum of fuels of vehicles of different types, based on MPG and vehicle miles traveled instead of the default equations which rely on income and price.  Changes in commercial energy demand coming through building or vehicle efficiency are implemented as changes in IO coefficients.</w:t>
      </w:r>
    </w:p>
    <w:p w:rsidR="007707DB" w:rsidRDefault="007707DB" w:rsidP="007707DB">
      <w:pPr>
        <w:pStyle w:val="PlainText"/>
        <w:rPr>
          <w:rFonts w:ascii="Times New Roman" w:hAnsi="Times New Roman"/>
          <w:b/>
          <w:sz w:val="23"/>
          <w:szCs w:val="23"/>
        </w:rPr>
      </w:pPr>
      <w:r>
        <w:br w:type="page"/>
      </w:r>
      <w:r w:rsidRPr="00706A7C">
        <w:rPr>
          <w:rFonts w:ascii="Times New Roman" w:hAnsi="Times New Roman"/>
          <w:b/>
          <w:sz w:val="23"/>
          <w:szCs w:val="23"/>
        </w:rPr>
        <w:lastRenderedPageBreak/>
        <w:t>Producing Sectors of the</w:t>
      </w:r>
      <w:r>
        <w:rPr>
          <w:rFonts w:ascii="Times New Roman" w:hAnsi="Times New Roman"/>
          <w:b/>
          <w:sz w:val="23"/>
          <w:szCs w:val="23"/>
        </w:rPr>
        <w:t xml:space="preserve"> Lift Model of the </w:t>
      </w:r>
      <w:smartTag w:uri="urn:schemas-microsoft-com:office:smarttags" w:element="place">
        <w:smartTag w:uri="urn:schemas-microsoft-com:office:smarttags" w:element="country-region">
          <w:r>
            <w:rPr>
              <w:rFonts w:ascii="Times New Roman" w:hAnsi="Times New Roman"/>
              <w:b/>
              <w:sz w:val="23"/>
              <w:szCs w:val="23"/>
            </w:rPr>
            <w:t>U.S.</w:t>
          </w:r>
        </w:smartTag>
      </w:smartTag>
      <w:r>
        <w:rPr>
          <w:rFonts w:ascii="Times New Roman" w:hAnsi="Times New Roman"/>
          <w:b/>
          <w:sz w:val="23"/>
          <w:szCs w:val="23"/>
        </w:rPr>
        <w:t xml:space="preserve"> Economy</w:t>
      </w:r>
    </w:p>
    <w:p w:rsidR="007707DB" w:rsidRDefault="007707DB" w:rsidP="007707DB">
      <w:pPr>
        <w:pStyle w:val="PlainText"/>
        <w:rPr>
          <w:rFonts w:ascii="Times New Roman" w:hAnsi="Times New Roman" w:cs="Times New Roman"/>
          <w:b/>
          <w:sz w:val="18"/>
          <w:szCs w:val="18"/>
        </w:rPr>
      </w:pPr>
    </w:p>
    <w:p w:rsidR="007707DB" w:rsidRDefault="007707DB" w:rsidP="007707DB">
      <w:pPr>
        <w:pStyle w:val="PlainText"/>
        <w:rPr>
          <w:rFonts w:ascii="Times New Roman" w:hAnsi="Times New Roman" w:cs="Times New Roman"/>
          <w:b/>
          <w:sz w:val="18"/>
          <w:szCs w:val="18"/>
        </w:rPr>
        <w:sectPr w:rsidR="007707DB" w:rsidSect="00D35CD5">
          <w:footerReference w:type="default" r:id="rId40"/>
          <w:pgSz w:w="12240" w:h="15840"/>
          <w:pgMar w:top="1440" w:right="1800" w:bottom="1440" w:left="1800" w:header="720" w:footer="720" w:gutter="0"/>
          <w:pgNumType w:start="1"/>
          <w:cols w:space="720"/>
          <w:docGrid w:linePitch="360"/>
        </w:sect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lastRenderedPageBreak/>
        <w:t xml:space="preserve"> 1 Agriculture, forestry, &amp; fish</w:t>
      </w:r>
      <w:r>
        <w:rPr>
          <w:rFonts w:ascii="Times New Roman" w:hAnsi="Times New Roman" w:cs="Times New Roman"/>
          <w:b/>
          <w:sz w:val="18"/>
          <w:szCs w:val="18"/>
        </w:rPr>
        <w:t>eries</w:t>
      </w:r>
    </w:p>
    <w:p w:rsidR="007707DB" w:rsidRPr="00706A7C" w:rsidRDefault="007707DB" w:rsidP="007707DB">
      <w:pPr>
        <w:pStyle w:val="PlainText"/>
        <w:rPr>
          <w:rFonts w:ascii="Times New Roman" w:hAnsi="Times New Roman" w:cs="Times New Roman"/>
          <w:sz w:val="18"/>
          <w:szCs w:val="18"/>
        </w:r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t>Mining</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 2 Metal mining</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 3 Coal mining</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 4 Natural gas extraction</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 5 Crude petroleum</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 6 Non-metallic mining</w:t>
      </w:r>
    </w:p>
    <w:p w:rsidR="007707DB" w:rsidRPr="00706A7C" w:rsidRDefault="007707DB" w:rsidP="007707DB">
      <w:pPr>
        <w:pStyle w:val="PlainText"/>
        <w:rPr>
          <w:rFonts w:ascii="Times New Roman" w:hAnsi="Times New Roman" w:cs="Times New Roman"/>
          <w:sz w:val="18"/>
          <w:szCs w:val="18"/>
        </w:r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t>Construction</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 7 New </w:t>
      </w:r>
      <w:proofErr w:type="gramStart"/>
      <w:r w:rsidRPr="00706A7C">
        <w:rPr>
          <w:rFonts w:ascii="Times New Roman" w:hAnsi="Times New Roman" w:cs="Times New Roman"/>
          <w:sz w:val="18"/>
          <w:szCs w:val="18"/>
        </w:rPr>
        <w:t>construction</w:t>
      </w:r>
      <w:proofErr w:type="gramEnd"/>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 8 M &amp; R construction</w:t>
      </w:r>
    </w:p>
    <w:p w:rsidR="007707DB" w:rsidRPr="00706A7C" w:rsidRDefault="007707DB" w:rsidP="007707DB">
      <w:pPr>
        <w:pStyle w:val="PlainText"/>
        <w:rPr>
          <w:rFonts w:ascii="Times New Roman" w:hAnsi="Times New Roman" w:cs="Times New Roman"/>
          <w:sz w:val="18"/>
          <w:szCs w:val="18"/>
        </w:r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t>Non-Durables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 9 Meat products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10 Dairy products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11 Canned &amp; frozen foods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12 Bakery &amp; grain mill product</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13 Alcoholic beverages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14 Other food products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15 Tobacco products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16 Textiles and knitting</w:t>
      </w:r>
    </w:p>
    <w:p w:rsidR="007707DB" w:rsidRPr="00706A7C" w:rsidRDefault="007707DB" w:rsidP="007707DB">
      <w:pPr>
        <w:pStyle w:val="PlainText"/>
        <w:rPr>
          <w:rFonts w:ascii="Times New Roman" w:hAnsi="Times New Roman" w:cs="Times New Roman"/>
          <w:sz w:val="18"/>
          <w:szCs w:val="18"/>
        </w:rPr>
      </w:pPr>
      <w:proofErr w:type="gramStart"/>
      <w:r w:rsidRPr="00706A7C">
        <w:rPr>
          <w:rFonts w:ascii="Times New Roman" w:hAnsi="Times New Roman" w:cs="Times New Roman"/>
          <w:sz w:val="18"/>
          <w:szCs w:val="18"/>
        </w:rPr>
        <w:t>17 Apparel</w:t>
      </w:r>
      <w:proofErr w:type="gramEnd"/>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18 </w:t>
      </w:r>
      <w:proofErr w:type="gramStart"/>
      <w:r w:rsidRPr="00706A7C">
        <w:rPr>
          <w:rFonts w:ascii="Times New Roman" w:hAnsi="Times New Roman" w:cs="Times New Roman"/>
          <w:sz w:val="18"/>
          <w:szCs w:val="18"/>
        </w:rPr>
        <w:t>Paper</w:t>
      </w:r>
      <w:proofErr w:type="gramEnd"/>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19 Printing &amp; publishing</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20 Agric fertilizers &amp; chemicals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21 Plastics &amp; synthetics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22 Drugs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23 Other chemicals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24 Petroleum refining</w:t>
      </w:r>
    </w:p>
    <w:p w:rsidR="007707DB" w:rsidRPr="00706A7C" w:rsidRDefault="007707DB" w:rsidP="007707DB">
      <w:pPr>
        <w:pStyle w:val="PlainText"/>
        <w:rPr>
          <w:rFonts w:ascii="Times New Roman" w:hAnsi="Times New Roman" w:cs="Times New Roman"/>
          <w:sz w:val="18"/>
          <w:szCs w:val="18"/>
        </w:rPr>
      </w:pPr>
      <w:proofErr w:type="gramStart"/>
      <w:r w:rsidRPr="00706A7C">
        <w:rPr>
          <w:rFonts w:ascii="Times New Roman" w:hAnsi="Times New Roman" w:cs="Times New Roman"/>
          <w:sz w:val="18"/>
          <w:szCs w:val="18"/>
        </w:rPr>
        <w:t>25 Fuel oil</w:t>
      </w:r>
      <w:proofErr w:type="gramEnd"/>
      <w:r w:rsidRPr="00706A7C">
        <w:rPr>
          <w:rFonts w:ascii="Times New Roman" w:hAnsi="Times New Roman" w:cs="Times New Roman"/>
          <w:sz w:val="18"/>
          <w:szCs w:val="18"/>
        </w:rPr>
        <w:t xml:space="preserve">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26 Rubber products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27 Plastic products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28 Shoes &amp; leather</w:t>
      </w:r>
    </w:p>
    <w:p w:rsidR="007707DB" w:rsidRPr="00706A7C" w:rsidRDefault="007707DB" w:rsidP="007707DB">
      <w:pPr>
        <w:pStyle w:val="PlainText"/>
        <w:rPr>
          <w:rFonts w:ascii="Times New Roman" w:hAnsi="Times New Roman" w:cs="Times New Roman"/>
          <w:sz w:val="18"/>
          <w:szCs w:val="18"/>
        </w:r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t xml:space="preserve">Durable Material &amp; Products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29 </w:t>
      </w:r>
      <w:proofErr w:type="gramStart"/>
      <w:r w:rsidRPr="00706A7C">
        <w:rPr>
          <w:rFonts w:ascii="Times New Roman" w:hAnsi="Times New Roman" w:cs="Times New Roman"/>
          <w:sz w:val="18"/>
          <w:szCs w:val="18"/>
        </w:rPr>
        <w:t>Lumber</w:t>
      </w:r>
      <w:proofErr w:type="gramEnd"/>
      <w:r w:rsidRPr="00706A7C">
        <w:rPr>
          <w:rFonts w:ascii="Times New Roman" w:hAnsi="Times New Roman" w:cs="Times New Roman"/>
          <w:sz w:val="18"/>
          <w:szCs w:val="18"/>
        </w:rPr>
        <w:t xml:space="preserve"> </w:t>
      </w:r>
    </w:p>
    <w:p w:rsidR="007707DB" w:rsidRPr="00706A7C" w:rsidRDefault="007707DB" w:rsidP="007707DB">
      <w:pPr>
        <w:pStyle w:val="PlainText"/>
        <w:rPr>
          <w:rFonts w:ascii="Times New Roman" w:hAnsi="Times New Roman" w:cs="Times New Roman"/>
          <w:sz w:val="18"/>
          <w:szCs w:val="18"/>
        </w:rPr>
      </w:pPr>
      <w:proofErr w:type="gramStart"/>
      <w:r w:rsidRPr="00706A7C">
        <w:rPr>
          <w:rFonts w:ascii="Times New Roman" w:hAnsi="Times New Roman" w:cs="Times New Roman"/>
          <w:sz w:val="18"/>
          <w:szCs w:val="18"/>
        </w:rPr>
        <w:t>30 Furniture</w:t>
      </w:r>
      <w:proofErr w:type="gramEnd"/>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31 Stone, clay &amp; glass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32 Primary ferrous metals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33 Primary nonferrous metals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34 Metal products </w:t>
      </w:r>
    </w:p>
    <w:p w:rsidR="007707DB" w:rsidRDefault="007707DB" w:rsidP="007707DB">
      <w:pPr>
        <w:pStyle w:val="PlainText"/>
        <w:rPr>
          <w:rFonts w:ascii="Times New Roman" w:hAnsi="Times New Roman" w:cs="Times New Roman"/>
          <w:b/>
          <w:sz w:val="18"/>
          <w:szCs w:val="18"/>
        </w:r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t>Non-Electrical Machinery</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35 Engines and turbines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36 </w:t>
      </w:r>
      <w:proofErr w:type="gramStart"/>
      <w:r w:rsidRPr="00706A7C">
        <w:rPr>
          <w:rFonts w:ascii="Times New Roman" w:hAnsi="Times New Roman" w:cs="Times New Roman"/>
          <w:sz w:val="18"/>
          <w:szCs w:val="18"/>
        </w:rPr>
        <w:t>Agr.,</w:t>
      </w:r>
      <w:proofErr w:type="gramEnd"/>
      <w:r w:rsidRPr="00706A7C">
        <w:rPr>
          <w:rFonts w:ascii="Times New Roman" w:hAnsi="Times New Roman" w:cs="Times New Roman"/>
          <w:sz w:val="18"/>
          <w:szCs w:val="18"/>
        </w:rPr>
        <w:t xml:space="preserve"> constr., min &amp; oil equip</w:t>
      </w:r>
    </w:p>
    <w:p w:rsidR="007707DB" w:rsidRPr="00706A7C" w:rsidRDefault="007707DB" w:rsidP="007707DB">
      <w:pPr>
        <w:pStyle w:val="PlainText"/>
        <w:rPr>
          <w:rFonts w:ascii="Times New Roman" w:hAnsi="Times New Roman" w:cs="Times New Roman"/>
          <w:sz w:val="18"/>
          <w:szCs w:val="18"/>
        </w:rPr>
      </w:pPr>
      <w:proofErr w:type="gramStart"/>
      <w:r w:rsidRPr="00706A7C">
        <w:rPr>
          <w:rFonts w:ascii="Times New Roman" w:hAnsi="Times New Roman" w:cs="Times New Roman"/>
          <w:sz w:val="18"/>
          <w:szCs w:val="18"/>
        </w:rPr>
        <w:t>37 Metalworking machinery</w:t>
      </w:r>
      <w:proofErr w:type="gramEnd"/>
      <w:r w:rsidRPr="00706A7C">
        <w:rPr>
          <w:rFonts w:ascii="Times New Roman" w:hAnsi="Times New Roman" w:cs="Times New Roman"/>
          <w:sz w:val="18"/>
          <w:szCs w:val="18"/>
        </w:rPr>
        <w:t xml:space="preserve"> </w:t>
      </w:r>
    </w:p>
    <w:p w:rsidR="007707DB" w:rsidRPr="00706A7C" w:rsidRDefault="007707DB" w:rsidP="007707DB">
      <w:pPr>
        <w:pStyle w:val="PlainText"/>
        <w:rPr>
          <w:rFonts w:ascii="Times New Roman" w:hAnsi="Times New Roman" w:cs="Times New Roman"/>
          <w:sz w:val="18"/>
          <w:szCs w:val="18"/>
        </w:rPr>
      </w:pPr>
      <w:proofErr w:type="gramStart"/>
      <w:r w:rsidRPr="00706A7C">
        <w:rPr>
          <w:rFonts w:ascii="Times New Roman" w:hAnsi="Times New Roman" w:cs="Times New Roman"/>
          <w:sz w:val="18"/>
          <w:szCs w:val="18"/>
        </w:rPr>
        <w:t>38 Special industry machinery</w:t>
      </w:r>
      <w:proofErr w:type="gramEnd"/>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39 General &amp; misc. industrial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40 Computers </w:t>
      </w:r>
    </w:p>
    <w:p w:rsidR="007707DB" w:rsidRPr="00706A7C" w:rsidRDefault="007707DB" w:rsidP="007707DB">
      <w:pPr>
        <w:pStyle w:val="PlainText"/>
        <w:rPr>
          <w:rFonts w:ascii="Times New Roman" w:hAnsi="Times New Roman" w:cs="Times New Roman"/>
          <w:sz w:val="18"/>
          <w:szCs w:val="18"/>
        </w:rPr>
      </w:pPr>
      <w:proofErr w:type="gramStart"/>
      <w:r w:rsidRPr="00706A7C">
        <w:rPr>
          <w:rFonts w:ascii="Times New Roman" w:hAnsi="Times New Roman" w:cs="Times New Roman"/>
          <w:sz w:val="18"/>
          <w:szCs w:val="18"/>
        </w:rPr>
        <w:t>41 Office equipment</w:t>
      </w:r>
      <w:proofErr w:type="gramEnd"/>
    </w:p>
    <w:p w:rsidR="007707DB" w:rsidRPr="00706A7C" w:rsidRDefault="007707DB" w:rsidP="007707DB">
      <w:pPr>
        <w:pStyle w:val="PlainText"/>
        <w:rPr>
          <w:rFonts w:ascii="Times New Roman" w:hAnsi="Times New Roman" w:cs="Times New Roman"/>
          <w:sz w:val="18"/>
          <w:szCs w:val="18"/>
        </w:rPr>
      </w:pPr>
      <w:proofErr w:type="gramStart"/>
      <w:r w:rsidRPr="00706A7C">
        <w:rPr>
          <w:rFonts w:ascii="Times New Roman" w:hAnsi="Times New Roman" w:cs="Times New Roman"/>
          <w:sz w:val="18"/>
          <w:szCs w:val="18"/>
        </w:rPr>
        <w:t>42 Service industry machinery</w:t>
      </w:r>
      <w:proofErr w:type="gramEnd"/>
      <w:r w:rsidRPr="00706A7C">
        <w:rPr>
          <w:rFonts w:ascii="Times New Roman" w:hAnsi="Times New Roman" w:cs="Times New Roman"/>
          <w:sz w:val="18"/>
          <w:szCs w:val="18"/>
        </w:rPr>
        <w:t xml:space="preserve"> </w:t>
      </w:r>
    </w:p>
    <w:p w:rsidR="007707DB" w:rsidRPr="00706A7C" w:rsidRDefault="007707DB" w:rsidP="007707DB">
      <w:pPr>
        <w:pStyle w:val="PlainText"/>
        <w:rPr>
          <w:rFonts w:ascii="Times New Roman" w:hAnsi="Times New Roman" w:cs="Times New Roman"/>
          <w:sz w:val="18"/>
          <w:szCs w:val="18"/>
        </w:r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t>Electrical Machinery</w:t>
      </w:r>
    </w:p>
    <w:p w:rsidR="007707DB" w:rsidRPr="00706A7C" w:rsidRDefault="007707DB" w:rsidP="007707DB">
      <w:pPr>
        <w:pStyle w:val="PlainText"/>
        <w:rPr>
          <w:rFonts w:ascii="Times New Roman" w:hAnsi="Times New Roman" w:cs="Times New Roman"/>
          <w:sz w:val="18"/>
          <w:szCs w:val="18"/>
        </w:rPr>
      </w:pPr>
      <w:proofErr w:type="gramStart"/>
      <w:r w:rsidRPr="00706A7C">
        <w:rPr>
          <w:rFonts w:ascii="Times New Roman" w:hAnsi="Times New Roman" w:cs="Times New Roman"/>
          <w:sz w:val="18"/>
          <w:szCs w:val="18"/>
        </w:rPr>
        <w:t>43 Elect.</w:t>
      </w:r>
      <w:proofErr w:type="gramEnd"/>
      <w:r w:rsidRPr="00706A7C">
        <w:rPr>
          <w:rFonts w:ascii="Times New Roman" w:hAnsi="Times New Roman" w:cs="Times New Roman"/>
          <w:sz w:val="18"/>
          <w:szCs w:val="18"/>
        </w:rPr>
        <w:t xml:space="preserve"> </w:t>
      </w:r>
      <w:proofErr w:type="gramStart"/>
      <w:r w:rsidRPr="00706A7C">
        <w:rPr>
          <w:rFonts w:ascii="Times New Roman" w:hAnsi="Times New Roman" w:cs="Times New Roman"/>
          <w:sz w:val="18"/>
          <w:szCs w:val="18"/>
        </w:rPr>
        <w:t>industry</w:t>
      </w:r>
      <w:proofErr w:type="gramEnd"/>
      <w:r w:rsidRPr="00706A7C">
        <w:rPr>
          <w:rFonts w:ascii="Times New Roman" w:hAnsi="Times New Roman" w:cs="Times New Roman"/>
          <w:sz w:val="18"/>
          <w:szCs w:val="18"/>
        </w:rPr>
        <w:t xml:space="preserve"> equipment</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44 Household appliances</w:t>
      </w:r>
    </w:p>
    <w:p w:rsidR="007707DB" w:rsidRPr="00706A7C" w:rsidRDefault="007707DB" w:rsidP="007707DB">
      <w:pPr>
        <w:pStyle w:val="PlainText"/>
        <w:rPr>
          <w:rFonts w:ascii="Times New Roman" w:hAnsi="Times New Roman" w:cs="Times New Roman"/>
          <w:sz w:val="18"/>
          <w:szCs w:val="18"/>
        </w:rPr>
      </w:pPr>
      <w:proofErr w:type="gramStart"/>
      <w:r w:rsidRPr="00706A7C">
        <w:rPr>
          <w:rFonts w:ascii="Times New Roman" w:hAnsi="Times New Roman" w:cs="Times New Roman"/>
          <w:sz w:val="18"/>
          <w:szCs w:val="18"/>
        </w:rPr>
        <w:t>45 Elect.</w:t>
      </w:r>
      <w:proofErr w:type="gramEnd"/>
      <w:r w:rsidRPr="00706A7C">
        <w:rPr>
          <w:rFonts w:ascii="Times New Roman" w:hAnsi="Times New Roman" w:cs="Times New Roman"/>
          <w:sz w:val="18"/>
          <w:szCs w:val="18"/>
        </w:rPr>
        <w:t xml:space="preserve"> </w:t>
      </w:r>
      <w:proofErr w:type="gramStart"/>
      <w:r w:rsidRPr="00706A7C">
        <w:rPr>
          <w:rFonts w:ascii="Times New Roman" w:hAnsi="Times New Roman" w:cs="Times New Roman"/>
          <w:sz w:val="18"/>
          <w:szCs w:val="18"/>
        </w:rPr>
        <w:t>lighting</w:t>
      </w:r>
      <w:proofErr w:type="gramEnd"/>
      <w:r w:rsidRPr="00706A7C">
        <w:rPr>
          <w:rFonts w:ascii="Times New Roman" w:hAnsi="Times New Roman" w:cs="Times New Roman"/>
          <w:sz w:val="18"/>
          <w:szCs w:val="18"/>
        </w:rPr>
        <w:t xml:space="preserve"> &amp; wiring </w:t>
      </w:r>
      <w:proofErr w:type="spellStart"/>
      <w:r w:rsidRPr="00706A7C">
        <w:rPr>
          <w:rFonts w:ascii="Times New Roman" w:hAnsi="Times New Roman" w:cs="Times New Roman"/>
          <w:sz w:val="18"/>
          <w:szCs w:val="18"/>
        </w:rPr>
        <w:t>eq</w:t>
      </w:r>
      <w:proofErr w:type="spellEnd"/>
      <w:r w:rsidRPr="00706A7C">
        <w:rPr>
          <w:rFonts w:ascii="Times New Roman" w:hAnsi="Times New Roman" w:cs="Times New Roman"/>
          <w:sz w:val="18"/>
          <w:szCs w:val="18"/>
        </w:rPr>
        <w:t xml:space="preserve">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46 TV's, VCR's, radios </w:t>
      </w:r>
    </w:p>
    <w:p w:rsidR="007707DB" w:rsidRPr="00706A7C" w:rsidRDefault="007707DB" w:rsidP="007707DB">
      <w:pPr>
        <w:pStyle w:val="PlainText"/>
        <w:rPr>
          <w:rFonts w:ascii="Times New Roman" w:hAnsi="Times New Roman" w:cs="Times New Roman"/>
          <w:sz w:val="18"/>
          <w:szCs w:val="18"/>
        </w:rPr>
      </w:pPr>
      <w:proofErr w:type="gramStart"/>
      <w:r w:rsidRPr="00706A7C">
        <w:rPr>
          <w:rFonts w:ascii="Times New Roman" w:hAnsi="Times New Roman" w:cs="Times New Roman"/>
          <w:sz w:val="18"/>
          <w:szCs w:val="18"/>
        </w:rPr>
        <w:t>47 Communication equipment</w:t>
      </w:r>
      <w:proofErr w:type="gramEnd"/>
      <w:r w:rsidRPr="00706A7C">
        <w:rPr>
          <w:rFonts w:ascii="Times New Roman" w:hAnsi="Times New Roman" w:cs="Times New Roman"/>
          <w:sz w:val="18"/>
          <w:szCs w:val="18"/>
        </w:rPr>
        <w:t xml:space="preserve">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48 Electronic components </w:t>
      </w:r>
    </w:p>
    <w:p w:rsidR="007707DB" w:rsidRPr="00706A7C" w:rsidRDefault="007707DB" w:rsidP="007707DB">
      <w:pPr>
        <w:pStyle w:val="PlainText"/>
        <w:rPr>
          <w:rFonts w:ascii="Times New Roman" w:hAnsi="Times New Roman" w:cs="Times New Roman"/>
          <w:sz w:val="18"/>
          <w:szCs w:val="18"/>
        </w:r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t>Transportation Equipment</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49 Motor vehicles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50 Motor vehicle parts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51 Aerospace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52 Ships &amp; boats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53 Other transportation equip</w:t>
      </w:r>
    </w:p>
    <w:p w:rsidR="007707DB" w:rsidRPr="00706A7C" w:rsidRDefault="007707DB" w:rsidP="007707DB">
      <w:pPr>
        <w:pStyle w:val="PlainText"/>
        <w:rPr>
          <w:rFonts w:ascii="Times New Roman" w:hAnsi="Times New Roman" w:cs="Times New Roman"/>
          <w:sz w:val="18"/>
          <w:szCs w:val="18"/>
        </w:r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t>Instruments &amp; Miscellaneous Manufacturing</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54 Search &amp; navigation equip</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55 Medical </w:t>
      </w:r>
      <w:proofErr w:type="spellStart"/>
      <w:r w:rsidRPr="00706A7C">
        <w:rPr>
          <w:rFonts w:ascii="Times New Roman" w:hAnsi="Times New Roman" w:cs="Times New Roman"/>
          <w:sz w:val="18"/>
          <w:szCs w:val="18"/>
        </w:rPr>
        <w:t>instr</w:t>
      </w:r>
      <w:proofErr w:type="spellEnd"/>
      <w:r w:rsidRPr="00706A7C">
        <w:rPr>
          <w:rFonts w:ascii="Times New Roman" w:hAnsi="Times New Roman" w:cs="Times New Roman"/>
          <w:sz w:val="18"/>
          <w:szCs w:val="18"/>
        </w:rPr>
        <w:t xml:space="preserve"> &amp; supplies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56 </w:t>
      </w:r>
      <w:proofErr w:type="spellStart"/>
      <w:r w:rsidRPr="00706A7C">
        <w:rPr>
          <w:rFonts w:ascii="Times New Roman" w:hAnsi="Times New Roman" w:cs="Times New Roman"/>
          <w:sz w:val="18"/>
          <w:szCs w:val="18"/>
        </w:rPr>
        <w:t>Opthalmic</w:t>
      </w:r>
      <w:proofErr w:type="spellEnd"/>
      <w:r w:rsidRPr="00706A7C">
        <w:rPr>
          <w:rFonts w:ascii="Times New Roman" w:hAnsi="Times New Roman" w:cs="Times New Roman"/>
          <w:sz w:val="18"/>
          <w:szCs w:val="18"/>
        </w:rPr>
        <w:t xml:space="preserve"> goods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57 Other instruments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58 Miscellaneous manufacturing</w:t>
      </w:r>
    </w:p>
    <w:p w:rsidR="007707DB" w:rsidRPr="00706A7C" w:rsidRDefault="007707DB" w:rsidP="007707DB">
      <w:pPr>
        <w:pStyle w:val="PlainText"/>
        <w:rPr>
          <w:rFonts w:ascii="Times New Roman" w:hAnsi="Times New Roman" w:cs="Times New Roman"/>
          <w:sz w:val="18"/>
          <w:szCs w:val="18"/>
        </w:r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t>Transportation</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59 Railroads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60 Truck, highway pass transit</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61 Water transport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62 Air transport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63 </w:t>
      </w:r>
      <w:proofErr w:type="gramStart"/>
      <w:r w:rsidRPr="00706A7C">
        <w:rPr>
          <w:rFonts w:ascii="Times New Roman" w:hAnsi="Times New Roman" w:cs="Times New Roman"/>
          <w:sz w:val="18"/>
          <w:szCs w:val="18"/>
        </w:rPr>
        <w:t>Pipeline</w:t>
      </w:r>
      <w:proofErr w:type="gramEnd"/>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64 Transportation services </w:t>
      </w:r>
    </w:p>
    <w:p w:rsidR="007707DB" w:rsidRPr="00706A7C" w:rsidRDefault="007707DB" w:rsidP="007707DB">
      <w:pPr>
        <w:pStyle w:val="PlainText"/>
        <w:rPr>
          <w:rFonts w:ascii="Times New Roman" w:hAnsi="Times New Roman" w:cs="Times New Roman"/>
          <w:sz w:val="18"/>
          <w:szCs w:val="18"/>
        </w:rPr>
      </w:pPr>
    </w:p>
    <w:p w:rsidR="007707DB" w:rsidRDefault="007707DB" w:rsidP="007707DB">
      <w:pPr>
        <w:pStyle w:val="PlainText"/>
        <w:rPr>
          <w:rFonts w:ascii="Times New Roman" w:hAnsi="Times New Roman" w:cs="Times New Roman"/>
          <w:b/>
          <w:sz w:val="18"/>
          <w:szCs w:val="18"/>
        </w:r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lastRenderedPageBreak/>
        <w:t>Utilities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65 Communications services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66 Electric utilities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67 Gas utilities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68 Water and sanitary services</w:t>
      </w:r>
    </w:p>
    <w:p w:rsidR="007707DB" w:rsidRPr="00706A7C" w:rsidRDefault="007707DB" w:rsidP="007707DB">
      <w:pPr>
        <w:pStyle w:val="PlainText"/>
        <w:rPr>
          <w:rFonts w:ascii="Times New Roman" w:hAnsi="Times New Roman" w:cs="Times New Roman"/>
          <w:sz w:val="18"/>
          <w:szCs w:val="18"/>
        </w:r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t>Trade</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69 Wholesale </w:t>
      </w:r>
      <w:proofErr w:type="gramStart"/>
      <w:r w:rsidRPr="00706A7C">
        <w:rPr>
          <w:rFonts w:ascii="Times New Roman" w:hAnsi="Times New Roman" w:cs="Times New Roman"/>
          <w:sz w:val="18"/>
          <w:szCs w:val="18"/>
        </w:rPr>
        <w:t>trade</w:t>
      </w:r>
      <w:proofErr w:type="gramEnd"/>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70 Retail trade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71 Restaurants and bars </w:t>
      </w:r>
    </w:p>
    <w:p w:rsidR="007707DB" w:rsidRPr="00706A7C" w:rsidRDefault="007707DB" w:rsidP="007707DB">
      <w:pPr>
        <w:pStyle w:val="PlainText"/>
        <w:rPr>
          <w:rFonts w:ascii="Times New Roman" w:hAnsi="Times New Roman" w:cs="Times New Roman"/>
          <w:sz w:val="18"/>
          <w:szCs w:val="18"/>
        </w:r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t>Finance &amp; Real Estate</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72 Finance &amp; insurance</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73 Real estate and royalties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74 Owner-occupied housing </w:t>
      </w:r>
    </w:p>
    <w:p w:rsidR="007707DB" w:rsidRPr="00706A7C" w:rsidRDefault="007707DB" w:rsidP="007707DB">
      <w:pPr>
        <w:pStyle w:val="PlainText"/>
        <w:rPr>
          <w:rFonts w:ascii="Times New Roman" w:hAnsi="Times New Roman" w:cs="Times New Roman"/>
          <w:sz w:val="18"/>
          <w:szCs w:val="18"/>
        </w:r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t xml:space="preserve">Services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75 Hotels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76 Personal &amp; repair services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77 Professional services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78 Computer &amp; data processing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79 Advertising</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80 Other business services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81 Automobile services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82 Movies &amp; amusements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83 Private hospitals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84 Physicians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85 Other medical </w:t>
      </w:r>
      <w:proofErr w:type="spellStart"/>
      <w:r w:rsidRPr="00706A7C">
        <w:rPr>
          <w:rFonts w:ascii="Times New Roman" w:hAnsi="Times New Roman" w:cs="Times New Roman"/>
          <w:sz w:val="18"/>
          <w:szCs w:val="18"/>
        </w:rPr>
        <w:t>serv</w:t>
      </w:r>
      <w:proofErr w:type="spellEnd"/>
      <w:r w:rsidRPr="00706A7C">
        <w:rPr>
          <w:rFonts w:ascii="Times New Roman" w:hAnsi="Times New Roman" w:cs="Times New Roman"/>
          <w:sz w:val="18"/>
          <w:szCs w:val="18"/>
        </w:rPr>
        <w:t xml:space="preserve"> &amp; dentists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86 Nursing homes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87 Education, social </w:t>
      </w:r>
      <w:proofErr w:type="spellStart"/>
      <w:r w:rsidRPr="00706A7C">
        <w:rPr>
          <w:rFonts w:ascii="Times New Roman" w:hAnsi="Times New Roman" w:cs="Times New Roman"/>
          <w:sz w:val="18"/>
          <w:szCs w:val="18"/>
        </w:rPr>
        <w:t>serv</w:t>
      </w:r>
      <w:proofErr w:type="spellEnd"/>
      <w:r w:rsidRPr="00706A7C">
        <w:rPr>
          <w:rFonts w:ascii="Times New Roman" w:hAnsi="Times New Roman" w:cs="Times New Roman"/>
          <w:sz w:val="18"/>
          <w:szCs w:val="18"/>
        </w:rPr>
        <w:t>, NPO</w:t>
      </w:r>
    </w:p>
    <w:p w:rsidR="007707DB" w:rsidRPr="00706A7C" w:rsidRDefault="007707DB" w:rsidP="007707DB">
      <w:pPr>
        <w:pStyle w:val="PlainText"/>
        <w:rPr>
          <w:rFonts w:ascii="Times New Roman" w:hAnsi="Times New Roman" w:cs="Times New Roman"/>
          <w:sz w:val="18"/>
          <w:szCs w:val="18"/>
        </w:rPr>
      </w:pPr>
    </w:p>
    <w:p w:rsidR="007707DB" w:rsidRPr="00706A7C" w:rsidRDefault="007707DB" w:rsidP="007707DB">
      <w:pPr>
        <w:pStyle w:val="PlainText"/>
        <w:rPr>
          <w:rFonts w:ascii="Times New Roman" w:hAnsi="Times New Roman" w:cs="Times New Roman"/>
          <w:b/>
          <w:sz w:val="18"/>
          <w:szCs w:val="18"/>
        </w:rPr>
      </w:pPr>
      <w:r w:rsidRPr="00706A7C">
        <w:rPr>
          <w:rFonts w:ascii="Times New Roman" w:hAnsi="Times New Roman" w:cs="Times New Roman"/>
          <w:b/>
          <w:sz w:val="18"/>
          <w:szCs w:val="18"/>
        </w:rPr>
        <w:t>Miscellaneous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88 Government enterprises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89 Non-competitive imports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90 Miscellaneous tiny flows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91 Scrap &amp; used goods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92 Rest of the world industry </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93 Government </w:t>
      </w:r>
      <w:proofErr w:type="gramStart"/>
      <w:r w:rsidRPr="00706A7C">
        <w:rPr>
          <w:rFonts w:ascii="Times New Roman" w:hAnsi="Times New Roman" w:cs="Times New Roman"/>
          <w:sz w:val="18"/>
          <w:szCs w:val="18"/>
        </w:rPr>
        <w:t>industry</w:t>
      </w:r>
      <w:proofErr w:type="gramEnd"/>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94 Domestic servants</w:t>
      </w:r>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95 Inforum statistic </w:t>
      </w:r>
      <w:proofErr w:type="gramStart"/>
      <w:r w:rsidRPr="00706A7C">
        <w:rPr>
          <w:rFonts w:ascii="Times New Roman" w:hAnsi="Times New Roman" w:cs="Times New Roman"/>
          <w:sz w:val="18"/>
          <w:szCs w:val="18"/>
        </w:rPr>
        <w:t>discrepancy</w:t>
      </w:r>
      <w:proofErr w:type="gramEnd"/>
    </w:p>
    <w:p w:rsidR="007707DB" w:rsidRPr="00706A7C" w:rsidRDefault="007707DB" w:rsidP="007707DB">
      <w:pPr>
        <w:pStyle w:val="PlainText"/>
        <w:rPr>
          <w:rFonts w:ascii="Times New Roman" w:hAnsi="Times New Roman" w:cs="Times New Roman"/>
          <w:sz w:val="18"/>
          <w:szCs w:val="18"/>
        </w:rPr>
      </w:pPr>
      <w:r w:rsidRPr="00706A7C">
        <w:rPr>
          <w:rFonts w:ascii="Times New Roman" w:hAnsi="Times New Roman" w:cs="Times New Roman"/>
          <w:sz w:val="18"/>
          <w:szCs w:val="18"/>
        </w:rPr>
        <w:t xml:space="preserve">96 NIPA statistical </w:t>
      </w:r>
      <w:proofErr w:type="gramStart"/>
      <w:r w:rsidRPr="00706A7C">
        <w:rPr>
          <w:rFonts w:ascii="Times New Roman" w:hAnsi="Times New Roman" w:cs="Times New Roman"/>
          <w:sz w:val="18"/>
          <w:szCs w:val="18"/>
        </w:rPr>
        <w:t>discrepancy</w:t>
      </w:r>
      <w:proofErr w:type="gramEnd"/>
    </w:p>
    <w:p w:rsidR="007707DB" w:rsidRDefault="007707DB" w:rsidP="007707DB">
      <w:pPr>
        <w:pStyle w:val="PlainText"/>
        <w:rPr>
          <w:rFonts w:ascii="Times New Roman" w:hAnsi="Times New Roman" w:cs="Times New Roman"/>
          <w:sz w:val="18"/>
          <w:szCs w:val="18"/>
        </w:rPr>
      </w:pPr>
      <w:r>
        <w:rPr>
          <w:rFonts w:ascii="Times New Roman" w:hAnsi="Times New Roman" w:cs="Times New Roman"/>
          <w:sz w:val="18"/>
          <w:szCs w:val="18"/>
        </w:rPr>
        <w:t>97 Chain weighting residual</w:t>
      </w:r>
    </w:p>
    <w:p w:rsidR="007707DB" w:rsidRDefault="007707DB" w:rsidP="007707DB">
      <w:pPr>
        <w:pStyle w:val="Section"/>
        <w:numPr>
          <w:ilvl w:val="0"/>
          <w:numId w:val="0"/>
        </w:numPr>
        <w:ind w:left="360"/>
        <w:sectPr w:rsidR="007707DB" w:rsidSect="007707DB">
          <w:type w:val="continuous"/>
          <w:pgSz w:w="12240" w:h="15840"/>
          <w:pgMar w:top="1440" w:right="1800" w:bottom="1440" w:left="1800" w:header="720" w:footer="720" w:gutter="0"/>
          <w:cols w:num="3" w:space="720"/>
          <w:docGrid w:linePitch="360"/>
        </w:sectPr>
      </w:pPr>
    </w:p>
    <w:p w:rsidR="007707DB" w:rsidRDefault="007707DB" w:rsidP="007707DB">
      <w:pPr>
        <w:pStyle w:val="Section"/>
        <w:numPr>
          <w:ilvl w:val="0"/>
          <w:numId w:val="0"/>
        </w:numPr>
        <w:ind w:left="360"/>
      </w:pPr>
    </w:p>
    <w:p w:rsidR="005242DC" w:rsidRDefault="005242DC" w:rsidP="005242DC"/>
    <w:p w:rsidR="005242DC" w:rsidRDefault="005242DC" w:rsidP="005242DC"/>
    <w:p w:rsidR="00E10B76" w:rsidRDefault="00E10B76" w:rsidP="00E10B76">
      <w:pPr>
        <w:rPr>
          <w:b/>
          <w:bCs/>
        </w:rPr>
      </w:pPr>
      <w:r>
        <w:rPr>
          <w:i/>
          <w:iCs/>
        </w:rPr>
        <w:br w:type="page"/>
      </w:r>
      <w:proofErr w:type="gramStart"/>
      <w:r w:rsidRPr="00E10B76">
        <w:rPr>
          <w:b/>
          <w:bCs/>
        </w:rPr>
        <w:lastRenderedPageBreak/>
        <w:t xml:space="preserve">Appendix </w:t>
      </w:r>
      <w:r>
        <w:rPr>
          <w:b/>
          <w:bCs/>
        </w:rPr>
        <w:t>B</w:t>
      </w:r>
      <w:r w:rsidRPr="00E10B76">
        <w:rPr>
          <w:b/>
          <w:bCs/>
        </w:rPr>
        <w:t>.</w:t>
      </w:r>
      <w:proofErr w:type="gramEnd"/>
      <w:r w:rsidRPr="00E10B76">
        <w:rPr>
          <w:b/>
          <w:bCs/>
        </w:rPr>
        <w:t xml:space="preserve"> The Inforum </w:t>
      </w:r>
      <w:r w:rsidRPr="00E10B76">
        <w:rPr>
          <w:b/>
          <w:bCs/>
          <w:i/>
          <w:iCs/>
        </w:rPr>
        <w:t>Mudan</w:t>
      </w:r>
      <w:r w:rsidRPr="00E10B76">
        <w:rPr>
          <w:b/>
          <w:bCs/>
        </w:rPr>
        <w:t xml:space="preserve"> Model</w:t>
      </w:r>
      <w:r>
        <w:rPr>
          <w:b/>
          <w:bCs/>
        </w:rPr>
        <w:t xml:space="preserve"> of </w:t>
      </w:r>
      <w:smartTag w:uri="urn:schemas-microsoft-com:office:smarttags" w:element="country-region">
        <w:smartTag w:uri="urn:schemas-microsoft-com:office:smarttags" w:element="place">
          <w:r>
            <w:rPr>
              <w:b/>
              <w:bCs/>
            </w:rPr>
            <w:t>China</w:t>
          </w:r>
        </w:smartTag>
      </w:smartTag>
    </w:p>
    <w:p w:rsidR="00E10B76" w:rsidRDefault="00D1713C" w:rsidP="003B7299">
      <w:pPr>
        <w:jc w:val="both"/>
      </w:pPr>
      <w:r>
        <w:t>The Inforum</w:t>
      </w:r>
      <w:r w:rsidR="00E10B76">
        <w:t xml:space="preserve"> model of the Chinese economy is called </w:t>
      </w:r>
      <w:r w:rsidR="00E10B76" w:rsidRPr="00E10B76">
        <w:rPr>
          <w:i/>
          <w:iCs/>
        </w:rPr>
        <w:t>Mudan</w:t>
      </w:r>
      <w:r w:rsidR="00E10B76">
        <w:t xml:space="preserve"> (MUltisector Dynamic ANalysis).  It is a 59 sector IM (Interindustry Macromodel) which has a complete set of industry accounts, household accounts and government accounts.  These various industry accounts are </w:t>
      </w:r>
      <w:r w:rsidR="007018BE">
        <w:t>aggregated</w:t>
      </w:r>
      <w:r w:rsidR="00E10B76">
        <w:t xml:space="preserve"> to produce </w:t>
      </w:r>
      <w:r w:rsidR="007018BE">
        <w:t xml:space="preserve">the </w:t>
      </w:r>
      <w:r w:rsidR="00E10B76">
        <w:t>macroeconomic accounts.  The industry accounts show for each industry:  output, exports, imports, personal consumption purchases, investment purchases, government purchases and changes in inventories (in nominal and real terms) and for value added wages, depreciation, indirect business taxes less subsidies and surplus (nominal values).  The ratios of current to real values are the various price indices for output, exports, imports, etc.  Household consumption is modeled for 24 categories of urban household spending and 10 categories of rural household spending.  Investment is modeled by investing industry for some 52 industries (an aggregation of the 59).  Employment is modeled for the same 52 industries.  The household accounts show household income from wages, capital type income (dividends) and government transfers (social insurance) while household expenditures for goods and services, social insurance taxes, income taxes, etc. are also modeled.  The resulting excess of income is household savings (currently about 30% of income).  The same is done for the government accounts where the model shows government incomes from indirect taxes (a value added category), income taxes, from profits, interest, etc.  The result is government savings.  From the household accounts the model produces disposable income which goes back into the household consumption equations.</w:t>
      </w:r>
    </w:p>
    <w:p w:rsidR="00E10B76" w:rsidRDefault="00E10B76" w:rsidP="003B7299">
      <w:pPr>
        <w:jc w:val="both"/>
      </w:pPr>
      <w:r>
        <w:t>Through its various accounts the model is able to trace the flows of income from one sector (household, industry, government) to another.  This ensures consistency.  The input-output identities ensure the consistency of the industry accounts.  Thus for example if China is able obtain an export market at the expense of the US because of the carbon tax in the US we can trace that flow from exports to output to increased demands for inputs to incomes (wages and profits) and back to households and the government.</w:t>
      </w:r>
    </w:p>
    <w:p w:rsidR="00E10B76" w:rsidRDefault="00E10B76" w:rsidP="003B7299">
      <w:pPr>
        <w:jc w:val="both"/>
      </w:pPr>
      <w:r>
        <w:t xml:space="preserve">The data base of </w:t>
      </w:r>
      <w:r w:rsidR="00D1713C">
        <w:rPr>
          <w:i/>
          <w:iCs/>
        </w:rPr>
        <w:t>Mudan</w:t>
      </w:r>
      <w:r>
        <w:t xml:space="preserve"> is a set of input-output tables in current and constant prices (2002) from 1992-2007.  These tables are consistent with the published national accounts in nominal terms and with published price indexes.  They are not fully consistent with published constant price values for GDP.  No detailed data for constant price GDP on the product side (household consumption, exports, investment, etc) exists for </w:t>
      </w:r>
      <w:smartTag w:uri="urn:schemas-microsoft-com:office:smarttags" w:element="place">
        <w:smartTag w:uri="urn:schemas-microsoft-com:office:smarttags" w:element="country-region">
          <w:r>
            <w:t>China</w:t>
          </w:r>
        </w:smartTag>
      </w:smartTag>
      <w:r>
        <w:t>.  The Chinese do publish constant price estimates of value added by very broad categories (primary, secondary and tertiary).  These estimates use a vast array of information found in the Chinese Statistical Yearbooks and the Chinese Statistical Labour Yearbooks.</w:t>
      </w:r>
    </w:p>
    <w:p w:rsidR="00E10B76" w:rsidRDefault="00E10B76" w:rsidP="00E10B76"/>
    <w:p w:rsidR="00E10B76" w:rsidRPr="009B6E2F" w:rsidRDefault="00E10B76" w:rsidP="00D1713C">
      <w:pPr>
        <w:rPr>
          <w:b/>
        </w:rPr>
      </w:pPr>
      <w:smartTag w:uri="urn:schemas-microsoft-com:office:smarttags" w:element="country-region">
        <w:smartTag w:uri="urn:schemas-microsoft-com:office:smarttags" w:element="place">
          <w:r w:rsidRPr="009B6E2F">
            <w:rPr>
              <w:b/>
            </w:rPr>
            <w:t>Chin</w:t>
          </w:r>
          <w:r w:rsidR="00D1713C">
            <w:rPr>
              <w:b/>
            </w:rPr>
            <w:t>a</w:t>
          </w:r>
        </w:smartTag>
      </w:smartTag>
      <w:r w:rsidRPr="009B6E2F">
        <w:rPr>
          <w:b/>
        </w:rPr>
        <w:t xml:space="preserve"> Energy Use</w:t>
      </w:r>
    </w:p>
    <w:p w:rsidR="00E10B76" w:rsidRPr="00D1713C" w:rsidRDefault="00E10B76" w:rsidP="00E10B76">
      <w:pPr>
        <w:rPr>
          <w:bCs/>
          <w:i/>
          <w:iCs/>
        </w:rPr>
      </w:pPr>
      <w:r w:rsidRPr="00D1713C">
        <w:rPr>
          <w:bCs/>
          <w:i/>
          <w:iCs/>
        </w:rPr>
        <w:t xml:space="preserve">Historical Energy Data in </w:t>
      </w:r>
      <w:smartTag w:uri="urn:schemas-microsoft-com:office:smarttags" w:element="country-region">
        <w:smartTag w:uri="urn:schemas-microsoft-com:office:smarttags" w:element="place">
          <w:r w:rsidRPr="00D1713C">
            <w:rPr>
              <w:bCs/>
              <w:i/>
              <w:iCs/>
            </w:rPr>
            <w:t>China</w:t>
          </w:r>
        </w:smartTag>
      </w:smartTag>
    </w:p>
    <w:p w:rsidR="00E10B76" w:rsidRDefault="00E10B76" w:rsidP="003B7299">
      <w:pPr>
        <w:jc w:val="both"/>
      </w:pPr>
      <w:r>
        <w:t xml:space="preserve">The </w:t>
      </w:r>
      <w:r w:rsidRPr="002D1A0B">
        <w:rPr>
          <w:i/>
        </w:rPr>
        <w:t>China Statistical Yearbook</w:t>
      </w:r>
      <w:r>
        <w:t xml:space="preserve"> provides chapters on energy for at least the past 15 years.  Several tables in the yearbook are relevant for this study.  There are balances for petroleum, coal, and electricity for the years 1992-2007.  These balances are in physical units and show production, exports, imports, stock changes, and consumption.  In addition, there are data on the consumption of energy by detailed sector and energy type, </w:t>
      </w:r>
      <w:r>
        <w:lastRenderedPageBreak/>
        <w:t xml:space="preserve">all in physical units.  This data </w:t>
      </w:r>
      <w:r w:rsidR="00D1713C">
        <w:t>are</w:t>
      </w:r>
      <w:r>
        <w:t xml:space="preserve"> available from 1995-2007.  Tab</w:t>
      </w:r>
      <w:r w:rsidR="003E66EA">
        <w:t>le 1 below shows a sample break</w:t>
      </w:r>
      <w:r>
        <w:t>down of the data as it appears.  Most of the manufacturing rows and all of the service rows have been omitted.  In addition the columns for Gasoline and Kerosene have also been omitted.  The data are in physical units (tons, cubic meters, kilowatt hours) and by purchasing industry and by households.</w:t>
      </w:r>
    </w:p>
    <w:p w:rsidR="00D1713C" w:rsidRDefault="00D1713C" w:rsidP="00D1713C"/>
    <w:p w:rsidR="00E10B76" w:rsidRPr="00D1713C" w:rsidRDefault="00E10B76" w:rsidP="00E10B76">
      <w:pPr>
        <w:rPr>
          <w:bCs/>
          <w:i/>
          <w:iCs/>
        </w:rPr>
      </w:pPr>
      <w:r w:rsidRPr="00D1713C">
        <w:rPr>
          <w:bCs/>
          <w:i/>
          <w:iCs/>
        </w:rPr>
        <w:t>Historical data and the Input-Output Accounts</w:t>
      </w:r>
    </w:p>
    <w:p w:rsidR="00E10B76" w:rsidRDefault="00E10B76" w:rsidP="003B7299">
      <w:pPr>
        <w:jc w:val="both"/>
      </w:pPr>
      <w:r>
        <w:t xml:space="preserve">One of the </w:t>
      </w:r>
      <w:r w:rsidR="00D1713C">
        <w:t xml:space="preserve">useful characteristics of </w:t>
      </w:r>
      <w:r>
        <w:t xml:space="preserve">input-output accounting is that the physical flows in tons (or other physical unit) given in Table 1 can be matched to input-output </w:t>
      </w:r>
      <w:r w:rsidR="00D1713C">
        <w:t>transactions (sales from one industry to another industry)</w:t>
      </w:r>
      <w:r>
        <w:t>.   That is, we can move the flow (in constant price monetary units) by the corresponding movement in physical units to obtain a flow in constant prices.  For example from Table 1 we have Paper and Paper Products consuming 3379 units (unit = 10,000 tons) of coal.  The flow from the input-output table for coal into paper is 26.93 in monetary units.  Using this historical data on physical flows of tons of coal consumed by paper we have a measure of the flow in constant price units which can be measured against the constant price measure of the output of paper.  The resulting coefficient then represents, in effect, the number of tons needed of coal to produce a given amount of paper.  If we then co</w:t>
      </w:r>
      <w:r w:rsidR="00F712D8">
        <w:t>n</w:t>
      </w:r>
      <w:r>
        <w:t xml:space="preserve">vert these flows to direct coefficients we can examine how, over time, the particular coefficient </w:t>
      </w:r>
      <w:r w:rsidR="00F712D8">
        <w:t>h</w:t>
      </w:r>
      <w:r>
        <w:t>as moved.  It is then possible to study how</w:t>
      </w:r>
      <w:r w:rsidRPr="00AC53B8">
        <w:t xml:space="preserve"> </w:t>
      </w:r>
      <w:r>
        <w:t xml:space="preserve">these coefficients might change in the future.  </w:t>
      </w:r>
      <w:r w:rsidR="00D1713C">
        <w:t xml:space="preserve">This enables us to </w:t>
      </w:r>
      <w:r>
        <w:t>mak</w:t>
      </w:r>
      <w:r w:rsidR="00D1713C">
        <w:t>e</w:t>
      </w:r>
      <w:r>
        <w:t xml:space="preserve"> a forecast of </w:t>
      </w:r>
      <w:r w:rsidR="00D1713C">
        <w:t>Chinese</w:t>
      </w:r>
      <w:r>
        <w:t xml:space="preserve"> energy consumption in physical units</w:t>
      </w:r>
      <w:r w:rsidR="00D1713C">
        <w:t>, which is useful for determining carbon emissions</w:t>
      </w:r>
      <w:r>
        <w:t>.</w:t>
      </w:r>
    </w:p>
    <w:p w:rsidR="00E10B76" w:rsidRDefault="00E10B76" w:rsidP="00E10B76"/>
    <w:p w:rsidR="00E10B76" w:rsidRPr="00F7268C" w:rsidRDefault="00E10B76" w:rsidP="00E10B76">
      <w:pPr>
        <w:jc w:val="center"/>
        <w:rPr>
          <w:b/>
        </w:rPr>
      </w:pPr>
      <w:r w:rsidRPr="00F7268C">
        <w:rPr>
          <w:b/>
        </w:rPr>
        <w:t>Table 1:  Consumption of Energy by Sector (2007)</w:t>
      </w:r>
    </w:p>
    <w:p w:rsidR="00E10B76" w:rsidRDefault="00E10B76" w:rsidP="00E10B76">
      <w:r>
        <w:t xml:space="preserve"> </w:t>
      </w:r>
      <w:r>
        <w:object w:dxaOrig="12209" w:dyaOrig="6093">
          <v:shape id="_x0000_i1031" type="#_x0000_t75" style="width:412.8pt;height:206.4pt" o:ole="">
            <v:imagedata r:id="rId41" o:title=""/>
          </v:shape>
          <o:OLEObject Type="Embed" ProgID="Excel.Sheet.8" ShapeID="_x0000_i1031" DrawAspect="Content" ObjectID="_1365588348" r:id="rId42"/>
        </w:object>
      </w:r>
    </w:p>
    <w:p w:rsidR="00E10B76" w:rsidRDefault="00E10B76" w:rsidP="00E10B76">
      <w:pPr>
        <w:ind w:firstLine="720"/>
      </w:pPr>
    </w:p>
    <w:p w:rsidR="00E10B76" w:rsidRDefault="00E10B76" w:rsidP="00E10B76">
      <w:pPr>
        <w:ind w:firstLine="720"/>
      </w:pPr>
    </w:p>
    <w:p w:rsidR="00E10B76" w:rsidRDefault="00E10B76" w:rsidP="00E10B76"/>
    <w:p w:rsidR="00E10B76" w:rsidRDefault="00D1713C" w:rsidP="003B7299">
      <w:pPr>
        <w:jc w:val="both"/>
      </w:pPr>
      <w:r>
        <w:lastRenderedPageBreak/>
        <w:t>Chinese historical data on the</w:t>
      </w:r>
      <w:r w:rsidR="00E10B76">
        <w:t xml:space="preserve"> usage of each </w:t>
      </w:r>
      <w:r>
        <w:t>energy t</w:t>
      </w:r>
      <w:r w:rsidR="002A734F">
        <w:t>ype</w:t>
      </w:r>
      <w:r>
        <w:t xml:space="preserve"> </w:t>
      </w:r>
      <w:r w:rsidR="00E10B76">
        <w:t>relative to GDP</w:t>
      </w:r>
      <w:r>
        <w:t xml:space="preserve"> establishes the following: </w:t>
      </w:r>
    </w:p>
    <w:p w:rsidR="00D1713C" w:rsidRDefault="00D1713C" w:rsidP="003B7299">
      <w:pPr>
        <w:numPr>
          <w:ilvl w:val="0"/>
          <w:numId w:val="12"/>
        </w:numPr>
        <w:jc w:val="both"/>
      </w:pPr>
      <w:r>
        <w:t xml:space="preserve">Coal consumption relative to GDP fell rapidly from 1997 to 2002 as more modern electricity generating plants were put online in the late 1990’s and as households switched from using coal to other forms of energy for heating and cooking.  The surge in industrial production after </w:t>
      </w:r>
      <w:smartTag w:uri="urn:schemas-microsoft-com:office:smarttags" w:element="country-region">
        <w:smartTag w:uri="urn:schemas-microsoft-com:office:smarttags" w:element="place">
          <w:r>
            <w:t>China</w:t>
          </w:r>
        </w:smartTag>
      </w:smartTag>
      <w:r>
        <w:t>’s entry into the WTO</w:t>
      </w:r>
      <w:r w:rsidR="002A734F">
        <w:rPr>
          <w:color w:val="FF6600"/>
        </w:rPr>
        <w:t xml:space="preserve"> </w:t>
      </w:r>
      <w:r w:rsidR="002A734F" w:rsidRPr="002A734F">
        <w:t>(</w:t>
      </w:r>
      <w:r w:rsidR="002A734F">
        <w:t xml:space="preserve">in </w:t>
      </w:r>
      <w:r w:rsidR="002A734F" w:rsidRPr="002A734F">
        <w:t>2001)</w:t>
      </w:r>
      <w:r>
        <w:t xml:space="preserve"> required vast amounts of new electricity generating capacity.</w:t>
      </w:r>
    </w:p>
    <w:p w:rsidR="00D1713C" w:rsidRDefault="00D1713C" w:rsidP="003B7299">
      <w:pPr>
        <w:numPr>
          <w:ilvl w:val="0"/>
          <w:numId w:val="12"/>
        </w:numPr>
        <w:jc w:val="both"/>
      </w:pPr>
      <w:r w:rsidRPr="00D1713C">
        <w:t xml:space="preserve">Substantial improvements in </w:t>
      </w:r>
      <w:r>
        <w:t xml:space="preserve">industrial </w:t>
      </w:r>
      <w:r w:rsidRPr="00D1713C">
        <w:t>energy efficiency in the use of refined petroleum</w:t>
      </w:r>
      <w:r>
        <w:t xml:space="preserve"> products </w:t>
      </w:r>
      <w:r w:rsidRPr="00D1713C">
        <w:t>have occurred over the past decade.</w:t>
      </w:r>
      <w:r>
        <w:t xml:space="preserve"> (This does not include transportation.)</w:t>
      </w:r>
    </w:p>
    <w:p w:rsidR="00EE4FC8" w:rsidRDefault="00EE4FC8" w:rsidP="003B7299">
      <w:pPr>
        <w:numPr>
          <w:ilvl w:val="0"/>
          <w:numId w:val="12"/>
        </w:numPr>
        <w:jc w:val="both"/>
      </w:pPr>
      <w:r w:rsidRPr="00EE4FC8">
        <w:t xml:space="preserve">The Chinese economy has become much more electricity intensive.  This is a result of three factors.  </w:t>
      </w:r>
    </w:p>
    <w:p w:rsidR="00EE4FC8" w:rsidRDefault="00EE4FC8" w:rsidP="003B7299">
      <w:pPr>
        <w:numPr>
          <w:ilvl w:val="1"/>
          <w:numId w:val="12"/>
        </w:numPr>
        <w:jc w:val="both"/>
      </w:pPr>
      <w:r w:rsidRPr="00EE4FC8">
        <w:t xml:space="preserve">Many industries have switched to technologies that are electricity intensive as the use of electronic equipment has increased.  </w:t>
      </w:r>
    </w:p>
    <w:p w:rsidR="00EE4FC8" w:rsidRDefault="00EE4FC8" w:rsidP="003B7299">
      <w:pPr>
        <w:numPr>
          <w:ilvl w:val="1"/>
          <w:numId w:val="12"/>
        </w:numPr>
        <w:jc w:val="both"/>
      </w:pPr>
      <w:r>
        <w:t>A</w:t>
      </w:r>
      <w:r w:rsidRPr="00EE4FC8">
        <w:t xml:space="preserve"> change in the mix of production</w:t>
      </w:r>
      <w:r>
        <w:t xml:space="preserve"> stemming from faster </w:t>
      </w:r>
      <w:r w:rsidRPr="00EE4FC8">
        <w:t>growth of the electronic and electrical machinery industries</w:t>
      </w:r>
      <w:r>
        <w:t xml:space="preserve"> compared to </w:t>
      </w:r>
      <w:r w:rsidRPr="00EE4FC8">
        <w:t xml:space="preserve">that of apparel and textiles.  </w:t>
      </w:r>
    </w:p>
    <w:p w:rsidR="00EE4FC8" w:rsidRDefault="00EE4FC8" w:rsidP="003B7299">
      <w:pPr>
        <w:numPr>
          <w:ilvl w:val="1"/>
          <w:numId w:val="12"/>
        </w:numPr>
        <w:jc w:val="both"/>
      </w:pPr>
      <w:r>
        <w:t xml:space="preserve">As </w:t>
      </w:r>
      <w:r w:rsidR="00F2181F">
        <w:t>Chinese household income has</w:t>
      </w:r>
      <w:r w:rsidRPr="00EE4FC8">
        <w:t xml:space="preserve"> increased</w:t>
      </w:r>
      <w:r>
        <w:t xml:space="preserve">, </w:t>
      </w:r>
      <w:r w:rsidRPr="00EE4FC8">
        <w:t>more air conditioning, refrigerators, televisions and other household appliances</w:t>
      </w:r>
      <w:r>
        <w:t xml:space="preserve"> are being used</w:t>
      </w:r>
      <w:r w:rsidRPr="00EE4FC8">
        <w:t>.</w:t>
      </w:r>
    </w:p>
    <w:p w:rsidR="00EE4FC8" w:rsidRDefault="00EE4FC8" w:rsidP="003B7299">
      <w:pPr>
        <w:numPr>
          <w:ilvl w:val="0"/>
          <w:numId w:val="12"/>
        </w:numPr>
        <w:jc w:val="both"/>
      </w:pPr>
      <w:r>
        <w:t>The increase in the intensity of use of natural gas has been dramatic – rising one and a half times as fast as real GDP.  This increase is especially strong in the household sector.</w:t>
      </w:r>
    </w:p>
    <w:p w:rsidR="00F2181F" w:rsidRDefault="00F2181F" w:rsidP="003B7299">
      <w:pPr>
        <w:numPr>
          <w:ilvl w:val="0"/>
          <w:numId w:val="12"/>
        </w:numPr>
        <w:jc w:val="both"/>
      </w:pPr>
      <w:r>
        <w:t xml:space="preserve">The pattern of coal used to generate electricity has followed an erratic pattern.  For </w:t>
      </w:r>
      <w:r w:rsidRPr="00F2181F">
        <w:t xml:space="preserve">the period 1997-2002 there was substantial scrapping of old generating equipment and new investment to expand capacity.  The new equipment was substantially more efficient </w:t>
      </w:r>
      <w:r>
        <w:t>and this tended to reduce coal intensity.  After 2002</w:t>
      </w:r>
      <w:r w:rsidRPr="00F2181F">
        <w:t xml:space="preserve">, the pace of new investment slackened substantially and </w:t>
      </w:r>
      <w:r>
        <w:t>coal consumption rose again</w:t>
      </w:r>
      <w:r w:rsidRPr="00F2181F">
        <w:t xml:space="preserve">.   </w:t>
      </w:r>
      <w:r>
        <w:t>These changes are driven both by technology and relative prices.</w:t>
      </w:r>
    </w:p>
    <w:p w:rsidR="00F2181F" w:rsidRDefault="00F2181F" w:rsidP="003B7299">
      <w:pPr>
        <w:numPr>
          <w:ilvl w:val="0"/>
          <w:numId w:val="12"/>
        </w:numPr>
        <w:jc w:val="both"/>
      </w:pPr>
      <w:r>
        <w:t xml:space="preserve">Transportation use of petroleum relative to real GDP has steadily increased over the period of our database.  </w:t>
      </w:r>
      <w:r w:rsidRPr="00F2181F">
        <w:t>The dominant factor is the increasing use of trucking for inter-provincial trade.  As late as 1997 a portion of trucking consisted of human powered vehicles (types of bicycles) to move food and produce from the farms into the cities.</w:t>
      </w:r>
    </w:p>
    <w:p w:rsidR="00E10B76" w:rsidRDefault="00E10B76" w:rsidP="00E10B76">
      <w:pPr>
        <w:jc w:val="center"/>
        <w:rPr>
          <w:b/>
        </w:rPr>
      </w:pPr>
    </w:p>
    <w:p w:rsidR="00E10B76" w:rsidRDefault="00E10B76" w:rsidP="00E10B76">
      <w:pPr>
        <w:jc w:val="center"/>
        <w:rPr>
          <w:b/>
        </w:rPr>
      </w:pPr>
    </w:p>
    <w:p w:rsidR="00E10B76" w:rsidRPr="00F2181F" w:rsidRDefault="00E10B76" w:rsidP="00E10B76">
      <w:pPr>
        <w:rPr>
          <w:bCs/>
          <w:i/>
          <w:iCs/>
        </w:rPr>
      </w:pPr>
      <w:r w:rsidRPr="00F2181F">
        <w:rPr>
          <w:bCs/>
          <w:i/>
          <w:iCs/>
        </w:rPr>
        <w:t>Equations for Energy</w:t>
      </w:r>
      <w:r w:rsidR="00F2181F" w:rsidRPr="00F2181F">
        <w:rPr>
          <w:bCs/>
          <w:i/>
          <w:iCs/>
        </w:rPr>
        <w:t xml:space="preserve"> Consumption by Sector</w:t>
      </w:r>
    </w:p>
    <w:p w:rsidR="00E10B76" w:rsidRDefault="00F2181F" w:rsidP="003B7299">
      <w:pPr>
        <w:jc w:val="both"/>
      </w:pPr>
      <w:r>
        <w:t>M</w:t>
      </w:r>
      <w:r w:rsidR="00E10B76">
        <w:t xml:space="preserve">odeling </w:t>
      </w:r>
      <w:r>
        <w:t>energy use by sector</w:t>
      </w:r>
      <w:r w:rsidR="00E10B76">
        <w:t xml:space="preserve"> in a developing economy is a particularly complex matter.  New technologies may greatly enhance production capacity while at the same time being energy intensive.  At the same time older inefficient technologies are being replaced.  The interactions of technology coupled with a widely varying international oil price makes </w:t>
      </w:r>
      <w:r w:rsidR="00AA0B10">
        <w:t>estimation</w:t>
      </w:r>
      <w:r w:rsidR="00E10B76">
        <w:t xml:space="preserve"> difficult.  </w:t>
      </w:r>
    </w:p>
    <w:p w:rsidR="00E10B76" w:rsidRDefault="00E10B76" w:rsidP="00E10B76"/>
    <w:p w:rsidR="00E10B76" w:rsidRDefault="00E10B76" w:rsidP="00AA0B10">
      <w:r>
        <w:t xml:space="preserve">The equation </w:t>
      </w:r>
      <w:r w:rsidR="00AA0B10">
        <w:t>we estimate is</w:t>
      </w:r>
      <w:r>
        <w:t>:</w:t>
      </w:r>
    </w:p>
    <w:p w:rsidR="00E10B76" w:rsidRDefault="00E10B76" w:rsidP="00E10B76">
      <w:pPr>
        <w:jc w:val="center"/>
      </w:pPr>
      <w:r w:rsidRPr="00086D50">
        <w:rPr>
          <w:position w:val="-30"/>
        </w:rPr>
        <w:object w:dxaOrig="4860" w:dyaOrig="720">
          <v:shape id="_x0000_i1032" type="#_x0000_t75" style="width:243.6pt;height:36pt" o:ole="">
            <v:imagedata r:id="rId43" o:title=""/>
          </v:shape>
          <o:OLEObject Type="Embed" ProgID="Equation.3" ShapeID="_x0000_i1032" DrawAspect="Content" ObjectID="_1365588349" r:id="rId44"/>
        </w:object>
      </w:r>
    </w:p>
    <w:p w:rsidR="00E10B76" w:rsidRDefault="00E10B76" w:rsidP="00E10B76">
      <w:pPr>
        <w:jc w:val="both"/>
      </w:pPr>
      <w:proofErr w:type="gramStart"/>
      <w:r>
        <w:t>where</w:t>
      </w:r>
      <w:proofErr w:type="gramEnd"/>
      <w:r w:rsidR="00AA0B10">
        <w:t>:</w:t>
      </w:r>
    </w:p>
    <w:p w:rsidR="00E10B76" w:rsidRDefault="00E10B76" w:rsidP="00AA0B10">
      <w:pPr>
        <w:ind w:left="720" w:hanging="360"/>
        <w:jc w:val="both"/>
      </w:pPr>
      <w:r w:rsidRPr="00313422">
        <w:rPr>
          <w:position w:val="-14"/>
        </w:rPr>
        <w:object w:dxaOrig="440" w:dyaOrig="380">
          <v:shape id="_x0000_i1033" type="#_x0000_t75" style="width:22.8pt;height:19.2pt" o:ole="">
            <v:imagedata r:id="rId45" o:title=""/>
          </v:shape>
          <o:OLEObject Type="Embed" ProgID="Equation.3" ShapeID="_x0000_i1033" DrawAspect="Content" ObjectID="_1365588350" r:id="rId46"/>
        </w:object>
      </w:r>
      <w:r>
        <w:t xml:space="preserve"> </w:t>
      </w:r>
      <w:proofErr w:type="gramStart"/>
      <w:r>
        <w:t>is</w:t>
      </w:r>
      <w:proofErr w:type="gramEnd"/>
      <w:r>
        <w:t xml:space="preserve"> the coefficient of fuel type </w:t>
      </w:r>
      <w:proofErr w:type="spellStart"/>
      <w:r w:rsidRPr="00D35CD5">
        <w:rPr>
          <w:i/>
        </w:rPr>
        <w:t>i</w:t>
      </w:r>
      <w:proofErr w:type="spellEnd"/>
      <w:r>
        <w:t xml:space="preserve"> (row of the input-output table) used by sector </w:t>
      </w:r>
      <w:r w:rsidRPr="00D35CD5">
        <w:rPr>
          <w:i/>
        </w:rPr>
        <w:t>k</w:t>
      </w:r>
      <w:r>
        <w:t xml:space="preserve"> in year </w:t>
      </w:r>
      <w:r w:rsidRPr="00AA0B10">
        <w:rPr>
          <w:i/>
          <w:iCs/>
        </w:rPr>
        <w:t>t</w:t>
      </w:r>
      <w:r>
        <w:t>;</w:t>
      </w:r>
    </w:p>
    <w:p w:rsidR="00E10B76" w:rsidRDefault="00AA0B10" w:rsidP="00AA0B10">
      <w:pPr>
        <w:ind w:left="720" w:hanging="360"/>
        <w:jc w:val="both"/>
      </w:pPr>
      <w:r>
        <w:t xml:space="preserve">The </w:t>
      </w:r>
      <w:r w:rsidR="00E10B76">
        <w:t xml:space="preserve">time </w:t>
      </w:r>
      <w:r>
        <w:t xml:space="preserve">trend </w:t>
      </w:r>
      <w:r w:rsidRPr="00AA0B10">
        <w:t>t</w:t>
      </w:r>
      <w:r>
        <w:t xml:space="preserve"> </w:t>
      </w:r>
      <w:r w:rsidR="00E10B76">
        <w:t>is a specially created time variable to reflect the rapid changes taking place in the first part of the estimation period as old factories were closed (values were 1995=1972; 2000= 1994; 2002= 1998.32; 2004=2002.64; 2007= 2006.7);</w:t>
      </w:r>
    </w:p>
    <w:p w:rsidR="00E10B76" w:rsidRDefault="00E10B76" w:rsidP="00AA0B10">
      <w:pPr>
        <w:ind w:left="720" w:hanging="360"/>
        <w:jc w:val="both"/>
      </w:pPr>
      <w:r w:rsidRPr="00AA0B10">
        <w:object w:dxaOrig="900" w:dyaOrig="380">
          <v:shape id="_x0000_i1034" type="#_x0000_t75" style="width:44.4pt;height:19.2pt" o:ole="">
            <v:imagedata r:id="rId47" o:title=""/>
          </v:shape>
          <o:OLEObject Type="Embed" ProgID="Equation.3" ShapeID="_x0000_i1034" DrawAspect="Content" ObjectID="_1365588351" r:id="rId48"/>
        </w:object>
      </w:r>
      <w:r>
        <w:t xml:space="preserve"> </w:t>
      </w:r>
      <w:proofErr w:type="gramStart"/>
      <w:r>
        <w:t>is</w:t>
      </w:r>
      <w:proofErr w:type="gramEnd"/>
      <w:r>
        <w:t xml:space="preserve"> the price of domestically used energy type </w:t>
      </w:r>
      <w:proofErr w:type="spellStart"/>
      <w:r w:rsidRPr="00D35CD5">
        <w:rPr>
          <w:i/>
        </w:rPr>
        <w:t>i</w:t>
      </w:r>
      <w:proofErr w:type="spellEnd"/>
      <w:r>
        <w:t xml:space="preserve"> in year </w:t>
      </w:r>
      <w:r w:rsidRPr="00D35CD5">
        <w:rPr>
          <w:i/>
        </w:rPr>
        <w:t>t-j</w:t>
      </w:r>
      <w:r>
        <w:t>;</w:t>
      </w:r>
    </w:p>
    <w:p w:rsidR="00E10B76" w:rsidRDefault="00E10B76" w:rsidP="00E10B76">
      <w:proofErr w:type="gramStart"/>
      <w:r>
        <w:t>and</w:t>
      </w:r>
      <w:proofErr w:type="gramEnd"/>
    </w:p>
    <w:p w:rsidR="00E10B76" w:rsidRDefault="00E10B76" w:rsidP="00AA0B10">
      <w:pPr>
        <w:ind w:left="720" w:hanging="360"/>
        <w:jc w:val="both"/>
      </w:pPr>
      <w:r w:rsidRPr="00AA0B10">
        <w:object w:dxaOrig="800" w:dyaOrig="380">
          <v:shape id="_x0000_i1035" type="#_x0000_t75" style="width:39.6pt;height:19.2pt" o:ole="">
            <v:imagedata r:id="rId49" o:title=""/>
          </v:shape>
          <o:OLEObject Type="Embed" ProgID="Equation.3" ShapeID="_x0000_i1035" DrawAspect="Content" ObjectID="_1365588352" r:id="rId50"/>
        </w:object>
      </w:r>
      <w:proofErr w:type="gramStart"/>
      <w:r>
        <w:t>is</w:t>
      </w:r>
      <w:proofErr w:type="gramEnd"/>
      <w:r>
        <w:t xml:space="preserve"> the gross domestic product deflator for year </w:t>
      </w:r>
      <w:r w:rsidRPr="00D35CD5">
        <w:rPr>
          <w:i/>
        </w:rPr>
        <w:t>t-j</w:t>
      </w:r>
      <w:r>
        <w:t>.</w:t>
      </w:r>
    </w:p>
    <w:p w:rsidR="00E10B76" w:rsidRDefault="00E10B76" w:rsidP="00E10B76"/>
    <w:p w:rsidR="00E10B76" w:rsidRDefault="00160B88" w:rsidP="003B7299">
      <w:pPr>
        <w:jc w:val="both"/>
        <w:rPr>
          <w:bCs/>
        </w:rPr>
      </w:pPr>
      <w:r>
        <w:rPr>
          <w:bCs/>
        </w:rPr>
        <w:t xml:space="preserve">These coefficient equations have been estimated individual coefficients for </w:t>
      </w:r>
      <w:proofErr w:type="gramStart"/>
      <w:r>
        <w:rPr>
          <w:bCs/>
        </w:rPr>
        <w:t>Refined</w:t>
      </w:r>
      <w:proofErr w:type="gramEnd"/>
      <w:r>
        <w:rPr>
          <w:bCs/>
        </w:rPr>
        <w:t xml:space="preserve"> petroleum, Coal, Natural gas and Electricity.</w:t>
      </w:r>
    </w:p>
    <w:p w:rsidR="00160B88" w:rsidRPr="00160B88" w:rsidRDefault="00160B88" w:rsidP="00E10B76">
      <w:pPr>
        <w:rPr>
          <w:bCs/>
        </w:rPr>
      </w:pPr>
    </w:p>
    <w:p w:rsidR="00E10B76" w:rsidRPr="003B45F4" w:rsidRDefault="00E10B76" w:rsidP="00E10B76">
      <w:pPr>
        <w:rPr>
          <w:b/>
        </w:rPr>
      </w:pPr>
      <w:r w:rsidRPr="003B45F4">
        <w:rPr>
          <w:b/>
        </w:rPr>
        <w:t>Measurement of CO2 Emissions</w:t>
      </w:r>
    </w:p>
    <w:p w:rsidR="00E10B76" w:rsidRDefault="00E10B76" w:rsidP="003B7299">
      <w:pPr>
        <w:jc w:val="both"/>
      </w:pPr>
      <w:r>
        <w:t xml:space="preserve">Data on emissions by </w:t>
      </w:r>
      <w:smartTag w:uri="urn:schemas-microsoft-com:office:smarttags" w:element="country-region">
        <w:smartTag w:uri="urn:schemas-microsoft-com:office:smarttags" w:element="place">
          <w:r>
            <w:t>China</w:t>
          </w:r>
        </w:smartTag>
      </w:smartTag>
      <w:r>
        <w:t xml:space="preserve"> is available from the IEA website.  The emissions are by fuel type.  The amount of emissions per physical unit of energy (tons, mcf, etc) is very stable.  The variance for natural gas is essentially zero.  The variance in the ratio for coal and oil reflect some small changes in mix of fuel.  For this study we have chosen to keep the 2007 ratios of emissions to physical unit of fuel constant.  </w:t>
      </w:r>
      <w:r w:rsidR="00160B88">
        <w:t>T</w:t>
      </w:r>
      <w:r>
        <w:t xml:space="preserve">his </w:t>
      </w:r>
      <w:r w:rsidR="00160B88">
        <w:t>focuses on</w:t>
      </w:r>
      <w:r>
        <w:t xml:space="preserve"> energy use by industrial </w:t>
      </w:r>
      <w:r w:rsidR="00160B88">
        <w:t>sector</w:t>
      </w:r>
      <w:r>
        <w:t xml:space="preserve"> and by households.</w:t>
      </w:r>
    </w:p>
    <w:p w:rsidR="00E10B76" w:rsidRDefault="00E10B76" w:rsidP="00E10B76"/>
    <w:p w:rsidR="00E10B76" w:rsidRPr="00595972" w:rsidRDefault="00E10B76" w:rsidP="00E10B76">
      <w:pPr>
        <w:rPr>
          <w:b/>
        </w:rPr>
      </w:pPr>
      <w:r>
        <w:rPr>
          <w:b/>
        </w:rPr>
        <w:t>Electricity Generation</w:t>
      </w:r>
    </w:p>
    <w:p w:rsidR="00E10B76" w:rsidRDefault="00CC01DA" w:rsidP="003B7299">
      <w:pPr>
        <w:jc w:val="both"/>
      </w:pPr>
      <w:r>
        <w:t>A crucial focus</w:t>
      </w:r>
      <w:r w:rsidR="00E10B76">
        <w:t xml:space="preserve"> of </w:t>
      </w:r>
      <w:smartTag w:uri="urn:schemas-microsoft-com:office:smarttags" w:element="country-region">
        <w:smartTag w:uri="urn:schemas-microsoft-com:office:smarttags" w:element="place">
          <w:r w:rsidR="00E10B76">
            <w:t>China</w:t>
          </w:r>
        </w:smartTag>
      </w:smartTag>
      <w:r w:rsidR="00E10B76">
        <w:t xml:space="preserve">’s energy policy is on reducing coal as a primary fuel and replacing it with </w:t>
      </w:r>
      <w:r>
        <w:t>hydro</w:t>
      </w:r>
      <w:r w:rsidR="00E10B76">
        <w:t xml:space="preserve">, nuclear and renewables.  For each method of production (hydro, </w:t>
      </w:r>
      <w:r>
        <w:t>thermal</w:t>
      </w:r>
      <w:r w:rsidR="00E10B76">
        <w:t xml:space="preserve">, etc) input coefficient </w:t>
      </w:r>
      <w:r>
        <w:t>are calculated and projected forward by assumption</w:t>
      </w:r>
      <w:r w:rsidR="00E10B76">
        <w:t xml:space="preserve">. These direct coefficients </w:t>
      </w:r>
      <w:r>
        <w:t>are</w:t>
      </w:r>
      <w:r w:rsidR="00E10B76">
        <w:t xml:space="preserve"> then used in </w:t>
      </w:r>
      <w:r w:rsidR="00E10B76" w:rsidRPr="00CC01DA">
        <w:rPr>
          <w:i/>
          <w:iCs/>
        </w:rPr>
        <w:t>M</w:t>
      </w:r>
      <w:r w:rsidRPr="00CC01DA">
        <w:rPr>
          <w:i/>
          <w:iCs/>
        </w:rPr>
        <w:t>udan</w:t>
      </w:r>
      <w:r w:rsidR="00E10B76">
        <w:t xml:space="preserve"> when making a forecast</w:t>
      </w:r>
      <w:r>
        <w:t xml:space="preserve">.  </w:t>
      </w:r>
      <w:r w:rsidR="00E10B76">
        <w:t>These input-output coeffic</w:t>
      </w:r>
      <w:r w:rsidR="00D35CD5">
        <w:t>i</w:t>
      </w:r>
      <w:r w:rsidR="00E10B76">
        <w:t>ents can be thought of i</w:t>
      </w:r>
      <w:r w:rsidR="00F712D8">
        <w:t xml:space="preserve">n terms of physical units such </w:t>
      </w:r>
      <w:r w:rsidR="00E10B76">
        <w:t xml:space="preserve">as tons (coal and oil) or mcf (gas) per </w:t>
      </w:r>
      <w:proofErr w:type="gramStart"/>
      <w:r w:rsidR="00E10B76">
        <w:t>kwh</w:t>
      </w:r>
      <w:proofErr w:type="gramEnd"/>
      <w:r w:rsidR="00E10B76">
        <w:t>.</w:t>
      </w:r>
    </w:p>
    <w:p w:rsidR="00E10B76" w:rsidRPr="008D58BC" w:rsidRDefault="007018BE" w:rsidP="008D58BC">
      <w:pPr>
        <w:rPr>
          <w:b/>
          <w:bCs/>
        </w:rPr>
      </w:pPr>
      <w:r>
        <w:br w:type="page"/>
      </w:r>
      <w:r w:rsidR="008D58BC">
        <w:rPr>
          <w:b/>
          <w:bCs/>
        </w:rPr>
        <w:lastRenderedPageBreak/>
        <w:t>Mudan Output Sectors</w:t>
      </w:r>
    </w:p>
    <w:p w:rsidR="008D58BC" w:rsidRDefault="008D58BC" w:rsidP="008D58BC">
      <w:pPr>
        <w:pStyle w:val="PlainText"/>
        <w:rPr>
          <w:rFonts w:ascii="Times New Roman" w:hAnsi="Times New Roman" w:cs="Times New Roman"/>
          <w:sz w:val="16"/>
          <w:szCs w:val="16"/>
        </w:rPr>
      </w:pPr>
    </w:p>
    <w:p w:rsidR="008D58BC" w:rsidRDefault="008D58BC" w:rsidP="008D58BC">
      <w:pPr>
        <w:pStyle w:val="PlainText"/>
        <w:rPr>
          <w:rFonts w:ascii="Times New Roman" w:hAnsi="Times New Roman" w:cs="Times New Roman"/>
          <w:sz w:val="16"/>
          <w:szCs w:val="16"/>
        </w:rPr>
        <w:sectPr w:rsidR="008D58BC" w:rsidSect="007707DB">
          <w:type w:val="continuous"/>
          <w:pgSz w:w="12240" w:h="15840"/>
          <w:pgMar w:top="1440" w:right="1800" w:bottom="1440" w:left="1800" w:header="720" w:footer="720" w:gutter="0"/>
          <w:cols w:space="720"/>
          <w:docGrid w:linePitch="360"/>
        </w:sectPr>
      </w:pPr>
    </w:p>
    <w:p w:rsidR="005E601D" w:rsidRPr="008D58BC" w:rsidRDefault="005E601D" w:rsidP="008D58BC">
      <w:pPr>
        <w:pStyle w:val="PlainText"/>
        <w:rPr>
          <w:rFonts w:ascii="Times New Roman" w:hAnsi="Times New Roman" w:cs="Times New Roman"/>
          <w:sz w:val="16"/>
          <w:szCs w:val="16"/>
        </w:rPr>
      </w:pPr>
      <w:proofErr w:type="gramStart"/>
      <w:r w:rsidRPr="008D58BC">
        <w:rPr>
          <w:rFonts w:ascii="Times New Roman" w:hAnsi="Times New Roman" w:cs="Times New Roman"/>
          <w:sz w:val="16"/>
          <w:szCs w:val="16"/>
        </w:rPr>
        <w:lastRenderedPageBreak/>
        <w:t>1</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Farming</w:t>
      </w:r>
      <w:proofErr w:type="gramEnd"/>
    </w:p>
    <w:p w:rsidR="005E601D" w:rsidRPr="008D58BC" w:rsidRDefault="005E601D" w:rsidP="008D58BC">
      <w:pPr>
        <w:pStyle w:val="PlainText"/>
        <w:rPr>
          <w:rFonts w:ascii="Times New Roman" w:hAnsi="Times New Roman" w:cs="Times New Roman"/>
          <w:sz w:val="16"/>
          <w:szCs w:val="16"/>
        </w:rPr>
      </w:pPr>
      <w:proofErr w:type="gramStart"/>
      <w:r w:rsidRPr="008D58BC">
        <w:rPr>
          <w:rFonts w:ascii="Times New Roman" w:hAnsi="Times New Roman" w:cs="Times New Roman"/>
          <w:sz w:val="16"/>
          <w:szCs w:val="16"/>
        </w:rPr>
        <w:t>2</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Forestry</w:t>
      </w:r>
      <w:proofErr w:type="gramEnd"/>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3</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Livestock</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4</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Fishing</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5</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Coal mining</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6</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Crude petroleum and natural gas production</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7</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Ferrous ore mining</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8</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Non-ferrous ore mining</w:t>
      </w:r>
    </w:p>
    <w:p w:rsidR="005E601D" w:rsidRPr="008D58BC" w:rsidRDefault="008D58BC"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 xml:space="preserve">9 </w:t>
      </w:r>
      <w:r w:rsidR="005E601D" w:rsidRPr="008D58BC">
        <w:rPr>
          <w:rFonts w:ascii="Times New Roman" w:hAnsi="Times New Roman" w:cs="Times New Roman"/>
          <w:sz w:val="16"/>
          <w:szCs w:val="16"/>
        </w:rPr>
        <w:t>Non-me</w:t>
      </w:r>
      <w:r w:rsidRPr="008D58BC">
        <w:rPr>
          <w:rFonts w:ascii="Times New Roman" w:hAnsi="Times New Roman" w:cs="Times New Roman"/>
          <w:sz w:val="16"/>
          <w:szCs w:val="16"/>
        </w:rPr>
        <w:t xml:space="preserve">tal </w:t>
      </w:r>
      <w:proofErr w:type="gramStart"/>
      <w:r w:rsidRPr="008D58BC">
        <w:rPr>
          <w:rFonts w:ascii="Times New Roman" w:hAnsi="Times New Roman" w:cs="Times New Roman"/>
          <w:sz w:val="16"/>
          <w:szCs w:val="16"/>
        </w:rPr>
        <w:t>minerals,</w:t>
      </w:r>
      <w:proofErr w:type="gramEnd"/>
      <w:r w:rsidRPr="008D58BC">
        <w:rPr>
          <w:rFonts w:ascii="Times New Roman" w:hAnsi="Times New Roman" w:cs="Times New Roman"/>
          <w:sz w:val="16"/>
          <w:szCs w:val="16"/>
        </w:rPr>
        <w:t xml:space="preserve"> and mining </w:t>
      </w:r>
      <w:proofErr w:type="spellStart"/>
      <w:r w:rsidRPr="008D58BC">
        <w:rPr>
          <w:rFonts w:ascii="Times New Roman" w:hAnsi="Times New Roman" w:cs="Times New Roman"/>
          <w:sz w:val="16"/>
          <w:szCs w:val="16"/>
        </w:rPr>
        <w:t>n.e.c</w:t>
      </w:r>
      <w:proofErr w:type="spellEnd"/>
      <w:r w:rsidRPr="008D58BC">
        <w:rPr>
          <w:rFonts w:ascii="Times New Roman" w:hAnsi="Times New Roman" w:cs="Times New Roman"/>
          <w:sz w:val="16"/>
          <w:szCs w:val="16"/>
        </w:rPr>
        <w:t>.</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1</w:t>
      </w:r>
      <w:r w:rsidR="008D58BC" w:rsidRPr="008D58BC">
        <w:rPr>
          <w:rFonts w:ascii="Times New Roman" w:hAnsi="Times New Roman" w:cs="Times New Roman"/>
          <w:sz w:val="16"/>
          <w:szCs w:val="16"/>
        </w:rPr>
        <w:t xml:space="preserve">0 </w:t>
      </w:r>
      <w:r w:rsidRPr="008D58BC">
        <w:rPr>
          <w:rFonts w:ascii="Times New Roman" w:hAnsi="Times New Roman" w:cs="Times New Roman"/>
          <w:sz w:val="16"/>
          <w:szCs w:val="16"/>
        </w:rPr>
        <w:t>Logging and transport of timber and bamboo</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11</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Food processing &amp; manufacturing</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12</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Beverages</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13</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Tobacco manufacturing</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14</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Textiles</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15</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Wearing apparel</w:t>
      </w:r>
    </w:p>
    <w:p w:rsidR="005E601D" w:rsidRPr="008D58BC" w:rsidRDefault="008D58BC"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16 Leather, fur and products</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17</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Sawmills and bamboo etc. products</w:t>
      </w:r>
    </w:p>
    <w:p w:rsidR="005E601D" w:rsidRPr="008D58BC" w:rsidRDefault="005E601D" w:rsidP="008D58BC">
      <w:pPr>
        <w:pStyle w:val="PlainText"/>
        <w:rPr>
          <w:rFonts w:ascii="Times New Roman" w:hAnsi="Times New Roman" w:cs="Times New Roman"/>
          <w:sz w:val="16"/>
          <w:szCs w:val="16"/>
        </w:rPr>
      </w:pPr>
      <w:proofErr w:type="gramStart"/>
      <w:r w:rsidRPr="008D58BC">
        <w:rPr>
          <w:rFonts w:ascii="Times New Roman" w:hAnsi="Times New Roman" w:cs="Times New Roman"/>
          <w:sz w:val="16"/>
          <w:szCs w:val="16"/>
        </w:rPr>
        <w:t>18</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Furniture</w:t>
      </w:r>
      <w:proofErr w:type="gramEnd"/>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19</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Paper and paper products</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20</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Printing industries</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21</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Cultural, educat</w:t>
      </w:r>
      <w:r w:rsidR="008D58BC" w:rsidRPr="008D58BC">
        <w:rPr>
          <w:rFonts w:ascii="Times New Roman" w:hAnsi="Times New Roman" w:cs="Times New Roman"/>
          <w:sz w:val="16"/>
          <w:szCs w:val="16"/>
        </w:rPr>
        <w:t>ion, sports articles</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22</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Petroleum refineries and coking products</w:t>
      </w:r>
    </w:p>
    <w:p w:rsidR="005E601D" w:rsidRPr="008D58BC" w:rsidRDefault="008D58BC" w:rsidP="00FB1F28">
      <w:pPr>
        <w:pStyle w:val="PlainText"/>
        <w:rPr>
          <w:rFonts w:ascii="Times New Roman" w:hAnsi="Times New Roman" w:cs="Times New Roman"/>
          <w:sz w:val="16"/>
          <w:szCs w:val="16"/>
        </w:rPr>
      </w:pPr>
      <w:r w:rsidRPr="008D58BC">
        <w:rPr>
          <w:rFonts w:ascii="Times New Roman" w:hAnsi="Times New Roman" w:cs="Times New Roman"/>
          <w:sz w:val="16"/>
          <w:szCs w:val="16"/>
        </w:rPr>
        <w:t xml:space="preserve">23 </w:t>
      </w:r>
      <w:r w:rsidR="005E601D" w:rsidRPr="008D58BC">
        <w:rPr>
          <w:rFonts w:ascii="Times New Roman" w:hAnsi="Times New Roman" w:cs="Times New Roman"/>
          <w:sz w:val="16"/>
          <w:szCs w:val="16"/>
        </w:rPr>
        <w:t>Chemical industries</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24</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Medicines</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25</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 xml:space="preserve">Chemical </w:t>
      </w:r>
      <w:proofErr w:type="spellStart"/>
      <w:r w:rsidRPr="008D58BC">
        <w:rPr>
          <w:rFonts w:ascii="Times New Roman" w:hAnsi="Times New Roman" w:cs="Times New Roman"/>
          <w:sz w:val="16"/>
          <w:szCs w:val="16"/>
        </w:rPr>
        <w:t>fibres</w:t>
      </w:r>
      <w:proofErr w:type="spellEnd"/>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26</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Rubber products</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27</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Plastic products</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28</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Building materials and other non-metallic mineral</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29</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Primary iron and steel manufacturing</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30</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Primary non-ferrous metals manufacturing</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lastRenderedPageBreak/>
        <w:t>31</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Metal products</w:t>
      </w:r>
    </w:p>
    <w:p w:rsidR="005E601D" w:rsidRPr="008D58BC" w:rsidRDefault="005E601D" w:rsidP="008D58BC">
      <w:pPr>
        <w:pStyle w:val="PlainText"/>
        <w:rPr>
          <w:rFonts w:ascii="Times New Roman" w:hAnsi="Times New Roman" w:cs="Times New Roman"/>
          <w:sz w:val="16"/>
          <w:szCs w:val="16"/>
        </w:rPr>
      </w:pPr>
      <w:proofErr w:type="gramStart"/>
      <w:r w:rsidRPr="008D58BC">
        <w:rPr>
          <w:rFonts w:ascii="Times New Roman" w:hAnsi="Times New Roman" w:cs="Times New Roman"/>
          <w:sz w:val="16"/>
          <w:szCs w:val="16"/>
        </w:rPr>
        <w:t>32</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Machinery</w:t>
      </w:r>
      <w:proofErr w:type="gramEnd"/>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33</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Manufacturing and repair of railroad equipment</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34</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Manufacturing and repair of motor vehicles</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35</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Shipbuilding and repair of ships</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36</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Manufacturing and repair of aircraft</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37</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Manufacturing and repair of transportation equipment</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38</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Electric machinery and instrument</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39</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Electronic and communication equipment</w:t>
      </w:r>
    </w:p>
    <w:p w:rsidR="005E601D" w:rsidRPr="008D58BC" w:rsidRDefault="008D58BC"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 xml:space="preserve">40 </w:t>
      </w:r>
      <w:r w:rsidR="005E601D" w:rsidRPr="008D58BC">
        <w:rPr>
          <w:rFonts w:ascii="Times New Roman" w:hAnsi="Times New Roman" w:cs="Times New Roman"/>
          <w:sz w:val="16"/>
          <w:szCs w:val="16"/>
        </w:rPr>
        <w:t>Instrument, meter</w:t>
      </w:r>
      <w:r w:rsidRPr="008D58BC">
        <w:rPr>
          <w:rFonts w:ascii="Times New Roman" w:hAnsi="Times New Roman" w:cs="Times New Roman"/>
          <w:sz w:val="16"/>
          <w:szCs w:val="16"/>
        </w:rPr>
        <w:t>s and other measuring equipment</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41</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 xml:space="preserve">Industries </w:t>
      </w:r>
      <w:proofErr w:type="spellStart"/>
      <w:r w:rsidRPr="008D58BC">
        <w:rPr>
          <w:rFonts w:ascii="Times New Roman" w:hAnsi="Times New Roman" w:cs="Times New Roman"/>
          <w:sz w:val="16"/>
          <w:szCs w:val="16"/>
        </w:rPr>
        <w:t>n.e.c</w:t>
      </w:r>
      <w:proofErr w:type="spellEnd"/>
    </w:p>
    <w:p w:rsidR="005E601D" w:rsidRPr="008D58BC" w:rsidRDefault="008D58BC"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 xml:space="preserve">42 </w:t>
      </w:r>
      <w:r w:rsidR="005E601D" w:rsidRPr="008D58BC">
        <w:rPr>
          <w:rFonts w:ascii="Times New Roman" w:hAnsi="Times New Roman" w:cs="Times New Roman"/>
          <w:sz w:val="16"/>
          <w:szCs w:val="16"/>
        </w:rPr>
        <w:t>Electricity, steam and hot water pro</w:t>
      </w:r>
      <w:r w:rsidRPr="008D58BC">
        <w:rPr>
          <w:rFonts w:ascii="Times New Roman" w:hAnsi="Times New Roman" w:cs="Times New Roman"/>
          <w:sz w:val="16"/>
          <w:szCs w:val="16"/>
        </w:rPr>
        <w:t>duction</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43</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Gas production and supply</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44</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Production and supply of water</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45</w:t>
      </w:r>
      <w:r w:rsidR="008D58BC" w:rsidRPr="008D58BC">
        <w:rPr>
          <w:rFonts w:ascii="Times New Roman" w:hAnsi="Times New Roman" w:cs="Times New Roman"/>
          <w:sz w:val="16"/>
          <w:szCs w:val="16"/>
        </w:rPr>
        <w:t xml:space="preserve"> </w:t>
      </w:r>
      <w:proofErr w:type="gramStart"/>
      <w:r w:rsidRPr="008D58BC">
        <w:rPr>
          <w:rFonts w:ascii="Times New Roman" w:hAnsi="Times New Roman" w:cs="Times New Roman"/>
          <w:sz w:val="16"/>
          <w:szCs w:val="16"/>
        </w:rPr>
        <w:t>Construction</w:t>
      </w:r>
      <w:proofErr w:type="gramEnd"/>
    </w:p>
    <w:p w:rsidR="005E601D" w:rsidRPr="008D58BC" w:rsidRDefault="005E601D" w:rsidP="008D58BC">
      <w:pPr>
        <w:pStyle w:val="PlainText"/>
        <w:rPr>
          <w:rFonts w:ascii="Times New Roman" w:hAnsi="Times New Roman" w:cs="Times New Roman"/>
          <w:sz w:val="16"/>
          <w:szCs w:val="16"/>
        </w:rPr>
      </w:pPr>
      <w:proofErr w:type="gramStart"/>
      <w:r w:rsidRPr="008D58BC">
        <w:rPr>
          <w:rFonts w:ascii="Times New Roman" w:hAnsi="Times New Roman" w:cs="Times New Roman"/>
          <w:sz w:val="16"/>
          <w:szCs w:val="16"/>
        </w:rPr>
        <w:t>46</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Railway transportation</w:t>
      </w:r>
      <w:proofErr w:type="gramEnd"/>
    </w:p>
    <w:p w:rsidR="005E601D" w:rsidRPr="008D58BC" w:rsidRDefault="005E601D" w:rsidP="008D58BC">
      <w:pPr>
        <w:pStyle w:val="PlainText"/>
        <w:rPr>
          <w:rFonts w:ascii="Times New Roman" w:hAnsi="Times New Roman" w:cs="Times New Roman"/>
          <w:sz w:val="16"/>
          <w:szCs w:val="16"/>
        </w:rPr>
      </w:pPr>
      <w:proofErr w:type="gramStart"/>
      <w:r w:rsidRPr="008D58BC">
        <w:rPr>
          <w:rFonts w:ascii="Times New Roman" w:hAnsi="Times New Roman" w:cs="Times New Roman"/>
          <w:sz w:val="16"/>
          <w:szCs w:val="16"/>
        </w:rPr>
        <w:t>47</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Highway transportation</w:t>
      </w:r>
      <w:proofErr w:type="gramEnd"/>
    </w:p>
    <w:p w:rsidR="005E601D" w:rsidRPr="008D58BC" w:rsidRDefault="005E601D" w:rsidP="008D58BC">
      <w:pPr>
        <w:pStyle w:val="PlainText"/>
        <w:rPr>
          <w:rFonts w:ascii="Times New Roman" w:hAnsi="Times New Roman" w:cs="Times New Roman"/>
          <w:sz w:val="16"/>
          <w:szCs w:val="16"/>
        </w:rPr>
      </w:pPr>
      <w:proofErr w:type="gramStart"/>
      <w:r w:rsidRPr="008D58BC">
        <w:rPr>
          <w:rFonts w:ascii="Times New Roman" w:hAnsi="Times New Roman" w:cs="Times New Roman"/>
          <w:sz w:val="16"/>
          <w:szCs w:val="16"/>
        </w:rPr>
        <w:t>48</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Water transportation</w:t>
      </w:r>
      <w:proofErr w:type="gramEnd"/>
    </w:p>
    <w:p w:rsidR="005E601D" w:rsidRPr="008D58BC" w:rsidRDefault="005E601D" w:rsidP="008D58BC">
      <w:pPr>
        <w:pStyle w:val="PlainText"/>
        <w:rPr>
          <w:rFonts w:ascii="Times New Roman" w:hAnsi="Times New Roman" w:cs="Times New Roman"/>
          <w:sz w:val="16"/>
          <w:szCs w:val="16"/>
        </w:rPr>
      </w:pPr>
      <w:proofErr w:type="gramStart"/>
      <w:r w:rsidRPr="008D58BC">
        <w:rPr>
          <w:rFonts w:ascii="Times New Roman" w:hAnsi="Times New Roman" w:cs="Times New Roman"/>
          <w:sz w:val="16"/>
          <w:szCs w:val="16"/>
        </w:rPr>
        <w:t>49</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Air transportation</w:t>
      </w:r>
      <w:proofErr w:type="gramEnd"/>
    </w:p>
    <w:p w:rsidR="005E601D" w:rsidRPr="008D58BC" w:rsidRDefault="005E601D" w:rsidP="008D58BC">
      <w:pPr>
        <w:pStyle w:val="PlainText"/>
        <w:rPr>
          <w:rFonts w:ascii="Times New Roman" w:hAnsi="Times New Roman" w:cs="Times New Roman"/>
          <w:sz w:val="16"/>
          <w:szCs w:val="16"/>
        </w:rPr>
      </w:pPr>
      <w:proofErr w:type="gramStart"/>
      <w:r w:rsidRPr="008D58BC">
        <w:rPr>
          <w:rFonts w:ascii="Times New Roman" w:hAnsi="Times New Roman" w:cs="Times New Roman"/>
          <w:sz w:val="16"/>
          <w:szCs w:val="16"/>
        </w:rPr>
        <w:t>50</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Pipeline transportation</w:t>
      </w:r>
      <w:proofErr w:type="gramEnd"/>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51</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Communications</w:t>
      </w:r>
    </w:p>
    <w:p w:rsidR="005E601D" w:rsidRPr="008D58BC" w:rsidRDefault="005E601D" w:rsidP="008D58BC">
      <w:pPr>
        <w:pStyle w:val="PlainText"/>
        <w:rPr>
          <w:rFonts w:ascii="Times New Roman" w:hAnsi="Times New Roman" w:cs="Times New Roman"/>
          <w:sz w:val="16"/>
          <w:szCs w:val="16"/>
        </w:rPr>
      </w:pPr>
      <w:proofErr w:type="gramStart"/>
      <w:r w:rsidRPr="008D58BC">
        <w:rPr>
          <w:rFonts w:ascii="Times New Roman" w:hAnsi="Times New Roman" w:cs="Times New Roman"/>
          <w:sz w:val="16"/>
          <w:szCs w:val="16"/>
        </w:rPr>
        <w:t>52</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Commerce</w:t>
      </w:r>
      <w:proofErr w:type="gramEnd"/>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53</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Restaurants</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54</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Finance and insurance</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55</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Real estate and social services</w:t>
      </w:r>
    </w:p>
    <w:p w:rsidR="005E601D" w:rsidRPr="008D58BC" w:rsidRDefault="008D58BC"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 xml:space="preserve">56 </w:t>
      </w:r>
      <w:r w:rsidR="005E601D" w:rsidRPr="008D58BC">
        <w:rPr>
          <w:rFonts w:ascii="Times New Roman" w:hAnsi="Times New Roman" w:cs="Times New Roman"/>
          <w:sz w:val="16"/>
          <w:szCs w:val="16"/>
        </w:rPr>
        <w:t xml:space="preserve">Health </w:t>
      </w:r>
      <w:r w:rsidRPr="008D58BC">
        <w:rPr>
          <w:rFonts w:ascii="Times New Roman" w:hAnsi="Times New Roman" w:cs="Times New Roman"/>
          <w:sz w:val="16"/>
          <w:szCs w:val="16"/>
        </w:rPr>
        <w:t>care, sports and social welfare</w:t>
      </w:r>
    </w:p>
    <w:p w:rsidR="005E601D" w:rsidRPr="008D58BC" w:rsidRDefault="008D58BC"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 xml:space="preserve">57 </w:t>
      </w:r>
      <w:r w:rsidR="005E601D" w:rsidRPr="008D58BC">
        <w:rPr>
          <w:rFonts w:ascii="Times New Roman" w:hAnsi="Times New Roman" w:cs="Times New Roman"/>
          <w:sz w:val="16"/>
          <w:szCs w:val="16"/>
        </w:rPr>
        <w:t>Education, culture, a</w:t>
      </w:r>
      <w:r w:rsidRPr="008D58BC">
        <w:rPr>
          <w:rFonts w:ascii="Times New Roman" w:hAnsi="Times New Roman" w:cs="Times New Roman"/>
          <w:sz w:val="16"/>
          <w:szCs w:val="16"/>
        </w:rPr>
        <w:t>rts, radio, film and television</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58</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 xml:space="preserve">Scientific research and </w:t>
      </w:r>
      <w:proofErr w:type="spellStart"/>
      <w:r w:rsidRPr="008D58BC">
        <w:rPr>
          <w:rFonts w:ascii="Times New Roman" w:hAnsi="Times New Roman" w:cs="Times New Roman"/>
          <w:sz w:val="16"/>
          <w:szCs w:val="16"/>
        </w:rPr>
        <w:t>polytechnical</w:t>
      </w:r>
      <w:proofErr w:type="spellEnd"/>
      <w:r w:rsidRPr="008D58BC">
        <w:rPr>
          <w:rFonts w:ascii="Times New Roman" w:hAnsi="Times New Roman" w:cs="Times New Roman"/>
          <w:sz w:val="16"/>
          <w:szCs w:val="16"/>
        </w:rPr>
        <w:t xml:space="preserve"> services</w:t>
      </w:r>
    </w:p>
    <w:p w:rsidR="005E601D" w:rsidRPr="008D58BC" w:rsidRDefault="005E601D" w:rsidP="008D58BC">
      <w:pPr>
        <w:pStyle w:val="PlainText"/>
        <w:rPr>
          <w:rFonts w:ascii="Times New Roman" w:hAnsi="Times New Roman" w:cs="Times New Roman"/>
          <w:sz w:val="16"/>
          <w:szCs w:val="16"/>
        </w:rPr>
      </w:pPr>
      <w:r w:rsidRPr="008D58BC">
        <w:rPr>
          <w:rFonts w:ascii="Times New Roman" w:hAnsi="Times New Roman" w:cs="Times New Roman"/>
          <w:sz w:val="16"/>
          <w:szCs w:val="16"/>
        </w:rPr>
        <w:t>59</w:t>
      </w:r>
      <w:r w:rsidR="008D58BC" w:rsidRPr="008D58BC">
        <w:rPr>
          <w:rFonts w:ascii="Times New Roman" w:hAnsi="Times New Roman" w:cs="Times New Roman"/>
          <w:sz w:val="16"/>
          <w:szCs w:val="16"/>
        </w:rPr>
        <w:t xml:space="preserve"> </w:t>
      </w:r>
      <w:r w:rsidRPr="008D58BC">
        <w:rPr>
          <w:rFonts w:ascii="Times New Roman" w:hAnsi="Times New Roman" w:cs="Times New Roman"/>
          <w:sz w:val="16"/>
          <w:szCs w:val="16"/>
        </w:rPr>
        <w:t xml:space="preserve">Public </w:t>
      </w:r>
      <w:proofErr w:type="gramStart"/>
      <w:r w:rsidRPr="008D58BC">
        <w:rPr>
          <w:rFonts w:ascii="Times New Roman" w:hAnsi="Times New Roman" w:cs="Times New Roman"/>
          <w:sz w:val="16"/>
          <w:szCs w:val="16"/>
        </w:rPr>
        <w:t>administration</w:t>
      </w:r>
      <w:proofErr w:type="gramEnd"/>
    </w:p>
    <w:p w:rsidR="008D58BC" w:rsidRDefault="008D58BC" w:rsidP="00726D53">
      <w:pPr>
        <w:rPr>
          <w:b/>
          <w:bCs/>
        </w:rPr>
        <w:sectPr w:rsidR="008D58BC" w:rsidSect="008D58BC">
          <w:type w:val="continuous"/>
          <w:pgSz w:w="12240" w:h="15840"/>
          <w:pgMar w:top="1440" w:right="1800" w:bottom="1440" w:left="1800" w:header="720" w:footer="720" w:gutter="0"/>
          <w:cols w:num="2" w:space="720"/>
          <w:docGrid w:linePitch="360"/>
        </w:sectPr>
      </w:pPr>
    </w:p>
    <w:p w:rsidR="00E10B76" w:rsidRPr="00E10B76" w:rsidRDefault="00E10B76" w:rsidP="00726D53">
      <w:pPr>
        <w:rPr>
          <w:b/>
          <w:bCs/>
        </w:rPr>
      </w:pPr>
      <w:r>
        <w:rPr>
          <w:b/>
          <w:bCs/>
        </w:rPr>
        <w:lastRenderedPageBreak/>
        <w:br w:type="page"/>
      </w:r>
      <w:r w:rsidRPr="00E10B76">
        <w:rPr>
          <w:b/>
          <w:bCs/>
        </w:rPr>
        <w:lastRenderedPageBreak/>
        <w:t xml:space="preserve">Appendix </w:t>
      </w:r>
      <w:r>
        <w:rPr>
          <w:b/>
          <w:bCs/>
        </w:rPr>
        <w:t>C</w:t>
      </w:r>
      <w:r w:rsidRPr="00E10B76">
        <w:rPr>
          <w:b/>
          <w:bCs/>
        </w:rPr>
        <w:t xml:space="preserve">. </w:t>
      </w:r>
      <w:r w:rsidR="00726D53">
        <w:rPr>
          <w:b/>
          <w:bCs/>
        </w:rPr>
        <w:t>Inforum International Models and t</w:t>
      </w:r>
      <w:r w:rsidRPr="00E10B76">
        <w:rPr>
          <w:b/>
          <w:bCs/>
        </w:rPr>
        <w:t>he Bilateral Trade Model</w:t>
      </w:r>
      <w:r>
        <w:rPr>
          <w:b/>
          <w:bCs/>
        </w:rPr>
        <w:t xml:space="preserve"> </w:t>
      </w:r>
    </w:p>
    <w:p w:rsidR="00601844" w:rsidRDefault="00601844" w:rsidP="003B7299">
      <w:pPr>
        <w:jc w:val="both"/>
      </w:pPr>
      <w:r>
        <w:t xml:space="preserve">The Inforum system of macroeconometric, dynamic, input-output models has been producing annual forecasts and analyses of public policy since 1979. The current system contains models for the </w:t>
      </w:r>
      <w:smartTag w:uri="urn:schemas-microsoft-com:office:smarttags" w:element="country-region">
        <w:r>
          <w:t>United States</w:t>
        </w:r>
      </w:smartTag>
      <w:r>
        <w:t xml:space="preserve">, </w:t>
      </w:r>
      <w:smartTag w:uri="urn:schemas-microsoft-com:office:smarttags" w:element="country-region">
        <w:r>
          <w:t>Canada</w:t>
        </w:r>
      </w:smartTag>
      <w:r>
        <w:t xml:space="preserve">, </w:t>
      </w:r>
      <w:smartTag w:uri="urn:schemas-microsoft-com:office:smarttags" w:element="country-region">
        <w:r>
          <w:t>Mexico</w:t>
        </w:r>
      </w:smartTag>
      <w:r>
        <w:t xml:space="preserve">, </w:t>
      </w:r>
      <w:smartTag w:uri="urn:schemas-microsoft-com:office:smarttags" w:element="country-region">
        <w:r>
          <w:t>Japan</w:t>
        </w:r>
      </w:smartTag>
      <w:r>
        <w:t xml:space="preserve">, </w:t>
      </w:r>
      <w:smartTag w:uri="urn:schemas-microsoft-com:office:smarttags" w:element="country-region">
        <w:r>
          <w:t>Korea</w:t>
        </w:r>
      </w:smartTag>
      <w:r>
        <w:t xml:space="preserve">, </w:t>
      </w:r>
      <w:smartTag w:uri="urn:schemas-microsoft-com:office:smarttags" w:element="country-region">
        <w:r>
          <w:t>China</w:t>
        </w:r>
      </w:smartTag>
      <w:r>
        <w:t xml:space="preserve">, </w:t>
      </w:r>
      <w:smartTag w:uri="urn:schemas-microsoft-com:office:smarttags" w:element="country-region">
        <w:r>
          <w:t>Germany</w:t>
        </w:r>
      </w:smartTag>
      <w:r>
        <w:t xml:space="preserve">, </w:t>
      </w:r>
      <w:smartTag w:uri="urn:schemas-microsoft-com:office:smarttags" w:element="country-region">
        <w:r>
          <w:t>France</w:t>
        </w:r>
      </w:smartTag>
      <w:r>
        <w:t xml:space="preserve">, </w:t>
      </w:r>
      <w:smartTag w:uri="urn:schemas-microsoft-com:office:smarttags" w:element="country-region">
        <w:r>
          <w:t>United Kingdom</w:t>
        </w:r>
      </w:smartTag>
      <w:r>
        <w:t xml:space="preserve">, </w:t>
      </w:r>
      <w:smartTag w:uri="urn:schemas-microsoft-com:office:smarttags" w:element="country-region">
        <w:r>
          <w:t>Italy</w:t>
        </w:r>
      </w:smartTag>
      <w:r>
        <w:t xml:space="preserve">, </w:t>
      </w:r>
      <w:smartTag w:uri="urn:schemas-microsoft-com:office:smarttags" w:element="country-region">
        <w:r>
          <w:t>Spain</w:t>
        </w:r>
      </w:smartTag>
      <w:r>
        <w:t xml:space="preserve">, </w:t>
      </w:r>
      <w:smartTag w:uri="urn:schemas-microsoft-com:office:smarttags" w:element="country-region">
        <w:r>
          <w:t>Austria</w:t>
        </w:r>
      </w:smartTag>
      <w:r>
        <w:t xml:space="preserve">, and </w:t>
      </w:r>
      <w:smartTag w:uri="urn:schemas-microsoft-com:office:smarttags" w:element="country-region">
        <w:smartTag w:uri="urn:schemas-microsoft-com:office:smarttags" w:element="place">
          <w:r>
            <w:t>Belgium</w:t>
          </w:r>
        </w:smartTag>
      </w:smartTag>
      <w:r>
        <w:t xml:space="preserve">. Models of </w:t>
      </w:r>
      <w:smartTag w:uri="urn:schemas-microsoft-com:office:smarttags" w:element="country-region">
        <w:r>
          <w:t>Denmark</w:t>
        </w:r>
      </w:smartTag>
      <w:r>
        <w:t xml:space="preserve">, </w:t>
      </w:r>
      <w:smartTag w:uri="urn:schemas-microsoft-com:office:smarttags" w:element="City">
        <w:r>
          <w:t>Holland</w:t>
        </w:r>
      </w:smartTag>
      <w:r>
        <w:t xml:space="preserve">, </w:t>
      </w:r>
      <w:smartTag w:uri="urn:schemas-microsoft-com:office:smarttags" w:element="country-region">
        <w:r>
          <w:t>Poland</w:t>
        </w:r>
      </w:smartTag>
      <w:r>
        <w:t xml:space="preserve">, </w:t>
      </w:r>
      <w:smartTag w:uri="urn:schemas-microsoft-com:office:smarttags" w:element="country-region">
        <w:r>
          <w:t>Hungary</w:t>
        </w:r>
      </w:smartTag>
      <w:r>
        <w:t xml:space="preserve">, </w:t>
      </w:r>
      <w:smartTag w:uri="urn:schemas-microsoft-com:office:smarttags" w:element="country-region">
        <w:r>
          <w:t>Russia</w:t>
        </w:r>
      </w:smartTag>
      <w:r>
        <w:t xml:space="preserve">, </w:t>
      </w:r>
      <w:smartTag w:uri="urn:schemas-microsoft-com:office:smarttags" w:element="country-region">
        <w:r>
          <w:t>South Africa</w:t>
        </w:r>
      </w:smartTag>
      <w:r>
        <w:t xml:space="preserve">, </w:t>
      </w:r>
      <w:smartTag w:uri="urn:schemas-microsoft-com:office:smarttags" w:element="country-region">
        <w:r>
          <w:t>India</w:t>
        </w:r>
      </w:smartTag>
      <w:r>
        <w:t xml:space="preserve">, and </w:t>
      </w:r>
      <w:smartTag w:uri="urn:schemas-microsoft-com:office:smarttags" w:element="country-region">
        <w:smartTag w:uri="urn:schemas-microsoft-com:office:smarttags" w:element="place">
          <w:r>
            <w:t>Thailand</w:t>
          </w:r>
        </w:smartTag>
      </w:smartTag>
      <w:r>
        <w:t xml:space="preserve"> are underway, but not yet a part of the linked system.</w:t>
      </w:r>
    </w:p>
    <w:p w:rsidR="00601844" w:rsidRDefault="00601844" w:rsidP="003B7299">
      <w:pPr>
        <w:jc w:val="both"/>
      </w:pPr>
      <w:r>
        <w:t>Each of the models builds from industry detail to macroeconomic totals and has its own macroeconomic properties. The models produce all of the principal results of any aggregate model, such as GDP, the price level, the unemployment rate, and so on. In addition, they produce sectoral (product) forecasts for gross output, exports, imports, consumption, price indexes, and value added. These sectoral series are internally consistent with each other and consistent with the macro results. Indeed, the macro results are, with the exception of household and government consumption, the sum of sectoral results. Thus, real GDP is the sum of final demands expressed in constant prices, nominal GDP is the sum of value added by industry, and the GDP deflator is the ratio of the two.</w:t>
      </w:r>
    </w:p>
    <w:p w:rsidR="00601844" w:rsidRDefault="00601844" w:rsidP="003B7299">
      <w:pPr>
        <w:jc w:val="both"/>
      </w:pPr>
      <w:r>
        <w:t>Each of the models has sectoral equations for private consumption expenditures, capital investment, government purchases, imports, exports (see below for the link with the bilateral trade mode), labor compensation, return to capital, profits, etc. In each of the models, these sectoral equations are an integral part of the macroeconomic results. Hence, in the case of imports, the sum of the forecasts of the sectoral imports is the figure for total imports. The macroeconomic behavior of imports is thus derived as the sum of the behaviors of individual sectoral equations. To cite another example, a change in the rate of productivity growth in the construction sector will affect the overall growth rate of productivity and hence real GDP.</w:t>
      </w:r>
    </w:p>
    <w:p w:rsidR="00601844" w:rsidRDefault="00601844" w:rsidP="003B7299">
      <w:pPr>
        <w:jc w:val="both"/>
      </w:pPr>
      <w:r>
        <w:t>Each of the models has as a basic building block an input-output table linking the various sectors of the entire economy in a consistent manner. The table is used for the calculation of product outputs and product prices for each year of the forecast. The input-output coefficients have dynamic paths of change over time, which, in some instances, are responsive to changes in relative prices. Product outputs are determined using the familiar input-output calculation where the output of any one sector is the sum of sales to each of the other sectors and of sales to final demand. Likewise, prices are derived as the sum of the costs of intermediate goods and service inputs (including the cost of imported goods and services), and the costs of primary factors (labor, capital, etc.) per unit of real output. The individual country sectoral dimensions are shown below.</w:t>
      </w:r>
    </w:p>
    <w:p w:rsidR="00601844" w:rsidRDefault="00601844" w:rsidP="003B7299">
      <w:pPr>
        <w:jc w:val="both"/>
      </w:pPr>
      <w:r>
        <w:t>Each of the models is dynamic. That is, past levels of output, together with their pattern of change over time, will influence the level of investment and employment by industry.</w:t>
      </w:r>
    </w:p>
    <w:p w:rsidR="00601844" w:rsidRDefault="00601844" w:rsidP="003B7299">
      <w:pPr>
        <w:jc w:val="both"/>
      </w:pPr>
      <w:r>
        <w:t xml:space="preserve">Each of the country models is linked to the others bilaterally, by commodity, through trade flows and prices. The links are at both the macroeconomic and sectoral level. The macroeconomic side provides the exchange rate assumptions. All other links are at the sectoral level. Thus, steel imports in the </w:t>
      </w:r>
      <w:smartTag w:uri="urn:schemas-microsoft-com:office:smarttags" w:element="country-region">
        <w:r>
          <w:t>USA</w:t>
        </w:r>
      </w:smartTag>
      <w:r>
        <w:t xml:space="preserve"> influence steel exports of </w:t>
      </w:r>
      <w:smartTag w:uri="urn:schemas-microsoft-com:office:smarttags" w:element="country-region">
        <w:r>
          <w:t>Japan</w:t>
        </w:r>
      </w:smartTag>
      <w:r>
        <w:t xml:space="preserve">; German auto prices affect the price of auto imports to the </w:t>
      </w:r>
      <w:smartTag w:uri="urn:schemas-microsoft-com:office:smarttags" w:element="country-region">
        <w:r>
          <w:t>USA</w:t>
        </w:r>
      </w:smartTag>
      <w:r>
        <w:t xml:space="preserve">; and, </w:t>
      </w:r>
      <w:smartTag w:uri="urn:schemas-microsoft-com:office:smarttags" w:element="country-region">
        <w:smartTag w:uri="urn:schemas-microsoft-com:office:smarttags" w:element="place">
          <w:r>
            <w:t>USA</w:t>
          </w:r>
        </w:smartTag>
      </w:smartTag>
      <w:r>
        <w:t xml:space="preserve"> grain prices affect </w:t>
      </w:r>
      <w:r>
        <w:lastRenderedPageBreak/>
        <w:t>Canadian exports of Grain. The model that links all of the country models is the Bilateral Trade Model, or BTM.</w:t>
      </w:r>
    </w:p>
    <w:p w:rsidR="00601844" w:rsidRDefault="00601844" w:rsidP="003B7299">
      <w:pPr>
        <w:jc w:val="both"/>
      </w:pPr>
      <w:r>
        <w:t>Exchange rates are exogenous. The system emphasizes the flows of goods and services at the industry level between countries together with the price impacts of such flows.</w:t>
      </w:r>
    </w:p>
    <w:p w:rsidR="00601844" w:rsidRDefault="00601844" w:rsidP="003B7299">
      <w:pPr>
        <w:jc w:val="both"/>
      </w:pPr>
      <w:r>
        <w:t>The models are linked together with the Bilateral Trade Model (BTM). BTM, as its name implies, shows bilateral trade flows between the countries in the system for some 120 commodities. Historical data are based on Statistics Canada's World Trade Database. BTM uses country and sector specific data on prices and investment to estimate the import shares and then the importing country's imports to obtain the level of imports from each exporting country. Summing across the importers then yields the exports by country and commodity. These estimates are then used in the country models as indicators of exports. In addition, BTM gives the importing country information on its import prices by commodity.</w:t>
      </w:r>
    </w:p>
    <w:p w:rsidR="00601844" w:rsidRDefault="00601844" w:rsidP="003B7299">
      <w:pPr>
        <w:jc w:val="both"/>
      </w:pPr>
      <w:r>
        <w:t xml:space="preserve">Every six months, both macroeconomic and microeconomic model solutions are updated. In accordance, reviews of details and analysis are also performed in six-month intervals and are available upon request. Historical and forecast databases exist as part of the standard model data banks. </w:t>
      </w:r>
    </w:p>
    <w:p w:rsidR="00601844" w:rsidRDefault="00601844" w:rsidP="003B7299">
      <w:pPr>
        <w:jc w:val="both"/>
      </w:pPr>
      <w:r>
        <w:t>The following table briefly summarizes the overall capabilities of the individual models. Documentation varies substantially between models. Two were constructed as a part of a Ph.D. thesis; some have substantial papers written concerning their properties; others have only limited documentation. All documentation can be made available upon request.</w:t>
      </w:r>
    </w:p>
    <w:p w:rsidR="00A231A8" w:rsidRDefault="00A231A8" w:rsidP="00601844"/>
    <w:p w:rsidR="00A231A8" w:rsidRPr="00A231A8" w:rsidRDefault="006D7839" w:rsidP="00601844">
      <w:r>
        <w:rPr>
          <w:noProof/>
        </w:rPr>
        <w:drawing>
          <wp:inline distT="0" distB="0" distL="0" distR="0">
            <wp:extent cx="5481320" cy="236728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cstate="print"/>
                    <a:srcRect/>
                    <a:stretch>
                      <a:fillRect/>
                    </a:stretch>
                  </pic:blipFill>
                  <pic:spPr bwMode="auto">
                    <a:xfrm>
                      <a:off x="0" y="0"/>
                      <a:ext cx="5481320" cy="2367280"/>
                    </a:xfrm>
                    <a:prstGeom prst="rect">
                      <a:avLst/>
                    </a:prstGeom>
                    <a:noFill/>
                    <a:ln w="9525">
                      <a:noFill/>
                      <a:miter lim="800000"/>
                      <a:headEnd/>
                      <a:tailEnd/>
                    </a:ln>
                  </pic:spPr>
                </pic:pic>
              </a:graphicData>
            </a:graphic>
          </wp:inline>
        </w:drawing>
      </w:r>
    </w:p>
    <w:p w:rsidR="00601844" w:rsidRDefault="00601844" w:rsidP="00601844"/>
    <w:p w:rsidR="00601844" w:rsidRDefault="00601844" w:rsidP="003B7299">
      <w:pPr>
        <w:jc w:val="both"/>
      </w:pPr>
      <w:r>
        <w:t xml:space="preserve">The forecast horizon is </w:t>
      </w:r>
      <w:r w:rsidR="00A231A8">
        <w:t>203</w:t>
      </w:r>
      <w:r>
        <w:t>0. The system can be used to study the industrial and aggregate impacts of macroeconomic developments such as changes in exchange rates, trade policy, and government policy. Some specific examples of applications of the International System include:</w:t>
      </w:r>
    </w:p>
    <w:p w:rsidR="00A231A8" w:rsidRDefault="00726D53" w:rsidP="00A231A8">
      <w:pPr>
        <w:rPr>
          <w:i/>
          <w:iCs/>
        </w:rPr>
      </w:pPr>
      <w:r>
        <w:rPr>
          <w:i/>
          <w:iCs/>
        </w:rPr>
        <w:br w:type="page"/>
      </w:r>
      <w:r w:rsidR="00601844" w:rsidRPr="00A231A8">
        <w:rPr>
          <w:i/>
          <w:iCs/>
        </w:rPr>
        <w:lastRenderedPageBreak/>
        <w:t>Examination of Customs Unions, Free Trade Areas, and International Trade Issues</w:t>
      </w:r>
    </w:p>
    <w:p w:rsidR="00A231A8" w:rsidRDefault="00601844" w:rsidP="003B7299">
      <w:pPr>
        <w:numPr>
          <w:ilvl w:val="0"/>
          <w:numId w:val="14"/>
        </w:numPr>
        <w:tabs>
          <w:tab w:val="clear" w:pos="216"/>
          <w:tab w:val="num" w:pos="0"/>
        </w:tabs>
        <w:ind w:left="720" w:hanging="360"/>
        <w:jc w:val="both"/>
      </w:pPr>
      <w:r>
        <w:t xml:space="preserve">The Canadian, Mexican, and </w:t>
      </w:r>
      <w:smartTag w:uri="urn:schemas-microsoft-com:office:smarttags" w:element="country-region">
        <w:r>
          <w:t>USA</w:t>
        </w:r>
      </w:smartTag>
      <w:r>
        <w:t xml:space="preserve"> models were used by the Canadian government (Department of External Affairs) in a study of the impacts of alternative free trade agreements between the </w:t>
      </w:r>
      <w:smartTag w:uri="urn:schemas-microsoft-com:office:smarttags" w:element="country-region">
        <w:r>
          <w:t>U.S.</w:t>
        </w:r>
      </w:smartTag>
      <w:r>
        <w:t xml:space="preserve"> and </w:t>
      </w:r>
      <w:smartTag w:uri="urn:schemas-microsoft-com:office:smarttags" w:element="place">
        <w:smartTag w:uri="urn:schemas-microsoft-com:office:smarttags" w:element="country-region">
          <w:r>
            <w:t>Canada</w:t>
          </w:r>
        </w:smartTag>
      </w:smartTag>
      <w:r>
        <w:t xml:space="preserve"> on the Canadian economy. Later, a similar study was completed looking at the NAFTA accord.</w:t>
      </w:r>
    </w:p>
    <w:p w:rsidR="00A231A8" w:rsidRDefault="00601844" w:rsidP="003B7299">
      <w:pPr>
        <w:numPr>
          <w:ilvl w:val="0"/>
          <w:numId w:val="14"/>
        </w:numPr>
        <w:tabs>
          <w:tab w:val="clear" w:pos="216"/>
          <w:tab w:val="num" w:pos="0"/>
        </w:tabs>
        <w:ind w:left="720" w:hanging="360"/>
        <w:jc w:val="both"/>
      </w:pPr>
      <w:r>
        <w:t>Using detailed microeconomic studies for several industries a comprehensive and consistent study was made of the economic effects of European economic integration.</w:t>
      </w:r>
    </w:p>
    <w:p w:rsidR="00A231A8" w:rsidRDefault="00601844" w:rsidP="003B7299">
      <w:pPr>
        <w:numPr>
          <w:ilvl w:val="0"/>
          <w:numId w:val="14"/>
        </w:numPr>
        <w:tabs>
          <w:tab w:val="clear" w:pos="216"/>
          <w:tab w:val="num" w:pos="0"/>
        </w:tabs>
        <w:ind w:left="720" w:hanging="360"/>
        <w:jc w:val="both"/>
      </w:pPr>
      <w:r>
        <w:t xml:space="preserve">A study of the economic effects of </w:t>
      </w:r>
      <w:smartTag w:uri="urn:schemas-microsoft-com:office:smarttags" w:element="place">
        <w:smartTag w:uri="urn:schemas-microsoft-com:office:smarttags" w:element="country-region">
          <w:r>
            <w:t>China</w:t>
          </w:r>
        </w:smartTag>
      </w:smartTag>
      <w:r>
        <w:t>'s entry into the World Trade Organization (WTO) was conducted using detailed data on tariffs and non-tariff barriers.</w:t>
      </w:r>
    </w:p>
    <w:p w:rsidR="00A231A8" w:rsidRDefault="00601844" w:rsidP="003B7299">
      <w:pPr>
        <w:numPr>
          <w:ilvl w:val="0"/>
          <w:numId w:val="14"/>
        </w:numPr>
        <w:tabs>
          <w:tab w:val="clear" w:pos="216"/>
          <w:tab w:val="num" w:pos="0"/>
        </w:tabs>
        <w:ind w:left="720" w:hanging="360"/>
        <w:jc w:val="both"/>
      </w:pPr>
      <w:r>
        <w:t xml:space="preserve">A study of the possible macroeconomic and sectoral impacts of the establishment of a free trade area for </w:t>
      </w:r>
      <w:smartTag w:uri="urn:schemas-microsoft-com:office:smarttags" w:element="country-region">
        <w:r>
          <w:t>China</w:t>
        </w:r>
      </w:smartTag>
      <w:r>
        <w:t xml:space="preserve">, </w:t>
      </w:r>
      <w:smartTag w:uri="urn:schemas-microsoft-com:office:smarttags" w:element="country-region">
        <w:r>
          <w:t>Japan</w:t>
        </w:r>
      </w:smartTag>
      <w:r>
        <w:t xml:space="preserve"> and </w:t>
      </w:r>
      <w:smartTag w:uri="urn:schemas-microsoft-com:office:smarttags" w:element="country-region">
        <w:smartTag w:uri="urn:schemas-microsoft-com:office:smarttags" w:element="place">
          <w:r>
            <w:t>South Korea</w:t>
          </w:r>
        </w:smartTag>
      </w:smartTag>
      <w:r>
        <w:t>.</w:t>
      </w:r>
    </w:p>
    <w:p w:rsidR="00A231A8" w:rsidRDefault="00601844" w:rsidP="003B7299">
      <w:pPr>
        <w:numPr>
          <w:ilvl w:val="0"/>
          <w:numId w:val="14"/>
        </w:numPr>
        <w:tabs>
          <w:tab w:val="clear" w:pos="216"/>
          <w:tab w:val="num" w:pos="0"/>
        </w:tabs>
        <w:ind w:left="720" w:hanging="360"/>
        <w:jc w:val="both"/>
      </w:pPr>
      <w:r>
        <w:t xml:space="preserve">The impact on American international trade competitiveness of increased capital investment in the </w:t>
      </w:r>
      <w:smartTag w:uri="urn:schemas-microsoft-com:office:smarttags" w:element="country-region">
        <w:smartTag w:uri="urn:schemas-microsoft-com:office:smarttags" w:element="place">
          <w:r>
            <w:t>US</w:t>
          </w:r>
        </w:smartTag>
      </w:smartTag>
      <w:r>
        <w:t xml:space="preserve"> was investigated.</w:t>
      </w:r>
    </w:p>
    <w:p w:rsidR="00A231A8" w:rsidRDefault="00601844" w:rsidP="003B7299">
      <w:pPr>
        <w:numPr>
          <w:ilvl w:val="0"/>
          <w:numId w:val="14"/>
        </w:numPr>
        <w:tabs>
          <w:tab w:val="clear" w:pos="216"/>
          <w:tab w:val="num" w:pos="0"/>
        </w:tabs>
        <w:ind w:left="720" w:hanging="360"/>
        <w:jc w:val="both"/>
      </w:pPr>
      <w:r>
        <w:t>An extremely detailed study showing the jobs required to produce exports was done for Canada, Japan, Germany, France, Italy, the United Kingdom, and the European Union.</w:t>
      </w:r>
    </w:p>
    <w:p w:rsidR="00601844" w:rsidRDefault="00601844" w:rsidP="003B7299">
      <w:pPr>
        <w:numPr>
          <w:ilvl w:val="0"/>
          <w:numId w:val="14"/>
        </w:numPr>
        <w:tabs>
          <w:tab w:val="clear" w:pos="216"/>
          <w:tab w:val="num" w:pos="0"/>
        </w:tabs>
        <w:ind w:left="720" w:hanging="360"/>
        <w:jc w:val="both"/>
      </w:pPr>
      <w:r>
        <w:t xml:space="preserve">Our analyses of the impact of the </w:t>
      </w:r>
      <w:smartTag w:uri="urn:schemas-microsoft-com:office:smarttags" w:element="country-region">
        <w:r>
          <w:t>U.S.</w:t>
        </w:r>
      </w:smartTag>
      <w:r>
        <w:t xml:space="preserve"> and </w:t>
      </w:r>
      <w:smartTag w:uri="urn:schemas-microsoft-com:office:smarttags" w:element="country-region">
        <w:smartTag w:uri="urn:schemas-microsoft-com:office:smarttags" w:element="place">
          <w:r>
            <w:t>Japan</w:t>
          </w:r>
        </w:smartTag>
      </w:smartTag>
      <w:r>
        <w:t xml:space="preserve"> imposing tariffs on each other's products showed that both countries could be very negatively affected. The drop in personal income in the </w:t>
      </w:r>
      <w:smartTag w:uri="urn:schemas-microsoft-com:office:smarttags" w:element="country-region">
        <w:r>
          <w:t>U.S.</w:t>
        </w:r>
      </w:smartTag>
      <w:r>
        <w:t xml:space="preserve"> could be so large that even </w:t>
      </w:r>
      <w:smartTag w:uri="urn:schemas-microsoft-com:office:smarttags" w:element="country-region">
        <w:r>
          <w:t>U.S.</w:t>
        </w:r>
      </w:smartTag>
      <w:r>
        <w:t xml:space="preserve"> autos would experience a drop in output, despite a substantial drop in imports of autos from </w:t>
      </w:r>
      <w:smartTag w:uri="urn:schemas-microsoft-com:office:smarttags" w:element="country-region">
        <w:smartTag w:uri="urn:schemas-microsoft-com:office:smarttags" w:element="place">
          <w:r>
            <w:t>Japan</w:t>
          </w:r>
        </w:smartTag>
      </w:smartTag>
      <w:r>
        <w:t>.</w:t>
      </w:r>
    </w:p>
    <w:p w:rsidR="00601844" w:rsidRDefault="00601844" w:rsidP="003B7299">
      <w:pPr>
        <w:jc w:val="both"/>
      </w:pPr>
    </w:p>
    <w:p w:rsidR="00601844" w:rsidRPr="00A231A8" w:rsidRDefault="00601844" w:rsidP="003B7299">
      <w:pPr>
        <w:jc w:val="both"/>
        <w:rPr>
          <w:i/>
          <w:iCs/>
        </w:rPr>
      </w:pPr>
      <w:r w:rsidRPr="00A231A8">
        <w:rPr>
          <w:i/>
          <w:iCs/>
        </w:rPr>
        <w:t>Specialized Studies</w:t>
      </w:r>
    </w:p>
    <w:p w:rsidR="00601844" w:rsidRDefault="00601844" w:rsidP="003B7299">
      <w:pPr>
        <w:numPr>
          <w:ilvl w:val="0"/>
          <w:numId w:val="14"/>
        </w:numPr>
        <w:tabs>
          <w:tab w:val="clear" w:pos="216"/>
          <w:tab w:val="num" w:pos="0"/>
        </w:tabs>
        <w:ind w:left="720" w:hanging="360"/>
        <w:jc w:val="both"/>
      </w:pPr>
      <w:r>
        <w:t xml:space="preserve">The Department of Commerce has used the </w:t>
      </w:r>
      <w:smartTag w:uri="urn:schemas-microsoft-com:office:smarttags" w:element="country-region">
        <w:smartTag w:uri="urn:schemas-microsoft-com:office:smarttags" w:element="place">
          <w:r>
            <w:t>USA</w:t>
          </w:r>
        </w:smartTag>
      </w:smartTag>
      <w:r>
        <w:t>, Canadian, and Japanese models to show the embodiment of R&amp;D expenditures in exports, imports and domestic consumption.</w:t>
      </w:r>
    </w:p>
    <w:p w:rsidR="00A231A8" w:rsidRDefault="00601844" w:rsidP="003B7299">
      <w:pPr>
        <w:numPr>
          <w:ilvl w:val="0"/>
          <w:numId w:val="14"/>
        </w:numPr>
        <w:tabs>
          <w:tab w:val="clear" w:pos="216"/>
          <w:tab w:val="num" w:pos="0"/>
        </w:tabs>
        <w:ind w:left="720" w:hanging="360"/>
        <w:jc w:val="both"/>
      </w:pPr>
      <w:r>
        <w:t xml:space="preserve">The impact of achieving hypersonic (5-10 times the speed of sound) commercial travel ten years earlier than expected was studied in an international environment. Cases in which the </w:t>
      </w:r>
      <w:smartTag w:uri="urn:schemas-microsoft-com:office:smarttags" w:element="country-region">
        <w:r>
          <w:t>U.S.</w:t>
        </w:r>
      </w:smartTag>
      <w:r>
        <w:t xml:space="preserve"> alone had the capability were studied in contrast to cases in which </w:t>
      </w:r>
      <w:smartTag w:uri="urn:schemas-microsoft-com:office:smarttags" w:element="country-region">
        <w:r>
          <w:t>Japan</w:t>
        </w:r>
      </w:smartTag>
      <w:r>
        <w:t xml:space="preserve"> and </w:t>
      </w:r>
      <w:smartTag w:uri="urn:schemas-microsoft-com:office:smarttags" w:element="place">
        <w:r>
          <w:t>Europe</w:t>
        </w:r>
      </w:smartTag>
      <w:r>
        <w:t xml:space="preserve"> had it as well. Detailed impacts on technology in several industries were used </w:t>
      </w:r>
    </w:p>
    <w:p w:rsidR="00A231A8" w:rsidRDefault="00601844" w:rsidP="003B7299">
      <w:pPr>
        <w:numPr>
          <w:ilvl w:val="0"/>
          <w:numId w:val="14"/>
        </w:numPr>
        <w:tabs>
          <w:tab w:val="clear" w:pos="216"/>
          <w:tab w:val="num" w:pos="0"/>
        </w:tabs>
        <w:ind w:left="720" w:hanging="360"/>
        <w:jc w:val="both"/>
      </w:pPr>
      <w:r>
        <w:t xml:space="preserve">A study of the industrial and trade impacts of alternative growth paths for the Chinese and </w:t>
      </w:r>
      <w:proofErr w:type="gramStart"/>
      <w:r>
        <w:t>Japanese economies was</w:t>
      </w:r>
      <w:proofErr w:type="gramEnd"/>
      <w:r>
        <w:t xml:space="preserve"> conducted. The impacts on </w:t>
      </w:r>
      <w:smartTag w:uri="urn:schemas-microsoft-com:office:smarttags" w:element="country-region">
        <w:r>
          <w:t>Korea</w:t>
        </w:r>
      </w:smartTag>
      <w:r>
        <w:t xml:space="preserve"> and the </w:t>
      </w:r>
      <w:smartTag w:uri="urn:schemas-microsoft-com:office:smarttags" w:element="country-region">
        <w:smartTag w:uri="urn:schemas-microsoft-com:office:smarttags" w:element="place">
          <w:r>
            <w:t>United States</w:t>
          </w:r>
        </w:smartTag>
      </w:smartTag>
      <w:r>
        <w:t xml:space="preserve"> also </w:t>
      </w:r>
    </w:p>
    <w:p w:rsidR="00601844" w:rsidRDefault="00601844" w:rsidP="003B7299">
      <w:pPr>
        <w:numPr>
          <w:ilvl w:val="0"/>
          <w:numId w:val="14"/>
        </w:numPr>
        <w:tabs>
          <w:tab w:val="clear" w:pos="216"/>
          <w:tab w:val="num" w:pos="0"/>
        </w:tabs>
        <w:ind w:left="720" w:hanging="360"/>
        <w:jc w:val="both"/>
      </w:pPr>
      <w:r>
        <w:t xml:space="preserve">A study of the effects of changing world oil prices on the US, Japanese, and European economies was done for a </w:t>
      </w:r>
      <w:smartTag w:uri="urn:schemas-microsoft-com:office:smarttags" w:element="country-region">
        <w:smartTag w:uri="urn:schemas-microsoft-com:office:smarttags" w:element="place">
          <w:r>
            <w:t>US</w:t>
          </w:r>
        </w:smartTag>
      </w:smartTag>
      <w:r>
        <w:t xml:space="preserve"> manufacturer of plastic resins.</w:t>
      </w:r>
    </w:p>
    <w:p w:rsidR="00601844" w:rsidRDefault="00601844" w:rsidP="003B7299">
      <w:pPr>
        <w:numPr>
          <w:ilvl w:val="0"/>
          <w:numId w:val="14"/>
        </w:numPr>
        <w:tabs>
          <w:tab w:val="clear" w:pos="216"/>
          <w:tab w:val="num" w:pos="0"/>
        </w:tabs>
        <w:ind w:left="720" w:hanging="360"/>
        <w:jc w:val="both"/>
      </w:pPr>
      <w:r>
        <w:t>An analysis of the effect on the Japanese economy of allowing free trade in rice at international prices was conducted.</w:t>
      </w:r>
    </w:p>
    <w:p w:rsidR="00D90CC8" w:rsidRDefault="00601844" w:rsidP="003B7299">
      <w:pPr>
        <w:numPr>
          <w:ilvl w:val="0"/>
          <w:numId w:val="14"/>
        </w:numPr>
        <w:tabs>
          <w:tab w:val="clear" w:pos="216"/>
          <w:tab w:val="num" w:pos="0"/>
        </w:tabs>
        <w:ind w:left="720" w:hanging="360"/>
        <w:jc w:val="both"/>
      </w:pPr>
      <w:r>
        <w:lastRenderedPageBreak/>
        <w:t xml:space="preserve">The system is used to provide the </w:t>
      </w:r>
      <w:smartTag w:uri="urn:schemas-microsoft-com:office:smarttags" w:element="country-region">
        <w:r>
          <w:t>U.S.</w:t>
        </w:r>
      </w:smartTag>
      <w:r>
        <w:t xml:space="preserve"> model, </w:t>
      </w:r>
      <w:r w:rsidRPr="003E66EA">
        <w:rPr>
          <w:i/>
        </w:rPr>
        <w:t>LIFT</w:t>
      </w:r>
      <w:r>
        <w:t xml:space="preserve">, with forecasts of foreign prices and demands for </w:t>
      </w:r>
      <w:smartTag w:uri="urn:schemas-microsoft-com:office:smarttags" w:element="place">
        <w:smartTag w:uri="urn:schemas-microsoft-com:office:smarttags" w:element="country-region">
          <w:r>
            <w:t>U.S.</w:t>
          </w:r>
        </w:smartTag>
      </w:smartTag>
      <w:r>
        <w:t xml:space="preserve"> exports by sector.</w:t>
      </w:r>
    </w:p>
    <w:p w:rsidR="00A231A8" w:rsidRDefault="00A231A8" w:rsidP="00A231A8"/>
    <w:p w:rsidR="00A231A8" w:rsidRDefault="00A231A8" w:rsidP="00A231A8"/>
    <w:p w:rsidR="003D523D" w:rsidRDefault="003D523D">
      <w:pPr>
        <w:spacing w:after="0"/>
      </w:pPr>
      <w:r>
        <w:br w:type="page"/>
      </w:r>
    </w:p>
    <w:p w:rsidR="00A231A8" w:rsidRDefault="003D523D" w:rsidP="00A231A8">
      <w:pPr>
        <w:rPr>
          <w:b/>
        </w:rPr>
      </w:pPr>
      <w:r>
        <w:rPr>
          <w:b/>
        </w:rPr>
        <w:lastRenderedPageBreak/>
        <w:t>References</w:t>
      </w:r>
    </w:p>
    <w:p w:rsidR="003D523D" w:rsidRDefault="003D523D" w:rsidP="00A231A8"/>
    <w:p w:rsidR="00F55B19" w:rsidRDefault="00F55B19" w:rsidP="00A231A8">
      <w:proofErr w:type="spellStart"/>
      <w:r>
        <w:t>Almon</w:t>
      </w:r>
      <w:proofErr w:type="spellEnd"/>
      <w:r>
        <w:t xml:space="preserve">, </w:t>
      </w:r>
      <w:proofErr w:type="spellStart"/>
      <w:r>
        <w:t>Clopper</w:t>
      </w:r>
      <w:proofErr w:type="spellEnd"/>
      <w:r>
        <w:t xml:space="preserve">, “The Inforum-IIASA International System of I-O Models, in </w:t>
      </w:r>
      <w:r>
        <w:rPr>
          <w:i/>
        </w:rPr>
        <w:t xml:space="preserve">Proceedings of the Seventh International Conference of I-O Techniques, </w:t>
      </w:r>
      <w:r>
        <w:t>United Nations, New York.</w:t>
      </w:r>
    </w:p>
    <w:p w:rsidR="00F13590" w:rsidRPr="00F13590" w:rsidRDefault="00F13590" w:rsidP="00A231A8">
      <w:r>
        <w:t xml:space="preserve">Buckler, Margaret, David </w:t>
      </w:r>
      <w:proofErr w:type="spellStart"/>
      <w:r>
        <w:t>Gilmartin</w:t>
      </w:r>
      <w:proofErr w:type="spellEnd"/>
      <w:r>
        <w:t xml:space="preserve"> and Thomas </w:t>
      </w:r>
      <w:proofErr w:type="spellStart"/>
      <w:r>
        <w:t>Reimbold</w:t>
      </w:r>
      <w:proofErr w:type="spellEnd"/>
      <w:r>
        <w:t xml:space="preserve">, “The Inforum Model”, in Karen </w:t>
      </w:r>
      <w:proofErr w:type="spellStart"/>
      <w:r>
        <w:t>Polenske</w:t>
      </w:r>
      <w:proofErr w:type="spellEnd"/>
      <w:r>
        <w:t xml:space="preserve"> and </w:t>
      </w:r>
      <w:proofErr w:type="spellStart"/>
      <w:r>
        <w:t>Jiri</w:t>
      </w:r>
      <w:proofErr w:type="spellEnd"/>
      <w:r>
        <w:t xml:space="preserve"> </w:t>
      </w:r>
      <w:proofErr w:type="spellStart"/>
      <w:r>
        <w:t>Skolka</w:t>
      </w:r>
      <w:proofErr w:type="spellEnd"/>
      <w:r>
        <w:t xml:space="preserve"> (ed), </w:t>
      </w:r>
      <w:r>
        <w:rPr>
          <w:i/>
        </w:rPr>
        <w:t>Advances in Input-Output</w:t>
      </w:r>
      <w:r>
        <w:t>, Ballinger Publishing Company: Cambridge, MA, 1976.</w:t>
      </w:r>
    </w:p>
    <w:p w:rsidR="00F51281" w:rsidRDefault="00F51281" w:rsidP="00A231A8">
      <w:r>
        <w:t xml:space="preserve">Business Roundtable, </w:t>
      </w:r>
      <w:r>
        <w:rPr>
          <w:i/>
        </w:rPr>
        <w:t>The Balancing Act: Climate Change, Energy Security and the U.S. Economy</w:t>
      </w:r>
      <w:proofErr w:type="gramStart"/>
      <w:r>
        <w:t>,  June</w:t>
      </w:r>
      <w:proofErr w:type="gramEnd"/>
      <w:r>
        <w:t xml:space="preserve"> 2009,  at </w:t>
      </w:r>
      <w:hyperlink r:id="rId52" w:history="1">
        <w:r w:rsidRPr="007F389F">
          <w:rPr>
            <w:rStyle w:val="Hyperlink"/>
          </w:rPr>
          <w:t>http://businessroundtable.org/uploads/studies-reports/downloads/200906_The_Balancing_Act_FINAL_1.pdf</w:t>
        </w:r>
      </w:hyperlink>
      <w:r>
        <w:t xml:space="preserve">. </w:t>
      </w:r>
    </w:p>
    <w:p w:rsidR="00204D8E" w:rsidRPr="00204D8E" w:rsidRDefault="00204D8E" w:rsidP="00A231A8">
      <w:proofErr w:type="spellStart"/>
      <w:r>
        <w:t>Keybridge</w:t>
      </w:r>
      <w:proofErr w:type="spellEnd"/>
      <w:r>
        <w:t xml:space="preserve"> Research, </w:t>
      </w:r>
      <w:r>
        <w:rPr>
          <w:i/>
        </w:rPr>
        <w:t xml:space="preserve">Evaluating the Adequacy of the EITE Allowance Rebate Program </w:t>
      </w:r>
      <w:proofErr w:type="gramStart"/>
      <w:r>
        <w:rPr>
          <w:i/>
        </w:rPr>
        <w:t>Under</w:t>
      </w:r>
      <w:proofErr w:type="gramEnd"/>
      <w:r>
        <w:rPr>
          <w:i/>
        </w:rPr>
        <w:t xml:space="preserve"> H.R. 2454 (Waxman-Markey)</w:t>
      </w:r>
      <w:r>
        <w:t xml:space="preserve">, </w:t>
      </w:r>
      <w:r w:rsidR="00565F54">
        <w:t xml:space="preserve">unpublished </w:t>
      </w:r>
      <w:r>
        <w:t xml:space="preserve">study prepared for the Portland Cement Association by </w:t>
      </w:r>
      <w:proofErr w:type="spellStart"/>
      <w:r>
        <w:t>Keybridge</w:t>
      </w:r>
      <w:proofErr w:type="spellEnd"/>
      <w:r>
        <w:t xml:space="preserve"> and Inforum, December, 2009.</w:t>
      </w:r>
    </w:p>
    <w:p w:rsidR="00F55B19" w:rsidRDefault="00F55B19" w:rsidP="00A231A8">
      <w:proofErr w:type="gramStart"/>
      <w:r>
        <w:t xml:space="preserve">Ma, </w:t>
      </w:r>
      <w:proofErr w:type="spellStart"/>
      <w:r>
        <w:t>Qiang</w:t>
      </w:r>
      <w:proofErr w:type="spellEnd"/>
      <w:r>
        <w:t xml:space="preserve">, “A </w:t>
      </w:r>
      <w:proofErr w:type="spellStart"/>
      <w:r>
        <w:t>Multisectoral</w:t>
      </w:r>
      <w:proofErr w:type="spellEnd"/>
      <w:r>
        <w:t xml:space="preserve"> Bilateral Trade Model”, Inforum working paper, November 1995, at </w:t>
      </w:r>
      <w:hyperlink r:id="rId53" w:history="1">
        <w:r w:rsidRPr="007F389F">
          <w:rPr>
            <w:rStyle w:val="Hyperlink"/>
          </w:rPr>
          <w:t>http://www.inforum.umd.edu/papers/wp/wp/1995/wp95006.pdf</w:t>
        </w:r>
      </w:hyperlink>
      <w:r>
        <w:t>.</w:t>
      </w:r>
      <w:proofErr w:type="gramEnd"/>
      <w:r>
        <w:t xml:space="preserve"> </w:t>
      </w:r>
    </w:p>
    <w:p w:rsidR="00F55B19" w:rsidRDefault="00F55B19" w:rsidP="00A231A8">
      <w:r>
        <w:t xml:space="preserve">_________, </w:t>
      </w:r>
      <w:proofErr w:type="gramStart"/>
      <w:r>
        <w:rPr>
          <w:i/>
        </w:rPr>
        <w:t>A</w:t>
      </w:r>
      <w:proofErr w:type="gramEnd"/>
      <w:r>
        <w:rPr>
          <w:i/>
        </w:rPr>
        <w:t xml:space="preserve"> </w:t>
      </w:r>
      <w:proofErr w:type="spellStart"/>
      <w:r>
        <w:rPr>
          <w:i/>
        </w:rPr>
        <w:t>Multisectoral</w:t>
      </w:r>
      <w:proofErr w:type="spellEnd"/>
      <w:r>
        <w:rPr>
          <w:i/>
        </w:rPr>
        <w:t xml:space="preserve"> Bilateral Trade Model</w:t>
      </w:r>
      <w:r>
        <w:t>, Ph.D. Thesis, June 1995, University of Maryland.</w:t>
      </w:r>
    </w:p>
    <w:p w:rsidR="00F13590" w:rsidRPr="00F13590" w:rsidRDefault="00F13590" w:rsidP="00A231A8">
      <w:r>
        <w:t>McCarthy, Margaret Buckler, “</w:t>
      </w:r>
      <w:r>
        <w:rPr>
          <w:i/>
        </w:rPr>
        <w:t>LIFT</w:t>
      </w:r>
      <w:r>
        <w:t xml:space="preserve">: </w:t>
      </w:r>
      <w:proofErr w:type="spellStart"/>
      <w:r>
        <w:t>Inforum’s</w:t>
      </w:r>
      <w:proofErr w:type="spellEnd"/>
      <w:r>
        <w:t xml:space="preserve"> Model of the U.S. Economy”, </w:t>
      </w:r>
      <w:r>
        <w:rPr>
          <w:i/>
        </w:rPr>
        <w:t>Economic Systems Research</w:t>
      </w:r>
      <w:r>
        <w:t xml:space="preserve">, 3(1), 1991, pp 15-36, at </w:t>
      </w:r>
      <w:hyperlink r:id="rId54" w:history="1">
        <w:r w:rsidRPr="00B94D26">
          <w:rPr>
            <w:rStyle w:val="Hyperlink"/>
          </w:rPr>
          <w:t>http://www.inforum.umd.edu/papers/publishedwork/articles/esr91-02.pdf</w:t>
        </w:r>
      </w:hyperlink>
      <w:r>
        <w:t xml:space="preserve">. </w:t>
      </w:r>
    </w:p>
    <w:p w:rsidR="003D523D" w:rsidRDefault="003D523D" w:rsidP="00A231A8">
      <w:r>
        <w:t xml:space="preserve">Meade, Douglas, “The </w:t>
      </w:r>
      <w:r>
        <w:rPr>
          <w:i/>
        </w:rPr>
        <w:t>LIFT</w:t>
      </w:r>
      <w:r>
        <w:t xml:space="preserve"> Model”, Inforum working paper, September 2001, at </w:t>
      </w:r>
      <w:hyperlink r:id="rId55" w:history="1">
        <w:r w:rsidRPr="007F389F">
          <w:rPr>
            <w:rStyle w:val="Hyperlink"/>
          </w:rPr>
          <w:t>http://www.inforum.umd.edu/papers/wp/wp/2001/wp01002.pdf</w:t>
        </w:r>
      </w:hyperlink>
      <w:r>
        <w:t xml:space="preserve">. </w:t>
      </w:r>
    </w:p>
    <w:p w:rsidR="00F13590" w:rsidRDefault="00F13590" w:rsidP="00A231A8">
      <w:r>
        <w:t>______________, “An Analysis of the Economic Impacts of the 2007 Energy Independence and Security Act”, Paper presented at the 16</w:t>
      </w:r>
      <w:r w:rsidRPr="00F13590">
        <w:rPr>
          <w:vertAlign w:val="superscript"/>
        </w:rPr>
        <w:t>th</w:t>
      </w:r>
      <w:r>
        <w:t xml:space="preserve"> Inforum World Conference in North Cyprus, 2008.</w:t>
      </w:r>
    </w:p>
    <w:p w:rsidR="003D523D" w:rsidRDefault="003D523D" w:rsidP="00A231A8">
      <w:r>
        <w:t xml:space="preserve">Nyhus, Douglas E., “The Inforum International System”, </w:t>
      </w:r>
      <w:r>
        <w:rPr>
          <w:i/>
        </w:rPr>
        <w:t xml:space="preserve">Economic Systems Research, </w:t>
      </w:r>
      <w:r>
        <w:t xml:space="preserve">3(1), 1991, pp. 55-64, at </w:t>
      </w:r>
      <w:hyperlink r:id="rId56" w:history="1">
        <w:r w:rsidRPr="007F389F">
          <w:rPr>
            <w:rStyle w:val="Hyperlink"/>
          </w:rPr>
          <w:t>http://www.inforum.umd.edu/papers/publishedwork/articles/esr91-04.pdf</w:t>
        </w:r>
      </w:hyperlink>
      <w:r>
        <w:t xml:space="preserve">. </w:t>
      </w:r>
    </w:p>
    <w:p w:rsidR="009C383A" w:rsidRPr="009C383A" w:rsidRDefault="009C383A" w:rsidP="00A231A8">
      <w:r>
        <w:t xml:space="preserve">Securing America’s Future Energy, </w:t>
      </w:r>
      <w:r>
        <w:rPr>
          <w:i/>
        </w:rPr>
        <w:t>Economic Impact of the Energy Security Leadership Council’s National Strategy for Energy Security</w:t>
      </w:r>
      <w:r>
        <w:t xml:space="preserve">, February 2009, Commissioned by Energy Security Leadership </w:t>
      </w:r>
      <w:proofErr w:type="gramStart"/>
      <w:r>
        <w:t>Council  at</w:t>
      </w:r>
      <w:proofErr w:type="gramEnd"/>
      <w:r>
        <w:t xml:space="preserve"> </w:t>
      </w:r>
      <w:hyperlink r:id="rId57" w:history="1">
        <w:r w:rsidRPr="007F389F">
          <w:rPr>
            <w:rStyle w:val="Hyperlink"/>
          </w:rPr>
          <w:t>http://www.secureenergy.org/sites/default/files/990_ESLC-Impact-Report.pdf</w:t>
        </w:r>
      </w:hyperlink>
      <w:r>
        <w:t xml:space="preserve">. </w:t>
      </w:r>
    </w:p>
    <w:p w:rsidR="00F55B19" w:rsidRPr="00F55B19" w:rsidRDefault="00F55B19" w:rsidP="00A231A8">
      <w:proofErr w:type="spellStart"/>
      <w:proofErr w:type="gramStart"/>
      <w:r>
        <w:t>Wescott</w:t>
      </w:r>
      <w:proofErr w:type="spellEnd"/>
      <w:r>
        <w:t xml:space="preserve">, Robert and Jeffrey </w:t>
      </w:r>
      <w:proofErr w:type="spellStart"/>
      <w:r>
        <w:t>Werling</w:t>
      </w:r>
      <w:proofErr w:type="spellEnd"/>
      <w:r>
        <w:t xml:space="preserve">, </w:t>
      </w:r>
      <w:r>
        <w:rPr>
          <w:i/>
        </w:rPr>
        <w:t>The Economic Impact of the Electrification Roadmap</w:t>
      </w:r>
      <w:r>
        <w:t xml:space="preserve">, </w:t>
      </w:r>
      <w:r w:rsidR="00A169E3">
        <w:t xml:space="preserve">Study commissioned by the Electrification Coalition, April 2010, at </w:t>
      </w:r>
      <w:hyperlink r:id="rId58" w:history="1">
        <w:r w:rsidR="00A169E3" w:rsidRPr="007F389F">
          <w:rPr>
            <w:rStyle w:val="Hyperlink"/>
          </w:rPr>
          <w:t>http://www.electrificationcoalition.org/media/EC_ImpactReport.pdf</w:t>
        </w:r>
      </w:hyperlink>
      <w:r w:rsidR="00A169E3">
        <w:t>.</w:t>
      </w:r>
      <w:proofErr w:type="gramEnd"/>
      <w:r w:rsidR="00A169E3">
        <w:t xml:space="preserve"> </w:t>
      </w:r>
    </w:p>
    <w:p w:rsidR="003D523D" w:rsidRPr="003D523D" w:rsidRDefault="003D523D" w:rsidP="00A231A8">
      <w:r>
        <w:t xml:space="preserve">Yu, </w:t>
      </w:r>
      <w:proofErr w:type="spellStart"/>
      <w:r>
        <w:t>Qisheng</w:t>
      </w:r>
      <w:proofErr w:type="spellEnd"/>
      <w:r>
        <w:t xml:space="preserve">, </w:t>
      </w:r>
      <w:r>
        <w:rPr>
          <w:i/>
        </w:rPr>
        <w:t>MUDAN:</w:t>
      </w:r>
      <w:r>
        <w:t xml:space="preserve"> A China Model for </w:t>
      </w:r>
      <w:proofErr w:type="spellStart"/>
      <w:r>
        <w:t>Multisector</w:t>
      </w:r>
      <w:proofErr w:type="spellEnd"/>
      <w:r>
        <w:t xml:space="preserve"> Development Analysis, Ph.D. Thesis, University of Maryland, 1999, at </w:t>
      </w:r>
      <w:hyperlink r:id="rId59" w:history="1">
        <w:r w:rsidRPr="007F389F">
          <w:rPr>
            <w:rStyle w:val="Hyperlink"/>
          </w:rPr>
          <w:t>http://www.inforum.umd.edu/papers/publishedwork/dissertations/yu.pdf</w:t>
        </w:r>
      </w:hyperlink>
      <w:r>
        <w:t xml:space="preserve">. </w:t>
      </w:r>
    </w:p>
    <w:sectPr w:rsidR="003D523D" w:rsidRPr="003D523D" w:rsidSect="007707DB">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6C" w:rsidRDefault="000C2E6C">
      <w:r>
        <w:separator/>
      </w:r>
    </w:p>
  </w:endnote>
  <w:endnote w:type="continuationSeparator" w:id="0">
    <w:p w:rsidR="000C2E6C" w:rsidRDefault="000C2E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B7" w:rsidRPr="007707DB" w:rsidRDefault="00C147B7">
    <w:pPr>
      <w:pStyle w:val="Footer"/>
      <w:rPr>
        <w:sz w:val="20"/>
        <w:szCs w:val="20"/>
      </w:rPr>
    </w:pPr>
    <w:r w:rsidRPr="007707DB">
      <w:rPr>
        <w:sz w:val="20"/>
        <w:szCs w:val="20"/>
      </w:rPr>
      <w:tab/>
    </w:r>
    <w:r w:rsidRPr="007707DB">
      <w:rPr>
        <w:rStyle w:val="PageNumber"/>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B7" w:rsidRPr="007707DB" w:rsidRDefault="00C147B7">
    <w:pPr>
      <w:pStyle w:val="Footer"/>
      <w:rPr>
        <w:sz w:val="20"/>
        <w:szCs w:val="20"/>
      </w:rPr>
    </w:pPr>
    <w:r>
      <w:rPr>
        <w:sz w:val="20"/>
        <w:szCs w:val="20"/>
      </w:rPr>
      <w:t>Inforum</w:t>
    </w:r>
    <w:r w:rsidRPr="007707DB">
      <w:rPr>
        <w:sz w:val="20"/>
        <w:szCs w:val="20"/>
      </w:rPr>
      <w:tab/>
    </w:r>
    <w:r w:rsidR="00A9782B" w:rsidRPr="007707DB">
      <w:rPr>
        <w:rStyle w:val="PageNumber"/>
        <w:sz w:val="20"/>
        <w:szCs w:val="20"/>
      </w:rPr>
      <w:fldChar w:fldCharType="begin"/>
    </w:r>
    <w:r w:rsidRPr="007707DB">
      <w:rPr>
        <w:rStyle w:val="PageNumber"/>
        <w:sz w:val="20"/>
        <w:szCs w:val="20"/>
      </w:rPr>
      <w:instrText xml:space="preserve"> PAGE </w:instrText>
    </w:r>
    <w:r w:rsidR="00A9782B" w:rsidRPr="007707DB">
      <w:rPr>
        <w:rStyle w:val="PageNumber"/>
        <w:sz w:val="20"/>
        <w:szCs w:val="20"/>
      </w:rPr>
      <w:fldChar w:fldCharType="separate"/>
    </w:r>
    <w:r w:rsidR="00C3209A">
      <w:rPr>
        <w:rStyle w:val="PageNumber"/>
        <w:noProof/>
        <w:sz w:val="20"/>
        <w:szCs w:val="20"/>
      </w:rPr>
      <w:t>32</w:t>
    </w:r>
    <w:r w:rsidR="00A9782B" w:rsidRPr="007707DB">
      <w:rPr>
        <w:rStyle w:val="PageNumber"/>
        <w:sz w:val="20"/>
        <w:szCs w:val="20"/>
      </w:rPr>
      <w:fldChar w:fldCharType="end"/>
    </w:r>
    <w:r w:rsidRPr="007707DB">
      <w:rPr>
        <w:rStyle w:val="PageNumber"/>
        <w:sz w:val="20"/>
        <w:szCs w:val="20"/>
      </w:rPr>
      <w:tab/>
    </w:r>
    <w:r>
      <w:rPr>
        <w:rStyle w:val="PageNumber"/>
        <w:sz w:val="20"/>
        <w:szCs w:val="20"/>
      </w:rPr>
      <w:t>IIOA June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6C" w:rsidRDefault="000C2E6C">
      <w:r>
        <w:separator/>
      </w:r>
    </w:p>
  </w:footnote>
  <w:footnote w:type="continuationSeparator" w:id="0">
    <w:p w:rsidR="000C2E6C" w:rsidRDefault="000C2E6C">
      <w:r>
        <w:continuationSeparator/>
      </w:r>
    </w:p>
  </w:footnote>
  <w:footnote w:id="1">
    <w:p w:rsidR="00C147B7" w:rsidRDefault="00C147B7" w:rsidP="00957FC8">
      <w:pPr>
        <w:pStyle w:val="FootnoteText"/>
        <w:jc w:val="both"/>
      </w:pPr>
      <w:r>
        <w:rPr>
          <w:rStyle w:val="FootnoteReference"/>
        </w:rPr>
        <w:footnoteRef/>
      </w:r>
      <w:r>
        <w:t xml:space="preserve"> This study was supported by the U.S. Department of Energy, Office of Policy and International Affairs.  The authors benefitted greatly from comments and suggestions from Audrey Lee, Diana Bauer, Peter Whitman, Barry Elman and Bryan </w:t>
      </w:r>
      <w:proofErr w:type="spellStart"/>
      <w:r>
        <w:t>Mignone</w:t>
      </w:r>
      <w:proofErr w:type="spellEnd"/>
      <w:r>
        <w:t>; however, any statements and results presented in this report are solely the responsibility of the authors, and do not reflect views held by the Department of Energy.</w:t>
      </w:r>
    </w:p>
  </w:footnote>
  <w:footnote w:id="2">
    <w:p w:rsidR="00C147B7" w:rsidRDefault="00C147B7">
      <w:pPr>
        <w:pStyle w:val="FootnoteText"/>
      </w:pPr>
      <w:r>
        <w:rPr>
          <w:rStyle w:val="FootnoteReference"/>
        </w:rPr>
        <w:footnoteRef/>
      </w:r>
      <w:r>
        <w:t xml:space="preserve"> Special thanks to Thomas Alfstad at Brookhaven National Laboratory.</w:t>
      </w:r>
    </w:p>
  </w:footnote>
  <w:footnote w:id="3">
    <w:p w:rsidR="00C147B7" w:rsidRDefault="00C147B7">
      <w:pPr>
        <w:pStyle w:val="FootnoteText"/>
      </w:pPr>
      <w:r>
        <w:rPr>
          <w:rStyle w:val="FootnoteReference"/>
        </w:rPr>
        <w:footnoteRef/>
      </w:r>
      <w:r>
        <w:t xml:space="preserve"> </w:t>
      </w:r>
      <w:r w:rsidRPr="00A527CA">
        <w:t xml:space="preserve">ETSAP. </w:t>
      </w:r>
      <w:r w:rsidRPr="00A527CA">
        <w:rPr>
          <w:i/>
        </w:rPr>
        <w:t>Energy Technology Systems Analysis Program</w:t>
      </w:r>
      <w:r w:rsidRPr="00A527CA">
        <w:t>.  201</w:t>
      </w:r>
      <w:r>
        <w:t>1</w:t>
      </w:r>
      <w:r w:rsidRPr="00A527CA">
        <w:t xml:space="preserve">  [cited 20</w:t>
      </w:r>
      <w:r>
        <w:t>11</w:t>
      </w:r>
      <w:r w:rsidRPr="00A527CA">
        <w:t xml:space="preserve"> </w:t>
      </w:r>
      <w:r>
        <w:t>April 22</w:t>
      </w:r>
      <w:r w:rsidRPr="00A527CA">
        <w:t>]; Available from: http://www.etsap.org/index.asp.</w:t>
      </w:r>
    </w:p>
  </w:footnote>
  <w:footnote w:id="4">
    <w:p w:rsidR="00C147B7" w:rsidRDefault="00C147B7">
      <w:pPr>
        <w:pStyle w:val="FootnoteText"/>
      </w:pPr>
      <w:r>
        <w:rPr>
          <w:rStyle w:val="FootnoteReference"/>
        </w:rPr>
        <w:footnoteRef/>
      </w:r>
      <w:r>
        <w:t xml:space="preserve"> </w:t>
      </w:r>
      <w:r w:rsidRPr="00A527CA">
        <w:t xml:space="preserve">Fishbone L, A.H.E.R., </w:t>
      </w:r>
      <w:r w:rsidRPr="00A527CA">
        <w:rPr>
          <w:i/>
        </w:rPr>
        <w:t>A linear programming model for energy systems analysis: technical description of the BNL version.</w:t>
      </w:r>
      <w:r w:rsidRPr="00A527CA">
        <w:t xml:space="preserve"> </w:t>
      </w:r>
      <w:r w:rsidRPr="00A527CA">
        <w:t xml:space="preserve">Energy Res 1981. </w:t>
      </w:r>
      <w:r w:rsidRPr="00A527CA">
        <w:rPr>
          <w:b/>
        </w:rPr>
        <w:t>5</w:t>
      </w:r>
      <w:r w:rsidRPr="00A527CA">
        <w:t>: p. 369–79</w:t>
      </w:r>
      <w:r>
        <w:t>.</w:t>
      </w:r>
    </w:p>
  </w:footnote>
  <w:footnote w:id="5">
    <w:p w:rsidR="00C147B7" w:rsidRDefault="00C147B7" w:rsidP="00E74955">
      <w:pPr>
        <w:pStyle w:val="FootnoteText"/>
        <w:jc w:val="both"/>
      </w:pPr>
      <w:r>
        <w:rPr>
          <w:rStyle w:val="FootnoteReference"/>
        </w:rPr>
        <w:footnoteRef/>
      </w:r>
      <w:r>
        <w:t xml:space="preserve"> The price of carbon is determined so as to reduce emissions consistent with China’s stated goals, and is actually set higher than the U.S. price.</w:t>
      </w:r>
    </w:p>
  </w:footnote>
  <w:footnote w:id="6">
    <w:p w:rsidR="00C147B7" w:rsidRPr="006C4542" w:rsidRDefault="00C147B7">
      <w:pPr>
        <w:pStyle w:val="FootnoteText"/>
      </w:pPr>
      <w:r>
        <w:rPr>
          <w:rStyle w:val="FootnoteReference"/>
        </w:rPr>
        <w:footnoteRef/>
      </w:r>
      <w:r>
        <w:t xml:space="preserve"> The </w:t>
      </w:r>
      <w:r>
        <w:rPr>
          <w:i/>
        </w:rPr>
        <w:t>LIFT</w:t>
      </w:r>
      <w:r>
        <w:t xml:space="preserve"> model is described in McCarthy (1991) and Meade (2001), as well as in appendix A.  Other studies of interest include Meade (2008), Business Roundtable (2009), Securing America’s Future Energy (2009) and </w:t>
      </w:r>
      <w:proofErr w:type="spellStart"/>
      <w:r>
        <w:t>Wescott</w:t>
      </w:r>
      <w:proofErr w:type="spellEnd"/>
      <w:r>
        <w:t xml:space="preserve"> and </w:t>
      </w:r>
      <w:proofErr w:type="spellStart"/>
      <w:r>
        <w:t>Werling</w:t>
      </w:r>
      <w:proofErr w:type="spellEnd"/>
      <w:r>
        <w:t xml:space="preserve"> (2010), </w:t>
      </w:r>
    </w:p>
  </w:footnote>
  <w:footnote w:id="7">
    <w:p w:rsidR="00C147B7" w:rsidRDefault="00C147B7" w:rsidP="00E74955">
      <w:pPr>
        <w:pStyle w:val="FootnoteText"/>
        <w:jc w:val="both"/>
      </w:pPr>
      <w:r>
        <w:rPr>
          <w:rStyle w:val="FootnoteReference"/>
        </w:rPr>
        <w:footnoteRef/>
      </w:r>
      <w:r>
        <w:t xml:space="preserve"> For calibration to the AEO, we are of course limited to the AEO forecast horizon.  For the AEO 2009, this was 2030.</w:t>
      </w:r>
    </w:p>
  </w:footnote>
  <w:footnote w:id="8">
    <w:p w:rsidR="00C147B7" w:rsidRDefault="00C147B7">
      <w:pPr>
        <w:pStyle w:val="FootnoteText"/>
      </w:pPr>
      <w:r>
        <w:rPr>
          <w:rStyle w:val="FootnoteReference"/>
        </w:rPr>
        <w:footnoteRef/>
      </w:r>
      <w:r>
        <w:t xml:space="preserve"> Mudan is described in detail in Yu (1999).</w:t>
      </w:r>
    </w:p>
  </w:footnote>
  <w:footnote w:id="9">
    <w:p w:rsidR="00C147B7" w:rsidRDefault="00C147B7">
      <w:pPr>
        <w:pStyle w:val="FootnoteText"/>
      </w:pPr>
      <w:r>
        <w:rPr>
          <w:rStyle w:val="FootnoteReference"/>
        </w:rPr>
        <w:footnoteRef/>
      </w:r>
      <w:r>
        <w:t xml:space="preserve"> The Inforum Bilateral Trade Model is described in Nyhus (1991) and in Ma (1995).</w:t>
      </w:r>
    </w:p>
  </w:footnote>
  <w:footnote w:id="10">
    <w:p w:rsidR="00C147B7" w:rsidRDefault="00C147B7">
      <w:pPr>
        <w:pStyle w:val="FootnoteText"/>
      </w:pPr>
      <w:r>
        <w:rPr>
          <w:rStyle w:val="FootnoteReference"/>
        </w:rPr>
        <w:footnoteRef/>
      </w:r>
      <w:r>
        <w:t xml:space="preserve"> Note that not all elements of the proposed legislation were modeled.</w:t>
      </w:r>
    </w:p>
  </w:footnote>
  <w:footnote w:id="11">
    <w:p w:rsidR="00C147B7" w:rsidRDefault="00C147B7">
      <w:pPr>
        <w:pStyle w:val="FootnoteText"/>
      </w:pPr>
      <w:r>
        <w:rPr>
          <w:rStyle w:val="FootnoteReference"/>
        </w:rPr>
        <w:footnoteRef/>
      </w:r>
      <w:r>
        <w:t xml:space="preserve"> </w:t>
      </w:r>
      <w:proofErr w:type="spellStart"/>
      <w:r>
        <w:t>Keybridge</w:t>
      </w:r>
      <w:proofErr w:type="spellEnd"/>
      <w:r>
        <w:t xml:space="preserve"> Research (2009).</w:t>
      </w:r>
    </w:p>
  </w:footnote>
  <w:footnote w:id="12">
    <w:p w:rsidR="00C147B7" w:rsidRDefault="00C147B7" w:rsidP="003B7299">
      <w:pPr>
        <w:pStyle w:val="FootnoteText"/>
        <w:jc w:val="both"/>
      </w:pPr>
      <w:r>
        <w:rPr>
          <w:rStyle w:val="FootnoteReference"/>
        </w:rPr>
        <w:footnoteRef/>
      </w:r>
      <w:r>
        <w:t xml:space="preserve"> The deflator used to calculate the implied nominal rate of tax was the GDP deflator forecasted in the AEO 2009 base case.  The GDP deflator actually rises by about 1.3% in the Waxman-Markey tax simulation.  However, no attempt was made to iterate to obtain consistency between the GDP deflator and the nominal carbon price.</w:t>
      </w:r>
    </w:p>
  </w:footnote>
  <w:footnote w:id="13">
    <w:p w:rsidR="00C147B7" w:rsidRDefault="00C147B7" w:rsidP="003B7299">
      <w:pPr>
        <w:pStyle w:val="FootnoteText"/>
        <w:jc w:val="both"/>
      </w:pPr>
      <w:r>
        <w:rPr>
          <w:rStyle w:val="FootnoteReference"/>
        </w:rPr>
        <w:footnoteRef/>
      </w:r>
      <w:r>
        <w:t xml:space="preserve"> However, there is a change in generation mix towards more renewables and nuclear due to the carbon price.  Since less carbon is being emitted, the impact on the electricity price is less than what it would have been.</w:t>
      </w:r>
    </w:p>
  </w:footnote>
  <w:footnote w:id="14">
    <w:p w:rsidR="00C147B7" w:rsidRDefault="00C147B7" w:rsidP="003B7299">
      <w:pPr>
        <w:pStyle w:val="FootnoteText"/>
        <w:jc w:val="both"/>
      </w:pPr>
      <w:r>
        <w:rPr>
          <w:rStyle w:val="FootnoteReference"/>
        </w:rPr>
        <w:footnoteRef/>
      </w:r>
      <w:r>
        <w:t xml:space="preserve"> Note that these are carbon dioxide emissions only.</w:t>
      </w:r>
    </w:p>
  </w:footnote>
  <w:footnote w:id="15">
    <w:p w:rsidR="00C147B7" w:rsidRPr="005C187D" w:rsidRDefault="00C147B7" w:rsidP="003B7299">
      <w:pPr>
        <w:pStyle w:val="FootnoteText"/>
        <w:jc w:val="both"/>
      </w:pPr>
      <w:r>
        <w:rPr>
          <w:rStyle w:val="FootnoteReference"/>
        </w:rPr>
        <w:footnoteRef/>
      </w:r>
      <w:r>
        <w:t xml:space="preserve"> Other tables that are used to calibrate </w:t>
      </w:r>
      <w:r>
        <w:rPr>
          <w:i/>
          <w:iCs/>
        </w:rPr>
        <w:t>LIFT</w:t>
      </w:r>
      <w:r>
        <w:t xml:space="preserve"> include: A-4 Residential sector key indicators and consumption; A-5 Commercial sector key indicators and consumption; A-6 Industrial sector key indicators and consumption; A-7 Transportation sector key indicators and delivered energy consumption; A-8 Electricity supply, disposition, prices and emissions; A-11 Liquid fuel supply and disposition; A-14 Oil and gas supply; A-15 Coal supply, disposition and prices; and A-20 Macroeconomic indicators.</w:t>
      </w:r>
    </w:p>
  </w:footnote>
  <w:footnote w:id="16">
    <w:p w:rsidR="00C147B7" w:rsidRDefault="00C147B7">
      <w:pPr>
        <w:pStyle w:val="FootnoteText"/>
      </w:pPr>
      <w:r>
        <w:rPr>
          <w:rStyle w:val="FootnoteReference"/>
        </w:rPr>
        <w:footnoteRef/>
      </w:r>
      <w:r>
        <w:t xml:space="preserve"> Personal income taxes could be reduced by about half by 2030, given the amount of revenue available from the carbon tax.</w:t>
      </w:r>
    </w:p>
  </w:footnote>
  <w:footnote w:id="17">
    <w:p w:rsidR="00C147B7" w:rsidRDefault="00C147B7" w:rsidP="003B7299">
      <w:pPr>
        <w:pStyle w:val="FootnoteText"/>
        <w:jc w:val="both"/>
      </w:pPr>
      <w:r>
        <w:rPr>
          <w:rStyle w:val="FootnoteReference"/>
        </w:rPr>
        <w:footnoteRef/>
      </w:r>
      <w:r>
        <w:t xml:space="preserve"> For this study, the carbon emissions ratios used were for aggregate sectors.  However, a more detailed set of emissions data and ratios is currently being developed, in conjunction with the Department of Commerce.</w:t>
      </w:r>
    </w:p>
  </w:footnote>
  <w:footnote w:id="18">
    <w:p w:rsidR="00C147B7" w:rsidRDefault="00C147B7" w:rsidP="006806CC">
      <w:pPr>
        <w:pStyle w:val="FootnoteText"/>
        <w:jc w:val="both"/>
      </w:pPr>
      <w:r>
        <w:rPr>
          <w:rStyle w:val="FootnoteReference"/>
        </w:rPr>
        <w:footnoteRef/>
      </w:r>
      <w:r>
        <w:t xml:space="preserve">  In case 2, the first two pathways are determined in the BNL-Markal model.  Sectoral shifts are determined in the </w:t>
      </w:r>
      <w:r>
        <w:rPr>
          <w:i/>
        </w:rPr>
        <w:t>LIFT</w:t>
      </w:r>
      <w:r>
        <w:t xml:space="preserve"> model. As we discuss below, emissions intensive sectors such as Agricultural fertilizers and chemicals, </w:t>
      </w:r>
      <w:r>
        <w:t>Ferrous metals, and Stone, clay and glass experience declines in exports.</w:t>
      </w:r>
    </w:p>
  </w:footnote>
  <w:footnote w:id="19">
    <w:p w:rsidR="00C147B7" w:rsidRDefault="00C147B7">
      <w:pPr>
        <w:pStyle w:val="FootnoteText"/>
      </w:pPr>
      <w:r>
        <w:rPr>
          <w:rStyle w:val="FootnoteReference"/>
        </w:rPr>
        <w:footnoteRef/>
      </w:r>
      <w:r>
        <w:t xml:space="preserve"> In the recently released AEO 2011, the reference case path for oil prices is much higher than in AEO 2009, on which this study was based.  With such a higher reference case price, the effective percentage change in delivered price due to the carbon tax would be smaller than suggested in this study.</w:t>
      </w:r>
    </w:p>
  </w:footnote>
  <w:footnote w:id="20">
    <w:p w:rsidR="00C147B7" w:rsidRPr="004E76A7" w:rsidRDefault="00C147B7">
      <w:pPr>
        <w:pStyle w:val="FootnoteText"/>
      </w:pPr>
      <w:r>
        <w:rPr>
          <w:rStyle w:val="FootnoteReference"/>
        </w:rPr>
        <w:footnoteRef/>
      </w:r>
      <w:r>
        <w:t xml:space="preserve"> The methodology used to calculate the carbon tax in </w:t>
      </w:r>
      <w:r>
        <w:rPr>
          <w:i/>
        </w:rPr>
        <w:t>LIFT</w:t>
      </w:r>
      <w:r>
        <w:t xml:space="preserve"> overstates the likely price increase in Plastics and synthetics.  In actuality, much of the energy product flows into this sector serve as feedstock and so less carbon is emitted, and less tax paid than is indicated here.</w:t>
      </w:r>
    </w:p>
  </w:footnote>
  <w:footnote w:id="21">
    <w:p w:rsidR="00C147B7" w:rsidRDefault="00C147B7" w:rsidP="003B7299">
      <w:pPr>
        <w:pStyle w:val="FootnoteText"/>
      </w:pPr>
      <w:r>
        <w:rPr>
          <w:rStyle w:val="FootnoteReference"/>
        </w:rPr>
        <w:footnoteRef/>
      </w:r>
      <w:r>
        <w:t xml:space="preserve"> The response of exports to a change in price is a weighted combination of import price </w:t>
      </w:r>
      <w:proofErr w:type="spellStart"/>
      <w:r>
        <w:t>elasticities</w:t>
      </w:r>
      <w:proofErr w:type="spellEnd"/>
      <w:r>
        <w:t xml:space="preserve"> of the trading partners, and price response in the Bilateral Trade model.</w:t>
      </w:r>
    </w:p>
  </w:footnote>
  <w:footnote w:id="22">
    <w:p w:rsidR="00295C62" w:rsidRDefault="00295C62">
      <w:pPr>
        <w:pStyle w:val="FootnoteText"/>
      </w:pPr>
      <w:r>
        <w:rPr>
          <w:rStyle w:val="FootnoteReference"/>
        </w:rPr>
        <w:footnoteRef/>
      </w:r>
      <w:r>
        <w:t xml:space="preserve"> A more detailed analysis of the changes in the direction of trade in </w:t>
      </w:r>
      <w:r>
        <w:t>these policy could be carried out for any of the commodities in the Bilateral Trade Model.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7B7" w:rsidRPr="001A71E9" w:rsidRDefault="00C147B7" w:rsidP="007B2B09">
    <w:pPr>
      <w:pStyle w:val="Header"/>
      <w:rPr>
        <w:i/>
        <w:iCs/>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402"/>
    <w:multiLevelType w:val="hybridMultilevel"/>
    <w:tmpl w:val="61F2EFCE"/>
    <w:lvl w:ilvl="0" w:tplc="04090005">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3DE038D"/>
    <w:multiLevelType w:val="hybridMultilevel"/>
    <w:tmpl w:val="B314AA2A"/>
    <w:lvl w:ilvl="0" w:tplc="CDAAB084">
      <w:start w:val="1"/>
      <w:numFmt w:val="bullet"/>
      <w:lvlText w:val=""/>
      <w:lvlJc w:val="left"/>
      <w:pPr>
        <w:tabs>
          <w:tab w:val="num" w:pos="216"/>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D41144"/>
    <w:multiLevelType w:val="hybridMultilevel"/>
    <w:tmpl w:val="C010C3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643971"/>
    <w:multiLevelType w:val="hybridMultilevel"/>
    <w:tmpl w:val="A56E1394"/>
    <w:lvl w:ilvl="0" w:tplc="3E46607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916F9D"/>
    <w:multiLevelType w:val="hybridMultilevel"/>
    <w:tmpl w:val="349C92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2404FF"/>
    <w:multiLevelType w:val="hybridMultilevel"/>
    <w:tmpl w:val="CC0A42F2"/>
    <w:lvl w:ilvl="0" w:tplc="CDAAB084">
      <w:start w:val="1"/>
      <w:numFmt w:val="bullet"/>
      <w:lvlText w:val=""/>
      <w:lvlJc w:val="left"/>
      <w:pPr>
        <w:tabs>
          <w:tab w:val="num" w:pos="216"/>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FBD4B7B"/>
    <w:multiLevelType w:val="hybridMultilevel"/>
    <w:tmpl w:val="CB18F320"/>
    <w:lvl w:ilvl="0" w:tplc="CDAAB084">
      <w:start w:val="1"/>
      <w:numFmt w:val="bullet"/>
      <w:lvlText w:val=""/>
      <w:lvlJc w:val="left"/>
      <w:pPr>
        <w:tabs>
          <w:tab w:val="num" w:pos="216"/>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F8155D"/>
    <w:multiLevelType w:val="hybridMultilevel"/>
    <w:tmpl w:val="FBCC79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77735E"/>
    <w:multiLevelType w:val="hybridMultilevel"/>
    <w:tmpl w:val="37FE6678"/>
    <w:lvl w:ilvl="0" w:tplc="CDAAB084">
      <w:start w:val="1"/>
      <w:numFmt w:val="bullet"/>
      <w:lvlText w:val=""/>
      <w:lvlJc w:val="left"/>
      <w:pPr>
        <w:tabs>
          <w:tab w:val="num" w:pos="-144"/>
        </w:tabs>
        <w:ind w:left="0" w:firstLine="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A00DEB"/>
    <w:multiLevelType w:val="hybridMultilevel"/>
    <w:tmpl w:val="4EF8F32C"/>
    <w:lvl w:ilvl="0" w:tplc="3E4660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0207F49"/>
    <w:multiLevelType w:val="hybridMultilevel"/>
    <w:tmpl w:val="6D46A9D2"/>
    <w:lvl w:ilvl="0" w:tplc="84066DCC">
      <w:start w:val="1"/>
      <w:numFmt w:val="decimal"/>
      <w:pStyle w:val="Section"/>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FA4D46"/>
    <w:multiLevelType w:val="hybridMultilevel"/>
    <w:tmpl w:val="5B46136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FE1E89"/>
    <w:multiLevelType w:val="hybridMultilevel"/>
    <w:tmpl w:val="435448F8"/>
    <w:lvl w:ilvl="0" w:tplc="3E46607A">
      <w:start w:val="1"/>
      <w:numFmt w:val="bullet"/>
      <w:lvlText w:val=""/>
      <w:lvlJc w:val="left"/>
      <w:pPr>
        <w:tabs>
          <w:tab w:val="num" w:pos="360"/>
        </w:tabs>
        <w:ind w:left="360" w:hanging="360"/>
      </w:pPr>
      <w:rPr>
        <w:rFonts w:ascii="Symbol" w:hAnsi="Symbol" w:hint="default"/>
        <w:color w:val="auto"/>
      </w:rPr>
    </w:lvl>
    <w:lvl w:ilvl="1" w:tplc="CDAAB084">
      <w:start w:val="1"/>
      <w:numFmt w:val="bullet"/>
      <w:lvlText w:val=""/>
      <w:lvlJc w:val="left"/>
      <w:pPr>
        <w:tabs>
          <w:tab w:val="num" w:pos="216"/>
        </w:tabs>
        <w:ind w:left="360" w:firstLine="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73D1172"/>
    <w:multiLevelType w:val="hybridMultilevel"/>
    <w:tmpl w:val="E1BECF28"/>
    <w:lvl w:ilvl="0" w:tplc="CDAAB084">
      <w:start w:val="1"/>
      <w:numFmt w:val="bullet"/>
      <w:lvlText w:val=""/>
      <w:lvlJc w:val="left"/>
      <w:pPr>
        <w:tabs>
          <w:tab w:val="num" w:pos="216"/>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EE1443"/>
    <w:multiLevelType w:val="hybridMultilevel"/>
    <w:tmpl w:val="FCC49B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3"/>
  </w:num>
  <w:num w:numId="3">
    <w:abstractNumId w:val="12"/>
  </w:num>
  <w:num w:numId="4">
    <w:abstractNumId w:val="9"/>
  </w:num>
  <w:num w:numId="5">
    <w:abstractNumId w:val="6"/>
  </w:num>
  <w:num w:numId="6">
    <w:abstractNumId w:val="11"/>
  </w:num>
  <w:num w:numId="7">
    <w:abstractNumId w:val="0"/>
  </w:num>
  <w:num w:numId="8">
    <w:abstractNumId w:val="14"/>
  </w:num>
  <w:num w:numId="9">
    <w:abstractNumId w:val="5"/>
  </w:num>
  <w:num w:numId="10">
    <w:abstractNumId w:val="8"/>
  </w:num>
  <w:num w:numId="11">
    <w:abstractNumId w:val="4"/>
  </w:num>
  <w:num w:numId="12">
    <w:abstractNumId w:val="7"/>
  </w:num>
  <w:num w:numId="13">
    <w:abstractNumId w:val="1"/>
  </w:num>
  <w:num w:numId="14">
    <w:abstractNumId w:val="13"/>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D90CC8"/>
    <w:rsid w:val="000502F5"/>
    <w:rsid w:val="00053022"/>
    <w:rsid w:val="00055A89"/>
    <w:rsid w:val="00072A25"/>
    <w:rsid w:val="00076997"/>
    <w:rsid w:val="000821AC"/>
    <w:rsid w:val="000B29CD"/>
    <w:rsid w:val="000B40A2"/>
    <w:rsid w:val="000C1F08"/>
    <w:rsid w:val="000C2E6C"/>
    <w:rsid w:val="000D69DB"/>
    <w:rsid w:val="00102960"/>
    <w:rsid w:val="001062C4"/>
    <w:rsid w:val="00130086"/>
    <w:rsid w:val="00144B3A"/>
    <w:rsid w:val="00154940"/>
    <w:rsid w:val="00160B88"/>
    <w:rsid w:val="0016643C"/>
    <w:rsid w:val="00172FF3"/>
    <w:rsid w:val="001973F2"/>
    <w:rsid w:val="001A71E9"/>
    <w:rsid w:val="001B22D4"/>
    <w:rsid w:val="001D5099"/>
    <w:rsid w:val="001D6257"/>
    <w:rsid w:val="001F1DA6"/>
    <w:rsid w:val="001F4CB1"/>
    <w:rsid w:val="00204D8E"/>
    <w:rsid w:val="00232C3F"/>
    <w:rsid w:val="00240331"/>
    <w:rsid w:val="00257B03"/>
    <w:rsid w:val="00267D6E"/>
    <w:rsid w:val="00271FE4"/>
    <w:rsid w:val="00280E2F"/>
    <w:rsid w:val="0028400E"/>
    <w:rsid w:val="0028743D"/>
    <w:rsid w:val="00291090"/>
    <w:rsid w:val="00295C62"/>
    <w:rsid w:val="00297EB0"/>
    <w:rsid w:val="002A6FF5"/>
    <w:rsid w:val="002A734F"/>
    <w:rsid w:val="002B0F20"/>
    <w:rsid w:val="002B4231"/>
    <w:rsid w:val="002C62E2"/>
    <w:rsid w:val="002C6DA7"/>
    <w:rsid w:val="002C7025"/>
    <w:rsid w:val="002F2C84"/>
    <w:rsid w:val="002F5EB8"/>
    <w:rsid w:val="00305729"/>
    <w:rsid w:val="00327A0C"/>
    <w:rsid w:val="00334585"/>
    <w:rsid w:val="00342E66"/>
    <w:rsid w:val="003516A6"/>
    <w:rsid w:val="003750D0"/>
    <w:rsid w:val="003955C8"/>
    <w:rsid w:val="003A5306"/>
    <w:rsid w:val="003B0C98"/>
    <w:rsid w:val="003B7299"/>
    <w:rsid w:val="003D523D"/>
    <w:rsid w:val="003D7B7D"/>
    <w:rsid w:val="003E1AA5"/>
    <w:rsid w:val="003E66EA"/>
    <w:rsid w:val="003F0A73"/>
    <w:rsid w:val="003F3E10"/>
    <w:rsid w:val="003F4B50"/>
    <w:rsid w:val="00426A81"/>
    <w:rsid w:val="00435C49"/>
    <w:rsid w:val="00437B62"/>
    <w:rsid w:val="00446ECF"/>
    <w:rsid w:val="004530F9"/>
    <w:rsid w:val="0045609B"/>
    <w:rsid w:val="00473ACC"/>
    <w:rsid w:val="00474C9E"/>
    <w:rsid w:val="0047744C"/>
    <w:rsid w:val="00482BDA"/>
    <w:rsid w:val="0048375B"/>
    <w:rsid w:val="00484ECB"/>
    <w:rsid w:val="004915BC"/>
    <w:rsid w:val="00494ED9"/>
    <w:rsid w:val="004A2E6A"/>
    <w:rsid w:val="004A7FFB"/>
    <w:rsid w:val="004B29FF"/>
    <w:rsid w:val="004C4CE0"/>
    <w:rsid w:val="004E3668"/>
    <w:rsid w:val="004E76A7"/>
    <w:rsid w:val="004F0B55"/>
    <w:rsid w:val="004F26B1"/>
    <w:rsid w:val="00500DD9"/>
    <w:rsid w:val="0051357E"/>
    <w:rsid w:val="00514C58"/>
    <w:rsid w:val="00515183"/>
    <w:rsid w:val="005204EB"/>
    <w:rsid w:val="005242DC"/>
    <w:rsid w:val="00542246"/>
    <w:rsid w:val="00543C95"/>
    <w:rsid w:val="00545851"/>
    <w:rsid w:val="00550FAC"/>
    <w:rsid w:val="00561B58"/>
    <w:rsid w:val="00565F54"/>
    <w:rsid w:val="00583C00"/>
    <w:rsid w:val="005926AA"/>
    <w:rsid w:val="005A47D7"/>
    <w:rsid w:val="005A54EB"/>
    <w:rsid w:val="005A672D"/>
    <w:rsid w:val="005C03FD"/>
    <w:rsid w:val="005C0C09"/>
    <w:rsid w:val="005C187D"/>
    <w:rsid w:val="005E601D"/>
    <w:rsid w:val="005F3A8D"/>
    <w:rsid w:val="005F7332"/>
    <w:rsid w:val="00601844"/>
    <w:rsid w:val="006116BD"/>
    <w:rsid w:val="0061482A"/>
    <w:rsid w:val="00616D40"/>
    <w:rsid w:val="00625473"/>
    <w:rsid w:val="00630E29"/>
    <w:rsid w:val="0063441E"/>
    <w:rsid w:val="0064100D"/>
    <w:rsid w:val="00642203"/>
    <w:rsid w:val="00645EEF"/>
    <w:rsid w:val="00646ABE"/>
    <w:rsid w:val="006806CC"/>
    <w:rsid w:val="006A0230"/>
    <w:rsid w:val="006C35F1"/>
    <w:rsid w:val="006C4542"/>
    <w:rsid w:val="006D7839"/>
    <w:rsid w:val="006E1CF6"/>
    <w:rsid w:val="006F1958"/>
    <w:rsid w:val="006F743B"/>
    <w:rsid w:val="007018BE"/>
    <w:rsid w:val="00712483"/>
    <w:rsid w:val="0071514F"/>
    <w:rsid w:val="00726982"/>
    <w:rsid w:val="00726B85"/>
    <w:rsid w:val="00726D53"/>
    <w:rsid w:val="00740224"/>
    <w:rsid w:val="00757150"/>
    <w:rsid w:val="00770344"/>
    <w:rsid w:val="007707DB"/>
    <w:rsid w:val="00774CDB"/>
    <w:rsid w:val="0077550F"/>
    <w:rsid w:val="00781BB6"/>
    <w:rsid w:val="0079667D"/>
    <w:rsid w:val="007B2B09"/>
    <w:rsid w:val="007B45B2"/>
    <w:rsid w:val="007D0164"/>
    <w:rsid w:val="007D2682"/>
    <w:rsid w:val="007D2A99"/>
    <w:rsid w:val="007D5C7A"/>
    <w:rsid w:val="007D67AD"/>
    <w:rsid w:val="007D7D28"/>
    <w:rsid w:val="0080494A"/>
    <w:rsid w:val="008114A9"/>
    <w:rsid w:val="00825EA5"/>
    <w:rsid w:val="008365F8"/>
    <w:rsid w:val="00876E8D"/>
    <w:rsid w:val="008779C8"/>
    <w:rsid w:val="008A2A43"/>
    <w:rsid w:val="008A4F57"/>
    <w:rsid w:val="008A7CAE"/>
    <w:rsid w:val="008D093D"/>
    <w:rsid w:val="008D58BC"/>
    <w:rsid w:val="008F3631"/>
    <w:rsid w:val="00904E24"/>
    <w:rsid w:val="0091473E"/>
    <w:rsid w:val="00916FF6"/>
    <w:rsid w:val="009212B3"/>
    <w:rsid w:val="0094428C"/>
    <w:rsid w:val="0095617D"/>
    <w:rsid w:val="00957FC8"/>
    <w:rsid w:val="00964B81"/>
    <w:rsid w:val="00971CEC"/>
    <w:rsid w:val="00982733"/>
    <w:rsid w:val="00983410"/>
    <w:rsid w:val="00991D92"/>
    <w:rsid w:val="009B2535"/>
    <w:rsid w:val="009C153B"/>
    <w:rsid w:val="009C383A"/>
    <w:rsid w:val="009D0309"/>
    <w:rsid w:val="009D1A5B"/>
    <w:rsid w:val="009D47E6"/>
    <w:rsid w:val="009E4B3E"/>
    <w:rsid w:val="009F5AE4"/>
    <w:rsid w:val="009F68C7"/>
    <w:rsid w:val="009F6EAA"/>
    <w:rsid w:val="00A07FEB"/>
    <w:rsid w:val="00A106ED"/>
    <w:rsid w:val="00A169E3"/>
    <w:rsid w:val="00A20293"/>
    <w:rsid w:val="00A231A8"/>
    <w:rsid w:val="00A27828"/>
    <w:rsid w:val="00A324A3"/>
    <w:rsid w:val="00A32B8A"/>
    <w:rsid w:val="00A45206"/>
    <w:rsid w:val="00A4560A"/>
    <w:rsid w:val="00A527CA"/>
    <w:rsid w:val="00A62C98"/>
    <w:rsid w:val="00A730AB"/>
    <w:rsid w:val="00A77F6A"/>
    <w:rsid w:val="00A8092B"/>
    <w:rsid w:val="00A80AB3"/>
    <w:rsid w:val="00A8214A"/>
    <w:rsid w:val="00A85A00"/>
    <w:rsid w:val="00A9043A"/>
    <w:rsid w:val="00A9782B"/>
    <w:rsid w:val="00AA0B10"/>
    <w:rsid w:val="00AB1005"/>
    <w:rsid w:val="00AC7238"/>
    <w:rsid w:val="00AD6BEC"/>
    <w:rsid w:val="00AE4B47"/>
    <w:rsid w:val="00AF1A81"/>
    <w:rsid w:val="00B007F4"/>
    <w:rsid w:val="00B03C43"/>
    <w:rsid w:val="00B10135"/>
    <w:rsid w:val="00B238A0"/>
    <w:rsid w:val="00B37C7B"/>
    <w:rsid w:val="00B43CF9"/>
    <w:rsid w:val="00B45952"/>
    <w:rsid w:val="00B66DA8"/>
    <w:rsid w:val="00B81FB8"/>
    <w:rsid w:val="00B83D46"/>
    <w:rsid w:val="00B96BB4"/>
    <w:rsid w:val="00BA15BD"/>
    <w:rsid w:val="00BA5E14"/>
    <w:rsid w:val="00BA6C88"/>
    <w:rsid w:val="00BA6E14"/>
    <w:rsid w:val="00BB31DC"/>
    <w:rsid w:val="00BC0D03"/>
    <w:rsid w:val="00BD05B2"/>
    <w:rsid w:val="00BE17E4"/>
    <w:rsid w:val="00C13DDA"/>
    <w:rsid w:val="00C1407F"/>
    <w:rsid w:val="00C147B7"/>
    <w:rsid w:val="00C14B2F"/>
    <w:rsid w:val="00C3209A"/>
    <w:rsid w:val="00C36214"/>
    <w:rsid w:val="00C51C48"/>
    <w:rsid w:val="00C600B7"/>
    <w:rsid w:val="00C72887"/>
    <w:rsid w:val="00C745A0"/>
    <w:rsid w:val="00C77CAD"/>
    <w:rsid w:val="00C8177A"/>
    <w:rsid w:val="00CA07EB"/>
    <w:rsid w:val="00CA2849"/>
    <w:rsid w:val="00CB1AE3"/>
    <w:rsid w:val="00CB2E4F"/>
    <w:rsid w:val="00CC01DA"/>
    <w:rsid w:val="00CE2056"/>
    <w:rsid w:val="00D071BD"/>
    <w:rsid w:val="00D1713C"/>
    <w:rsid w:val="00D222C6"/>
    <w:rsid w:val="00D34D58"/>
    <w:rsid w:val="00D35CD5"/>
    <w:rsid w:val="00D54E2B"/>
    <w:rsid w:val="00D866AA"/>
    <w:rsid w:val="00D90CC8"/>
    <w:rsid w:val="00DA075D"/>
    <w:rsid w:val="00DA486E"/>
    <w:rsid w:val="00DB57B0"/>
    <w:rsid w:val="00DB7859"/>
    <w:rsid w:val="00DC293F"/>
    <w:rsid w:val="00DD3261"/>
    <w:rsid w:val="00DD5F01"/>
    <w:rsid w:val="00DE103C"/>
    <w:rsid w:val="00E0397E"/>
    <w:rsid w:val="00E06F14"/>
    <w:rsid w:val="00E10B76"/>
    <w:rsid w:val="00E10F2A"/>
    <w:rsid w:val="00E161EB"/>
    <w:rsid w:val="00E45B51"/>
    <w:rsid w:val="00E6262C"/>
    <w:rsid w:val="00E657B9"/>
    <w:rsid w:val="00E67680"/>
    <w:rsid w:val="00E71298"/>
    <w:rsid w:val="00E74955"/>
    <w:rsid w:val="00E851D0"/>
    <w:rsid w:val="00EA55EE"/>
    <w:rsid w:val="00ED4B69"/>
    <w:rsid w:val="00ED7374"/>
    <w:rsid w:val="00EE4FC8"/>
    <w:rsid w:val="00EF0B42"/>
    <w:rsid w:val="00EF2870"/>
    <w:rsid w:val="00EF5FD9"/>
    <w:rsid w:val="00F13590"/>
    <w:rsid w:val="00F14BCF"/>
    <w:rsid w:val="00F2181F"/>
    <w:rsid w:val="00F2253D"/>
    <w:rsid w:val="00F37E62"/>
    <w:rsid w:val="00F43A4A"/>
    <w:rsid w:val="00F479EC"/>
    <w:rsid w:val="00F51281"/>
    <w:rsid w:val="00F55B19"/>
    <w:rsid w:val="00F57668"/>
    <w:rsid w:val="00F712D8"/>
    <w:rsid w:val="00F9507D"/>
    <w:rsid w:val="00FB1F28"/>
    <w:rsid w:val="00FB2075"/>
    <w:rsid w:val="00FB3B67"/>
    <w:rsid w:val="00FC1365"/>
    <w:rsid w:val="00FC3043"/>
    <w:rsid w:val="00FD37F2"/>
    <w:rsid w:val="00FF2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CC8"/>
    <w:pPr>
      <w:spacing w:after="120"/>
    </w:pPr>
    <w:rPr>
      <w:sz w:val="24"/>
      <w:szCs w:val="24"/>
    </w:rPr>
  </w:style>
  <w:style w:type="paragraph" w:styleId="Heading1">
    <w:name w:val="heading 1"/>
    <w:basedOn w:val="Normal"/>
    <w:next w:val="Normal"/>
    <w:qFormat/>
    <w:rsid w:val="00DA075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DA075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Quote">
    <w:name w:val="LongQuote"/>
    <w:basedOn w:val="Normal"/>
    <w:rsid w:val="00076997"/>
    <w:pPr>
      <w:ind w:left="432" w:right="576"/>
    </w:pPr>
    <w:rPr>
      <w:sz w:val="20"/>
    </w:rPr>
  </w:style>
  <w:style w:type="paragraph" w:customStyle="1" w:styleId="PaperTitle">
    <w:name w:val="PaperTitle"/>
    <w:basedOn w:val="Heading1"/>
    <w:rsid w:val="00DA075D"/>
    <w:rPr>
      <w:rFonts w:ascii="Times New Roman" w:hAnsi="Times New Roman"/>
    </w:rPr>
  </w:style>
  <w:style w:type="paragraph" w:customStyle="1" w:styleId="Author">
    <w:name w:val="Author"/>
    <w:basedOn w:val="Heading3"/>
    <w:rsid w:val="00DA075D"/>
    <w:rPr>
      <w:rFonts w:ascii="Times New Roman" w:hAnsi="Times New Roman"/>
      <w:b w:val="0"/>
    </w:rPr>
  </w:style>
  <w:style w:type="paragraph" w:customStyle="1" w:styleId="PaperText">
    <w:name w:val="Paper Text"/>
    <w:basedOn w:val="BodyText"/>
    <w:rsid w:val="006A0230"/>
  </w:style>
  <w:style w:type="paragraph" w:styleId="BodyText">
    <w:name w:val="Body Text"/>
    <w:basedOn w:val="Normal"/>
    <w:link w:val="BodyTextChar"/>
    <w:rsid w:val="006A0230"/>
  </w:style>
  <w:style w:type="paragraph" w:customStyle="1" w:styleId="Subsection">
    <w:name w:val="Subsection"/>
    <w:basedOn w:val="Normal"/>
    <w:next w:val="PaperText"/>
    <w:rsid w:val="00CA07EB"/>
    <w:rPr>
      <w:i/>
      <w:sz w:val="22"/>
    </w:rPr>
  </w:style>
  <w:style w:type="paragraph" w:customStyle="1" w:styleId="Reference">
    <w:name w:val="Reference"/>
    <w:basedOn w:val="Normal"/>
    <w:rsid w:val="00BA6E14"/>
    <w:pPr>
      <w:ind w:left="720" w:hanging="720"/>
    </w:pPr>
  </w:style>
  <w:style w:type="paragraph" w:customStyle="1" w:styleId="Section">
    <w:name w:val="Section"/>
    <w:basedOn w:val="Normal"/>
    <w:rsid w:val="004C4CE0"/>
    <w:pPr>
      <w:numPr>
        <w:numId w:val="1"/>
      </w:numPr>
    </w:pPr>
    <w:rPr>
      <w:i/>
      <w:iCs/>
    </w:rPr>
  </w:style>
  <w:style w:type="paragraph" w:styleId="Header">
    <w:name w:val="header"/>
    <w:basedOn w:val="Normal"/>
    <w:rsid w:val="00D90CC8"/>
    <w:pPr>
      <w:tabs>
        <w:tab w:val="center" w:pos="4320"/>
        <w:tab w:val="right" w:pos="8640"/>
      </w:tabs>
    </w:pPr>
  </w:style>
  <w:style w:type="paragraph" w:styleId="Footer">
    <w:name w:val="footer"/>
    <w:basedOn w:val="Normal"/>
    <w:rsid w:val="00D90CC8"/>
    <w:pPr>
      <w:tabs>
        <w:tab w:val="center" w:pos="4320"/>
        <w:tab w:val="right" w:pos="8640"/>
      </w:tabs>
    </w:pPr>
  </w:style>
  <w:style w:type="character" w:styleId="PageNumber">
    <w:name w:val="page number"/>
    <w:basedOn w:val="DefaultParagraphFont"/>
    <w:rsid w:val="00D90CC8"/>
  </w:style>
  <w:style w:type="character" w:customStyle="1" w:styleId="BodyTextChar">
    <w:name w:val="Body Text Char"/>
    <w:basedOn w:val="DefaultParagraphFont"/>
    <w:link w:val="BodyText"/>
    <w:locked/>
    <w:rsid w:val="005242DC"/>
    <w:rPr>
      <w:sz w:val="24"/>
      <w:szCs w:val="24"/>
      <w:lang w:val="en-US" w:eastAsia="en-US" w:bidi="ar-SA"/>
    </w:rPr>
  </w:style>
  <w:style w:type="character" w:styleId="CommentReference">
    <w:name w:val="annotation reference"/>
    <w:basedOn w:val="DefaultParagraphFont"/>
    <w:semiHidden/>
    <w:rsid w:val="005242DC"/>
    <w:rPr>
      <w:rFonts w:cs="Times New Roman"/>
      <w:sz w:val="16"/>
      <w:szCs w:val="16"/>
    </w:rPr>
  </w:style>
  <w:style w:type="paragraph" w:styleId="CommentText">
    <w:name w:val="annotation text"/>
    <w:basedOn w:val="Normal"/>
    <w:link w:val="CommentTextChar"/>
    <w:semiHidden/>
    <w:rsid w:val="005242DC"/>
    <w:pPr>
      <w:spacing w:after="0"/>
    </w:pPr>
    <w:rPr>
      <w:sz w:val="20"/>
      <w:szCs w:val="20"/>
    </w:rPr>
  </w:style>
  <w:style w:type="character" w:customStyle="1" w:styleId="CommentTextChar">
    <w:name w:val="Comment Text Char"/>
    <w:basedOn w:val="DefaultParagraphFont"/>
    <w:link w:val="CommentText"/>
    <w:semiHidden/>
    <w:locked/>
    <w:rsid w:val="005242DC"/>
    <w:rPr>
      <w:lang w:val="en-US" w:eastAsia="en-US" w:bidi="ar-SA"/>
    </w:rPr>
  </w:style>
  <w:style w:type="paragraph" w:styleId="PlainText">
    <w:name w:val="Plain Text"/>
    <w:basedOn w:val="Normal"/>
    <w:rsid w:val="005242DC"/>
    <w:pPr>
      <w:spacing w:after="0"/>
    </w:pPr>
    <w:rPr>
      <w:rFonts w:ascii="Courier New" w:hAnsi="Courier New" w:cs="Wingdings"/>
      <w:sz w:val="20"/>
      <w:szCs w:val="20"/>
    </w:rPr>
  </w:style>
  <w:style w:type="paragraph" w:styleId="FootnoteText">
    <w:name w:val="footnote text"/>
    <w:basedOn w:val="Normal"/>
    <w:semiHidden/>
    <w:rsid w:val="00C51C48"/>
    <w:rPr>
      <w:sz w:val="20"/>
      <w:szCs w:val="20"/>
    </w:rPr>
  </w:style>
  <w:style w:type="character" w:styleId="FootnoteReference">
    <w:name w:val="footnote reference"/>
    <w:basedOn w:val="DefaultParagraphFont"/>
    <w:semiHidden/>
    <w:rsid w:val="00C51C48"/>
    <w:rPr>
      <w:vertAlign w:val="superscript"/>
    </w:rPr>
  </w:style>
  <w:style w:type="table" w:styleId="TableGrid">
    <w:name w:val="Table Grid"/>
    <w:basedOn w:val="TableNormal"/>
    <w:rsid w:val="00FD37F2"/>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3B7299"/>
    <w:pPr>
      <w:spacing w:after="0"/>
    </w:pPr>
    <w:rPr>
      <w:rFonts w:ascii="Tahoma" w:hAnsi="Tahoma" w:cs="Tahoma"/>
      <w:sz w:val="16"/>
      <w:szCs w:val="16"/>
    </w:rPr>
  </w:style>
  <w:style w:type="character" w:customStyle="1" w:styleId="BalloonTextChar">
    <w:name w:val="Balloon Text Char"/>
    <w:basedOn w:val="DefaultParagraphFont"/>
    <w:link w:val="BalloonText"/>
    <w:rsid w:val="003B7299"/>
    <w:rPr>
      <w:rFonts w:ascii="Tahoma" w:hAnsi="Tahoma" w:cs="Tahoma"/>
      <w:sz w:val="16"/>
      <w:szCs w:val="16"/>
    </w:rPr>
  </w:style>
  <w:style w:type="character" w:styleId="Hyperlink">
    <w:name w:val="Hyperlink"/>
    <w:basedOn w:val="DefaultParagraphFont"/>
    <w:rsid w:val="003D523D"/>
    <w:rPr>
      <w:color w:val="0000FF" w:themeColor="hyperlink"/>
      <w:u w:val="single"/>
    </w:rPr>
  </w:style>
  <w:style w:type="paragraph" w:styleId="NoSpacing">
    <w:name w:val="No Spacing"/>
    <w:link w:val="NoSpacingChar"/>
    <w:uiPriority w:val="1"/>
    <w:qFormat/>
    <w:rsid w:val="00D35CD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35CD5"/>
    <w:rPr>
      <w:rFonts w:asciiTheme="minorHAnsi" w:eastAsiaTheme="minorEastAsia" w:hAnsiTheme="minorHAnsi" w:cstheme="minorBidi"/>
      <w:sz w:val="22"/>
      <w:szCs w:val="22"/>
    </w:rPr>
  </w:style>
  <w:style w:type="paragraph" w:styleId="CommentSubject">
    <w:name w:val="annotation subject"/>
    <w:basedOn w:val="CommentText"/>
    <w:next w:val="CommentText"/>
    <w:link w:val="CommentSubjectChar"/>
    <w:rsid w:val="00A527CA"/>
    <w:pPr>
      <w:spacing w:after="120"/>
    </w:pPr>
    <w:rPr>
      <w:b/>
      <w:bCs/>
    </w:rPr>
  </w:style>
  <w:style w:type="character" w:customStyle="1" w:styleId="CommentSubjectChar">
    <w:name w:val="Comment Subject Char"/>
    <w:basedOn w:val="CommentTextChar"/>
    <w:link w:val="CommentSubject"/>
    <w:rsid w:val="00A527CA"/>
    <w:rPr>
      <w:b/>
      <w:bCs/>
    </w:rPr>
  </w:style>
</w:styles>
</file>

<file path=word/webSettings.xml><?xml version="1.0" encoding="utf-8"?>
<w:webSettings xmlns:r="http://schemas.openxmlformats.org/officeDocument/2006/relationships" xmlns:w="http://schemas.openxmlformats.org/wordprocessingml/2006/main">
  <w:divs>
    <w:div w:id="763452855">
      <w:bodyDiv w:val="1"/>
      <w:marLeft w:val="0"/>
      <w:marRight w:val="0"/>
      <w:marTop w:val="0"/>
      <w:marBottom w:val="0"/>
      <w:divBdr>
        <w:top w:val="none" w:sz="0" w:space="0" w:color="auto"/>
        <w:left w:val="none" w:sz="0" w:space="0" w:color="auto"/>
        <w:bottom w:val="none" w:sz="0" w:space="0" w:color="auto"/>
        <w:right w:val="none" w:sz="0" w:space="0" w:color="auto"/>
      </w:divBdr>
    </w:div>
    <w:div w:id="868688716">
      <w:bodyDiv w:val="1"/>
      <w:marLeft w:val="0"/>
      <w:marRight w:val="0"/>
      <w:marTop w:val="0"/>
      <w:marBottom w:val="0"/>
      <w:divBdr>
        <w:top w:val="none" w:sz="0" w:space="0" w:color="auto"/>
        <w:left w:val="none" w:sz="0" w:space="0" w:color="auto"/>
        <w:bottom w:val="none" w:sz="0" w:space="0" w:color="auto"/>
        <w:right w:val="none" w:sz="0" w:space="0" w:color="auto"/>
      </w:divBdr>
    </w:div>
    <w:div w:id="881018937">
      <w:bodyDiv w:val="1"/>
      <w:marLeft w:val="0"/>
      <w:marRight w:val="0"/>
      <w:marTop w:val="0"/>
      <w:marBottom w:val="0"/>
      <w:divBdr>
        <w:top w:val="none" w:sz="0" w:space="0" w:color="auto"/>
        <w:left w:val="none" w:sz="0" w:space="0" w:color="auto"/>
        <w:bottom w:val="none" w:sz="0" w:space="0" w:color="auto"/>
        <w:right w:val="none" w:sz="0" w:space="0" w:color="auto"/>
      </w:divBdr>
    </w:div>
    <w:div w:id="1260718296">
      <w:bodyDiv w:val="1"/>
      <w:marLeft w:val="0"/>
      <w:marRight w:val="0"/>
      <w:marTop w:val="0"/>
      <w:marBottom w:val="0"/>
      <w:divBdr>
        <w:top w:val="none" w:sz="0" w:space="0" w:color="auto"/>
        <w:left w:val="none" w:sz="0" w:space="0" w:color="auto"/>
        <w:bottom w:val="none" w:sz="0" w:space="0" w:color="auto"/>
        <w:right w:val="none" w:sz="0" w:space="0" w:color="auto"/>
      </w:divBdr>
    </w:div>
    <w:div w:id="1798059434">
      <w:bodyDiv w:val="1"/>
      <w:marLeft w:val="0"/>
      <w:marRight w:val="0"/>
      <w:marTop w:val="0"/>
      <w:marBottom w:val="0"/>
      <w:divBdr>
        <w:top w:val="none" w:sz="0" w:space="0" w:color="auto"/>
        <w:left w:val="none" w:sz="0" w:space="0" w:color="auto"/>
        <w:bottom w:val="none" w:sz="0" w:space="0" w:color="auto"/>
        <w:right w:val="none" w:sz="0" w:space="0" w:color="auto"/>
      </w:divBdr>
    </w:div>
    <w:div w:id="206158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image" Target="media/image7.wmf"/><Relationship Id="rId34" Type="http://schemas.openxmlformats.org/officeDocument/2006/relationships/image" Target="media/image19.emf"/><Relationship Id="rId42" Type="http://schemas.openxmlformats.org/officeDocument/2006/relationships/oleObject" Target="embeddings/Microsoft_Office_Excel_97-2003_Worksheet1.xls"/><Relationship Id="rId47" Type="http://schemas.openxmlformats.org/officeDocument/2006/relationships/image" Target="media/image28.wmf"/><Relationship Id="rId50" Type="http://schemas.openxmlformats.org/officeDocument/2006/relationships/oleObject" Target="embeddings/oleObject10.bin"/><Relationship Id="rId55" Type="http://schemas.openxmlformats.org/officeDocument/2006/relationships/hyperlink" Target="http://www.inforum.umd.edu/papers/wp/wp/2001/wp01002.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emf"/><Relationship Id="rId41" Type="http://schemas.openxmlformats.org/officeDocument/2006/relationships/image" Target="media/image25.emf"/><Relationship Id="rId54" Type="http://schemas.openxmlformats.org/officeDocument/2006/relationships/hyperlink" Target="http://www.inforum.umd.edu/papers/publishedwork/articles/esr91-0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footer" Target="footer2.xml"/><Relationship Id="rId45" Type="http://schemas.openxmlformats.org/officeDocument/2006/relationships/image" Target="media/image27.wmf"/><Relationship Id="rId53" Type="http://schemas.openxmlformats.org/officeDocument/2006/relationships/hyperlink" Target="http://www.inforum.umd.edu/papers/wp/wp/1995/wp95006.pdf" TargetMode="External"/><Relationship Id="rId58" Type="http://schemas.openxmlformats.org/officeDocument/2006/relationships/hyperlink" Target="http://www.electrificationcoalition.org/media/EC_ImpactReport.pdf"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image" Target="media/image29.wmf"/><Relationship Id="rId57" Type="http://schemas.openxmlformats.org/officeDocument/2006/relationships/hyperlink" Target="http://www.secureenergy.org/sites/default/files/990_ESLC-Impact-Report.pdf" TargetMode="External"/><Relationship Id="rId61"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6.wmf"/><Relationship Id="rId31" Type="http://schemas.openxmlformats.org/officeDocument/2006/relationships/image" Target="media/image16.emf"/><Relationship Id="rId44" Type="http://schemas.openxmlformats.org/officeDocument/2006/relationships/oleObject" Target="embeddings/oleObject7.bin"/><Relationship Id="rId52" Type="http://schemas.openxmlformats.org/officeDocument/2006/relationships/hyperlink" Target="http://businessroundtable.org/uploads/studies-reports/downloads/200906_The_Balancing_Act_FINAL_1.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6.wmf"/><Relationship Id="rId48" Type="http://schemas.openxmlformats.org/officeDocument/2006/relationships/oleObject" Target="embeddings/oleObject9.bin"/><Relationship Id="rId56" Type="http://schemas.openxmlformats.org/officeDocument/2006/relationships/hyperlink" Target="http://www.inforum.umd.edu/papers/publishedwork/articles/esr91-04.pdf" TargetMode="External"/><Relationship Id="rId8" Type="http://schemas.openxmlformats.org/officeDocument/2006/relationships/header" Target="header1.xml"/><Relationship Id="rId51" Type="http://schemas.openxmlformats.org/officeDocument/2006/relationships/image" Target="media/image30.e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 Id="rId46" Type="http://schemas.openxmlformats.org/officeDocument/2006/relationships/oleObject" Target="embeddings/oleObject8.bin"/><Relationship Id="rId59" Type="http://schemas.openxmlformats.org/officeDocument/2006/relationships/hyperlink" Target="http://www.inforum.umd.edu/papers/publishedwork/dissertations/y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B2D9D-CBF7-4892-BD19-ADF34A6A2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38</Pages>
  <Words>11839</Words>
  <Characters>67486</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Inforum</Company>
  <LinksUpToDate>false</LinksUpToDate>
  <CharactersWithSpaces>79167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S. Meade</dc:creator>
  <cp:lastModifiedBy>Douglas S. Meade</cp:lastModifiedBy>
  <cp:revision>29</cp:revision>
  <cp:lastPrinted>2011-04-15T13:49:00Z</cp:lastPrinted>
  <dcterms:created xsi:type="dcterms:W3CDTF">2011-04-20T14:43:00Z</dcterms:created>
  <dcterms:modified xsi:type="dcterms:W3CDTF">2011-04-29T17:19:00Z</dcterms:modified>
</cp:coreProperties>
</file>