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87C" w:rsidRPr="00876C0E" w:rsidRDefault="0080487C" w:rsidP="0080487C">
      <w:pPr>
        <w:spacing w:line="480" w:lineRule="auto"/>
        <w:jc w:val="center"/>
        <w:rPr>
          <w:b/>
          <w:sz w:val="26"/>
        </w:rPr>
      </w:pPr>
      <w:r w:rsidRPr="00876C0E">
        <w:rPr>
          <w:b/>
          <w:sz w:val="26"/>
        </w:rPr>
        <w:t>Can Natural Gas Substitution in Transportation Sector Reduce Green House Gases (GHGs) Significantly: An Input-Output Analysis</w:t>
      </w:r>
    </w:p>
    <w:p w:rsidR="0080487C" w:rsidRPr="00174DBB" w:rsidRDefault="0080487C" w:rsidP="0080487C">
      <w:pPr>
        <w:spacing w:line="480" w:lineRule="auto"/>
        <w:jc w:val="center"/>
        <w:rPr>
          <w:b/>
        </w:rPr>
      </w:pPr>
      <w:r>
        <w:rPr>
          <w:b/>
        </w:rPr>
        <w:t>Niaz Ahmed Bhutto, Selim Cagatay &amp; Nisar Ahmed Siddiqui</w:t>
      </w:r>
    </w:p>
    <w:p w:rsidR="0080487C" w:rsidRPr="00174DBB" w:rsidRDefault="0080487C" w:rsidP="0080487C">
      <w:pPr>
        <w:spacing w:line="480" w:lineRule="auto"/>
      </w:pPr>
      <w:r>
        <w:t>Niaz Ahmed Bhutto is an Associate</w:t>
      </w:r>
      <w:r w:rsidRPr="00174DBB">
        <w:t xml:space="preserve"> Professor in the Sukkur Institute of Business Administration, </w:t>
      </w:r>
      <w:smartTag w:uri="urn:schemas-microsoft-com:office:smarttags" w:element="country-region">
        <w:smartTag w:uri="urn:schemas-microsoft-com:office:smarttags" w:element="place">
          <w:r w:rsidRPr="00174DBB">
            <w:t>Pakistan</w:t>
          </w:r>
        </w:smartTag>
      </w:smartTag>
      <w:r w:rsidRPr="00174DBB">
        <w:t>.</w:t>
      </w:r>
    </w:p>
    <w:p w:rsidR="0080487C" w:rsidRPr="00174DBB" w:rsidRDefault="0080487C" w:rsidP="0080487C">
      <w:pPr>
        <w:spacing w:line="480" w:lineRule="auto"/>
      </w:pPr>
      <w:r w:rsidRPr="00174DBB">
        <w:t xml:space="preserve">Selim Cagatay is an Associate Professor in the Economics Department of Akdeniz University, </w:t>
      </w:r>
      <w:smartTag w:uri="urn:schemas-microsoft-com:office:smarttags" w:element="country-region">
        <w:smartTag w:uri="urn:schemas-microsoft-com:office:smarttags" w:element="place">
          <w:r w:rsidRPr="00174DBB">
            <w:t>Turkey</w:t>
          </w:r>
        </w:smartTag>
      </w:smartTag>
      <w:r w:rsidRPr="00174DBB">
        <w:t>.</w:t>
      </w:r>
    </w:p>
    <w:p w:rsidR="0080487C" w:rsidRPr="00174DBB" w:rsidRDefault="0080487C" w:rsidP="0080487C">
      <w:pPr>
        <w:spacing w:line="480" w:lineRule="auto"/>
      </w:pPr>
      <w:r>
        <w:t>Nisar</w:t>
      </w:r>
      <w:r w:rsidRPr="00174DBB">
        <w:t xml:space="preserve"> Ahmed </w:t>
      </w:r>
      <w:r>
        <w:t>Siddiqui</w:t>
      </w:r>
      <w:r w:rsidRPr="00174DBB">
        <w:t xml:space="preserve"> is </w:t>
      </w:r>
      <w:r>
        <w:t>Director &amp;</w:t>
      </w:r>
      <w:r w:rsidRPr="00174DBB">
        <w:t xml:space="preserve"> Professor in the Sukkur Institute of Business Administration, </w:t>
      </w:r>
      <w:smartTag w:uri="urn:schemas-microsoft-com:office:smarttags" w:element="country-region">
        <w:smartTag w:uri="urn:schemas-microsoft-com:office:smarttags" w:element="place">
          <w:r w:rsidRPr="00174DBB">
            <w:t>Pakistan</w:t>
          </w:r>
        </w:smartTag>
      </w:smartTag>
      <w:r w:rsidRPr="00174DBB">
        <w:t>.</w:t>
      </w:r>
    </w:p>
    <w:p w:rsidR="0080487C" w:rsidRPr="00174DBB" w:rsidRDefault="0080487C" w:rsidP="0080487C">
      <w:pPr>
        <w:spacing w:line="480" w:lineRule="auto"/>
        <w:rPr>
          <w:b/>
        </w:rPr>
      </w:pPr>
      <w:r w:rsidRPr="00174DBB">
        <w:rPr>
          <w:b/>
        </w:rPr>
        <w:t>Addresses:</w:t>
      </w:r>
    </w:p>
    <w:p w:rsidR="0080487C" w:rsidRPr="00174DBB" w:rsidRDefault="0080487C" w:rsidP="0080487C">
      <w:pPr>
        <w:spacing w:line="480" w:lineRule="auto"/>
      </w:pPr>
      <w:r w:rsidRPr="00174DBB">
        <w:t xml:space="preserve">Niaz Ahmed Bhutto- Sukkur Institute of Business Administration, </w:t>
      </w:r>
      <w:smartTag w:uri="urn:schemas-microsoft-com:office:smarttags" w:element="address">
        <w:smartTag w:uri="urn:schemas-microsoft-com:office:smarttags" w:element="Street">
          <w:r w:rsidRPr="00174DBB">
            <w:t>Airport Road</w:t>
          </w:r>
        </w:smartTag>
        <w:r w:rsidRPr="00174DBB">
          <w:t xml:space="preserve"> </w:t>
        </w:r>
        <w:smartTag w:uri="urn:schemas-microsoft-com:office:smarttags" w:element="City">
          <w:r w:rsidRPr="00174DBB">
            <w:t>Sukkur</w:t>
          </w:r>
        </w:smartTag>
        <w:r w:rsidRPr="00174DBB">
          <w:t xml:space="preserve"> </w:t>
        </w:r>
        <w:smartTag w:uri="urn:schemas-microsoft-com:office:smarttags" w:element="PostalCode">
          <w:r w:rsidRPr="00174DBB">
            <w:t>65200</w:t>
          </w:r>
        </w:smartTag>
      </w:smartTag>
      <w:r w:rsidRPr="00174DBB">
        <w:t xml:space="preserve"> </w:t>
      </w:r>
      <w:smartTag w:uri="urn:schemas-microsoft-com:office:smarttags" w:element="place">
        <w:smartTag w:uri="urn:schemas-microsoft-com:office:smarttags" w:element="City">
          <w:r w:rsidRPr="00174DBB">
            <w:t>Sindh</w:t>
          </w:r>
        </w:smartTag>
        <w:r w:rsidRPr="00174DBB">
          <w:t xml:space="preserve">, </w:t>
        </w:r>
        <w:smartTag w:uri="urn:schemas-microsoft-com:office:smarttags" w:element="country-region">
          <w:r w:rsidRPr="00174DBB">
            <w:t>Pakistan</w:t>
          </w:r>
        </w:smartTag>
      </w:smartTag>
      <w:r w:rsidRPr="00174DBB">
        <w:t>. </w:t>
      </w:r>
    </w:p>
    <w:p w:rsidR="0080487C" w:rsidRPr="00174DBB" w:rsidRDefault="0080487C" w:rsidP="0080487C">
      <w:pPr>
        <w:spacing w:line="480" w:lineRule="auto"/>
      </w:pPr>
      <w:bookmarkStart w:id="0" w:name="OLE_LINK1"/>
      <w:bookmarkStart w:id="1" w:name="OLE_LINK2"/>
      <w:smartTag w:uri="urn:schemas-microsoft-com:office:smarttags" w:element="place">
        <w:smartTag w:uri="urn:schemas-microsoft-com:office:smarttags" w:element="PlaceName">
          <w:r w:rsidRPr="00174DBB">
            <w:t>Selim</w:t>
          </w:r>
        </w:smartTag>
        <w:r w:rsidRPr="00174DBB">
          <w:t xml:space="preserve"> </w:t>
        </w:r>
        <w:smartTag w:uri="urn:schemas-microsoft-com:office:smarttags" w:element="PlaceName">
          <w:r w:rsidRPr="00174DBB">
            <w:t>Cagatay-</w:t>
          </w:r>
        </w:smartTag>
        <w:r w:rsidRPr="00174DBB">
          <w:t xml:space="preserve"> </w:t>
        </w:r>
        <w:smartTag w:uri="urn:schemas-microsoft-com:office:smarttags" w:element="PlaceName">
          <w:r w:rsidRPr="00174DBB">
            <w:t>Akdeniz</w:t>
          </w:r>
        </w:smartTag>
        <w:r w:rsidRPr="00174DBB">
          <w:t xml:space="preserve"> </w:t>
        </w:r>
        <w:smartTag w:uri="urn:schemas-microsoft-com:office:smarttags" w:element="PlaceType">
          <w:r w:rsidRPr="00174DBB">
            <w:t>University</w:t>
          </w:r>
        </w:smartTag>
      </w:smartTag>
      <w:r w:rsidRPr="00174DBB">
        <w:t xml:space="preserve">, Department of Economics, Dumlupinar caddesi, 07058 </w:t>
      </w:r>
      <w:smartTag w:uri="urn:schemas-microsoft-com:office:smarttags" w:element="place">
        <w:smartTag w:uri="urn:schemas-microsoft-com:office:smarttags" w:element="City">
          <w:r w:rsidRPr="00174DBB">
            <w:t>Antalya</w:t>
          </w:r>
        </w:smartTag>
        <w:r w:rsidRPr="00174DBB">
          <w:t xml:space="preserve">, </w:t>
        </w:r>
        <w:smartTag w:uri="urn:schemas-microsoft-com:office:smarttags" w:element="country-region">
          <w:r w:rsidRPr="00174DBB">
            <w:t>Turkey</w:t>
          </w:r>
        </w:smartTag>
      </w:smartTag>
      <w:r w:rsidRPr="00174DBB">
        <w:t>.</w:t>
      </w:r>
    </w:p>
    <w:bookmarkEnd w:id="0"/>
    <w:bookmarkEnd w:id="1"/>
    <w:p w:rsidR="0080487C" w:rsidRPr="00174DBB" w:rsidRDefault="0080487C" w:rsidP="0080487C">
      <w:pPr>
        <w:spacing w:line="480" w:lineRule="auto"/>
      </w:pPr>
      <w:r>
        <w:t>Nisar</w:t>
      </w:r>
      <w:r w:rsidRPr="00174DBB">
        <w:t xml:space="preserve"> Ahmed </w:t>
      </w:r>
      <w:r>
        <w:t>Siddiqui</w:t>
      </w:r>
      <w:r w:rsidRPr="00174DBB">
        <w:t xml:space="preserve"> - Sukkur </w:t>
      </w:r>
      <w:smartTag w:uri="urn:schemas-microsoft-com:office:smarttags" w:element="place">
        <w:smartTag w:uri="urn:schemas-microsoft-com:office:smarttags" w:element="PlaceType">
          <w:r w:rsidRPr="00174DBB">
            <w:t>Institute</w:t>
          </w:r>
        </w:smartTag>
        <w:r w:rsidRPr="00174DBB">
          <w:t xml:space="preserve"> of </w:t>
        </w:r>
        <w:smartTag w:uri="urn:schemas-microsoft-com:office:smarttags" w:element="PlaceName">
          <w:r w:rsidRPr="00174DBB">
            <w:t>Business Administration</w:t>
          </w:r>
        </w:smartTag>
      </w:smartTag>
      <w:r w:rsidRPr="00174DBB">
        <w:t xml:space="preserve">, </w:t>
      </w:r>
      <w:smartTag w:uri="urn:schemas-microsoft-com:office:smarttags" w:element="address">
        <w:smartTag w:uri="urn:schemas-microsoft-com:office:smarttags" w:element="Street">
          <w:r w:rsidRPr="00174DBB">
            <w:t>Airport Road</w:t>
          </w:r>
        </w:smartTag>
        <w:r w:rsidRPr="00174DBB">
          <w:t xml:space="preserve"> </w:t>
        </w:r>
        <w:smartTag w:uri="urn:schemas-microsoft-com:office:smarttags" w:element="City">
          <w:r w:rsidRPr="00174DBB">
            <w:t>Sukkur</w:t>
          </w:r>
        </w:smartTag>
        <w:r w:rsidRPr="00174DBB">
          <w:t xml:space="preserve"> </w:t>
        </w:r>
        <w:smartTag w:uri="urn:schemas-microsoft-com:office:smarttags" w:element="PostalCode">
          <w:r w:rsidRPr="00174DBB">
            <w:t>65200</w:t>
          </w:r>
        </w:smartTag>
      </w:smartTag>
      <w:r w:rsidRPr="00174DBB">
        <w:t xml:space="preserve"> </w:t>
      </w:r>
      <w:smartTag w:uri="urn:schemas-microsoft-com:office:smarttags" w:element="place">
        <w:smartTag w:uri="urn:schemas-microsoft-com:office:smarttags" w:element="City">
          <w:r w:rsidRPr="00174DBB">
            <w:t>Sindh</w:t>
          </w:r>
        </w:smartTag>
        <w:r w:rsidRPr="00174DBB">
          <w:t xml:space="preserve">, </w:t>
        </w:r>
        <w:smartTag w:uri="urn:schemas-microsoft-com:office:smarttags" w:element="country-region">
          <w:r w:rsidRPr="00174DBB">
            <w:t>Pakistan</w:t>
          </w:r>
        </w:smartTag>
      </w:smartTag>
      <w:r w:rsidRPr="00174DBB">
        <w:t>. </w:t>
      </w:r>
    </w:p>
    <w:p w:rsidR="0080487C" w:rsidRPr="00174DBB" w:rsidRDefault="0080487C" w:rsidP="0080487C">
      <w:pPr>
        <w:spacing w:line="480" w:lineRule="auto"/>
        <w:rPr>
          <w:b/>
        </w:rPr>
      </w:pPr>
      <w:r w:rsidRPr="00174DBB">
        <w:rPr>
          <w:b/>
        </w:rPr>
        <w:t xml:space="preserve">Correspondence address: </w:t>
      </w:r>
    </w:p>
    <w:p w:rsidR="0080487C" w:rsidRPr="00174DBB" w:rsidRDefault="0080487C" w:rsidP="0080487C">
      <w:pPr>
        <w:spacing w:line="480" w:lineRule="auto"/>
      </w:pPr>
      <w:r w:rsidRPr="00174DBB">
        <w:t xml:space="preserve">Niaz Ahmed Bhutto- Sukkur Institute of Business Administration, </w:t>
      </w:r>
      <w:smartTag w:uri="urn:schemas-microsoft-com:office:smarttags" w:element="address">
        <w:smartTag w:uri="urn:schemas-microsoft-com:office:smarttags" w:element="Street">
          <w:r w:rsidRPr="00174DBB">
            <w:t>Airport Road</w:t>
          </w:r>
        </w:smartTag>
        <w:r w:rsidRPr="00174DBB">
          <w:t xml:space="preserve"> </w:t>
        </w:r>
        <w:smartTag w:uri="urn:schemas-microsoft-com:office:smarttags" w:element="City">
          <w:r w:rsidRPr="00174DBB">
            <w:t>Sukkur</w:t>
          </w:r>
        </w:smartTag>
        <w:r w:rsidRPr="00174DBB">
          <w:t xml:space="preserve"> </w:t>
        </w:r>
        <w:smartTag w:uri="urn:schemas-microsoft-com:office:smarttags" w:element="PostalCode">
          <w:r w:rsidRPr="00174DBB">
            <w:t>65200</w:t>
          </w:r>
        </w:smartTag>
      </w:smartTag>
      <w:r w:rsidRPr="00174DBB">
        <w:t xml:space="preserve"> </w:t>
      </w:r>
      <w:smartTag w:uri="urn:schemas-microsoft-com:office:smarttags" w:element="place">
        <w:smartTag w:uri="urn:schemas-microsoft-com:office:smarttags" w:element="City">
          <w:r w:rsidRPr="00174DBB">
            <w:t>Sindh</w:t>
          </w:r>
        </w:smartTag>
        <w:r w:rsidRPr="00174DBB">
          <w:t xml:space="preserve">, </w:t>
        </w:r>
        <w:smartTag w:uri="urn:schemas-microsoft-com:office:smarttags" w:element="country-region">
          <w:r w:rsidRPr="00174DBB">
            <w:t>Pakistan</w:t>
          </w:r>
        </w:smartTag>
      </w:smartTag>
      <w:r w:rsidRPr="00174DBB">
        <w:t>. </w:t>
      </w:r>
    </w:p>
    <w:p w:rsidR="0080487C" w:rsidRPr="00174DBB" w:rsidRDefault="0080487C" w:rsidP="0080487C">
      <w:pPr>
        <w:spacing w:line="480" w:lineRule="auto"/>
      </w:pPr>
      <w:r w:rsidRPr="00174DBB">
        <w:t>Fax: +92 (71) 5632465</w:t>
      </w:r>
    </w:p>
    <w:p w:rsidR="0080487C" w:rsidRDefault="0080487C" w:rsidP="0080487C">
      <w:pPr>
        <w:spacing w:line="480" w:lineRule="auto"/>
      </w:pPr>
      <w:r w:rsidRPr="00174DBB">
        <w:t>Email: niaz@</w:t>
      </w:r>
      <w:r>
        <w:t>iba-suk.edu.pk</w:t>
      </w:r>
    </w:p>
    <w:p w:rsidR="0080487C" w:rsidRDefault="0080487C" w:rsidP="0080487C">
      <w:pPr>
        <w:spacing w:line="480" w:lineRule="auto"/>
      </w:pPr>
    </w:p>
    <w:p w:rsidR="0080487C" w:rsidRDefault="0080487C" w:rsidP="0080487C">
      <w:pPr>
        <w:spacing w:line="480" w:lineRule="auto"/>
      </w:pPr>
    </w:p>
    <w:p w:rsidR="00A30341" w:rsidRPr="008B7FA9" w:rsidRDefault="00A30341" w:rsidP="00A30341">
      <w:pPr>
        <w:spacing w:line="360" w:lineRule="auto"/>
        <w:jc w:val="center"/>
        <w:rPr>
          <w:b/>
        </w:rPr>
      </w:pPr>
      <w:r w:rsidRPr="008B7FA9">
        <w:rPr>
          <w:b/>
        </w:rPr>
        <w:lastRenderedPageBreak/>
        <w:t>Abstract</w:t>
      </w:r>
    </w:p>
    <w:p w:rsidR="00A30341" w:rsidRPr="008213C4" w:rsidRDefault="00A30341" w:rsidP="00A30341">
      <w:pPr>
        <w:spacing w:line="360" w:lineRule="auto"/>
        <w:jc w:val="both"/>
      </w:pPr>
      <w:r w:rsidRPr="008213C4">
        <w:t xml:space="preserve">As Kyoto Protocol runs out in 2012, the wealthy nations have emphasized once again on the development of new climate protocol to address the reduction of GHGs emissions at various conferences of UNFCCC held at Denmark &amp; Mexico. Global warming issue is gaining crucial place in the sustainable development policies of the economically developed countries specially and Turkey as being a developing country is struggling hard to contribute somehow to bring balance among economic, social &amp; environmental goals reflected in her five year development plans. </w:t>
      </w:r>
    </w:p>
    <w:p w:rsidR="00A30341" w:rsidRPr="008213C4" w:rsidRDefault="00A30341" w:rsidP="00A30341">
      <w:pPr>
        <w:spacing w:line="360" w:lineRule="auto"/>
        <w:jc w:val="both"/>
      </w:pPr>
      <w:r w:rsidRPr="008213C4">
        <w:t xml:space="preserve">Basing on the above, this study aims to offer an alternative to Turkey that she can reduce GHGs emissions without a great loss of economic &amp; social goals. By using environmental input-output techniques, </w:t>
      </w:r>
      <w:r>
        <w:t xml:space="preserve">this study has simulated a policy scenario </w:t>
      </w:r>
      <w:r w:rsidR="001E4B84">
        <w:t xml:space="preserve">of estimating GHGs emissions for transportation sector with the existed pattern of fossil fuel consumption and with substitution of natural gas by 40 percent for each other fossil fuel type for the year 2012. </w:t>
      </w:r>
      <w:r>
        <w:t xml:space="preserve">The results show an overall reduction of three GHGs  - CO2, N20 &amp; CH4 emissions by </w:t>
      </w:r>
      <w:r w:rsidRPr="008B7FA9">
        <w:t>11.81, 8.95 &amp; 19.05 percent</w:t>
      </w:r>
      <w:r>
        <w:t xml:space="preserve"> and decline in transportation sector by </w:t>
      </w:r>
      <w:r w:rsidRPr="008B7FA9">
        <w:t>67.2, 72.31&amp; 69.99 percent for CO2, N2O &amp; CH4 respectively</w:t>
      </w:r>
      <w:r>
        <w:t xml:space="preserve">. This study strongly recommends for considering natural gas as an important policy tool for meeting the environmental goals. </w:t>
      </w:r>
    </w:p>
    <w:p w:rsidR="00A30341" w:rsidRPr="008213C4" w:rsidRDefault="00A30341" w:rsidP="00A30341">
      <w:pPr>
        <w:spacing w:line="360" w:lineRule="auto"/>
        <w:jc w:val="both"/>
      </w:pPr>
    </w:p>
    <w:p w:rsidR="00A30341" w:rsidRPr="008213C4" w:rsidRDefault="00A30341" w:rsidP="00A30341">
      <w:pPr>
        <w:spacing w:line="360" w:lineRule="auto"/>
        <w:jc w:val="both"/>
      </w:pPr>
      <w:r w:rsidRPr="00371237">
        <w:t>Keywords: Transportation Sector, GHG Emissions, Natural Gas &amp; Input-Output Model</w:t>
      </w:r>
    </w:p>
    <w:p w:rsidR="00A30341" w:rsidRDefault="00A30341" w:rsidP="0080487C">
      <w:pPr>
        <w:spacing w:line="360" w:lineRule="auto"/>
        <w:jc w:val="both"/>
        <w:rPr>
          <w:b/>
        </w:rPr>
      </w:pPr>
    </w:p>
    <w:p w:rsidR="00A30341" w:rsidRDefault="00A30341" w:rsidP="0080487C">
      <w:pPr>
        <w:spacing w:line="360" w:lineRule="auto"/>
        <w:jc w:val="both"/>
        <w:rPr>
          <w:b/>
        </w:rPr>
      </w:pPr>
    </w:p>
    <w:p w:rsidR="00A30341" w:rsidRDefault="00A30341" w:rsidP="0080487C">
      <w:pPr>
        <w:spacing w:line="360" w:lineRule="auto"/>
        <w:jc w:val="both"/>
        <w:rPr>
          <w:b/>
        </w:rPr>
      </w:pPr>
    </w:p>
    <w:p w:rsidR="00A30341" w:rsidRDefault="00A30341" w:rsidP="0080487C">
      <w:pPr>
        <w:spacing w:line="360" w:lineRule="auto"/>
        <w:jc w:val="both"/>
        <w:rPr>
          <w:b/>
        </w:rPr>
      </w:pPr>
    </w:p>
    <w:p w:rsidR="00A30341" w:rsidRDefault="00A30341" w:rsidP="0080487C">
      <w:pPr>
        <w:spacing w:line="360" w:lineRule="auto"/>
        <w:jc w:val="both"/>
        <w:rPr>
          <w:b/>
        </w:rPr>
      </w:pPr>
    </w:p>
    <w:p w:rsidR="00A30341" w:rsidRDefault="00A30341" w:rsidP="0080487C">
      <w:pPr>
        <w:spacing w:line="360" w:lineRule="auto"/>
        <w:jc w:val="both"/>
        <w:rPr>
          <w:b/>
        </w:rPr>
      </w:pPr>
    </w:p>
    <w:p w:rsidR="00A30341" w:rsidRDefault="00A30341" w:rsidP="0080487C">
      <w:pPr>
        <w:spacing w:line="360" w:lineRule="auto"/>
        <w:jc w:val="both"/>
        <w:rPr>
          <w:b/>
        </w:rPr>
      </w:pPr>
    </w:p>
    <w:p w:rsidR="00A30341" w:rsidRDefault="00A30341" w:rsidP="0080487C">
      <w:pPr>
        <w:spacing w:line="360" w:lineRule="auto"/>
        <w:jc w:val="both"/>
        <w:rPr>
          <w:b/>
        </w:rPr>
      </w:pPr>
    </w:p>
    <w:p w:rsidR="00A30341" w:rsidRDefault="00A30341" w:rsidP="0080487C">
      <w:pPr>
        <w:spacing w:line="360" w:lineRule="auto"/>
        <w:jc w:val="both"/>
        <w:rPr>
          <w:b/>
        </w:rPr>
      </w:pPr>
    </w:p>
    <w:p w:rsidR="00A30341" w:rsidRDefault="00A30341" w:rsidP="0080487C">
      <w:pPr>
        <w:spacing w:line="360" w:lineRule="auto"/>
        <w:jc w:val="both"/>
        <w:rPr>
          <w:b/>
        </w:rPr>
      </w:pPr>
    </w:p>
    <w:p w:rsidR="00A30341" w:rsidRDefault="00A30341" w:rsidP="0080487C">
      <w:pPr>
        <w:spacing w:line="360" w:lineRule="auto"/>
        <w:jc w:val="both"/>
        <w:rPr>
          <w:b/>
        </w:rPr>
      </w:pPr>
    </w:p>
    <w:p w:rsidR="00A30341" w:rsidRDefault="00A30341" w:rsidP="0080487C">
      <w:pPr>
        <w:spacing w:line="360" w:lineRule="auto"/>
        <w:jc w:val="both"/>
        <w:rPr>
          <w:b/>
        </w:rPr>
      </w:pPr>
    </w:p>
    <w:p w:rsidR="0080487C" w:rsidRDefault="0080487C" w:rsidP="0080487C">
      <w:pPr>
        <w:spacing w:line="360" w:lineRule="auto"/>
        <w:jc w:val="both"/>
        <w:rPr>
          <w:b/>
        </w:rPr>
      </w:pPr>
      <w:r w:rsidRPr="0080487C">
        <w:rPr>
          <w:b/>
        </w:rPr>
        <w:lastRenderedPageBreak/>
        <w:t>1. INTRODUCTION</w:t>
      </w:r>
    </w:p>
    <w:p w:rsidR="0080487C" w:rsidRDefault="0080487C" w:rsidP="0080487C">
      <w:pPr>
        <w:spacing w:line="360" w:lineRule="auto"/>
        <w:ind w:firstLine="720"/>
        <w:jc w:val="both"/>
      </w:pPr>
      <w:r>
        <w:t xml:space="preserve">Over the last three decades, sustainable development has remained core debate for international organizations, governments, NGOs, political figures, academicians, researchers, and common public. </w:t>
      </w:r>
      <w:r w:rsidRPr="003E709C">
        <w:rPr>
          <w:color w:val="000000"/>
          <w:spacing w:val="-1"/>
        </w:rPr>
        <w:t>Countries have responded to the emerging idea of sustainable development, as the overarching goal for environmental policy, by adopting diverse approaches. Different pathways to achieve sustainability depending on various factors, focusing on the interpretation of the concept, political structures, and political priorities were followed including institutional reform, green planning and social mobilization</w:t>
      </w:r>
      <w:r w:rsidRPr="003E709C">
        <w:rPr>
          <w:rStyle w:val="FootnoteReference"/>
          <w:color w:val="000000"/>
          <w:spacing w:val="-1"/>
        </w:rPr>
        <w:footnoteReference w:id="2"/>
      </w:r>
      <w:r w:rsidRPr="003E709C">
        <w:rPr>
          <w:color w:val="000000"/>
          <w:spacing w:val="-1"/>
        </w:rPr>
        <w:t xml:space="preserve"> (Mazlum, 2004).</w:t>
      </w:r>
      <w:r>
        <w:rPr>
          <w:color w:val="000000"/>
          <w:spacing w:val="-1"/>
        </w:rPr>
        <w:t xml:space="preserve"> </w:t>
      </w:r>
      <w:r>
        <w:t xml:space="preserve">Much ado has been done in last few decades like international treaties to address the issue of climate change with special focus on global warming and Kyoto Protocol is the prominent among all treaties. As the Kyoto Protocol runs out in 2012, there is need of a new climate protocol that can keep the countries on the track of sustainable development which was emphasized in the United Nations Climate Change Conference held in </w:t>
      </w:r>
      <w:smartTag w:uri="urn:schemas-microsoft-com:office:smarttags" w:element="place">
        <w:smartTag w:uri="urn:schemas-microsoft-com:office:smarttags" w:element="City">
          <w:r>
            <w:t>Canun</w:t>
          </w:r>
        </w:smartTag>
        <w:r>
          <w:t xml:space="preserve">, </w:t>
        </w:r>
        <w:smartTag w:uri="urn:schemas-microsoft-com:office:smarttags" w:element="country-region">
          <w:r>
            <w:t>Mexico</w:t>
          </w:r>
        </w:smartTag>
      </w:smartTag>
      <w:r>
        <w:t xml:space="preserve"> December 2010. This same issue was discussed one year before in the UNFCCC conference in </w:t>
      </w:r>
      <w:smartTag w:uri="urn:schemas-microsoft-com:office:smarttags" w:element="place">
        <w:smartTag w:uri="urn:schemas-microsoft-com:office:smarttags" w:element="City">
          <w:r>
            <w:t>Copenhagen</w:t>
          </w:r>
        </w:smartTag>
        <w:r>
          <w:t xml:space="preserve">, </w:t>
        </w:r>
        <w:smartTag w:uri="urn:schemas-microsoft-com:office:smarttags" w:element="country-region">
          <w:r>
            <w:t>Denmark</w:t>
          </w:r>
        </w:smartTag>
      </w:smartTag>
      <w:r>
        <w:t>.</w:t>
      </w:r>
    </w:p>
    <w:p w:rsidR="0080487C" w:rsidRDefault="0080487C" w:rsidP="0080487C">
      <w:pPr>
        <w:spacing w:line="360" w:lineRule="auto"/>
        <w:ind w:firstLine="720"/>
        <w:jc w:val="both"/>
      </w:pPr>
    </w:p>
    <w:p w:rsidR="0080487C" w:rsidRDefault="0080487C" w:rsidP="0080487C">
      <w:pPr>
        <w:spacing w:line="360" w:lineRule="auto"/>
        <w:ind w:firstLine="720"/>
        <w:jc w:val="both"/>
      </w:pPr>
      <w:r>
        <w:t xml:space="preserve">Turkey has never left behind in joining the hands with other countries in incorporating the sustainable development in her development plans and planning. </w:t>
      </w:r>
      <w:smartTag w:uri="urn:schemas-microsoft-com:office:smarttags" w:element="country-region">
        <w:smartTag w:uri="urn:schemas-microsoft-com:office:smarttags" w:element="place">
          <w:r>
            <w:t>Turkey</w:t>
          </w:r>
        </w:smartTag>
      </w:smartTag>
      <w:r>
        <w:t>’s economy is growing faster; its transportation sector is even growing faster to meet the demand of the country.  Transportation sector plays very important role in the growth of the Turkish economy but this sector contributes too much in GHGs emissions than in the growth of the country. This conflict can be resolved partially by substituting natural gas for other fossil fuel types used in transportation sector</w:t>
      </w:r>
    </w:p>
    <w:p w:rsidR="00EC455C" w:rsidRDefault="00EC455C" w:rsidP="0080487C">
      <w:pPr>
        <w:spacing w:line="360" w:lineRule="auto"/>
        <w:ind w:firstLine="720"/>
        <w:jc w:val="both"/>
      </w:pPr>
    </w:p>
    <w:p w:rsidR="00EC455C" w:rsidRDefault="00EC455C" w:rsidP="00EC455C">
      <w:pPr>
        <w:spacing w:line="360" w:lineRule="auto"/>
        <w:jc w:val="both"/>
      </w:pPr>
      <w:r>
        <w:tab/>
        <w:t>The aim of this study is manifold. Firstly to estimate the sole contribution of GHGs emissions from fossil fuel consumption by the year 2012 from transportation sector by using the input-output table. Secondly, to find out reduction in GHGs emissions after substituting natural gas by 40 percent in this sector for each fossil fuel type for the year 2012. Lastly, this study will give recommendation based on findings in lines with the sustainable development.</w:t>
      </w:r>
    </w:p>
    <w:p w:rsidR="0075203B" w:rsidRDefault="0075203B" w:rsidP="00EC455C">
      <w:pPr>
        <w:spacing w:line="360" w:lineRule="auto"/>
        <w:jc w:val="both"/>
      </w:pPr>
    </w:p>
    <w:p w:rsidR="0075203B" w:rsidRDefault="0075203B" w:rsidP="0075203B">
      <w:pPr>
        <w:spacing w:line="480" w:lineRule="auto"/>
      </w:pPr>
      <w:r w:rsidRPr="0075203B">
        <w:rPr>
          <w:b/>
        </w:rPr>
        <w:lastRenderedPageBreak/>
        <w:t>2. SUSTAINABLE DEVELOPMENT &amp; TURKEY</w:t>
      </w:r>
      <w:r>
        <w:tab/>
      </w:r>
    </w:p>
    <w:p w:rsidR="0075203B" w:rsidRPr="0075203B" w:rsidRDefault="0075203B" w:rsidP="0075203B">
      <w:pPr>
        <w:spacing w:line="480" w:lineRule="auto"/>
        <w:jc w:val="both"/>
      </w:pPr>
      <w:r>
        <w:tab/>
      </w:r>
      <w:r w:rsidRPr="0075203B">
        <w:t>The ninth development plan (2007-2013) corresponds to an era where globalization is pervasive in all areas and opportunities and risks for individuals, institutions, and nations increase. This Plan has the vision of “</w:t>
      </w:r>
      <w:r w:rsidRPr="0075203B">
        <w:rPr>
          <w:bCs/>
          <w:i/>
          <w:iCs/>
        </w:rPr>
        <w:t xml:space="preserve">Turkey, a country of information society, growing in stability, sharing more equitably, globally competitive and fully completed her coherence with the European Union” </w:t>
      </w:r>
      <w:r w:rsidRPr="0075203B">
        <w:t>as well as within the framework of the Long Term Strategy (2001-2023) (SPO, 2006). The goals articulated in Turkey's ninth development plan supported the government policies for long-term sustainable growth across the economy and in the energy sector in particular. The government program for energy security, energy efficiency, and clean energy first supported under the 2009 Programmatic Electricity Development Policy Loan (PEDPL). It is the main objective to supply the energy required for economic and social development in a continuous and secure manner at minimum cost. While meeting the energy demand; keeping environmental damages at the minimum level and using the energy in the most efficient and economical manner at all stages from generation to final consumption were the main aims articulated. In order to increase the supply security, a balanced resource diversification on the basis of primary energy resources and country of origin differentiation was ensured and the share of domestic and renewable energy resources in the production system was aimed to increase to the maximum extent. The other important dimension of “sustainability” was aimed in t</w:t>
      </w:r>
      <w:r w:rsidRPr="0075203B">
        <w:rPr>
          <w:bCs/>
          <w:iCs/>
        </w:rPr>
        <w:t xml:space="preserve">ransportation and particularly in urban modes of transportation. </w:t>
      </w:r>
      <w:r w:rsidRPr="0075203B">
        <w:t>A comprehensive national urban transportation strategy that is sustainable and consistent with energy, environment, economics, housing and land use policies was intended. This strategy was binding for the public sector and indicative for the private sector (SPO, 2006).</w:t>
      </w:r>
    </w:p>
    <w:p w:rsidR="0075203B" w:rsidRPr="0075203B" w:rsidRDefault="0075203B" w:rsidP="0075203B">
      <w:pPr>
        <w:spacing w:line="480" w:lineRule="auto"/>
        <w:jc w:val="both"/>
        <w:rPr>
          <w:bCs/>
        </w:rPr>
      </w:pPr>
    </w:p>
    <w:p w:rsidR="0075203B" w:rsidRDefault="0075203B" w:rsidP="0075203B">
      <w:pPr>
        <w:spacing w:line="480" w:lineRule="auto"/>
        <w:jc w:val="both"/>
      </w:pPr>
      <w:r>
        <w:lastRenderedPageBreak/>
        <w:tab/>
      </w:r>
      <w:r w:rsidRPr="0075203B">
        <w:t xml:space="preserve">The evaluation of development plans reveals that despite the intentions, plans have little real effect in terms of integrating environmental considerations with other policy areas, and even less with regard to achieving environmental sustainability. The NEAP for instance, is actually an environmental strategy using sustainable development as the conceptual framework therefore, it does not attempt to define sustainable development and to set environmental quality targets; it is exclusively concerned with the institutional matters and it proposed measures and actions aimed at increasing institutional capacity (Mazlum, 2004). </w:t>
      </w:r>
    </w:p>
    <w:p w:rsidR="0075203B" w:rsidRPr="0075203B" w:rsidRDefault="0075203B" w:rsidP="0075203B">
      <w:pPr>
        <w:spacing w:line="480" w:lineRule="auto"/>
        <w:jc w:val="both"/>
      </w:pPr>
      <w:r>
        <w:tab/>
      </w:r>
      <w:r w:rsidRPr="0075203B">
        <w:t>Both the development plans and the NEAP deal with sustainability in terms of the environmental component of the concept and they are far from producing a comprehensive policy approach. Obviously, some new institutional and instrumental arrangements have been introduced into policy- making processes, but it is too early to suggest that they created fundamental changes in policy structures. There is an ongoing effort to adjust established policy patterns to meet the demands of sustainable development and Turkey has undertaken the task of promoting sustainability using different instruments; it has adjusted existing mechanisms and tried out new complementary ones. However, all these attempts remain disjointed because they are not implemented basing on a comprehensive policy strategy.</w:t>
      </w:r>
    </w:p>
    <w:p w:rsidR="0075203B" w:rsidRDefault="0075203B" w:rsidP="0075203B">
      <w:pPr>
        <w:spacing w:line="480" w:lineRule="auto"/>
        <w:jc w:val="both"/>
        <w:rPr>
          <w:b/>
        </w:rPr>
      </w:pPr>
    </w:p>
    <w:p w:rsidR="0075203B" w:rsidRPr="0075203B" w:rsidRDefault="0075203B" w:rsidP="0075203B">
      <w:pPr>
        <w:spacing w:line="480" w:lineRule="auto"/>
        <w:jc w:val="both"/>
        <w:rPr>
          <w:b/>
        </w:rPr>
      </w:pPr>
      <w:r>
        <w:rPr>
          <w:b/>
        </w:rPr>
        <w:t xml:space="preserve">2.1. </w:t>
      </w:r>
      <w:r w:rsidRPr="0075203B">
        <w:rPr>
          <w:b/>
        </w:rPr>
        <w:t>Significance of Transportation Sector in Turkish Economy</w:t>
      </w:r>
    </w:p>
    <w:p w:rsidR="0075203B" w:rsidRPr="0075203B" w:rsidRDefault="0075203B" w:rsidP="0075203B">
      <w:pPr>
        <w:spacing w:line="480" w:lineRule="auto"/>
        <w:jc w:val="both"/>
        <w:rPr>
          <w:b/>
          <w:i/>
        </w:rPr>
      </w:pPr>
      <w:r w:rsidRPr="0075203B">
        <w:rPr>
          <w:b/>
          <w:i/>
        </w:rPr>
        <w:t>The Economic Role</w:t>
      </w:r>
    </w:p>
    <w:p w:rsidR="0075203B" w:rsidRPr="0075203B" w:rsidRDefault="0075203B" w:rsidP="0075203B">
      <w:pPr>
        <w:spacing w:line="480" w:lineRule="auto"/>
        <w:jc w:val="both"/>
      </w:pPr>
      <w:r>
        <w:tab/>
      </w:r>
      <w:r w:rsidRPr="0075203B">
        <w:t xml:space="preserve">Turkey's geographical location establishes links between the East and the West by making the transportation industry crucial for the economic development of the region. In addition, the Customs Union agreement between Turkey and the EU and potential EU membership are important opportunities encouraging new investments in this industry. The </w:t>
      </w:r>
      <w:r w:rsidRPr="0075203B">
        <w:lastRenderedPageBreak/>
        <w:t>transportation industry covers both the transportation and logistics sector, broadly including airlines and airfreight, shipping, road and rail transport and the associated infrastructure and services. This industry generated US$ 3.4 trillion of revenue globally in 2007 and has grown about 6.2% between 2003 and 2007 (ISPA, 2010). By 2012, the global transportation industry is forecast to reach US$ 4.5 trillion growing with 5.4%.</w:t>
      </w:r>
    </w:p>
    <w:p w:rsidR="0075203B" w:rsidRPr="0075203B" w:rsidRDefault="0075203B" w:rsidP="0075203B">
      <w:pPr>
        <w:spacing w:line="480" w:lineRule="auto"/>
        <w:jc w:val="both"/>
      </w:pPr>
      <w:r>
        <w:tab/>
      </w:r>
      <w:r w:rsidRPr="0075203B">
        <w:t xml:space="preserve">Turkish logistic companies mainly serve the sectors in which most foreign trade is concentrated: these include textiles/garments, automotive, FMCG, retail and food, petrochemicals, machinery production and construction industry (The Consulate General of the Netherlands, 2004). As of 2009 1.1  people were employed in the transportation-communication and storage services in Turkey and the share of the transportation and logistics sector in Turkey’s GDP is estimated between 8-12%. The size of Turkish transportation &amp; logistics industry is determined as US$ 59 billion, while the share of the logistics service supplier market (Third Party Logistics) is estimated as US$ 22 billion in (ISPA, 2010). </w:t>
      </w:r>
    </w:p>
    <w:p w:rsidR="0075203B" w:rsidRDefault="0075203B" w:rsidP="0075203B">
      <w:pPr>
        <w:spacing w:line="480" w:lineRule="auto"/>
        <w:jc w:val="both"/>
      </w:pPr>
      <w:r>
        <w:tab/>
      </w:r>
      <w:r w:rsidRPr="0075203B">
        <w:t xml:space="preserve">Road transport is the major mode of freight and passenger transportation in Turkey: at present 95% of passengers and 90% of goods are conveyed by highway transport. The network of highways has been developed significantly and the relative importance of highways has increased. The planned cost for modernization and construction of roads amounts to TL 37 billion (ISPA, 2010). In Turkey the length of railways is 8,697 km, operated by the General Directorate of Turkish State Railways (TCDD). Since most of the railways are old, the Turkish government aims to modernize the system through various projects. A budget of US$ 23.5 billion is allocated to railway development up to 2023. Turkey has 45 airports, 16 of which serve for international flights. The cost for airport modernization and construction is projected around TL 4 billion. </w:t>
      </w:r>
    </w:p>
    <w:p w:rsidR="0075203B" w:rsidRPr="0075203B" w:rsidRDefault="0075203B" w:rsidP="0075203B">
      <w:pPr>
        <w:spacing w:line="480" w:lineRule="auto"/>
        <w:jc w:val="both"/>
      </w:pPr>
      <w:r>
        <w:lastRenderedPageBreak/>
        <w:tab/>
      </w:r>
      <w:r w:rsidRPr="0075203B">
        <w:t xml:space="preserve">Turkish Airlines is the largest airline company in the country and the only one with a significant international network. Its shares are traded on the Istanbul Stock Exchange but it is mainly owned by the Turkish State. Turkish Airlines’ sales revenues increased by 26.0% in 2008 compared to 2007 and reached TL 6,123.2 , with 78.0% derived from international flights and 22.0% from domestic flights.   The total number of passengers carried grew by 15.1% and reached 22.6  in 2008. In addition, cargo carriage increased by 8.0% to 203,000 tons. With deregulation and liberalization in the sector, several private airline companies have entered the market in recent years. Turkey has a competitive advantage in maritime transport since it is surrounded by seas on three sides and the length of Turkey’s coastal borders is 8,333 kilometers. </w:t>
      </w:r>
      <w:r>
        <w:tab/>
      </w:r>
      <w:r w:rsidRPr="0075203B">
        <w:t xml:space="preserve">By August 2008, the Turkish maritime fleet consisted of 1,631 ships and ranks 25th in the world according to the number of ships. Shipping is the most usual method of transportation for Turkey’s exports and imports, with respective shares of 46.0% and 59.1 %. Second to shipping for Turkey’s foreign trade is road transportation, with a share of 41.7 % for exports and 23.6 % for imports. Air transport comes third. In addition to the shipping of foreign trade, maritime transport of individuals is also significant. </w:t>
      </w:r>
    </w:p>
    <w:p w:rsidR="0075203B" w:rsidRPr="0075203B" w:rsidRDefault="0075203B" w:rsidP="0075203B">
      <w:pPr>
        <w:spacing w:line="480" w:lineRule="auto"/>
        <w:jc w:val="both"/>
        <w:rPr>
          <w:b/>
        </w:rPr>
      </w:pPr>
    </w:p>
    <w:p w:rsidR="0075203B" w:rsidRPr="0075203B" w:rsidRDefault="0075203B" w:rsidP="0075203B">
      <w:pPr>
        <w:spacing w:line="480" w:lineRule="auto"/>
        <w:jc w:val="both"/>
        <w:rPr>
          <w:b/>
          <w:i/>
        </w:rPr>
      </w:pPr>
      <w:r w:rsidRPr="0075203B">
        <w:rPr>
          <w:b/>
          <w:i/>
        </w:rPr>
        <w:t>Energy Consumption</w:t>
      </w:r>
    </w:p>
    <w:p w:rsidR="0075203B" w:rsidRPr="0075203B" w:rsidRDefault="0075203B" w:rsidP="0075203B">
      <w:pPr>
        <w:spacing w:line="480" w:lineRule="auto"/>
        <w:jc w:val="both"/>
      </w:pPr>
      <w:r w:rsidRPr="0075203B">
        <w:t xml:space="preserve">Turkey’s cost of energy imports increased 9% in the first half of 2007 over the previous year to reach USD 14.75 </w:t>
      </w:r>
      <w:r>
        <w:t>billion</w:t>
      </w:r>
      <w:r w:rsidRPr="0075203B">
        <w:t xml:space="preserve">. This amount (19% of Turkey’s total imports) caused mainly from natural gas purchases. During the same period, Turkey’s energy exports surged by 23 percent reaching to slightly over USD 2 </w:t>
      </w:r>
      <w:r>
        <w:t>billion</w:t>
      </w:r>
      <w:r w:rsidRPr="0075203B">
        <w:t xml:space="preserve">. The imports of oil and oil-based products increased by USD 126 </w:t>
      </w:r>
      <w:r>
        <w:t>million</w:t>
      </w:r>
      <w:r w:rsidRPr="0075203B">
        <w:t xml:space="preserve"> to reach USD 7.95 </w:t>
      </w:r>
      <w:r>
        <w:t>billion</w:t>
      </w:r>
      <w:r w:rsidRPr="0075203B">
        <w:t xml:space="preserve"> in the given period and the cost of natural gas imports risen to USD 5.71 </w:t>
      </w:r>
      <w:r>
        <w:t>billion</w:t>
      </w:r>
      <w:r w:rsidRPr="0075203B">
        <w:t xml:space="preserve"> in the same period after an USD 863 </w:t>
      </w:r>
      <w:r>
        <w:t>million</w:t>
      </w:r>
      <w:r w:rsidRPr="0075203B">
        <w:t xml:space="preserve"> increase. The </w:t>
      </w:r>
      <w:r w:rsidRPr="0075203B">
        <w:lastRenderedPageBreak/>
        <w:t xml:space="preserve">purchase of coal from abroad also climbed by USD 234 </w:t>
      </w:r>
      <w:r>
        <w:t>million</w:t>
      </w:r>
      <w:r w:rsidRPr="0075203B">
        <w:t xml:space="preserve"> to hit USD 1.1 </w:t>
      </w:r>
      <w:r>
        <w:t>billion</w:t>
      </w:r>
      <w:r w:rsidRPr="0075203B">
        <w:t xml:space="preserve">. Turkey imported a relatively low amount of electricity in the first six months of the year at just USD 11.1 </w:t>
      </w:r>
      <w:r>
        <w:t>million</w:t>
      </w:r>
      <w:r w:rsidRPr="0075203B">
        <w:t xml:space="preserve">. The total energy imports for last year were USD 28.6 </w:t>
      </w:r>
      <w:r>
        <w:t>billion</w:t>
      </w:r>
      <w:r w:rsidRPr="0075203B">
        <w:t xml:space="preserve">, whereas the figure for 2005 was USD 21.3 </w:t>
      </w:r>
      <w:r>
        <w:t>billion</w:t>
      </w:r>
      <w:r w:rsidRPr="0075203B">
        <w:t xml:space="preserve">. The figure for 2004 was, however, just USD 14.4 </w:t>
      </w:r>
      <w:r>
        <w:t>billion</w:t>
      </w:r>
      <w:r w:rsidRPr="0075203B">
        <w:t xml:space="preserve">, and USD 11.6 </w:t>
      </w:r>
      <w:r>
        <w:t>billion</w:t>
      </w:r>
      <w:r w:rsidRPr="0075203B">
        <w:t xml:space="preserve"> in 2003. The main drive behind this sudden increase were surging oil prices, which climbed to highs of USD 70 per barrel from prior levels of around USD 30 per barrel in a very short time.</w:t>
      </w:r>
    </w:p>
    <w:p w:rsidR="0075203B" w:rsidRPr="00D476E4" w:rsidRDefault="00D476E4" w:rsidP="00D476E4">
      <w:pPr>
        <w:contextualSpacing/>
        <w:jc w:val="center"/>
        <w:rPr>
          <w:b/>
          <w:sz w:val="20"/>
          <w:szCs w:val="20"/>
        </w:rPr>
      </w:pPr>
      <w:r w:rsidRPr="00D476E4">
        <w:rPr>
          <w:b/>
          <w:sz w:val="20"/>
          <w:szCs w:val="20"/>
        </w:rPr>
        <w:t>Table</w:t>
      </w:r>
      <w:r>
        <w:rPr>
          <w:b/>
          <w:sz w:val="20"/>
          <w:szCs w:val="20"/>
        </w:rPr>
        <w:t>:</w:t>
      </w:r>
      <w:r w:rsidRPr="00D476E4">
        <w:rPr>
          <w:b/>
          <w:sz w:val="20"/>
          <w:szCs w:val="20"/>
        </w:rPr>
        <w:t xml:space="preserve"> 1</w:t>
      </w:r>
      <w:r>
        <w:rPr>
          <w:b/>
          <w:sz w:val="20"/>
          <w:szCs w:val="20"/>
        </w:rPr>
        <w:t>.</w:t>
      </w:r>
      <w:r w:rsidR="0075203B" w:rsidRPr="00D476E4">
        <w:rPr>
          <w:b/>
          <w:sz w:val="20"/>
          <w:szCs w:val="20"/>
        </w:rPr>
        <w:t xml:space="preserve"> Share of Main Energy Types in International Trade</w:t>
      </w:r>
      <w:r w:rsidRPr="00D476E4">
        <w:rPr>
          <w:b/>
          <w:sz w:val="20"/>
          <w:szCs w:val="20"/>
        </w:rPr>
        <w:t xml:space="preserve"> (000 USD)</w:t>
      </w:r>
    </w:p>
    <w:p w:rsidR="0075203B" w:rsidRPr="0075203B" w:rsidRDefault="0075203B" w:rsidP="00D476E4">
      <w:pPr>
        <w:jc w:val="both"/>
        <w:rPr>
          <w:b/>
        </w:rPr>
      </w:pPr>
      <w:r w:rsidRPr="0075203B">
        <w:rPr>
          <w:noProof/>
        </w:rPr>
        <w:drawing>
          <wp:inline distT="0" distB="0" distL="0" distR="0">
            <wp:extent cx="6148070" cy="1262380"/>
            <wp:effectExtent l="1905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srcRect/>
                    <a:stretch>
                      <a:fillRect/>
                    </a:stretch>
                  </pic:blipFill>
                  <pic:spPr bwMode="auto">
                    <a:xfrm>
                      <a:off x="0" y="0"/>
                      <a:ext cx="6148070" cy="1262380"/>
                    </a:xfrm>
                    <a:prstGeom prst="rect">
                      <a:avLst/>
                    </a:prstGeom>
                    <a:noFill/>
                    <a:ln w="9525">
                      <a:noFill/>
                      <a:miter lim="800000"/>
                      <a:headEnd/>
                      <a:tailEnd/>
                    </a:ln>
                  </pic:spPr>
                </pic:pic>
              </a:graphicData>
            </a:graphic>
          </wp:inline>
        </w:drawing>
      </w:r>
    </w:p>
    <w:p w:rsidR="0075203B" w:rsidRPr="00D476E4" w:rsidRDefault="0075203B" w:rsidP="00D476E4">
      <w:pPr>
        <w:jc w:val="both"/>
        <w:rPr>
          <w:sz w:val="20"/>
          <w:szCs w:val="20"/>
        </w:rPr>
      </w:pPr>
      <w:r w:rsidRPr="00D476E4">
        <w:rPr>
          <w:sz w:val="20"/>
          <w:szCs w:val="20"/>
        </w:rPr>
        <w:t>Source: TSI (2010).</w:t>
      </w:r>
    </w:p>
    <w:p w:rsidR="0075203B" w:rsidRPr="0075203B" w:rsidRDefault="0075203B" w:rsidP="0075203B">
      <w:pPr>
        <w:spacing w:line="480" w:lineRule="auto"/>
        <w:jc w:val="both"/>
      </w:pPr>
    </w:p>
    <w:p w:rsidR="0075203B" w:rsidRPr="0075203B" w:rsidRDefault="0075203B" w:rsidP="0075203B">
      <w:pPr>
        <w:spacing w:line="480" w:lineRule="auto"/>
        <w:jc w:val="both"/>
      </w:pPr>
      <w:r w:rsidRPr="0075203B">
        <w:rPr>
          <w:b/>
        </w:rPr>
        <w:tab/>
      </w:r>
      <w:r w:rsidRPr="0075203B">
        <w:t>The amount and share of crude petroleum and natural gas in total imports and exports are presented in Table</w:t>
      </w:r>
      <w:r w:rsidR="00D476E4">
        <w:t xml:space="preserve"> 1</w:t>
      </w:r>
      <w:r w:rsidRPr="0075203B">
        <w:t xml:space="preserve"> respectively fo</w:t>
      </w:r>
      <w:r w:rsidR="00D476E4">
        <w:t>r the years 2000, 2005 and 2010</w:t>
      </w:r>
      <w:r w:rsidRPr="0075203B">
        <w:t>. Unfortunately it is observed that the share of main energy types in imports has not changed significantly in the last 10 years.</w:t>
      </w:r>
    </w:p>
    <w:p w:rsidR="0075203B" w:rsidRDefault="0075203B" w:rsidP="0075203B">
      <w:pPr>
        <w:spacing w:line="480" w:lineRule="auto"/>
        <w:jc w:val="both"/>
      </w:pPr>
      <w:r w:rsidRPr="0075203B">
        <w:tab/>
        <w:t xml:space="preserve">In Table </w:t>
      </w:r>
      <w:r w:rsidR="00D476E4">
        <w:t xml:space="preserve">2, </w:t>
      </w:r>
      <w:r w:rsidRPr="0075203B">
        <w:t xml:space="preserve">it is observed that, among the production activities in the economy, transportation is the third biggest one in consumption of energy after total industry and dwellings sectors. If the industry is further disaggregated into sub-industries apparently the significance of energy consumption in the transportation sector will be obvious. </w:t>
      </w:r>
    </w:p>
    <w:p w:rsidR="00D476E4" w:rsidRDefault="00D476E4" w:rsidP="0075203B">
      <w:pPr>
        <w:spacing w:line="480" w:lineRule="auto"/>
        <w:jc w:val="both"/>
      </w:pPr>
    </w:p>
    <w:p w:rsidR="00D476E4" w:rsidRDefault="00D476E4" w:rsidP="0075203B">
      <w:pPr>
        <w:spacing w:line="480" w:lineRule="auto"/>
        <w:jc w:val="both"/>
        <w:rPr>
          <w:b/>
        </w:rPr>
      </w:pPr>
    </w:p>
    <w:p w:rsidR="000A3B97" w:rsidRDefault="000A3B97" w:rsidP="0075203B">
      <w:pPr>
        <w:spacing w:line="480" w:lineRule="auto"/>
        <w:jc w:val="both"/>
        <w:rPr>
          <w:b/>
        </w:rPr>
      </w:pPr>
    </w:p>
    <w:p w:rsidR="000A3B97" w:rsidRPr="0075203B" w:rsidRDefault="000A3B97" w:rsidP="0075203B">
      <w:pPr>
        <w:spacing w:line="480" w:lineRule="auto"/>
        <w:jc w:val="both"/>
        <w:rPr>
          <w:b/>
        </w:rPr>
      </w:pPr>
    </w:p>
    <w:p w:rsidR="00D476E4" w:rsidRPr="00D476E4" w:rsidRDefault="00D476E4" w:rsidP="00D476E4">
      <w:pPr>
        <w:jc w:val="center"/>
        <w:rPr>
          <w:b/>
          <w:sz w:val="20"/>
          <w:szCs w:val="20"/>
        </w:rPr>
      </w:pPr>
      <w:r w:rsidRPr="00D476E4">
        <w:rPr>
          <w:b/>
          <w:sz w:val="20"/>
          <w:szCs w:val="20"/>
        </w:rPr>
        <w:lastRenderedPageBreak/>
        <w:t>Table</w:t>
      </w:r>
      <w:r>
        <w:rPr>
          <w:b/>
          <w:sz w:val="20"/>
          <w:szCs w:val="20"/>
        </w:rPr>
        <w:t>:</w:t>
      </w:r>
      <w:r w:rsidRPr="00D476E4">
        <w:rPr>
          <w:b/>
          <w:sz w:val="20"/>
          <w:szCs w:val="20"/>
        </w:rPr>
        <w:t xml:space="preserve"> 2</w:t>
      </w:r>
      <w:r w:rsidR="0075203B" w:rsidRPr="00D476E4">
        <w:rPr>
          <w:b/>
          <w:sz w:val="20"/>
          <w:szCs w:val="20"/>
        </w:rPr>
        <w:t>. Energy Consumption by Sectors</w:t>
      </w:r>
      <w:r w:rsidRPr="00D476E4">
        <w:rPr>
          <w:b/>
          <w:sz w:val="20"/>
          <w:szCs w:val="20"/>
        </w:rPr>
        <w:t xml:space="preserve"> TOE: Tonne of oil equivalent</w:t>
      </w:r>
    </w:p>
    <w:p w:rsidR="0075203B" w:rsidRPr="0075203B" w:rsidRDefault="0075203B" w:rsidP="0075203B">
      <w:pPr>
        <w:contextualSpacing/>
        <w:jc w:val="both"/>
      </w:pPr>
      <w:r w:rsidRPr="0075203B">
        <w:rPr>
          <w:noProof/>
        </w:rPr>
        <w:drawing>
          <wp:inline distT="0" distB="0" distL="0" distR="0">
            <wp:extent cx="6148070" cy="1603375"/>
            <wp:effectExtent l="19050" t="0" r="508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srcRect/>
                    <a:stretch>
                      <a:fillRect/>
                    </a:stretch>
                  </pic:blipFill>
                  <pic:spPr bwMode="auto">
                    <a:xfrm>
                      <a:off x="0" y="0"/>
                      <a:ext cx="6148070" cy="1603375"/>
                    </a:xfrm>
                    <a:prstGeom prst="rect">
                      <a:avLst/>
                    </a:prstGeom>
                    <a:noFill/>
                    <a:ln w="9525">
                      <a:noFill/>
                      <a:miter lim="800000"/>
                      <a:headEnd/>
                      <a:tailEnd/>
                    </a:ln>
                  </pic:spPr>
                </pic:pic>
              </a:graphicData>
            </a:graphic>
          </wp:inline>
        </w:drawing>
      </w:r>
    </w:p>
    <w:p w:rsidR="0075203B" w:rsidRPr="00D476E4" w:rsidRDefault="0075203B" w:rsidP="0075203B">
      <w:pPr>
        <w:contextualSpacing/>
        <w:jc w:val="both"/>
        <w:rPr>
          <w:sz w:val="20"/>
          <w:szCs w:val="20"/>
        </w:rPr>
      </w:pPr>
      <w:r w:rsidRPr="00D476E4">
        <w:rPr>
          <w:sz w:val="20"/>
          <w:szCs w:val="20"/>
        </w:rPr>
        <w:t>Source: TSI (2010).</w:t>
      </w:r>
    </w:p>
    <w:p w:rsidR="0075203B" w:rsidRPr="0075203B" w:rsidRDefault="0075203B" w:rsidP="0075203B">
      <w:pPr>
        <w:spacing w:line="480" w:lineRule="auto"/>
        <w:jc w:val="both"/>
        <w:rPr>
          <w:b/>
        </w:rPr>
      </w:pPr>
    </w:p>
    <w:p w:rsidR="0075203B" w:rsidRPr="0075203B" w:rsidRDefault="0075203B" w:rsidP="0075203B">
      <w:pPr>
        <w:spacing w:line="480" w:lineRule="auto"/>
        <w:jc w:val="both"/>
        <w:rPr>
          <w:b/>
        </w:rPr>
      </w:pPr>
      <w:r w:rsidRPr="0075203B">
        <w:t xml:space="preserve">Table </w:t>
      </w:r>
      <w:r w:rsidR="00D476E4">
        <w:t>2</w:t>
      </w:r>
      <w:r w:rsidRPr="0075203B">
        <w:t xml:space="preserve"> presents the sources of energy used by various sectors including transportation. Various types of energy are given in terms their “oil equivalent”. It is observed that the total oil equivalent energy used by transportation sectors is about 14% of total final energy consumption and about 7% of total energy consumption in the economy. The majority of the energy used by the transportation is composed of diesel oil (about 55%) and it is followed by aviation gasoline and gasoline (less than 9% each).</w:t>
      </w:r>
    </w:p>
    <w:p w:rsidR="0075203B" w:rsidRPr="0075203B" w:rsidRDefault="0075203B" w:rsidP="0075203B">
      <w:pPr>
        <w:spacing w:line="480" w:lineRule="auto"/>
        <w:jc w:val="both"/>
        <w:rPr>
          <w:b/>
        </w:rPr>
      </w:pPr>
    </w:p>
    <w:p w:rsidR="00D476E4" w:rsidRPr="00B203BB" w:rsidRDefault="00D476E4" w:rsidP="00D476E4">
      <w:pPr>
        <w:spacing w:line="360" w:lineRule="auto"/>
        <w:contextualSpacing/>
        <w:rPr>
          <w:b/>
        </w:rPr>
      </w:pPr>
      <w:r>
        <w:rPr>
          <w:b/>
        </w:rPr>
        <w:t xml:space="preserve">3. </w:t>
      </w:r>
      <w:r w:rsidRPr="00B203BB">
        <w:rPr>
          <w:b/>
        </w:rPr>
        <w:t xml:space="preserve">METHODOLOGY &amp; DATA </w:t>
      </w:r>
    </w:p>
    <w:p w:rsidR="00D476E4" w:rsidRPr="00E351A4" w:rsidRDefault="00D476E4" w:rsidP="00D476E4">
      <w:pPr>
        <w:spacing w:line="360" w:lineRule="auto"/>
        <w:ind w:firstLine="720"/>
        <w:contextualSpacing/>
        <w:jc w:val="both"/>
      </w:pPr>
      <w:r w:rsidRPr="00E351A4">
        <w:t xml:space="preserve">The I-O analysis simply measures the magnitudes of direct and indirect variation in total production caused by changes in the final demand. The solution procedure of the model is summarized through the equations </w:t>
      </w:r>
      <w:r w:rsidR="00053CA1">
        <w:t>1</w:t>
      </w:r>
      <w:r w:rsidRPr="00E351A4">
        <w:t xml:space="preserve"> to </w:t>
      </w:r>
      <w:r w:rsidR="00053CA1">
        <w:t>5</w:t>
      </w:r>
      <w:r w:rsidRPr="00E351A4">
        <w:t xml:space="preserve">. Given X as the vector of total production (equation </w:t>
      </w:r>
      <w:r w:rsidR="00053CA1">
        <w:t>1</w:t>
      </w:r>
      <w:r w:rsidRPr="00E351A4">
        <w:t>), it is equal to sum of Ax and Y (final demand vector), where Ax represents the matrix of intermediate demand and A is the matrix of technical coefficients [</w:t>
      </w:r>
      <w:r w:rsidRPr="00E351A4">
        <w:rPr>
          <w:i/>
        </w:rPr>
        <w:t>a</w:t>
      </w:r>
      <w:r w:rsidRPr="00E351A4">
        <w:rPr>
          <w:i/>
          <w:vertAlign w:val="subscript"/>
        </w:rPr>
        <w:t>ij</w:t>
      </w:r>
      <w:r w:rsidRPr="00E351A4">
        <w:t xml:space="preserve">] found as in equation </w:t>
      </w:r>
      <w:r w:rsidR="00053CA1">
        <w:t>2</w:t>
      </w:r>
      <w:r w:rsidRPr="00E351A4">
        <w:t xml:space="preserve">. In equation </w:t>
      </w:r>
      <w:r w:rsidR="00053CA1">
        <w:t>2</w:t>
      </w:r>
      <w:r w:rsidRPr="00E351A4">
        <w:t xml:space="preserve">, </w:t>
      </w:r>
      <w:r w:rsidRPr="00E351A4">
        <w:rPr>
          <w:position w:val="-14"/>
        </w:rPr>
        <w:object w:dxaOrig="279"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pt;height:18.8pt" o:ole="">
            <v:imagedata r:id="rId9" o:title=""/>
          </v:shape>
          <o:OLEObject Type="Embed" ProgID="Equation.3" ShapeID="_x0000_i1025" DrawAspect="Content" ObjectID="_1365590977" r:id="rId10"/>
        </w:object>
      </w:r>
      <w:r w:rsidRPr="00E351A4">
        <w:t xml:space="preserve"> is the sale of </w:t>
      </w:r>
      <w:r w:rsidRPr="00E351A4">
        <w:rPr>
          <w:vertAlign w:val="subscript"/>
        </w:rPr>
        <w:t>i</w:t>
      </w:r>
      <w:r w:rsidRPr="00E351A4">
        <w:rPr>
          <w:vertAlign w:val="superscript"/>
        </w:rPr>
        <w:t>th</w:t>
      </w:r>
      <w:r w:rsidRPr="00E351A4">
        <w:t xml:space="preserve"> sector to sector </w:t>
      </w:r>
      <w:r w:rsidRPr="00E351A4">
        <w:rPr>
          <w:vertAlign w:val="subscript"/>
        </w:rPr>
        <w:t>j</w:t>
      </w:r>
      <w:r w:rsidRPr="00E351A4">
        <w:t xml:space="preserve"> and </w:t>
      </w:r>
      <w:r w:rsidRPr="00E351A4">
        <w:rPr>
          <w:position w:val="-14"/>
        </w:rPr>
        <w:object w:dxaOrig="360" w:dyaOrig="380">
          <v:shape id="_x0000_i1026" type="#_x0000_t75" style="width:18.25pt;height:18.8pt" o:ole="">
            <v:imagedata r:id="rId11" o:title=""/>
          </v:shape>
          <o:OLEObject Type="Embed" ProgID="Equation.3" ShapeID="_x0000_i1026" DrawAspect="Content" ObjectID="_1365590978" r:id="rId12"/>
        </w:object>
      </w:r>
      <w:r w:rsidRPr="00E351A4">
        <w:t xml:space="preserve"> is the total outlay of sector </w:t>
      </w:r>
      <w:r w:rsidRPr="00E351A4">
        <w:rPr>
          <w:vertAlign w:val="subscript"/>
        </w:rPr>
        <w:t>j</w:t>
      </w:r>
    </w:p>
    <w:p w:rsidR="00D476E4" w:rsidRPr="00E351A4" w:rsidRDefault="00D476E4" w:rsidP="00D476E4">
      <w:pPr>
        <w:spacing w:line="360" w:lineRule="auto"/>
        <w:contextualSpacing/>
        <w:jc w:val="both"/>
      </w:pPr>
      <w:r w:rsidRPr="00E351A4">
        <w:rPr>
          <w:position w:val="-6"/>
        </w:rPr>
        <w:object w:dxaOrig="1200" w:dyaOrig="279">
          <v:shape id="_x0000_i1027" type="#_x0000_t75" style="width:60.2pt;height:14.5pt" o:ole="">
            <v:imagedata r:id="rId13" o:title=""/>
          </v:shape>
          <o:OLEObject Type="Embed" ProgID="Equation.3" ShapeID="_x0000_i1027" DrawAspect="Content" ObjectID="_1365590979" r:id="rId14"/>
        </w:object>
      </w:r>
      <w:r w:rsidRPr="00E351A4">
        <w:tab/>
      </w:r>
      <w:r w:rsidRPr="00E351A4">
        <w:tab/>
      </w:r>
      <w:r w:rsidRPr="00E351A4">
        <w:tab/>
      </w:r>
      <w:r w:rsidRPr="00E351A4">
        <w:tab/>
      </w:r>
      <w:r w:rsidRPr="00E351A4">
        <w:tab/>
      </w:r>
      <w:r w:rsidRPr="00E351A4">
        <w:tab/>
      </w:r>
      <w:r w:rsidRPr="00E351A4">
        <w:tab/>
      </w:r>
      <w:r w:rsidRPr="00E351A4">
        <w:tab/>
      </w:r>
      <w:r w:rsidRPr="00E351A4">
        <w:tab/>
      </w:r>
      <w:r w:rsidRPr="00E351A4">
        <w:tab/>
        <w:t>(</w:t>
      </w:r>
      <w:r>
        <w:t>1</w:t>
      </w:r>
      <w:r w:rsidRPr="00E351A4">
        <w:t>)</w:t>
      </w:r>
    </w:p>
    <w:p w:rsidR="00D476E4" w:rsidRPr="00E351A4" w:rsidRDefault="00D476E4" w:rsidP="00D476E4">
      <w:pPr>
        <w:spacing w:line="360" w:lineRule="auto"/>
        <w:contextualSpacing/>
        <w:jc w:val="both"/>
      </w:pPr>
      <w:r w:rsidRPr="00E351A4">
        <w:rPr>
          <w:position w:val="-32"/>
        </w:rPr>
        <w:object w:dxaOrig="920" w:dyaOrig="740">
          <v:shape id="_x0000_i1028" type="#_x0000_t75" style="width:45.65pt;height:36.55pt" o:ole="">
            <v:imagedata r:id="rId15" o:title=""/>
          </v:shape>
          <o:OLEObject Type="Embed" ProgID="Equation.3" ShapeID="_x0000_i1028" DrawAspect="Content" ObjectID="_1365590980" r:id="rId16"/>
        </w:object>
      </w:r>
      <w:r w:rsidRPr="00E351A4">
        <w:tab/>
      </w:r>
      <w:r w:rsidRPr="00E351A4">
        <w:tab/>
      </w:r>
      <w:r w:rsidRPr="00E351A4">
        <w:tab/>
      </w:r>
      <w:r w:rsidRPr="00E351A4">
        <w:tab/>
      </w:r>
      <w:r w:rsidRPr="00E351A4">
        <w:tab/>
      </w:r>
      <w:r w:rsidRPr="00E351A4">
        <w:tab/>
      </w:r>
      <w:r w:rsidRPr="00E351A4">
        <w:tab/>
      </w:r>
      <w:r w:rsidRPr="00E351A4">
        <w:tab/>
      </w:r>
      <w:r w:rsidRPr="00E351A4">
        <w:tab/>
      </w:r>
      <w:r w:rsidRPr="00E351A4">
        <w:tab/>
        <w:t>(</w:t>
      </w:r>
      <w:r>
        <w:t>2</w:t>
      </w:r>
      <w:r w:rsidRPr="00E351A4">
        <w:t>)</w:t>
      </w:r>
    </w:p>
    <w:p w:rsidR="00D476E4" w:rsidRPr="00E351A4" w:rsidRDefault="00D476E4" w:rsidP="00D476E4">
      <w:pPr>
        <w:spacing w:line="360" w:lineRule="auto"/>
        <w:contextualSpacing/>
        <w:jc w:val="both"/>
      </w:pPr>
      <w:r w:rsidRPr="00E351A4">
        <w:t>Rearranging equation (</w:t>
      </w:r>
      <w:r>
        <w:t>1</w:t>
      </w:r>
      <w:r w:rsidRPr="00E351A4">
        <w:t xml:space="preserve">) and simplifying it results in equation </w:t>
      </w:r>
      <w:r>
        <w:t>4</w:t>
      </w:r>
      <w:r w:rsidRPr="00E351A4">
        <w:t xml:space="preserve">, in which </w:t>
      </w:r>
      <w:r w:rsidRPr="00E351A4">
        <w:rPr>
          <w:position w:val="-10"/>
        </w:rPr>
        <w:object w:dxaOrig="720" w:dyaOrig="340">
          <v:shape id="_x0000_i1029" type="#_x0000_t75" style="width:36pt;height:17.2pt" o:ole="">
            <v:imagedata r:id="rId17" o:title=""/>
          </v:shape>
          <o:OLEObject Type="Embed" ProgID="Equation.3" ShapeID="_x0000_i1029" DrawAspect="Content" ObjectID="_1365590981" r:id="rId18"/>
        </w:object>
      </w:r>
      <w:r w:rsidRPr="00E351A4">
        <w:t xml:space="preserve"> is required to be a non-singular matrix in order to find a solution for X. Then by using the Leontief inverse, </w:t>
      </w:r>
      <w:r w:rsidRPr="00E351A4">
        <w:rPr>
          <w:position w:val="-10"/>
        </w:rPr>
        <w:object w:dxaOrig="880" w:dyaOrig="380">
          <v:shape id="_x0000_i1030" type="#_x0000_t75" style="width:44.05pt;height:18.8pt" o:ole="">
            <v:imagedata r:id="rId19" o:title=""/>
          </v:shape>
          <o:OLEObject Type="Embed" ProgID="Equation.3" ShapeID="_x0000_i1030" DrawAspect="Content" ObjectID="_1365590982" r:id="rId20"/>
        </w:object>
      </w:r>
      <w:r w:rsidRPr="00E351A4">
        <w:t xml:space="preserve">, total industrial output can be obtained by solving equation </w:t>
      </w:r>
      <w:r>
        <w:t>5</w:t>
      </w:r>
      <w:r w:rsidRPr="00E351A4">
        <w:t xml:space="preserve"> with respect to exogenous changes in Y by calculating both direct and indirect effects in the chain of inter-industries linkages. </w:t>
      </w:r>
    </w:p>
    <w:p w:rsidR="00D476E4" w:rsidRPr="00E351A4" w:rsidRDefault="00D476E4" w:rsidP="00D476E4">
      <w:pPr>
        <w:spacing w:line="360" w:lineRule="auto"/>
        <w:contextualSpacing/>
        <w:jc w:val="both"/>
      </w:pPr>
      <w:r w:rsidRPr="00E351A4">
        <w:rPr>
          <w:position w:val="-6"/>
        </w:rPr>
        <w:object w:dxaOrig="1180" w:dyaOrig="279">
          <v:shape id="_x0000_i1031" type="#_x0000_t75" style="width:59.1pt;height:14.5pt" o:ole="">
            <v:imagedata r:id="rId21" o:title=""/>
          </v:shape>
          <o:OLEObject Type="Embed" ProgID="Equation.3" ShapeID="_x0000_i1031" DrawAspect="Content" ObjectID="_1365590983" r:id="rId22"/>
        </w:object>
      </w:r>
      <w:r w:rsidRPr="00E351A4">
        <w:tab/>
      </w:r>
      <w:r w:rsidRPr="00E351A4">
        <w:tab/>
      </w:r>
      <w:r w:rsidRPr="00E351A4">
        <w:tab/>
      </w:r>
      <w:r w:rsidRPr="00E351A4">
        <w:tab/>
      </w:r>
      <w:r w:rsidRPr="00E351A4">
        <w:tab/>
      </w:r>
      <w:r w:rsidRPr="00E351A4">
        <w:tab/>
      </w:r>
      <w:r w:rsidRPr="00E351A4">
        <w:tab/>
      </w:r>
      <w:r w:rsidRPr="00E351A4">
        <w:tab/>
      </w:r>
      <w:r w:rsidRPr="00E351A4">
        <w:tab/>
      </w:r>
      <w:r w:rsidRPr="00E351A4">
        <w:tab/>
        <w:t>(</w:t>
      </w:r>
      <w:r>
        <w:t>3</w:t>
      </w:r>
      <w:r w:rsidRPr="00E351A4">
        <w:t>)</w:t>
      </w:r>
    </w:p>
    <w:p w:rsidR="00D476E4" w:rsidRPr="00E351A4" w:rsidRDefault="00D476E4" w:rsidP="00D476E4">
      <w:pPr>
        <w:spacing w:line="360" w:lineRule="auto"/>
        <w:contextualSpacing/>
        <w:jc w:val="both"/>
      </w:pPr>
      <w:r w:rsidRPr="00E351A4">
        <w:rPr>
          <w:position w:val="-10"/>
        </w:rPr>
        <w:object w:dxaOrig="1340" w:dyaOrig="340">
          <v:shape id="_x0000_i1032" type="#_x0000_t75" style="width:66.65pt;height:17.2pt" o:ole="">
            <v:imagedata r:id="rId23" o:title=""/>
          </v:shape>
          <o:OLEObject Type="Embed" ProgID="Equation.3" ShapeID="_x0000_i1032" DrawAspect="Content" ObjectID="_1365590984" r:id="rId24"/>
        </w:object>
      </w:r>
      <w:r w:rsidRPr="00E351A4">
        <w:t xml:space="preserve"> </w:t>
      </w:r>
      <w:r w:rsidRPr="00E351A4">
        <w:tab/>
      </w:r>
      <w:r w:rsidRPr="00E351A4">
        <w:tab/>
      </w:r>
      <w:r w:rsidRPr="00E351A4">
        <w:tab/>
      </w:r>
      <w:r w:rsidRPr="00E351A4">
        <w:tab/>
      </w:r>
      <w:r w:rsidRPr="00E351A4">
        <w:tab/>
      </w:r>
      <w:r w:rsidRPr="00E351A4">
        <w:tab/>
      </w:r>
      <w:r w:rsidRPr="00E351A4">
        <w:tab/>
      </w:r>
      <w:r w:rsidRPr="00E351A4">
        <w:tab/>
      </w:r>
      <w:r w:rsidRPr="00E351A4">
        <w:tab/>
      </w:r>
      <w:r w:rsidRPr="00E351A4">
        <w:tab/>
        <w:t>(</w:t>
      </w:r>
      <w:r>
        <w:t>4</w:t>
      </w:r>
      <w:r w:rsidRPr="00E351A4">
        <w:t>)</w:t>
      </w:r>
    </w:p>
    <w:p w:rsidR="00D476E4" w:rsidRPr="00E351A4" w:rsidRDefault="00D476E4" w:rsidP="00D476E4">
      <w:pPr>
        <w:spacing w:line="360" w:lineRule="auto"/>
        <w:contextualSpacing/>
        <w:jc w:val="both"/>
      </w:pPr>
      <w:r w:rsidRPr="00E351A4">
        <w:rPr>
          <w:position w:val="-10"/>
        </w:rPr>
        <w:object w:dxaOrig="1520" w:dyaOrig="380">
          <v:shape id="_x0000_i1033" type="#_x0000_t75" style="width:75.75pt;height:18.8pt" o:ole="">
            <v:imagedata r:id="rId25" o:title=""/>
          </v:shape>
          <o:OLEObject Type="Embed" ProgID="Equation.3" ShapeID="_x0000_i1033" DrawAspect="Content" ObjectID="_1365590985" r:id="rId26"/>
        </w:object>
      </w:r>
      <w:r w:rsidRPr="00E351A4">
        <w:t xml:space="preserve">        </w:t>
      </w:r>
      <w:r w:rsidRPr="00E351A4">
        <w:tab/>
      </w:r>
      <w:r w:rsidRPr="00E351A4">
        <w:tab/>
      </w:r>
      <w:r w:rsidRPr="00E351A4">
        <w:tab/>
      </w:r>
      <w:r w:rsidRPr="00E351A4">
        <w:tab/>
      </w:r>
      <w:r w:rsidRPr="00E351A4">
        <w:tab/>
      </w:r>
      <w:r w:rsidRPr="00E351A4">
        <w:tab/>
      </w:r>
      <w:r w:rsidRPr="00E351A4">
        <w:tab/>
      </w:r>
      <w:r w:rsidRPr="00E351A4">
        <w:tab/>
      </w:r>
      <w:r w:rsidRPr="00E351A4">
        <w:tab/>
        <w:t>(</w:t>
      </w:r>
      <w:r>
        <w:t>5</w:t>
      </w:r>
      <w:r w:rsidRPr="00E351A4">
        <w:t>)</w:t>
      </w:r>
    </w:p>
    <w:p w:rsidR="00D476E4" w:rsidRPr="00E351A4" w:rsidRDefault="00D476E4" w:rsidP="00D476E4">
      <w:pPr>
        <w:spacing w:line="360" w:lineRule="auto"/>
        <w:contextualSpacing/>
        <w:jc w:val="both"/>
      </w:pPr>
    </w:p>
    <w:p w:rsidR="00D476E4" w:rsidRPr="00E351A4" w:rsidRDefault="00D476E4" w:rsidP="00D476E4">
      <w:pPr>
        <w:spacing w:line="360" w:lineRule="auto"/>
        <w:ind w:firstLine="720"/>
        <w:contextualSpacing/>
        <w:jc w:val="both"/>
      </w:pPr>
      <w:r w:rsidRPr="00E351A4">
        <w:t>The I-O model can be used to trace the environmental discharges in an economy, as firstly intro</w:t>
      </w:r>
      <w:r w:rsidR="00CA1E79">
        <w:t xml:space="preserve">duced and used in Leontief . </w:t>
      </w:r>
      <w:r w:rsidRPr="00E351A4">
        <w:t>As Leontief pointed out that pollution is the byproduct of economic activities and it has the linear relationship with production (Leontief, 1986). To incorporate environment into input-output analysis equation 8 is introduced.</w:t>
      </w:r>
    </w:p>
    <w:p w:rsidR="00D476E4" w:rsidRPr="00E351A4" w:rsidRDefault="00D476E4" w:rsidP="00D476E4">
      <w:pPr>
        <w:spacing w:line="360" w:lineRule="auto"/>
        <w:contextualSpacing/>
        <w:jc w:val="both"/>
      </w:pPr>
      <w:r w:rsidRPr="00E351A4">
        <w:rPr>
          <w:position w:val="-12"/>
        </w:rPr>
        <w:object w:dxaOrig="1200" w:dyaOrig="360">
          <v:shape id="_x0000_i1034" type="#_x0000_t75" style="width:60.2pt;height:18.25pt" o:ole="">
            <v:imagedata r:id="rId27" o:title=""/>
          </v:shape>
          <o:OLEObject Type="Embed" ProgID="Equation.3" ShapeID="_x0000_i1034" DrawAspect="Content" ObjectID="_1365590986" r:id="rId28"/>
        </w:object>
      </w:r>
      <w:r w:rsidRPr="00E351A4">
        <w:t xml:space="preserve"> </w:t>
      </w:r>
      <w:r w:rsidRPr="00E351A4">
        <w:tab/>
      </w:r>
      <w:r w:rsidRPr="00E351A4">
        <w:tab/>
      </w:r>
      <w:r w:rsidRPr="00E351A4">
        <w:tab/>
      </w:r>
      <w:r w:rsidRPr="00E351A4">
        <w:tab/>
      </w:r>
      <w:r w:rsidRPr="00E351A4">
        <w:tab/>
      </w:r>
      <w:r w:rsidRPr="00E351A4">
        <w:tab/>
      </w:r>
      <w:r w:rsidRPr="00E351A4">
        <w:tab/>
      </w:r>
      <w:r w:rsidRPr="00E351A4">
        <w:tab/>
      </w:r>
      <w:r w:rsidRPr="00E351A4">
        <w:tab/>
      </w:r>
      <w:r w:rsidRPr="00E351A4">
        <w:tab/>
        <w:t>(</w:t>
      </w:r>
      <w:r>
        <w:t>6</w:t>
      </w:r>
      <w:r w:rsidRPr="00E351A4">
        <w:t>)</w:t>
      </w:r>
    </w:p>
    <w:p w:rsidR="00D476E4" w:rsidRPr="00E351A4" w:rsidRDefault="00D476E4" w:rsidP="00D476E4">
      <w:pPr>
        <w:spacing w:line="360" w:lineRule="auto"/>
        <w:contextualSpacing/>
        <w:jc w:val="both"/>
      </w:pPr>
      <w:r w:rsidRPr="00E351A4">
        <w:t>where EB</w:t>
      </w:r>
      <w:r w:rsidRPr="00E351A4">
        <w:rPr>
          <w:vertAlign w:val="subscript"/>
        </w:rPr>
        <w:t>i</w:t>
      </w:r>
      <w:r w:rsidRPr="00E351A4">
        <w:t xml:space="preserve"> is the vector of environmental burden of sector </w:t>
      </w:r>
      <w:r w:rsidRPr="00E351A4">
        <w:rPr>
          <w:vertAlign w:val="subscript"/>
        </w:rPr>
        <w:t>i</w:t>
      </w:r>
      <w:r w:rsidRPr="00E351A4">
        <w:t xml:space="preserve"> and eb</w:t>
      </w:r>
      <w:r w:rsidRPr="00E351A4">
        <w:rPr>
          <w:vertAlign w:val="subscript"/>
        </w:rPr>
        <w:t>i</w:t>
      </w:r>
      <w:r w:rsidRPr="00E351A4">
        <w:t xml:space="preserve"> is the vector of environmental discharges of type </w:t>
      </w:r>
      <w:r w:rsidRPr="00E351A4">
        <w:rPr>
          <w:vertAlign w:val="subscript"/>
        </w:rPr>
        <w:t>i</w:t>
      </w:r>
      <w:r w:rsidRPr="00E351A4">
        <w:rPr>
          <w:i/>
        </w:rPr>
        <w:t xml:space="preserve"> </w:t>
      </w:r>
      <w:r w:rsidRPr="00E351A4">
        <w:t>per monetary unit of sector’s output. In order to solve for EB</w:t>
      </w:r>
      <w:r w:rsidRPr="00E351A4">
        <w:rPr>
          <w:vertAlign w:val="subscript"/>
        </w:rPr>
        <w:t>i</w:t>
      </w:r>
      <w:r w:rsidRPr="00E351A4">
        <w:t xml:space="preserve">, simply X in equation </w:t>
      </w:r>
      <w:r>
        <w:t>5</w:t>
      </w:r>
      <w:r w:rsidRPr="00E351A4">
        <w:t xml:space="preserve"> is substituted into equation </w:t>
      </w:r>
      <w:r>
        <w:t>6</w:t>
      </w:r>
      <w:r w:rsidRPr="00E351A4">
        <w:t xml:space="preserve">. As a result, economic data can be linked with resource use (such as energy and ore consumption) and/or environmental impact categories (such as greenhouse gas emissions, toxic discharges, ozone depletion potential, hazardous or non-hazardous waste), as in equation </w:t>
      </w:r>
      <w:r>
        <w:t>7</w:t>
      </w:r>
      <w:r w:rsidRPr="00E351A4">
        <w:t>.</w:t>
      </w:r>
    </w:p>
    <w:p w:rsidR="00D476E4" w:rsidRPr="00E351A4" w:rsidRDefault="00D476E4" w:rsidP="00D476E4">
      <w:pPr>
        <w:spacing w:line="360" w:lineRule="auto"/>
        <w:contextualSpacing/>
        <w:jc w:val="both"/>
      </w:pPr>
      <w:r w:rsidRPr="00E351A4">
        <w:rPr>
          <w:position w:val="-12"/>
        </w:rPr>
        <w:object w:dxaOrig="1980" w:dyaOrig="400">
          <v:shape id="_x0000_i1035" type="#_x0000_t75" style="width:98.85pt;height:20.4pt" o:ole="">
            <v:imagedata r:id="rId29" o:title=""/>
          </v:shape>
          <o:OLEObject Type="Embed" ProgID="Equation.3" ShapeID="_x0000_i1035" DrawAspect="Content" ObjectID="_1365590987" r:id="rId30"/>
        </w:object>
      </w:r>
      <w:r w:rsidRPr="00E351A4">
        <w:tab/>
      </w:r>
      <w:r>
        <w:tab/>
      </w:r>
      <w:r>
        <w:tab/>
      </w:r>
      <w:r>
        <w:tab/>
      </w:r>
      <w:r>
        <w:tab/>
      </w:r>
      <w:r>
        <w:tab/>
      </w:r>
      <w:r>
        <w:tab/>
      </w:r>
      <w:r>
        <w:tab/>
      </w:r>
      <w:r>
        <w:tab/>
      </w:r>
      <w:r w:rsidRPr="00E351A4">
        <w:t>(</w:t>
      </w:r>
      <w:r>
        <w:t>7</w:t>
      </w:r>
      <w:r w:rsidRPr="00E351A4">
        <w:t>)</w:t>
      </w:r>
    </w:p>
    <w:p w:rsidR="00D476E4" w:rsidRPr="00E351A4" w:rsidRDefault="00D476E4" w:rsidP="00D476E4">
      <w:pPr>
        <w:spacing w:line="360" w:lineRule="auto"/>
        <w:contextualSpacing/>
        <w:jc w:val="both"/>
      </w:pPr>
      <w:r w:rsidRPr="00E351A4">
        <w:t xml:space="preserve">GHGs emissions have been estimated from fossil fuel consumptions as fossil fuel consumption is the most important source of emissions in the economic activities. This study has used the aggregated input-output table &amp; aggregated environmental input-output table from Bhutto (2007); net calorific values and emissions factors of different fossil fuel are taken from IPCC (2006). </w:t>
      </w:r>
    </w:p>
    <w:p w:rsidR="00D476E4" w:rsidRPr="00E351A4" w:rsidRDefault="00D476E4" w:rsidP="00D476E4">
      <w:pPr>
        <w:spacing w:line="360" w:lineRule="auto"/>
        <w:contextualSpacing/>
        <w:jc w:val="both"/>
        <w:rPr>
          <w:b/>
        </w:rPr>
      </w:pPr>
    </w:p>
    <w:p w:rsidR="00D476E4" w:rsidRPr="00E351A4" w:rsidRDefault="008972A9" w:rsidP="00D476E4">
      <w:pPr>
        <w:spacing w:line="360" w:lineRule="auto"/>
        <w:contextualSpacing/>
        <w:jc w:val="both"/>
        <w:rPr>
          <w:b/>
        </w:rPr>
      </w:pPr>
      <w:r>
        <w:rPr>
          <w:b/>
        </w:rPr>
        <w:t xml:space="preserve">4. </w:t>
      </w:r>
      <w:r w:rsidR="00D476E4" w:rsidRPr="00E351A4">
        <w:rPr>
          <w:b/>
        </w:rPr>
        <w:t>POLICY ANALYSIS</w:t>
      </w:r>
    </w:p>
    <w:p w:rsidR="00D476E4" w:rsidRPr="00E351A4" w:rsidRDefault="008972A9" w:rsidP="00D476E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00D476E4" w:rsidRPr="00E351A4">
        <w:rPr>
          <w:rFonts w:ascii="Times New Roman" w:hAnsi="Times New Roman" w:cs="Times New Roman"/>
          <w:sz w:val="24"/>
          <w:szCs w:val="24"/>
        </w:rPr>
        <w:t xml:space="preserve">Transportation sector plays a vital role in Turkish economy for its contribution in growth and as well as in GHGs emissions in the country. This study has developed a policy scenario in which natural gas has been substituted for other fossil fuel types in transportation sector by 40 percent for the year 2012 by using environmental input-output model. Firstly, GHGs emissions </w:t>
      </w:r>
      <w:r w:rsidR="00D476E4" w:rsidRPr="00E351A4">
        <w:rPr>
          <w:rFonts w:ascii="Times New Roman" w:hAnsi="Times New Roman" w:cs="Times New Roman"/>
          <w:sz w:val="24"/>
          <w:szCs w:val="24"/>
        </w:rPr>
        <w:lastRenderedPageBreak/>
        <w:t>will be estimated for the year 2012 for all fossil fuel types in transportation sector and then after GHGs emissions will be estimated by partially 40 percent of each fossil fuel type's equivalent natural gas substitution. This study aims to investigate would there be any significant change in GHGs emissions after the substitution. Real growth rates</w:t>
      </w:r>
      <w:r w:rsidR="00D476E4" w:rsidRPr="00E351A4">
        <w:rPr>
          <w:rStyle w:val="FootnoteReference"/>
          <w:rFonts w:ascii="Times New Roman" w:hAnsi="Times New Roman" w:cs="Times New Roman"/>
          <w:sz w:val="24"/>
          <w:szCs w:val="24"/>
        </w:rPr>
        <w:footnoteReference w:id="3"/>
      </w:r>
      <w:r w:rsidR="00D476E4" w:rsidRPr="00E351A4">
        <w:rPr>
          <w:rFonts w:ascii="Times New Roman" w:hAnsi="Times New Roman" w:cs="Times New Roman"/>
          <w:sz w:val="24"/>
          <w:szCs w:val="24"/>
        </w:rPr>
        <w:t xml:space="preserve"> considering the 1998 as base year prices have been taken to estimate the final demand for the period of 2012.  </w:t>
      </w:r>
    </w:p>
    <w:p w:rsidR="00D476E4" w:rsidRPr="00E351A4" w:rsidRDefault="00D476E4" w:rsidP="00D476E4">
      <w:pPr>
        <w:spacing w:line="360" w:lineRule="auto"/>
        <w:contextualSpacing/>
        <w:jc w:val="both"/>
      </w:pPr>
      <w:r w:rsidRPr="00E351A4">
        <w:t>This policy scenario has following assumptions:</w:t>
      </w:r>
    </w:p>
    <w:p w:rsidR="00D476E4" w:rsidRPr="00E351A4" w:rsidRDefault="00D476E4" w:rsidP="00D476E4">
      <w:pPr>
        <w:pStyle w:val="ListParagraph"/>
        <w:numPr>
          <w:ilvl w:val="0"/>
          <w:numId w:val="1"/>
        </w:numPr>
        <w:spacing w:line="360" w:lineRule="auto"/>
        <w:jc w:val="both"/>
        <w:rPr>
          <w:rFonts w:ascii="Times New Roman" w:hAnsi="Times New Roman" w:cs="Times New Roman"/>
          <w:sz w:val="24"/>
          <w:szCs w:val="24"/>
        </w:rPr>
      </w:pPr>
      <w:r w:rsidRPr="00E351A4">
        <w:rPr>
          <w:rFonts w:ascii="Times New Roman" w:hAnsi="Times New Roman" w:cs="Times New Roman"/>
          <w:sz w:val="24"/>
          <w:szCs w:val="24"/>
        </w:rPr>
        <w:t>All fossil fuel types are perfect substitutes of each other</w:t>
      </w:r>
    </w:p>
    <w:p w:rsidR="00D476E4" w:rsidRPr="00E351A4" w:rsidRDefault="00D476E4" w:rsidP="00D476E4">
      <w:pPr>
        <w:pStyle w:val="ListParagraph"/>
        <w:numPr>
          <w:ilvl w:val="0"/>
          <w:numId w:val="1"/>
        </w:numPr>
        <w:spacing w:line="360" w:lineRule="auto"/>
        <w:jc w:val="both"/>
        <w:rPr>
          <w:rFonts w:ascii="Times New Roman" w:hAnsi="Times New Roman" w:cs="Times New Roman"/>
          <w:sz w:val="24"/>
          <w:szCs w:val="24"/>
        </w:rPr>
      </w:pPr>
      <w:r w:rsidRPr="00E351A4">
        <w:rPr>
          <w:rFonts w:ascii="Times New Roman" w:hAnsi="Times New Roman" w:cs="Times New Roman"/>
          <w:sz w:val="24"/>
          <w:szCs w:val="24"/>
        </w:rPr>
        <w:t xml:space="preserve"> There will be no crucial change in industry-wise production technology till 2012. </w:t>
      </w:r>
    </w:p>
    <w:p w:rsidR="00D476E4" w:rsidRPr="00E351A4" w:rsidRDefault="00D476E4" w:rsidP="00D476E4">
      <w:pPr>
        <w:pStyle w:val="ListParagraph"/>
        <w:spacing w:line="360" w:lineRule="auto"/>
        <w:ind w:left="0"/>
        <w:jc w:val="both"/>
        <w:rPr>
          <w:rFonts w:ascii="Times New Roman" w:hAnsi="Times New Roman" w:cs="Times New Roman"/>
          <w:sz w:val="24"/>
          <w:szCs w:val="24"/>
        </w:rPr>
      </w:pPr>
    </w:p>
    <w:p w:rsidR="00D476E4" w:rsidRPr="00E351A4" w:rsidRDefault="00D476E4" w:rsidP="00D476E4">
      <w:pPr>
        <w:spacing w:line="360" w:lineRule="auto"/>
        <w:contextualSpacing/>
      </w:pPr>
      <w:r w:rsidRPr="00E351A4">
        <w:t>The guideline for the substitution of natural gas for other fossil fuel types taken from Bhutto &amp; Cagatay (2008).</w:t>
      </w:r>
    </w:p>
    <w:p w:rsidR="00D476E4" w:rsidRPr="00E351A4" w:rsidRDefault="00D476E4" w:rsidP="00D476E4">
      <w:pPr>
        <w:spacing w:line="360" w:lineRule="auto"/>
        <w:contextualSpacing/>
      </w:pPr>
    </w:p>
    <w:p w:rsidR="00D476E4" w:rsidRPr="00E351A4" w:rsidRDefault="00D476E4" w:rsidP="00D476E4">
      <w:pPr>
        <w:spacing w:line="360" w:lineRule="auto"/>
        <w:contextualSpacing/>
      </w:pPr>
    </w:p>
    <w:p w:rsidR="00D476E4" w:rsidRDefault="008972A9" w:rsidP="00D476E4">
      <w:pPr>
        <w:spacing w:line="360" w:lineRule="auto"/>
        <w:contextualSpacing/>
        <w:rPr>
          <w:b/>
        </w:rPr>
      </w:pPr>
      <w:r>
        <w:rPr>
          <w:b/>
        </w:rPr>
        <w:t xml:space="preserve">6. </w:t>
      </w:r>
      <w:r w:rsidRPr="00007E34">
        <w:rPr>
          <w:b/>
        </w:rPr>
        <w:t>RESULTS &amp;</w:t>
      </w:r>
      <w:r>
        <w:rPr>
          <w:b/>
        </w:rPr>
        <w:t xml:space="preserve"> </w:t>
      </w:r>
      <w:r w:rsidRPr="00007E34">
        <w:rPr>
          <w:b/>
        </w:rPr>
        <w:t>DISCUSSIONS</w:t>
      </w:r>
    </w:p>
    <w:p w:rsidR="008972A9" w:rsidRDefault="008972A9" w:rsidP="008972A9">
      <w:pPr>
        <w:spacing w:line="360" w:lineRule="auto"/>
        <w:contextualSpacing/>
        <w:jc w:val="both"/>
      </w:pPr>
      <w:r>
        <w:tab/>
      </w:r>
      <w:r w:rsidR="00D476E4">
        <w:t xml:space="preserve">Table </w:t>
      </w:r>
      <w:r>
        <w:t>3</w:t>
      </w:r>
      <w:r w:rsidR="00D476E4">
        <w:t xml:space="preserve"> uncovers that if there is no change in production and consumption pattern in Turkey till the period of 2012, then it will emit </w:t>
      </w:r>
      <w:r w:rsidR="00D476E4" w:rsidRPr="00E55E52">
        <w:t>307955.13</w:t>
      </w:r>
      <w:r w:rsidR="00D476E4">
        <w:t xml:space="preserve">, </w:t>
      </w:r>
      <w:r w:rsidR="00D476E4" w:rsidRPr="00E55E52">
        <w:t>3.11</w:t>
      </w:r>
      <w:r w:rsidR="00D476E4">
        <w:t xml:space="preserve"> &amp;</w:t>
      </w:r>
      <w:r w:rsidR="00D476E4" w:rsidRPr="00E55E52">
        <w:t>7.12</w:t>
      </w:r>
      <w:r w:rsidR="00D476E4">
        <w:t xml:space="preserve"> thousand tonnes of CO2, N2O &amp; </w:t>
      </w:r>
      <w:r>
        <w:t>CH4</w:t>
      </w:r>
      <w:r w:rsidRPr="0039253D">
        <w:t xml:space="preserve"> </w:t>
      </w:r>
      <w:r>
        <w:t xml:space="preserve">respectively in the atmosphere from fossil fuels consumption. The highest share comes from energy production and distribution sector that makes 45.15 in CO2, 52.52 in N2O &amp; 34.84  in CH4 respectively. Transport sector takes the second position by contributing </w:t>
      </w:r>
      <w:r w:rsidRPr="008E5846">
        <w:t>54118.59</w:t>
      </w:r>
      <w:r>
        <w:t xml:space="preserve"> thousand tonne of  CO2 , 0.39 thousand tonne of  N2O &amp; 1.94 thousand tonne of  CH4 that make the share in total by 17.57, 12.28 &amp; 27.21 respectively. However, m</w:t>
      </w:r>
      <w:r w:rsidRPr="002C5B6E">
        <w:t xml:space="preserve">anufacture of coke, refined petroleum prod, basic chemicals, rubber, plastics, glass, ceramic prod., non-metallic minerals, etc. </w:t>
      </w:r>
      <w:r>
        <w:t xml:space="preserve">is also very important sector in terms of its sectoral contribution in GHGs emissions i.e.  10.22 percent in CO2, 9.12 percent in N2O &amp; 10.98 percent in CH4. </w:t>
      </w:r>
    </w:p>
    <w:p w:rsidR="00D476E4" w:rsidRDefault="00D476E4" w:rsidP="00D476E4">
      <w:pPr>
        <w:spacing w:line="360" w:lineRule="auto"/>
        <w:contextualSpacing/>
        <w:jc w:val="both"/>
      </w:pPr>
    </w:p>
    <w:p w:rsidR="008972A9" w:rsidRDefault="008972A9" w:rsidP="00D476E4">
      <w:pPr>
        <w:spacing w:line="360" w:lineRule="auto"/>
        <w:contextualSpacing/>
        <w:jc w:val="center"/>
        <w:rPr>
          <w:b/>
          <w:sz w:val="20"/>
          <w:szCs w:val="20"/>
        </w:rPr>
      </w:pPr>
    </w:p>
    <w:p w:rsidR="008972A9" w:rsidRDefault="008972A9" w:rsidP="00D476E4">
      <w:pPr>
        <w:spacing w:line="360" w:lineRule="auto"/>
        <w:contextualSpacing/>
        <w:jc w:val="center"/>
        <w:rPr>
          <w:b/>
          <w:sz w:val="20"/>
          <w:szCs w:val="20"/>
        </w:rPr>
      </w:pPr>
    </w:p>
    <w:p w:rsidR="008972A9" w:rsidRDefault="008972A9" w:rsidP="00D476E4">
      <w:pPr>
        <w:spacing w:line="360" w:lineRule="auto"/>
        <w:contextualSpacing/>
        <w:jc w:val="center"/>
        <w:rPr>
          <w:b/>
          <w:sz w:val="20"/>
          <w:szCs w:val="20"/>
        </w:rPr>
      </w:pPr>
    </w:p>
    <w:p w:rsidR="00D476E4" w:rsidRPr="008D23E3" w:rsidRDefault="00D476E4" w:rsidP="00D476E4">
      <w:pPr>
        <w:spacing w:line="360" w:lineRule="auto"/>
        <w:contextualSpacing/>
        <w:jc w:val="center"/>
        <w:rPr>
          <w:sz w:val="20"/>
          <w:szCs w:val="20"/>
        </w:rPr>
      </w:pPr>
      <w:r w:rsidRPr="008D23E3">
        <w:rPr>
          <w:b/>
          <w:sz w:val="20"/>
          <w:szCs w:val="20"/>
        </w:rPr>
        <w:lastRenderedPageBreak/>
        <w:t>Table</w:t>
      </w:r>
      <w:r w:rsidR="008972A9">
        <w:rPr>
          <w:b/>
          <w:sz w:val="20"/>
          <w:szCs w:val="20"/>
        </w:rPr>
        <w:t>: 3</w:t>
      </w:r>
      <w:r w:rsidRPr="008D23E3">
        <w:rPr>
          <w:b/>
          <w:sz w:val="20"/>
          <w:szCs w:val="20"/>
        </w:rPr>
        <w:t>. GHGs Emissions in 1000 tonnes for 2012 From Fossil Fuel</w:t>
      </w:r>
    </w:p>
    <w:tbl>
      <w:tblPr>
        <w:tblStyle w:val="TableGrid"/>
        <w:tblW w:w="0" w:type="auto"/>
        <w:tblLook w:val="04A0"/>
      </w:tblPr>
      <w:tblGrid>
        <w:gridCol w:w="6372"/>
        <w:gridCol w:w="1656"/>
        <w:gridCol w:w="793"/>
        <w:gridCol w:w="755"/>
      </w:tblGrid>
      <w:tr w:rsidR="00D476E4" w:rsidRPr="00885FAA" w:rsidTr="00D476E4">
        <w:trPr>
          <w:trHeight w:val="692"/>
        </w:trPr>
        <w:tc>
          <w:tcPr>
            <w:tcW w:w="6372" w:type="dxa"/>
            <w:noWrap/>
            <w:hideMark/>
          </w:tcPr>
          <w:p w:rsidR="00D476E4" w:rsidRPr="00885FAA" w:rsidRDefault="00D476E4" w:rsidP="00D476E4">
            <w:pPr>
              <w:spacing w:line="360" w:lineRule="auto"/>
              <w:contextualSpacing/>
              <w:rPr>
                <w:sz w:val="16"/>
                <w:szCs w:val="16"/>
              </w:rPr>
            </w:pPr>
            <w:r w:rsidRPr="00885FAA">
              <w:rPr>
                <w:sz w:val="16"/>
                <w:szCs w:val="16"/>
              </w:rPr>
              <w:t>Sectors</w:t>
            </w:r>
          </w:p>
        </w:tc>
        <w:tc>
          <w:tcPr>
            <w:tcW w:w="1656" w:type="dxa"/>
            <w:tcBorders>
              <w:right w:val="single" w:sz="4" w:space="0" w:color="auto"/>
            </w:tcBorders>
            <w:noWrap/>
            <w:vAlign w:val="center"/>
            <w:hideMark/>
          </w:tcPr>
          <w:p w:rsidR="00D476E4" w:rsidRPr="00885FAA" w:rsidRDefault="00D476E4" w:rsidP="00D476E4">
            <w:pPr>
              <w:spacing w:line="360" w:lineRule="auto"/>
              <w:contextualSpacing/>
              <w:jc w:val="center"/>
              <w:rPr>
                <w:sz w:val="16"/>
                <w:szCs w:val="16"/>
              </w:rPr>
            </w:pPr>
            <w:r>
              <w:rPr>
                <w:sz w:val="16"/>
                <w:szCs w:val="16"/>
              </w:rPr>
              <w:t>CO2</w:t>
            </w:r>
          </w:p>
        </w:tc>
        <w:tc>
          <w:tcPr>
            <w:tcW w:w="793" w:type="dxa"/>
            <w:tcBorders>
              <w:right w:val="single" w:sz="4" w:space="0" w:color="auto"/>
            </w:tcBorders>
            <w:vAlign w:val="center"/>
          </w:tcPr>
          <w:p w:rsidR="00D476E4" w:rsidRPr="00885FAA" w:rsidRDefault="00D476E4" w:rsidP="00D476E4">
            <w:pPr>
              <w:spacing w:line="360" w:lineRule="auto"/>
              <w:contextualSpacing/>
              <w:jc w:val="center"/>
              <w:rPr>
                <w:sz w:val="16"/>
                <w:szCs w:val="16"/>
              </w:rPr>
            </w:pPr>
            <w:r>
              <w:rPr>
                <w:sz w:val="16"/>
                <w:szCs w:val="16"/>
              </w:rPr>
              <w:t>N2O</w:t>
            </w:r>
          </w:p>
        </w:tc>
        <w:tc>
          <w:tcPr>
            <w:tcW w:w="755" w:type="dxa"/>
            <w:tcBorders>
              <w:right w:val="single" w:sz="4" w:space="0" w:color="auto"/>
            </w:tcBorders>
            <w:vAlign w:val="center"/>
          </w:tcPr>
          <w:p w:rsidR="00D476E4" w:rsidRPr="00885FAA" w:rsidRDefault="00D476E4" w:rsidP="00D476E4">
            <w:pPr>
              <w:spacing w:line="360" w:lineRule="auto"/>
              <w:contextualSpacing/>
              <w:jc w:val="center"/>
              <w:rPr>
                <w:sz w:val="16"/>
                <w:szCs w:val="16"/>
              </w:rPr>
            </w:pPr>
            <w:r>
              <w:rPr>
                <w:sz w:val="16"/>
                <w:szCs w:val="16"/>
              </w:rPr>
              <w:t>CH4</w:t>
            </w:r>
          </w:p>
        </w:tc>
      </w:tr>
      <w:tr w:rsidR="00D476E4" w:rsidRPr="00885FAA" w:rsidTr="00D476E4">
        <w:trPr>
          <w:trHeight w:val="255"/>
        </w:trPr>
        <w:tc>
          <w:tcPr>
            <w:tcW w:w="6372" w:type="dxa"/>
            <w:noWrap/>
            <w:hideMark/>
          </w:tcPr>
          <w:p w:rsidR="00D476E4" w:rsidRPr="00885FAA" w:rsidRDefault="00D476E4" w:rsidP="00D476E4">
            <w:pPr>
              <w:spacing w:line="360" w:lineRule="auto"/>
              <w:contextualSpacing/>
              <w:rPr>
                <w:sz w:val="16"/>
                <w:szCs w:val="16"/>
              </w:rPr>
            </w:pPr>
            <w:r w:rsidRPr="00885FAA">
              <w:rPr>
                <w:sz w:val="16"/>
                <w:szCs w:val="16"/>
              </w:rPr>
              <w:t>Growing of cereals and other crops n.e.c.</w:t>
            </w:r>
          </w:p>
        </w:tc>
        <w:tc>
          <w:tcPr>
            <w:tcW w:w="1656" w:type="dxa"/>
            <w:noWrap/>
            <w:hideMark/>
          </w:tcPr>
          <w:p w:rsidR="00D476E4" w:rsidRPr="00885FAA" w:rsidRDefault="00D476E4" w:rsidP="00D476E4">
            <w:pPr>
              <w:spacing w:line="360" w:lineRule="auto"/>
              <w:contextualSpacing/>
              <w:rPr>
                <w:sz w:val="16"/>
                <w:szCs w:val="16"/>
              </w:rPr>
            </w:pPr>
            <w:r w:rsidRPr="00885FAA">
              <w:rPr>
                <w:sz w:val="16"/>
                <w:szCs w:val="16"/>
              </w:rPr>
              <w:t>5526.0042</w:t>
            </w:r>
          </w:p>
        </w:tc>
        <w:tc>
          <w:tcPr>
            <w:tcW w:w="793" w:type="dxa"/>
            <w:noWrap/>
            <w:hideMark/>
          </w:tcPr>
          <w:p w:rsidR="00D476E4" w:rsidRPr="00885FAA" w:rsidRDefault="00D476E4" w:rsidP="00D476E4">
            <w:pPr>
              <w:spacing w:line="360" w:lineRule="auto"/>
              <w:contextualSpacing/>
              <w:rPr>
                <w:sz w:val="16"/>
                <w:szCs w:val="16"/>
              </w:rPr>
            </w:pPr>
            <w:r w:rsidRPr="00885FAA">
              <w:rPr>
                <w:sz w:val="16"/>
                <w:szCs w:val="16"/>
              </w:rPr>
              <w:t>0.0388</w:t>
            </w:r>
          </w:p>
        </w:tc>
        <w:tc>
          <w:tcPr>
            <w:tcW w:w="755" w:type="dxa"/>
            <w:noWrap/>
            <w:hideMark/>
          </w:tcPr>
          <w:p w:rsidR="00D476E4" w:rsidRPr="00885FAA" w:rsidRDefault="00D476E4" w:rsidP="00D476E4">
            <w:pPr>
              <w:spacing w:line="360" w:lineRule="auto"/>
              <w:contextualSpacing/>
              <w:rPr>
                <w:sz w:val="16"/>
                <w:szCs w:val="16"/>
              </w:rPr>
            </w:pPr>
            <w:r w:rsidRPr="00885FAA">
              <w:rPr>
                <w:sz w:val="16"/>
                <w:szCs w:val="16"/>
              </w:rPr>
              <w:t>0.2019</w:t>
            </w:r>
          </w:p>
        </w:tc>
      </w:tr>
      <w:tr w:rsidR="00D476E4" w:rsidRPr="00885FAA" w:rsidTr="00D476E4">
        <w:trPr>
          <w:trHeight w:val="255"/>
        </w:trPr>
        <w:tc>
          <w:tcPr>
            <w:tcW w:w="6372" w:type="dxa"/>
            <w:noWrap/>
            <w:hideMark/>
          </w:tcPr>
          <w:p w:rsidR="00D476E4" w:rsidRPr="00885FAA" w:rsidRDefault="00D476E4" w:rsidP="00D476E4">
            <w:pPr>
              <w:spacing w:line="360" w:lineRule="auto"/>
              <w:contextualSpacing/>
              <w:rPr>
                <w:sz w:val="16"/>
                <w:szCs w:val="16"/>
              </w:rPr>
            </w:pPr>
            <w:r w:rsidRPr="00885FAA">
              <w:rPr>
                <w:sz w:val="16"/>
                <w:szCs w:val="16"/>
              </w:rPr>
              <w:t>Wheat</w:t>
            </w:r>
          </w:p>
        </w:tc>
        <w:tc>
          <w:tcPr>
            <w:tcW w:w="1656" w:type="dxa"/>
            <w:noWrap/>
            <w:hideMark/>
          </w:tcPr>
          <w:p w:rsidR="00D476E4" w:rsidRPr="00885FAA" w:rsidRDefault="00D476E4" w:rsidP="00D476E4">
            <w:pPr>
              <w:spacing w:line="360" w:lineRule="auto"/>
              <w:contextualSpacing/>
              <w:rPr>
                <w:sz w:val="16"/>
                <w:szCs w:val="16"/>
              </w:rPr>
            </w:pPr>
            <w:r w:rsidRPr="00885FAA">
              <w:rPr>
                <w:sz w:val="16"/>
                <w:szCs w:val="16"/>
              </w:rPr>
              <w:t>1090.4236</w:t>
            </w:r>
          </w:p>
        </w:tc>
        <w:tc>
          <w:tcPr>
            <w:tcW w:w="793" w:type="dxa"/>
            <w:noWrap/>
            <w:hideMark/>
          </w:tcPr>
          <w:p w:rsidR="00D476E4" w:rsidRPr="00885FAA" w:rsidRDefault="00D476E4" w:rsidP="00D476E4">
            <w:pPr>
              <w:spacing w:line="360" w:lineRule="auto"/>
              <w:contextualSpacing/>
              <w:rPr>
                <w:sz w:val="16"/>
                <w:szCs w:val="16"/>
              </w:rPr>
            </w:pPr>
            <w:r w:rsidRPr="00885FAA">
              <w:rPr>
                <w:sz w:val="16"/>
                <w:szCs w:val="16"/>
              </w:rPr>
              <w:t>0.0077</w:t>
            </w:r>
          </w:p>
        </w:tc>
        <w:tc>
          <w:tcPr>
            <w:tcW w:w="755" w:type="dxa"/>
            <w:noWrap/>
            <w:hideMark/>
          </w:tcPr>
          <w:p w:rsidR="00D476E4" w:rsidRPr="00885FAA" w:rsidRDefault="00D476E4" w:rsidP="00D476E4">
            <w:pPr>
              <w:spacing w:line="360" w:lineRule="auto"/>
              <w:contextualSpacing/>
              <w:rPr>
                <w:sz w:val="16"/>
                <w:szCs w:val="16"/>
              </w:rPr>
            </w:pPr>
            <w:r w:rsidRPr="00885FAA">
              <w:rPr>
                <w:sz w:val="16"/>
                <w:szCs w:val="16"/>
              </w:rPr>
              <w:t>0.0398</w:t>
            </w:r>
          </w:p>
        </w:tc>
      </w:tr>
      <w:tr w:rsidR="00D476E4" w:rsidRPr="00885FAA" w:rsidTr="00D476E4">
        <w:trPr>
          <w:trHeight w:val="255"/>
        </w:trPr>
        <w:tc>
          <w:tcPr>
            <w:tcW w:w="6372" w:type="dxa"/>
            <w:noWrap/>
            <w:hideMark/>
          </w:tcPr>
          <w:p w:rsidR="00D476E4" w:rsidRPr="00885FAA" w:rsidRDefault="00D476E4" w:rsidP="00D476E4">
            <w:pPr>
              <w:spacing w:line="360" w:lineRule="auto"/>
              <w:contextualSpacing/>
              <w:rPr>
                <w:sz w:val="16"/>
                <w:szCs w:val="16"/>
              </w:rPr>
            </w:pPr>
            <w:r w:rsidRPr="00885FAA">
              <w:rPr>
                <w:sz w:val="16"/>
                <w:szCs w:val="16"/>
              </w:rPr>
              <w:t>Maize</w:t>
            </w:r>
          </w:p>
        </w:tc>
        <w:tc>
          <w:tcPr>
            <w:tcW w:w="1656" w:type="dxa"/>
            <w:noWrap/>
            <w:hideMark/>
          </w:tcPr>
          <w:p w:rsidR="00D476E4" w:rsidRPr="00885FAA" w:rsidRDefault="00D476E4" w:rsidP="00D476E4">
            <w:pPr>
              <w:spacing w:line="360" w:lineRule="auto"/>
              <w:contextualSpacing/>
              <w:rPr>
                <w:sz w:val="16"/>
                <w:szCs w:val="16"/>
              </w:rPr>
            </w:pPr>
            <w:r w:rsidRPr="00885FAA">
              <w:rPr>
                <w:sz w:val="16"/>
                <w:szCs w:val="16"/>
              </w:rPr>
              <w:t>190.5103</w:t>
            </w:r>
          </w:p>
        </w:tc>
        <w:tc>
          <w:tcPr>
            <w:tcW w:w="793" w:type="dxa"/>
            <w:noWrap/>
            <w:hideMark/>
          </w:tcPr>
          <w:p w:rsidR="00D476E4" w:rsidRPr="00885FAA" w:rsidRDefault="00D476E4" w:rsidP="00D476E4">
            <w:pPr>
              <w:spacing w:line="360" w:lineRule="auto"/>
              <w:contextualSpacing/>
              <w:rPr>
                <w:sz w:val="16"/>
                <w:szCs w:val="16"/>
              </w:rPr>
            </w:pPr>
            <w:r w:rsidRPr="00885FAA">
              <w:rPr>
                <w:sz w:val="16"/>
                <w:szCs w:val="16"/>
              </w:rPr>
              <w:t>0.0013</w:t>
            </w:r>
          </w:p>
        </w:tc>
        <w:tc>
          <w:tcPr>
            <w:tcW w:w="755" w:type="dxa"/>
            <w:noWrap/>
            <w:hideMark/>
          </w:tcPr>
          <w:p w:rsidR="00D476E4" w:rsidRPr="00885FAA" w:rsidRDefault="00D476E4" w:rsidP="00D476E4">
            <w:pPr>
              <w:spacing w:line="360" w:lineRule="auto"/>
              <w:contextualSpacing/>
              <w:rPr>
                <w:sz w:val="16"/>
                <w:szCs w:val="16"/>
              </w:rPr>
            </w:pPr>
            <w:r w:rsidRPr="00885FAA">
              <w:rPr>
                <w:sz w:val="16"/>
                <w:szCs w:val="16"/>
              </w:rPr>
              <w:t>0.0070</w:t>
            </w:r>
          </w:p>
        </w:tc>
      </w:tr>
      <w:tr w:rsidR="00D476E4" w:rsidRPr="00885FAA" w:rsidTr="00D476E4">
        <w:trPr>
          <w:trHeight w:val="255"/>
        </w:trPr>
        <w:tc>
          <w:tcPr>
            <w:tcW w:w="6372" w:type="dxa"/>
            <w:noWrap/>
            <w:hideMark/>
          </w:tcPr>
          <w:p w:rsidR="00D476E4" w:rsidRPr="00885FAA" w:rsidRDefault="00D476E4" w:rsidP="00D476E4">
            <w:pPr>
              <w:spacing w:line="360" w:lineRule="auto"/>
              <w:contextualSpacing/>
              <w:rPr>
                <w:sz w:val="16"/>
                <w:szCs w:val="16"/>
              </w:rPr>
            </w:pPr>
            <w:r w:rsidRPr="00885FAA">
              <w:rPr>
                <w:sz w:val="16"/>
                <w:szCs w:val="16"/>
              </w:rPr>
              <w:t>Sunflower</w:t>
            </w:r>
          </w:p>
        </w:tc>
        <w:tc>
          <w:tcPr>
            <w:tcW w:w="1656" w:type="dxa"/>
            <w:noWrap/>
            <w:hideMark/>
          </w:tcPr>
          <w:p w:rsidR="00D476E4" w:rsidRPr="00885FAA" w:rsidRDefault="00D476E4" w:rsidP="00D476E4">
            <w:pPr>
              <w:spacing w:line="360" w:lineRule="auto"/>
              <w:contextualSpacing/>
              <w:rPr>
                <w:sz w:val="16"/>
                <w:szCs w:val="16"/>
              </w:rPr>
            </w:pPr>
            <w:r w:rsidRPr="00885FAA">
              <w:rPr>
                <w:sz w:val="16"/>
                <w:szCs w:val="16"/>
              </w:rPr>
              <w:t>240.2127</w:t>
            </w:r>
          </w:p>
        </w:tc>
        <w:tc>
          <w:tcPr>
            <w:tcW w:w="793" w:type="dxa"/>
            <w:noWrap/>
            <w:hideMark/>
          </w:tcPr>
          <w:p w:rsidR="00D476E4" w:rsidRPr="00885FAA" w:rsidRDefault="00D476E4" w:rsidP="00D476E4">
            <w:pPr>
              <w:spacing w:line="360" w:lineRule="auto"/>
              <w:contextualSpacing/>
              <w:rPr>
                <w:sz w:val="16"/>
                <w:szCs w:val="16"/>
              </w:rPr>
            </w:pPr>
            <w:r w:rsidRPr="00885FAA">
              <w:rPr>
                <w:sz w:val="16"/>
                <w:szCs w:val="16"/>
              </w:rPr>
              <w:t>0.0017</w:t>
            </w:r>
          </w:p>
        </w:tc>
        <w:tc>
          <w:tcPr>
            <w:tcW w:w="755" w:type="dxa"/>
            <w:noWrap/>
            <w:hideMark/>
          </w:tcPr>
          <w:p w:rsidR="00D476E4" w:rsidRPr="00885FAA" w:rsidRDefault="00D476E4" w:rsidP="00D476E4">
            <w:pPr>
              <w:spacing w:line="360" w:lineRule="auto"/>
              <w:contextualSpacing/>
              <w:rPr>
                <w:sz w:val="16"/>
                <w:szCs w:val="16"/>
              </w:rPr>
            </w:pPr>
            <w:r w:rsidRPr="00885FAA">
              <w:rPr>
                <w:sz w:val="16"/>
                <w:szCs w:val="16"/>
              </w:rPr>
              <w:t>0.0088</w:t>
            </w:r>
          </w:p>
        </w:tc>
      </w:tr>
      <w:tr w:rsidR="00D476E4" w:rsidRPr="00885FAA" w:rsidTr="00D476E4">
        <w:trPr>
          <w:trHeight w:val="255"/>
        </w:trPr>
        <w:tc>
          <w:tcPr>
            <w:tcW w:w="6372" w:type="dxa"/>
            <w:noWrap/>
            <w:hideMark/>
          </w:tcPr>
          <w:p w:rsidR="00D476E4" w:rsidRPr="00885FAA" w:rsidRDefault="00D476E4" w:rsidP="00D476E4">
            <w:pPr>
              <w:spacing w:line="360" w:lineRule="auto"/>
              <w:contextualSpacing/>
              <w:rPr>
                <w:sz w:val="16"/>
                <w:szCs w:val="16"/>
              </w:rPr>
            </w:pPr>
            <w:r w:rsidRPr="00885FAA">
              <w:rPr>
                <w:sz w:val="16"/>
                <w:szCs w:val="16"/>
              </w:rPr>
              <w:t>Cotton</w:t>
            </w:r>
          </w:p>
        </w:tc>
        <w:tc>
          <w:tcPr>
            <w:tcW w:w="1656" w:type="dxa"/>
            <w:noWrap/>
            <w:hideMark/>
          </w:tcPr>
          <w:p w:rsidR="00D476E4" w:rsidRPr="00885FAA" w:rsidRDefault="00D476E4" w:rsidP="00D476E4">
            <w:pPr>
              <w:spacing w:line="360" w:lineRule="auto"/>
              <w:contextualSpacing/>
              <w:rPr>
                <w:sz w:val="16"/>
                <w:szCs w:val="16"/>
              </w:rPr>
            </w:pPr>
            <w:r w:rsidRPr="00885FAA">
              <w:rPr>
                <w:sz w:val="16"/>
                <w:szCs w:val="16"/>
              </w:rPr>
              <w:t>148.5574</w:t>
            </w:r>
          </w:p>
        </w:tc>
        <w:tc>
          <w:tcPr>
            <w:tcW w:w="793" w:type="dxa"/>
            <w:noWrap/>
            <w:hideMark/>
          </w:tcPr>
          <w:p w:rsidR="00D476E4" w:rsidRPr="00885FAA" w:rsidRDefault="00D476E4" w:rsidP="00D476E4">
            <w:pPr>
              <w:spacing w:line="360" w:lineRule="auto"/>
              <w:contextualSpacing/>
              <w:rPr>
                <w:sz w:val="16"/>
                <w:szCs w:val="16"/>
              </w:rPr>
            </w:pPr>
            <w:r w:rsidRPr="00885FAA">
              <w:rPr>
                <w:sz w:val="16"/>
                <w:szCs w:val="16"/>
              </w:rPr>
              <w:t>0.0010</w:t>
            </w:r>
          </w:p>
        </w:tc>
        <w:tc>
          <w:tcPr>
            <w:tcW w:w="755" w:type="dxa"/>
            <w:noWrap/>
            <w:hideMark/>
          </w:tcPr>
          <w:p w:rsidR="00D476E4" w:rsidRPr="00885FAA" w:rsidRDefault="00D476E4" w:rsidP="00D476E4">
            <w:pPr>
              <w:spacing w:line="360" w:lineRule="auto"/>
              <w:contextualSpacing/>
              <w:rPr>
                <w:sz w:val="16"/>
                <w:szCs w:val="16"/>
              </w:rPr>
            </w:pPr>
            <w:r w:rsidRPr="00885FAA">
              <w:rPr>
                <w:sz w:val="16"/>
                <w:szCs w:val="16"/>
              </w:rPr>
              <w:t>0.0054</w:t>
            </w:r>
          </w:p>
        </w:tc>
      </w:tr>
      <w:tr w:rsidR="00D476E4" w:rsidRPr="00885FAA" w:rsidTr="00D476E4">
        <w:trPr>
          <w:trHeight w:val="255"/>
        </w:trPr>
        <w:tc>
          <w:tcPr>
            <w:tcW w:w="6372" w:type="dxa"/>
            <w:noWrap/>
            <w:hideMark/>
          </w:tcPr>
          <w:p w:rsidR="00D476E4" w:rsidRPr="00885FAA" w:rsidRDefault="00D476E4" w:rsidP="00D476E4">
            <w:pPr>
              <w:spacing w:line="360" w:lineRule="auto"/>
              <w:contextualSpacing/>
              <w:rPr>
                <w:sz w:val="16"/>
                <w:szCs w:val="16"/>
              </w:rPr>
            </w:pPr>
            <w:r w:rsidRPr="00885FAA">
              <w:rPr>
                <w:sz w:val="16"/>
                <w:szCs w:val="16"/>
              </w:rPr>
              <w:t>Growing of vegetables, horticultural specialties and nursery products</w:t>
            </w:r>
          </w:p>
        </w:tc>
        <w:tc>
          <w:tcPr>
            <w:tcW w:w="1656" w:type="dxa"/>
            <w:noWrap/>
            <w:hideMark/>
          </w:tcPr>
          <w:p w:rsidR="00D476E4" w:rsidRPr="00885FAA" w:rsidRDefault="00D476E4" w:rsidP="00D476E4">
            <w:pPr>
              <w:spacing w:line="360" w:lineRule="auto"/>
              <w:contextualSpacing/>
              <w:rPr>
                <w:sz w:val="16"/>
                <w:szCs w:val="16"/>
              </w:rPr>
            </w:pPr>
            <w:r w:rsidRPr="00885FAA">
              <w:rPr>
                <w:sz w:val="16"/>
                <w:szCs w:val="16"/>
              </w:rPr>
              <w:t>201.9875</w:t>
            </w:r>
          </w:p>
        </w:tc>
        <w:tc>
          <w:tcPr>
            <w:tcW w:w="793" w:type="dxa"/>
            <w:noWrap/>
            <w:hideMark/>
          </w:tcPr>
          <w:p w:rsidR="00D476E4" w:rsidRPr="00885FAA" w:rsidRDefault="00D476E4" w:rsidP="00D476E4">
            <w:pPr>
              <w:spacing w:line="360" w:lineRule="auto"/>
              <w:contextualSpacing/>
              <w:rPr>
                <w:sz w:val="16"/>
                <w:szCs w:val="16"/>
              </w:rPr>
            </w:pPr>
            <w:r w:rsidRPr="00885FAA">
              <w:rPr>
                <w:sz w:val="16"/>
                <w:szCs w:val="16"/>
              </w:rPr>
              <w:t>0.0014</w:t>
            </w:r>
          </w:p>
        </w:tc>
        <w:tc>
          <w:tcPr>
            <w:tcW w:w="755" w:type="dxa"/>
            <w:noWrap/>
            <w:hideMark/>
          </w:tcPr>
          <w:p w:rsidR="00D476E4" w:rsidRPr="00885FAA" w:rsidRDefault="00D476E4" w:rsidP="00D476E4">
            <w:pPr>
              <w:spacing w:line="360" w:lineRule="auto"/>
              <w:contextualSpacing/>
              <w:rPr>
                <w:sz w:val="16"/>
                <w:szCs w:val="16"/>
              </w:rPr>
            </w:pPr>
            <w:r w:rsidRPr="00885FAA">
              <w:rPr>
                <w:sz w:val="16"/>
                <w:szCs w:val="16"/>
              </w:rPr>
              <w:t>0.0074</w:t>
            </w:r>
          </w:p>
        </w:tc>
      </w:tr>
      <w:tr w:rsidR="00D476E4" w:rsidRPr="00885FAA" w:rsidTr="00D476E4">
        <w:trPr>
          <w:trHeight w:val="255"/>
        </w:trPr>
        <w:tc>
          <w:tcPr>
            <w:tcW w:w="6372" w:type="dxa"/>
            <w:noWrap/>
            <w:hideMark/>
          </w:tcPr>
          <w:p w:rsidR="00D476E4" w:rsidRPr="00885FAA" w:rsidRDefault="00D476E4" w:rsidP="00D476E4">
            <w:pPr>
              <w:spacing w:line="360" w:lineRule="auto"/>
              <w:contextualSpacing/>
              <w:rPr>
                <w:sz w:val="16"/>
                <w:szCs w:val="16"/>
              </w:rPr>
            </w:pPr>
            <w:r w:rsidRPr="00885FAA">
              <w:rPr>
                <w:sz w:val="16"/>
                <w:szCs w:val="16"/>
              </w:rPr>
              <w:t>Growing of fruit, nuts, beverage and spice crops</w:t>
            </w:r>
          </w:p>
        </w:tc>
        <w:tc>
          <w:tcPr>
            <w:tcW w:w="1656" w:type="dxa"/>
            <w:noWrap/>
            <w:hideMark/>
          </w:tcPr>
          <w:p w:rsidR="00D476E4" w:rsidRPr="00885FAA" w:rsidRDefault="00D476E4" w:rsidP="00D476E4">
            <w:pPr>
              <w:spacing w:line="360" w:lineRule="auto"/>
              <w:contextualSpacing/>
              <w:rPr>
                <w:sz w:val="16"/>
                <w:szCs w:val="16"/>
              </w:rPr>
            </w:pPr>
            <w:r w:rsidRPr="00885FAA">
              <w:rPr>
                <w:sz w:val="16"/>
                <w:szCs w:val="16"/>
              </w:rPr>
              <w:t>215.0560</w:t>
            </w:r>
          </w:p>
        </w:tc>
        <w:tc>
          <w:tcPr>
            <w:tcW w:w="793" w:type="dxa"/>
            <w:noWrap/>
            <w:hideMark/>
          </w:tcPr>
          <w:p w:rsidR="00D476E4" w:rsidRPr="00885FAA" w:rsidRDefault="00D476E4" w:rsidP="00D476E4">
            <w:pPr>
              <w:spacing w:line="360" w:lineRule="auto"/>
              <w:contextualSpacing/>
              <w:rPr>
                <w:sz w:val="16"/>
                <w:szCs w:val="16"/>
              </w:rPr>
            </w:pPr>
            <w:r w:rsidRPr="00885FAA">
              <w:rPr>
                <w:sz w:val="16"/>
                <w:szCs w:val="16"/>
              </w:rPr>
              <w:t>0.0015</w:t>
            </w:r>
          </w:p>
        </w:tc>
        <w:tc>
          <w:tcPr>
            <w:tcW w:w="755" w:type="dxa"/>
            <w:noWrap/>
            <w:hideMark/>
          </w:tcPr>
          <w:p w:rsidR="00D476E4" w:rsidRPr="00885FAA" w:rsidRDefault="00D476E4" w:rsidP="00D476E4">
            <w:pPr>
              <w:spacing w:line="360" w:lineRule="auto"/>
              <w:contextualSpacing/>
              <w:rPr>
                <w:sz w:val="16"/>
                <w:szCs w:val="16"/>
              </w:rPr>
            </w:pPr>
            <w:r w:rsidRPr="00885FAA">
              <w:rPr>
                <w:sz w:val="16"/>
                <w:szCs w:val="16"/>
              </w:rPr>
              <w:t>0.0079</w:t>
            </w:r>
          </w:p>
        </w:tc>
      </w:tr>
      <w:tr w:rsidR="00D476E4" w:rsidRPr="00885FAA" w:rsidTr="00D476E4">
        <w:trPr>
          <w:trHeight w:val="255"/>
        </w:trPr>
        <w:tc>
          <w:tcPr>
            <w:tcW w:w="6372" w:type="dxa"/>
            <w:noWrap/>
            <w:hideMark/>
          </w:tcPr>
          <w:p w:rsidR="00D476E4" w:rsidRPr="00885FAA" w:rsidRDefault="00D476E4" w:rsidP="00D476E4">
            <w:pPr>
              <w:spacing w:line="360" w:lineRule="auto"/>
              <w:contextualSpacing/>
              <w:rPr>
                <w:sz w:val="16"/>
                <w:szCs w:val="16"/>
              </w:rPr>
            </w:pPr>
            <w:r w:rsidRPr="00885FAA">
              <w:rPr>
                <w:sz w:val="16"/>
                <w:szCs w:val="16"/>
              </w:rPr>
              <w:t>Farming of animals</w:t>
            </w:r>
          </w:p>
        </w:tc>
        <w:tc>
          <w:tcPr>
            <w:tcW w:w="1656" w:type="dxa"/>
            <w:noWrap/>
            <w:hideMark/>
          </w:tcPr>
          <w:p w:rsidR="00D476E4" w:rsidRPr="00885FAA" w:rsidRDefault="00D476E4" w:rsidP="00D476E4">
            <w:pPr>
              <w:spacing w:line="360" w:lineRule="auto"/>
              <w:contextualSpacing/>
              <w:rPr>
                <w:sz w:val="16"/>
                <w:szCs w:val="16"/>
              </w:rPr>
            </w:pPr>
            <w:r w:rsidRPr="00885FAA">
              <w:rPr>
                <w:sz w:val="16"/>
                <w:szCs w:val="16"/>
              </w:rPr>
              <w:t>69.1652</w:t>
            </w:r>
          </w:p>
        </w:tc>
        <w:tc>
          <w:tcPr>
            <w:tcW w:w="793" w:type="dxa"/>
            <w:noWrap/>
            <w:hideMark/>
          </w:tcPr>
          <w:p w:rsidR="00D476E4" w:rsidRPr="00885FAA" w:rsidRDefault="00D476E4" w:rsidP="00D476E4">
            <w:pPr>
              <w:spacing w:line="360" w:lineRule="auto"/>
              <w:contextualSpacing/>
              <w:rPr>
                <w:sz w:val="16"/>
                <w:szCs w:val="16"/>
              </w:rPr>
            </w:pPr>
            <w:r w:rsidRPr="00885FAA">
              <w:rPr>
                <w:sz w:val="16"/>
                <w:szCs w:val="16"/>
              </w:rPr>
              <w:t>0.0005</w:t>
            </w:r>
          </w:p>
        </w:tc>
        <w:tc>
          <w:tcPr>
            <w:tcW w:w="755" w:type="dxa"/>
            <w:noWrap/>
            <w:hideMark/>
          </w:tcPr>
          <w:p w:rsidR="00D476E4" w:rsidRPr="00885FAA" w:rsidRDefault="00D476E4" w:rsidP="00D476E4">
            <w:pPr>
              <w:spacing w:line="360" w:lineRule="auto"/>
              <w:contextualSpacing/>
              <w:rPr>
                <w:sz w:val="16"/>
                <w:szCs w:val="16"/>
              </w:rPr>
            </w:pPr>
            <w:r w:rsidRPr="00885FAA">
              <w:rPr>
                <w:sz w:val="16"/>
                <w:szCs w:val="16"/>
              </w:rPr>
              <w:t>0.0025</w:t>
            </w:r>
          </w:p>
        </w:tc>
      </w:tr>
      <w:tr w:rsidR="00D476E4" w:rsidRPr="00885FAA" w:rsidTr="00D476E4">
        <w:trPr>
          <w:trHeight w:val="255"/>
        </w:trPr>
        <w:tc>
          <w:tcPr>
            <w:tcW w:w="6372" w:type="dxa"/>
            <w:noWrap/>
            <w:hideMark/>
          </w:tcPr>
          <w:p w:rsidR="00D476E4" w:rsidRPr="00885FAA" w:rsidRDefault="00D476E4" w:rsidP="00D476E4">
            <w:pPr>
              <w:spacing w:line="360" w:lineRule="auto"/>
              <w:contextualSpacing/>
              <w:rPr>
                <w:sz w:val="16"/>
                <w:szCs w:val="16"/>
              </w:rPr>
            </w:pPr>
            <w:r w:rsidRPr="00885FAA">
              <w:rPr>
                <w:sz w:val="16"/>
                <w:szCs w:val="16"/>
              </w:rPr>
              <w:t>Agricultural and animal husbandry service activities, except veterinary activities</w:t>
            </w:r>
          </w:p>
        </w:tc>
        <w:tc>
          <w:tcPr>
            <w:tcW w:w="1656" w:type="dxa"/>
            <w:noWrap/>
            <w:hideMark/>
          </w:tcPr>
          <w:p w:rsidR="00D476E4" w:rsidRPr="00885FAA" w:rsidRDefault="00D476E4" w:rsidP="00D476E4">
            <w:pPr>
              <w:spacing w:line="360" w:lineRule="auto"/>
              <w:contextualSpacing/>
              <w:rPr>
                <w:sz w:val="16"/>
                <w:szCs w:val="16"/>
              </w:rPr>
            </w:pPr>
            <w:r w:rsidRPr="00885FAA">
              <w:rPr>
                <w:sz w:val="16"/>
                <w:szCs w:val="16"/>
              </w:rPr>
              <w:t>18.9971</w:t>
            </w:r>
          </w:p>
        </w:tc>
        <w:tc>
          <w:tcPr>
            <w:tcW w:w="793" w:type="dxa"/>
            <w:noWrap/>
            <w:hideMark/>
          </w:tcPr>
          <w:p w:rsidR="00D476E4" w:rsidRPr="00885FAA" w:rsidRDefault="00D476E4" w:rsidP="00D476E4">
            <w:pPr>
              <w:spacing w:line="360" w:lineRule="auto"/>
              <w:contextualSpacing/>
              <w:rPr>
                <w:sz w:val="16"/>
                <w:szCs w:val="16"/>
              </w:rPr>
            </w:pPr>
            <w:r w:rsidRPr="00885FAA">
              <w:rPr>
                <w:sz w:val="16"/>
                <w:szCs w:val="16"/>
              </w:rPr>
              <w:t>0.0001</w:t>
            </w:r>
          </w:p>
        </w:tc>
        <w:tc>
          <w:tcPr>
            <w:tcW w:w="755" w:type="dxa"/>
            <w:noWrap/>
            <w:hideMark/>
          </w:tcPr>
          <w:p w:rsidR="00D476E4" w:rsidRPr="00885FAA" w:rsidRDefault="00D476E4" w:rsidP="00D476E4">
            <w:pPr>
              <w:spacing w:line="360" w:lineRule="auto"/>
              <w:contextualSpacing/>
              <w:rPr>
                <w:sz w:val="16"/>
                <w:szCs w:val="16"/>
              </w:rPr>
            </w:pPr>
            <w:r w:rsidRPr="00885FAA">
              <w:rPr>
                <w:sz w:val="16"/>
                <w:szCs w:val="16"/>
              </w:rPr>
              <w:t>0.0007</w:t>
            </w:r>
          </w:p>
        </w:tc>
      </w:tr>
      <w:tr w:rsidR="00D476E4" w:rsidRPr="00885FAA" w:rsidTr="00D476E4">
        <w:trPr>
          <w:trHeight w:val="255"/>
        </w:trPr>
        <w:tc>
          <w:tcPr>
            <w:tcW w:w="6372" w:type="dxa"/>
            <w:noWrap/>
            <w:hideMark/>
          </w:tcPr>
          <w:p w:rsidR="00D476E4" w:rsidRPr="00885FAA" w:rsidRDefault="00D476E4" w:rsidP="00D476E4">
            <w:pPr>
              <w:spacing w:line="360" w:lineRule="auto"/>
              <w:contextualSpacing/>
              <w:rPr>
                <w:sz w:val="16"/>
                <w:szCs w:val="16"/>
              </w:rPr>
            </w:pPr>
            <w:r w:rsidRPr="00885FAA">
              <w:rPr>
                <w:sz w:val="16"/>
                <w:szCs w:val="16"/>
              </w:rPr>
              <w:t>Forestry, logging and related service activities</w:t>
            </w:r>
          </w:p>
        </w:tc>
        <w:tc>
          <w:tcPr>
            <w:tcW w:w="1656" w:type="dxa"/>
            <w:noWrap/>
            <w:hideMark/>
          </w:tcPr>
          <w:p w:rsidR="00D476E4" w:rsidRPr="00885FAA" w:rsidRDefault="00D476E4" w:rsidP="00D476E4">
            <w:pPr>
              <w:spacing w:line="360" w:lineRule="auto"/>
              <w:contextualSpacing/>
              <w:rPr>
                <w:sz w:val="16"/>
                <w:szCs w:val="16"/>
              </w:rPr>
            </w:pPr>
            <w:r w:rsidRPr="00885FAA">
              <w:rPr>
                <w:sz w:val="16"/>
                <w:szCs w:val="16"/>
              </w:rPr>
              <w:t>288.8347</w:t>
            </w:r>
          </w:p>
        </w:tc>
        <w:tc>
          <w:tcPr>
            <w:tcW w:w="793" w:type="dxa"/>
            <w:noWrap/>
            <w:hideMark/>
          </w:tcPr>
          <w:p w:rsidR="00D476E4" w:rsidRPr="00885FAA" w:rsidRDefault="00D476E4" w:rsidP="00D476E4">
            <w:pPr>
              <w:spacing w:line="360" w:lineRule="auto"/>
              <w:contextualSpacing/>
              <w:rPr>
                <w:sz w:val="16"/>
                <w:szCs w:val="16"/>
              </w:rPr>
            </w:pPr>
            <w:r w:rsidRPr="00885FAA">
              <w:rPr>
                <w:sz w:val="16"/>
                <w:szCs w:val="16"/>
              </w:rPr>
              <w:t>0.0031</w:t>
            </w:r>
          </w:p>
        </w:tc>
        <w:tc>
          <w:tcPr>
            <w:tcW w:w="755" w:type="dxa"/>
            <w:noWrap/>
            <w:hideMark/>
          </w:tcPr>
          <w:p w:rsidR="00D476E4" w:rsidRPr="00885FAA" w:rsidRDefault="00D476E4" w:rsidP="00D476E4">
            <w:pPr>
              <w:spacing w:line="360" w:lineRule="auto"/>
              <w:contextualSpacing/>
              <w:rPr>
                <w:sz w:val="16"/>
                <w:szCs w:val="16"/>
              </w:rPr>
            </w:pPr>
            <w:r w:rsidRPr="00885FAA">
              <w:rPr>
                <w:sz w:val="16"/>
                <w:szCs w:val="16"/>
              </w:rPr>
              <w:t>0.0070</w:t>
            </w:r>
          </w:p>
        </w:tc>
      </w:tr>
      <w:tr w:rsidR="00D476E4" w:rsidRPr="00885FAA" w:rsidTr="00D476E4">
        <w:trPr>
          <w:trHeight w:val="255"/>
        </w:trPr>
        <w:tc>
          <w:tcPr>
            <w:tcW w:w="6372" w:type="dxa"/>
            <w:noWrap/>
            <w:hideMark/>
          </w:tcPr>
          <w:p w:rsidR="00D476E4" w:rsidRPr="00885FAA" w:rsidRDefault="00D476E4" w:rsidP="00D476E4">
            <w:pPr>
              <w:spacing w:line="360" w:lineRule="auto"/>
              <w:contextualSpacing/>
              <w:rPr>
                <w:sz w:val="16"/>
                <w:szCs w:val="16"/>
              </w:rPr>
            </w:pPr>
            <w:r w:rsidRPr="00885FAA">
              <w:rPr>
                <w:sz w:val="16"/>
                <w:szCs w:val="16"/>
              </w:rPr>
              <w:t xml:space="preserve">Fishing </w:t>
            </w:r>
          </w:p>
        </w:tc>
        <w:tc>
          <w:tcPr>
            <w:tcW w:w="1656" w:type="dxa"/>
            <w:noWrap/>
            <w:hideMark/>
          </w:tcPr>
          <w:p w:rsidR="00D476E4" w:rsidRPr="00885FAA" w:rsidRDefault="00D476E4" w:rsidP="00D476E4">
            <w:pPr>
              <w:spacing w:line="360" w:lineRule="auto"/>
              <w:contextualSpacing/>
              <w:rPr>
                <w:sz w:val="16"/>
                <w:szCs w:val="16"/>
              </w:rPr>
            </w:pPr>
            <w:r w:rsidRPr="00885FAA">
              <w:rPr>
                <w:sz w:val="16"/>
                <w:szCs w:val="16"/>
              </w:rPr>
              <w:t>609.5064</w:t>
            </w:r>
          </w:p>
        </w:tc>
        <w:tc>
          <w:tcPr>
            <w:tcW w:w="793" w:type="dxa"/>
            <w:noWrap/>
            <w:hideMark/>
          </w:tcPr>
          <w:p w:rsidR="00D476E4" w:rsidRPr="00885FAA" w:rsidRDefault="00D476E4" w:rsidP="00D476E4">
            <w:pPr>
              <w:spacing w:line="360" w:lineRule="auto"/>
              <w:contextualSpacing/>
              <w:rPr>
                <w:sz w:val="16"/>
                <w:szCs w:val="16"/>
              </w:rPr>
            </w:pPr>
            <w:r w:rsidRPr="00885FAA">
              <w:rPr>
                <w:sz w:val="16"/>
                <w:szCs w:val="16"/>
              </w:rPr>
              <w:t>0.0045</w:t>
            </w:r>
          </w:p>
        </w:tc>
        <w:tc>
          <w:tcPr>
            <w:tcW w:w="755" w:type="dxa"/>
            <w:noWrap/>
            <w:hideMark/>
          </w:tcPr>
          <w:p w:rsidR="00D476E4" w:rsidRPr="00885FAA" w:rsidRDefault="00D476E4" w:rsidP="00D476E4">
            <w:pPr>
              <w:spacing w:line="360" w:lineRule="auto"/>
              <w:contextualSpacing/>
              <w:rPr>
                <w:sz w:val="16"/>
                <w:szCs w:val="16"/>
              </w:rPr>
            </w:pPr>
            <w:r w:rsidRPr="00885FAA">
              <w:rPr>
                <w:sz w:val="16"/>
                <w:szCs w:val="16"/>
              </w:rPr>
              <w:t>0.0217</w:t>
            </w:r>
          </w:p>
        </w:tc>
      </w:tr>
      <w:tr w:rsidR="00D476E4" w:rsidRPr="00885FAA" w:rsidTr="00D476E4">
        <w:trPr>
          <w:trHeight w:val="255"/>
        </w:trPr>
        <w:tc>
          <w:tcPr>
            <w:tcW w:w="6372" w:type="dxa"/>
            <w:noWrap/>
            <w:hideMark/>
          </w:tcPr>
          <w:p w:rsidR="00D476E4" w:rsidRPr="00885FAA" w:rsidRDefault="00D476E4" w:rsidP="00D476E4">
            <w:pPr>
              <w:spacing w:line="360" w:lineRule="auto"/>
              <w:contextualSpacing/>
              <w:rPr>
                <w:sz w:val="16"/>
                <w:szCs w:val="16"/>
              </w:rPr>
            </w:pPr>
            <w:r w:rsidRPr="00885FAA">
              <w:rPr>
                <w:sz w:val="16"/>
                <w:szCs w:val="16"/>
              </w:rPr>
              <w:t>Mining and quarrying [08-12]</w:t>
            </w:r>
          </w:p>
        </w:tc>
        <w:tc>
          <w:tcPr>
            <w:tcW w:w="1656" w:type="dxa"/>
            <w:noWrap/>
            <w:hideMark/>
          </w:tcPr>
          <w:p w:rsidR="00D476E4" w:rsidRPr="00885FAA" w:rsidRDefault="00D476E4" w:rsidP="00D476E4">
            <w:pPr>
              <w:spacing w:line="360" w:lineRule="auto"/>
              <w:contextualSpacing/>
              <w:rPr>
                <w:sz w:val="16"/>
                <w:szCs w:val="16"/>
              </w:rPr>
            </w:pPr>
            <w:r w:rsidRPr="00885FAA">
              <w:rPr>
                <w:sz w:val="16"/>
                <w:szCs w:val="16"/>
              </w:rPr>
              <w:t>1603.5215</w:t>
            </w:r>
          </w:p>
        </w:tc>
        <w:tc>
          <w:tcPr>
            <w:tcW w:w="793" w:type="dxa"/>
            <w:noWrap/>
            <w:hideMark/>
          </w:tcPr>
          <w:p w:rsidR="00D476E4" w:rsidRPr="00885FAA" w:rsidRDefault="00D476E4" w:rsidP="00D476E4">
            <w:pPr>
              <w:spacing w:line="360" w:lineRule="auto"/>
              <w:contextualSpacing/>
              <w:rPr>
                <w:sz w:val="16"/>
                <w:szCs w:val="16"/>
              </w:rPr>
            </w:pPr>
            <w:r w:rsidRPr="00885FAA">
              <w:rPr>
                <w:sz w:val="16"/>
                <w:szCs w:val="16"/>
              </w:rPr>
              <w:t>0.0114</w:t>
            </w:r>
          </w:p>
        </w:tc>
        <w:tc>
          <w:tcPr>
            <w:tcW w:w="755" w:type="dxa"/>
            <w:noWrap/>
            <w:hideMark/>
          </w:tcPr>
          <w:p w:rsidR="00D476E4" w:rsidRPr="00885FAA" w:rsidRDefault="00D476E4" w:rsidP="00D476E4">
            <w:pPr>
              <w:spacing w:line="360" w:lineRule="auto"/>
              <w:contextualSpacing/>
              <w:rPr>
                <w:sz w:val="16"/>
                <w:szCs w:val="16"/>
              </w:rPr>
            </w:pPr>
            <w:r w:rsidRPr="00885FAA">
              <w:rPr>
                <w:sz w:val="16"/>
                <w:szCs w:val="16"/>
              </w:rPr>
              <w:t>0.0580</w:t>
            </w:r>
          </w:p>
        </w:tc>
      </w:tr>
      <w:tr w:rsidR="00D476E4" w:rsidRPr="00885FAA" w:rsidTr="00D476E4">
        <w:trPr>
          <w:trHeight w:val="255"/>
        </w:trPr>
        <w:tc>
          <w:tcPr>
            <w:tcW w:w="6372" w:type="dxa"/>
            <w:noWrap/>
            <w:hideMark/>
          </w:tcPr>
          <w:p w:rsidR="00D476E4" w:rsidRPr="00885FAA" w:rsidRDefault="00D476E4" w:rsidP="00D476E4">
            <w:pPr>
              <w:spacing w:line="360" w:lineRule="auto"/>
              <w:contextualSpacing/>
              <w:rPr>
                <w:sz w:val="16"/>
                <w:szCs w:val="16"/>
              </w:rPr>
            </w:pPr>
            <w:r w:rsidRPr="00885FAA">
              <w:rPr>
                <w:sz w:val="16"/>
                <w:szCs w:val="16"/>
              </w:rPr>
              <w:t>Production, processing and preserving of meat and meat products</w:t>
            </w:r>
          </w:p>
        </w:tc>
        <w:tc>
          <w:tcPr>
            <w:tcW w:w="1656" w:type="dxa"/>
            <w:noWrap/>
            <w:hideMark/>
          </w:tcPr>
          <w:p w:rsidR="00D476E4" w:rsidRPr="00885FAA" w:rsidRDefault="00D476E4" w:rsidP="00D476E4">
            <w:pPr>
              <w:spacing w:line="360" w:lineRule="auto"/>
              <w:contextualSpacing/>
              <w:rPr>
                <w:sz w:val="16"/>
                <w:szCs w:val="16"/>
              </w:rPr>
            </w:pPr>
            <w:r w:rsidRPr="00885FAA">
              <w:rPr>
                <w:sz w:val="16"/>
                <w:szCs w:val="16"/>
              </w:rPr>
              <w:t>123.1421</w:t>
            </w:r>
          </w:p>
        </w:tc>
        <w:tc>
          <w:tcPr>
            <w:tcW w:w="793" w:type="dxa"/>
            <w:noWrap/>
            <w:hideMark/>
          </w:tcPr>
          <w:p w:rsidR="00D476E4" w:rsidRPr="00885FAA" w:rsidRDefault="00D476E4" w:rsidP="00D476E4">
            <w:pPr>
              <w:spacing w:line="360" w:lineRule="auto"/>
              <w:contextualSpacing/>
              <w:rPr>
                <w:sz w:val="16"/>
                <w:szCs w:val="16"/>
              </w:rPr>
            </w:pPr>
            <w:r w:rsidRPr="00885FAA">
              <w:rPr>
                <w:sz w:val="16"/>
                <w:szCs w:val="16"/>
              </w:rPr>
              <w:t>0.0012</w:t>
            </w:r>
          </w:p>
        </w:tc>
        <w:tc>
          <w:tcPr>
            <w:tcW w:w="755" w:type="dxa"/>
            <w:noWrap/>
            <w:hideMark/>
          </w:tcPr>
          <w:p w:rsidR="00D476E4" w:rsidRPr="00885FAA" w:rsidRDefault="00D476E4" w:rsidP="00D476E4">
            <w:pPr>
              <w:spacing w:line="360" w:lineRule="auto"/>
              <w:contextualSpacing/>
              <w:rPr>
                <w:sz w:val="16"/>
                <w:szCs w:val="16"/>
              </w:rPr>
            </w:pPr>
            <w:r w:rsidRPr="00885FAA">
              <w:rPr>
                <w:sz w:val="16"/>
                <w:szCs w:val="16"/>
              </w:rPr>
              <w:t>0.0024</w:t>
            </w:r>
          </w:p>
        </w:tc>
      </w:tr>
      <w:tr w:rsidR="00D476E4" w:rsidRPr="00885FAA" w:rsidTr="00D476E4">
        <w:trPr>
          <w:trHeight w:val="255"/>
        </w:trPr>
        <w:tc>
          <w:tcPr>
            <w:tcW w:w="6372" w:type="dxa"/>
            <w:noWrap/>
            <w:hideMark/>
          </w:tcPr>
          <w:p w:rsidR="00D476E4" w:rsidRPr="00885FAA" w:rsidRDefault="00D476E4" w:rsidP="00D476E4">
            <w:pPr>
              <w:spacing w:line="360" w:lineRule="auto"/>
              <w:contextualSpacing/>
              <w:rPr>
                <w:sz w:val="16"/>
                <w:szCs w:val="16"/>
              </w:rPr>
            </w:pPr>
            <w:r w:rsidRPr="00885FAA">
              <w:rPr>
                <w:sz w:val="16"/>
                <w:szCs w:val="16"/>
              </w:rPr>
              <w:t>Processing and preserving of fish and fish products</w:t>
            </w:r>
          </w:p>
        </w:tc>
        <w:tc>
          <w:tcPr>
            <w:tcW w:w="1656" w:type="dxa"/>
            <w:noWrap/>
            <w:hideMark/>
          </w:tcPr>
          <w:p w:rsidR="00D476E4" w:rsidRPr="00885FAA" w:rsidRDefault="00D476E4" w:rsidP="00D476E4">
            <w:pPr>
              <w:spacing w:line="360" w:lineRule="auto"/>
              <w:contextualSpacing/>
              <w:rPr>
                <w:sz w:val="16"/>
                <w:szCs w:val="16"/>
              </w:rPr>
            </w:pPr>
            <w:r w:rsidRPr="00885FAA">
              <w:rPr>
                <w:sz w:val="16"/>
                <w:szCs w:val="16"/>
              </w:rPr>
              <w:t>13.1709</w:t>
            </w:r>
          </w:p>
        </w:tc>
        <w:tc>
          <w:tcPr>
            <w:tcW w:w="793" w:type="dxa"/>
            <w:noWrap/>
            <w:hideMark/>
          </w:tcPr>
          <w:p w:rsidR="00D476E4" w:rsidRPr="00885FAA" w:rsidRDefault="00D476E4" w:rsidP="00D476E4">
            <w:pPr>
              <w:spacing w:line="360" w:lineRule="auto"/>
              <w:contextualSpacing/>
              <w:rPr>
                <w:sz w:val="16"/>
                <w:szCs w:val="16"/>
              </w:rPr>
            </w:pPr>
            <w:r w:rsidRPr="00885FAA">
              <w:rPr>
                <w:sz w:val="16"/>
                <w:szCs w:val="16"/>
              </w:rPr>
              <w:t>0.0000</w:t>
            </w:r>
          </w:p>
        </w:tc>
        <w:tc>
          <w:tcPr>
            <w:tcW w:w="755" w:type="dxa"/>
            <w:noWrap/>
            <w:hideMark/>
          </w:tcPr>
          <w:p w:rsidR="00D476E4" w:rsidRPr="00885FAA" w:rsidRDefault="00D476E4" w:rsidP="00D476E4">
            <w:pPr>
              <w:spacing w:line="360" w:lineRule="auto"/>
              <w:contextualSpacing/>
              <w:rPr>
                <w:sz w:val="16"/>
                <w:szCs w:val="16"/>
              </w:rPr>
            </w:pPr>
            <w:r w:rsidRPr="00885FAA">
              <w:rPr>
                <w:sz w:val="16"/>
                <w:szCs w:val="16"/>
              </w:rPr>
              <w:t>0.0002</w:t>
            </w:r>
          </w:p>
        </w:tc>
      </w:tr>
      <w:tr w:rsidR="00D476E4" w:rsidRPr="00885FAA" w:rsidTr="00D476E4">
        <w:trPr>
          <w:trHeight w:val="255"/>
        </w:trPr>
        <w:tc>
          <w:tcPr>
            <w:tcW w:w="6372" w:type="dxa"/>
            <w:noWrap/>
            <w:hideMark/>
          </w:tcPr>
          <w:p w:rsidR="00D476E4" w:rsidRPr="00885FAA" w:rsidRDefault="00D476E4" w:rsidP="00D476E4">
            <w:pPr>
              <w:spacing w:line="360" w:lineRule="auto"/>
              <w:contextualSpacing/>
              <w:rPr>
                <w:sz w:val="16"/>
                <w:szCs w:val="16"/>
              </w:rPr>
            </w:pPr>
            <w:r w:rsidRPr="00885FAA">
              <w:rPr>
                <w:sz w:val="16"/>
                <w:szCs w:val="16"/>
              </w:rPr>
              <w:t>Processing and preserving of fruit and vegetables</w:t>
            </w:r>
          </w:p>
        </w:tc>
        <w:tc>
          <w:tcPr>
            <w:tcW w:w="1656" w:type="dxa"/>
            <w:noWrap/>
            <w:hideMark/>
          </w:tcPr>
          <w:p w:rsidR="00D476E4" w:rsidRPr="00885FAA" w:rsidRDefault="00D476E4" w:rsidP="00D476E4">
            <w:pPr>
              <w:spacing w:line="360" w:lineRule="auto"/>
              <w:contextualSpacing/>
              <w:rPr>
                <w:sz w:val="16"/>
                <w:szCs w:val="16"/>
              </w:rPr>
            </w:pPr>
            <w:r w:rsidRPr="00885FAA">
              <w:rPr>
                <w:sz w:val="16"/>
                <w:szCs w:val="16"/>
              </w:rPr>
              <w:t>237.5964</w:t>
            </w:r>
          </w:p>
        </w:tc>
        <w:tc>
          <w:tcPr>
            <w:tcW w:w="793" w:type="dxa"/>
            <w:noWrap/>
            <w:hideMark/>
          </w:tcPr>
          <w:p w:rsidR="00D476E4" w:rsidRPr="00885FAA" w:rsidRDefault="00D476E4" w:rsidP="00D476E4">
            <w:pPr>
              <w:spacing w:line="360" w:lineRule="auto"/>
              <w:contextualSpacing/>
              <w:rPr>
                <w:sz w:val="16"/>
                <w:szCs w:val="16"/>
              </w:rPr>
            </w:pPr>
            <w:r w:rsidRPr="00885FAA">
              <w:rPr>
                <w:sz w:val="16"/>
                <w:szCs w:val="16"/>
              </w:rPr>
              <w:t>0.0018</w:t>
            </w:r>
          </w:p>
        </w:tc>
        <w:tc>
          <w:tcPr>
            <w:tcW w:w="755" w:type="dxa"/>
            <w:noWrap/>
            <w:hideMark/>
          </w:tcPr>
          <w:p w:rsidR="00D476E4" w:rsidRPr="00885FAA" w:rsidRDefault="00D476E4" w:rsidP="00D476E4">
            <w:pPr>
              <w:spacing w:line="360" w:lineRule="auto"/>
              <w:contextualSpacing/>
              <w:rPr>
                <w:sz w:val="16"/>
                <w:szCs w:val="16"/>
              </w:rPr>
            </w:pPr>
            <w:r w:rsidRPr="00885FAA">
              <w:rPr>
                <w:sz w:val="16"/>
                <w:szCs w:val="16"/>
              </w:rPr>
              <w:t>0.0089</w:t>
            </w:r>
          </w:p>
        </w:tc>
      </w:tr>
      <w:tr w:rsidR="00D476E4" w:rsidRPr="00885FAA" w:rsidTr="00D476E4">
        <w:trPr>
          <w:trHeight w:val="255"/>
        </w:trPr>
        <w:tc>
          <w:tcPr>
            <w:tcW w:w="6372" w:type="dxa"/>
            <w:noWrap/>
            <w:hideMark/>
          </w:tcPr>
          <w:p w:rsidR="00D476E4" w:rsidRPr="00885FAA" w:rsidRDefault="00D476E4" w:rsidP="00D476E4">
            <w:pPr>
              <w:spacing w:line="360" w:lineRule="auto"/>
              <w:contextualSpacing/>
              <w:rPr>
                <w:sz w:val="16"/>
                <w:szCs w:val="16"/>
              </w:rPr>
            </w:pPr>
            <w:r w:rsidRPr="00885FAA">
              <w:rPr>
                <w:sz w:val="16"/>
                <w:szCs w:val="16"/>
              </w:rPr>
              <w:t>Manufacture of vegetable and animal oils and fats</w:t>
            </w:r>
          </w:p>
        </w:tc>
        <w:tc>
          <w:tcPr>
            <w:tcW w:w="1656" w:type="dxa"/>
            <w:noWrap/>
            <w:hideMark/>
          </w:tcPr>
          <w:p w:rsidR="00D476E4" w:rsidRPr="00885FAA" w:rsidRDefault="00D476E4" w:rsidP="00D476E4">
            <w:pPr>
              <w:spacing w:line="360" w:lineRule="auto"/>
              <w:contextualSpacing/>
              <w:rPr>
                <w:sz w:val="16"/>
                <w:szCs w:val="16"/>
              </w:rPr>
            </w:pPr>
            <w:r w:rsidRPr="00885FAA">
              <w:rPr>
                <w:sz w:val="16"/>
                <w:szCs w:val="16"/>
              </w:rPr>
              <w:t>535.7245</w:t>
            </w:r>
          </w:p>
        </w:tc>
        <w:tc>
          <w:tcPr>
            <w:tcW w:w="793" w:type="dxa"/>
            <w:noWrap/>
            <w:hideMark/>
          </w:tcPr>
          <w:p w:rsidR="00D476E4" w:rsidRPr="00885FAA" w:rsidRDefault="00D476E4" w:rsidP="00D476E4">
            <w:pPr>
              <w:spacing w:line="360" w:lineRule="auto"/>
              <w:contextualSpacing/>
              <w:rPr>
                <w:sz w:val="16"/>
                <w:szCs w:val="16"/>
              </w:rPr>
            </w:pPr>
            <w:r w:rsidRPr="00885FAA">
              <w:rPr>
                <w:sz w:val="16"/>
                <w:szCs w:val="16"/>
              </w:rPr>
              <w:t>0.0056</w:t>
            </w:r>
          </w:p>
        </w:tc>
        <w:tc>
          <w:tcPr>
            <w:tcW w:w="755" w:type="dxa"/>
            <w:noWrap/>
            <w:hideMark/>
          </w:tcPr>
          <w:p w:rsidR="00D476E4" w:rsidRPr="00885FAA" w:rsidRDefault="00D476E4" w:rsidP="00D476E4">
            <w:pPr>
              <w:spacing w:line="360" w:lineRule="auto"/>
              <w:contextualSpacing/>
              <w:rPr>
                <w:sz w:val="16"/>
                <w:szCs w:val="16"/>
              </w:rPr>
            </w:pPr>
            <w:r w:rsidRPr="00885FAA">
              <w:rPr>
                <w:sz w:val="16"/>
                <w:szCs w:val="16"/>
              </w:rPr>
              <w:t>0.0113</w:t>
            </w:r>
          </w:p>
        </w:tc>
      </w:tr>
      <w:tr w:rsidR="00D476E4" w:rsidRPr="00885FAA" w:rsidTr="00D476E4">
        <w:trPr>
          <w:trHeight w:val="255"/>
        </w:trPr>
        <w:tc>
          <w:tcPr>
            <w:tcW w:w="6372" w:type="dxa"/>
            <w:noWrap/>
            <w:hideMark/>
          </w:tcPr>
          <w:p w:rsidR="00D476E4" w:rsidRPr="00885FAA" w:rsidRDefault="00D476E4" w:rsidP="00D476E4">
            <w:pPr>
              <w:spacing w:line="360" w:lineRule="auto"/>
              <w:contextualSpacing/>
              <w:rPr>
                <w:sz w:val="16"/>
                <w:szCs w:val="16"/>
              </w:rPr>
            </w:pPr>
            <w:r w:rsidRPr="00885FAA">
              <w:rPr>
                <w:sz w:val="16"/>
                <w:szCs w:val="16"/>
              </w:rPr>
              <w:t>Manufacture of dairy products</w:t>
            </w:r>
          </w:p>
        </w:tc>
        <w:tc>
          <w:tcPr>
            <w:tcW w:w="1656" w:type="dxa"/>
            <w:noWrap/>
            <w:hideMark/>
          </w:tcPr>
          <w:p w:rsidR="00D476E4" w:rsidRPr="00885FAA" w:rsidRDefault="00D476E4" w:rsidP="00D476E4">
            <w:pPr>
              <w:spacing w:line="360" w:lineRule="auto"/>
              <w:contextualSpacing/>
              <w:rPr>
                <w:sz w:val="16"/>
                <w:szCs w:val="16"/>
              </w:rPr>
            </w:pPr>
            <w:r w:rsidRPr="00885FAA">
              <w:rPr>
                <w:sz w:val="16"/>
                <w:szCs w:val="16"/>
              </w:rPr>
              <w:t>95.0522</w:t>
            </w:r>
          </w:p>
        </w:tc>
        <w:tc>
          <w:tcPr>
            <w:tcW w:w="793" w:type="dxa"/>
            <w:noWrap/>
            <w:hideMark/>
          </w:tcPr>
          <w:p w:rsidR="00D476E4" w:rsidRPr="00885FAA" w:rsidRDefault="00D476E4" w:rsidP="00D476E4">
            <w:pPr>
              <w:spacing w:line="360" w:lineRule="auto"/>
              <w:contextualSpacing/>
              <w:rPr>
                <w:sz w:val="16"/>
                <w:szCs w:val="16"/>
              </w:rPr>
            </w:pPr>
            <w:r w:rsidRPr="00885FAA">
              <w:rPr>
                <w:sz w:val="16"/>
                <w:szCs w:val="16"/>
              </w:rPr>
              <w:t>0.0008</w:t>
            </w:r>
          </w:p>
        </w:tc>
        <w:tc>
          <w:tcPr>
            <w:tcW w:w="755" w:type="dxa"/>
            <w:noWrap/>
            <w:hideMark/>
          </w:tcPr>
          <w:p w:rsidR="00D476E4" w:rsidRPr="00885FAA" w:rsidRDefault="00D476E4" w:rsidP="00D476E4">
            <w:pPr>
              <w:spacing w:line="360" w:lineRule="auto"/>
              <w:contextualSpacing/>
              <w:rPr>
                <w:sz w:val="16"/>
                <w:szCs w:val="16"/>
              </w:rPr>
            </w:pPr>
            <w:r w:rsidRPr="00885FAA">
              <w:rPr>
                <w:sz w:val="16"/>
                <w:szCs w:val="16"/>
              </w:rPr>
              <w:t>0.0034</w:t>
            </w:r>
          </w:p>
        </w:tc>
      </w:tr>
      <w:tr w:rsidR="00D476E4" w:rsidRPr="00885FAA" w:rsidTr="00D476E4">
        <w:trPr>
          <w:trHeight w:val="255"/>
        </w:trPr>
        <w:tc>
          <w:tcPr>
            <w:tcW w:w="6372" w:type="dxa"/>
            <w:noWrap/>
            <w:hideMark/>
          </w:tcPr>
          <w:p w:rsidR="00D476E4" w:rsidRPr="00885FAA" w:rsidRDefault="00D476E4" w:rsidP="00D476E4">
            <w:pPr>
              <w:spacing w:line="360" w:lineRule="auto"/>
              <w:contextualSpacing/>
              <w:rPr>
                <w:sz w:val="16"/>
                <w:szCs w:val="16"/>
              </w:rPr>
            </w:pPr>
            <w:r w:rsidRPr="00885FAA">
              <w:rPr>
                <w:sz w:val="16"/>
                <w:szCs w:val="16"/>
              </w:rPr>
              <w:t>Manufacture of grain mill products, starches and starch products</w:t>
            </w:r>
          </w:p>
        </w:tc>
        <w:tc>
          <w:tcPr>
            <w:tcW w:w="1656" w:type="dxa"/>
            <w:noWrap/>
            <w:hideMark/>
          </w:tcPr>
          <w:p w:rsidR="00D476E4" w:rsidRPr="00885FAA" w:rsidRDefault="00D476E4" w:rsidP="00D476E4">
            <w:pPr>
              <w:spacing w:line="360" w:lineRule="auto"/>
              <w:contextualSpacing/>
              <w:rPr>
                <w:sz w:val="16"/>
                <w:szCs w:val="16"/>
              </w:rPr>
            </w:pPr>
            <w:r w:rsidRPr="00885FAA">
              <w:rPr>
                <w:sz w:val="16"/>
                <w:szCs w:val="16"/>
              </w:rPr>
              <w:t>8.6151</w:t>
            </w:r>
          </w:p>
        </w:tc>
        <w:tc>
          <w:tcPr>
            <w:tcW w:w="793" w:type="dxa"/>
            <w:noWrap/>
            <w:hideMark/>
          </w:tcPr>
          <w:p w:rsidR="00D476E4" w:rsidRPr="00885FAA" w:rsidRDefault="00D476E4" w:rsidP="00D476E4">
            <w:pPr>
              <w:spacing w:line="360" w:lineRule="auto"/>
              <w:contextualSpacing/>
              <w:rPr>
                <w:sz w:val="16"/>
                <w:szCs w:val="16"/>
              </w:rPr>
            </w:pPr>
            <w:r w:rsidRPr="00885FAA">
              <w:rPr>
                <w:sz w:val="16"/>
                <w:szCs w:val="16"/>
              </w:rPr>
              <w:t>0.0001</w:t>
            </w:r>
          </w:p>
        </w:tc>
        <w:tc>
          <w:tcPr>
            <w:tcW w:w="755" w:type="dxa"/>
            <w:noWrap/>
            <w:hideMark/>
          </w:tcPr>
          <w:p w:rsidR="00D476E4" w:rsidRPr="00885FAA" w:rsidRDefault="00D476E4" w:rsidP="00D476E4">
            <w:pPr>
              <w:spacing w:line="360" w:lineRule="auto"/>
              <w:contextualSpacing/>
              <w:rPr>
                <w:sz w:val="16"/>
                <w:szCs w:val="16"/>
              </w:rPr>
            </w:pPr>
            <w:r w:rsidRPr="00885FAA">
              <w:rPr>
                <w:sz w:val="16"/>
                <w:szCs w:val="16"/>
              </w:rPr>
              <w:t>0.0003</w:t>
            </w:r>
          </w:p>
        </w:tc>
      </w:tr>
      <w:tr w:rsidR="00D476E4" w:rsidRPr="00885FAA" w:rsidTr="00D476E4">
        <w:trPr>
          <w:trHeight w:val="255"/>
        </w:trPr>
        <w:tc>
          <w:tcPr>
            <w:tcW w:w="6372" w:type="dxa"/>
            <w:noWrap/>
            <w:hideMark/>
          </w:tcPr>
          <w:p w:rsidR="00D476E4" w:rsidRPr="00885FAA" w:rsidRDefault="00D476E4" w:rsidP="00D476E4">
            <w:pPr>
              <w:spacing w:line="360" w:lineRule="auto"/>
              <w:contextualSpacing/>
              <w:rPr>
                <w:sz w:val="16"/>
                <w:szCs w:val="16"/>
              </w:rPr>
            </w:pPr>
            <w:r w:rsidRPr="00885FAA">
              <w:rPr>
                <w:sz w:val="16"/>
                <w:szCs w:val="16"/>
              </w:rPr>
              <w:t>Manufacture of prepared animal feeds</w:t>
            </w:r>
          </w:p>
        </w:tc>
        <w:tc>
          <w:tcPr>
            <w:tcW w:w="1656" w:type="dxa"/>
            <w:noWrap/>
            <w:hideMark/>
          </w:tcPr>
          <w:p w:rsidR="00D476E4" w:rsidRPr="00885FAA" w:rsidRDefault="00D476E4" w:rsidP="00D476E4">
            <w:pPr>
              <w:spacing w:line="360" w:lineRule="auto"/>
              <w:contextualSpacing/>
              <w:rPr>
                <w:sz w:val="16"/>
                <w:szCs w:val="16"/>
              </w:rPr>
            </w:pPr>
            <w:r w:rsidRPr="00885FAA">
              <w:rPr>
                <w:sz w:val="16"/>
                <w:szCs w:val="16"/>
              </w:rPr>
              <w:t>8.6762</w:t>
            </w:r>
          </w:p>
        </w:tc>
        <w:tc>
          <w:tcPr>
            <w:tcW w:w="793" w:type="dxa"/>
            <w:noWrap/>
            <w:hideMark/>
          </w:tcPr>
          <w:p w:rsidR="00D476E4" w:rsidRPr="00885FAA" w:rsidRDefault="00D476E4" w:rsidP="00D476E4">
            <w:pPr>
              <w:spacing w:line="360" w:lineRule="auto"/>
              <w:contextualSpacing/>
              <w:rPr>
                <w:sz w:val="16"/>
                <w:szCs w:val="16"/>
              </w:rPr>
            </w:pPr>
            <w:r w:rsidRPr="00885FAA">
              <w:rPr>
                <w:sz w:val="16"/>
                <w:szCs w:val="16"/>
              </w:rPr>
              <w:t>0.0001</w:t>
            </w:r>
          </w:p>
        </w:tc>
        <w:tc>
          <w:tcPr>
            <w:tcW w:w="755" w:type="dxa"/>
            <w:noWrap/>
            <w:hideMark/>
          </w:tcPr>
          <w:p w:rsidR="00D476E4" w:rsidRPr="00885FAA" w:rsidRDefault="00D476E4" w:rsidP="00D476E4">
            <w:pPr>
              <w:spacing w:line="360" w:lineRule="auto"/>
              <w:contextualSpacing/>
              <w:rPr>
                <w:sz w:val="16"/>
                <w:szCs w:val="16"/>
              </w:rPr>
            </w:pPr>
            <w:r w:rsidRPr="00885FAA">
              <w:rPr>
                <w:sz w:val="16"/>
                <w:szCs w:val="16"/>
              </w:rPr>
              <w:t>0.0001</w:t>
            </w:r>
          </w:p>
        </w:tc>
      </w:tr>
      <w:tr w:rsidR="00D476E4" w:rsidRPr="00885FAA" w:rsidTr="00D476E4">
        <w:trPr>
          <w:trHeight w:val="255"/>
        </w:trPr>
        <w:tc>
          <w:tcPr>
            <w:tcW w:w="6372" w:type="dxa"/>
            <w:noWrap/>
            <w:hideMark/>
          </w:tcPr>
          <w:p w:rsidR="00D476E4" w:rsidRPr="00885FAA" w:rsidRDefault="00D476E4" w:rsidP="00D476E4">
            <w:pPr>
              <w:spacing w:line="360" w:lineRule="auto"/>
              <w:contextualSpacing/>
              <w:rPr>
                <w:sz w:val="16"/>
                <w:szCs w:val="16"/>
              </w:rPr>
            </w:pPr>
            <w:r w:rsidRPr="00885FAA">
              <w:rPr>
                <w:sz w:val="16"/>
                <w:szCs w:val="16"/>
              </w:rPr>
              <w:t>Manufacture of bakery products</w:t>
            </w:r>
          </w:p>
        </w:tc>
        <w:tc>
          <w:tcPr>
            <w:tcW w:w="1656" w:type="dxa"/>
            <w:noWrap/>
            <w:hideMark/>
          </w:tcPr>
          <w:p w:rsidR="00D476E4" w:rsidRPr="00885FAA" w:rsidRDefault="00D476E4" w:rsidP="00D476E4">
            <w:pPr>
              <w:spacing w:line="360" w:lineRule="auto"/>
              <w:contextualSpacing/>
              <w:rPr>
                <w:sz w:val="16"/>
                <w:szCs w:val="16"/>
              </w:rPr>
            </w:pPr>
            <w:r w:rsidRPr="00885FAA">
              <w:rPr>
                <w:sz w:val="16"/>
                <w:szCs w:val="16"/>
              </w:rPr>
              <w:t>142.5026</w:t>
            </w:r>
          </w:p>
        </w:tc>
        <w:tc>
          <w:tcPr>
            <w:tcW w:w="793" w:type="dxa"/>
            <w:noWrap/>
            <w:hideMark/>
          </w:tcPr>
          <w:p w:rsidR="00D476E4" w:rsidRPr="00885FAA" w:rsidRDefault="00D476E4" w:rsidP="00D476E4">
            <w:pPr>
              <w:spacing w:line="360" w:lineRule="auto"/>
              <w:contextualSpacing/>
              <w:rPr>
                <w:sz w:val="16"/>
                <w:szCs w:val="16"/>
              </w:rPr>
            </w:pPr>
            <w:r w:rsidRPr="00885FAA">
              <w:rPr>
                <w:sz w:val="16"/>
                <w:szCs w:val="16"/>
              </w:rPr>
              <w:t>0.0006</w:t>
            </w:r>
          </w:p>
        </w:tc>
        <w:tc>
          <w:tcPr>
            <w:tcW w:w="755" w:type="dxa"/>
            <w:noWrap/>
            <w:hideMark/>
          </w:tcPr>
          <w:p w:rsidR="00D476E4" w:rsidRPr="00885FAA" w:rsidRDefault="00D476E4" w:rsidP="00D476E4">
            <w:pPr>
              <w:spacing w:line="360" w:lineRule="auto"/>
              <w:contextualSpacing/>
              <w:rPr>
                <w:sz w:val="16"/>
                <w:szCs w:val="16"/>
              </w:rPr>
            </w:pPr>
            <w:r w:rsidRPr="00885FAA">
              <w:rPr>
                <w:sz w:val="16"/>
                <w:szCs w:val="16"/>
              </w:rPr>
              <w:t>0.0033</w:t>
            </w:r>
          </w:p>
        </w:tc>
      </w:tr>
      <w:tr w:rsidR="00D476E4" w:rsidRPr="00885FAA" w:rsidTr="00D476E4">
        <w:trPr>
          <w:trHeight w:val="255"/>
        </w:trPr>
        <w:tc>
          <w:tcPr>
            <w:tcW w:w="6372" w:type="dxa"/>
            <w:noWrap/>
            <w:hideMark/>
          </w:tcPr>
          <w:p w:rsidR="00D476E4" w:rsidRPr="00885FAA" w:rsidRDefault="00D476E4" w:rsidP="00D476E4">
            <w:pPr>
              <w:spacing w:line="360" w:lineRule="auto"/>
              <w:contextualSpacing/>
              <w:rPr>
                <w:sz w:val="16"/>
                <w:szCs w:val="16"/>
              </w:rPr>
            </w:pPr>
            <w:r w:rsidRPr="00885FAA">
              <w:rPr>
                <w:sz w:val="16"/>
                <w:szCs w:val="16"/>
              </w:rPr>
              <w:t>Manufacture of sugar</w:t>
            </w:r>
          </w:p>
        </w:tc>
        <w:tc>
          <w:tcPr>
            <w:tcW w:w="1656" w:type="dxa"/>
            <w:noWrap/>
            <w:hideMark/>
          </w:tcPr>
          <w:p w:rsidR="00D476E4" w:rsidRPr="00885FAA" w:rsidRDefault="00D476E4" w:rsidP="00D476E4">
            <w:pPr>
              <w:spacing w:line="360" w:lineRule="auto"/>
              <w:contextualSpacing/>
              <w:rPr>
                <w:sz w:val="16"/>
                <w:szCs w:val="16"/>
              </w:rPr>
            </w:pPr>
            <w:r w:rsidRPr="00885FAA">
              <w:rPr>
                <w:sz w:val="16"/>
                <w:szCs w:val="16"/>
              </w:rPr>
              <w:t>4038.0844</w:t>
            </w:r>
          </w:p>
        </w:tc>
        <w:tc>
          <w:tcPr>
            <w:tcW w:w="793" w:type="dxa"/>
            <w:noWrap/>
            <w:hideMark/>
          </w:tcPr>
          <w:p w:rsidR="00D476E4" w:rsidRPr="00885FAA" w:rsidRDefault="00D476E4" w:rsidP="00D476E4">
            <w:pPr>
              <w:spacing w:line="360" w:lineRule="auto"/>
              <w:contextualSpacing/>
              <w:rPr>
                <w:sz w:val="16"/>
                <w:szCs w:val="16"/>
              </w:rPr>
            </w:pPr>
            <w:r w:rsidRPr="00885FAA">
              <w:rPr>
                <w:sz w:val="16"/>
                <w:szCs w:val="16"/>
              </w:rPr>
              <w:t>0.0521</w:t>
            </w:r>
          </w:p>
        </w:tc>
        <w:tc>
          <w:tcPr>
            <w:tcW w:w="755" w:type="dxa"/>
            <w:noWrap/>
            <w:hideMark/>
          </w:tcPr>
          <w:p w:rsidR="00D476E4" w:rsidRPr="00885FAA" w:rsidRDefault="00D476E4" w:rsidP="00D476E4">
            <w:pPr>
              <w:spacing w:line="360" w:lineRule="auto"/>
              <w:contextualSpacing/>
              <w:rPr>
                <w:sz w:val="16"/>
                <w:szCs w:val="16"/>
              </w:rPr>
            </w:pPr>
            <w:r w:rsidRPr="00885FAA">
              <w:rPr>
                <w:sz w:val="16"/>
                <w:szCs w:val="16"/>
              </w:rPr>
              <w:t>0.0599</w:t>
            </w:r>
          </w:p>
        </w:tc>
      </w:tr>
      <w:tr w:rsidR="00D476E4" w:rsidRPr="00885FAA" w:rsidTr="00D476E4">
        <w:trPr>
          <w:trHeight w:val="255"/>
        </w:trPr>
        <w:tc>
          <w:tcPr>
            <w:tcW w:w="6372" w:type="dxa"/>
            <w:noWrap/>
            <w:hideMark/>
          </w:tcPr>
          <w:p w:rsidR="00D476E4" w:rsidRPr="00885FAA" w:rsidRDefault="00D476E4" w:rsidP="00D476E4">
            <w:pPr>
              <w:spacing w:line="360" w:lineRule="auto"/>
              <w:contextualSpacing/>
              <w:rPr>
                <w:sz w:val="16"/>
                <w:szCs w:val="16"/>
              </w:rPr>
            </w:pPr>
            <w:r w:rsidRPr="00885FAA">
              <w:rPr>
                <w:sz w:val="16"/>
                <w:szCs w:val="16"/>
              </w:rPr>
              <w:t>Manufacture of cocoa, chocolate, sugar confert.&amp; other food products n.e.c.</w:t>
            </w:r>
          </w:p>
        </w:tc>
        <w:tc>
          <w:tcPr>
            <w:tcW w:w="1656" w:type="dxa"/>
            <w:noWrap/>
            <w:hideMark/>
          </w:tcPr>
          <w:p w:rsidR="00D476E4" w:rsidRPr="00885FAA" w:rsidRDefault="00D476E4" w:rsidP="00D476E4">
            <w:pPr>
              <w:spacing w:line="360" w:lineRule="auto"/>
              <w:contextualSpacing/>
              <w:rPr>
                <w:sz w:val="16"/>
                <w:szCs w:val="16"/>
              </w:rPr>
            </w:pPr>
            <w:r w:rsidRPr="00885FAA">
              <w:rPr>
                <w:sz w:val="16"/>
                <w:szCs w:val="16"/>
              </w:rPr>
              <w:t>1062.8675</w:t>
            </w:r>
          </w:p>
        </w:tc>
        <w:tc>
          <w:tcPr>
            <w:tcW w:w="793" w:type="dxa"/>
            <w:noWrap/>
            <w:hideMark/>
          </w:tcPr>
          <w:p w:rsidR="00D476E4" w:rsidRPr="00885FAA" w:rsidRDefault="00D476E4" w:rsidP="00D476E4">
            <w:pPr>
              <w:spacing w:line="360" w:lineRule="auto"/>
              <w:contextualSpacing/>
              <w:rPr>
                <w:sz w:val="16"/>
                <w:szCs w:val="16"/>
              </w:rPr>
            </w:pPr>
            <w:r w:rsidRPr="00885FAA">
              <w:rPr>
                <w:sz w:val="16"/>
                <w:szCs w:val="16"/>
              </w:rPr>
              <w:t>0.0108</w:t>
            </w:r>
          </w:p>
        </w:tc>
        <w:tc>
          <w:tcPr>
            <w:tcW w:w="755" w:type="dxa"/>
            <w:noWrap/>
            <w:hideMark/>
          </w:tcPr>
          <w:p w:rsidR="00D476E4" w:rsidRPr="00885FAA" w:rsidRDefault="00D476E4" w:rsidP="00D476E4">
            <w:pPr>
              <w:spacing w:line="360" w:lineRule="auto"/>
              <w:contextualSpacing/>
              <w:rPr>
                <w:sz w:val="16"/>
                <w:szCs w:val="16"/>
              </w:rPr>
            </w:pPr>
            <w:r w:rsidRPr="00885FAA">
              <w:rPr>
                <w:sz w:val="16"/>
                <w:szCs w:val="16"/>
              </w:rPr>
              <w:t>0.0254</w:t>
            </w:r>
          </w:p>
        </w:tc>
      </w:tr>
      <w:tr w:rsidR="00D476E4" w:rsidRPr="00885FAA" w:rsidTr="00D476E4">
        <w:trPr>
          <w:trHeight w:val="255"/>
        </w:trPr>
        <w:tc>
          <w:tcPr>
            <w:tcW w:w="6372" w:type="dxa"/>
            <w:noWrap/>
            <w:hideMark/>
          </w:tcPr>
          <w:p w:rsidR="00D476E4" w:rsidRPr="00885FAA" w:rsidRDefault="00D476E4" w:rsidP="00D476E4">
            <w:pPr>
              <w:spacing w:line="360" w:lineRule="auto"/>
              <w:contextualSpacing/>
              <w:rPr>
                <w:sz w:val="16"/>
                <w:szCs w:val="16"/>
              </w:rPr>
            </w:pPr>
            <w:r w:rsidRPr="00885FAA">
              <w:rPr>
                <w:sz w:val="16"/>
                <w:szCs w:val="16"/>
              </w:rPr>
              <w:t>Manufacture of alcoholic, soft drinks and mineral waters[23-24]</w:t>
            </w:r>
          </w:p>
        </w:tc>
        <w:tc>
          <w:tcPr>
            <w:tcW w:w="1656" w:type="dxa"/>
            <w:noWrap/>
            <w:hideMark/>
          </w:tcPr>
          <w:p w:rsidR="00D476E4" w:rsidRPr="00885FAA" w:rsidRDefault="00D476E4" w:rsidP="00D476E4">
            <w:pPr>
              <w:spacing w:line="360" w:lineRule="auto"/>
              <w:contextualSpacing/>
              <w:rPr>
                <w:sz w:val="16"/>
                <w:szCs w:val="16"/>
              </w:rPr>
            </w:pPr>
            <w:r w:rsidRPr="00885FAA">
              <w:rPr>
                <w:sz w:val="16"/>
                <w:szCs w:val="16"/>
              </w:rPr>
              <w:t>238.4550</w:t>
            </w:r>
          </w:p>
        </w:tc>
        <w:tc>
          <w:tcPr>
            <w:tcW w:w="793" w:type="dxa"/>
            <w:noWrap/>
            <w:hideMark/>
          </w:tcPr>
          <w:p w:rsidR="00D476E4" w:rsidRPr="00885FAA" w:rsidRDefault="00D476E4" w:rsidP="00D476E4">
            <w:pPr>
              <w:spacing w:line="360" w:lineRule="auto"/>
              <w:contextualSpacing/>
              <w:rPr>
                <w:sz w:val="16"/>
                <w:szCs w:val="16"/>
              </w:rPr>
            </w:pPr>
            <w:r w:rsidRPr="00885FAA">
              <w:rPr>
                <w:sz w:val="16"/>
                <w:szCs w:val="16"/>
              </w:rPr>
              <w:t>0.0016</w:t>
            </w:r>
          </w:p>
        </w:tc>
        <w:tc>
          <w:tcPr>
            <w:tcW w:w="755" w:type="dxa"/>
            <w:noWrap/>
            <w:hideMark/>
          </w:tcPr>
          <w:p w:rsidR="00D476E4" w:rsidRPr="00885FAA" w:rsidRDefault="00D476E4" w:rsidP="00D476E4">
            <w:pPr>
              <w:spacing w:line="360" w:lineRule="auto"/>
              <w:contextualSpacing/>
              <w:rPr>
                <w:sz w:val="16"/>
                <w:szCs w:val="16"/>
              </w:rPr>
            </w:pPr>
            <w:r w:rsidRPr="00885FAA">
              <w:rPr>
                <w:sz w:val="16"/>
                <w:szCs w:val="16"/>
              </w:rPr>
              <w:t>0.0082</w:t>
            </w:r>
          </w:p>
        </w:tc>
      </w:tr>
      <w:tr w:rsidR="00D476E4" w:rsidRPr="00885FAA" w:rsidTr="00D476E4">
        <w:trPr>
          <w:trHeight w:val="255"/>
        </w:trPr>
        <w:tc>
          <w:tcPr>
            <w:tcW w:w="6372" w:type="dxa"/>
            <w:noWrap/>
            <w:hideMark/>
          </w:tcPr>
          <w:p w:rsidR="00D476E4" w:rsidRPr="00885FAA" w:rsidRDefault="00D476E4" w:rsidP="00D476E4">
            <w:pPr>
              <w:spacing w:line="360" w:lineRule="auto"/>
              <w:contextualSpacing/>
              <w:rPr>
                <w:sz w:val="16"/>
                <w:szCs w:val="16"/>
              </w:rPr>
            </w:pPr>
            <w:r w:rsidRPr="00885FAA">
              <w:rPr>
                <w:sz w:val="16"/>
                <w:szCs w:val="16"/>
              </w:rPr>
              <w:t>Manufacture of tobacco products</w:t>
            </w:r>
          </w:p>
        </w:tc>
        <w:tc>
          <w:tcPr>
            <w:tcW w:w="1656" w:type="dxa"/>
            <w:noWrap/>
            <w:hideMark/>
          </w:tcPr>
          <w:p w:rsidR="00D476E4" w:rsidRPr="00885FAA" w:rsidRDefault="00D476E4" w:rsidP="00D476E4">
            <w:pPr>
              <w:spacing w:line="360" w:lineRule="auto"/>
              <w:contextualSpacing/>
              <w:rPr>
                <w:sz w:val="16"/>
                <w:szCs w:val="16"/>
              </w:rPr>
            </w:pPr>
            <w:r w:rsidRPr="00885FAA">
              <w:rPr>
                <w:sz w:val="16"/>
                <w:szCs w:val="16"/>
              </w:rPr>
              <w:t>69.1133</w:t>
            </w:r>
          </w:p>
        </w:tc>
        <w:tc>
          <w:tcPr>
            <w:tcW w:w="793" w:type="dxa"/>
            <w:noWrap/>
            <w:hideMark/>
          </w:tcPr>
          <w:p w:rsidR="00D476E4" w:rsidRPr="00885FAA" w:rsidRDefault="00D476E4" w:rsidP="00D476E4">
            <w:pPr>
              <w:spacing w:line="360" w:lineRule="auto"/>
              <w:contextualSpacing/>
              <w:rPr>
                <w:sz w:val="16"/>
                <w:szCs w:val="16"/>
              </w:rPr>
            </w:pPr>
            <w:r w:rsidRPr="00885FAA">
              <w:rPr>
                <w:sz w:val="16"/>
                <w:szCs w:val="16"/>
              </w:rPr>
              <w:t>0.0004</w:t>
            </w:r>
          </w:p>
        </w:tc>
        <w:tc>
          <w:tcPr>
            <w:tcW w:w="755" w:type="dxa"/>
            <w:noWrap/>
            <w:hideMark/>
          </w:tcPr>
          <w:p w:rsidR="00D476E4" w:rsidRPr="00885FAA" w:rsidRDefault="00D476E4" w:rsidP="00D476E4">
            <w:pPr>
              <w:spacing w:line="360" w:lineRule="auto"/>
              <w:contextualSpacing/>
              <w:rPr>
                <w:sz w:val="16"/>
                <w:szCs w:val="16"/>
              </w:rPr>
            </w:pPr>
            <w:r w:rsidRPr="00885FAA">
              <w:rPr>
                <w:sz w:val="16"/>
                <w:szCs w:val="16"/>
              </w:rPr>
              <w:t>0.0023</w:t>
            </w:r>
          </w:p>
        </w:tc>
      </w:tr>
      <w:tr w:rsidR="00D476E4" w:rsidRPr="00885FAA" w:rsidTr="00D476E4">
        <w:trPr>
          <w:trHeight w:val="255"/>
        </w:trPr>
        <w:tc>
          <w:tcPr>
            <w:tcW w:w="6372" w:type="dxa"/>
            <w:noWrap/>
            <w:hideMark/>
          </w:tcPr>
          <w:p w:rsidR="00D476E4" w:rsidRPr="00885FAA" w:rsidRDefault="00D476E4" w:rsidP="00D476E4">
            <w:pPr>
              <w:spacing w:line="360" w:lineRule="auto"/>
              <w:contextualSpacing/>
              <w:rPr>
                <w:sz w:val="16"/>
                <w:szCs w:val="16"/>
              </w:rPr>
            </w:pPr>
            <w:r w:rsidRPr="00885FAA">
              <w:rPr>
                <w:sz w:val="16"/>
                <w:szCs w:val="16"/>
              </w:rPr>
              <w:t>Manufacture of textiles [26-32]</w:t>
            </w:r>
          </w:p>
        </w:tc>
        <w:tc>
          <w:tcPr>
            <w:tcW w:w="1656" w:type="dxa"/>
            <w:noWrap/>
            <w:hideMark/>
          </w:tcPr>
          <w:p w:rsidR="00D476E4" w:rsidRPr="00885FAA" w:rsidRDefault="00D476E4" w:rsidP="00D476E4">
            <w:pPr>
              <w:spacing w:line="360" w:lineRule="auto"/>
              <w:contextualSpacing/>
              <w:rPr>
                <w:sz w:val="16"/>
                <w:szCs w:val="16"/>
              </w:rPr>
            </w:pPr>
            <w:r w:rsidRPr="00885FAA">
              <w:rPr>
                <w:sz w:val="16"/>
                <w:szCs w:val="16"/>
              </w:rPr>
              <w:t>3856.1542</w:t>
            </w:r>
          </w:p>
        </w:tc>
        <w:tc>
          <w:tcPr>
            <w:tcW w:w="793" w:type="dxa"/>
            <w:noWrap/>
            <w:hideMark/>
          </w:tcPr>
          <w:p w:rsidR="00D476E4" w:rsidRPr="00885FAA" w:rsidRDefault="00D476E4" w:rsidP="00D476E4">
            <w:pPr>
              <w:spacing w:line="360" w:lineRule="auto"/>
              <w:contextualSpacing/>
              <w:rPr>
                <w:sz w:val="16"/>
                <w:szCs w:val="16"/>
              </w:rPr>
            </w:pPr>
            <w:r w:rsidRPr="00885FAA">
              <w:rPr>
                <w:sz w:val="16"/>
                <w:szCs w:val="16"/>
              </w:rPr>
              <w:t>0.0223</w:t>
            </w:r>
          </w:p>
        </w:tc>
        <w:tc>
          <w:tcPr>
            <w:tcW w:w="755" w:type="dxa"/>
            <w:noWrap/>
            <w:hideMark/>
          </w:tcPr>
          <w:p w:rsidR="00D476E4" w:rsidRPr="00885FAA" w:rsidRDefault="00D476E4" w:rsidP="00D476E4">
            <w:pPr>
              <w:spacing w:line="360" w:lineRule="auto"/>
              <w:contextualSpacing/>
              <w:rPr>
                <w:sz w:val="16"/>
                <w:szCs w:val="16"/>
              </w:rPr>
            </w:pPr>
            <w:r w:rsidRPr="00885FAA">
              <w:rPr>
                <w:sz w:val="16"/>
                <w:szCs w:val="16"/>
              </w:rPr>
              <w:t>0.0964</w:t>
            </w:r>
          </w:p>
        </w:tc>
      </w:tr>
      <w:tr w:rsidR="00D476E4" w:rsidRPr="00885FAA" w:rsidTr="00D476E4">
        <w:trPr>
          <w:trHeight w:val="255"/>
        </w:trPr>
        <w:tc>
          <w:tcPr>
            <w:tcW w:w="6372" w:type="dxa"/>
            <w:noWrap/>
            <w:hideMark/>
          </w:tcPr>
          <w:p w:rsidR="00D476E4" w:rsidRPr="00885FAA" w:rsidRDefault="00D476E4" w:rsidP="00D476E4">
            <w:pPr>
              <w:spacing w:line="360" w:lineRule="auto"/>
              <w:contextualSpacing/>
              <w:rPr>
                <w:sz w:val="16"/>
                <w:szCs w:val="16"/>
              </w:rPr>
            </w:pPr>
            <w:r w:rsidRPr="00885FAA">
              <w:rPr>
                <w:sz w:val="16"/>
                <w:szCs w:val="16"/>
              </w:rPr>
              <w:t>Wood, furniture, paper, publishing [33-37, 67]</w:t>
            </w:r>
          </w:p>
        </w:tc>
        <w:tc>
          <w:tcPr>
            <w:tcW w:w="1656" w:type="dxa"/>
            <w:noWrap/>
            <w:hideMark/>
          </w:tcPr>
          <w:p w:rsidR="00D476E4" w:rsidRPr="00885FAA" w:rsidRDefault="00D476E4" w:rsidP="00D476E4">
            <w:pPr>
              <w:spacing w:line="360" w:lineRule="auto"/>
              <w:contextualSpacing/>
              <w:rPr>
                <w:sz w:val="16"/>
                <w:szCs w:val="16"/>
              </w:rPr>
            </w:pPr>
            <w:r w:rsidRPr="00885FAA">
              <w:rPr>
                <w:sz w:val="16"/>
                <w:szCs w:val="16"/>
              </w:rPr>
              <w:t>4244.4207</w:t>
            </w:r>
          </w:p>
        </w:tc>
        <w:tc>
          <w:tcPr>
            <w:tcW w:w="793" w:type="dxa"/>
            <w:noWrap/>
            <w:hideMark/>
          </w:tcPr>
          <w:p w:rsidR="00D476E4" w:rsidRPr="00885FAA" w:rsidRDefault="00D476E4" w:rsidP="00D476E4">
            <w:pPr>
              <w:spacing w:line="360" w:lineRule="auto"/>
              <w:contextualSpacing/>
              <w:rPr>
                <w:sz w:val="16"/>
                <w:szCs w:val="16"/>
              </w:rPr>
            </w:pPr>
            <w:r w:rsidRPr="00885FAA">
              <w:rPr>
                <w:sz w:val="16"/>
                <w:szCs w:val="16"/>
              </w:rPr>
              <w:t>0.0317</w:t>
            </w:r>
          </w:p>
        </w:tc>
        <w:tc>
          <w:tcPr>
            <w:tcW w:w="755" w:type="dxa"/>
            <w:noWrap/>
            <w:hideMark/>
          </w:tcPr>
          <w:p w:rsidR="00D476E4" w:rsidRPr="00885FAA" w:rsidRDefault="00D476E4" w:rsidP="00D476E4">
            <w:pPr>
              <w:spacing w:line="360" w:lineRule="auto"/>
              <w:contextualSpacing/>
              <w:rPr>
                <w:sz w:val="16"/>
                <w:szCs w:val="16"/>
              </w:rPr>
            </w:pPr>
            <w:r w:rsidRPr="00885FAA">
              <w:rPr>
                <w:sz w:val="16"/>
                <w:szCs w:val="16"/>
              </w:rPr>
              <w:t>0.1513</w:t>
            </w:r>
          </w:p>
        </w:tc>
      </w:tr>
      <w:tr w:rsidR="00D476E4" w:rsidRPr="00885FAA" w:rsidTr="00D476E4">
        <w:trPr>
          <w:trHeight w:val="255"/>
        </w:trPr>
        <w:tc>
          <w:tcPr>
            <w:tcW w:w="6372" w:type="dxa"/>
            <w:noWrap/>
            <w:hideMark/>
          </w:tcPr>
          <w:p w:rsidR="00D476E4" w:rsidRPr="00885FAA" w:rsidRDefault="00D476E4" w:rsidP="00D476E4">
            <w:pPr>
              <w:spacing w:line="360" w:lineRule="auto"/>
              <w:contextualSpacing/>
              <w:rPr>
                <w:sz w:val="16"/>
                <w:szCs w:val="16"/>
              </w:rPr>
            </w:pPr>
            <w:r w:rsidRPr="00885FAA">
              <w:rPr>
                <w:sz w:val="16"/>
                <w:szCs w:val="16"/>
              </w:rPr>
              <w:t>Manufacture of fertilizers, pesticides, other agro-chemicals, paints, and varnishes [40-41]</w:t>
            </w:r>
          </w:p>
        </w:tc>
        <w:tc>
          <w:tcPr>
            <w:tcW w:w="1656" w:type="dxa"/>
            <w:noWrap/>
            <w:hideMark/>
          </w:tcPr>
          <w:p w:rsidR="00D476E4" w:rsidRPr="00885FAA" w:rsidRDefault="00D476E4" w:rsidP="00D476E4">
            <w:pPr>
              <w:spacing w:line="360" w:lineRule="auto"/>
              <w:contextualSpacing/>
              <w:rPr>
                <w:sz w:val="16"/>
                <w:szCs w:val="16"/>
              </w:rPr>
            </w:pPr>
            <w:r w:rsidRPr="00885FAA">
              <w:rPr>
                <w:sz w:val="16"/>
                <w:szCs w:val="16"/>
              </w:rPr>
              <w:t>3306.3807</w:t>
            </w:r>
          </w:p>
        </w:tc>
        <w:tc>
          <w:tcPr>
            <w:tcW w:w="793" w:type="dxa"/>
            <w:noWrap/>
            <w:hideMark/>
          </w:tcPr>
          <w:p w:rsidR="00D476E4" w:rsidRPr="00885FAA" w:rsidRDefault="00D476E4" w:rsidP="00D476E4">
            <w:pPr>
              <w:spacing w:line="360" w:lineRule="auto"/>
              <w:contextualSpacing/>
              <w:rPr>
                <w:sz w:val="16"/>
                <w:szCs w:val="16"/>
              </w:rPr>
            </w:pPr>
            <w:r w:rsidRPr="00885FAA">
              <w:rPr>
                <w:sz w:val="16"/>
                <w:szCs w:val="16"/>
              </w:rPr>
              <w:t>0.0137</w:t>
            </w:r>
          </w:p>
        </w:tc>
        <w:tc>
          <w:tcPr>
            <w:tcW w:w="755" w:type="dxa"/>
            <w:noWrap/>
            <w:hideMark/>
          </w:tcPr>
          <w:p w:rsidR="00D476E4" w:rsidRPr="00885FAA" w:rsidRDefault="00D476E4" w:rsidP="00D476E4">
            <w:pPr>
              <w:spacing w:line="360" w:lineRule="auto"/>
              <w:contextualSpacing/>
              <w:rPr>
                <w:sz w:val="16"/>
                <w:szCs w:val="16"/>
              </w:rPr>
            </w:pPr>
            <w:r w:rsidRPr="00885FAA">
              <w:rPr>
                <w:sz w:val="16"/>
                <w:szCs w:val="16"/>
              </w:rPr>
              <w:t>0.0807</w:t>
            </w:r>
          </w:p>
        </w:tc>
      </w:tr>
      <w:tr w:rsidR="00D476E4" w:rsidRPr="00885FAA" w:rsidTr="00D476E4">
        <w:trPr>
          <w:trHeight w:val="255"/>
        </w:trPr>
        <w:tc>
          <w:tcPr>
            <w:tcW w:w="6372" w:type="dxa"/>
            <w:noWrap/>
            <w:hideMark/>
          </w:tcPr>
          <w:p w:rsidR="00D476E4" w:rsidRPr="00885FAA" w:rsidRDefault="00D476E4" w:rsidP="00D476E4">
            <w:pPr>
              <w:spacing w:line="360" w:lineRule="auto"/>
              <w:contextualSpacing/>
              <w:rPr>
                <w:sz w:val="16"/>
                <w:szCs w:val="16"/>
              </w:rPr>
            </w:pPr>
            <w:r w:rsidRPr="00885FAA">
              <w:rPr>
                <w:sz w:val="16"/>
                <w:szCs w:val="16"/>
              </w:rPr>
              <w:t>Manufacture of coke, refined petroleum prod, basic chemicals, rubber, plastics, glass, ceramic prod., non-metallic minerals, etc. [38-39, 42-49]</w:t>
            </w:r>
          </w:p>
        </w:tc>
        <w:tc>
          <w:tcPr>
            <w:tcW w:w="1656" w:type="dxa"/>
            <w:noWrap/>
            <w:hideMark/>
          </w:tcPr>
          <w:p w:rsidR="00D476E4" w:rsidRPr="00885FAA" w:rsidRDefault="00D476E4" w:rsidP="00D476E4">
            <w:pPr>
              <w:spacing w:line="360" w:lineRule="auto"/>
              <w:contextualSpacing/>
              <w:rPr>
                <w:sz w:val="16"/>
                <w:szCs w:val="16"/>
              </w:rPr>
            </w:pPr>
            <w:r w:rsidRPr="00885FAA">
              <w:rPr>
                <w:sz w:val="16"/>
                <w:szCs w:val="16"/>
              </w:rPr>
              <w:t>31472.0907</w:t>
            </w:r>
          </w:p>
        </w:tc>
        <w:tc>
          <w:tcPr>
            <w:tcW w:w="793" w:type="dxa"/>
            <w:noWrap/>
            <w:hideMark/>
          </w:tcPr>
          <w:p w:rsidR="00D476E4" w:rsidRPr="00885FAA" w:rsidRDefault="00D476E4" w:rsidP="00D476E4">
            <w:pPr>
              <w:spacing w:line="360" w:lineRule="auto"/>
              <w:contextualSpacing/>
              <w:rPr>
                <w:sz w:val="16"/>
                <w:szCs w:val="16"/>
              </w:rPr>
            </w:pPr>
            <w:r w:rsidRPr="00885FAA">
              <w:rPr>
                <w:sz w:val="16"/>
                <w:szCs w:val="16"/>
              </w:rPr>
              <w:t>0.2839</w:t>
            </w:r>
          </w:p>
        </w:tc>
        <w:tc>
          <w:tcPr>
            <w:tcW w:w="755" w:type="dxa"/>
            <w:noWrap/>
            <w:hideMark/>
          </w:tcPr>
          <w:p w:rsidR="00D476E4" w:rsidRPr="00885FAA" w:rsidRDefault="00D476E4" w:rsidP="00D476E4">
            <w:pPr>
              <w:spacing w:line="360" w:lineRule="auto"/>
              <w:contextualSpacing/>
              <w:rPr>
                <w:sz w:val="16"/>
                <w:szCs w:val="16"/>
              </w:rPr>
            </w:pPr>
            <w:r w:rsidRPr="00885FAA">
              <w:rPr>
                <w:sz w:val="16"/>
                <w:szCs w:val="16"/>
              </w:rPr>
              <w:t>0.7813</w:t>
            </w:r>
          </w:p>
        </w:tc>
      </w:tr>
      <w:tr w:rsidR="00D476E4" w:rsidRPr="00885FAA" w:rsidTr="00D476E4">
        <w:trPr>
          <w:trHeight w:val="255"/>
        </w:trPr>
        <w:tc>
          <w:tcPr>
            <w:tcW w:w="6372" w:type="dxa"/>
            <w:noWrap/>
            <w:hideMark/>
          </w:tcPr>
          <w:p w:rsidR="00D476E4" w:rsidRPr="00885FAA" w:rsidRDefault="00D476E4" w:rsidP="00D476E4">
            <w:pPr>
              <w:spacing w:line="360" w:lineRule="auto"/>
              <w:contextualSpacing/>
              <w:rPr>
                <w:sz w:val="16"/>
                <w:szCs w:val="16"/>
              </w:rPr>
            </w:pPr>
            <w:r w:rsidRPr="00885FAA">
              <w:rPr>
                <w:sz w:val="16"/>
                <w:szCs w:val="16"/>
              </w:rPr>
              <w:t>Manufacture of ferrous, non-ferrous metals, various machinary, vehicles, etc. [50-66, 68]</w:t>
            </w:r>
          </w:p>
        </w:tc>
        <w:tc>
          <w:tcPr>
            <w:tcW w:w="1656" w:type="dxa"/>
            <w:noWrap/>
            <w:hideMark/>
          </w:tcPr>
          <w:p w:rsidR="00D476E4" w:rsidRPr="00885FAA" w:rsidRDefault="00D476E4" w:rsidP="00D476E4">
            <w:pPr>
              <w:spacing w:line="360" w:lineRule="auto"/>
              <w:contextualSpacing/>
              <w:rPr>
                <w:sz w:val="16"/>
                <w:szCs w:val="16"/>
              </w:rPr>
            </w:pPr>
            <w:r w:rsidRPr="00885FAA">
              <w:rPr>
                <w:sz w:val="16"/>
                <w:szCs w:val="16"/>
              </w:rPr>
              <w:t>31355.8340</w:t>
            </w:r>
          </w:p>
        </w:tc>
        <w:tc>
          <w:tcPr>
            <w:tcW w:w="793" w:type="dxa"/>
            <w:noWrap/>
            <w:hideMark/>
          </w:tcPr>
          <w:p w:rsidR="00D476E4" w:rsidRPr="00885FAA" w:rsidRDefault="00D476E4" w:rsidP="00D476E4">
            <w:pPr>
              <w:spacing w:line="360" w:lineRule="auto"/>
              <w:contextualSpacing/>
              <w:rPr>
                <w:sz w:val="16"/>
                <w:szCs w:val="16"/>
              </w:rPr>
            </w:pPr>
            <w:r w:rsidRPr="00885FAA">
              <w:rPr>
                <w:sz w:val="16"/>
                <w:szCs w:val="16"/>
              </w:rPr>
              <w:t>0.3802</w:t>
            </w:r>
          </w:p>
        </w:tc>
        <w:tc>
          <w:tcPr>
            <w:tcW w:w="755" w:type="dxa"/>
            <w:noWrap/>
            <w:hideMark/>
          </w:tcPr>
          <w:p w:rsidR="00D476E4" w:rsidRPr="00885FAA" w:rsidRDefault="00D476E4" w:rsidP="00D476E4">
            <w:pPr>
              <w:spacing w:line="360" w:lineRule="auto"/>
              <w:contextualSpacing/>
              <w:rPr>
                <w:sz w:val="16"/>
                <w:szCs w:val="16"/>
              </w:rPr>
            </w:pPr>
            <w:r w:rsidRPr="00885FAA">
              <w:rPr>
                <w:sz w:val="16"/>
                <w:szCs w:val="16"/>
              </w:rPr>
              <w:t>0.5074</w:t>
            </w:r>
          </w:p>
        </w:tc>
      </w:tr>
      <w:tr w:rsidR="00D476E4" w:rsidRPr="00885FAA" w:rsidTr="00D476E4">
        <w:trPr>
          <w:trHeight w:val="255"/>
        </w:trPr>
        <w:tc>
          <w:tcPr>
            <w:tcW w:w="6372" w:type="dxa"/>
            <w:noWrap/>
            <w:hideMark/>
          </w:tcPr>
          <w:p w:rsidR="00D476E4" w:rsidRPr="00885FAA" w:rsidRDefault="00D476E4" w:rsidP="00D476E4">
            <w:pPr>
              <w:spacing w:line="360" w:lineRule="auto"/>
              <w:contextualSpacing/>
              <w:rPr>
                <w:sz w:val="16"/>
                <w:szCs w:val="16"/>
              </w:rPr>
            </w:pPr>
            <w:r w:rsidRPr="00885FAA">
              <w:rPr>
                <w:sz w:val="16"/>
                <w:szCs w:val="16"/>
              </w:rPr>
              <w:t>Energy production and distribution [69-70]</w:t>
            </w:r>
          </w:p>
        </w:tc>
        <w:tc>
          <w:tcPr>
            <w:tcW w:w="1656" w:type="dxa"/>
            <w:noWrap/>
            <w:hideMark/>
          </w:tcPr>
          <w:p w:rsidR="00D476E4" w:rsidRPr="00885FAA" w:rsidRDefault="00D476E4" w:rsidP="00D476E4">
            <w:pPr>
              <w:spacing w:line="360" w:lineRule="auto"/>
              <w:contextualSpacing/>
              <w:rPr>
                <w:sz w:val="16"/>
                <w:szCs w:val="16"/>
              </w:rPr>
            </w:pPr>
            <w:r w:rsidRPr="00885FAA">
              <w:rPr>
                <w:sz w:val="16"/>
                <w:szCs w:val="16"/>
              </w:rPr>
              <w:t>139030.4046</w:t>
            </w:r>
          </w:p>
        </w:tc>
        <w:tc>
          <w:tcPr>
            <w:tcW w:w="793" w:type="dxa"/>
            <w:noWrap/>
            <w:hideMark/>
          </w:tcPr>
          <w:p w:rsidR="00D476E4" w:rsidRPr="00885FAA" w:rsidRDefault="00D476E4" w:rsidP="00D476E4">
            <w:pPr>
              <w:spacing w:line="360" w:lineRule="auto"/>
              <w:contextualSpacing/>
              <w:rPr>
                <w:sz w:val="16"/>
                <w:szCs w:val="16"/>
              </w:rPr>
            </w:pPr>
            <w:r w:rsidRPr="00885FAA">
              <w:rPr>
                <w:sz w:val="16"/>
                <w:szCs w:val="16"/>
              </w:rPr>
              <w:t>1.6359</w:t>
            </w:r>
          </w:p>
        </w:tc>
        <w:tc>
          <w:tcPr>
            <w:tcW w:w="755" w:type="dxa"/>
            <w:noWrap/>
            <w:hideMark/>
          </w:tcPr>
          <w:p w:rsidR="00D476E4" w:rsidRPr="00885FAA" w:rsidRDefault="00D476E4" w:rsidP="00D476E4">
            <w:pPr>
              <w:spacing w:line="360" w:lineRule="auto"/>
              <w:contextualSpacing/>
              <w:rPr>
                <w:sz w:val="16"/>
                <w:szCs w:val="16"/>
              </w:rPr>
            </w:pPr>
            <w:r w:rsidRPr="00885FAA">
              <w:rPr>
                <w:sz w:val="16"/>
                <w:szCs w:val="16"/>
              </w:rPr>
              <w:t>2.4803</w:t>
            </w:r>
          </w:p>
        </w:tc>
      </w:tr>
      <w:tr w:rsidR="00D476E4" w:rsidRPr="00885FAA" w:rsidTr="00D476E4">
        <w:trPr>
          <w:trHeight w:val="255"/>
        </w:trPr>
        <w:tc>
          <w:tcPr>
            <w:tcW w:w="6372" w:type="dxa"/>
            <w:noWrap/>
            <w:hideMark/>
          </w:tcPr>
          <w:p w:rsidR="00D476E4" w:rsidRPr="00885FAA" w:rsidRDefault="00D476E4" w:rsidP="00D476E4">
            <w:pPr>
              <w:spacing w:line="360" w:lineRule="auto"/>
              <w:contextualSpacing/>
              <w:rPr>
                <w:sz w:val="16"/>
                <w:szCs w:val="16"/>
              </w:rPr>
            </w:pPr>
            <w:r w:rsidRPr="00885FAA">
              <w:rPr>
                <w:sz w:val="16"/>
                <w:szCs w:val="16"/>
              </w:rPr>
              <w:t>Water and Construction [71-72]</w:t>
            </w:r>
          </w:p>
        </w:tc>
        <w:tc>
          <w:tcPr>
            <w:tcW w:w="1656" w:type="dxa"/>
            <w:noWrap/>
            <w:hideMark/>
          </w:tcPr>
          <w:p w:rsidR="00D476E4" w:rsidRPr="00885FAA" w:rsidRDefault="00D476E4" w:rsidP="00D476E4">
            <w:pPr>
              <w:spacing w:line="360" w:lineRule="auto"/>
              <w:contextualSpacing/>
              <w:rPr>
                <w:sz w:val="16"/>
                <w:szCs w:val="16"/>
              </w:rPr>
            </w:pPr>
            <w:r w:rsidRPr="00885FAA">
              <w:rPr>
                <w:sz w:val="16"/>
                <w:szCs w:val="16"/>
              </w:rPr>
              <w:t>5213.7719</w:t>
            </w:r>
          </w:p>
        </w:tc>
        <w:tc>
          <w:tcPr>
            <w:tcW w:w="793" w:type="dxa"/>
            <w:noWrap/>
            <w:hideMark/>
          </w:tcPr>
          <w:p w:rsidR="00D476E4" w:rsidRPr="00885FAA" w:rsidRDefault="00D476E4" w:rsidP="00D476E4">
            <w:pPr>
              <w:spacing w:line="360" w:lineRule="auto"/>
              <w:contextualSpacing/>
              <w:rPr>
                <w:sz w:val="16"/>
                <w:szCs w:val="16"/>
              </w:rPr>
            </w:pPr>
            <w:r w:rsidRPr="00885FAA">
              <w:rPr>
                <w:sz w:val="16"/>
                <w:szCs w:val="16"/>
              </w:rPr>
              <w:t>0.0348</w:t>
            </w:r>
          </w:p>
        </w:tc>
        <w:tc>
          <w:tcPr>
            <w:tcW w:w="755" w:type="dxa"/>
            <w:noWrap/>
            <w:hideMark/>
          </w:tcPr>
          <w:p w:rsidR="00D476E4" w:rsidRPr="00885FAA" w:rsidRDefault="00D476E4" w:rsidP="00D476E4">
            <w:pPr>
              <w:spacing w:line="360" w:lineRule="auto"/>
              <w:contextualSpacing/>
              <w:rPr>
                <w:sz w:val="16"/>
                <w:szCs w:val="16"/>
              </w:rPr>
            </w:pPr>
            <w:r w:rsidRPr="00885FAA">
              <w:rPr>
                <w:sz w:val="16"/>
                <w:szCs w:val="16"/>
              </w:rPr>
              <w:t>0.1801</w:t>
            </w:r>
          </w:p>
        </w:tc>
      </w:tr>
      <w:tr w:rsidR="00D476E4" w:rsidRPr="00885FAA" w:rsidTr="00D476E4">
        <w:trPr>
          <w:trHeight w:val="255"/>
        </w:trPr>
        <w:tc>
          <w:tcPr>
            <w:tcW w:w="6372" w:type="dxa"/>
            <w:noWrap/>
            <w:hideMark/>
          </w:tcPr>
          <w:p w:rsidR="00D476E4" w:rsidRPr="00885FAA" w:rsidRDefault="00D476E4" w:rsidP="00D476E4">
            <w:pPr>
              <w:spacing w:line="360" w:lineRule="auto"/>
              <w:contextualSpacing/>
              <w:rPr>
                <w:sz w:val="16"/>
                <w:szCs w:val="16"/>
              </w:rPr>
            </w:pPr>
            <w:r w:rsidRPr="00885FAA">
              <w:rPr>
                <w:sz w:val="16"/>
                <w:szCs w:val="16"/>
              </w:rPr>
              <w:t>Transport [73, 78-81]</w:t>
            </w:r>
          </w:p>
        </w:tc>
        <w:tc>
          <w:tcPr>
            <w:tcW w:w="1656" w:type="dxa"/>
            <w:noWrap/>
            <w:hideMark/>
          </w:tcPr>
          <w:p w:rsidR="00D476E4" w:rsidRPr="00885FAA" w:rsidRDefault="00D476E4" w:rsidP="00D476E4">
            <w:pPr>
              <w:spacing w:line="360" w:lineRule="auto"/>
              <w:contextualSpacing/>
              <w:rPr>
                <w:sz w:val="16"/>
                <w:szCs w:val="16"/>
              </w:rPr>
            </w:pPr>
            <w:r w:rsidRPr="00885FAA">
              <w:rPr>
                <w:sz w:val="16"/>
                <w:szCs w:val="16"/>
              </w:rPr>
              <w:t>54118.5942</w:t>
            </w:r>
          </w:p>
        </w:tc>
        <w:tc>
          <w:tcPr>
            <w:tcW w:w="793" w:type="dxa"/>
            <w:noWrap/>
            <w:hideMark/>
          </w:tcPr>
          <w:p w:rsidR="00D476E4" w:rsidRPr="00885FAA" w:rsidRDefault="00D476E4" w:rsidP="00D476E4">
            <w:pPr>
              <w:spacing w:line="360" w:lineRule="auto"/>
              <w:contextualSpacing/>
              <w:rPr>
                <w:sz w:val="16"/>
                <w:szCs w:val="16"/>
              </w:rPr>
            </w:pPr>
            <w:r w:rsidRPr="00885FAA">
              <w:rPr>
                <w:sz w:val="16"/>
                <w:szCs w:val="16"/>
              </w:rPr>
              <w:t>0.3856</w:t>
            </w:r>
          </w:p>
        </w:tc>
        <w:tc>
          <w:tcPr>
            <w:tcW w:w="755" w:type="dxa"/>
            <w:noWrap/>
            <w:hideMark/>
          </w:tcPr>
          <w:p w:rsidR="00D476E4" w:rsidRPr="00885FAA" w:rsidRDefault="00D476E4" w:rsidP="00D476E4">
            <w:pPr>
              <w:spacing w:line="360" w:lineRule="auto"/>
              <w:contextualSpacing/>
              <w:rPr>
                <w:sz w:val="16"/>
                <w:szCs w:val="16"/>
              </w:rPr>
            </w:pPr>
            <w:r w:rsidRPr="00885FAA">
              <w:rPr>
                <w:sz w:val="16"/>
                <w:szCs w:val="16"/>
              </w:rPr>
              <w:t>1.9374</w:t>
            </w:r>
          </w:p>
        </w:tc>
      </w:tr>
      <w:tr w:rsidR="00D476E4" w:rsidRPr="00885FAA" w:rsidTr="00D476E4">
        <w:trPr>
          <w:trHeight w:val="255"/>
        </w:trPr>
        <w:tc>
          <w:tcPr>
            <w:tcW w:w="6372" w:type="dxa"/>
            <w:noWrap/>
            <w:hideMark/>
          </w:tcPr>
          <w:p w:rsidR="00D476E4" w:rsidRPr="00885FAA" w:rsidRDefault="00D476E4" w:rsidP="00D476E4">
            <w:pPr>
              <w:spacing w:line="360" w:lineRule="auto"/>
              <w:contextualSpacing/>
              <w:rPr>
                <w:sz w:val="16"/>
                <w:szCs w:val="16"/>
              </w:rPr>
            </w:pPr>
            <w:r w:rsidRPr="00885FAA">
              <w:rPr>
                <w:sz w:val="16"/>
                <w:szCs w:val="16"/>
              </w:rPr>
              <w:t>Services [74-77, 82-97]</w:t>
            </w:r>
          </w:p>
        </w:tc>
        <w:tc>
          <w:tcPr>
            <w:tcW w:w="1656" w:type="dxa"/>
            <w:noWrap/>
            <w:hideMark/>
          </w:tcPr>
          <w:p w:rsidR="00D476E4" w:rsidRPr="00885FAA" w:rsidRDefault="00D476E4" w:rsidP="00D476E4">
            <w:pPr>
              <w:spacing w:line="360" w:lineRule="auto"/>
              <w:contextualSpacing/>
              <w:rPr>
                <w:sz w:val="16"/>
                <w:szCs w:val="16"/>
              </w:rPr>
            </w:pPr>
            <w:r w:rsidRPr="00885FAA">
              <w:rPr>
                <w:sz w:val="16"/>
                <w:szCs w:val="16"/>
              </w:rPr>
              <w:t>18581.7000</w:t>
            </w:r>
          </w:p>
        </w:tc>
        <w:tc>
          <w:tcPr>
            <w:tcW w:w="793" w:type="dxa"/>
            <w:noWrap/>
            <w:hideMark/>
          </w:tcPr>
          <w:p w:rsidR="00D476E4" w:rsidRPr="00885FAA" w:rsidRDefault="00D476E4" w:rsidP="00D476E4">
            <w:pPr>
              <w:spacing w:line="360" w:lineRule="auto"/>
              <w:contextualSpacing/>
              <w:rPr>
                <w:sz w:val="16"/>
                <w:szCs w:val="16"/>
              </w:rPr>
            </w:pPr>
            <w:r w:rsidRPr="00885FAA">
              <w:rPr>
                <w:sz w:val="16"/>
                <w:szCs w:val="16"/>
              </w:rPr>
              <w:t>0.1787</w:t>
            </w:r>
          </w:p>
        </w:tc>
        <w:tc>
          <w:tcPr>
            <w:tcW w:w="755" w:type="dxa"/>
            <w:noWrap/>
            <w:hideMark/>
          </w:tcPr>
          <w:p w:rsidR="00D476E4" w:rsidRPr="00885FAA" w:rsidRDefault="00D476E4" w:rsidP="00D476E4">
            <w:pPr>
              <w:spacing w:line="360" w:lineRule="auto"/>
              <w:contextualSpacing/>
              <w:rPr>
                <w:sz w:val="16"/>
                <w:szCs w:val="16"/>
              </w:rPr>
            </w:pPr>
            <w:r w:rsidRPr="00885FAA">
              <w:rPr>
                <w:sz w:val="16"/>
                <w:szCs w:val="16"/>
              </w:rPr>
              <w:t>0.4104</w:t>
            </w:r>
          </w:p>
        </w:tc>
      </w:tr>
      <w:tr w:rsidR="00D476E4" w:rsidRPr="00885FAA" w:rsidTr="00D476E4">
        <w:trPr>
          <w:trHeight w:val="255"/>
        </w:trPr>
        <w:tc>
          <w:tcPr>
            <w:tcW w:w="6372" w:type="dxa"/>
            <w:noWrap/>
            <w:hideMark/>
          </w:tcPr>
          <w:p w:rsidR="00D476E4" w:rsidRPr="00885FAA" w:rsidRDefault="00D476E4" w:rsidP="00D476E4">
            <w:pPr>
              <w:spacing w:line="360" w:lineRule="auto"/>
              <w:contextualSpacing/>
              <w:rPr>
                <w:sz w:val="16"/>
                <w:szCs w:val="16"/>
              </w:rPr>
            </w:pPr>
            <w:r w:rsidRPr="00885FAA">
              <w:rPr>
                <w:sz w:val="16"/>
                <w:szCs w:val="16"/>
              </w:rPr>
              <w:t>Total</w:t>
            </w:r>
          </w:p>
        </w:tc>
        <w:tc>
          <w:tcPr>
            <w:tcW w:w="1656" w:type="dxa"/>
            <w:noWrap/>
            <w:hideMark/>
          </w:tcPr>
          <w:p w:rsidR="00D476E4" w:rsidRPr="00885FAA" w:rsidRDefault="00D476E4" w:rsidP="00D476E4">
            <w:pPr>
              <w:spacing w:line="360" w:lineRule="auto"/>
              <w:contextualSpacing/>
              <w:rPr>
                <w:sz w:val="16"/>
                <w:szCs w:val="16"/>
              </w:rPr>
            </w:pPr>
            <w:r w:rsidRPr="00885FAA">
              <w:rPr>
                <w:sz w:val="16"/>
                <w:szCs w:val="16"/>
              </w:rPr>
              <w:t>307955.1275</w:t>
            </w:r>
          </w:p>
        </w:tc>
        <w:tc>
          <w:tcPr>
            <w:tcW w:w="793" w:type="dxa"/>
            <w:noWrap/>
            <w:hideMark/>
          </w:tcPr>
          <w:p w:rsidR="00D476E4" w:rsidRPr="00885FAA" w:rsidRDefault="00D476E4" w:rsidP="00D476E4">
            <w:pPr>
              <w:spacing w:line="360" w:lineRule="auto"/>
              <w:contextualSpacing/>
              <w:rPr>
                <w:sz w:val="16"/>
                <w:szCs w:val="16"/>
              </w:rPr>
            </w:pPr>
            <w:r w:rsidRPr="00885FAA">
              <w:rPr>
                <w:sz w:val="16"/>
                <w:szCs w:val="16"/>
              </w:rPr>
              <w:t>3.1148</w:t>
            </w:r>
          </w:p>
        </w:tc>
        <w:tc>
          <w:tcPr>
            <w:tcW w:w="755" w:type="dxa"/>
            <w:noWrap/>
            <w:hideMark/>
          </w:tcPr>
          <w:p w:rsidR="00D476E4" w:rsidRPr="00885FAA" w:rsidRDefault="00D476E4" w:rsidP="00D476E4">
            <w:pPr>
              <w:spacing w:line="360" w:lineRule="auto"/>
              <w:contextualSpacing/>
              <w:rPr>
                <w:sz w:val="16"/>
                <w:szCs w:val="16"/>
              </w:rPr>
            </w:pPr>
            <w:r w:rsidRPr="00885FAA">
              <w:rPr>
                <w:sz w:val="16"/>
                <w:szCs w:val="16"/>
              </w:rPr>
              <w:t>7.1192</w:t>
            </w:r>
          </w:p>
        </w:tc>
      </w:tr>
    </w:tbl>
    <w:p w:rsidR="00F05C0B" w:rsidRPr="00E83407" w:rsidRDefault="00F05C0B" w:rsidP="00F05C0B">
      <w:pPr>
        <w:spacing w:line="360" w:lineRule="auto"/>
        <w:ind w:hanging="180"/>
        <w:contextualSpacing/>
        <w:jc w:val="both"/>
        <w:rPr>
          <w:sz w:val="20"/>
          <w:szCs w:val="20"/>
        </w:rPr>
      </w:pPr>
      <w:r>
        <w:rPr>
          <w:sz w:val="20"/>
          <w:szCs w:val="20"/>
        </w:rPr>
        <w:t xml:space="preserve"> </w:t>
      </w:r>
      <w:r w:rsidRPr="00E83407">
        <w:rPr>
          <w:sz w:val="20"/>
          <w:szCs w:val="20"/>
        </w:rPr>
        <w:t>Source: Author's Calculations</w:t>
      </w:r>
    </w:p>
    <w:p w:rsidR="008972A9" w:rsidRDefault="008972A9" w:rsidP="00D476E4">
      <w:pPr>
        <w:spacing w:line="360" w:lineRule="auto"/>
        <w:contextualSpacing/>
        <w:jc w:val="both"/>
      </w:pPr>
    </w:p>
    <w:p w:rsidR="008972A9" w:rsidRDefault="008972A9" w:rsidP="00D476E4">
      <w:pPr>
        <w:spacing w:line="360" w:lineRule="auto"/>
        <w:contextualSpacing/>
        <w:jc w:val="both"/>
      </w:pPr>
    </w:p>
    <w:p w:rsidR="00D476E4" w:rsidRDefault="00D476E4" w:rsidP="00D476E4">
      <w:pPr>
        <w:spacing w:line="360" w:lineRule="auto"/>
        <w:contextualSpacing/>
        <w:jc w:val="both"/>
      </w:pPr>
    </w:p>
    <w:p w:rsidR="008972A9" w:rsidRDefault="008972A9" w:rsidP="00D476E4">
      <w:pPr>
        <w:spacing w:line="360" w:lineRule="auto"/>
        <w:contextualSpacing/>
        <w:jc w:val="both"/>
      </w:pPr>
    </w:p>
    <w:p w:rsidR="008972A9" w:rsidRDefault="008972A9" w:rsidP="00D476E4">
      <w:pPr>
        <w:spacing w:line="360" w:lineRule="auto"/>
        <w:contextualSpacing/>
        <w:jc w:val="both"/>
      </w:pPr>
    </w:p>
    <w:p w:rsidR="00D476E4" w:rsidRPr="009900C2" w:rsidRDefault="00D476E4" w:rsidP="00D476E4">
      <w:pPr>
        <w:spacing w:line="360" w:lineRule="auto"/>
        <w:contextualSpacing/>
        <w:jc w:val="center"/>
        <w:rPr>
          <w:b/>
          <w:sz w:val="20"/>
          <w:szCs w:val="20"/>
        </w:rPr>
      </w:pPr>
      <w:r w:rsidRPr="009900C2">
        <w:rPr>
          <w:b/>
          <w:sz w:val="20"/>
          <w:szCs w:val="20"/>
        </w:rPr>
        <w:t xml:space="preserve">Chart 1. GHGs Emissions Sectoral Shares </w:t>
      </w:r>
      <w:r>
        <w:rPr>
          <w:b/>
          <w:sz w:val="20"/>
          <w:szCs w:val="20"/>
        </w:rPr>
        <w:t>in %</w:t>
      </w:r>
      <w:r w:rsidRPr="009900C2">
        <w:rPr>
          <w:b/>
          <w:sz w:val="20"/>
          <w:szCs w:val="20"/>
        </w:rPr>
        <w:t xml:space="preserve"> for 2012 From Fossil Fuel Consumption</w:t>
      </w:r>
    </w:p>
    <w:p w:rsidR="00D476E4" w:rsidRDefault="00D476E4" w:rsidP="00D476E4">
      <w:pPr>
        <w:tabs>
          <w:tab w:val="left" w:pos="3933"/>
        </w:tabs>
        <w:contextualSpacing/>
      </w:pPr>
      <w:r w:rsidRPr="00677FC8">
        <w:rPr>
          <w:noProof/>
        </w:rPr>
        <w:drawing>
          <wp:inline distT="0" distB="0" distL="0" distR="0">
            <wp:extent cx="5946443" cy="3787253"/>
            <wp:effectExtent l="19050" t="0" r="16207" b="3697"/>
            <wp:docPr id="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D476E4" w:rsidRPr="00E83407" w:rsidRDefault="00D476E4" w:rsidP="00D476E4">
      <w:pPr>
        <w:spacing w:line="360" w:lineRule="auto"/>
        <w:contextualSpacing/>
        <w:jc w:val="both"/>
        <w:rPr>
          <w:sz w:val="20"/>
          <w:szCs w:val="20"/>
        </w:rPr>
      </w:pPr>
      <w:r w:rsidRPr="00E83407">
        <w:rPr>
          <w:sz w:val="20"/>
          <w:szCs w:val="20"/>
        </w:rPr>
        <w:t>Source: Author's Calculations</w:t>
      </w:r>
    </w:p>
    <w:p w:rsidR="00D476E4" w:rsidRDefault="00D476E4" w:rsidP="00D476E4">
      <w:pPr>
        <w:spacing w:line="360" w:lineRule="auto"/>
        <w:jc w:val="both"/>
      </w:pPr>
    </w:p>
    <w:p w:rsidR="00D476E4" w:rsidRDefault="00D476E4" w:rsidP="00D476E4">
      <w:pPr>
        <w:spacing w:line="360" w:lineRule="auto"/>
        <w:jc w:val="both"/>
      </w:pPr>
      <w:r>
        <w:t xml:space="preserve">After 40 percent substitution of natural gas for each fossil fuel type in transportation sector for the year 2012, the three GHGs i.e. CO2, N2O &amp; CH4 decreases to </w:t>
      </w:r>
      <w:r w:rsidRPr="00AF5C4C">
        <w:t>271580.83</w:t>
      </w:r>
      <w:r>
        <w:t xml:space="preserve">, </w:t>
      </w:r>
      <w:r w:rsidRPr="00AF5C4C">
        <w:t>2.84</w:t>
      </w:r>
      <w:r>
        <w:t xml:space="preserve"> &amp; </w:t>
      </w:r>
      <w:r w:rsidRPr="00AF5C4C">
        <w:t>5.76</w:t>
      </w:r>
      <w:r>
        <w:t xml:space="preserve"> thousand tonnes respectively and that make overall reduction of </w:t>
      </w:r>
      <w:r w:rsidRPr="00AF5C4C">
        <w:t>11.81</w:t>
      </w:r>
      <w:r>
        <w:t xml:space="preserve">, </w:t>
      </w:r>
      <w:r w:rsidRPr="00AF5C4C">
        <w:t>8.95</w:t>
      </w:r>
      <w:r>
        <w:t xml:space="preserve"> &amp; </w:t>
      </w:r>
      <w:r w:rsidRPr="00AF5C4C">
        <w:t>19.05</w:t>
      </w:r>
      <w:r>
        <w:t xml:space="preserve"> percent from fossil fuel consumption without natural gas substitution. The </w:t>
      </w:r>
      <w:r w:rsidR="00F16AD6">
        <w:t>reduction</w:t>
      </w:r>
      <w:r>
        <w:t xml:space="preserve"> in GHGs emissions in transportation sector accounts for 67.2, </w:t>
      </w:r>
      <w:r w:rsidRPr="00E83407">
        <w:t>72.31</w:t>
      </w:r>
      <w:r>
        <w:t xml:space="preserve">&amp; </w:t>
      </w:r>
      <w:r w:rsidRPr="00E83407">
        <w:t>69.99</w:t>
      </w:r>
      <w:r>
        <w:t xml:space="preserve"> percent for CO2, N2O &amp; CH4 respectively. The results of GHGs emissions after the 40 percent of natural gas subst</w:t>
      </w:r>
      <w:r w:rsidR="008972A9">
        <w:t>itution are given in the table 4</w:t>
      </w:r>
      <w:r>
        <w:t xml:space="preserve"> given below.</w:t>
      </w:r>
    </w:p>
    <w:p w:rsidR="008972A9" w:rsidRDefault="008972A9" w:rsidP="00D476E4">
      <w:pPr>
        <w:contextualSpacing/>
        <w:jc w:val="center"/>
        <w:rPr>
          <w:b/>
          <w:sz w:val="20"/>
          <w:szCs w:val="20"/>
        </w:rPr>
      </w:pPr>
    </w:p>
    <w:p w:rsidR="008972A9" w:rsidRDefault="008972A9" w:rsidP="00D476E4">
      <w:pPr>
        <w:contextualSpacing/>
        <w:jc w:val="center"/>
        <w:rPr>
          <w:b/>
          <w:sz w:val="20"/>
          <w:szCs w:val="20"/>
        </w:rPr>
      </w:pPr>
    </w:p>
    <w:p w:rsidR="008972A9" w:rsidRDefault="008972A9" w:rsidP="00D476E4">
      <w:pPr>
        <w:contextualSpacing/>
        <w:jc w:val="center"/>
        <w:rPr>
          <w:b/>
          <w:sz w:val="20"/>
          <w:szCs w:val="20"/>
        </w:rPr>
      </w:pPr>
    </w:p>
    <w:p w:rsidR="008972A9" w:rsidRDefault="008972A9" w:rsidP="00D476E4">
      <w:pPr>
        <w:contextualSpacing/>
        <w:jc w:val="center"/>
        <w:rPr>
          <w:b/>
          <w:sz w:val="20"/>
          <w:szCs w:val="20"/>
        </w:rPr>
      </w:pPr>
    </w:p>
    <w:p w:rsidR="008972A9" w:rsidRDefault="008972A9" w:rsidP="00D476E4">
      <w:pPr>
        <w:contextualSpacing/>
        <w:jc w:val="center"/>
        <w:rPr>
          <w:b/>
          <w:sz w:val="20"/>
          <w:szCs w:val="20"/>
        </w:rPr>
      </w:pPr>
    </w:p>
    <w:p w:rsidR="008972A9" w:rsidRDefault="008972A9" w:rsidP="00D476E4">
      <w:pPr>
        <w:contextualSpacing/>
        <w:jc w:val="center"/>
        <w:rPr>
          <w:b/>
          <w:sz w:val="20"/>
          <w:szCs w:val="20"/>
        </w:rPr>
      </w:pPr>
    </w:p>
    <w:p w:rsidR="008972A9" w:rsidRDefault="008972A9" w:rsidP="00D476E4">
      <w:pPr>
        <w:contextualSpacing/>
        <w:jc w:val="center"/>
        <w:rPr>
          <w:b/>
          <w:sz w:val="20"/>
          <w:szCs w:val="20"/>
        </w:rPr>
      </w:pPr>
    </w:p>
    <w:p w:rsidR="008972A9" w:rsidRDefault="008972A9" w:rsidP="00D476E4">
      <w:pPr>
        <w:contextualSpacing/>
        <w:jc w:val="center"/>
        <w:rPr>
          <w:b/>
          <w:sz w:val="20"/>
          <w:szCs w:val="20"/>
        </w:rPr>
      </w:pPr>
    </w:p>
    <w:p w:rsidR="008972A9" w:rsidRDefault="008972A9" w:rsidP="00D476E4">
      <w:pPr>
        <w:contextualSpacing/>
        <w:jc w:val="center"/>
        <w:rPr>
          <w:b/>
          <w:sz w:val="20"/>
          <w:szCs w:val="20"/>
        </w:rPr>
      </w:pPr>
    </w:p>
    <w:p w:rsidR="008972A9" w:rsidRDefault="008972A9" w:rsidP="00D476E4">
      <w:pPr>
        <w:contextualSpacing/>
        <w:jc w:val="center"/>
        <w:rPr>
          <w:b/>
          <w:sz w:val="20"/>
          <w:szCs w:val="20"/>
        </w:rPr>
      </w:pPr>
    </w:p>
    <w:p w:rsidR="008972A9" w:rsidRDefault="008972A9" w:rsidP="00D476E4">
      <w:pPr>
        <w:contextualSpacing/>
        <w:jc w:val="center"/>
        <w:rPr>
          <w:b/>
          <w:sz w:val="20"/>
          <w:szCs w:val="20"/>
        </w:rPr>
      </w:pPr>
    </w:p>
    <w:p w:rsidR="00D476E4" w:rsidRPr="008D23E3" w:rsidRDefault="00D476E4" w:rsidP="00D476E4">
      <w:pPr>
        <w:contextualSpacing/>
        <w:jc w:val="center"/>
        <w:rPr>
          <w:b/>
          <w:sz w:val="20"/>
          <w:szCs w:val="20"/>
        </w:rPr>
      </w:pPr>
      <w:r w:rsidRPr="008D23E3">
        <w:rPr>
          <w:b/>
          <w:sz w:val="20"/>
          <w:szCs w:val="20"/>
        </w:rPr>
        <w:lastRenderedPageBreak/>
        <w:t>Table</w:t>
      </w:r>
      <w:r w:rsidR="008972A9">
        <w:rPr>
          <w:b/>
          <w:sz w:val="20"/>
          <w:szCs w:val="20"/>
        </w:rPr>
        <w:t>: 4</w:t>
      </w:r>
      <w:r w:rsidRPr="008D23E3">
        <w:rPr>
          <w:b/>
          <w:sz w:val="20"/>
          <w:szCs w:val="20"/>
        </w:rPr>
        <w:t>. GHGs Emissions in 1000 tonnes for 2012 From 40 % Natural Gas Substitution in Transportation Sector</w:t>
      </w:r>
    </w:p>
    <w:tbl>
      <w:tblPr>
        <w:tblStyle w:val="TableGrid"/>
        <w:tblW w:w="0" w:type="auto"/>
        <w:tblLook w:val="04A0"/>
      </w:tblPr>
      <w:tblGrid>
        <w:gridCol w:w="6340"/>
        <w:gridCol w:w="1415"/>
        <w:gridCol w:w="1026"/>
        <w:gridCol w:w="795"/>
      </w:tblGrid>
      <w:tr w:rsidR="00D476E4" w:rsidRPr="00885FAA" w:rsidTr="00D476E4">
        <w:trPr>
          <w:trHeight w:val="692"/>
        </w:trPr>
        <w:tc>
          <w:tcPr>
            <w:tcW w:w="6340" w:type="dxa"/>
            <w:noWrap/>
            <w:hideMark/>
          </w:tcPr>
          <w:p w:rsidR="00D476E4" w:rsidRPr="00885FAA" w:rsidRDefault="00D476E4" w:rsidP="00D476E4">
            <w:pPr>
              <w:spacing w:line="360" w:lineRule="auto"/>
              <w:contextualSpacing/>
              <w:rPr>
                <w:sz w:val="16"/>
                <w:szCs w:val="16"/>
              </w:rPr>
            </w:pPr>
            <w:r w:rsidRPr="00885FAA">
              <w:rPr>
                <w:sz w:val="16"/>
                <w:szCs w:val="16"/>
              </w:rPr>
              <w:t>Sectors</w:t>
            </w:r>
          </w:p>
        </w:tc>
        <w:tc>
          <w:tcPr>
            <w:tcW w:w="1415" w:type="dxa"/>
            <w:tcBorders>
              <w:right w:val="single" w:sz="4" w:space="0" w:color="auto"/>
            </w:tcBorders>
            <w:noWrap/>
            <w:vAlign w:val="center"/>
            <w:hideMark/>
          </w:tcPr>
          <w:p w:rsidR="00D476E4" w:rsidRPr="00885FAA" w:rsidRDefault="00D476E4" w:rsidP="00D476E4">
            <w:pPr>
              <w:spacing w:line="360" w:lineRule="auto"/>
              <w:contextualSpacing/>
              <w:jc w:val="center"/>
              <w:rPr>
                <w:sz w:val="16"/>
                <w:szCs w:val="16"/>
              </w:rPr>
            </w:pPr>
            <w:r>
              <w:rPr>
                <w:sz w:val="16"/>
                <w:szCs w:val="16"/>
              </w:rPr>
              <w:t>CO2</w:t>
            </w:r>
          </w:p>
        </w:tc>
        <w:tc>
          <w:tcPr>
            <w:tcW w:w="1026" w:type="dxa"/>
            <w:tcBorders>
              <w:right w:val="single" w:sz="4" w:space="0" w:color="auto"/>
            </w:tcBorders>
            <w:vAlign w:val="center"/>
          </w:tcPr>
          <w:p w:rsidR="00D476E4" w:rsidRPr="00885FAA" w:rsidRDefault="00D476E4" w:rsidP="00D476E4">
            <w:pPr>
              <w:spacing w:line="360" w:lineRule="auto"/>
              <w:contextualSpacing/>
              <w:jc w:val="center"/>
              <w:rPr>
                <w:sz w:val="16"/>
                <w:szCs w:val="16"/>
              </w:rPr>
            </w:pPr>
            <w:r>
              <w:rPr>
                <w:sz w:val="16"/>
                <w:szCs w:val="16"/>
              </w:rPr>
              <w:t>N2O</w:t>
            </w:r>
          </w:p>
        </w:tc>
        <w:tc>
          <w:tcPr>
            <w:tcW w:w="795" w:type="dxa"/>
            <w:tcBorders>
              <w:right w:val="single" w:sz="4" w:space="0" w:color="auto"/>
            </w:tcBorders>
            <w:vAlign w:val="center"/>
          </w:tcPr>
          <w:p w:rsidR="00D476E4" w:rsidRPr="00885FAA" w:rsidRDefault="00D476E4" w:rsidP="00D476E4">
            <w:pPr>
              <w:spacing w:line="360" w:lineRule="auto"/>
              <w:contextualSpacing/>
              <w:jc w:val="center"/>
              <w:rPr>
                <w:sz w:val="16"/>
                <w:szCs w:val="16"/>
              </w:rPr>
            </w:pPr>
            <w:r>
              <w:rPr>
                <w:sz w:val="16"/>
                <w:szCs w:val="16"/>
              </w:rPr>
              <w:t>CH4</w:t>
            </w:r>
          </w:p>
        </w:tc>
      </w:tr>
      <w:tr w:rsidR="00D476E4" w:rsidRPr="00885FAA" w:rsidTr="00D476E4">
        <w:trPr>
          <w:trHeight w:val="255"/>
        </w:trPr>
        <w:tc>
          <w:tcPr>
            <w:tcW w:w="6340" w:type="dxa"/>
            <w:noWrap/>
            <w:hideMark/>
          </w:tcPr>
          <w:p w:rsidR="00D476E4" w:rsidRPr="00885FAA" w:rsidRDefault="00D476E4" w:rsidP="00D476E4">
            <w:pPr>
              <w:spacing w:line="360" w:lineRule="auto"/>
              <w:contextualSpacing/>
              <w:rPr>
                <w:sz w:val="16"/>
                <w:szCs w:val="16"/>
              </w:rPr>
            </w:pPr>
            <w:r w:rsidRPr="00885FAA">
              <w:rPr>
                <w:sz w:val="16"/>
                <w:szCs w:val="16"/>
              </w:rPr>
              <w:t>Growing of cereals and other crops n.e.c.</w:t>
            </w:r>
          </w:p>
        </w:tc>
        <w:tc>
          <w:tcPr>
            <w:tcW w:w="1415" w:type="dxa"/>
            <w:noWrap/>
            <w:vAlign w:val="bottom"/>
            <w:hideMark/>
          </w:tcPr>
          <w:p w:rsidR="00D476E4" w:rsidRPr="008D23E3" w:rsidRDefault="00D476E4" w:rsidP="00D476E4">
            <w:pPr>
              <w:jc w:val="right"/>
              <w:rPr>
                <w:rFonts w:ascii="Arial" w:hAnsi="Arial" w:cs="Arial"/>
                <w:sz w:val="16"/>
                <w:szCs w:val="16"/>
              </w:rPr>
            </w:pPr>
            <w:r w:rsidRPr="008D23E3">
              <w:rPr>
                <w:rFonts w:ascii="Arial" w:hAnsi="Arial" w:cs="Arial"/>
                <w:sz w:val="16"/>
                <w:szCs w:val="16"/>
              </w:rPr>
              <w:t>5526.00425</w:t>
            </w:r>
          </w:p>
        </w:tc>
        <w:tc>
          <w:tcPr>
            <w:tcW w:w="1026" w:type="dxa"/>
            <w:noWrap/>
            <w:vAlign w:val="bottom"/>
            <w:hideMark/>
          </w:tcPr>
          <w:p w:rsidR="00D476E4" w:rsidRPr="008D23E3" w:rsidRDefault="00D476E4" w:rsidP="00D476E4">
            <w:pPr>
              <w:jc w:val="right"/>
              <w:rPr>
                <w:rFonts w:ascii="Arial" w:hAnsi="Arial" w:cs="Arial"/>
                <w:sz w:val="16"/>
                <w:szCs w:val="16"/>
              </w:rPr>
            </w:pPr>
            <w:r w:rsidRPr="008D23E3">
              <w:rPr>
                <w:rFonts w:ascii="Arial" w:hAnsi="Arial" w:cs="Arial"/>
                <w:sz w:val="16"/>
                <w:szCs w:val="16"/>
              </w:rPr>
              <w:t>0.03883</w:t>
            </w:r>
          </w:p>
        </w:tc>
        <w:tc>
          <w:tcPr>
            <w:tcW w:w="795" w:type="dxa"/>
            <w:noWrap/>
            <w:vAlign w:val="bottom"/>
            <w:hideMark/>
          </w:tcPr>
          <w:p w:rsidR="00D476E4" w:rsidRPr="008D23E3" w:rsidRDefault="00D476E4" w:rsidP="00D476E4">
            <w:pPr>
              <w:jc w:val="right"/>
              <w:rPr>
                <w:rFonts w:ascii="Arial" w:hAnsi="Arial" w:cs="Arial"/>
                <w:sz w:val="16"/>
                <w:szCs w:val="16"/>
              </w:rPr>
            </w:pPr>
            <w:r w:rsidRPr="008D23E3">
              <w:rPr>
                <w:rFonts w:ascii="Arial" w:hAnsi="Arial" w:cs="Arial"/>
                <w:sz w:val="16"/>
                <w:szCs w:val="16"/>
              </w:rPr>
              <w:t>0.20191</w:t>
            </w:r>
          </w:p>
        </w:tc>
      </w:tr>
      <w:tr w:rsidR="00D476E4" w:rsidRPr="00885FAA" w:rsidTr="00D476E4">
        <w:trPr>
          <w:trHeight w:val="255"/>
        </w:trPr>
        <w:tc>
          <w:tcPr>
            <w:tcW w:w="6340" w:type="dxa"/>
            <w:noWrap/>
            <w:hideMark/>
          </w:tcPr>
          <w:p w:rsidR="00D476E4" w:rsidRPr="00885FAA" w:rsidRDefault="00D476E4" w:rsidP="00D476E4">
            <w:pPr>
              <w:spacing w:line="360" w:lineRule="auto"/>
              <w:contextualSpacing/>
              <w:rPr>
                <w:sz w:val="16"/>
                <w:szCs w:val="16"/>
              </w:rPr>
            </w:pPr>
            <w:r w:rsidRPr="00885FAA">
              <w:rPr>
                <w:sz w:val="16"/>
                <w:szCs w:val="16"/>
              </w:rPr>
              <w:t>Wheat</w:t>
            </w:r>
          </w:p>
        </w:tc>
        <w:tc>
          <w:tcPr>
            <w:tcW w:w="1415" w:type="dxa"/>
            <w:noWrap/>
            <w:vAlign w:val="bottom"/>
            <w:hideMark/>
          </w:tcPr>
          <w:p w:rsidR="00D476E4" w:rsidRPr="008D23E3" w:rsidRDefault="00D476E4" w:rsidP="00D476E4">
            <w:pPr>
              <w:jc w:val="right"/>
              <w:rPr>
                <w:rFonts w:ascii="Arial" w:hAnsi="Arial" w:cs="Arial"/>
                <w:sz w:val="16"/>
                <w:szCs w:val="16"/>
              </w:rPr>
            </w:pPr>
            <w:r w:rsidRPr="008D23E3">
              <w:rPr>
                <w:rFonts w:ascii="Arial" w:hAnsi="Arial" w:cs="Arial"/>
                <w:sz w:val="16"/>
                <w:szCs w:val="16"/>
              </w:rPr>
              <w:t>1090.42355</w:t>
            </w:r>
          </w:p>
        </w:tc>
        <w:tc>
          <w:tcPr>
            <w:tcW w:w="1026" w:type="dxa"/>
            <w:noWrap/>
            <w:vAlign w:val="bottom"/>
            <w:hideMark/>
          </w:tcPr>
          <w:p w:rsidR="00D476E4" w:rsidRPr="008D23E3" w:rsidRDefault="00D476E4" w:rsidP="00D476E4">
            <w:pPr>
              <w:jc w:val="right"/>
              <w:rPr>
                <w:rFonts w:ascii="Arial" w:hAnsi="Arial" w:cs="Arial"/>
                <w:sz w:val="16"/>
                <w:szCs w:val="16"/>
              </w:rPr>
            </w:pPr>
            <w:r w:rsidRPr="008D23E3">
              <w:rPr>
                <w:rFonts w:ascii="Arial" w:hAnsi="Arial" w:cs="Arial"/>
                <w:sz w:val="16"/>
                <w:szCs w:val="16"/>
              </w:rPr>
              <w:t>0.00766</w:t>
            </w:r>
          </w:p>
        </w:tc>
        <w:tc>
          <w:tcPr>
            <w:tcW w:w="795" w:type="dxa"/>
            <w:noWrap/>
            <w:vAlign w:val="bottom"/>
            <w:hideMark/>
          </w:tcPr>
          <w:p w:rsidR="00D476E4" w:rsidRPr="008D23E3" w:rsidRDefault="00D476E4" w:rsidP="00D476E4">
            <w:pPr>
              <w:jc w:val="right"/>
              <w:rPr>
                <w:rFonts w:ascii="Arial" w:hAnsi="Arial" w:cs="Arial"/>
                <w:sz w:val="16"/>
                <w:szCs w:val="16"/>
              </w:rPr>
            </w:pPr>
            <w:r w:rsidRPr="008D23E3">
              <w:rPr>
                <w:rFonts w:ascii="Arial" w:hAnsi="Arial" w:cs="Arial"/>
                <w:sz w:val="16"/>
                <w:szCs w:val="16"/>
              </w:rPr>
              <w:t>0.03984</w:t>
            </w:r>
          </w:p>
        </w:tc>
      </w:tr>
      <w:tr w:rsidR="00D476E4" w:rsidRPr="00885FAA" w:rsidTr="00D476E4">
        <w:trPr>
          <w:trHeight w:val="255"/>
        </w:trPr>
        <w:tc>
          <w:tcPr>
            <w:tcW w:w="6340" w:type="dxa"/>
            <w:noWrap/>
            <w:hideMark/>
          </w:tcPr>
          <w:p w:rsidR="00D476E4" w:rsidRPr="00885FAA" w:rsidRDefault="00D476E4" w:rsidP="00D476E4">
            <w:pPr>
              <w:spacing w:line="360" w:lineRule="auto"/>
              <w:contextualSpacing/>
              <w:rPr>
                <w:sz w:val="16"/>
                <w:szCs w:val="16"/>
              </w:rPr>
            </w:pPr>
            <w:r w:rsidRPr="00885FAA">
              <w:rPr>
                <w:sz w:val="16"/>
                <w:szCs w:val="16"/>
              </w:rPr>
              <w:t>Maize</w:t>
            </w:r>
          </w:p>
        </w:tc>
        <w:tc>
          <w:tcPr>
            <w:tcW w:w="1415" w:type="dxa"/>
            <w:noWrap/>
            <w:vAlign w:val="bottom"/>
            <w:hideMark/>
          </w:tcPr>
          <w:p w:rsidR="00D476E4" w:rsidRPr="008D23E3" w:rsidRDefault="00D476E4" w:rsidP="00D476E4">
            <w:pPr>
              <w:jc w:val="right"/>
              <w:rPr>
                <w:rFonts w:ascii="Arial" w:hAnsi="Arial" w:cs="Arial"/>
                <w:sz w:val="16"/>
                <w:szCs w:val="16"/>
              </w:rPr>
            </w:pPr>
            <w:r w:rsidRPr="008D23E3">
              <w:rPr>
                <w:rFonts w:ascii="Arial" w:hAnsi="Arial" w:cs="Arial"/>
                <w:sz w:val="16"/>
                <w:szCs w:val="16"/>
              </w:rPr>
              <w:t>190.51027</w:t>
            </w:r>
          </w:p>
        </w:tc>
        <w:tc>
          <w:tcPr>
            <w:tcW w:w="1026" w:type="dxa"/>
            <w:noWrap/>
            <w:vAlign w:val="bottom"/>
            <w:hideMark/>
          </w:tcPr>
          <w:p w:rsidR="00D476E4" w:rsidRPr="008D23E3" w:rsidRDefault="00D476E4" w:rsidP="00D476E4">
            <w:pPr>
              <w:jc w:val="right"/>
              <w:rPr>
                <w:rFonts w:ascii="Arial" w:hAnsi="Arial" w:cs="Arial"/>
                <w:sz w:val="16"/>
                <w:szCs w:val="16"/>
              </w:rPr>
            </w:pPr>
            <w:r w:rsidRPr="008D23E3">
              <w:rPr>
                <w:rFonts w:ascii="Arial" w:hAnsi="Arial" w:cs="Arial"/>
                <w:sz w:val="16"/>
                <w:szCs w:val="16"/>
              </w:rPr>
              <w:t>0.00134</w:t>
            </w:r>
          </w:p>
        </w:tc>
        <w:tc>
          <w:tcPr>
            <w:tcW w:w="795" w:type="dxa"/>
            <w:noWrap/>
            <w:vAlign w:val="bottom"/>
            <w:hideMark/>
          </w:tcPr>
          <w:p w:rsidR="00D476E4" w:rsidRPr="008D23E3" w:rsidRDefault="00D476E4" w:rsidP="00D476E4">
            <w:pPr>
              <w:jc w:val="right"/>
              <w:rPr>
                <w:rFonts w:ascii="Arial" w:hAnsi="Arial" w:cs="Arial"/>
                <w:sz w:val="16"/>
                <w:szCs w:val="16"/>
              </w:rPr>
            </w:pPr>
            <w:r w:rsidRPr="008D23E3">
              <w:rPr>
                <w:rFonts w:ascii="Arial" w:hAnsi="Arial" w:cs="Arial"/>
                <w:sz w:val="16"/>
                <w:szCs w:val="16"/>
              </w:rPr>
              <w:t>0.00696</w:t>
            </w:r>
          </w:p>
        </w:tc>
      </w:tr>
      <w:tr w:rsidR="00D476E4" w:rsidRPr="00885FAA" w:rsidTr="00D476E4">
        <w:trPr>
          <w:trHeight w:val="255"/>
        </w:trPr>
        <w:tc>
          <w:tcPr>
            <w:tcW w:w="6340" w:type="dxa"/>
            <w:noWrap/>
            <w:hideMark/>
          </w:tcPr>
          <w:p w:rsidR="00D476E4" w:rsidRPr="00885FAA" w:rsidRDefault="00D476E4" w:rsidP="00D476E4">
            <w:pPr>
              <w:spacing w:line="360" w:lineRule="auto"/>
              <w:contextualSpacing/>
              <w:rPr>
                <w:sz w:val="16"/>
                <w:szCs w:val="16"/>
              </w:rPr>
            </w:pPr>
            <w:r w:rsidRPr="00885FAA">
              <w:rPr>
                <w:sz w:val="16"/>
                <w:szCs w:val="16"/>
              </w:rPr>
              <w:t>Sunflower</w:t>
            </w:r>
          </w:p>
        </w:tc>
        <w:tc>
          <w:tcPr>
            <w:tcW w:w="1415" w:type="dxa"/>
            <w:noWrap/>
            <w:vAlign w:val="bottom"/>
            <w:hideMark/>
          </w:tcPr>
          <w:p w:rsidR="00D476E4" w:rsidRPr="008D23E3" w:rsidRDefault="00D476E4" w:rsidP="00D476E4">
            <w:pPr>
              <w:jc w:val="right"/>
              <w:rPr>
                <w:rFonts w:ascii="Arial" w:hAnsi="Arial" w:cs="Arial"/>
                <w:sz w:val="16"/>
                <w:szCs w:val="16"/>
              </w:rPr>
            </w:pPr>
            <w:r w:rsidRPr="008D23E3">
              <w:rPr>
                <w:rFonts w:ascii="Arial" w:hAnsi="Arial" w:cs="Arial"/>
                <w:sz w:val="16"/>
                <w:szCs w:val="16"/>
              </w:rPr>
              <w:t>240.21267</w:t>
            </w:r>
          </w:p>
        </w:tc>
        <w:tc>
          <w:tcPr>
            <w:tcW w:w="1026" w:type="dxa"/>
            <w:noWrap/>
            <w:vAlign w:val="bottom"/>
            <w:hideMark/>
          </w:tcPr>
          <w:p w:rsidR="00D476E4" w:rsidRPr="008D23E3" w:rsidRDefault="00D476E4" w:rsidP="00D476E4">
            <w:pPr>
              <w:jc w:val="right"/>
              <w:rPr>
                <w:rFonts w:ascii="Arial" w:hAnsi="Arial" w:cs="Arial"/>
                <w:sz w:val="16"/>
                <w:szCs w:val="16"/>
              </w:rPr>
            </w:pPr>
            <w:r w:rsidRPr="008D23E3">
              <w:rPr>
                <w:rFonts w:ascii="Arial" w:hAnsi="Arial" w:cs="Arial"/>
                <w:sz w:val="16"/>
                <w:szCs w:val="16"/>
              </w:rPr>
              <w:t>0.00169</w:t>
            </w:r>
          </w:p>
        </w:tc>
        <w:tc>
          <w:tcPr>
            <w:tcW w:w="795" w:type="dxa"/>
            <w:noWrap/>
            <w:vAlign w:val="bottom"/>
            <w:hideMark/>
          </w:tcPr>
          <w:p w:rsidR="00D476E4" w:rsidRPr="008D23E3" w:rsidRDefault="00D476E4" w:rsidP="00D476E4">
            <w:pPr>
              <w:jc w:val="right"/>
              <w:rPr>
                <w:rFonts w:ascii="Arial" w:hAnsi="Arial" w:cs="Arial"/>
                <w:sz w:val="16"/>
                <w:szCs w:val="16"/>
              </w:rPr>
            </w:pPr>
            <w:r w:rsidRPr="008D23E3">
              <w:rPr>
                <w:rFonts w:ascii="Arial" w:hAnsi="Arial" w:cs="Arial"/>
                <w:sz w:val="16"/>
                <w:szCs w:val="16"/>
              </w:rPr>
              <w:t>0.00878</w:t>
            </w:r>
          </w:p>
        </w:tc>
      </w:tr>
      <w:tr w:rsidR="00D476E4" w:rsidRPr="00885FAA" w:rsidTr="00D476E4">
        <w:trPr>
          <w:trHeight w:val="255"/>
        </w:trPr>
        <w:tc>
          <w:tcPr>
            <w:tcW w:w="6340" w:type="dxa"/>
            <w:noWrap/>
            <w:hideMark/>
          </w:tcPr>
          <w:p w:rsidR="00D476E4" w:rsidRPr="00885FAA" w:rsidRDefault="00D476E4" w:rsidP="00D476E4">
            <w:pPr>
              <w:spacing w:line="360" w:lineRule="auto"/>
              <w:contextualSpacing/>
              <w:rPr>
                <w:sz w:val="16"/>
                <w:szCs w:val="16"/>
              </w:rPr>
            </w:pPr>
            <w:r w:rsidRPr="00885FAA">
              <w:rPr>
                <w:sz w:val="16"/>
                <w:szCs w:val="16"/>
              </w:rPr>
              <w:t>Cotton</w:t>
            </w:r>
          </w:p>
        </w:tc>
        <w:tc>
          <w:tcPr>
            <w:tcW w:w="1415" w:type="dxa"/>
            <w:noWrap/>
            <w:vAlign w:val="bottom"/>
            <w:hideMark/>
          </w:tcPr>
          <w:p w:rsidR="00D476E4" w:rsidRPr="008D23E3" w:rsidRDefault="00D476E4" w:rsidP="00D476E4">
            <w:pPr>
              <w:jc w:val="right"/>
              <w:rPr>
                <w:rFonts w:ascii="Arial" w:hAnsi="Arial" w:cs="Arial"/>
                <w:sz w:val="16"/>
                <w:szCs w:val="16"/>
              </w:rPr>
            </w:pPr>
            <w:r w:rsidRPr="008D23E3">
              <w:rPr>
                <w:rFonts w:ascii="Arial" w:hAnsi="Arial" w:cs="Arial"/>
                <w:sz w:val="16"/>
                <w:szCs w:val="16"/>
              </w:rPr>
              <w:t>148.55744</w:t>
            </w:r>
          </w:p>
        </w:tc>
        <w:tc>
          <w:tcPr>
            <w:tcW w:w="1026" w:type="dxa"/>
            <w:noWrap/>
            <w:vAlign w:val="bottom"/>
            <w:hideMark/>
          </w:tcPr>
          <w:p w:rsidR="00D476E4" w:rsidRPr="008D23E3" w:rsidRDefault="00D476E4" w:rsidP="00D476E4">
            <w:pPr>
              <w:jc w:val="right"/>
              <w:rPr>
                <w:rFonts w:ascii="Arial" w:hAnsi="Arial" w:cs="Arial"/>
                <w:sz w:val="16"/>
                <w:szCs w:val="16"/>
              </w:rPr>
            </w:pPr>
            <w:r w:rsidRPr="008D23E3">
              <w:rPr>
                <w:rFonts w:ascii="Arial" w:hAnsi="Arial" w:cs="Arial"/>
                <w:sz w:val="16"/>
                <w:szCs w:val="16"/>
              </w:rPr>
              <w:t>0.00104</w:t>
            </w:r>
          </w:p>
        </w:tc>
        <w:tc>
          <w:tcPr>
            <w:tcW w:w="795" w:type="dxa"/>
            <w:noWrap/>
            <w:vAlign w:val="bottom"/>
            <w:hideMark/>
          </w:tcPr>
          <w:p w:rsidR="00D476E4" w:rsidRPr="008D23E3" w:rsidRDefault="00D476E4" w:rsidP="00D476E4">
            <w:pPr>
              <w:jc w:val="right"/>
              <w:rPr>
                <w:rFonts w:ascii="Arial" w:hAnsi="Arial" w:cs="Arial"/>
                <w:sz w:val="16"/>
                <w:szCs w:val="16"/>
              </w:rPr>
            </w:pPr>
            <w:r w:rsidRPr="008D23E3">
              <w:rPr>
                <w:rFonts w:ascii="Arial" w:hAnsi="Arial" w:cs="Arial"/>
                <w:sz w:val="16"/>
                <w:szCs w:val="16"/>
              </w:rPr>
              <w:t>0.00543</w:t>
            </w:r>
          </w:p>
        </w:tc>
      </w:tr>
      <w:tr w:rsidR="00D476E4" w:rsidRPr="00885FAA" w:rsidTr="00D476E4">
        <w:trPr>
          <w:trHeight w:val="255"/>
        </w:trPr>
        <w:tc>
          <w:tcPr>
            <w:tcW w:w="6340" w:type="dxa"/>
            <w:noWrap/>
            <w:hideMark/>
          </w:tcPr>
          <w:p w:rsidR="00D476E4" w:rsidRPr="00885FAA" w:rsidRDefault="00D476E4" w:rsidP="00D476E4">
            <w:pPr>
              <w:spacing w:line="360" w:lineRule="auto"/>
              <w:contextualSpacing/>
              <w:rPr>
                <w:sz w:val="16"/>
                <w:szCs w:val="16"/>
              </w:rPr>
            </w:pPr>
            <w:r w:rsidRPr="00885FAA">
              <w:rPr>
                <w:sz w:val="16"/>
                <w:szCs w:val="16"/>
              </w:rPr>
              <w:t>Growing of vegetables, horticultural specialties and nursery products</w:t>
            </w:r>
          </w:p>
        </w:tc>
        <w:tc>
          <w:tcPr>
            <w:tcW w:w="1415" w:type="dxa"/>
            <w:noWrap/>
            <w:vAlign w:val="bottom"/>
            <w:hideMark/>
          </w:tcPr>
          <w:p w:rsidR="00D476E4" w:rsidRPr="008D23E3" w:rsidRDefault="00D476E4" w:rsidP="00D476E4">
            <w:pPr>
              <w:jc w:val="right"/>
              <w:rPr>
                <w:rFonts w:ascii="Arial" w:hAnsi="Arial" w:cs="Arial"/>
                <w:sz w:val="16"/>
                <w:szCs w:val="16"/>
              </w:rPr>
            </w:pPr>
            <w:r w:rsidRPr="008D23E3">
              <w:rPr>
                <w:rFonts w:ascii="Arial" w:hAnsi="Arial" w:cs="Arial"/>
                <w:sz w:val="16"/>
                <w:szCs w:val="16"/>
              </w:rPr>
              <w:t>201.98749</w:t>
            </w:r>
          </w:p>
        </w:tc>
        <w:tc>
          <w:tcPr>
            <w:tcW w:w="1026" w:type="dxa"/>
            <w:noWrap/>
            <w:vAlign w:val="bottom"/>
            <w:hideMark/>
          </w:tcPr>
          <w:p w:rsidR="00D476E4" w:rsidRPr="008D23E3" w:rsidRDefault="00D476E4" w:rsidP="00D476E4">
            <w:pPr>
              <w:jc w:val="right"/>
              <w:rPr>
                <w:rFonts w:ascii="Arial" w:hAnsi="Arial" w:cs="Arial"/>
                <w:sz w:val="16"/>
                <w:szCs w:val="16"/>
              </w:rPr>
            </w:pPr>
            <w:r w:rsidRPr="008D23E3">
              <w:rPr>
                <w:rFonts w:ascii="Arial" w:hAnsi="Arial" w:cs="Arial"/>
                <w:sz w:val="16"/>
                <w:szCs w:val="16"/>
              </w:rPr>
              <w:t>0.00142</w:t>
            </w:r>
          </w:p>
        </w:tc>
        <w:tc>
          <w:tcPr>
            <w:tcW w:w="795" w:type="dxa"/>
            <w:noWrap/>
            <w:vAlign w:val="bottom"/>
            <w:hideMark/>
          </w:tcPr>
          <w:p w:rsidR="00D476E4" w:rsidRPr="008D23E3" w:rsidRDefault="00D476E4" w:rsidP="00D476E4">
            <w:pPr>
              <w:jc w:val="right"/>
              <w:rPr>
                <w:rFonts w:ascii="Arial" w:hAnsi="Arial" w:cs="Arial"/>
                <w:sz w:val="16"/>
                <w:szCs w:val="16"/>
              </w:rPr>
            </w:pPr>
            <w:r w:rsidRPr="008D23E3">
              <w:rPr>
                <w:rFonts w:ascii="Arial" w:hAnsi="Arial" w:cs="Arial"/>
                <w:sz w:val="16"/>
                <w:szCs w:val="16"/>
              </w:rPr>
              <w:t>0.00738</w:t>
            </w:r>
          </w:p>
        </w:tc>
      </w:tr>
      <w:tr w:rsidR="00D476E4" w:rsidRPr="00885FAA" w:rsidTr="00D476E4">
        <w:trPr>
          <w:trHeight w:val="255"/>
        </w:trPr>
        <w:tc>
          <w:tcPr>
            <w:tcW w:w="6340" w:type="dxa"/>
            <w:noWrap/>
            <w:hideMark/>
          </w:tcPr>
          <w:p w:rsidR="00D476E4" w:rsidRPr="00885FAA" w:rsidRDefault="00D476E4" w:rsidP="00D476E4">
            <w:pPr>
              <w:spacing w:line="360" w:lineRule="auto"/>
              <w:contextualSpacing/>
              <w:rPr>
                <w:sz w:val="16"/>
                <w:szCs w:val="16"/>
              </w:rPr>
            </w:pPr>
            <w:r w:rsidRPr="00885FAA">
              <w:rPr>
                <w:sz w:val="16"/>
                <w:szCs w:val="16"/>
              </w:rPr>
              <w:t>Growing of fruit, nuts, beverage and spice crops</w:t>
            </w:r>
          </w:p>
        </w:tc>
        <w:tc>
          <w:tcPr>
            <w:tcW w:w="1415" w:type="dxa"/>
            <w:noWrap/>
            <w:vAlign w:val="bottom"/>
            <w:hideMark/>
          </w:tcPr>
          <w:p w:rsidR="00D476E4" w:rsidRPr="008D23E3" w:rsidRDefault="00D476E4" w:rsidP="00D476E4">
            <w:pPr>
              <w:jc w:val="right"/>
              <w:rPr>
                <w:rFonts w:ascii="Arial" w:hAnsi="Arial" w:cs="Arial"/>
                <w:sz w:val="16"/>
                <w:szCs w:val="16"/>
              </w:rPr>
            </w:pPr>
            <w:r w:rsidRPr="008D23E3">
              <w:rPr>
                <w:rFonts w:ascii="Arial" w:hAnsi="Arial" w:cs="Arial"/>
                <w:sz w:val="16"/>
                <w:szCs w:val="16"/>
              </w:rPr>
              <w:t>215.05599</w:t>
            </w:r>
          </w:p>
        </w:tc>
        <w:tc>
          <w:tcPr>
            <w:tcW w:w="1026" w:type="dxa"/>
            <w:noWrap/>
            <w:vAlign w:val="bottom"/>
            <w:hideMark/>
          </w:tcPr>
          <w:p w:rsidR="00D476E4" w:rsidRPr="008D23E3" w:rsidRDefault="00D476E4" w:rsidP="00D476E4">
            <w:pPr>
              <w:jc w:val="right"/>
              <w:rPr>
                <w:rFonts w:ascii="Arial" w:hAnsi="Arial" w:cs="Arial"/>
                <w:sz w:val="16"/>
                <w:szCs w:val="16"/>
              </w:rPr>
            </w:pPr>
            <w:r w:rsidRPr="008D23E3">
              <w:rPr>
                <w:rFonts w:ascii="Arial" w:hAnsi="Arial" w:cs="Arial"/>
                <w:sz w:val="16"/>
                <w:szCs w:val="16"/>
              </w:rPr>
              <w:t>0.00151</w:t>
            </w:r>
          </w:p>
        </w:tc>
        <w:tc>
          <w:tcPr>
            <w:tcW w:w="795" w:type="dxa"/>
            <w:noWrap/>
            <w:vAlign w:val="bottom"/>
            <w:hideMark/>
          </w:tcPr>
          <w:p w:rsidR="00D476E4" w:rsidRPr="008D23E3" w:rsidRDefault="00D476E4" w:rsidP="00D476E4">
            <w:pPr>
              <w:jc w:val="right"/>
              <w:rPr>
                <w:rFonts w:ascii="Arial" w:hAnsi="Arial" w:cs="Arial"/>
                <w:sz w:val="16"/>
                <w:szCs w:val="16"/>
              </w:rPr>
            </w:pPr>
            <w:r w:rsidRPr="008D23E3">
              <w:rPr>
                <w:rFonts w:ascii="Arial" w:hAnsi="Arial" w:cs="Arial"/>
                <w:sz w:val="16"/>
                <w:szCs w:val="16"/>
              </w:rPr>
              <w:t>0.00786</w:t>
            </w:r>
          </w:p>
        </w:tc>
      </w:tr>
      <w:tr w:rsidR="00D476E4" w:rsidRPr="00885FAA" w:rsidTr="00D476E4">
        <w:trPr>
          <w:trHeight w:val="255"/>
        </w:trPr>
        <w:tc>
          <w:tcPr>
            <w:tcW w:w="6340" w:type="dxa"/>
            <w:noWrap/>
            <w:hideMark/>
          </w:tcPr>
          <w:p w:rsidR="00D476E4" w:rsidRPr="00885FAA" w:rsidRDefault="00D476E4" w:rsidP="00D476E4">
            <w:pPr>
              <w:spacing w:line="360" w:lineRule="auto"/>
              <w:contextualSpacing/>
              <w:rPr>
                <w:sz w:val="16"/>
                <w:szCs w:val="16"/>
              </w:rPr>
            </w:pPr>
            <w:r w:rsidRPr="00885FAA">
              <w:rPr>
                <w:sz w:val="16"/>
                <w:szCs w:val="16"/>
              </w:rPr>
              <w:t>Farming of animals</w:t>
            </w:r>
          </w:p>
        </w:tc>
        <w:tc>
          <w:tcPr>
            <w:tcW w:w="1415" w:type="dxa"/>
            <w:noWrap/>
            <w:vAlign w:val="bottom"/>
            <w:hideMark/>
          </w:tcPr>
          <w:p w:rsidR="00D476E4" w:rsidRPr="008D23E3" w:rsidRDefault="00D476E4" w:rsidP="00D476E4">
            <w:pPr>
              <w:jc w:val="right"/>
              <w:rPr>
                <w:rFonts w:ascii="Arial" w:hAnsi="Arial" w:cs="Arial"/>
                <w:sz w:val="16"/>
                <w:szCs w:val="16"/>
              </w:rPr>
            </w:pPr>
            <w:r w:rsidRPr="008D23E3">
              <w:rPr>
                <w:rFonts w:ascii="Arial" w:hAnsi="Arial" w:cs="Arial"/>
                <w:sz w:val="16"/>
                <w:szCs w:val="16"/>
              </w:rPr>
              <w:t>69.16524</w:t>
            </w:r>
          </w:p>
        </w:tc>
        <w:tc>
          <w:tcPr>
            <w:tcW w:w="1026" w:type="dxa"/>
            <w:noWrap/>
            <w:vAlign w:val="bottom"/>
            <w:hideMark/>
          </w:tcPr>
          <w:p w:rsidR="00D476E4" w:rsidRPr="008D23E3" w:rsidRDefault="00D476E4" w:rsidP="00D476E4">
            <w:pPr>
              <w:jc w:val="right"/>
              <w:rPr>
                <w:rFonts w:ascii="Arial" w:hAnsi="Arial" w:cs="Arial"/>
                <w:sz w:val="16"/>
                <w:szCs w:val="16"/>
              </w:rPr>
            </w:pPr>
            <w:r w:rsidRPr="008D23E3">
              <w:rPr>
                <w:rFonts w:ascii="Arial" w:hAnsi="Arial" w:cs="Arial"/>
                <w:sz w:val="16"/>
                <w:szCs w:val="16"/>
              </w:rPr>
              <w:t>0.00049</w:t>
            </w:r>
          </w:p>
        </w:tc>
        <w:tc>
          <w:tcPr>
            <w:tcW w:w="795" w:type="dxa"/>
            <w:noWrap/>
            <w:vAlign w:val="bottom"/>
            <w:hideMark/>
          </w:tcPr>
          <w:p w:rsidR="00D476E4" w:rsidRPr="008D23E3" w:rsidRDefault="00D476E4" w:rsidP="00D476E4">
            <w:pPr>
              <w:jc w:val="right"/>
              <w:rPr>
                <w:rFonts w:ascii="Arial" w:hAnsi="Arial" w:cs="Arial"/>
                <w:sz w:val="16"/>
                <w:szCs w:val="16"/>
              </w:rPr>
            </w:pPr>
            <w:r w:rsidRPr="008D23E3">
              <w:rPr>
                <w:rFonts w:ascii="Arial" w:hAnsi="Arial" w:cs="Arial"/>
                <w:sz w:val="16"/>
                <w:szCs w:val="16"/>
              </w:rPr>
              <w:t>0.00252</w:t>
            </w:r>
          </w:p>
        </w:tc>
      </w:tr>
      <w:tr w:rsidR="00D476E4" w:rsidRPr="00885FAA" w:rsidTr="00D476E4">
        <w:trPr>
          <w:trHeight w:val="255"/>
        </w:trPr>
        <w:tc>
          <w:tcPr>
            <w:tcW w:w="6340" w:type="dxa"/>
            <w:noWrap/>
            <w:hideMark/>
          </w:tcPr>
          <w:p w:rsidR="00D476E4" w:rsidRPr="00885FAA" w:rsidRDefault="00D476E4" w:rsidP="00D476E4">
            <w:pPr>
              <w:spacing w:line="360" w:lineRule="auto"/>
              <w:contextualSpacing/>
              <w:rPr>
                <w:sz w:val="16"/>
                <w:szCs w:val="16"/>
              </w:rPr>
            </w:pPr>
            <w:r w:rsidRPr="00885FAA">
              <w:rPr>
                <w:sz w:val="16"/>
                <w:szCs w:val="16"/>
              </w:rPr>
              <w:t>Agricultural and animal husbandry service activities, except veterinary activities</w:t>
            </w:r>
          </w:p>
        </w:tc>
        <w:tc>
          <w:tcPr>
            <w:tcW w:w="1415" w:type="dxa"/>
            <w:noWrap/>
            <w:vAlign w:val="bottom"/>
            <w:hideMark/>
          </w:tcPr>
          <w:p w:rsidR="00D476E4" w:rsidRPr="008D23E3" w:rsidRDefault="00D476E4" w:rsidP="00D476E4">
            <w:pPr>
              <w:jc w:val="right"/>
              <w:rPr>
                <w:rFonts w:ascii="Arial" w:hAnsi="Arial" w:cs="Arial"/>
                <w:sz w:val="16"/>
                <w:szCs w:val="16"/>
              </w:rPr>
            </w:pPr>
            <w:r w:rsidRPr="008D23E3">
              <w:rPr>
                <w:rFonts w:ascii="Arial" w:hAnsi="Arial" w:cs="Arial"/>
                <w:sz w:val="16"/>
                <w:szCs w:val="16"/>
              </w:rPr>
              <w:t>18.99705</w:t>
            </w:r>
          </w:p>
        </w:tc>
        <w:tc>
          <w:tcPr>
            <w:tcW w:w="1026" w:type="dxa"/>
            <w:noWrap/>
            <w:vAlign w:val="bottom"/>
            <w:hideMark/>
          </w:tcPr>
          <w:p w:rsidR="00D476E4" w:rsidRPr="008D23E3" w:rsidRDefault="00D476E4" w:rsidP="00D476E4">
            <w:pPr>
              <w:jc w:val="right"/>
              <w:rPr>
                <w:rFonts w:ascii="Arial" w:hAnsi="Arial" w:cs="Arial"/>
                <w:sz w:val="16"/>
                <w:szCs w:val="16"/>
              </w:rPr>
            </w:pPr>
            <w:r w:rsidRPr="008D23E3">
              <w:rPr>
                <w:rFonts w:ascii="Arial" w:hAnsi="Arial" w:cs="Arial"/>
                <w:sz w:val="16"/>
                <w:szCs w:val="16"/>
              </w:rPr>
              <w:t>0.00013</w:t>
            </w:r>
          </w:p>
        </w:tc>
        <w:tc>
          <w:tcPr>
            <w:tcW w:w="795" w:type="dxa"/>
            <w:noWrap/>
            <w:vAlign w:val="bottom"/>
            <w:hideMark/>
          </w:tcPr>
          <w:p w:rsidR="00D476E4" w:rsidRPr="008D23E3" w:rsidRDefault="00D476E4" w:rsidP="00D476E4">
            <w:pPr>
              <w:jc w:val="right"/>
              <w:rPr>
                <w:rFonts w:ascii="Arial" w:hAnsi="Arial" w:cs="Arial"/>
                <w:sz w:val="16"/>
                <w:szCs w:val="16"/>
              </w:rPr>
            </w:pPr>
            <w:r w:rsidRPr="008D23E3">
              <w:rPr>
                <w:rFonts w:ascii="Arial" w:hAnsi="Arial" w:cs="Arial"/>
                <w:sz w:val="16"/>
                <w:szCs w:val="16"/>
              </w:rPr>
              <w:t>0.00069</w:t>
            </w:r>
          </w:p>
        </w:tc>
      </w:tr>
      <w:tr w:rsidR="00D476E4" w:rsidRPr="00885FAA" w:rsidTr="00D476E4">
        <w:trPr>
          <w:trHeight w:val="255"/>
        </w:trPr>
        <w:tc>
          <w:tcPr>
            <w:tcW w:w="6340" w:type="dxa"/>
            <w:noWrap/>
            <w:hideMark/>
          </w:tcPr>
          <w:p w:rsidR="00D476E4" w:rsidRPr="00885FAA" w:rsidRDefault="00D476E4" w:rsidP="00D476E4">
            <w:pPr>
              <w:spacing w:line="360" w:lineRule="auto"/>
              <w:contextualSpacing/>
              <w:rPr>
                <w:sz w:val="16"/>
                <w:szCs w:val="16"/>
              </w:rPr>
            </w:pPr>
            <w:r w:rsidRPr="00885FAA">
              <w:rPr>
                <w:sz w:val="16"/>
                <w:szCs w:val="16"/>
              </w:rPr>
              <w:t>Forestry, logging and related service activities</w:t>
            </w:r>
          </w:p>
        </w:tc>
        <w:tc>
          <w:tcPr>
            <w:tcW w:w="1415" w:type="dxa"/>
            <w:noWrap/>
            <w:vAlign w:val="bottom"/>
            <w:hideMark/>
          </w:tcPr>
          <w:p w:rsidR="00D476E4" w:rsidRPr="008D23E3" w:rsidRDefault="00D476E4" w:rsidP="00D476E4">
            <w:pPr>
              <w:jc w:val="right"/>
              <w:rPr>
                <w:rFonts w:ascii="Arial" w:hAnsi="Arial" w:cs="Arial"/>
                <w:sz w:val="16"/>
                <w:szCs w:val="16"/>
              </w:rPr>
            </w:pPr>
            <w:r w:rsidRPr="008D23E3">
              <w:rPr>
                <w:rFonts w:ascii="Arial" w:hAnsi="Arial" w:cs="Arial"/>
                <w:sz w:val="16"/>
                <w:szCs w:val="16"/>
              </w:rPr>
              <w:t>288.83467</w:t>
            </w:r>
          </w:p>
        </w:tc>
        <w:tc>
          <w:tcPr>
            <w:tcW w:w="1026" w:type="dxa"/>
            <w:noWrap/>
            <w:vAlign w:val="bottom"/>
            <w:hideMark/>
          </w:tcPr>
          <w:p w:rsidR="00D476E4" w:rsidRPr="008D23E3" w:rsidRDefault="00D476E4" w:rsidP="00D476E4">
            <w:pPr>
              <w:jc w:val="right"/>
              <w:rPr>
                <w:rFonts w:ascii="Arial" w:hAnsi="Arial" w:cs="Arial"/>
                <w:sz w:val="16"/>
                <w:szCs w:val="16"/>
              </w:rPr>
            </w:pPr>
            <w:r w:rsidRPr="008D23E3">
              <w:rPr>
                <w:rFonts w:ascii="Arial" w:hAnsi="Arial" w:cs="Arial"/>
                <w:sz w:val="16"/>
                <w:szCs w:val="16"/>
              </w:rPr>
              <w:t>0.00307</w:t>
            </w:r>
          </w:p>
        </w:tc>
        <w:tc>
          <w:tcPr>
            <w:tcW w:w="795" w:type="dxa"/>
            <w:noWrap/>
            <w:vAlign w:val="bottom"/>
            <w:hideMark/>
          </w:tcPr>
          <w:p w:rsidR="00D476E4" w:rsidRPr="008D23E3" w:rsidRDefault="00D476E4" w:rsidP="00D476E4">
            <w:pPr>
              <w:jc w:val="right"/>
              <w:rPr>
                <w:rFonts w:ascii="Arial" w:hAnsi="Arial" w:cs="Arial"/>
                <w:sz w:val="16"/>
                <w:szCs w:val="16"/>
              </w:rPr>
            </w:pPr>
            <w:r w:rsidRPr="008D23E3">
              <w:rPr>
                <w:rFonts w:ascii="Arial" w:hAnsi="Arial" w:cs="Arial"/>
                <w:sz w:val="16"/>
                <w:szCs w:val="16"/>
              </w:rPr>
              <w:t>0.00702</w:t>
            </w:r>
          </w:p>
        </w:tc>
      </w:tr>
      <w:tr w:rsidR="00D476E4" w:rsidRPr="00885FAA" w:rsidTr="00D476E4">
        <w:trPr>
          <w:trHeight w:val="255"/>
        </w:trPr>
        <w:tc>
          <w:tcPr>
            <w:tcW w:w="6340" w:type="dxa"/>
            <w:noWrap/>
            <w:hideMark/>
          </w:tcPr>
          <w:p w:rsidR="00D476E4" w:rsidRPr="00885FAA" w:rsidRDefault="00D476E4" w:rsidP="00D476E4">
            <w:pPr>
              <w:spacing w:line="360" w:lineRule="auto"/>
              <w:contextualSpacing/>
              <w:rPr>
                <w:sz w:val="16"/>
                <w:szCs w:val="16"/>
              </w:rPr>
            </w:pPr>
            <w:r w:rsidRPr="00885FAA">
              <w:rPr>
                <w:sz w:val="16"/>
                <w:szCs w:val="16"/>
              </w:rPr>
              <w:t xml:space="preserve">Fishing </w:t>
            </w:r>
          </w:p>
        </w:tc>
        <w:tc>
          <w:tcPr>
            <w:tcW w:w="1415" w:type="dxa"/>
            <w:noWrap/>
            <w:vAlign w:val="bottom"/>
            <w:hideMark/>
          </w:tcPr>
          <w:p w:rsidR="00D476E4" w:rsidRPr="008D23E3" w:rsidRDefault="00D476E4" w:rsidP="00D476E4">
            <w:pPr>
              <w:jc w:val="right"/>
              <w:rPr>
                <w:rFonts w:ascii="Arial" w:hAnsi="Arial" w:cs="Arial"/>
                <w:sz w:val="16"/>
                <w:szCs w:val="16"/>
              </w:rPr>
            </w:pPr>
            <w:r w:rsidRPr="008D23E3">
              <w:rPr>
                <w:rFonts w:ascii="Arial" w:hAnsi="Arial" w:cs="Arial"/>
                <w:sz w:val="16"/>
                <w:szCs w:val="16"/>
              </w:rPr>
              <w:t>609.50643</w:t>
            </w:r>
          </w:p>
        </w:tc>
        <w:tc>
          <w:tcPr>
            <w:tcW w:w="1026" w:type="dxa"/>
            <w:noWrap/>
            <w:vAlign w:val="bottom"/>
            <w:hideMark/>
          </w:tcPr>
          <w:p w:rsidR="00D476E4" w:rsidRPr="008D23E3" w:rsidRDefault="00D476E4" w:rsidP="00D476E4">
            <w:pPr>
              <w:jc w:val="right"/>
              <w:rPr>
                <w:rFonts w:ascii="Arial" w:hAnsi="Arial" w:cs="Arial"/>
                <w:sz w:val="16"/>
                <w:szCs w:val="16"/>
              </w:rPr>
            </w:pPr>
            <w:r w:rsidRPr="008D23E3">
              <w:rPr>
                <w:rFonts w:ascii="Arial" w:hAnsi="Arial" w:cs="Arial"/>
                <w:sz w:val="16"/>
                <w:szCs w:val="16"/>
              </w:rPr>
              <w:t>0.00446</w:t>
            </w:r>
          </w:p>
        </w:tc>
        <w:tc>
          <w:tcPr>
            <w:tcW w:w="795" w:type="dxa"/>
            <w:noWrap/>
            <w:vAlign w:val="bottom"/>
            <w:hideMark/>
          </w:tcPr>
          <w:p w:rsidR="00D476E4" w:rsidRPr="008D23E3" w:rsidRDefault="00D476E4" w:rsidP="00D476E4">
            <w:pPr>
              <w:jc w:val="right"/>
              <w:rPr>
                <w:rFonts w:ascii="Arial" w:hAnsi="Arial" w:cs="Arial"/>
                <w:sz w:val="16"/>
                <w:szCs w:val="16"/>
              </w:rPr>
            </w:pPr>
            <w:r w:rsidRPr="008D23E3">
              <w:rPr>
                <w:rFonts w:ascii="Arial" w:hAnsi="Arial" w:cs="Arial"/>
                <w:sz w:val="16"/>
                <w:szCs w:val="16"/>
              </w:rPr>
              <w:t>0.02166</w:t>
            </w:r>
          </w:p>
        </w:tc>
      </w:tr>
      <w:tr w:rsidR="00D476E4" w:rsidRPr="00885FAA" w:rsidTr="00D476E4">
        <w:trPr>
          <w:trHeight w:val="255"/>
        </w:trPr>
        <w:tc>
          <w:tcPr>
            <w:tcW w:w="6340" w:type="dxa"/>
            <w:noWrap/>
            <w:hideMark/>
          </w:tcPr>
          <w:p w:rsidR="00D476E4" w:rsidRPr="00885FAA" w:rsidRDefault="00D476E4" w:rsidP="00D476E4">
            <w:pPr>
              <w:spacing w:line="360" w:lineRule="auto"/>
              <w:contextualSpacing/>
              <w:rPr>
                <w:sz w:val="16"/>
                <w:szCs w:val="16"/>
              </w:rPr>
            </w:pPr>
            <w:r w:rsidRPr="00885FAA">
              <w:rPr>
                <w:sz w:val="16"/>
                <w:szCs w:val="16"/>
              </w:rPr>
              <w:t>Mining and quarrying [08-12]</w:t>
            </w:r>
          </w:p>
        </w:tc>
        <w:tc>
          <w:tcPr>
            <w:tcW w:w="1415" w:type="dxa"/>
            <w:noWrap/>
            <w:vAlign w:val="bottom"/>
            <w:hideMark/>
          </w:tcPr>
          <w:p w:rsidR="00D476E4" w:rsidRPr="008D23E3" w:rsidRDefault="00D476E4" w:rsidP="00D476E4">
            <w:pPr>
              <w:jc w:val="right"/>
              <w:rPr>
                <w:rFonts w:ascii="Arial" w:hAnsi="Arial" w:cs="Arial"/>
                <w:sz w:val="16"/>
                <w:szCs w:val="16"/>
              </w:rPr>
            </w:pPr>
            <w:r w:rsidRPr="008D23E3">
              <w:rPr>
                <w:rFonts w:ascii="Arial" w:hAnsi="Arial" w:cs="Arial"/>
                <w:sz w:val="16"/>
                <w:szCs w:val="16"/>
              </w:rPr>
              <w:t>1603.52147</w:t>
            </w:r>
          </w:p>
        </w:tc>
        <w:tc>
          <w:tcPr>
            <w:tcW w:w="1026" w:type="dxa"/>
            <w:noWrap/>
            <w:vAlign w:val="bottom"/>
            <w:hideMark/>
          </w:tcPr>
          <w:p w:rsidR="00D476E4" w:rsidRPr="008D23E3" w:rsidRDefault="00D476E4" w:rsidP="00D476E4">
            <w:pPr>
              <w:jc w:val="right"/>
              <w:rPr>
                <w:rFonts w:ascii="Arial" w:hAnsi="Arial" w:cs="Arial"/>
                <w:sz w:val="16"/>
                <w:szCs w:val="16"/>
              </w:rPr>
            </w:pPr>
            <w:r w:rsidRPr="008D23E3">
              <w:rPr>
                <w:rFonts w:ascii="Arial" w:hAnsi="Arial" w:cs="Arial"/>
                <w:sz w:val="16"/>
                <w:szCs w:val="16"/>
              </w:rPr>
              <w:t>0.01140</w:t>
            </w:r>
          </w:p>
        </w:tc>
        <w:tc>
          <w:tcPr>
            <w:tcW w:w="795" w:type="dxa"/>
            <w:noWrap/>
            <w:vAlign w:val="bottom"/>
            <w:hideMark/>
          </w:tcPr>
          <w:p w:rsidR="00D476E4" w:rsidRPr="008D23E3" w:rsidRDefault="00D476E4" w:rsidP="00D476E4">
            <w:pPr>
              <w:jc w:val="right"/>
              <w:rPr>
                <w:rFonts w:ascii="Arial" w:hAnsi="Arial" w:cs="Arial"/>
                <w:sz w:val="16"/>
                <w:szCs w:val="16"/>
              </w:rPr>
            </w:pPr>
            <w:r w:rsidRPr="008D23E3">
              <w:rPr>
                <w:rFonts w:ascii="Arial" w:hAnsi="Arial" w:cs="Arial"/>
                <w:sz w:val="16"/>
                <w:szCs w:val="16"/>
              </w:rPr>
              <w:t>0.05802</w:t>
            </w:r>
          </w:p>
        </w:tc>
      </w:tr>
      <w:tr w:rsidR="00D476E4" w:rsidRPr="00885FAA" w:rsidTr="00D476E4">
        <w:trPr>
          <w:trHeight w:val="255"/>
        </w:trPr>
        <w:tc>
          <w:tcPr>
            <w:tcW w:w="6340" w:type="dxa"/>
            <w:noWrap/>
            <w:hideMark/>
          </w:tcPr>
          <w:p w:rsidR="00D476E4" w:rsidRPr="00885FAA" w:rsidRDefault="00D476E4" w:rsidP="00D476E4">
            <w:pPr>
              <w:spacing w:line="360" w:lineRule="auto"/>
              <w:contextualSpacing/>
              <w:rPr>
                <w:sz w:val="16"/>
                <w:szCs w:val="16"/>
              </w:rPr>
            </w:pPr>
            <w:r w:rsidRPr="00885FAA">
              <w:rPr>
                <w:sz w:val="16"/>
                <w:szCs w:val="16"/>
              </w:rPr>
              <w:t>Production, processing and preserving of meat and meat products</w:t>
            </w:r>
          </w:p>
        </w:tc>
        <w:tc>
          <w:tcPr>
            <w:tcW w:w="1415" w:type="dxa"/>
            <w:noWrap/>
            <w:vAlign w:val="bottom"/>
            <w:hideMark/>
          </w:tcPr>
          <w:p w:rsidR="00D476E4" w:rsidRPr="008D23E3" w:rsidRDefault="00D476E4" w:rsidP="00D476E4">
            <w:pPr>
              <w:jc w:val="right"/>
              <w:rPr>
                <w:rFonts w:ascii="Arial" w:hAnsi="Arial" w:cs="Arial"/>
                <w:sz w:val="16"/>
                <w:szCs w:val="16"/>
              </w:rPr>
            </w:pPr>
            <w:r w:rsidRPr="008D23E3">
              <w:rPr>
                <w:rFonts w:ascii="Arial" w:hAnsi="Arial" w:cs="Arial"/>
                <w:sz w:val="16"/>
                <w:szCs w:val="16"/>
              </w:rPr>
              <w:t>123.14207</w:t>
            </w:r>
          </w:p>
        </w:tc>
        <w:tc>
          <w:tcPr>
            <w:tcW w:w="1026" w:type="dxa"/>
            <w:noWrap/>
            <w:vAlign w:val="bottom"/>
            <w:hideMark/>
          </w:tcPr>
          <w:p w:rsidR="00D476E4" w:rsidRPr="008D23E3" w:rsidRDefault="00D476E4" w:rsidP="00D476E4">
            <w:pPr>
              <w:jc w:val="right"/>
              <w:rPr>
                <w:rFonts w:ascii="Arial" w:hAnsi="Arial" w:cs="Arial"/>
                <w:sz w:val="16"/>
                <w:szCs w:val="16"/>
              </w:rPr>
            </w:pPr>
            <w:r w:rsidRPr="008D23E3">
              <w:rPr>
                <w:rFonts w:ascii="Arial" w:hAnsi="Arial" w:cs="Arial"/>
                <w:sz w:val="16"/>
                <w:szCs w:val="16"/>
              </w:rPr>
              <w:t>0.00122</w:t>
            </w:r>
          </w:p>
        </w:tc>
        <w:tc>
          <w:tcPr>
            <w:tcW w:w="795" w:type="dxa"/>
            <w:noWrap/>
            <w:vAlign w:val="bottom"/>
            <w:hideMark/>
          </w:tcPr>
          <w:p w:rsidR="00D476E4" w:rsidRPr="008D23E3" w:rsidRDefault="00D476E4" w:rsidP="00D476E4">
            <w:pPr>
              <w:jc w:val="right"/>
              <w:rPr>
                <w:rFonts w:ascii="Arial" w:hAnsi="Arial" w:cs="Arial"/>
                <w:sz w:val="16"/>
                <w:szCs w:val="16"/>
              </w:rPr>
            </w:pPr>
            <w:r w:rsidRPr="008D23E3">
              <w:rPr>
                <w:rFonts w:ascii="Arial" w:hAnsi="Arial" w:cs="Arial"/>
                <w:sz w:val="16"/>
                <w:szCs w:val="16"/>
              </w:rPr>
              <w:t>0.00240</w:t>
            </w:r>
          </w:p>
        </w:tc>
      </w:tr>
      <w:tr w:rsidR="00D476E4" w:rsidRPr="00885FAA" w:rsidTr="00D476E4">
        <w:trPr>
          <w:trHeight w:val="255"/>
        </w:trPr>
        <w:tc>
          <w:tcPr>
            <w:tcW w:w="6340" w:type="dxa"/>
            <w:noWrap/>
            <w:hideMark/>
          </w:tcPr>
          <w:p w:rsidR="00D476E4" w:rsidRPr="00885FAA" w:rsidRDefault="00D476E4" w:rsidP="00D476E4">
            <w:pPr>
              <w:spacing w:line="360" w:lineRule="auto"/>
              <w:contextualSpacing/>
              <w:rPr>
                <w:sz w:val="16"/>
                <w:szCs w:val="16"/>
              </w:rPr>
            </w:pPr>
            <w:r w:rsidRPr="00885FAA">
              <w:rPr>
                <w:sz w:val="16"/>
                <w:szCs w:val="16"/>
              </w:rPr>
              <w:t>Processing and preserving of fish and fish products</w:t>
            </w:r>
          </w:p>
        </w:tc>
        <w:tc>
          <w:tcPr>
            <w:tcW w:w="1415" w:type="dxa"/>
            <w:noWrap/>
            <w:vAlign w:val="bottom"/>
            <w:hideMark/>
          </w:tcPr>
          <w:p w:rsidR="00D476E4" w:rsidRPr="008D23E3" w:rsidRDefault="00D476E4" w:rsidP="00D476E4">
            <w:pPr>
              <w:jc w:val="right"/>
              <w:rPr>
                <w:rFonts w:ascii="Arial" w:hAnsi="Arial" w:cs="Arial"/>
                <w:sz w:val="16"/>
                <w:szCs w:val="16"/>
              </w:rPr>
            </w:pPr>
            <w:r w:rsidRPr="008D23E3">
              <w:rPr>
                <w:rFonts w:ascii="Arial" w:hAnsi="Arial" w:cs="Arial"/>
                <w:sz w:val="16"/>
                <w:szCs w:val="16"/>
              </w:rPr>
              <w:t>13.17086</w:t>
            </w:r>
          </w:p>
        </w:tc>
        <w:tc>
          <w:tcPr>
            <w:tcW w:w="1026" w:type="dxa"/>
            <w:noWrap/>
            <w:vAlign w:val="bottom"/>
            <w:hideMark/>
          </w:tcPr>
          <w:p w:rsidR="00D476E4" w:rsidRPr="008D23E3" w:rsidRDefault="00D476E4" w:rsidP="00D476E4">
            <w:pPr>
              <w:jc w:val="right"/>
              <w:rPr>
                <w:rFonts w:ascii="Arial" w:hAnsi="Arial" w:cs="Arial"/>
                <w:sz w:val="16"/>
                <w:szCs w:val="16"/>
              </w:rPr>
            </w:pPr>
            <w:r w:rsidRPr="008D23E3">
              <w:rPr>
                <w:rFonts w:ascii="Arial" w:hAnsi="Arial" w:cs="Arial"/>
                <w:sz w:val="16"/>
                <w:szCs w:val="16"/>
              </w:rPr>
              <w:t>0.00002</w:t>
            </w:r>
          </w:p>
        </w:tc>
        <w:tc>
          <w:tcPr>
            <w:tcW w:w="795" w:type="dxa"/>
            <w:noWrap/>
            <w:vAlign w:val="bottom"/>
            <w:hideMark/>
          </w:tcPr>
          <w:p w:rsidR="00D476E4" w:rsidRPr="008D23E3" w:rsidRDefault="00D476E4" w:rsidP="00D476E4">
            <w:pPr>
              <w:jc w:val="right"/>
              <w:rPr>
                <w:rFonts w:ascii="Arial" w:hAnsi="Arial" w:cs="Arial"/>
                <w:sz w:val="16"/>
                <w:szCs w:val="16"/>
              </w:rPr>
            </w:pPr>
            <w:r w:rsidRPr="008D23E3">
              <w:rPr>
                <w:rFonts w:ascii="Arial" w:hAnsi="Arial" w:cs="Arial"/>
                <w:sz w:val="16"/>
                <w:szCs w:val="16"/>
              </w:rPr>
              <w:t>0.00022</w:t>
            </w:r>
          </w:p>
        </w:tc>
      </w:tr>
      <w:tr w:rsidR="00D476E4" w:rsidRPr="00885FAA" w:rsidTr="00D476E4">
        <w:trPr>
          <w:trHeight w:val="255"/>
        </w:trPr>
        <w:tc>
          <w:tcPr>
            <w:tcW w:w="6340" w:type="dxa"/>
            <w:noWrap/>
            <w:hideMark/>
          </w:tcPr>
          <w:p w:rsidR="00D476E4" w:rsidRPr="00885FAA" w:rsidRDefault="00D476E4" w:rsidP="00D476E4">
            <w:pPr>
              <w:spacing w:line="360" w:lineRule="auto"/>
              <w:contextualSpacing/>
              <w:rPr>
                <w:sz w:val="16"/>
                <w:szCs w:val="16"/>
              </w:rPr>
            </w:pPr>
            <w:r w:rsidRPr="00885FAA">
              <w:rPr>
                <w:sz w:val="16"/>
                <w:szCs w:val="16"/>
              </w:rPr>
              <w:t>Processing and preserving of fruit and vegetables</w:t>
            </w:r>
          </w:p>
        </w:tc>
        <w:tc>
          <w:tcPr>
            <w:tcW w:w="1415" w:type="dxa"/>
            <w:noWrap/>
            <w:vAlign w:val="bottom"/>
            <w:hideMark/>
          </w:tcPr>
          <w:p w:rsidR="00D476E4" w:rsidRPr="008D23E3" w:rsidRDefault="00D476E4" w:rsidP="00D476E4">
            <w:pPr>
              <w:jc w:val="right"/>
              <w:rPr>
                <w:rFonts w:ascii="Arial" w:hAnsi="Arial" w:cs="Arial"/>
                <w:sz w:val="16"/>
                <w:szCs w:val="16"/>
              </w:rPr>
            </w:pPr>
            <w:r w:rsidRPr="008D23E3">
              <w:rPr>
                <w:rFonts w:ascii="Arial" w:hAnsi="Arial" w:cs="Arial"/>
                <w:sz w:val="16"/>
                <w:szCs w:val="16"/>
              </w:rPr>
              <w:t>237.59638</w:t>
            </w:r>
          </w:p>
        </w:tc>
        <w:tc>
          <w:tcPr>
            <w:tcW w:w="1026" w:type="dxa"/>
            <w:noWrap/>
            <w:vAlign w:val="bottom"/>
            <w:hideMark/>
          </w:tcPr>
          <w:p w:rsidR="00D476E4" w:rsidRPr="008D23E3" w:rsidRDefault="00D476E4" w:rsidP="00D476E4">
            <w:pPr>
              <w:jc w:val="right"/>
              <w:rPr>
                <w:rFonts w:ascii="Arial" w:hAnsi="Arial" w:cs="Arial"/>
                <w:sz w:val="16"/>
                <w:szCs w:val="16"/>
              </w:rPr>
            </w:pPr>
            <w:r w:rsidRPr="008D23E3">
              <w:rPr>
                <w:rFonts w:ascii="Arial" w:hAnsi="Arial" w:cs="Arial"/>
                <w:sz w:val="16"/>
                <w:szCs w:val="16"/>
              </w:rPr>
              <w:t>0.00177</w:t>
            </w:r>
          </w:p>
        </w:tc>
        <w:tc>
          <w:tcPr>
            <w:tcW w:w="795" w:type="dxa"/>
            <w:noWrap/>
            <w:vAlign w:val="bottom"/>
            <w:hideMark/>
          </w:tcPr>
          <w:p w:rsidR="00D476E4" w:rsidRPr="008D23E3" w:rsidRDefault="00D476E4" w:rsidP="00D476E4">
            <w:pPr>
              <w:jc w:val="right"/>
              <w:rPr>
                <w:rFonts w:ascii="Arial" w:hAnsi="Arial" w:cs="Arial"/>
                <w:sz w:val="16"/>
                <w:szCs w:val="16"/>
              </w:rPr>
            </w:pPr>
            <w:r w:rsidRPr="008D23E3">
              <w:rPr>
                <w:rFonts w:ascii="Arial" w:hAnsi="Arial" w:cs="Arial"/>
                <w:sz w:val="16"/>
                <w:szCs w:val="16"/>
              </w:rPr>
              <w:t>0.00894</w:t>
            </w:r>
          </w:p>
        </w:tc>
      </w:tr>
      <w:tr w:rsidR="00D476E4" w:rsidRPr="00885FAA" w:rsidTr="00D476E4">
        <w:trPr>
          <w:trHeight w:val="255"/>
        </w:trPr>
        <w:tc>
          <w:tcPr>
            <w:tcW w:w="6340" w:type="dxa"/>
            <w:noWrap/>
            <w:hideMark/>
          </w:tcPr>
          <w:p w:rsidR="00D476E4" w:rsidRPr="00885FAA" w:rsidRDefault="00D476E4" w:rsidP="00D476E4">
            <w:pPr>
              <w:spacing w:line="360" w:lineRule="auto"/>
              <w:contextualSpacing/>
              <w:rPr>
                <w:sz w:val="16"/>
                <w:szCs w:val="16"/>
              </w:rPr>
            </w:pPr>
            <w:r w:rsidRPr="00885FAA">
              <w:rPr>
                <w:sz w:val="16"/>
                <w:szCs w:val="16"/>
              </w:rPr>
              <w:t>Manufacture of vegetable and animal oils and fats</w:t>
            </w:r>
          </w:p>
        </w:tc>
        <w:tc>
          <w:tcPr>
            <w:tcW w:w="1415" w:type="dxa"/>
            <w:noWrap/>
            <w:vAlign w:val="bottom"/>
            <w:hideMark/>
          </w:tcPr>
          <w:p w:rsidR="00D476E4" w:rsidRPr="008D23E3" w:rsidRDefault="00D476E4" w:rsidP="00D476E4">
            <w:pPr>
              <w:jc w:val="right"/>
              <w:rPr>
                <w:rFonts w:ascii="Arial" w:hAnsi="Arial" w:cs="Arial"/>
                <w:sz w:val="16"/>
                <w:szCs w:val="16"/>
              </w:rPr>
            </w:pPr>
            <w:r w:rsidRPr="008D23E3">
              <w:rPr>
                <w:rFonts w:ascii="Arial" w:hAnsi="Arial" w:cs="Arial"/>
                <w:sz w:val="16"/>
                <w:szCs w:val="16"/>
              </w:rPr>
              <w:t>535.72451</w:t>
            </w:r>
          </w:p>
        </w:tc>
        <w:tc>
          <w:tcPr>
            <w:tcW w:w="1026" w:type="dxa"/>
            <w:noWrap/>
            <w:vAlign w:val="bottom"/>
            <w:hideMark/>
          </w:tcPr>
          <w:p w:rsidR="00D476E4" w:rsidRPr="008D23E3" w:rsidRDefault="00D476E4" w:rsidP="00D476E4">
            <w:pPr>
              <w:jc w:val="right"/>
              <w:rPr>
                <w:rFonts w:ascii="Arial" w:hAnsi="Arial" w:cs="Arial"/>
                <w:sz w:val="16"/>
                <w:szCs w:val="16"/>
              </w:rPr>
            </w:pPr>
            <w:r w:rsidRPr="008D23E3">
              <w:rPr>
                <w:rFonts w:ascii="Arial" w:hAnsi="Arial" w:cs="Arial"/>
                <w:sz w:val="16"/>
                <w:szCs w:val="16"/>
              </w:rPr>
              <w:t>0.00556</w:t>
            </w:r>
          </w:p>
        </w:tc>
        <w:tc>
          <w:tcPr>
            <w:tcW w:w="795" w:type="dxa"/>
            <w:noWrap/>
            <w:vAlign w:val="bottom"/>
            <w:hideMark/>
          </w:tcPr>
          <w:p w:rsidR="00D476E4" w:rsidRPr="008D23E3" w:rsidRDefault="00D476E4" w:rsidP="00D476E4">
            <w:pPr>
              <w:jc w:val="right"/>
              <w:rPr>
                <w:rFonts w:ascii="Arial" w:hAnsi="Arial" w:cs="Arial"/>
                <w:sz w:val="16"/>
                <w:szCs w:val="16"/>
              </w:rPr>
            </w:pPr>
            <w:r w:rsidRPr="008D23E3">
              <w:rPr>
                <w:rFonts w:ascii="Arial" w:hAnsi="Arial" w:cs="Arial"/>
                <w:sz w:val="16"/>
                <w:szCs w:val="16"/>
              </w:rPr>
              <w:t>0.01130</w:t>
            </w:r>
          </w:p>
        </w:tc>
      </w:tr>
      <w:tr w:rsidR="00D476E4" w:rsidRPr="00885FAA" w:rsidTr="00D476E4">
        <w:trPr>
          <w:trHeight w:val="255"/>
        </w:trPr>
        <w:tc>
          <w:tcPr>
            <w:tcW w:w="6340" w:type="dxa"/>
            <w:noWrap/>
            <w:hideMark/>
          </w:tcPr>
          <w:p w:rsidR="00D476E4" w:rsidRPr="00885FAA" w:rsidRDefault="00D476E4" w:rsidP="00D476E4">
            <w:pPr>
              <w:spacing w:line="360" w:lineRule="auto"/>
              <w:contextualSpacing/>
              <w:rPr>
                <w:sz w:val="16"/>
                <w:szCs w:val="16"/>
              </w:rPr>
            </w:pPr>
            <w:r w:rsidRPr="00885FAA">
              <w:rPr>
                <w:sz w:val="16"/>
                <w:szCs w:val="16"/>
              </w:rPr>
              <w:t>Manufacture of dairy products</w:t>
            </w:r>
          </w:p>
        </w:tc>
        <w:tc>
          <w:tcPr>
            <w:tcW w:w="1415" w:type="dxa"/>
            <w:noWrap/>
            <w:vAlign w:val="bottom"/>
            <w:hideMark/>
          </w:tcPr>
          <w:p w:rsidR="00D476E4" w:rsidRPr="008D23E3" w:rsidRDefault="00D476E4" w:rsidP="00D476E4">
            <w:pPr>
              <w:jc w:val="right"/>
              <w:rPr>
                <w:rFonts w:ascii="Arial" w:hAnsi="Arial" w:cs="Arial"/>
                <w:sz w:val="16"/>
                <w:szCs w:val="16"/>
              </w:rPr>
            </w:pPr>
            <w:r w:rsidRPr="008D23E3">
              <w:rPr>
                <w:rFonts w:ascii="Arial" w:hAnsi="Arial" w:cs="Arial"/>
                <w:sz w:val="16"/>
                <w:szCs w:val="16"/>
              </w:rPr>
              <w:t>95.05217</w:t>
            </w:r>
          </w:p>
        </w:tc>
        <w:tc>
          <w:tcPr>
            <w:tcW w:w="1026" w:type="dxa"/>
            <w:noWrap/>
            <w:vAlign w:val="bottom"/>
            <w:hideMark/>
          </w:tcPr>
          <w:p w:rsidR="00D476E4" w:rsidRPr="008D23E3" w:rsidRDefault="00D476E4" w:rsidP="00D476E4">
            <w:pPr>
              <w:jc w:val="right"/>
              <w:rPr>
                <w:rFonts w:ascii="Arial" w:hAnsi="Arial" w:cs="Arial"/>
                <w:sz w:val="16"/>
                <w:szCs w:val="16"/>
              </w:rPr>
            </w:pPr>
            <w:r w:rsidRPr="008D23E3">
              <w:rPr>
                <w:rFonts w:ascii="Arial" w:hAnsi="Arial" w:cs="Arial"/>
                <w:sz w:val="16"/>
                <w:szCs w:val="16"/>
              </w:rPr>
              <w:t>0.00075</w:t>
            </w:r>
          </w:p>
        </w:tc>
        <w:tc>
          <w:tcPr>
            <w:tcW w:w="795" w:type="dxa"/>
            <w:noWrap/>
            <w:vAlign w:val="bottom"/>
            <w:hideMark/>
          </w:tcPr>
          <w:p w:rsidR="00D476E4" w:rsidRPr="008D23E3" w:rsidRDefault="00D476E4" w:rsidP="00D476E4">
            <w:pPr>
              <w:jc w:val="right"/>
              <w:rPr>
                <w:rFonts w:ascii="Arial" w:hAnsi="Arial" w:cs="Arial"/>
                <w:sz w:val="16"/>
                <w:szCs w:val="16"/>
              </w:rPr>
            </w:pPr>
            <w:r w:rsidRPr="008D23E3">
              <w:rPr>
                <w:rFonts w:ascii="Arial" w:hAnsi="Arial" w:cs="Arial"/>
                <w:sz w:val="16"/>
                <w:szCs w:val="16"/>
              </w:rPr>
              <w:t>0.00339</w:t>
            </w:r>
          </w:p>
        </w:tc>
      </w:tr>
      <w:tr w:rsidR="00D476E4" w:rsidRPr="00885FAA" w:rsidTr="00D476E4">
        <w:trPr>
          <w:trHeight w:val="255"/>
        </w:trPr>
        <w:tc>
          <w:tcPr>
            <w:tcW w:w="6340" w:type="dxa"/>
            <w:noWrap/>
            <w:hideMark/>
          </w:tcPr>
          <w:p w:rsidR="00D476E4" w:rsidRPr="00885FAA" w:rsidRDefault="00D476E4" w:rsidP="00D476E4">
            <w:pPr>
              <w:spacing w:line="360" w:lineRule="auto"/>
              <w:contextualSpacing/>
              <w:rPr>
                <w:sz w:val="16"/>
                <w:szCs w:val="16"/>
              </w:rPr>
            </w:pPr>
            <w:r w:rsidRPr="00885FAA">
              <w:rPr>
                <w:sz w:val="16"/>
                <w:szCs w:val="16"/>
              </w:rPr>
              <w:t>Manufacture of grain mill products, starches and starch products</w:t>
            </w:r>
          </w:p>
        </w:tc>
        <w:tc>
          <w:tcPr>
            <w:tcW w:w="1415" w:type="dxa"/>
            <w:noWrap/>
            <w:vAlign w:val="bottom"/>
            <w:hideMark/>
          </w:tcPr>
          <w:p w:rsidR="00D476E4" w:rsidRPr="008D23E3" w:rsidRDefault="00D476E4" w:rsidP="00D476E4">
            <w:pPr>
              <w:jc w:val="right"/>
              <w:rPr>
                <w:rFonts w:ascii="Arial" w:hAnsi="Arial" w:cs="Arial"/>
                <w:sz w:val="16"/>
                <w:szCs w:val="16"/>
              </w:rPr>
            </w:pPr>
            <w:r w:rsidRPr="008D23E3">
              <w:rPr>
                <w:rFonts w:ascii="Arial" w:hAnsi="Arial" w:cs="Arial"/>
                <w:sz w:val="16"/>
                <w:szCs w:val="16"/>
              </w:rPr>
              <w:t>8.61514</w:t>
            </w:r>
          </w:p>
        </w:tc>
        <w:tc>
          <w:tcPr>
            <w:tcW w:w="1026" w:type="dxa"/>
            <w:noWrap/>
            <w:vAlign w:val="bottom"/>
            <w:hideMark/>
          </w:tcPr>
          <w:p w:rsidR="00D476E4" w:rsidRPr="008D23E3" w:rsidRDefault="00D476E4" w:rsidP="00D476E4">
            <w:pPr>
              <w:jc w:val="right"/>
              <w:rPr>
                <w:rFonts w:ascii="Arial" w:hAnsi="Arial" w:cs="Arial"/>
                <w:sz w:val="16"/>
                <w:szCs w:val="16"/>
              </w:rPr>
            </w:pPr>
            <w:r w:rsidRPr="008D23E3">
              <w:rPr>
                <w:rFonts w:ascii="Arial" w:hAnsi="Arial" w:cs="Arial"/>
                <w:sz w:val="16"/>
                <w:szCs w:val="16"/>
              </w:rPr>
              <w:t>0.00007</w:t>
            </w:r>
          </w:p>
        </w:tc>
        <w:tc>
          <w:tcPr>
            <w:tcW w:w="795" w:type="dxa"/>
            <w:noWrap/>
            <w:vAlign w:val="bottom"/>
            <w:hideMark/>
          </w:tcPr>
          <w:p w:rsidR="00D476E4" w:rsidRPr="008D23E3" w:rsidRDefault="00D476E4" w:rsidP="00D476E4">
            <w:pPr>
              <w:jc w:val="right"/>
              <w:rPr>
                <w:rFonts w:ascii="Arial" w:hAnsi="Arial" w:cs="Arial"/>
                <w:sz w:val="16"/>
                <w:szCs w:val="16"/>
              </w:rPr>
            </w:pPr>
            <w:r w:rsidRPr="008D23E3">
              <w:rPr>
                <w:rFonts w:ascii="Arial" w:hAnsi="Arial" w:cs="Arial"/>
                <w:sz w:val="16"/>
                <w:szCs w:val="16"/>
              </w:rPr>
              <w:t>0.00033</w:t>
            </w:r>
          </w:p>
        </w:tc>
      </w:tr>
      <w:tr w:rsidR="00D476E4" w:rsidRPr="00885FAA" w:rsidTr="00D476E4">
        <w:trPr>
          <w:trHeight w:val="255"/>
        </w:trPr>
        <w:tc>
          <w:tcPr>
            <w:tcW w:w="6340" w:type="dxa"/>
            <w:noWrap/>
            <w:hideMark/>
          </w:tcPr>
          <w:p w:rsidR="00D476E4" w:rsidRPr="00885FAA" w:rsidRDefault="00D476E4" w:rsidP="00D476E4">
            <w:pPr>
              <w:spacing w:line="360" w:lineRule="auto"/>
              <w:contextualSpacing/>
              <w:rPr>
                <w:sz w:val="16"/>
                <w:szCs w:val="16"/>
              </w:rPr>
            </w:pPr>
            <w:r w:rsidRPr="00885FAA">
              <w:rPr>
                <w:sz w:val="16"/>
                <w:szCs w:val="16"/>
              </w:rPr>
              <w:t>Manufacture of prepared animal feeds</w:t>
            </w:r>
          </w:p>
        </w:tc>
        <w:tc>
          <w:tcPr>
            <w:tcW w:w="1415" w:type="dxa"/>
            <w:noWrap/>
            <w:vAlign w:val="bottom"/>
            <w:hideMark/>
          </w:tcPr>
          <w:p w:rsidR="00D476E4" w:rsidRPr="008D23E3" w:rsidRDefault="00D476E4" w:rsidP="00D476E4">
            <w:pPr>
              <w:jc w:val="right"/>
              <w:rPr>
                <w:rFonts w:ascii="Arial" w:hAnsi="Arial" w:cs="Arial"/>
                <w:sz w:val="16"/>
                <w:szCs w:val="16"/>
              </w:rPr>
            </w:pPr>
            <w:r w:rsidRPr="008D23E3">
              <w:rPr>
                <w:rFonts w:ascii="Arial" w:hAnsi="Arial" w:cs="Arial"/>
                <w:sz w:val="16"/>
                <w:szCs w:val="16"/>
              </w:rPr>
              <w:t>8.67623</w:t>
            </w:r>
          </w:p>
        </w:tc>
        <w:tc>
          <w:tcPr>
            <w:tcW w:w="1026" w:type="dxa"/>
            <w:noWrap/>
            <w:vAlign w:val="bottom"/>
            <w:hideMark/>
          </w:tcPr>
          <w:p w:rsidR="00D476E4" w:rsidRPr="008D23E3" w:rsidRDefault="00D476E4" w:rsidP="00D476E4">
            <w:pPr>
              <w:jc w:val="right"/>
              <w:rPr>
                <w:rFonts w:ascii="Arial" w:hAnsi="Arial" w:cs="Arial"/>
                <w:sz w:val="16"/>
                <w:szCs w:val="16"/>
              </w:rPr>
            </w:pPr>
            <w:r w:rsidRPr="008D23E3">
              <w:rPr>
                <w:rFonts w:ascii="Arial" w:hAnsi="Arial" w:cs="Arial"/>
                <w:sz w:val="16"/>
                <w:szCs w:val="16"/>
              </w:rPr>
              <w:t>0.00012</w:t>
            </w:r>
          </w:p>
        </w:tc>
        <w:tc>
          <w:tcPr>
            <w:tcW w:w="795" w:type="dxa"/>
            <w:noWrap/>
            <w:vAlign w:val="bottom"/>
            <w:hideMark/>
          </w:tcPr>
          <w:p w:rsidR="00D476E4" w:rsidRPr="008D23E3" w:rsidRDefault="00D476E4" w:rsidP="00D476E4">
            <w:pPr>
              <w:jc w:val="right"/>
              <w:rPr>
                <w:rFonts w:ascii="Arial" w:hAnsi="Arial" w:cs="Arial"/>
                <w:sz w:val="16"/>
                <w:szCs w:val="16"/>
              </w:rPr>
            </w:pPr>
            <w:r w:rsidRPr="008D23E3">
              <w:rPr>
                <w:rFonts w:ascii="Arial" w:hAnsi="Arial" w:cs="Arial"/>
                <w:sz w:val="16"/>
                <w:szCs w:val="16"/>
              </w:rPr>
              <w:t>0.00012</w:t>
            </w:r>
          </w:p>
        </w:tc>
      </w:tr>
      <w:tr w:rsidR="00D476E4" w:rsidRPr="00885FAA" w:rsidTr="00D476E4">
        <w:trPr>
          <w:trHeight w:val="255"/>
        </w:trPr>
        <w:tc>
          <w:tcPr>
            <w:tcW w:w="6340" w:type="dxa"/>
            <w:noWrap/>
            <w:hideMark/>
          </w:tcPr>
          <w:p w:rsidR="00D476E4" w:rsidRPr="00885FAA" w:rsidRDefault="00D476E4" w:rsidP="00D476E4">
            <w:pPr>
              <w:spacing w:line="360" w:lineRule="auto"/>
              <w:contextualSpacing/>
              <w:rPr>
                <w:sz w:val="16"/>
                <w:szCs w:val="16"/>
              </w:rPr>
            </w:pPr>
            <w:r w:rsidRPr="00885FAA">
              <w:rPr>
                <w:sz w:val="16"/>
                <w:szCs w:val="16"/>
              </w:rPr>
              <w:t>Manufacture of bakery products</w:t>
            </w:r>
          </w:p>
        </w:tc>
        <w:tc>
          <w:tcPr>
            <w:tcW w:w="1415" w:type="dxa"/>
            <w:noWrap/>
            <w:vAlign w:val="bottom"/>
            <w:hideMark/>
          </w:tcPr>
          <w:p w:rsidR="00D476E4" w:rsidRPr="008D23E3" w:rsidRDefault="00D476E4" w:rsidP="00D476E4">
            <w:pPr>
              <w:jc w:val="right"/>
              <w:rPr>
                <w:rFonts w:ascii="Arial" w:hAnsi="Arial" w:cs="Arial"/>
                <w:sz w:val="16"/>
                <w:szCs w:val="16"/>
              </w:rPr>
            </w:pPr>
            <w:r w:rsidRPr="008D23E3">
              <w:rPr>
                <w:rFonts w:ascii="Arial" w:hAnsi="Arial" w:cs="Arial"/>
                <w:sz w:val="16"/>
                <w:szCs w:val="16"/>
              </w:rPr>
              <w:t>142.50263</w:t>
            </w:r>
          </w:p>
        </w:tc>
        <w:tc>
          <w:tcPr>
            <w:tcW w:w="1026" w:type="dxa"/>
            <w:noWrap/>
            <w:vAlign w:val="bottom"/>
            <w:hideMark/>
          </w:tcPr>
          <w:p w:rsidR="00D476E4" w:rsidRPr="008D23E3" w:rsidRDefault="00D476E4" w:rsidP="00D476E4">
            <w:pPr>
              <w:jc w:val="right"/>
              <w:rPr>
                <w:rFonts w:ascii="Arial" w:hAnsi="Arial" w:cs="Arial"/>
                <w:sz w:val="16"/>
                <w:szCs w:val="16"/>
              </w:rPr>
            </w:pPr>
            <w:r w:rsidRPr="008D23E3">
              <w:rPr>
                <w:rFonts w:ascii="Arial" w:hAnsi="Arial" w:cs="Arial"/>
                <w:sz w:val="16"/>
                <w:szCs w:val="16"/>
              </w:rPr>
              <w:t>0.00056</w:t>
            </w:r>
          </w:p>
        </w:tc>
        <w:tc>
          <w:tcPr>
            <w:tcW w:w="795" w:type="dxa"/>
            <w:noWrap/>
            <w:vAlign w:val="bottom"/>
            <w:hideMark/>
          </w:tcPr>
          <w:p w:rsidR="00D476E4" w:rsidRPr="008D23E3" w:rsidRDefault="00D476E4" w:rsidP="00D476E4">
            <w:pPr>
              <w:jc w:val="right"/>
              <w:rPr>
                <w:rFonts w:ascii="Arial" w:hAnsi="Arial" w:cs="Arial"/>
                <w:sz w:val="16"/>
                <w:szCs w:val="16"/>
              </w:rPr>
            </w:pPr>
            <w:r w:rsidRPr="008D23E3">
              <w:rPr>
                <w:rFonts w:ascii="Arial" w:hAnsi="Arial" w:cs="Arial"/>
                <w:sz w:val="16"/>
                <w:szCs w:val="16"/>
              </w:rPr>
              <w:t>0.00331</w:t>
            </w:r>
          </w:p>
        </w:tc>
      </w:tr>
      <w:tr w:rsidR="00D476E4" w:rsidRPr="00885FAA" w:rsidTr="00D476E4">
        <w:trPr>
          <w:trHeight w:val="255"/>
        </w:trPr>
        <w:tc>
          <w:tcPr>
            <w:tcW w:w="6340" w:type="dxa"/>
            <w:noWrap/>
            <w:hideMark/>
          </w:tcPr>
          <w:p w:rsidR="00D476E4" w:rsidRPr="00885FAA" w:rsidRDefault="00D476E4" w:rsidP="00D476E4">
            <w:pPr>
              <w:spacing w:line="360" w:lineRule="auto"/>
              <w:contextualSpacing/>
              <w:rPr>
                <w:sz w:val="16"/>
                <w:szCs w:val="16"/>
              </w:rPr>
            </w:pPr>
            <w:r w:rsidRPr="00885FAA">
              <w:rPr>
                <w:sz w:val="16"/>
                <w:szCs w:val="16"/>
              </w:rPr>
              <w:t>Manufacture of sugar</w:t>
            </w:r>
          </w:p>
        </w:tc>
        <w:tc>
          <w:tcPr>
            <w:tcW w:w="1415" w:type="dxa"/>
            <w:noWrap/>
            <w:vAlign w:val="bottom"/>
            <w:hideMark/>
          </w:tcPr>
          <w:p w:rsidR="00D476E4" w:rsidRPr="008D23E3" w:rsidRDefault="00D476E4" w:rsidP="00D476E4">
            <w:pPr>
              <w:jc w:val="right"/>
              <w:rPr>
                <w:rFonts w:ascii="Arial" w:hAnsi="Arial" w:cs="Arial"/>
                <w:sz w:val="16"/>
                <w:szCs w:val="16"/>
              </w:rPr>
            </w:pPr>
            <w:r w:rsidRPr="008D23E3">
              <w:rPr>
                <w:rFonts w:ascii="Arial" w:hAnsi="Arial" w:cs="Arial"/>
                <w:sz w:val="16"/>
                <w:szCs w:val="16"/>
              </w:rPr>
              <w:t>4038.08443</w:t>
            </w:r>
          </w:p>
        </w:tc>
        <w:tc>
          <w:tcPr>
            <w:tcW w:w="1026" w:type="dxa"/>
            <w:noWrap/>
            <w:vAlign w:val="bottom"/>
            <w:hideMark/>
          </w:tcPr>
          <w:p w:rsidR="00D476E4" w:rsidRPr="008D23E3" w:rsidRDefault="00D476E4" w:rsidP="00D476E4">
            <w:pPr>
              <w:jc w:val="right"/>
              <w:rPr>
                <w:rFonts w:ascii="Arial" w:hAnsi="Arial" w:cs="Arial"/>
                <w:sz w:val="16"/>
                <w:szCs w:val="16"/>
              </w:rPr>
            </w:pPr>
            <w:r w:rsidRPr="008D23E3">
              <w:rPr>
                <w:rFonts w:ascii="Arial" w:hAnsi="Arial" w:cs="Arial"/>
                <w:sz w:val="16"/>
                <w:szCs w:val="16"/>
              </w:rPr>
              <w:t>0.05215</w:t>
            </w:r>
          </w:p>
        </w:tc>
        <w:tc>
          <w:tcPr>
            <w:tcW w:w="795" w:type="dxa"/>
            <w:noWrap/>
            <w:vAlign w:val="bottom"/>
            <w:hideMark/>
          </w:tcPr>
          <w:p w:rsidR="00D476E4" w:rsidRPr="008D23E3" w:rsidRDefault="00D476E4" w:rsidP="00D476E4">
            <w:pPr>
              <w:jc w:val="right"/>
              <w:rPr>
                <w:rFonts w:ascii="Arial" w:hAnsi="Arial" w:cs="Arial"/>
                <w:sz w:val="16"/>
                <w:szCs w:val="16"/>
              </w:rPr>
            </w:pPr>
            <w:r w:rsidRPr="008D23E3">
              <w:rPr>
                <w:rFonts w:ascii="Arial" w:hAnsi="Arial" w:cs="Arial"/>
                <w:sz w:val="16"/>
                <w:szCs w:val="16"/>
              </w:rPr>
              <w:t>0.05994</w:t>
            </w:r>
          </w:p>
        </w:tc>
      </w:tr>
      <w:tr w:rsidR="00D476E4" w:rsidRPr="00885FAA" w:rsidTr="00D476E4">
        <w:trPr>
          <w:trHeight w:val="255"/>
        </w:trPr>
        <w:tc>
          <w:tcPr>
            <w:tcW w:w="6340" w:type="dxa"/>
            <w:noWrap/>
            <w:hideMark/>
          </w:tcPr>
          <w:p w:rsidR="00D476E4" w:rsidRPr="00885FAA" w:rsidRDefault="00D476E4" w:rsidP="00D476E4">
            <w:pPr>
              <w:spacing w:line="360" w:lineRule="auto"/>
              <w:contextualSpacing/>
              <w:rPr>
                <w:sz w:val="16"/>
                <w:szCs w:val="16"/>
              </w:rPr>
            </w:pPr>
            <w:r w:rsidRPr="00885FAA">
              <w:rPr>
                <w:sz w:val="16"/>
                <w:szCs w:val="16"/>
              </w:rPr>
              <w:t>Manufacture of cocoa, chocolate, sugar confert.&amp; other food products n.e.c.</w:t>
            </w:r>
          </w:p>
        </w:tc>
        <w:tc>
          <w:tcPr>
            <w:tcW w:w="1415" w:type="dxa"/>
            <w:noWrap/>
            <w:vAlign w:val="bottom"/>
            <w:hideMark/>
          </w:tcPr>
          <w:p w:rsidR="00D476E4" w:rsidRPr="008D23E3" w:rsidRDefault="00D476E4" w:rsidP="00D476E4">
            <w:pPr>
              <w:jc w:val="right"/>
              <w:rPr>
                <w:rFonts w:ascii="Arial" w:hAnsi="Arial" w:cs="Arial"/>
                <w:sz w:val="16"/>
                <w:szCs w:val="16"/>
              </w:rPr>
            </w:pPr>
            <w:r w:rsidRPr="008D23E3">
              <w:rPr>
                <w:rFonts w:ascii="Arial" w:hAnsi="Arial" w:cs="Arial"/>
                <w:sz w:val="16"/>
                <w:szCs w:val="16"/>
              </w:rPr>
              <w:t>1062.86751</w:t>
            </w:r>
          </w:p>
        </w:tc>
        <w:tc>
          <w:tcPr>
            <w:tcW w:w="1026" w:type="dxa"/>
            <w:noWrap/>
            <w:vAlign w:val="bottom"/>
            <w:hideMark/>
          </w:tcPr>
          <w:p w:rsidR="00D476E4" w:rsidRPr="008D23E3" w:rsidRDefault="00D476E4" w:rsidP="00D476E4">
            <w:pPr>
              <w:jc w:val="right"/>
              <w:rPr>
                <w:rFonts w:ascii="Arial" w:hAnsi="Arial" w:cs="Arial"/>
                <w:sz w:val="16"/>
                <w:szCs w:val="16"/>
              </w:rPr>
            </w:pPr>
            <w:r w:rsidRPr="008D23E3">
              <w:rPr>
                <w:rFonts w:ascii="Arial" w:hAnsi="Arial" w:cs="Arial"/>
                <w:sz w:val="16"/>
                <w:szCs w:val="16"/>
              </w:rPr>
              <w:t>0.01080</w:t>
            </w:r>
          </w:p>
        </w:tc>
        <w:tc>
          <w:tcPr>
            <w:tcW w:w="795" w:type="dxa"/>
            <w:noWrap/>
            <w:vAlign w:val="bottom"/>
            <w:hideMark/>
          </w:tcPr>
          <w:p w:rsidR="00D476E4" w:rsidRPr="008D23E3" w:rsidRDefault="00D476E4" w:rsidP="00D476E4">
            <w:pPr>
              <w:jc w:val="right"/>
              <w:rPr>
                <w:rFonts w:ascii="Arial" w:hAnsi="Arial" w:cs="Arial"/>
                <w:sz w:val="16"/>
                <w:szCs w:val="16"/>
              </w:rPr>
            </w:pPr>
            <w:r w:rsidRPr="008D23E3">
              <w:rPr>
                <w:rFonts w:ascii="Arial" w:hAnsi="Arial" w:cs="Arial"/>
                <w:sz w:val="16"/>
                <w:szCs w:val="16"/>
              </w:rPr>
              <w:t>0.02539</w:t>
            </w:r>
          </w:p>
        </w:tc>
      </w:tr>
      <w:tr w:rsidR="00D476E4" w:rsidRPr="00885FAA" w:rsidTr="00D476E4">
        <w:trPr>
          <w:trHeight w:val="255"/>
        </w:trPr>
        <w:tc>
          <w:tcPr>
            <w:tcW w:w="6340" w:type="dxa"/>
            <w:noWrap/>
            <w:hideMark/>
          </w:tcPr>
          <w:p w:rsidR="00D476E4" w:rsidRPr="00885FAA" w:rsidRDefault="00D476E4" w:rsidP="00D476E4">
            <w:pPr>
              <w:spacing w:line="360" w:lineRule="auto"/>
              <w:contextualSpacing/>
              <w:rPr>
                <w:sz w:val="16"/>
                <w:szCs w:val="16"/>
              </w:rPr>
            </w:pPr>
            <w:r w:rsidRPr="00885FAA">
              <w:rPr>
                <w:sz w:val="16"/>
                <w:szCs w:val="16"/>
              </w:rPr>
              <w:t>Manufacture of alcoholic, soft drinks and mineral waters[23-24]</w:t>
            </w:r>
          </w:p>
        </w:tc>
        <w:tc>
          <w:tcPr>
            <w:tcW w:w="1415" w:type="dxa"/>
            <w:noWrap/>
            <w:vAlign w:val="bottom"/>
            <w:hideMark/>
          </w:tcPr>
          <w:p w:rsidR="00D476E4" w:rsidRPr="008D23E3" w:rsidRDefault="00D476E4" w:rsidP="00D476E4">
            <w:pPr>
              <w:jc w:val="right"/>
              <w:rPr>
                <w:rFonts w:ascii="Arial" w:hAnsi="Arial" w:cs="Arial"/>
                <w:sz w:val="16"/>
                <w:szCs w:val="16"/>
              </w:rPr>
            </w:pPr>
            <w:r w:rsidRPr="008D23E3">
              <w:rPr>
                <w:rFonts w:ascii="Arial" w:hAnsi="Arial" w:cs="Arial"/>
                <w:sz w:val="16"/>
                <w:szCs w:val="16"/>
              </w:rPr>
              <w:t>238.45496</w:t>
            </w:r>
          </w:p>
        </w:tc>
        <w:tc>
          <w:tcPr>
            <w:tcW w:w="1026" w:type="dxa"/>
            <w:noWrap/>
            <w:vAlign w:val="bottom"/>
            <w:hideMark/>
          </w:tcPr>
          <w:p w:rsidR="00D476E4" w:rsidRPr="008D23E3" w:rsidRDefault="00D476E4" w:rsidP="00D476E4">
            <w:pPr>
              <w:jc w:val="right"/>
              <w:rPr>
                <w:rFonts w:ascii="Arial" w:hAnsi="Arial" w:cs="Arial"/>
                <w:sz w:val="16"/>
                <w:szCs w:val="16"/>
              </w:rPr>
            </w:pPr>
            <w:r w:rsidRPr="008D23E3">
              <w:rPr>
                <w:rFonts w:ascii="Arial" w:hAnsi="Arial" w:cs="Arial"/>
                <w:sz w:val="16"/>
                <w:szCs w:val="16"/>
              </w:rPr>
              <w:t>0.00161</w:t>
            </w:r>
          </w:p>
        </w:tc>
        <w:tc>
          <w:tcPr>
            <w:tcW w:w="795" w:type="dxa"/>
            <w:noWrap/>
            <w:vAlign w:val="bottom"/>
            <w:hideMark/>
          </w:tcPr>
          <w:p w:rsidR="00D476E4" w:rsidRPr="008D23E3" w:rsidRDefault="00D476E4" w:rsidP="00D476E4">
            <w:pPr>
              <w:jc w:val="right"/>
              <w:rPr>
                <w:rFonts w:ascii="Arial" w:hAnsi="Arial" w:cs="Arial"/>
                <w:sz w:val="16"/>
                <w:szCs w:val="16"/>
              </w:rPr>
            </w:pPr>
            <w:r w:rsidRPr="008D23E3">
              <w:rPr>
                <w:rFonts w:ascii="Arial" w:hAnsi="Arial" w:cs="Arial"/>
                <w:sz w:val="16"/>
                <w:szCs w:val="16"/>
              </w:rPr>
              <w:t>0.00817</w:t>
            </w:r>
          </w:p>
        </w:tc>
      </w:tr>
      <w:tr w:rsidR="00D476E4" w:rsidRPr="00885FAA" w:rsidTr="00D476E4">
        <w:trPr>
          <w:trHeight w:val="255"/>
        </w:trPr>
        <w:tc>
          <w:tcPr>
            <w:tcW w:w="6340" w:type="dxa"/>
            <w:noWrap/>
            <w:hideMark/>
          </w:tcPr>
          <w:p w:rsidR="00D476E4" w:rsidRPr="00885FAA" w:rsidRDefault="00D476E4" w:rsidP="00D476E4">
            <w:pPr>
              <w:spacing w:line="360" w:lineRule="auto"/>
              <w:contextualSpacing/>
              <w:rPr>
                <w:sz w:val="16"/>
                <w:szCs w:val="16"/>
              </w:rPr>
            </w:pPr>
            <w:r w:rsidRPr="00885FAA">
              <w:rPr>
                <w:sz w:val="16"/>
                <w:szCs w:val="16"/>
              </w:rPr>
              <w:t>Manufacture of tobacco products</w:t>
            </w:r>
          </w:p>
        </w:tc>
        <w:tc>
          <w:tcPr>
            <w:tcW w:w="1415" w:type="dxa"/>
            <w:noWrap/>
            <w:vAlign w:val="bottom"/>
            <w:hideMark/>
          </w:tcPr>
          <w:p w:rsidR="00D476E4" w:rsidRPr="008D23E3" w:rsidRDefault="00D476E4" w:rsidP="00D476E4">
            <w:pPr>
              <w:jc w:val="right"/>
              <w:rPr>
                <w:rFonts w:ascii="Arial" w:hAnsi="Arial" w:cs="Arial"/>
                <w:sz w:val="16"/>
                <w:szCs w:val="16"/>
              </w:rPr>
            </w:pPr>
            <w:r w:rsidRPr="008D23E3">
              <w:rPr>
                <w:rFonts w:ascii="Arial" w:hAnsi="Arial" w:cs="Arial"/>
                <w:sz w:val="16"/>
                <w:szCs w:val="16"/>
              </w:rPr>
              <w:t>69.11326</w:t>
            </w:r>
          </w:p>
        </w:tc>
        <w:tc>
          <w:tcPr>
            <w:tcW w:w="1026" w:type="dxa"/>
            <w:noWrap/>
            <w:vAlign w:val="bottom"/>
            <w:hideMark/>
          </w:tcPr>
          <w:p w:rsidR="00D476E4" w:rsidRPr="008D23E3" w:rsidRDefault="00D476E4" w:rsidP="00D476E4">
            <w:pPr>
              <w:jc w:val="right"/>
              <w:rPr>
                <w:rFonts w:ascii="Arial" w:hAnsi="Arial" w:cs="Arial"/>
                <w:sz w:val="16"/>
                <w:szCs w:val="16"/>
              </w:rPr>
            </w:pPr>
            <w:r w:rsidRPr="008D23E3">
              <w:rPr>
                <w:rFonts w:ascii="Arial" w:hAnsi="Arial" w:cs="Arial"/>
                <w:sz w:val="16"/>
                <w:szCs w:val="16"/>
              </w:rPr>
              <w:t>0.00044</w:t>
            </w:r>
          </w:p>
        </w:tc>
        <w:tc>
          <w:tcPr>
            <w:tcW w:w="795" w:type="dxa"/>
            <w:noWrap/>
            <w:vAlign w:val="bottom"/>
            <w:hideMark/>
          </w:tcPr>
          <w:p w:rsidR="00D476E4" w:rsidRPr="008D23E3" w:rsidRDefault="00D476E4" w:rsidP="00D476E4">
            <w:pPr>
              <w:jc w:val="right"/>
              <w:rPr>
                <w:rFonts w:ascii="Arial" w:hAnsi="Arial" w:cs="Arial"/>
                <w:sz w:val="16"/>
                <w:szCs w:val="16"/>
              </w:rPr>
            </w:pPr>
            <w:r w:rsidRPr="008D23E3">
              <w:rPr>
                <w:rFonts w:ascii="Arial" w:hAnsi="Arial" w:cs="Arial"/>
                <w:sz w:val="16"/>
                <w:szCs w:val="16"/>
              </w:rPr>
              <w:t>0.00227</w:t>
            </w:r>
          </w:p>
        </w:tc>
      </w:tr>
      <w:tr w:rsidR="00D476E4" w:rsidRPr="00885FAA" w:rsidTr="00D476E4">
        <w:trPr>
          <w:trHeight w:val="255"/>
        </w:trPr>
        <w:tc>
          <w:tcPr>
            <w:tcW w:w="6340" w:type="dxa"/>
            <w:noWrap/>
            <w:hideMark/>
          </w:tcPr>
          <w:p w:rsidR="00D476E4" w:rsidRPr="00885FAA" w:rsidRDefault="00D476E4" w:rsidP="00D476E4">
            <w:pPr>
              <w:spacing w:line="360" w:lineRule="auto"/>
              <w:contextualSpacing/>
              <w:rPr>
                <w:sz w:val="16"/>
                <w:szCs w:val="16"/>
              </w:rPr>
            </w:pPr>
            <w:r w:rsidRPr="00885FAA">
              <w:rPr>
                <w:sz w:val="16"/>
                <w:szCs w:val="16"/>
              </w:rPr>
              <w:t>Manufacture of textiles [26-32]</w:t>
            </w:r>
          </w:p>
        </w:tc>
        <w:tc>
          <w:tcPr>
            <w:tcW w:w="1415" w:type="dxa"/>
            <w:noWrap/>
            <w:vAlign w:val="bottom"/>
            <w:hideMark/>
          </w:tcPr>
          <w:p w:rsidR="00D476E4" w:rsidRPr="008D23E3" w:rsidRDefault="00D476E4" w:rsidP="00D476E4">
            <w:pPr>
              <w:jc w:val="right"/>
              <w:rPr>
                <w:rFonts w:ascii="Arial" w:hAnsi="Arial" w:cs="Arial"/>
                <w:sz w:val="16"/>
                <w:szCs w:val="16"/>
              </w:rPr>
            </w:pPr>
            <w:r w:rsidRPr="008D23E3">
              <w:rPr>
                <w:rFonts w:ascii="Arial" w:hAnsi="Arial" w:cs="Arial"/>
                <w:sz w:val="16"/>
                <w:szCs w:val="16"/>
              </w:rPr>
              <w:t>3856.15420</w:t>
            </w:r>
          </w:p>
        </w:tc>
        <w:tc>
          <w:tcPr>
            <w:tcW w:w="1026" w:type="dxa"/>
            <w:noWrap/>
            <w:vAlign w:val="bottom"/>
            <w:hideMark/>
          </w:tcPr>
          <w:p w:rsidR="00D476E4" w:rsidRPr="008D23E3" w:rsidRDefault="00D476E4" w:rsidP="00D476E4">
            <w:pPr>
              <w:jc w:val="right"/>
              <w:rPr>
                <w:rFonts w:ascii="Arial" w:hAnsi="Arial" w:cs="Arial"/>
                <w:sz w:val="16"/>
                <w:szCs w:val="16"/>
              </w:rPr>
            </w:pPr>
            <w:r w:rsidRPr="008D23E3">
              <w:rPr>
                <w:rFonts w:ascii="Arial" w:hAnsi="Arial" w:cs="Arial"/>
                <w:sz w:val="16"/>
                <w:szCs w:val="16"/>
              </w:rPr>
              <w:t>0.02229</w:t>
            </w:r>
          </w:p>
        </w:tc>
        <w:tc>
          <w:tcPr>
            <w:tcW w:w="795" w:type="dxa"/>
            <w:noWrap/>
            <w:vAlign w:val="bottom"/>
            <w:hideMark/>
          </w:tcPr>
          <w:p w:rsidR="00D476E4" w:rsidRPr="008D23E3" w:rsidRDefault="00D476E4" w:rsidP="00D476E4">
            <w:pPr>
              <w:jc w:val="right"/>
              <w:rPr>
                <w:rFonts w:ascii="Arial" w:hAnsi="Arial" w:cs="Arial"/>
                <w:sz w:val="16"/>
                <w:szCs w:val="16"/>
              </w:rPr>
            </w:pPr>
            <w:r w:rsidRPr="008D23E3">
              <w:rPr>
                <w:rFonts w:ascii="Arial" w:hAnsi="Arial" w:cs="Arial"/>
                <w:sz w:val="16"/>
                <w:szCs w:val="16"/>
              </w:rPr>
              <w:t>0.09645</w:t>
            </w:r>
          </w:p>
        </w:tc>
      </w:tr>
      <w:tr w:rsidR="00D476E4" w:rsidRPr="00885FAA" w:rsidTr="00D476E4">
        <w:trPr>
          <w:trHeight w:val="255"/>
        </w:trPr>
        <w:tc>
          <w:tcPr>
            <w:tcW w:w="6340" w:type="dxa"/>
            <w:noWrap/>
            <w:hideMark/>
          </w:tcPr>
          <w:p w:rsidR="00D476E4" w:rsidRPr="00885FAA" w:rsidRDefault="00D476E4" w:rsidP="00D476E4">
            <w:pPr>
              <w:spacing w:line="360" w:lineRule="auto"/>
              <w:contextualSpacing/>
              <w:rPr>
                <w:sz w:val="16"/>
                <w:szCs w:val="16"/>
              </w:rPr>
            </w:pPr>
            <w:r w:rsidRPr="00885FAA">
              <w:rPr>
                <w:sz w:val="16"/>
                <w:szCs w:val="16"/>
              </w:rPr>
              <w:t>Wood, furniture, paper, publishing [33-37, 67]</w:t>
            </w:r>
          </w:p>
        </w:tc>
        <w:tc>
          <w:tcPr>
            <w:tcW w:w="1415" w:type="dxa"/>
            <w:noWrap/>
            <w:vAlign w:val="bottom"/>
            <w:hideMark/>
          </w:tcPr>
          <w:p w:rsidR="00D476E4" w:rsidRPr="008D23E3" w:rsidRDefault="00D476E4" w:rsidP="00D476E4">
            <w:pPr>
              <w:jc w:val="right"/>
              <w:rPr>
                <w:rFonts w:ascii="Arial" w:hAnsi="Arial" w:cs="Arial"/>
                <w:sz w:val="16"/>
                <w:szCs w:val="16"/>
              </w:rPr>
            </w:pPr>
            <w:r w:rsidRPr="008D23E3">
              <w:rPr>
                <w:rFonts w:ascii="Arial" w:hAnsi="Arial" w:cs="Arial"/>
                <w:sz w:val="16"/>
                <w:szCs w:val="16"/>
              </w:rPr>
              <w:t>4244.42071</w:t>
            </w:r>
          </w:p>
        </w:tc>
        <w:tc>
          <w:tcPr>
            <w:tcW w:w="1026" w:type="dxa"/>
            <w:noWrap/>
            <w:vAlign w:val="bottom"/>
            <w:hideMark/>
          </w:tcPr>
          <w:p w:rsidR="00D476E4" w:rsidRPr="008D23E3" w:rsidRDefault="00D476E4" w:rsidP="00D476E4">
            <w:pPr>
              <w:jc w:val="right"/>
              <w:rPr>
                <w:rFonts w:ascii="Arial" w:hAnsi="Arial" w:cs="Arial"/>
                <w:sz w:val="16"/>
                <w:szCs w:val="16"/>
              </w:rPr>
            </w:pPr>
            <w:r w:rsidRPr="008D23E3">
              <w:rPr>
                <w:rFonts w:ascii="Arial" w:hAnsi="Arial" w:cs="Arial"/>
                <w:sz w:val="16"/>
                <w:szCs w:val="16"/>
              </w:rPr>
              <w:t>0.03166</w:t>
            </w:r>
          </w:p>
        </w:tc>
        <w:tc>
          <w:tcPr>
            <w:tcW w:w="795" w:type="dxa"/>
            <w:noWrap/>
            <w:vAlign w:val="bottom"/>
            <w:hideMark/>
          </w:tcPr>
          <w:p w:rsidR="00D476E4" w:rsidRPr="008D23E3" w:rsidRDefault="00D476E4" w:rsidP="00D476E4">
            <w:pPr>
              <w:jc w:val="right"/>
              <w:rPr>
                <w:rFonts w:ascii="Arial" w:hAnsi="Arial" w:cs="Arial"/>
                <w:sz w:val="16"/>
                <w:szCs w:val="16"/>
              </w:rPr>
            </w:pPr>
            <w:r w:rsidRPr="008D23E3">
              <w:rPr>
                <w:rFonts w:ascii="Arial" w:hAnsi="Arial" w:cs="Arial"/>
                <w:sz w:val="16"/>
                <w:szCs w:val="16"/>
              </w:rPr>
              <w:t>0.15130</w:t>
            </w:r>
          </w:p>
        </w:tc>
      </w:tr>
      <w:tr w:rsidR="00D476E4" w:rsidRPr="00885FAA" w:rsidTr="00D476E4">
        <w:trPr>
          <w:trHeight w:val="255"/>
        </w:trPr>
        <w:tc>
          <w:tcPr>
            <w:tcW w:w="6340" w:type="dxa"/>
            <w:noWrap/>
            <w:hideMark/>
          </w:tcPr>
          <w:p w:rsidR="00D476E4" w:rsidRPr="00885FAA" w:rsidRDefault="00D476E4" w:rsidP="00D476E4">
            <w:pPr>
              <w:spacing w:line="360" w:lineRule="auto"/>
              <w:contextualSpacing/>
              <w:rPr>
                <w:sz w:val="16"/>
                <w:szCs w:val="16"/>
              </w:rPr>
            </w:pPr>
            <w:r w:rsidRPr="00885FAA">
              <w:rPr>
                <w:sz w:val="16"/>
                <w:szCs w:val="16"/>
              </w:rPr>
              <w:t>Manufacture of fertilizers, pesticides, other agro-chemicals, paints, and varnishes [40-41]</w:t>
            </w:r>
          </w:p>
        </w:tc>
        <w:tc>
          <w:tcPr>
            <w:tcW w:w="1415" w:type="dxa"/>
            <w:noWrap/>
            <w:vAlign w:val="bottom"/>
            <w:hideMark/>
          </w:tcPr>
          <w:p w:rsidR="00D476E4" w:rsidRPr="008D23E3" w:rsidRDefault="00D476E4" w:rsidP="00D476E4">
            <w:pPr>
              <w:jc w:val="right"/>
              <w:rPr>
                <w:rFonts w:ascii="Arial" w:hAnsi="Arial" w:cs="Arial"/>
                <w:sz w:val="16"/>
                <w:szCs w:val="16"/>
              </w:rPr>
            </w:pPr>
            <w:r w:rsidRPr="008D23E3">
              <w:rPr>
                <w:rFonts w:ascii="Arial" w:hAnsi="Arial" w:cs="Arial"/>
                <w:sz w:val="16"/>
                <w:szCs w:val="16"/>
              </w:rPr>
              <w:t>3306.38068</w:t>
            </w:r>
          </w:p>
        </w:tc>
        <w:tc>
          <w:tcPr>
            <w:tcW w:w="1026" w:type="dxa"/>
            <w:noWrap/>
            <w:vAlign w:val="bottom"/>
            <w:hideMark/>
          </w:tcPr>
          <w:p w:rsidR="00D476E4" w:rsidRPr="008D23E3" w:rsidRDefault="00D476E4" w:rsidP="00D476E4">
            <w:pPr>
              <w:jc w:val="right"/>
              <w:rPr>
                <w:rFonts w:ascii="Arial" w:hAnsi="Arial" w:cs="Arial"/>
                <w:sz w:val="16"/>
                <w:szCs w:val="16"/>
              </w:rPr>
            </w:pPr>
            <w:r w:rsidRPr="008D23E3">
              <w:rPr>
                <w:rFonts w:ascii="Arial" w:hAnsi="Arial" w:cs="Arial"/>
                <w:sz w:val="16"/>
                <w:szCs w:val="16"/>
              </w:rPr>
              <w:t>0.01369</w:t>
            </w:r>
          </w:p>
        </w:tc>
        <w:tc>
          <w:tcPr>
            <w:tcW w:w="795" w:type="dxa"/>
            <w:noWrap/>
            <w:vAlign w:val="bottom"/>
            <w:hideMark/>
          </w:tcPr>
          <w:p w:rsidR="00D476E4" w:rsidRPr="008D23E3" w:rsidRDefault="00D476E4" w:rsidP="00D476E4">
            <w:pPr>
              <w:jc w:val="right"/>
              <w:rPr>
                <w:rFonts w:ascii="Arial" w:hAnsi="Arial" w:cs="Arial"/>
                <w:sz w:val="16"/>
                <w:szCs w:val="16"/>
              </w:rPr>
            </w:pPr>
            <w:r w:rsidRPr="008D23E3">
              <w:rPr>
                <w:rFonts w:ascii="Arial" w:hAnsi="Arial" w:cs="Arial"/>
                <w:sz w:val="16"/>
                <w:szCs w:val="16"/>
              </w:rPr>
              <w:t>0.08067</w:t>
            </w:r>
          </w:p>
        </w:tc>
      </w:tr>
      <w:tr w:rsidR="00D476E4" w:rsidRPr="00885FAA" w:rsidTr="00D476E4">
        <w:trPr>
          <w:trHeight w:val="255"/>
        </w:trPr>
        <w:tc>
          <w:tcPr>
            <w:tcW w:w="6340" w:type="dxa"/>
            <w:noWrap/>
            <w:hideMark/>
          </w:tcPr>
          <w:p w:rsidR="00D476E4" w:rsidRPr="00885FAA" w:rsidRDefault="00D476E4" w:rsidP="00D476E4">
            <w:pPr>
              <w:spacing w:line="360" w:lineRule="auto"/>
              <w:contextualSpacing/>
              <w:rPr>
                <w:sz w:val="16"/>
                <w:szCs w:val="16"/>
              </w:rPr>
            </w:pPr>
            <w:r w:rsidRPr="00885FAA">
              <w:rPr>
                <w:sz w:val="16"/>
                <w:szCs w:val="16"/>
              </w:rPr>
              <w:t>Manufacture of coke, refined petroleum prod, basic chemicals, rubber, plastics, glass, ceramic prod., non-metallic minerals, etc. [38-39, 42-49]</w:t>
            </w:r>
          </w:p>
        </w:tc>
        <w:tc>
          <w:tcPr>
            <w:tcW w:w="1415" w:type="dxa"/>
            <w:noWrap/>
            <w:vAlign w:val="bottom"/>
            <w:hideMark/>
          </w:tcPr>
          <w:p w:rsidR="00D476E4" w:rsidRPr="008D23E3" w:rsidRDefault="00D476E4" w:rsidP="00D476E4">
            <w:pPr>
              <w:jc w:val="right"/>
              <w:rPr>
                <w:rFonts w:ascii="Arial" w:hAnsi="Arial" w:cs="Arial"/>
                <w:sz w:val="16"/>
                <w:szCs w:val="16"/>
              </w:rPr>
            </w:pPr>
            <w:r w:rsidRPr="008D23E3">
              <w:rPr>
                <w:rFonts w:ascii="Arial" w:hAnsi="Arial" w:cs="Arial"/>
                <w:sz w:val="16"/>
                <w:szCs w:val="16"/>
              </w:rPr>
              <w:t>31472.09072</w:t>
            </w:r>
          </w:p>
        </w:tc>
        <w:tc>
          <w:tcPr>
            <w:tcW w:w="1026" w:type="dxa"/>
            <w:noWrap/>
            <w:vAlign w:val="bottom"/>
            <w:hideMark/>
          </w:tcPr>
          <w:p w:rsidR="00D476E4" w:rsidRPr="008D23E3" w:rsidRDefault="00D476E4" w:rsidP="00D476E4">
            <w:pPr>
              <w:jc w:val="right"/>
              <w:rPr>
                <w:rFonts w:ascii="Arial" w:hAnsi="Arial" w:cs="Arial"/>
                <w:sz w:val="16"/>
                <w:szCs w:val="16"/>
              </w:rPr>
            </w:pPr>
            <w:r w:rsidRPr="008D23E3">
              <w:rPr>
                <w:rFonts w:ascii="Arial" w:hAnsi="Arial" w:cs="Arial"/>
                <w:sz w:val="16"/>
                <w:szCs w:val="16"/>
              </w:rPr>
              <w:t>0.28392</w:t>
            </w:r>
          </w:p>
        </w:tc>
        <w:tc>
          <w:tcPr>
            <w:tcW w:w="795" w:type="dxa"/>
            <w:noWrap/>
            <w:vAlign w:val="bottom"/>
            <w:hideMark/>
          </w:tcPr>
          <w:p w:rsidR="00D476E4" w:rsidRPr="008D23E3" w:rsidRDefault="00D476E4" w:rsidP="00D476E4">
            <w:pPr>
              <w:jc w:val="right"/>
              <w:rPr>
                <w:rFonts w:ascii="Arial" w:hAnsi="Arial" w:cs="Arial"/>
                <w:sz w:val="16"/>
                <w:szCs w:val="16"/>
              </w:rPr>
            </w:pPr>
            <w:r w:rsidRPr="008D23E3">
              <w:rPr>
                <w:rFonts w:ascii="Arial" w:hAnsi="Arial" w:cs="Arial"/>
                <w:sz w:val="16"/>
                <w:szCs w:val="16"/>
              </w:rPr>
              <w:t>0.78134</w:t>
            </w:r>
          </w:p>
        </w:tc>
      </w:tr>
      <w:tr w:rsidR="00D476E4" w:rsidRPr="00885FAA" w:rsidTr="00D476E4">
        <w:trPr>
          <w:trHeight w:val="255"/>
        </w:trPr>
        <w:tc>
          <w:tcPr>
            <w:tcW w:w="6340" w:type="dxa"/>
            <w:noWrap/>
            <w:hideMark/>
          </w:tcPr>
          <w:p w:rsidR="00D476E4" w:rsidRPr="00885FAA" w:rsidRDefault="00D476E4" w:rsidP="00D476E4">
            <w:pPr>
              <w:spacing w:line="360" w:lineRule="auto"/>
              <w:contextualSpacing/>
              <w:rPr>
                <w:sz w:val="16"/>
                <w:szCs w:val="16"/>
              </w:rPr>
            </w:pPr>
            <w:r w:rsidRPr="00885FAA">
              <w:rPr>
                <w:sz w:val="16"/>
                <w:szCs w:val="16"/>
              </w:rPr>
              <w:t>Manufacture of ferrous, non-ferrous metals, various machinary, vehicles, etc. [50-66, 68]</w:t>
            </w:r>
          </w:p>
        </w:tc>
        <w:tc>
          <w:tcPr>
            <w:tcW w:w="1415" w:type="dxa"/>
            <w:noWrap/>
            <w:vAlign w:val="bottom"/>
            <w:hideMark/>
          </w:tcPr>
          <w:p w:rsidR="00D476E4" w:rsidRPr="008D23E3" w:rsidRDefault="00D476E4" w:rsidP="00D476E4">
            <w:pPr>
              <w:jc w:val="right"/>
              <w:rPr>
                <w:rFonts w:ascii="Arial" w:hAnsi="Arial" w:cs="Arial"/>
                <w:sz w:val="16"/>
                <w:szCs w:val="16"/>
              </w:rPr>
            </w:pPr>
            <w:r w:rsidRPr="008D23E3">
              <w:rPr>
                <w:rFonts w:ascii="Arial" w:hAnsi="Arial" w:cs="Arial"/>
                <w:sz w:val="16"/>
                <w:szCs w:val="16"/>
              </w:rPr>
              <w:t>31355.83398</w:t>
            </w:r>
          </w:p>
        </w:tc>
        <w:tc>
          <w:tcPr>
            <w:tcW w:w="1026" w:type="dxa"/>
            <w:noWrap/>
            <w:vAlign w:val="bottom"/>
            <w:hideMark/>
          </w:tcPr>
          <w:p w:rsidR="00D476E4" w:rsidRPr="008D23E3" w:rsidRDefault="00D476E4" w:rsidP="00D476E4">
            <w:pPr>
              <w:jc w:val="right"/>
              <w:rPr>
                <w:rFonts w:ascii="Arial" w:hAnsi="Arial" w:cs="Arial"/>
                <w:sz w:val="16"/>
                <w:szCs w:val="16"/>
              </w:rPr>
            </w:pPr>
            <w:r w:rsidRPr="008D23E3">
              <w:rPr>
                <w:rFonts w:ascii="Arial" w:hAnsi="Arial" w:cs="Arial"/>
                <w:sz w:val="16"/>
                <w:szCs w:val="16"/>
              </w:rPr>
              <w:t>0.38018</w:t>
            </w:r>
          </w:p>
        </w:tc>
        <w:tc>
          <w:tcPr>
            <w:tcW w:w="795" w:type="dxa"/>
            <w:noWrap/>
            <w:vAlign w:val="bottom"/>
            <w:hideMark/>
          </w:tcPr>
          <w:p w:rsidR="00D476E4" w:rsidRPr="008D23E3" w:rsidRDefault="00D476E4" w:rsidP="00D476E4">
            <w:pPr>
              <w:jc w:val="right"/>
              <w:rPr>
                <w:rFonts w:ascii="Arial" w:hAnsi="Arial" w:cs="Arial"/>
                <w:sz w:val="16"/>
                <w:szCs w:val="16"/>
              </w:rPr>
            </w:pPr>
            <w:r w:rsidRPr="008D23E3">
              <w:rPr>
                <w:rFonts w:ascii="Arial" w:hAnsi="Arial" w:cs="Arial"/>
                <w:sz w:val="16"/>
                <w:szCs w:val="16"/>
              </w:rPr>
              <w:t>0.50738</w:t>
            </w:r>
          </w:p>
        </w:tc>
      </w:tr>
      <w:tr w:rsidR="00D476E4" w:rsidRPr="00885FAA" w:rsidTr="00D476E4">
        <w:trPr>
          <w:trHeight w:val="255"/>
        </w:trPr>
        <w:tc>
          <w:tcPr>
            <w:tcW w:w="6340" w:type="dxa"/>
            <w:noWrap/>
            <w:hideMark/>
          </w:tcPr>
          <w:p w:rsidR="00D476E4" w:rsidRPr="00885FAA" w:rsidRDefault="00D476E4" w:rsidP="00D476E4">
            <w:pPr>
              <w:spacing w:line="360" w:lineRule="auto"/>
              <w:contextualSpacing/>
              <w:rPr>
                <w:sz w:val="16"/>
                <w:szCs w:val="16"/>
              </w:rPr>
            </w:pPr>
            <w:r w:rsidRPr="00885FAA">
              <w:rPr>
                <w:sz w:val="16"/>
                <w:szCs w:val="16"/>
              </w:rPr>
              <w:t>Energy production and distribution [69-70]</w:t>
            </w:r>
          </w:p>
        </w:tc>
        <w:tc>
          <w:tcPr>
            <w:tcW w:w="1415" w:type="dxa"/>
            <w:noWrap/>
            <w:vAlign w:val="bottom"/>
            <w:hideMark/>
          </w:tcPr>
          <w:p w:rsidR="00D476E4" w:rsidRPr="008D23E3" w:rsidRDefault="00D476E4" w:rsidP="00D476E4">
            <w:pPr>
              <w:jc w:val="right"/>
              <w:rPr>
                <w:rFonts w:ascii="Arial" w:hAnsi="Arial" w:cs="Arial"/>
                <w:sz w:val="16"/>
                <w:szCs w:val="16"/>
              </w:rPr>
            </w:pPr>
            <w:r w:rsidRPr="008D23E3">
              <w:rPr>
                <w:rFonts w:ascii="Arial" w:hAnsi="Arial" w:cs="Arial"/>
                <w:sz w:val="16"/>
                <w:szCs w:val="16"/>
              </w:rPr>
              <w:t>139030.40457</w:t>
            </w:r>
          </w:p>
        </w:tc>
        <w:tc>
          <w:tcPr>
            <w:tcW w:w="1026" w:type="dxa"/>
            <w:noWrap/>
            <w:vAlign w:val="bottom"/>
            <w:hideMark/>
          </w:tcPr>
          <w:p w:rsidR="00D476E4" w:rsidRPr="008D23E3" w:rsidRDefault="00D476E4" w:rsidP="00D476E4">
            <w:pPr>
              <w:jc w:val="right"/>
              <w:rPr>
                <w:rFonts w:ascii="Arial" w:hAnsi="Arial" w:cs="Arial"/>
                <w:sz w:val="16"/>
                <w:szCs w:val="16"/>
              </w:rPr>
            </w:pPr>
            <w:r w:rsidRPr="008D23E3">
              <w:rPr>
                <w:rFonts w:ascii="Arial" w:hAnsi="Arial" w:cs="Arial"/>
                <w:sz w:val="16"/>
                <w:szCs w:val="16"/>
              </w:rPr>
              <w:t>1.63592</w:t>
            </w:r>
          </w:p>
        </w:tc>
        <w:tc>
          <w:tcPr>
            <w:tcW w:w="795" w:type="dxa"/>
            <w:noWrap/>
            <w:vAlign w:val="bottom"/>
            <w:hideMark/>
          </w:tcPr>
          <w:p w:rsidR="00D476E4" w:rsidRPr="008D23E3" w:rsidRDefault="00D476E4" w:rsidP="00D476E4">
            <w:pPr>
              <w:jc w:val="right"/>
              <w:rPr>
                <w:rFonts w:ascii="Arial" w:hAnsi="Arial" w:cs="Arial"/>
                <w:sz w:val="16"/>
                <w:szCs w:val="16"/>
              </w:rPr>
            </w:pPr>
            <w:r w:rsidRPr="008D23E3">
              <w:rPr>
                <w:rFonts w:ascii="Arial" w:hAnsi="Arial" w:cs="Arial"/>
                <w:sz w:val="16"/>
                <w:szCs w:val="16"/>
              </w:rPr>
              <w:t>2.48034</w:t>
            </w:r>
          </w:p>
        </w:tc>
      </w:tr>
      <w:tr w:rsidR="00D476E4" w:rsidRPr="00885FAA" w:rsidTr="00D476E4">
        <w:trPr>
          <w:trHeight w:val="255"/>
        </w:trPr>
        <w:tc>
          <w:tcPr>
            <w:tcW w:w="6340" w:type="dxa"/>
            <w:noWrap/>
            <w:hideMark/>
          </w:tcPr>
          <w:p w:rsidR="00D476E4" w:rsidRPr="00885FAA" w:rsidRDefault="00D476E4" w:rsidP="00D476E4">
            <w:pPr>
              <w:spacing w:line="360" w:lineRule="auto"/>
              <w:contextualSpacing/>
              <w:rPr>
                <w:sz w:val="16"/>
                <w:szCs w:val="16"/>
              </w:rPr>
            </w:pPr>
            <w:r w:rsidRPr="00885FAA">
              <w:rPr>
                <w:sz w:val="16"/>
                <w:szCs w:val="16"/>
              </w:rPr>
              <w:t>Water and Construction [71-72]</w:t>
            </w:r>
          </w:p>
        </w:tc>
        <w:tc>
          <w:tcPr>
            <w:tcW w:w="1415" w:type="dxa"/>
            <w:noWrap/>
            <w:vAlign w:val="bottom"/>
            <w:hideMark/>
          </w:tcPr>
          <w:p w:rsidR="00D476E4" w:rsidRPr="008D23E3" w:rsidRDefault="00D476E4" w:rsidP="00D476E4">
            <w:pPr>
              <w:jc w:val="right"/>
              <w:rPr>
                <w:rFonts w:ascii="Arial" w:hAnsi="Arial" w:cs="Arial"/>
                <w:sz w:val="16"/>
                <w:szCs w:val="16"/>
              </w:rPr>
            </w:pPr>
            <w:r w:rsidRPr="008D23E3">
              <w:rPr>
                <w:rFonts w:ascii="Arial" w:hAnsi="Arial" w:cs="Arial"/>
                <w:sz w:val="16"/>
                <w:szCs w:val="16"/>
              </w:rPr>
              <w:t>5213.77186</w:t>
            </w:r>
          </w:p>
        </w:tc>
        <w:tc>
          <w:tcPr>
            <w:tcW w:w="1026" w:type="dxa"/>
            <w:noWrap/>
            <w:vAlign w:val="bottom"/>
            <w:hideMark/>
          </w:tcPr>
          <w:p w:rsidR="00D476E4" w:rsidRPr="008D23E3" w:rsidRDefault="00D476E4" w:rsidP="00D476E4">
            <w:pPr>
              <w:jc w:val="right"/>
              <w:rPr>
                <w:rFonts w:ascii="Arial" w:hAnsi="Arial" w:cs="Arial"/>
                <w:sz w:val="16"/>
                <w:szCs w:val="16"/>
              </w:rPr>
            </w:pPr>
            <w:r w:rsidRPr="008D23E3">
              <w:rPr>
                <w:rFonts w:ascii="Arial" w:hAnsi="Arial" w:cs="Arial"/>
                <w:sz w:val="16"/>
                <w:szCs w:val="16"/>
              </w:rPr>
              <w:t>0.03476</w:t>
            </w:r>
          </w:p>
        </w:tc>
        <w:tc>
          <w:tcPr>
            <w:tcW w:w="795" w:type="dxa"/>
            <w:noWrap/>
            <w:vAlign w:val="bottom"/>
            <w:hideMark/>
          </w:tcPr>
          <w:p w:rsidR="00D476E4" w:rsidRPr="008D23E3" w:rsidRDefault="00D476E4" w:rsidP="00D476E4">
            <w:pPr>
              <w:jc w:val="right"/>
              <w:rPr>
                <w:rFonts w:ascii="Arial" w:hAnsi="Arial" w:cs="Arial"/>
                <w:sz w:val="16"/>
                <w:szCs w:val="16"/>
              </w:rPr>
            </w:pPr>
            <w:r w:rsidRPr="008D23E3">
              <w:rPr>
                <w:rFonts w:ascii="Arial" w:hAnsi="Arial" w:cs="Arial"/>
                <w:sz w:val="16"/>
                <w:szCs w:val="16"/>
              </w:rPr>
              <w:t>0.18006</w:t>
            </w:r>
          </w:p>
        </w:tc>
      </w:tr>
      <w:tr w:rsidR="00D476E4" w:rsidRPr="00885FAA" w:rsidTr="00D476E4">
        <w:trPr>
          <w:trHeight w:val="255"/>
        </w:trPr>
        <w:tc>
          <w:tcPr>
            <w:tcW w:w="6340" w:type="dxa"/>
            <w:noWrap/>
            <w:hideMark/>
          </w:tcPr>
          <w:p w:rsidR="00D476E4" w:rsidRPr="00885FAA" w:rsidRDefault="00D476E4" w:rsidP="00D476E4">
            <w:pPr>
              <w:spacing w:line="360" w:lineRule="auto"/>
              <w:contextualSpacing/>
              <w:rPr>
                <w:sz w:val="16"/>
                <w:szCs w:val="16"/>
              </w:rPr>
            </w:pPr>
            <w:r w:rsidRPr="00885FAA">
              <w:rPr>
                <w:sz w:val="16"/>
                <w:szCs w:val="16"/>
              </w:rPr>
              <w:t>Transport [73, 78-81]</w:t>
            </w:r>
          </w:p>
        </w:tc>
        <w:tc>
          <w:tcPr>
            <w:tcW w:w="1415" w:type="dxa"/>
            <w:noWrap/>
            <w:vAlign w:val="bottom"/>
            <w:hideMark/>
          </w:tcPr>
          <w:p w:rsidR="00D476E4" w:rsidRPr="008D23E3" w:rsidRDefault="00D476E4" w:rsidP="00D476E4">
            <w:pPr>
              <w:jc w:val="right"/>
              <w:rPr>
                <w:rFonts w:ascii="Arial" w:hAnsi="Arial" w:cs="Arial"/>
                <w:sz w:val="16"/>
                <w:szCs w:val="16"/>
              </w:rPr>
            </w:pPr>
            <w:r w:rsidRPr="008D23E3">
              <w:rPr>
                <w:rFonts w:ascii="Arial" w:hAnsi="Arial" w:cs="Arial"/>
                <w:sz w:val="16"/>
                <w:szCs w:val="16"/>
              </w:rPr>
              <w:t>17744.29186</w:t>
            </w:r>
          </w:p>
        </w:tc>
        <w:tc>
          <w:tcPr>
            <w:tcW w:w="1026" w:type="dxa"/>
            <w:noWrap/>
            <w:vAlign w:val="bottom"/>
            <w:hideMark/>
          </w:tcPr>
          <w:p w:rsidR="00D476E4" w:rsidRPr="008D23E3" w:rsidRDefault="00D476E4" w:rsidP="00D476E4">
            <w:pPr>
              <w:jc w:val="right"/>
              <w:rPr>
                <w:rFonts w:ascii="Arial" w:hAnsi="Arial" w:cs="Arial"/>
                <w:sz w:val="16"/>
                <w:szCs w:val="16"/>
              </w:rPr>
            </w:pPr>
            <w:r w:rsidRPr="008D23E3">
              <w:rPr>
                <w:rFonts w:ascii="Arial" w:hAnsi="Arial" w:cs="Arial"/>
                <w:sz w:val="16"/>
                <w:szCs w:val="16"/>
              </w:rPr>
              <w:t>0.10675</w:t>
            </w:r>
          </w:p>
        </w:tc>
        <w:tc>
          <w:tcPr>
            <w:tcW w:w="795" w:type="dxa"/>
            <w:noWrap/>
            <w:vAlign w:val="bottom"/>
            <w:hideMark/>
          </w:tcPr>
          <w:p w:rsidR="00D476E4" w:rsidRPr="008D23E3" w:rsidRDefault="00D476E4" w:rsidP="00D476E4">
            <w:pPr>
              <w:jc w:val="right"/>
              <w:rPr>
                <w:rFonts w:ascii="Arial" w:hAnsi="Arial" w:cs="Arial"/>
                <w:sz w:val="16"/>
                <w:szCs w:val="16"/>
              </w:rPr>
            </w:pPr>
            <w:r w:rsidRPr="008D23E3">
              <w:rPr>
                <w:rFonts w:ascii="Arial" w:hAnsi="Arial" w:cs="Arial"/>
                <w:sz w:val="16"/>
                <w:szCs w:val="16"/>
              </w:rPr>
              <w:t>0.58142</w:t>
            </w:r>
          </w:p>
        </w:tc>
      </w:tr>
      <w:tr w:rsidR="00D476E4" w:rsidRPr="00885FAA" w:rsidTr="00D476E4">
        <w:trPr>
          <w:trHeight w:val="255"/>
        </w:trPr>
        <w:tc>
          <w:tcPr>
            <w:tcW w:w="6340" w:type="dxa"/>
            <w:noWrap/>
            <w:hideMark/>
          </w:tcPr>
          <w:p w:rsidR="00D476E4" w:rsidRPr="00885FAA" w:rsidRDefault="00D476E4" w:rsidP="00D476E4">
            <w:pPr>
              <w:spacing w:line="360" w:lineRule="auto"/>
              <w:contextualSpacing/>
              <w:rPr>
                <w:sz w:val="16"/>
                <w:szCs w:val="16"/>
              </w:rPr>
            </w:pPr>
            <w:r w:rsidRPr="00885FAA">
              <w:rPr>
                <w:sz w:val="16"/>
                <w:szCs w:val="16"/>
              </w:rPr>
              <w:t>Services [74-77, 82-97]</w:t>
            </w:r>
          </w:p>
        </w:tc>
        <w:tc>
          <w:tcPr>
            <w:tcW w:w="1415" w:type="dxa"/>
            <w:noWrap/>
            <w:vAlign w:val="bottom"/>
            <w:hideMark/>
          </w:tcPr>
          <w:p w:rsidR="00D476E4" w:rsidRPr="008D23E3" w:rsidRDefault="00D476E4" w:rsidP="00D476E4">
            <w:pPr>
              <w:jc w:val="right"/>
              <w:rPr>
                <w:rFonts w:ascii="Arial" w:hAnsi="Arial" w:cs="Arial"/>
                <w:sz w:val="16"/>
                <w:szCs w:val="16"/>
              </w:rPr>
            </w:pPr>
            <w:r w:rsidRPr="008D23E3">
              <w:rPr>
                <w:rFonts w:ascii="Arial" w:hAnsi="Arial" w:cs="Arial"/>
                <w:sz w:val="16"/>
                <w:szCs w:val="16"/>
              </w:rPr>
              <w:t>18581.69995</w:t>
            </w:r>
          </w:p>
        </w:tc>
        <w:tc>
          <w:tcPr>
            <w:tcW w:w="1026" w:type="dxa"/>
            <w:noWrap/>
            <w:vAlign w:val="bottom"/>
            <w:hideMark/>
          </w:tcPr>
          <w:p w:rsidR="00D476E4" w:rsidRPr="008D23E3" w:rsidRDefault="00D476E4" w:rsidP="00D476E4">
            <w:pPr>
              <w:jc w:val="right"/>
              <w:rPr>
                <w:rFonts w:ascii="Arial" w:hAnsi="Arial" w:cs="Arial"/>
                <w:sz w:val="16"/>
                <w:szCs w:val="16"/>
              </w:rPr>
            </w:pPr>
            <w:r w:rsidRPr="008D23E3">
              <w:rPr>
                <w:rFonts w:ascii="Arial" w:hAnsi="Arial" w:cs="Arial"/>
                <w:sz w:val="16"/>
                <w:szCs w:val="16"/>
              </w:rPr>
              <w:t>0.17872</w:t>
            </w:r>
          </w:p>
        </w:tc>
        <w:tc>
          <w:tcPr>
            <w:tcW w:w="795" w:type="dxa"/>
            <w:noWrap/>
            <w:vAlign w:val="bottom"/>
            <w:hideMark/>
          </w:tcPr>
          <w:p w:rsidR="00D476E4" w:rsidRPr="008D23E3" w:rsidRDefault="00D476E4" w:rsidP="00D476E4">
            <w:pPr>
              <w:jc w:val="right"/>
              <w:rPr>
                <w:rFonts w:ascii="Arial" w:hAnsi="Arial" w:cs="Arial"/>
                <w:sz w:val="16"/>
                <w:szCs w:val="16"/>
              </w:rPr>
            </w:pPr>
            <w:r w:rsidRPr="008D23E3">
              <w:rPr>
                <w:rFonts w:ascii="Arial" w:hAnsi="Arial" w:cs="Arial"/>
                <w:sz w:val="16"/>
                <w:szCs w:val="16"/>
              </w:rPr>
              <w:t>0.41039</w:t>
            </w:r>
          </w:p>
        </w:tc>
      </w:tr>
      <w:tr w:rsidR="00D476E4" w:rsidRPr="00885FAA" w:rsidTr="00D476E4">
        <w:trPr>
          <w:trHeight w:val="255"/>
        </w:trPr>
        <w:tc>
          <w:tcPr>
            <w:tcW w:w="6340" w:type="dxa"/>
            <w:noWrap/>
            <w:hideMark/>
          </w:tcPr>
          <w:p w:rsidR="00D476E4" w:rsidRPr="00885FAA" w:rsidRDefault="00D476E4" w:rsidP="00D476E4">
            <w:pPr>
              <w:spacing w:line="360" w:lineRule="auto"/>
              <w:contextualSpacing/>
              <w:rPr>
                <w:sz w:val="16"/>
                <w:szCs w:val="16"/>
              </w:rPr>
            </w:pPr>
            <w:r w:rsidRPr="00885FAA">
              <w:rPr>
                <w:sz w:val="16"/>
                <w:szCs w:val="16"/>
              </w:rPr>
              <w:t>Total</w:t>
            </w:r>
          </w:p>
        </w:tc>
        <w:tc>
          <w:tcPr>
            <w:tcW w:w="1415" w:type="dxa"/>
            <w:noWrap/>
            <w:vAlign w:val="bottom"/>
            <w:hideMark/>
          </w:tcPr>
          <w:p w:rsidR="00D476E4" w:rsidRPr="008D23E3" w:rsidRDefault="00D476E4" w:rsidP="00D476E4">
            <w:pPr>
              <w:jc w:val="right"/>
              <w:rPr>
                <w:rFonts w:ascii="Arial" w:hAnsi="Arial" w:cs="Arial"/>
                <w:sz w:val="16"/>
                <w:szCs w:val="16"/>
              </w:rPr>
            </w:pPr>
            <w:r w:rsidRPr="008D23E3">
              <w:rPr>
                <w:rFonts w:ascii="Arial" w:hAnsi="Arial" w:cs="Arial"/>
                <w:sz w:val="16"/>
                <w:szCs w:val="16"/>
              </w:rPr>
              <w:t>271580.83</w:t>
            </w:r>
          </w:p>
        </w:tc>
        <w:tc>
          <w:tcPr>
            <w:tcW w:w="1026" w:type="dxa"/>
            <w:noWrap/>
            <w:vAlign w:val="bottom"/>
            <w:hideMark/>
          </w:tcPr>
          <w:p w:rsidR="00D476E4" w:rsidRPr="008D23E3" w:rsidRDefault="00D476E4" w:rsidP="00D476E4">
            <w:pPr>
              <w:jc w:val="right"/>
              <w:rPr>
                <w:rFonts w:ascii="Arial" w:hAnsi="Arial" w:cs="Arial"/>
                <w:sz w:val="16"/>
                <w:szCs w:val="16"/>
              </w:rPr>
            </w:pPr>
            <w:r w:rsidRPr="008D23E3">
              <w:rPr>
                <w:rFonts w:ascii="Arial" w:hAnsi="Arial" w:cs="Arial"/>
                <w:sz w:val="16"/>
                <w:szCs w:val="16"/>
              </w:rPr>
              <w:t>2.84</w:t>
            </w:r>
          </w:p>
        </w:tc>
        <w:tc>
          <w:tcPr>
            <w:tcW w:w="795" w:type="dxa"/>
            <w:noWrap/>
            <w:vAlign w:val="bottom"/>
            <w:hideMark/>
          </w:tcPr>
          <w:p w:rsidR="00D476E4" w:rsidRPr="008D23E3" w:rsidRDefault="00D476E4" w:rsidP="00D476E4">
            <w:pPr>
              <w:jc w:val="right"/>
              <w:rPr>
                <w:rFonts w:ascii="Arial" w:hAnsi="Arial" w:cs="Arial"/>
                <w:sz w:val="16"/>
                <w:szCs w:val="16"/>
              </w:rPr>
            </w:pPr>
            <w:r w:rsidRPr="008D23E3">
              <w:rPr>
                <w:rFonts w:ascii="Arial" w:hAnsi="Arial" w:cs="Arial"/>
                <w:sz w:val="16"/>
                <w:szCs w:val="16"/>
              </w:rPr>
              <w:t>5.76</w:t>
            </w:r>
          </w:p>
        </w:tc>
      </w:tr>
    </w:tbl>
    <w:p w:rsidR="00D476E4" w:rsidRDefault="00D476E4" w:rsidP="00D476E4">
      <w:pPr>
        <w:spacing w:line="360" w:lineRule="auto"/>
        <w:ind w:hanging="90"/>
        <w:contextualSpacing/>
        <w:jc w:val="both"/>
        <w:rPr>
          <w:sz w:val="20"/>
          <w:szCs w:val="20"/>
        </w:rPr>
      </w:pPr>
      <w:r w:rsidRPr="00E83407">
        <w:rPr>
          <w:sz w:val="20"/>
          <w:szCs w:val="20"/>
        </w:rPr>
        <w:t>Source: Author's Calculations</w:t>
      </w:r>
    </w:p>
    <w:p w:rsidR="008972A9" w:rsidRDefault="008972A9" w:rsidP="00D476E4">
      <w:pPr>
        <w:spacing w:line="360" w:lineRule="auto"/>
        <w:contextualSpacing/>
        <w:jc w:val="both"/>
        <w:rPr>
          <w:sz w:val="20"/>
          <w:szCs w:val="20"/>
        </w:rPr>
      </w:pPr>
    </w:p>
    <w:p w:rsidR="00D476E4" w:rsidRPr="00E976B6" w:rsidRDefault="008972A9" w:rsidP="00D476E4">
      <w:pPr>
        <w:spacing w:line="360" w:lineRule="auto"/>
        <w:contextualSpacing/>
        <w:jc w:val="both"/>
      </w:pPr>
      <w:r>
        <w:rPr>
          <w:sz w:val="20"/>
          <w:szCs w:val="20"/>
        </w:rPr>
        <w:tab/>
      </w:r>
      <w:r w:rsidR="00D476E4" w:rsidRPr="00E976B6">
        <w:t xml:space="preserve">Substituting natural gas in transportation sector by 40 percent for other fossil fuel types decreases its contribution and relative share in GHGs emissions to 6.53% in CO2, 3.76% in N2O </w:t>
      </w:r>
      <w:r w:rsidR="00D476E4" w:rsidRPr="00E976B6">
        <w:lastRenderedPageBreak/>
        <w:t>&amp; 10.09% in CH4. Before policy simulation, this sector was taking second position in all three GHGs emissions but it has taken 5th place in CO2 &amp; N2O emissions and 3rd place in CH4 emissions.  Manufacture of coke, refined petroleum prod, basic chemicals, rubber, plastics, glass, ceramic prod., non-metallic minerals, etc. sector  has secured 2</w:t>
      </w:r>
      <w:r w:rsidR="00D476E4" w:rsidRPr="00E976B6">
        <w:rPr>
          <w:vertAlign w:val="superscript"/>
        </w:rPr>
        <w:t>nd</w:t>
      </w:r>
      <w:r w:rsidR="00D476E4" w:rsidRPr="00E976B6">
        <w:t xml:space="preserve"> position in the emissions of CO2 &amp; CH2 and 3</w:t>
      </w:r>
      <w:r w:rsidR="00D476E4" w:rsidRPr="00E976B6">
        <w:rPr>
          <w:vertAlign w:val="superscript"/>
        </w:rPr>
        <w:t>rd</w:t>
      </w:r>
      <w:r w:rsidR="00D476E4" w:rsidRPr="00E976B6">
        <w:t xml:space="preserve"> in N2O whereas  manufacture of ferrous, non-ferrous metals, various machinery, vehicles, etc. sector has taken 3</w:t>
      </w:r>
      <w:r w:rsidR="00D476E4" w:rsidRPr="00E976B6">
        <w:rPr>
          <w:vertAlign w:val="superscript"/>
        </w:rPr>
        <w:t>rd</w:t>
      </w:r>
      <w:r w:rsidR="00D476E4" w:rsidRPr="00E976B6">
        <w:t xml:space="preserve"> place in CO2 &amp; N2O and 4</w:t>
      </w:r>
      <w:r w:rsidR="00D476E4" w:rsidRPr="00E976B6">
        <w:rPr>
          <w:vertAlign w:val="superscript"/>
        </w:rPr>
        <w:t>th</w:t>
      </w:r>
      <w:r w:rsidR="00D476E4" w:rsidRPr="00E976B6">
        <w:t xml:space="preserve"> place in CH4 emissions. The results are summarized in the chart 2 given below.</w:t>
      </w:r>
    </w:p>
    <w:p w:rsidR="00D476E4" w:rsidRDefault="00D476E4" w:rsidP="00D476E4">
      <w:pPr>
        <w:ind w:hanging="86"/>
        <w:contextualSpacing/>
        <w:jc w:val="center"/>
        <w:rPr>
          <w:b/>
          <w:sz w:val="20"/>
          <w:szCs w:val="20"/>
        </w:rPr>
      </w:pPr>
    </w:p>
    <w:p w:rsidR="00D476E4" w:rsidRDefault="00D476E4" w:rsidP="00D476E4">
      <w:pPr>
        <w:ind w:hanging="86"/>
        <w:contextualSpacing/>
        <w:jc w:val="center"/>
        <w:rPr>
          <w:sz w:val="20"/>
          <w:szCs w:val="20"/>
        </w:rPr>
      </w:pPr>
      <w:r w:rsidRPr="002E2B59">
        <w:rPr>
          <w:b/>
          <w:sz w:val="20"/>
          <w:szCs w:val="20"/>
        </w:rPr>
        <w:t xml:space="preserve">Chart </w:t>
      </w:r>
      <w:r>
        <w:rPr>
          <w:b/>
          <w:sz w:val="20"/>
          <w:szCs w:val="20"/>
        </w:rPr>
        <w:t>2</w:t>
      </w:r>
      <w:r w:rsidRPr="002E2B59">
        <w:rPr>
          <w:b/>
          <w:sz w:val="20"/>
          <w:szCs w:val="20"/>
        </w:rPr>
        <w:t>. GHGs Emissions Sectoral Shares in % for 2012 From 40 % Natural Gas Substitution in Transportation Sector</w:t>
      </w:r>
      <w:r w:rsidRPr="006D3295">
        <w:rPr>
          <w:noProof/>
          <w:sz w:val="20"/>
          <w:szCs w:val="20"/>
        </w:rPr>
        <w:drawing>
          <wp:inline distT="0" distB="0" distL="0" distR="0">
            <wp:extent cx="5943600" cy="4031615"/>
            <wp:effectExtent l="19050" t="0" r="19050" b="6985"/>
            <wp:docPr id="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D476E4" w:rsidRDefault="00D476E4" w:rsidP="00D476E4">
      <w:pPr>
        <w:contextualSpacing/>
        <w:jc w:val="both"/>
        <w:rPr>
          <w:sz w:val="20"/>
          <w:szCs w:val="20"/>
        </w:rPr>
      </w:pPr>
    </w:p>
    <w:p w:rsidR="00D476E4" w:rsidRPr="00E83407" w:rsidRDefault="00D476E4" w:rsidP="00D476E4">
      <w:pPr>
        <w:contextualSpacing/>
        <w:jc w:val="both"/>
        <w:rPr>
          <w:sz w:val="20"/>
          <w:szCs w:val="20"/>
        </w:rPr>
      </w:pPr>
      <w:r w:rsidRPr="00E83407">
        <w:rPr>
          <w:sz w:val="20"/>
          <w:szCs w:val="20"/>
        </w:rPr>
        <w:t>Source: Author's Calculations</w:t>
      </w:r>
    </w:p>
    <w:p w:rsidR="00D476E4" w:rsidRPr="002E2B59" w:rsidRDefault="00D476E4" w:rsidP="00D476E4">
      <w:pPr>
        <w:rPr>
          <w:sz w:val="20"/>
          <w:szCs w:val="20"/>
        </w:rPr>
      </w:pPr>
    </w:p>
    <w:p w:rsidR="0080487C" w:rsidRPr="00174DBB" w:rsidRDefault="0080487C" w:rsidP="0075203B">
      <w:pPr>
        <w:spacing w:line="480" w:lineRule="auto"/>
        <w:jc w:val="both"/>
      </w:pPr>
    </w:p>
    <w:p w:rsidR="0080487C" w:rsidRDefault="008A08E6" w:rsidP="008A08E6">
      <w:pPr>
        <w:spacing w:line="360" w:lineRule="auto"/>
        <w:jc w:val="both"/>
        <w:rPr>
          <w:b/>
        </w:rPr>
      </w:pPr>
      <w:r>
        <w:rPr>
          <w:b/>
        </w:rPr>
        <w:t>7. CONCLUSION &amp; RECOMMENDATIONS</w:t>
      </w:r>
    </w:p>
    <w:p w:rsidR="00A764EA" w:rsidRDefault="008A08E6" w:rsidP="008A08E6">
      <w:pPr>
        <w:spacing w:line="360" w:lineRule="auto"/>
        <w:jc w:val="both"/>
      </w:pPr>
      <w:r>
        <w:tab/>
        <w:t xml:space="preserve">The overwhelming size of population has put much stress on the depletion of non-renewable resources of planet earth. Though, many developed countries have put their heads together to resolve how to lessen  environmental damages, i.e. biodiversity loss, ozone layer </w:t>
      </w:r>
      <w:r>
        <w:lastRenderedPageBreak/>
        <w:t xml:space="preserve">depletion, deforestation, desertification &amp; global warming. </w:t>
      </w:r>
      <w:r w:rsidR="00D16660">
        <w:t xml:space="preserve">Per capita fossil fuel consumption has increased over the last few decades which shows red-signals to the sustainable development of this global village. </w:t>
      </w:r>
    </w:p>
    <w:p w:rsidR="000562F5" w:rsidRDefault="00A764EA" w:rsidP="008A08E6">
      <w:pPr>
        <w:spacing w:line="360" w:lineRule="auto"/>
        <w:jc w:val="both"/>
      </w:pPr>
      <w:r>
        <w:tab/>
      </w:r>
      <w:r w:rsidR="00D16660">
        <w:t xml:space="preserve">Technological revolutions have improved efficiencies for emitting less pollutions in the atmosphere in production activities but still many developing countries are deprived </w:t>
      </w:r>
      <w:r w:rsidR="000562F5">
        <w:t>of</w:t>
      </w:r>
      <w:r w:rsidR="00D16660">
        <w:t xml:space="preserve"> it; Turkey is also one of them.</w:t>
      </w:r>
      <w:r w:rsidR="00E976B6">
        <w:t xml:space="preserve"> </w:t>
      </w:r>
      <w:r w:rsidR="000562F5">
        <w:t xml:space="preserve">In Turkey, per capita fossil fuel consumption has increased too over the last decade and if seen industry-wise sectoral share, </w:t>
      </w:r>
      <w:r>
        <w:t>transportation sector takes significant share. As this sector plays key role in the development and growth of the country and also in the GHGs emissions too.</w:t>
      </w:r>
    </w:p>
    <w:p w:rsidR="00A764EA" w:rsidRDefault="00A764EA" w:rsidP="008A08E6">
      <w:pPr>
        <w:spacing w:line="360" w:lineRule="auto"/>
        <w:jc w:val="both"/>
      </w:pPr>
      <w:r>
        <w:tab/>
        <w:t xml:space="preserve">This study has simulated a policy scenario of </w:t>
      </w:r>
      <w:r w:rsidR="00C53C79">
        <w:t xml:space="preserve">estimating GHGs emissions for transportation sector with the existed pattern of fossil fuel consumption and with </w:t>
      </w:r>
      <w:r>
        <w:t xml:space="preserve">substitution of natural gas by 40 percent for </w:t>
      </w:r>
      <w:r w:rsidR="00E26274">
        <w:t>each other fossil fuel type</w:t>
      </w:r>
      <w:r>
        <w:t xml:space="preserve"> for the year 2012 by using environmental input-output technique. </w:t>
      </w:r>
      <w:r w:rsidR="001C5A57">
        <w:t xml:space="preserve">Results show that </w:t>
      </w:r>
      <w:r w:rsidR="00530891">
        <w:t xml:space="preserve">total emissions of three GHGs - </w:t>
      </w:r>
      <w:r w:rsidR="00E26274">
        <w:t>CO2, N2O &amp; CH4 are</w:t>
      </w:r>
      <w:r w:rsidR="00530891">
        <w:t xml:space="preserve"> </w:t>
      </w:r>
      <w:r w:rsidR="00530891" w:rsidRPr="00E55E52">
        <w:t>307955.13</w:t>
      </w:r>
      <w:r w:rsidR="00530891">
        <w:t xml:space="preserve">, </w:t>
      </w:r>
      <w:r w:rsidR="00530891" w:rsidRPr="00E55E52">
        <w:t>3.11</w:t>
      </w:r>
      <w:r w:rsidR="00530891">
        <w:t xml:space="preserve"> &amp;</w:t>
      </w:r>
      <w:r w:rsidR="00530891" w:rsidRPr="00E55E52">
        <w:t>7.12</w:t>
      </w:r>
      <w:r w:rsidR="00E26274">
        <w:t xml:space="preserve"> thousand tonnes </w:t>
      </w:r>
      <w:r w:rsidR="00530891">
        <w:t xml:space="preserve">respectively </w:t>
      </w:r>
      <w:r w:rsidR="00E26274">
        <w:t xml:space="preserve">with the </w:t>
      </w:r>
      <w:r w:rsidR="00530891">
        <w:t>consumption</w:t>
      </w:r>
      <w:r w:rsidR="00E26274">
        <w:t xml:space="preserve"> of fossil fuels. E</w:t>
      </w:r>
      <w:r w:rsidR="00530891">
        <w:t xml:space="preserve">nergy production and distribution sector </w:t>
      </w:r>
      <w:r w:rsidR="00E26274">
        <w:t>contributes highest share</w:t>
      </w:r>
      <w:r w:rsidR="00530891">
        <w:t xml:space="preserve"> </w:t>
      </w:r>
      <w:r w:rsidR="00E26274">
        <w:t xml:space="preserve">by </w:t>
      </w:r>
      <w:r w:rsidR="00530891">
        <w:t xml:space="preserve">45.15 in CO2, 52.52 in N2O &amp; 34.84  in CH4 respectively. </w:t>
      </w:r>
      <w:r w:rsidR="00E26274">
        <w:t>T</w:t>
      </w:r>
      <w:r w:rsidR="00530891">
        <w:t xml:space="preserve">he second position </w:t>
      </w:r>
      <w:r w:rsidR="00E26274">
        <w:t xml:space="preserve">is taken by transport sector </w:t>
      </w:r>
      <w:r w:rsidR="00530891">
        <w:t xml:space="preserve">by contributing the share in </w:t>
      </w:r>
      <w:r w:rsidR="00E26274">
        <w:t xml:space="preserve">CO2, N2O &amp; CH4 </w:t>
      </w:r>
      <w:r w:rsidR="00530891">
        <w:t>by 17.57, 12.28 &amp; 27.21 respectively.</w:t>
      </w:r>
    </w:p>
    <w:p w:rsidR="000562F5" w:rsidRDefault="00744773" w:rsidP="008A08E6">
      <w:pPr>
        <w:spacing w:line="360" w:lineRule="auto"/>
        <w:jc w:val="both"/>
      </w:pPr>
      <w:r>
        <w:tab/>
        <w:t xml:space="preserve">As natural gas is substituted by 40 percent for each fossil fuel type in transportation sector, we find a total decline of emissions by </w:t>
      </w:r>
      <w:r w:rsidRPr="00AF5C4C">
        <w:t>11.81</w:t>
      </w:r>
      <w:r>
        <w:t xml:space="preserve">, </w:t>
      </w:r>
      <w:r w:rsidRPr="00AF5C4C">
        <w:t>8.95</w:t>
      </w:r>
      <w:r>
        <w:t xml:space="preserve"> &amp; </w:t>
      </w:r>
      <w:r w:rsidRPr="00AF5C4C">
        <w:t>19.05</w:t>
      </w:r>
      <w:r>
        <w:t xml:space="preserve"> percent  in</w:t>
      </w:r>
      <w:r w:rsidRPr="00744773">
        <w:t xml:space="preserve"> </w:t>
      </w:r>
      <w:r>
        <w:t>CO2, N2O &amp; CH4 from fossil fuel consumption;  whereas de</w:t>
      </w:r>
      <w:r w:rsidR="00F16AD6">
        <w:t>c</w:t>
      </w:r>
      <w:r>
        <w:t xml:space="preserve">line in GHGs emissions in transportation sector </w:t>
      </w:r>
      <w:r w:rsidR="00F16AD6">
        <w:t>is</w:t>
      </w:r>
      <w:r>
        <w:t xml:space="preserve"> 67.2, </w:t>
      </w:r>
      <w:r w:rsidRPr="00E83407">
        <w:t>72.31</w:t>
      </w:r>
      <w:r>
        <w:t xml:space="preserve">&amp; </w:t>
      </w:r>
      <w:r w:rsidRPr="00E83407">
        <w:t>69.99</w:t>
      </w:r>
      <w:r>
        <w:t xml:space="preserve"> percent for CO2, N2O &amp; CH4 respectively.</w:t>
      </w:r>
      <w:r w:rsidR="00610800">
        <w:t xml:space="preserve"> Furthermore, </w:t>
      </w:r>
      <w:r w:rsidR="00610800" w:rsidRPr="00E976B6">
        <w:t xml:space="preserve">its relative share </w:t>
      </w:r>
      <w:r w:rsidR="00610800">
        <w:t xml:space="preserve">&amp; </w:t>
      </w:r>
      <w:r w:rsidR="00610800" w:rsidRPr="00E976B6">
        <w:t>contribution in GHGs emissions</w:t>
      </w:r>
      <w:r w:rsidR="00610800">
        <w:t xml:space="preserve"> has changed significantly; its sectoral share is </w:t>
      </w:r>
      <w:r w:rsidR="00610800" w:rsidRPr="00E976B6">
        <w:t>6.53% in CO</w:t>
      </w:r>
      <w:r w:rsidR="00610800">
        <w:t>2, 3.76% in N2O &amp; 10.09% in CH4 emissions and it has been placed on 5</w:t>
      </w:r>
      <w:r w:rsidR="00610800" w:rsidRPr="00610800">
        <w:rPr>
          <w:vertAlign w:val="superscript"/>
        </w:rPr>
        <w:t>th</w:t>
      </w:r>
      <w:r w:rsidR="00610800">
        <w:t xml:space="preserve"> position in CO2 &amp; N2O and 3</w:t>
      </w:r>
      <w:r w:rsidR="00610800" w:rsidRPr="00610800">
        <w:rPr>
          <w:vertAlign w:val="superscript"/>
        </w:rPr>
        <w:t>rd</w:t>
      </w:r>
      <w:r w:rsidR="00610800">
        <w:t xml:space="preserve"> in CH4 emissions.</w:t>
      </w:r>
    </w:p>
    <w:p w:rsidR="008A08E6" w:rsidRPr="008A08E6" w:rsidRDefault="00285C6B" w:rsidP="008A08E6">
      <w:pPr>
        <w:spacing w:line="360" w:lineRule="auto"/>
        <w:jc w:val="both"/>
      </w:pPr>
      <w:r>
        <w:tab/>
      </w:r>
      <w:r w:rsidR="00474F34">
        <w:t xml:space="preserve">Natural gas as a substitute for other fossil fuel types in transportation sector plays a crucial role in meeting the environmental goals specially </w:t>
      </w:r>
      <w:r w:rsidR="00474F34" w:rsidRPr="00474F34">
        <w:t>reductions</w:t>
      </w:r>
      <w:r w:rsidR="00474F34">
        <w:t xml:space="preserve"> in GHGs emissions without compromising economic goals. In last few years, natural gas consumption in road transport sector increased drastically especially in Pakistan &amp; India. If Turkey adopts such pattern that is </w:t>
      </w:r>
      <w:r w:rsidR="00072B23">
        <w:t xml:space="preserve">relative increase in the consumption of natural gas </w:t>
      </w:r>
      <w:r w:rsidR="00474F34">
        <w:t xml:space="preserve">in transport sector </w:t>
      </w:r>
      <w:r w:rsidR="00072B23">
        <w:t>she will achieve her sustainable development goals.</w:t>
      </w:r>
    </w:p>
    <w:p w:rsidR="0080487C" w:rsidRDefault="0080487C" w:rsidP="0075203B">
      <w:pPr>
        <w:spacing w:line="360" w:lineRule="auto"/>
        <w:ind w:firstLine="720"/>
        <w:jc w:val="both"/>
        <w:rPr>
          <w:b/>
        </w:rPr>
      </w:pPr>
    </w:p>
    <w:p w:rsidR="003C6CE3" w:rsidRDefault="003C6CE3" w:rsidP="003C6CE3">
      <w:pPr>
        <w:spacing w:line="360" w:lineRule="auto"/>
        <w:jc w:val="center"/>
        <w:rPr>
          <w:b/>
          <w:sz w:val="28"/>
        </w:rPr>
      </w:pPr>
      <w:r w:rsidRPr="003C6CE3">
        <w:rPr>
          <w:b/>
          <w:sz w:val="28"/>
        </w:rPr>
        <w:lastRenderedPageBreak/>
        <w:t>REFERENCES</w:t>
      </w:r>
    </w:p>
    <w:p w:rsidR="003C6CE3" w:rsidRPr="003C6CE3" w:rsidRDefault="003C6CE3" w:rsidP="003C6CE3">
      <w:pPr>
        <w:spacing w:line="360" w:lineRule="auto"/>
        <w:jc w:val="both"/>
        <w:rPr>
          <w:sz w:val="28"/>
        </w:rPr>
      </w:pPr>
      <w:r w:rsidRPr="003C6CE3">
        <w:rPr>
          <w:iCs/>
          <w:sz w:val="28"/>
        </w:rPr>
        <w:t xml:space="preserve">Bhutto, N. A., &amp; Cagatay, S., (2008). "Controlling Greenhouse Gases Emissions via Natural Gas Substitution: An Input-Output Study for Turkey". Paper </w:t>
      </w:r>
      <w:r w:rsidRPr="003C6CE3">
        <w:rPr>
          <w:sz w:val="28"/>
        </w:rPr>
        <w:t xml:space="preserve">presented in the </w:t>
      </w:r>
      <w:r w:rsidRPr="003C6CE3">
        <w:rPr>
          <w:iCs/>
          <w:sz w:val="28"/>
        </w:rPr>
        <w:t>International Input-Output Conference on Managing the Environment held in July 9-11, 2008 Seville, Spain.</w:t>
      </w:r>
    </w:p>
    <w:p w:rsidR="003C6CE3" w:rsidRPr="003C6CE3" w:rsidRDefault="003C6CE3" w:rsidP="003C6CE3">
      <w:pPr>
        <w:spacing w:line="360" w:lineRule="auto"/>
        <w:jc w:val="both"/>
        <w:rPr>
          <w:sz w:val="28"/>
        </w:rPr>
      </w:pPr>
    </w:p>
    <w:p w:rsidR="003C6CE3" w:rsidRPr="003C6CE3" w:rsidRDefault="003C6CE3" w:rsidP="003C6CE3">
      <w:pPr>
        <w:spacing w:line="360" w:lineRule="auto"/>
        <w:jc w:val="both"/>
      </w:pPr>
      <w:r w:rsidRPr="003C6CE3">
        <w:t>Bhutto, N. A., (2007). "Building Environmental Input-Output Model for Turkey with Special Focus on Agri-Food Sectors". Unpublished Ph.D. dissertation, Hacettepe University, Department of Economics, Ankara, Turkey.</w:t>
      </w:r>
    </w:p>
    <w:p w:rsidR="003C6CE3" w:rsidRPr="003C6CE3" w:rsidRDefault="003C6CE3" w:rsidP="003C6CE3">
      <w:pPr>
        <w:spacing w:line="360" w:lineRule="auto"/>
        <w:jc w:val="both"/>
      </w:pPr>
    </w:p>
    <w:p w:rsidR="003C6CE3" w:rsidRPr="003C6CE3" w:rsidRDefault="003C6CE3" w:rsidP="003C6CE3">
      <w:pPr>
        <w:spacing w:line="360" w:lineRule="auto"/>
        <w:jc w:val="both"/>
      </w:pPr>
      <w:r w:rsidRPr="003C6CE3">
        <w:t xml:space="preserve">Bühr, T. and Aplin G., (1999). “Pathways Towards Sustainability: The Australian Approach”, </w:t>
      </w:r>
      <w:r w:rsidRPr="003C6CE3">
        <w:rPr>
          <w:i/>
        </w:rPr>
        <w:t>Journal of Environmental Planning and Management</w:t>
      </w:r>
      <w:r w:rsidRPr="003C6CE3">
        <w:t>, Vol. 42, No. 3, pp.315-340.</w:t>
      </w:r>
    </w:p>
    <w:p w:rsidR="003C6CE3" w:rsidRPr="003C6CE3" w:rsidRDefault="003C6CE3" w:rsidP="003C6CE3">
      <w:pPr>
        <w:spacing w:line="360" w:lineRule="auto"/>
        <w:jc w:val="both"/>
      </w:pPr>
    </w:p>
    <w:p w:rsidR="003C6CE3" w:rsidRPr="003C6CE3" w:rsidRDefault="003C6CE3" w:rsidP="003C6CE3">
      <w:pPr>
        <w:spacing w:line="360" w:lineRule="auto"/>
        <w:jc w:val="both"/>
      </w:pPr>
      <w:r w:rsidRPr="003C6CE3">
        <w:t>IPCC, (2006). “2006 IPCC Guidelines for National Greenhouse Gas Inventories.” Available at: http://www.ipcc-nggip.iges.or.jp</w:t>
      </w:r>
    </w:p>
    <w:p w:rsidR="003C6CE3" w:rsidRPr="003C6CE3" w:rsidRDefault="003C6CE3" w:rsidP="003C6CE3">
      <w:pPr>
        <w:spacing w:line="360" w:lineRule="auto"/>
        <w:jc w:val="both"/>
      </w:pPr>
    </w:p>
    <w:p w:rsidR="003C6CE3" w:rsidRPr="003C6CE3" w:rsidRDefault="003C6CE3" w:rsidP="003C6CE3">
      <w:pPr>
        <w:spacing w:line="360" w:lineRule="auto"/>
        <w:jc w:val="both"/>
      </w:pPr>
      <w:r w:rsidRPr="003C6CE3">
        <w:t>ISPA (Investment Support and Promotion Agency), (2010). Transportation and Logistics Industry Report, Ankara.</w:t>
      </w:r>
    </w:p>
    <w:p w:rsidR="003C6CE3" w:rsidRPr="003C6CE3" w:rsidRDefault="003C6CE3" w:rsidP="003C6CE3">
      <w:pPr>
        <w:spacing w:line="360" w:lineRule="auto"/>
        <w:jc w:val="both"/>
      </w:pPr>
    </w:p>
    <w:p w:rsidR="003C6CE3" w:rsidRPr="003C6CE3" w:rsidRDefault="003C6CE3" w:rsidP="003C6CE3">
      <w:pPr>
        <w:spacing w:line="360" w:lineRule="auto"/>
        <w:jc w:val="both"/>
      </w:pPr>
      <w:r w:rsidRPr="003C6CE3">
        <w:t>Leontief W., 1986. "Input-output Economics"; Oxford University Press; 2nd Edition; New York.</w:t>
      </w:r>
    </w:p>
    <w:p w:rsidR="003C6CE3" w:rsidRPr="003C6CE3" w:rsidRDefault="003C6CE3" w:rsidP="003C6CE3">
      <w:pPr>
        <w:spacing w:line="360" w:lineRule="auto"/>
        <w:jc w:val="both"/>
      </w:pPr>
    </w:p>
    <w:p w:rsidR="003C6CE3" w:rsidRPr="003C6CE3" w:rsidRDefault="003C6CE3" w:rsidP="003C6CE3">
      <w:pPr>
        <w:spacing w:line="360" w:lineRule="auto"/>
        <w:jc w:val="both"/>
      </w:pPr>
      <w:r w:rsidRPr="003C6CE3">
        <w:t>Mazlum, S.C., (2004). “The Politics of Sustainable Development: Sustainability Planning in the UK and Turkey” in The European Union and the Mediterranean: The Mediterranean’s European Challenge – Volume V, P. G. Xuereb (Ed.), Malta: University of Malta European Documentation and Research Centre.</w:t>
      </w:r>
    </w:p>
    <w:p w:rsidR="003C6CE3" w:rsidRPr="003C6CE3" w:rsidRDefault="003C6CE3" w:rsidP="003C6CE3">
      <w:pPr>
        <w:spacing w:line="360" w:lineRule="auto"/>
        <w:jc w:val="both"/>
      </w:pPr>
    </w:p>
    <w:p w:rsidR="003C6CE3" w:rsidRPr="003C6CE3" w:rsidRDefault="003C6CE3" w:rsidP="003C6CE3">
      <w:pPr>
        <w:spacing w:line="360" w:lineRule="auto"/>
        <w:jc w:val="both"/>
      </w:pPr>
      <w:r w:rsidRPr="003C6CE3">
        <w:t>SPO (State Planning Office), (2006). Ninth Development Plan (2007-2013), Prime Ministry-State Planning Office, Ankara.</w:t>
      </w:r>
    </w:p>
    <w:p w:rsidR="003C6CE3" w:rsidRPr="003C6CE3" w:rsidRDefault="003C6CE3" w:rsidP="003C6CE3">
      <w:pPr>
        <w:spacing w:line="360" w:lineRule="auto"/>
        <w:jc w:val="both"/>
      </w:pPr>
    </w:p>
    <w:p w:rsidR="002D5029" w:rsidRDefault="003C6CE3" w:rsidP="003C6CE3">
      <w:pPr>
        <w:spacing w:line="360" w:lineRule="auto"/>
        <w:jc w:val="both"/>
      </w:pPr>
      <w:r w:rsidRPr="003C6CE3">
        <w:t>TSI (Turkish Statistical Institute), (2010). http://ww.tuik.gov.tr.</w:t>
      </w:r>
    </w:p>
    <w:sectPr w:rsidR="002D5029" w:rsidSect="002D5029">
      <w:footerReference w:type="default" r:id="rId3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0250" w:rsidRDefault="006C0250" w:rsidP="0080487C">
      <w:r>
        <w:separator/>
      </w:r>
    </w:p>
  </w:endnote>
  <w:endnote w:type="continuationSeparator" w:id="1">
    <w:p w:rsidR="006C0250" w:rsidRDefault="006C0250" w:rsidP="0080487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14780"/>
      <w:docPartObj>
        <w:docPartGallery w:val="Page Numbers (Bottom of Page)"/>
        <w:docPartUnique/>
      </w:docPartObj>
    </w:sdtPr>
    <w:sdtContent>
      <w:p w:rsidR="00530891" w:rsidRDefault="003D1D18">
        <w:pPr>
          <w:pStyle w:val="Footer"/>
          <w:jc w:val="center"/>
        </w:pPr>
        <w:fldSimple w:instr=" PAGE   \* MERGEFORMAT ">
          <w:r w:rsidR="000A3B97">
            <w:rPr>
              <w:noProof/>
            </w:rPr>
            <w:t>17</w:t>
          </w:r>
        </w:fldSimple>
      </w:p>
    </w:sdtContent>
  </w:sdt>
  <w:p w:rsidR="00530891" w:rsidRDefault="005308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0250" w:rsidRDefault="006C0250" w:rsidP="0080487C">
      <w:r>
        <w:separator/>
      </w:r>
    </w:p>
  </w:footnote>
  <w:footnote w:type="continuationSeparator" w:id="1">
    <w:p w:rsidR="006C0250" w:rsidRDefault="006C0250" w:rsidP="0080487C">
      <w:r>
        <w:continuationSeparator/>
      </w:r>
    </w:p>
  </w:footnote>
  <w:footnote w:id="2">
    <w:p w:rsidR="00530891" w:rsidRPr="002B2D39" w:rsidRDefault="00530891" w:rsidP="0080487C">
      <w:pPr>
        <w:pStyle w:val="FootnoteText"/>
        <w:rPr>
          <w:rFonts w:ascii="Times New Roman" w:hAnsi="Times New Roman"/>
          <w:lang w:val="tr-TR"/>
        </w:rPr>
      </w:pPr>
      <w:r w:rsidRPr="002B2D39">
        <w:rPr>
          <w:rStyle w:val="FootnoteReference"/>
          <w:rFonts w:ascii="Times New Roman" w:hAnsi="Times New Roman"/>
        </w:rPr>
        <w:footnoteRef/>
      </w:r>
      <w:r w:rsidRPr="002B2D39">
        <w:rPr>
          <w:rFonts w:ascii="Times New Roman" w:hAnsi="Times New Roman"/>
        </w:rPr>
        <w:t xml:space="preserve"> See </w:t>
      </w:r>
      <w:r w:rsidRPr="002B2D39">
        <w:rPr>
          <w:rFonts w:ascii="Times New Roman" w:hAnsi="Times New Roman"/>
          <w:color w:val="000000"/>
          <w:spacing w:val="-1"/>
        </w:rPr>
        <w:t>Bührs and Aplin (1999) for more information.</w:t>
      </w:r>
    </w:p>
  </w:footnote>
  <w:footnote w:id="3">
    <w:p w:rsidR="00530891" w:rsidRDefault="00530891" w:rsidP="00D476E4">
      <w:pPr>
        <w:pStyle w:val="FootnoteText"/>
      </w:pPr>
      <w:r>
        <w:rPr>
          <w:rStyle w:val="FootnoteReference"/>
        </w:rPr>
        <w:footnoteRef/>
      </w:r>
      <w:r>
        <w:t xml:space="preserve"> from 1999 to 2010 real grow</w:t>
      </w:r>
      <w:r w:rsidR="003C6CE3">
        <w:t>th rates are taken from TSI</w:t>
      </w:r>
      <w:r>
        <w:t xml:space="preserve"> and for the period of 2011 to 2012 projected real growth rates are taken from State Planning Office (SPO)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AA4F9A"/>
    <w:multiLevelType w:val="hybridMultilevel"/>
    <w:tmpl w:val="2CAAEB46"/>
    <w:lvl w:ilvl="0" w:tplc="0409000F">
      <w:start w:val="1"/>
      <w:numFmt w:val="decimal"/>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80487C"/>
    <w:rsid w:val="00053CA1"/>
    <w:rsid w:val="000562F5"/>
    <w:rsid w:val="00072B23"/>
    <w:rsid w:val="000812A4"/>
    <w:rsid w:val="000A3B97"/>
    <w:rsid w:val="0010136E"/>
    <w:rsid w:val="001C5A57"/>
    <w:rsid w:val="001E4B84"/>
    <w:rsid w:val="00272F3E"/>
    <w:rsid w:val="00285C6B"/>
    <w:rsid w:val="002D5029"/>
    <w:rsid w:val="003C6CE3"/>
    <w:rsid w:val="003D1D18"/>
    <w:rsid w:val="00474F34"/>
    <w:rsid w:val="00530891"/>
    <w:rsid w:val="00610800"/>
    <w:rsid w:val="006C0250"/>
    <w:rsid w:val="00744773"/>
    <w:rsid w:val="0075203B"/>
    <w:rsid w:val="0080487C"/>
    <w:rsid w:val="00870E40"/>
    <w:rsid w:val="00887835"/>
    <w:rsid w:val="008972A9"/>
    <w:rsid w:val="008A08E6"/>
    <w:rsid w:val="00954A30"/>
    <w:rsid w:val="00967339"/>
    <w:rsid w:val="00A30341"/>
    <w:rsid w:val="00A764EA"/>
    <w:rsid w:val="00A93EB8"/>
    <w:rsid w:val="00B90898"/>
    <w:rsid w:val="00BD3295"/>
    <w:rsid w:val="00C53C79"/>
    <w:rsid w:val="00CA1E79"/>
    <w:rsid w:val="00D16660"/>
    <w:rsid w:val="00D366C2"/>
    <w:rsid w:val="00D476E4"/>
    <w:rsid w:val="00D94335"/>
    <w:rsid w:val="00DE7E80"/>
    <w:rsid w:val="00E26274"/>
    <w:rsid w:val="00E976B6"/>
    <w:rsid w:val="00EC455C"/>
    <w:rsid w:val="00ED7949"/>
    <w:rsid w:val="00F05C0B"/>
    <w:rsid w:val="00F16AD6"/>
    <w:rsid w:val="00FA62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country-region"/>
  <w:smartTagType w:namespaceuri="urn:schemas-microsoft-com:office:smarttags" w:name="plac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87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80487C"/>
    <w:pPr>
      <w:spacing w:after="200" w:line="276" w:lineRule="auto"/>
    </w:pPr>
    <w:rPr>
      <w:rFonts w:ascii="Calibri" w:eastAsia="Calibri" w:hAnsi="Calibri"/>
      <w:sz w:val="20"/>
      <w:szCs w:val="20"/>
    </w:rPr>
  </w:style>
  <w:style w:type="character" w:customStyle="1" w:styleId="FootnoteTextChar">
    <w:name w:val="Footnote Text Char"/>
    <w:basedOn w:val="DefaultParagraphFont"/>
    <w:link w:val="FootnoteText"/>
    <w:uiPriority w:val="99"/>
    <w:rsid w:val="0080487C"/>
    <w:rPr>
      <w:rFonts w:ascii="Calibri" w:eastAsia="Calibri" w:hAnsi="Calibri" w:cs="Times New Roman"/>
      <w:sz w:val="20"/>
      <w:szCs w:val="20"/>
    </w:rPr>
  </w:style>
  <w:style w:type="character" w:styleId="FootnoteReference">
    <w:name w:val="footnote reference"/>
    <w:basedOn w:val="DefaultParagraphFont"/>
    <w:uiPriority w:val="99"/>
    <w:rsid w:val="0080487C"/>
    <w:rPr>
      <w:vertAlign w:val="superscript"/>
    </w:rPr>
  </w:style>
  <w:style w:type="paragraph" w:styleId="Header">
    <w:name w:val="header"/>
    <w:basedOn w:val="Normal"/>
    <w:link w:val="HeaderChar"/>
    <w:uiPriority w:val="99"/>
    <w:semiHidden/>
    <w:unhideWhenUsed/>
    <w:rsid w:val="00EC455C"/>
    <w:pPr>
      <w:tabs>
        <w:tab w:val="center" w:pos="4680"/>
        <w:tab w:val="right" w:pos="9360"/>
      </w:tabs>
    </w:pPr>
  </w:style>
  <w:style w:type="character" w:customStyle="1" w:styleId="HeaderChar">
    <w:name w:val="Header Char"/>
    <w:basedOn w:val="DefaultParagraphFont"/>
    <w:link w:val="Header"/>
    <w:uiPriority w:val="99"/>
    <w:semiHidden/>
    <w:rsid w:val="00EC455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C455C"/>
    <w:pPr>
      <w:tabs>
        <w:tab w:val="center" w:pos="4680"/>
        <w:tab w:val="right" w:pos="9360"/>
      </w:tabs>
    </w:pPr>
  </w:style>
  <w:style w:type="character" w:customStyle="1" w:styleId="FooterChar">
    <w:name w:val="Footer Char"/>
    <w:basedOn w:val="DefaultParagraphFont"/>
    <w:link w:val="Footer"/>
    <w:uiPriority w:val="99"/>
    <w:rsid w:val="00EC455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5203B"/>
    <w:rPr>
      <w:rFonts w:ascii="Tahoma" w:hAnsi="Tahoma" w:cs="Tahoma"/>
      <w:sz w:val="16"/>
      <w:szCs w:val="16"/>
    </w:rPr>
  </w:style>
  <w:style w:type="character" w:customStyle="1" w:styleId="BalloonTextChar">
    <w:name w:val="Balloon Text Char"/>
    <w:basedOn w:val="DefaultParagraphFont"/>
    <w:link w:val="BalloonText"/>
    <w:uiPriority w:val="99"/>
    <w:semiHidden/>
    <w:rsid w:val="0075203B"/>
    <w:rPr>
      <w:rFonts w:ascii="Tahoma" w:eastAsia="Times New Roman" w:hAnsi="Tahoma" w:cs="Tahoma"/>
      <w:sz w:val="16"/>
      <w:szCs w:val="16"/>
    </w:rPr>
  </w:style>
  <w:style w:type="paragraph" w:styleId="ListParagraph">
    <w:name w:val="List Paragraph"/>
    <w:basedOn w:val="Normal"/>
    <w:uiPriority w:val="34"/>
    <w:qFormat/>
    <w:rsid w:val="00D476E4"/>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D476E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5.wmf"/><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oleObject" Target="embeddings/oleObject8.bin"/><Relationship Id="rId32"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0.bin"/><Relationship Id="rId10" Type="http://schemas.openxmlformats.org/officeDocument/2006/relationships/oleObject" Target="embeddings/oleObject1.bin"/><Relationship Id="rId19" Type="http://schemas.openxmlformats.org/officeDocument/2006/relationships/image" Target="media/image8.wmf"/><Relationship Id="rId31"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F:\F\international%20conferences\19th%20IIOA\graphs%20of%20GHG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F\international%20conferences\19th%20IIOA\graphs%20after%2040percent%20%20natural%20gas%20substitutio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bar"/>
        <c:grouping val="clustered"/>
        <c:ser>
          <c:idx val="0"/>
          <c:order val="0"/>
          <c:tx>
            <c:strRef>
              <c:f>'2012 emissions ff sectoral  (2)'!$B$1</c:f>
              <c:strCache>
                <c:ptCount val="1"/>
                <c:pt idx="0">
                  <c:v>CO2</c:v>
                </c:pt>
              </c:strCache>
            </c:strRef>
          </c:tx>
          <c:cat>
            <c:strRef>
              <c:f>'2012 emissions ff sectoral  (2)'!$A$2:$A$12</c:f>
              <c:strCache>
                <c:ptCount val="11"/>
                <c:pt idx="0">
                  <c:v>Energy production and distribution</c:v>
                </c:pt>
                <c:pt idx="1">
                  <c:v>Transport</c:v>
                </c:pt>
                <c:pt idx="2">
                  <c:v>Mnf. of coke, refined petroleum  etc</c:v>
                </c:pt>
                <c:pt idx="3">
                  <c:v>Mnf. of ferrous, non-ferrous metals</c:v>
                </c:pt>
                <c:pt idx="4">
                  <c:v>Services</c:v>
                </c:pt>
                <c:pt idx="5">
                  <c:v>Others</c:v>
                </c:pt>
                <c:pt idx="6">
                  <c:v>Growing of cereals and other crops n.e.c.</c:v>
                </c:pt>
                <c:pt idx="7">
                  <c:v>Water and Construction </c:v>
                </c:pt>
                <c:pt idx="8">
                  <c:v>Wood, furniture, paper, publishing</c:v>
                </c:pt>
                <c:pt idx="9">
                  <c:v>Manufacture of sugar</c:v>
                </c:pt>
                <c:pt idx="10">
                  <c:v>Manufacture of textiles</c:v>
                </c:pt>
              </c:strCache>
            </c:strRef>
          </c:cat>
          <c:val>
            <c:numRef>
              <c:f>'2012 emissions ff sectoral  (2)'!$B$2:$B$12</c:f>
              <c:numCache>
                <c:formatCode>0.00</c:formatCode>
                <c:ptCount val="11"/>
                <c:pt idx="0">
                  <c:v>45.146319101716145</c:v>
                </c:pt>
                <c:pt idx="1">
                  <c:v>17.573532430644189</c:v>
                </c:pt>
                <c:pt idx="2">
                  <c:v>10.219700180416053</c:v>
                </c:pt>
                <c:pt idx="3">
                  <c:v>10.181948985344148</c:v>
                </c:pt>
                <c:pt idx="4">
                  <c:v>6.0338985420682612</c:v>
                </c:pt>
                <c:pt idx="5">
                  <c:v>3.4154549528687634</c:v>
                </c:pt>
                <c:pt idx="6">
                  <c:v>1.7944186520780878</c:v>
                </c:pt>
                <c:pt idx="7">
                  <c:v>1.6930297300299137</c:v>
                </c:pt>
                <c:pt idx="8">
                  <c:v>1.3782594693668149</c:v>
                </c:pt>
                <c:pt idx="9">
                  <c:v>1.3112574088647519</c:v>
                </c:pt>
                <c:pt idx="10">
                  <c:v>1.252180546602724</c:v>
                </c:pt>
              </c:numCache>
            </c:numRef>
          </c:val>
        </c:ser>
        <c:ser>
          <c:idx val="1"/>
          <c:order val="1"/>
          <c:tx>
            <c:strRef>
              <c:f>'2012 emissions ff sectoral  (2)'!$C$1</c:f>
              <c:strCache>
                <c:ptCount val="1"/>
                <c:pt idx="0">
                  <c:v>N2O</c:v>
                </c:pt>
              </c:strCache>
            </c:strRef>
          </c:tx>
          <c:cat>
            <c:strRef>
              <c:f>'2012 emissions ff sectoral  (2)'!$A$2:$A$12</c:f>
              <c:strCache>
                <c:ptCount val="11"/>
                <c:pt idx="0">
                  <c:v>Energy production and distribution</c:v>
                </c:pt>
                <c:pt idx="1">
                  <c:v>Transport</c:v>
                </c:pt>
                <c:pt idx="2">
                  <c:v>Mnf. of coke, refined petroleum  etc</c:v>
                </c:pt>
                <c:pt idx="3">
                  <c:v>Mnf. of ferrous, non-ferrous metals</c:v>
                </c:pt>
                <c:pt idx="4">
                  <c:v>Services</c:v>
                </c:pt>
                <c:pt idx="5">
                  <c:v>Others</c:v>
                </c:pt>
                <c:pt idx="6">
                  <c:v>Growing of cereals and other crops n.e.c.</c:v>
                </c:pt>
                <c:pt idx="7">
                  <c:v>Water and Construction </c:v>
                </c:pt>
                <c:pt idx="8">
                  <c:v>Wood, furniture, paper, publishing</c:v>
                </c:pt>
                <c:pt idx="9">
                  <c:v>Manufacture of sugar</c:v>
                </c:pt>
                <c:pt idx="10">
                  <c:v>Manufacture of textiles</c:v>
                </c:pt>
              </c:strCache>
            </c:strRef>
          </c:cat>
          <c:val>
            <c:numRef>
              <c:f>'2012 emissions ff sectoral  (2)'!$C$2:$C$12</c:f>
              <c:numCache>
                <c:formatCode>0.00</c:formatCode>
                <c:ptCount val="11"/>
                <c:pt idx="0">
                  <c:v>52.520196609932881</c:v>
                </c:pt>
                <c:pt idx="1">
                  <c:v>12.379034502901858</c:v>
                </c:pt>
                <c:pt idx="2">
                  <c:v>0.71568971199110165</c:v>
                </c:pt>
                <c:pt idx="3">
                  <c:v>9.1151348736066513</c:v>
                </c:pt>
                <c:pt idx="4">
                  <c:v>5.737721351708414</c:v>
                </c:pt>
                <c:pt idx="5">
                  <c:v>2.2737119281625398</c:v>
                </c:pt>
                <c:pt idx="6">
                  <c:v>1.2465483284832297</c:v>
                </c:pt>
                <c:pt idx="7">
                  <c:v>1.1160231642741041</c:v>
                </c:pt>
                <c:pt idx="8">
                  <c:v>1.0164836991933406</c:v>
                </c:pt>
                <c:pt idx="9">
                  <c:v>12.205290215858534</c:v>
                </c:pt>
                <c:pt idx="10">
                  <c:v>1.6741656138874572</c:v>
                </c:pt>
              </c:numCache>
            </c:numRef>
          </c:val>
        </c:ser>
        <c:ser>
          <c:idx val="2"/>
          <c:order val="2"/>
          <c:tx>
            <c:strRef>
              <c:f>'2012 emissions ff sectoral  (2)'!$D$1</c:f>
              <c:strCache>
                <c:ptCount val="1"/>
                <c:pt idx="0">
                  <c:v>CH4</c:v>
                </c:pt>
              </c:strCache>
            </c:strRef>
          </c:tx>
          <c:cat>
            <c:strRef>
              <c:f>'2012 emissions ff sectoral  (2)'!$A$2:$A$12</c:f>
              <c:strCache>
                <c:ptCount val="11"/>
                <c:pt idx="0">
                  <c:v>Energy production and distribution</c:v>
                </c:pt>
                <c:pt idx="1">
                  <c:v>Transport</c:v>
                </c:pt>
                <c:pt idx="2">
                  <c:v>Mnf. of coke, refined petroleum  etc</c:v>
                </c:pt>
                <c:pt idx="3">
                  <c:v>Mnf. of ferrous, non-ferrous metals</c:v>
                </c:pt>
                <c:pt idx="4">
                  <c:v>Services</c:v>
                </c:pt>
                <c:pt idx="5">
                  <c:v>Others</c:v>
                </c:pt>
                <c:pt idx="6">
                  <c:v>Growing of cereals and other crops n.e.c.</c:v>
                </c:pt>
                <c:pt idx="7">
                  <c:v>Water and Construction </c:v>
                </c:pt>
                <c:pt idx="8">
                  <c:v>Wood, furniture, paper, publishing</c:v>
                </c:pt>
                <c:pt idx="9">
                  <c:v>Manufacture of sugar</c:v>
                </c:pt>
                <c:pt idx="10">
                  <c:v>Manufacture of textiles</c:v>
                </c:pt>
              </c:strCache>
            </c:strRef>
          </c:cat>
          <c:val>
            <c:numRef>
              <c:f>'2012 emissions ff sectoral  (2)'!$D$2:$D$12</c:f>
              <c:numCache>
                <c:formatCode>0.00</c:formatCode>
                <c:ptCount val="11"/>
                <c:pt idx="0">
                  <c:v>34.840161839475492</c:v>
                </c:pt>
                <c:pt idx="1">
                  <c:v>27.213742288808572</c:v>
                </c:pt>
                <c:pt idx="2">
                  <c:v>10.975178995814067</c:v>
                </c:pt>
                <c:pt idx="3">
                  <c:v>7.1269845258346827</c:v>
                </c:pt>
                <c:pt idx="4">
                  <c:v>5.7646125689179719</c:v>
                </c:pt>
                <c:pt idx="5">
                  <c:v>4.1008545187392702</c:v>
                </c:pt>
                <c:pt idx="6">
                  <c:v>2.8360762261256127</c:v>
                </c:pt>
                <c:pt idx="7">
                  <c:v>2.5292787024223458</c:v>
                </c:pt>
                <c:pt idx="8">
                  <c:v>2.1251894881526452</c:v>
                </c:pt>
                <c:pt idx="9">
                  <c:v>0.8419732734535692</c:v>
                </c:pt>
                <c:pt idx="10">
                  <c:v>1.3547335170453456</c:v>
                </c:pt>
              </c:numCache>
            </c:numRef>
          </c:val>
        </c:ser>
        <c:axId val="79904128"/>
        <c:axId val="95194112"/>
      </c:barChart>
      <c:catAx>
        <c:axId val="79904128"/>
        <c:scaling>
          <c:orientation val="minMax"/>
        </c:scaling>
        <c:axPos val="l"/>
        <c:tickLblPos val="nextTo"/>
        <c:crossAx val="95194112"/>
        <c:crosses val="autoZero"/>
        <c:auto val="1"/>
        <c:lblAlgn val="ctr"/>
        <c:lblOffset val="100"/>
      </c:catAx>
      <c:valAx>
        <c:axId val="95194112"/>
        <c:scaling>
          <c:orientation val="minMax"/>
        </c:scaling>
        <c:axPos val="b"/>
        <c:majorGridlines/>
        <c:numFmt formatCode="0.00" sourceLinked="1"/>
        <c:tickLblPos val="nextTo"/>
        <c:crossAx val="79904128"/>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bar"/>
        <c:grouping val="clustered"/>
        <c:ser>
          <c:idx val="0"/>
          <c:order val="0"/>
          <c:tx>
            <c:strRef>
              <c:f>'2012 emissions NG SBS secto (2)'!$B$1</c:f>
              <c:strCache>
                <c:ptCount val="1"/>
                <c:pt idx="0">
                  <c:v>CO2</c:v>
                </c:pt>
              </c:strCache>
            </c:strRef>
          </c:tx>
          <c:cat>
            <c:strRef>
              <c:f>'2012 emissions NG SBS secto (2)'!$A$2:$A$12</c:f>
              <c:strCache>
                <c:ptCount val="11"/>
                <c:pt idx="0">
                  <c:v>Energy production and distribution</c:v>
                </c:pt>
                <c:pt idx="1">
                  <c:v>Mnf. of coke, refined petroleum  etc</c:v>
                </c:pt>
                <c:pt idx="2">
                  <c:v>Mnf. of ferrous, non-ferrous metals</c:v>
                </c:pt>
                <c:pt idx="3">
                  <c:v>Services</c:v>
                </c:pt>
                <c:pt idx="4">
                  <c:v>Transport</c:v>
                </c:pt>
                <c:pt idx="5">
                  <c:v>Others</c:v>
                </c:pt>
                <c:pt idx="6">
                  <c:v>Growing of cereals and other crops n.e.c.</c:v>
                </c:pt>
                <c:pt idx="7">
                  <c:v>Water and Construction</c:v>
                </c:pt>
                <c:pt idx="8">
                  <c:v>Wood, furniture, paper, publishing</c:v>
                </c:pt>
                <c:pt idx="9">
                  <c:v>Manufacture of sugar</c:v>
                </c:pt>
                <c:pt idx="10">
                  <c:v>Manufacture of textiles</c:v>
                </c:pt>
              </c:strCache>
            </c:strRef>
          </c:cat>
          <c:val>
            <c:numRef>
              <c:f>'2012 emissions NG SBS secto (2)'!$B$2:$B$12</c:f>
              <c:numCache>
                <c:formatCode>0.00</c:formatCode>
                <c:ptCount val="11"/>
                <c:pt idx="0">
                  <c:v>51.193012051323649</c:v>
                </c:pt>
                <c:pt idx="1">
                  <c:v>11.588480410068852</c:v>
                </c:pt>
                <c:pt idx="2">
                  <c:v>11.545672991375103</c:v>
                </c:pt>
                <c:pt idx="3">
                  <c:v>6.8420515099939205</c:v>
                </c:pt>
                <c:pt idx="4">
                  <c:v>6.5337057021408134</c:v>
                </c:pt>
                <c:pt idx="5">
                  <c:v>3.8729054780529988</c:v>
                </c:pt>
                <c:pt idx="6">
                  <c:v>2.0347549370301037</c:v>
                </c:pt>
                <c:pt idx="7">
                  <c:v>1.9197864432180485</c:v>
                </c:pt>
                <c:pt idx="8">
                  <c:v>1.5628572833629697</c:v>
                </c:pt>
                <c:pt idx="9">
                  <c:v>1.4868812711654418</c:v>
                </c:pt>
                <c:pt idx="10">
                  <c:v>1.4198919222681226</c:v>
                </c:pt>
              </c:numCache>
            </c:numRef>
          </c:val>
        </c:ser>
        <c:ser>
          <c:idx val="1"/>
          <c:order val="1"/>
          <c:tx>
            <c:strRef>
              <c:f>'2012 emissions NG SBS secto (2)'!$C$1</c:f>
              <c:strCache>
                <c:ptCount val="1"/>
                <c:pt idx="0">
                  <c:v>N2O</c:v>
                </c:pt>
              </c:strCache>
            </c:strRef>
          </c:tx>
          <c:cat>
            <c:strRef>
              <c:f>'2012 emissions NG SBS secto (2)'!$A$2:$A$12</c:f>
              <c:strCache>
                <c:ptCount val="11"/>
                <c:pt idx="0">
                  <c:v>Energy production and distribution</c:v>
                </c:pt>
                <c:pt idx="1">
                  <c:v>Mnf. of coke, refined petroleum  etc</c:v>
                </c:pt>
                <c:pt idx="2">
                  <c:v>Mnf. of ferrous, non-ferrous metals</c:v>
                </c:pt>
                <c:pt idx="3">
                  <c:v>Services</c:v>
                </c:pt>
                <c:pt idx="4">
                  <c:v>Transport</c:v>
                </c:pt>
                <c:pt idx="5">
                  <c:v>Others</c:v>
                </c:pt>
                <c:pt idx="6">
                  <c:v>Growing of cereals and other crops n.e.c.</c:v>
                </c:pt>
                <c:pt idx="7">
                  <c:v>Water and Construction</c:v>
                </c:pt>
                <c:pt idx="8">
                  <c:v>Wood, furniture, paper, publishing</c:v>
                </c:pt>
                <c:pt idx="9">
                  <c:v>Manufacture of sugar</c:v>
                </c:pt>
                <c:pt idx="10">
                  <c:v>Manufacture of textiles</c:v>
                </c:pt>
              </c:strCache>
            </c:strRef>
          </c:cat>
          <c:val>
            <c:numRef>
              <c:f>'2012 emissions NG SBS secto (2)'!$C$2:$C$12</c:f>
              <c:numCache>
                <c:formatCode>0.00</c:formatCode>
                <c:ptCount val="11"/>
                <c:pt idx="0">
                  <c:v>57.684009739784244</c:v>
                </c:pt>
                <c:pt idx="1">
                  <c:v>10.011339689637206</c:v>
                </c:pt>
                <c:pt idx="2">
                  <c:v>13.405320717236687</c:v>
                </c:pt>
                <c:pt idx="3">
                  <c:v>6.3018571083094681</c:v>
                </c:pt>
                <c:pt idx="4">
                  <c:v>3.7640954644100972</c:v>
                </c:pt>
                <c:pt idx="5">
                  <c:v>2.4972644711079681</c:v>
                </c:pt>
                <c:pt idx="6">
                  <c:v>1.3691096104491496</c:v>
                </c:pt>
                <c:pt idx="7">
                  <c:v>1.225751144001564</c:v>
                </c:pt>
                <c:pt idx="8">
                  <c:v>1.1164249067855041</c:v>
                </c:pt>
                <c:pt idx="9">
                  <c:v>1.8387704504371878</c:v>
                </c:pt>
                <c:pt idx="10">
                  <c:v>0.78605669784088805</c:v>
                </c:pt>
              </c:numCache>
            </c:numRef>
          </c:val>
        </c:ser>
        <c:ser>
          <c:idx val="2"/>
          <c:order val="2"/>
          <c:tx>
            <c:strRef>
              <c:f>'2012 emissions NG SBS secto (2)'!$D$1</c:f>
              <c:strCache>
                <c:ptCount val="1"/>
                <c:pt idx="0">
                  <c:v>CH4</c:v>
                </c:pt>
              </c:strCache>
            </c:strRef>
          </c:tx>
          <c:cat>
            <c:strRef>
              <c:f>'2012 emissions NG SBS secto (2)'!$A$2:$A$12</c:f>
              <c:strCache>
                <c:ptCount val="11"/>
                <c:pt idx="0">
                  <c:v>Energy production and distribution</c:v>
                </c:pt>
                <c:pt idx="1">
                  <c:v>Mnf. of coke, refined petroleum  etc</c:v>
                </c:pt>
                <c:pt idx="2">
                  <c:v>Mnf. of ferrous, non-ferrous metals</c:v>
                </c:pt>
                <c:pt idx="3">
                  <c:v>Services</c:v>
                </c:pt>
                <c:pt idx="4">
                  <c:v>Transport</c:v>
                </c:pt>
                <c:pt idx="5">
                  <c:v>Others</c:v>
                </c:pt>
                <c:pt idx="6">
                  <c:v>Growing of cereals and other crops n.e.c.</c:v>
                </c:pt>
                <c:pt idx="7">
                  <c:v>Water and Construction</c:v>
                </c:pt>
                <c:pt idx="8">
                  <c:v>Wood, furniture, paper, publishing</c:v>
                </c:pt>
                <c:pt idx="9">
                  <c:v>Manufacture of sugar</c:v>
                </c:pt>
                <c:pt idx="10">
                  <c:v>Manufacture of textiles</c:v>
                </c:pt>
              </c:strCache>
            </c:strRef>
          </c:cat>
          <c:val>
            <c:numRef>
              <c:f>'2012 emissions NG SBS secto (2)'!$D$2:$D$12</c:f>
              <c:numCache>
                <c:formatCode>0.00</c:formatCode>
                <c:ptCount val="11"/>
                <c:pt idx="0">
                  <c:v>43.037428923769134</c:v>
                </c:pt>
                <c:pt idx="1">
                  <c:v>13.557442360178854</c:v>
                </c:pt>
                <c:pt idx="2">
                  <c:v>8.8038365431436958</c:v>
                </c:pt>
                <c:pt idx="3">
                  <c:v>7.1209228261038717</c:v>
                </c:pt>
                <c:pt idx="4">
                  <c:v>10.088437381388973</c:v>
                </c:pt>
                <c:pt idx="5">
                  <c:v>5.4254437723508504</c:v>
                </c:pt>
                <c:pt idx="6">
                  <c:v>3.5033542486584079</c:v>
                </c:pt>
                <c:pt idx="7">
                  <c:v>3.1243727536468642</c:v>
                </c:pt>
                <c:pt idx="8">
                  <c:v>2.6252085730060877</c:v>
                </c:pt>
                <c:pt idx="9">
                  <c:v>1.0400745288993933</c:v>
                </c:pt>
                <c:pt idx="10">
                  <c:v>1.673478088853924</c:v>
                </c:pt>
              </c:numCache>
            </c:numRef>
          </c:val>
        </c:ser>
        <c:axId val="79924224"/>
        <c:axId val="79930112"/>
      </c:barChart>
      <c:catAx>
        <c:axId val="79924224"/>
        <c:scaling>
          <c:orientation val="minMax"/>
        </c:scaling>
        <c:axPos val="l"/>
        <c:tickLblPos val="nextTo"/>
        <c:crossAx val="79930112"/>
        <c:crosses val="autoZero"/>
        <c:auto val="1"/>
        <c:lblAlgn val="ctr"/>
        <c:lblOffset val="100"/>
      </c:catAx>
      <c:valAx>
        <c:axId val="79930112"/>
        <c:scaling>
          <c:orientation val="minMax"/>
        </c:scaling>
        <c:axPos val="b"/>
        <c:majorGridlines/>
        <c:numFmt formatCode="0.00" sourceLinked="1"/>
        <c:tickLblPos val="nextTo"/>
        <c:crossAx val="79924224"/>
        <c:crosses val="autoZero"/>
        <c:crossBetween val="between"/>
      </c:valAx>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1</Pages>
  <Words>4464</Words>
  <Characters>25450</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64bit</dc:creator>
  <cp:lastModifiedBy>64bit</cp:lastModifiedBy>
  <cp:revision>20</cp:revision>
  <dcterms:created xsi:type="dcterms:W3CDTF">2011-04-26T05:16:00Z</dcterms:created>
  <dcterms:modified xsi:type="dcterms:W3CDTF">2011-04-29T09:03:00Z</dcterms:modified>
</cp:coreProperties>
</file>