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1AC" w:rsidRPr="007403AF" w:rsidRDefault="002D19A2" w:rsidP="007403AF">
      <w:pPr>
        <w:jc w:val="center"/>
        <w:rPr>
          <w:b/>
          <w:bCs/>
        </w:rPr>
      </w:pPr>
      <w:r w:rsidRPr="007403AF">
        <w:rPr>
          <w:b/>
          <w:bCs/>
        </w:rPr>
        <w:t xml:space="preserve">Is Leontief Paradox </w:t>
      </w:r>
      <w:r w:rsidR="00523DC9" w:rsidRPr="007403AF">
        <w:rPr>
          <w:b/>
          <w:bCs/>
        </w:rPr>
        <w:t>S</w:t>
      </w:r>
      <w:r w:rsidRPr="007403AF">
        <w:rPr>
          <w:b/>
          <w:bCs/>
        </w:rPr>
        <w:t>atisfied in Foreign Trade in Iran?</w:t>
      </w:r>
    </w:p>
    <w:p w:rsidR="00F120F3" w:rsidRPr="007403AF" w:rsidRDefault="00F120F3" w:rsidP="007403AF">
      <w:pPr>
        <w:jc w:val="center"/>
        <w:rPr>
          <w:i/>
          <w:iCs/>
        </w:rPr>
      </w:pPr>
      <w:proofErr w:type="spellStart"/>
      <w:r w:rsidRPr="007403AF">
        <w:rPr>
          <w:i/>
          <w:iCs/>
        </w:rPr>
        <w:t>Bazzazan</w:t>
      </w:r>
      <w:proofErr w:type="spellEnd"/>
      <w:r w:rsidRPr="007403AF">
        <w:rPr>
          <w:i/>
          <w:iCs/>
        </w:rPr>
        <w:t xml:space="preserve"> F.</w:t>
      </w:r>
    </w:p>
    <w:p w:rsidR="00F120F3" w:rsidRDefault="00F120F3" w:rsidP="00D713AF">
      <w:pPr>
        <w:jc w:val="center"/>
        <w:rPr>
          <w:i/>
          <w:iCs/>
        </w:rPr>
      </w:pPr>
      <w:proofErr w:type="spellStart"/>
      <w:r w:rsidRPr="007403AF">
        <w:rPr>
          <w:i/>
          <w:iCs/>
        </w:rPr>
        <w:t>Alzahra</w:t>
      </w:r>
      <w:proofErr w:type="spellEnd"/>
      <w:r w:rsidRPr="007403AF">
        <w:rPr>
          <w:i/>
          <w:iCs/>
        </w:rPr>
        <w:t xml:space="preserve"> University</w:t>
      </w:r>
    </w:p>
    <w:p w:rsidR="00D713AF" w:rsidRPr="007403AF" w:rsidRDefault="00D713AF" w:rsidP="00D713AF">
      <w:pPr>
        <w:jc w:val="center"/>
        <w:rPr>
          <w:i/>
          <w:iCs/>
        </w:rPr>
      </w:pPr>
      <w:r>
        <w:rPr>
          <w:i/>
          <w:iCs/>
        </w:rPr>
        <w:t>Tehran-Iran</w:t>
      </w:r>
    </w:p>
    <w:p w:rsidR="002D19A2" w:rsidRPr="002D19A2" w:rsidRDefault="002D19A2" w:rsidP="00B66ADD"/>
    <w:p w:rsidR="00282533" w:rsidRDefault="002D19A2" w:rsidP="005920D1">
      <w:pPr>
        <w:ind w:firstLine="720"/>
      </w:pPr>
      <w:r w:rsidRPr="004D70C9">
        <w:t xml:space="preserve">In </w:t>
      </w:r>
      <w:proofErr w:type="spellStart"/>
      <w:r w:rsidRPr="004D70C9">
        <w:t>Wassily</w:t>
      </w:r>
      <w:proofErr w:type="spellEnd"/>
      <w:r w:rsidRPr="004D70C9">
        <w:t xml:space="preserve"> Leontief’s study of the structure of U.S. foreign trade, he came to conclusion that the United States specializes in labor-intensive lines of production. This is a surprising conclusion for the US developed economy that an average million dollars' worth of exports embodies considerably less capital and somewhat more labor than would be required to replace from domestic production. This subject then became famous as Leontief Paradox in the foreign trade literature. </w:t>
      </w:r>
      <w:r w:rsidR="006734AF" w:rsidRPr="004D70C9">
        <w:t xml:space="preserve">Since </w:t>
      </w:r>
      <w:smartTag w:uri="urn:schemas-microsoft-com:office:smarttags" w:element="country-region">
        <w:smartTag w:uri="urn:schemas-microsoft-com:office:smarttags" w:element="place">
          <w:r w:rsidR="006734AF" w:rsidRPr="004D70C9">
            <w:t>Iran</w:t>
          </w:r>
        </w:smartTag>
      </w:smartTag>
      <w:r w:rsidR="006734AF" w:rsidRPr="004D70C9">
        <w:t xml:space="preserve"> is known to have a far higher labor/capital ratio than its trading partners</w:t>
      </w:r>
      <w:r w:rsidR="00302BB8" w:rsidRPr="004D70C9">
        <w:t>.</w:t>
      </w:r>
      <w:r w:rsidR="006734AF" w:rsidRPr="004D70C9">
        <w:t xml:space="preserve"> </w:t>
      </w:r>
      <w:r w:rsidR="00302BB8" w:rsidRPr="004D70C9">
        <w:t>The question is</w:t>
      </w:r>
      <w:r w:rsidR="00F120F3" w:rsidRPr="004D70C9">
        <w:t xml:space="preserve"> whether or not the Leontief Paradox is satisfied in foreign trade in </w:t>
      </w:r>
      <w:smartTag w:uri="urn:schemas-microsoft-com:office:smarttags" w:element="country-region">
        <w:smartTag w:uri="urn:schemas-microsoft-com:office:smarttags" w:element="place">
          <w:r w:rsidR="00F120F3" w:rsidRPr="004D70C9">
            <w:t>Iran</w:t>
          </w:r>
        </w:smartTag>
      </w:smartTag>
      <w:r w:rsidR="00F120F3" w:rsidRPr="004D70C9">
        <w:t>?</w:t>
      </w:r>
      <w:r w:rsidR="00302BB8" w:rsidRPr="004D70C9">
        <w:t xml:space="preserve"> </w:t>
      </w:r>
      <w:r w:rsidR="00F120F3" w:rsidRPr="004D70C9">
        <w:t>T</w:t>
      </w:r>
      <w:r w:rsidR="006734AF" w:rsidRPr="004D70C9">
        <w:t>he result may</w:t>
      </w:r>
      <w:r w:rsidR="00BF63DA" w:rsidRPr="004D70C9">
        <w:t xml:space="preserve"> </w:t>
      </w:r>
      <w:r w:rsidR="006734AF" w:rsidRPr="004D70C9">
        <w:t>contradict</w:t>
      </w:r>
      <w:r w:rsidR="00BF63DA" w:rsidRPr="004D70C9">
        <w:t xml:space="preserve"> the basic </w:t>
      </w:r>
      <w:r w:rsidR="006734AF" w:rsidRPr="004D70C9">
        <w:t>Ohlin model which explains international trade in terms of relative factor endowments.</w:t>
      </w:r>
      <w:r w:rsidR="00F120F3" w:rsidRPr="004D70C9">
        <w:t xml:space="preserve"> The main data source is a</w:t>
      </w:r>
      <w:r w:rsidR="00351C72">
        <w:t>- 91</w:t>
      </w:r>
      <w:r w:rsidR="00F120F3" w:rsidRPr="004D70C9">
        <w:t xml:space="preserve"> </w:t>
      </w:r>
      <w:r w:rsidR="005920D1">
        <w:t>commodity</w:t>
      </w:r>
      <w:r w:rsidR="00F120F3" w:rsidRPr="004D70C9">
        <w:t xml:space="preserve"> input-output table</w:t>
      </w:r>
      <w:r w:rsidR="003232EA" w:rsidRPr="004D70C9">
        <w:t xml:space="preserve"> and import table</w:t>
      </w:r>
      <w:r w:rsidR="00F120F3" w:rsidRPr="004D70C9">
        <w:t xml:space="preserve"> for 200</w:t>
      </w:r>
      <w:r w:rsidR="00351C72">
        <w:t>1</w:t>
      </w:r>
      <w:r w:rsidR="00F120F3" w:rsidRPr="004D70C9">
        <w:t>,</w:t>
      </w:r>
      <w:r w:rsidR="003232EA" w:rsidRPr="004D70C9">
        <w:t xml:space="preserve"> a</w:t>
      </w:r>
      <w:r w:rsidR="00F120F3" w:rsidRPr="004D70C9">
        <w:t>t the national level</w:t>
      </w:r>
      <w:r w:rsidR="00282533" w:rsidRPr="004D70C9">
        <w:t xml:space="preserve">. There are </w:t>
      </w:r>
      <w:r w:rsidR="003232EA" w:rsidRPr="004D70C9">
        <w:t xml:space="preserve">two factors: </w:t>
      </w:r>
      <w:r w:rsidR="00282533" w:rsidRPr="004D70C9">
        <w:t xml:space="preserve">capital and </w:t>
      </w:r>
      <w:r w:rsidR="00351C72">
        <w:t>labor</w:t>
      </w:r>
      <w:r w:rsidR="003232EA" w:rsidRPr="004D70C9">
        <w:t xml:space="preserve">. </w:t>
      </w:r>
    </w:p>
    <w:p w:rsidR="00B66ADD" w:rsidRPr="00351C72" w:rsidRDefault="00A202C8" w:rsidP="00A202C8">
      <w:pPr>
        <w:pStyle w:val="style55"/>
        <w:jc w:val="both"/>
        <w:rPr>
          <w:rFonts w:asciiTheme="majorBidi" w:hAnsiTheme="majorBidi" w:cstheme="majorBidi"/>
          <w:sz w:val="24"/>
          <w:szCs w:val="24"/>
        </w:rPr>
      </w:pPr>
      <w:proofErr w:type="gramStart"/>
      <w:r w:rsidRPr="00351C72">
        <w:rPr>
          <w:rFonts w:asciiTheme="majorBidi" w:hAnsiTheme="majorBidi" w:cstheme="majorBidi"/>
          <w:sz w:val="24"/>
          <w:szCs w:val="24"/>
        </w:rPr>
        <w:t>P</w:t>
      </w:r>
      <w:r w:rsidR="00B66ADD" w:rsidRPr="00351C72">
        <w:rPr>
          <w:rFonts w:asciiTheme="majorBidi" w:hAnsiTheme="majorBidi" w:cstheme="majorBidi"/>
          <w:sz w:val="24"/>
          <w:szCs w:val="24"/>
        </w:rPr>
        <w:t>aper to be presented to The 20th International Input-Output Conference, Bratislava,</w:t>
      </w:r>
      <w:r w:rsidRPr="00351C72">
        <w:rPr>
          <w:rFonts w:asciiTheme="majorBidi" w:hAnsiTheme="majorBidi" w:cstheme="majorBidi"/>
          <w:sz w:val="24"/>
          <w:szCs w:val="24"/>
        </w:rPr>
        <w:t xml:space="preserve"> </w:t>
      </w:r>
      <w:r w:rsidR="00B66ADD" w:rsidRPr="00351C72">
        <w:rPr>
          <w:rFonts w:asciiTheme="majorBidi" w:hAnsiTheme="majorBidi" w:cstheme="majorBidi"/>
          <w:sz w:val="24"/>
          <w:szCs w:val="24"/>
        </w:rPr>
        <w:t>Slovakia, 26-29 June 2012.</w:t>
      </w:r>
      <w:proofErr w:type="gramEnd"/>
      <w:r w:rsidR="00B66ADD" w:rsidRPr="00351C72">
        <w:rPr>
          <w:rFonts w:asciiTheme="majorBidi" w:hAnsiTheme="majorBidi" w:cstheme="majorBidi"/>
          <w:sz w:val="24"/>
          <w:szCs w:val="24"/>
        </w:rPr>
        <w:t xml:space="preserve"> </w:t>
      </w:r>
    </w:p>
    <w:p w:rsidR="00734EB8" w:rsidRDefault="00734EB8" w:rsidP="00B66ADD"/>
    <w:p w:rsidR="00B66ADD" w:rsidRDefault="00B66ADD" w:rsidP="00B66ADD"/>
    <w:p w:rsidR="00734EB8" w:rsidRDefault="00734EB8" w:rsidP="00B66ADD"/>
    <w:p w:rsidR="00734EB8" w:rsidRDefault="00734EB8" w:rsidP="00B66ADD"/>
    <w:p w:rsidR="00734EB8" w:rsidRDefault="00734EB8" w:rsidP="00B66ADD"/>
    <w:p w:rsidR="00734EB8" w:rsidRDefault="00734EB8" w:rsidP="00B66ADD"/>
    <w:p w:rsidR="00734EB8" w:rsidRDefault="00734EB8" w:rsidP="00B66ADD"/>
    <w:p w:rsidR="00734EB8" w:rsidRDefault="00734EB8" w:rsidP="00B66ADD"/>
    <w:p w:rsidR="00734EB8" w:rsidRDefault="00734EB8" w:rsidP="00B66ADD"/>
    <w:p w:rsidR="00734EB8" w:rsidRDefault="00734EB8" w:rsidP="00B66ADD"/>
    <w:p w:rsidR="00734EB8" w:rsidRDefault="00734EB8" w:rsidP="00B66ADD"/>
    <w:p w:rsidR="00BF63DA" w:rsidRPr="007403AF" w:rsidRDefault="00D713AF" w:rsidP="007403AF">
      <w:pPr>
        <w:pStyle w:val="ListParagraph"/>
        <w:numPr>
          <w:ilvl w:val="0"/>
          <w:numId w:val="10"/>
        </w:numPr>
        <w:rPr>
          <w:b/>
          <w:bCs/>
        </w:rPr>
      </w:pPr>
      <w:r>
        <w:rPr>
          <w:b/>
          <w:bCs/>
        </w:rPr>
        <w:lastRenderedPageBreak/>
        <w:t xml:space="preserve"> </w:t>
      </w:r>
      <w:r w:rsidR="004B4A26" w:rsidRPr="007403AF">
        <w:rPr>
          <w:b/>
          <w:bCs/>
        </w:rPr>
        <w:t>Introduction</w:t>
      </w:r>
    </w:p>
    <w:p w:rsidR="000805CB" w:rsidRDefault="004B4A26" w:rsidP="007403AF">
      <w:pPr>
        <w:ind w:firstLine="720"/>
      </w:pPr>
      <w:r w:rsidRPr="004B4A26">
        <w:t>International trade countries</w:t>
      </w:r>
      <w:r w:rsidR="00735F9D">
        <w:t xml:space="preserve"> enable them</w:t>
      </w:r>
      <w:r w:rsidRPr="004B4A26">
        <w:t xml:space="preserve"> to participate in and maximize their profit. </w:t>
      </w:r>
      <w:r w:rsidR="00ED339A">
        <w:t xml:space="preserve">Each country may have </w:t>
      </w:r>
      <w:r w:rsidR="00196457">
        <w:t>specialized</w:t>
      </w:r>
      <w:r w:rsidR="00ED339A">
        <w:t xml:space="preserve"> in one or more activities in which have comparative advantage. </w:t>
      </w:r>
      <w:r w:rsidR="00163875">
        <w:t xml:space="preserve">International trade in terms of comparative advantage factor of endowment was originally developed classical theory of the </w:t>
      </w:r>
      <w:r w:rsidR="00196457">
        <w:t>l</w:t>
      </w:r>
      <w:r w:rsidR="00163875">
        <w:t xml:space="preserve">ate eighteenth and the early nineteenth centuries and still </w:t>
      </w:r>
      <w:r w:rsidR="00196457">
        <w:t xml:space="preserve">constitute </w:t>
      </w:r>
      <w:r w:rsidR="00163875">
        <w:t>the basis of international trade</w:t>
      </w:r>
      <w:r w:rsidR="00196457">
        <w:t xml:space="preserve"> (Leontief 1953)</w:t>
      </w:r>
      <w:r w:rsidR="00163875">
        <w:t xml:space="preserve">. </w:t>
      </w:r>
      <w:r w:rsidR="00735F9D">
        <w:t xml:space="preserve">The most famous international </w:t>
      </w:r>
      <w:r w:rsidR="00D713AF">
        <w:t xml:space="preserve">trade </w:t>
      </w:r>
      <w:r w:rsidR="00735F9D">
        <w:t xml:space="preserve">theory is called </w:t>
      </w:r>
      <w:proofErr w:type="spellStart"/>
      <w:r w:rsidR="00735F9D">
        <w:t>Heckcher</w:t>
      </w:r>
      <w:proofErr w:type="spellEnd"/>
      <w:r w:rsidR="00735F9D">
        <w:t xml:space="preserve"> –Ohlin (H-O) theory.  </w:t>
      </w:r>
    </w:p>
    <w:p w:rsidR="0051271D" w:rsidRDefault="00AE4569" w:rsidP="007403AF">
      <w:pPr>
        <w:ind w:firstLine="720"/>
      </w:pPr>
      <w:r>
        <w:t>The H</w:t>
      </w:r>
      <w:r w:rsidR="00735F9D">
        <w:t>-</w:t>
      </w:r>
      <w:r>
        <w:t xml:space="preserve">O theory is most widely understood in </w:t>
      </w:r>
      <w:r w:rsidR="00735F9D" w:rsidRPr="00735F9D">
        <w:rPr>
          <w:position w:val="-4"/>
        </w:rPr>
        <w:object w:dxaOrig="8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2.75pt" o:ole="">
            <v:imagedata r:id="rId8" o:title=""/>
          </v:shape>
          <o:OLEObject Type="Embed" ProgID="Equation.3" ShapeID="_x0000_i1025" DrawAspect="Content" ObjectID="_1397122697" r:id="rId9"/>
        </w:object>
      </w:r>
      <w:r w:rsidR="00735F9D">
        <w:t xml:space="preserve">, </w:t>
      </w:r>
      <w:r>
        <w:t>two-good and two- primary factor</w:t>
      </w:r>
      <w:r w:rsidR="00735F9D">
        <w:t xml:space="preserve">, and two country with trade and </w:t>
      </w:r>
      <w:r w:rsidR="00D01B83">
        <w:t xml:space="preserve">a </w:t>
      </w:r>
      <w:r>
        <w:t>country</w:t>
      </w:r>
      <w:r w:rsidR="00D01B83">
        <w:t xml:space="preserve"> will</w:t>
      </w:r>
      <w:r>
        <w:t xml:space="preserve"> export </w:t>
      </w:r>
      <w:r w:rsidR="00D01B83">
        <w:t>products</w:t>
      </w:r>
      <w:r>
        <w:t xml:space="preserve"> which uses intensively its relatively abundant resource</w:t>
      </w:r>
      <w:r w:rsidR="00D01B83">
        <w:t xml:space="preserve"> and will import products which are intensive in scare resource in that country</w:t>
      </w:r>
      <w:r>
        <w:t>.</w:t>
      </w:r>
      <w:r w:rsidR="009D0240">
        <w:t xml:space="preserve"> </w:t>
      </w:r>
      <w:r w:rsidR="00165596" w:rsidRPr="004D70C9">
        <w:t xml:space="preserve">In </w:t>
      </w:r>
      <w:proofErr w:type="spellStart"/>
      <w:r w:rsidR="00165596" w:rsidRPr="004D70C9">
        <w:t>Wassily</w:t>
      </w:r>
      <w:proofErr w:type="spellEnd"/>
      <w:r w:rsidR="00165596" w:rsidRPr="004D70C9">
        <w:t xml:space="preserve"> Leontief’s study of the structure of U.S. foreign trade</w:t>
      </w:r>
      <w:r w:rsidR="00165596">
        <w:t xml:space="preserve"> using H-O model</w:t>
      </w:r>
      <w:r w:rsidR="00165596" w:rsidRPr="004D70C9">
        <w:t>, he came to conclusion that the United States specializes in labor-intensive lines of production</w:t>
      </w:r>
      <w:r w:rsidR="00FA7763">
        <w:t xml:space="preserve"> (Leontief 1953, 1956)</w:t>
      </w:r>
      <w:r w:rsidR="00165596" w:rsidRPr="004D70C9">
        <w:t xml:space="preserve">. This is a surprising conclusion for the US developed economy that an average million dollars' worth of exports embodies considerably less capital and somewhat more labor than would be required to replace from domestic production. This subject then became famous as Leontief Paradox in the foreign trade literature. </w:t>
      </w:r>
    </w:p>
    <w:p w:rsidR="00A9165E" w:rsidRDefault="004F41BC" w:rsidP="007403AF">
      <w:pPr>
        <w:ind w:firstLine="720"/>
      </w:pPr>
      <w:r>
        <w:t>The main aim of this paper is to investigate</w:t>
      </w:r>
      <w:r w:rsidRPr="004D70C9">
        <w:t xml:space="preserve"> whether or not the Leontief Paradox is satisfied in foreign trade in Iran? </w:t>
      </w:r>
      <w:r>
        <w:t>To answer this question, the</w:t>
      </w:r>
      <w:r w:rsidR="00A9165E">
        <w:t xml:space="preserve"> H-O </w:t>
      </w:r>
      <w:r w:rsidR="001E5D5E">
        <w:t>model</w:t>
      </w:r>
      <w:r>
        <w:t xml:space="preserve"> is tested</w:t>
      </w:r>
      <w:r w:rsidR="001E5D5E">
        <w:t xml:space="preserve"> for Iranian case. Moreover we also test </w:t>
      </w:r>
      <w:proofErr w:type="spellStart"/>
      <w:r w:rsidR="001E5D5E">
        <w:t>Heckcher</w:t>
      </w:r>
      <w:proofErr w:type="spellEnd"/>
      <w:r w:rsidR="001E5D5E">
        <w:t xml:space="preserve"> –Ohlin-</w:t>
      </w:r>
      <w:proofErr w:type="spellStart"/>
      <w:r w:rsidR="001E5D5E">
        <w:t>Vanek</w:t>
      </w:r>
      <w:proofErr w:type="spellEnd"/>
      <w:r w:rsidR="001E5D5E">
        <w:t xml:space="preserve"> model</w:t>
      </w:r>
      <w:r>
        <w:t xml:space="preserve"> that</w:t>
      </w:r>
      <w:r w:rsidR="001E5D5E">
        <w:t xml:space="preserve"> w</w:t>
      </w:r>
      <w:r w:rsidR="00A9165E">
        <w:t xml:space="preserve">as suggested by </w:t>
      </w:r>
      <w:proofErr w:type="spellStart"/>
      <w:r w:rsidR="00A9165E">
        <w:t>Leamer</w:t>
      </w:r>
      <w:proofErr w:type="spellEnd"/>
      <w:r w:rsidR="00A9165E">
        <w:t xml:space="preserve"> (1980) and </w:t>
      </w:r>
      <w:proofErr w:type="spellStart"/>
      <w:r w:rsidR="00A9165E">
        <w:t>Leamer</w:t>
      </w:r>
      <w:proofErr w:type="spellEnd"/>
      <w:r w:rsidR="00A9165E">
        <w:t xml:space="preserve"> and Brown (1981)</w:t>
      </w:r>
      <w:r w:rsidR="001E5D5E">
        <w:t xml:space="preserve"> to re</w:t>
      </w:r>
      <w:r>
        <w:t>solve</w:t>
      </w:r>
      <w:r w:rsidR="001E5D5E">
        <w:t xml:space="preserve"> the Leontief Paradox</w:t>
      </w:r>
      <w:r w:rsidR="00A9165E">
        <w:t xml:space="preserve">. </w:t>
      </w:r>
      <w:r w:rsidR="002E7893">
        <w:t>In the later, w</w:t>
      </w:r>
      <w:r w:rsidR="00A9165E">
        <w:t>e use a multidimensional extension of two</w:t>
      </w:r>
      <w:r w:rsidR="00A9165E" w:rsidRPr="00A9165E">
        <w:rPr>
          <w:position w:val="-4"/>
        </w:rPr>
        <w:object w:dxaOrig="180" w:dyaOrig="200">
          <v:shape id="_x0000_i1026" type="#_x0000_t75" style="width:9pt;height:9.75pt" o:ole="">
            <v:imagedata r:id="rId10" o:title=""/>
          </v:shape>
          <o:OLEObject Type="Embed" ProgID="Equation.3" ShapeID="_x0000_i1026" DrawAspect="Content" ObjectID="_1397122698" r:id="rId11"/>
        </w:object>
      </w:r>
      <w:r w:rsidR="00A9165E">
        <w:t xml:space="preserve">two model known as H-O-V </w:t>
      </w:r>
      <w:r w:rsidR="00644D67">
        <w:t>model</w:t>
      </w:r>
      <w:r w:rsidR="00A9165E">
        <w:t xml:space="preserve">, in which equates the factors embodied in a country’s net exports to the country’s excess supplies of factor endowments.  </w:t>
      </w:r>
      <w:r w:rsidRPr="004D70C9">
        <w:t xml:space="preserve">Since </w:t>
      </w:r>
      <w:smartTag w:uri="urn:schemas-microsoft-com:office:smarttags" w:element="country-region">
        <w:smartTag w:uri="urn:schemas-microsoft-com:office:smarttags" w:element="place">
          <w:r w:rsidRPr="004D70C9">
            <w:t>Iran</w:t>
          </w:r>
        </w:smartTag>
      </w:smartTag>
      <w:r w:rsidRPr="004D70C9">
        <w:t xml:space="preserve"> is known to have a far higher labor/capital ratio than its trading partners. The result may contradict the basic </w:t>
      </w:r>
      <w:proofErr w:type="spellStart"/>
      <w:r w:rsidR="00226256">
        <w:t>Heckcher</w:t>
      </w:r>
      <w:proofErr w:type="spellEnd"/>
      <w:r w:rsidR="00226256">
        <w:t>-</w:t>
      </w:r>
      <w:r w:rsidRPr="004D70C9">
        <w:t>Ohlin</w:t>
      </w:r>
      <w:r w:rsidR="00226256">
        <w:t>-</w:t>
      </w:r>
      <w:proofErr w:type="spellStart"/>
      <w:r w:rsidR="00226256">
        <w:t>Vanek</w:t>
      </w:r>
      <w:proofErr w:type="spellEnd"/>
      <w:r w:rsidRPr="004D70C9">
        <w:t xml:space="preserve"> model</w:t>
      </w:r>
      <w:r w:rsidR="00226256">
        <w:t>. For this purpose paper is organize</w:t>
      </w:r>
      <w:r w:rsidR="00D713AF">
        <w:t>d</w:t>
      </w:r>
      <w:r w:rsidR="00226256">
        <w:t xml:space="preserve"> as follows: in the next part an overview of Iranian international trade will be explored. </w:t>
      </w:r>
      <w:r w:rsidR="00EC782C">
        <w:t xml:space="preserve">In the third part, the theoretical background of international trade </w:t>
      </w:r>
      <w:r w:rsidR="009D5596">
        <w:t xml:space="preserve">in HOV framework is explained. </w:t>
      </w:r>
      <w:r w:rsidR="00E15339">
        <w:t xml:space="preserve">In the fourth section, data </w:t>
      </w:r>
      <w:r w:rsidR="00423B0F">
        <w:t xml:space="preserve">base and data adjustment and computations are revealed. In the final section conclusions will be drawn.  </w:t>
      </w:r>
      <w:r w:rsidR="00E15339">
        <w:t xml:space="preserve">  </w:t>
      </w:r>
      <w:r w:rsidR="00EC782C">
        <w:t xml:space="preserve"> </w:t>
      </w:r>
    </w:p>
    <w:p w:rsidR="00C5368E" w:rsidRPr="007403AF" w:rsidRDefault="00C5368E" w:rsidP="007403AF">
      <w:pPr>
        <w:pStyle w:val="ListParagraph"/>
        <w:numPr>
          <w:ilvl w:val="0"/>
          <w:numId w:val="10"/>
        </w:numPr>
        <w:rPr>
          <w:b/>
          <w:bCs/>
        </w:rPr>
      </w:pPr>
      <w:r w:rsidRPr="007403AF">
        <w:rPr>
          <w:b/>
          <w:bCs/>
        </w:rPr>
        <w:t xml:space="preserve">Iranian </w:t>
      </w:r>
      <w:r w:rsidR="00A436FC" w:rsidRPr="007403AF">
        <w:rPr>
          <w:b/>
          <w:bCs/>
        </w:rPr>
        <w:t xml:space="preserve">International </w:t>
      </w:r>
      <w:r w:rsidRPr="007403AF">
        <w:rPr>
          <w:b/>
          <w:bCs/>
        </w:rPr>
        <w:t>Trade</w:t>
      </w:r>
    </w:p>
    <w:p w:rsidR="00BA5565" w:rsidRDefault="00A436FC" w:rsidP="00D5596C">
      <w:pPr>
        <w:ind w:firstLine="720"/>
      </w:pPr>
      <w:r>
        <w:t xml:space="preserve">International trade contributes significantly to Iran’s economy and has increased dramatically over the past few years. </w:t>
      </w:r>
      <w:r w:rsidR="002C550D">
        <w:t xml:space="preserve">Iran as one of developing countries appears to be an assumption that has comparative advantage in the production of commodities which in their production uses more labor. </w:t>
      </w:r>
      <w:r>
        <w:t xml:space="preserve">Iran also </w:t>
      </w:r>
      <w:r w:rsidR="00CD2897">
        <w:t xml:space="preserve">as </w:t>
      </w:r>
      <w:r w:rsidR="00C332BB">
        <w:t xml:space="preserve">the second largest oil producer in the Organization of the Petroleum Exporting Countries (OPEC), its oil and gas reserves rank among the world largest. </w:t>
      </w:r>
      <w:r>
        <w:t>As figures in Table 1- indicate t</w:t>
      </w:r>
      <w:r w:rsidR="00C332BB">
        <w:t xml:space="preserve">he 1973 oil price bust send the economy spiraling into crisis which has been repeated in 1980 and more or less continued to increase or decrease Iran’s oil export revenue and as a result on its foreign trade.  </w:t>
      </w:r>
      <w:r w:rsidR="00BA5565">
        <w:t xml:space="preserve">Oil and gas undoubtedly constitute the most important industrial sector to Iran’s economy. </w:t>
      </w:r>
      <w:r w:rsidR="00165A6B">
        <w:t xml:space="preserve">As Table 2- shows the oil sector’s share of fixed GDP has declined from 30-40% in the 1970s to 10-20%, largely due to destruction of production facilities during the war and OPEC output ceilings and sanctions. Nevertheless, oil revenue accounts for the majority of export earnings and presents the bulk of government </w:t>
      </w:r>
      <w:r w:rsidR="00165A6B">
        <w:lastRenderedPageBreak/>
        <w:t xml:space="preserve">revenue (about 40%). This sector also receives the majority of domestic and foreign investment. The oil and gas sector is heavily state-dominated. </w:t>
      </w:r>
      <w:r w:rsidR="00480EF3">
        <w:t>While oil export revenues have spiked in recent years due to a surge in oil prices, Iran’s oil output has remained essentially flat.</w:t>
      </w:r>
    </w:p>
    <w:p w:rsidR="00480EF3" w:rsidRDefault="00480EF3" w:rsidP="007403AF">
      <w:pPr>
        <w:ind w:firstLine="720"/>
        <w:rPr>
          <w:sz w:val="14"/>
          <w:szCs w:val="14"/>
        </w:rPr>
      </w:pPr>
      <w:r>
        <w:t>Iran’s dependence on oil export revenues makes the country highly susceptible to the volatility of international oil prices. The quadrupling of global oil prices since 2002 has given Iran enormous</w:t>
      </w:r>
      <w:r w:rsidR="00C25E9F">
        <w:t xml:space="preserve"> </w:t>
      </w:r>
      <w:r>
        <w:t>economic leverage. Steadily rising oil export revenues provide a cushion to the</w:t>
      </w:r>
      <w:r w:rsidR="00C25E9F">
        <w:t xml:space="preserve"> </w:t>
      </w:r>
      <w:r>
        <w:t>extent to which Iran’s economy is affected by international sanctions.  Iran also has been</w:t>
      </w:r>
      <w:r w:rsidR="00C25E9F">
        <w:t xml:space="preserve"> </w:t>
      </w:r>
      <w:r>
        <w:t>working to reduce its dependence on oil export revenues by building up other sectors of its</w:t>
      </w:r>
      <w:r w:rsidR="00C25E9F">
        <w:t xml:space="preserve"> </w:t>
      </w:r>
      <w:r>
        <w:t>economy. In an attempt to diversify its exports, Iran</w:t>
      </w:r>
      <w:r w:rsidR="00C25E9F">
        <w:t xml:space="preserve"> </w:t>
      </w:r>
      <w:r>
        <w:t>also is building up its petrochemicals</w:t>
      </w:r>
      <w:r w:rsidR="00C25E9F">
        <w:t xml:space="preserve"> </w:t>
      </w:r>
      <w:r>
        <w:t>industry.</w:t>
      </w:r>
      <w:r>
        <w:rPr>
          <w:sz w:val="14"/>
          <w:szCs w:val="14"/>
        </w:rPr>
        <w:t xml:space="preserve"> </w:t>
      </w:r>
      <w:r>
        <w:t>The industry reportedly faces some</w:t>
      </w:r>
      <w:r w:rsidR="00C25E9F">
        <w:t xml:space="preserve"> </w:t>
      </w:r>
      <w:r>
        <w:t xml:space="preserve">challenges from state intervention and price-fixing. </w:t>
      </w:r>
    </w:p>
    <w:p w:rsidR="00480EF3" w:rsidRDefault="00480EF3" w:rsidP="007403AF">
      <w:pPr>
        <w:ind w:firstLine="720"/>
      </w:pPr>
      <w:r>
        <w:t>Iran’s non-oil exports have increased dramatically, which the government cites</w:t>
      </w:r>
      <w:r w:rsidR="00C25E9F">
        <w:t xml:space="preserve"> </w:t>
      </w:r>
      <w:r>
        <w:t>as a testament to its increased diversification. Non-oil exports, thus, may be able to</w:t>
      </w:r>
      <w:r w:rsidR="00C25E9F">
        <w:t xml:space="preserve"> </w:t>
      </w:r>
      <w:r>
        <w:t>alleviate economic harm from a future drop in oil prices, although the economy likely</w:t>
      </w:r>
      <w:r w:rsidR="00C25E9F">
        <w:t xml:space="preserve"> </w:t>
      </w:r>
      <w:r>
        <w:t>would still suffer.</w:t>
      </w:r>
      <w:r w:rsidR="00C25E9F">
        <w:t xml:space="preserve"> </w:t>
      </w:r>
      <w:r>
        <w:t>Because Iran’s economy is largely dependent on oil export revenues, Iran is</w:t>
      </w:r>
      <w:r w:rsidR="00C25E9F">
        <w:t xml:space="preserve"> </w:t>
      </w:r>
      <w:r>
        <w:t>developing its natural gas sector in an effort to diversify its economy. In addition,</w:t>
      </w:r>
      <w:r w:rsidR="00C25E9F">
        <w:t xml:space="preserve"> </w:t>
      </w:r>
      <w:r>
        <w:t>natural gas production would help increase export earnings and help to meet growing</w:t>
      </w:r>
      <w:r w:rsidR="00C25E9F">
        <w:t xml:space="preserve"> </w:t>
      </w:r>
      <w:r>
        <w:t>domestic consumption demands for electricity.</w:t>
      </w:r>
    </w:p>
    <w:p w:rsidR="00CD2897" w:rsidRDefault="00C25E9F" w:rsidP="00D5596C">
      <w:pPr>
        <w:ind w:firstLine="720"/>
      </w:pPr>
      <w:r>
        <w:t xml:space="preserve">International trade contributes significantly to Iran’s economy and has increased dramatically over the past few years. </w:t>
      </w:r>
      <w:r w:rsidR="00966488">
        <w:t>As figures in Table-1 shows for some of years th</w:t>
      </w:r>
      <w:r w:rsidR="00BA5565">
        <w:t xml:space="preserve">e </w:t>
      </w:r>
      <w:r w:rsidR="00966488">
        <w:t>share</w:t>
      </w:r>
      <w:r w:rsidR="00BA5565">
        <w:t xml:space="preserve"> of </w:t>
      </w:r>
      <w:r w:rsidR="00A436FC">
        <w:t>total trade was</w:t>
      </w:r>
      <w:r w:rsidR="00966488">
        <w:t xml:space="preserve"> exceeded to more than 90 percent. </w:t>
      </w:r>
      <w:r w:rsidR="00AC50CB">
        <w:t>The highest dependency to the oil export in the last 50 year has been observed in 1973 in international oil price shock period.</w:t>
      </w:r>
      <w:r w:rsidR="00A436FC">
        <w:t xml:space="preserve"> </w:t>
      </w:r>
      <w:proofErr w:type="gramStart"/>
      <w:r w:rsidR="00A436FC">
        <w:t>Similar to other countries in the Middle East and North Africa region</w:t>
      </w:r>
      <w:r w:rsidR="00D5596C">
        <w:t>, Iran</w:t>
      </w:r>
      <w:r w:rsidR="00A436FC">
        <w:t xml:space="preserve"> benefitting from high world oil prices.</w:t>
      </w:r>
      <w:proofErr w:type="gramEnd"/>
      <w:r w:rsidR="00A436FC">
        <w:t xml:space="preserve"> </w:t>
      </w:r>
      <w:r w:rsidR="00D5596C">
        <w:t>T</w:t>
      </w:r>
      <w:r w:rsidR="00AC50CB">
        <w:t xml:space="preserve">he main aim of </w:t>
      </w:r>
      <w:r w:rsidR="00D5596C">
        <w:t>all</w:t>
      </w:r>
      <w:r w:rsidR="00AC50CB">
        <w:t xml:space="preserve"> macroeconomic plans </w:t>
      </w:r>
      <w:r w:rsidR="00F82669">
        <w:t xml:space="preserve">has been </w:t>
      </w:r>
      <w:r w:rsidR="00AC50CB">
        <w:t>to reduce the dependency to oil</w:t>
      </w:r>
      <w:r w:rsidR="00F82669">
        <w:t xml:space="preserve"> export and increase non-oil exports</w:t>
      </w:r>
      <w:r w:rsidR="00D5596C" w:rsidRPr="00D5596C">
        <w:t xml:space="preserve"> </w:t>
      </w:r>
      <w:r w:rsidR="00D5596C">
        <w:t>before and after Islamic revolution</w:t>
      </w:r>
      <w:r w:rsidR="00F82669">
        <w:t xml:space="preserve">. </w:t>
      </w:r>
      <w:r w:rsidR="007F0248">
        <w:t>As oil export f</w:t>
      </w:r>
      <w:r w:rsidR="00F82669">
        <w:t xml:space="preserve">igures </w:t>
      </w:r>
      <w:r w:rsidR="007F0248">
        <w:t>in table1- show, absolute oil export has been increase with the average rate of % 3.6 yearly in fixed price, but its share has been fluctuated. In some years increased and some other decrease</w:t>
      </w:r>
      <w:r w:rsidR="00143C64">
        <w:t>d</w:t>
      </w:r>
      <w:r w:rsidR="00F82669">
        <w:t>,</w:t>
      </w:r>
      <w:r w:rsidR="00143C64">
        <w:t xml:space="preserve"> </w:t>
      </w:r>
      <w:r w:rsidR="008041DA">
        <w:t xml:space="preserve">the least share is in 2006 with more than %56 </w:t>
      </w:r>
      <w:r w:rsidR="00143C64">
        <w:t>and still</w:t>
      </w:r>
      <w:r w:rsidR="00F82669">
        <w:t xml:space="preserve"> t</w:t>
      </w:r>
      <w:r w:rsidR="008041DA">
        <w:t>here is big gap between aim and</w:t>
      </w:r>
      <w:r w:rsidR="00F82669">
        <w:t xml:space="preserve"> implementation</w:t>
      </w:r>
      <w:r w:rsidR="0030153F">
        <w:t>.</w:t>
      </w:r>
      <w:r w:rsidR="00A436FC">
        <w:t xml:space="preserve"> </w:t>
      </w:r>
      <w:r w:rsidR="0030153F">
        <w:t xml:space="preserve"> </w:t>
      </w:r>
    </w:p>
    <w:tbl>
      <w:tblPr>
        <w:tblW w:w="9376" w:type="dxa"/>
        <w:tblInd w:w="93" w:type="dxa"/>
        <w:tblLook w:val="04A0"/>
      </w:tblPr>
      <w:tblGrid>
        <w:gridCol w:w="735"/>
        <w:gridCol w:w="1350"/>
        <w:gridCol w:w="1350"/>
        <w:gridCol w:w="1260"/>
        <w:gridCol w:w="1768"/>
        <w:gridCol w:w="1495"/>
        <w:gridCol w:w="1418"/>
      </w:tblGrid>
      <w:tr w:rsidR="00CD2897" w:rsidRPr="00CD2897" w:rsidTr="007403AF">
        <w:trPr>
          <w:trHeight w:val="373"/>
        </w:trPr>
        <w:tc>
          <w:tcPr>
            <w:tcW w:w="735" w:type="dxa"/>
            <w:tcBorders>
              <w:top w:val="nil"/>
              <w:left w:val="nil"/>
              <w:bottom w:val="single" w:sz="4" w:space="0" w:color="auto"/>
              <w:right w:val="nil"/>
            </w:tcBorders>
            <w:shd w:val="clear" w:color="auto" w:fill="auto"/>
            <w:noWrap/>
            <w:vAlign w:val="bottom"/>
            <w:hideMark/>
          </w:tcPr>
          <w:p w:rsidR="00CD2897" w:rsidRPr="00CD2897" w:rsidRDefault="00CD2897" w:rsidP="00B66ADD"/>
        </w:tc>
        <w:tc>
          <w:tcPr>
            <w:tcW w:w="8641" w:type="dxa"/>
            <w:gridSpan w:val="6"/>
            <w:tcBorders>
              <w:top w:val="nil"/>
              <w:left w:val="nil"/>
              <w:bottom w:val="nil"/>
              <w:right w:val="nil"/>
            </w:tcBorders>
            <w:shd w:val="clear" w:color="auto" w:fill="auto"/>
            <w:noWrap/>
            <w:vAlign w:val="bottom"/>
            <w:hideMark/>
          </w:tcPr>
          <w:p w:rsidR="00CD2897" w:rsidRPr="00CD2897" w:rsidRDefault="00CD2897" w:rsidP="00B66ADD">
            <w:r w:rsidRPr="007403AF">
              <w:rPr>
                <w:b/>
                <w:bCs/>
              </w:rPr>
              <w:t>Table 1</w:t>
            </w:r>
            <w:r w:rsidRPr="00CD2897">
              <w:t xml:space="preserve">- Export and Import in Fixed Price 1997- billion </w:t>
            </w:r>
            <w:proofErr w:type="spellStart"/>
            <w:r w:rsidRPr="00CD2897">
              <w:t>rials</w:t>
            </w:r>
            <w:proofErr w:type="spellEnd"/>
          </w:p>
        </w:tc>
      </w:tr>
      <w:tr w:rsidR="007403AF" w:rsidRPr="00CD2897" w:rsidTr="007403AF">
        <w:trPr>
          <w:trHeight w:val="349"/>
        </w:trPr>
        <w:tc>
          <w:tcPr>
            <w:tcW w:w="735"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CD2897" w:rsidRPr="007403AF" w:rsidRDefault="00CD2897" w:rsidP="00B66ADD">
            <w:pPr>
              <w:rPr>
                <w:b/>
                <w:bCs/>
                <w:sz w:val="20"/>
                <w:szCs w:val="20"/>
              </w:rPr>
            </w:pPr>
            <w:r w:rsidRPr="007403AF">
              <w:rPr>
                <w:b/>
                <w:bCs/>
                <w:sz w:val="20"/>
                <w:szCs w:val="20"/>
              </w:rPr>
              <w:t> </w:t>
            </w:r>
            <w:r w:rsidR="007403AF" w:rsidRPr="007403AF">
              <w:rPr>
                <w:b/>
                <w:bCs/>
                <w:sz w:val="20"/>
                <w:szCs w:val="20"/>
              </w:rPr>
              <w:t>Year</w:t>
            </w:r>
          </w:p>
        </w:tc>
        <w:tc>
          <w:tcPr>
            <w:tcW w:w="135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CD2897" w:rsidRPr="007403AF" w:rsidRDefault="00CD2897" w:rsidP="00B66ADD">
            <w:pPr>
              <w:rPr>
                <w:b/>
                <w:bCs/>
                <w:sz w:val="20"/>
                <w:szCs w:val="20"/>
              </w:rPr>
            </w:pPr>
            <w:r w:rsidRPr="007403AF">
              <w:rPr>
                <w:b/>
                <w:bCs/>
                <w:sz w:val="20"/>
                <w:szCs w:val="20"/>
              </w:rPr>
              <w:t>Total Export</w:t>
            </w:r>
          </w:p>
        </w:tc>
        <w:tc>
          <w:tcPr>
            <w:tcW w:w="1350" w:type="dxa"/>
            <w:tcBorders>
              <w:top w:val="single" w:sz="8" w:space="0" w:color="auto"/>
              <w:left w:val="nil"/>
              <w:bottom w:val="single" w:sz="8" w:space="0" w:color="auto"/>
              <w:right w:val="single" w:sz="8" w:space="0" w:color="auto"/>
            </w:tcBorders>
            <w:shd w:val="clear" w:color="auto" w:fill="auto"/>
            <w:vAlign w:val="bottom"/>
            <w:hideMark/>
          </w:tcPr>
          <w:p w:rsidR="00CD2897" w:rsidRPr="007403AF" w:rsidRDefault="00CD2897" w:rsidP="00B66ADD">
            <w:pPr>
              <w:rPr>
                <w:b/>
                <w:bCs/>
                <w:sz w:val="20"/>
                <w:szCs w:val="20"/>
              </w:rPr>
            </w:pPr>
            <w:r w:rsidRPr="007403AF">
              <w:rPr>
                <w:b/>
                <w:bCs/>
                <w:sz w:val="20"/>
                <w:szCs w:val="20"/>
              </w:rPr>
              <w:t>Oil and Gas</w:t>
            </w:r>
          </w:p>
        </w:tc>
        <w:tc>
          <w:tcPr>
            <w:tcW w:w="1260" w:type="dxa"/>
            <w:tcBorders>
              <w:top w:val="single" w:sz="8" w:space="0" w:color="auto"/>
              <w:left w:val="nil"/>
              <w:bottom w:val="nil"/>
              <w:right w:val="single" w:sz="8" w:space="0" w:color="auto"/>
            </w:tcBorders>
            <w:shd w:val="clear" w:color="auto" w:fill="auto"/>
            <w:vAlign w:val="bottom"/>
            <w:hideMark/>
          </w:tcPr>
          <w:p w:rsidR="00CD2897" w:rsidRPr="007403AF" w:rsidRDefault="00CD2897" w:rsidP="00B66ADD">
            <w:pPr>
              <w:rPr>
                <w:b/>
                <w:bCs/>
                <w:sz w:val="20"/>
                <w:szCs w:val="20"/>
              </w:rPr>
            </w:pPr>
            <w:r w:rsidRPr="007403AF">
              <w:rPr>
                <w:b/>
                <w:bCs/>
                <w:sz w:val="20"/>
                <w:szCs w:val="20"/>
              </w:rPr>
              <w:t>Other items</w:t>
            </w:r>
          </w:p>
        </w:tc>
        <w:tc>
          <w:tcPr>
            <w:tcW w:w="1768" w:type="dxa"/>
            <w:tcBorders>
              <w:top w:val="single" w:sz="8" w:space="0" w:color="auto"/>
              <w:left w:val="nil"/>
              <w:bottom w:val="nil"/>
              <w:right w:val="single" w:sz="8" w:space="0" w:color="auto"/>
            </w:tcBorders>
            <w:shd w:val="clear" w:color="auto" w:fill="auto"/>
            <w:vAlign w:val="bottom"/>
            <w:hideMark/>
          </w:tcPr>
          <w:p w:rsidR="00CD2897" w:rsidRPr="007403AF" w:rsidRDefault="00CD2897" w:rsidP="00B66ADD">
            <w:pPr>
              <w:rPr>
                <w:b/>
                <w:bCs/>
                <w:sz w:val="20"/>
                <w:szCs w:val="20"/>
              </w:rPr>
            </w:pPr>
            <w:r w:rsidRPr="007403AF">
              <w:rPr>
                <w:b/>
                <w:bCs/>
                <w:sz w:val="20"/>
                <w:szCs w:val="20"/>
              </w:rPr>
              <w:t xml:space="preserve"> Oil Export share</w:t>
            </w:r>
          </w:p>
        </w:tc>
        <w:tc>
          <w:tcPr>
            <w:tcW w:w="1495" w:type="dxa"/>
            <w:tcBorders>
              <w:top w:val="single" w:sz="8" w:space="0" w:color="auto"/>
              <w:left w:val="nil"/>
              <w:bottom w:val="nil"/>
              <w:right w:val="single" w:sz="8" w:space="0" w:color="auto"/>
            </w:tcBorders>
            <w:shd w:val="clear" w:color="auto" w:fill="auto"/>
            <w:vAlign w:val="bottom"/>
            <w:hideMark/>
          </w:tcPr>
          <w:p w:rsidR="00CD2897" w:rsidRPr="007403AF" w:rsidRDefault="00CD2897" w:rsidP="00B66ADD">
            <w:pPr>
              <w:rPr>
                <w:b/>
                <w:bCs/>
                <w:sz w:val="20"/>
                <w:szCs w:val="20"/>
              </w:rPr>
            </w:pPr>
            <w:r w:rsidRPr="007403AF">
              <w:rPr>
                <w:b/>
                <w:bCs/>
                <w:sz w:val="20"/>
                <w:szCs w:val="20"/>
              </w:rPr>
              <w:t>Total Import</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CD2897" w:rsidRPr="007403AF" w:rsidRDefault="00CD2897" w:rsidP="00B66ADD">
            <w:pPr>
              <w:rPr>
                <w:b/>
                <w:bCs/>
                <w:sz w:val="20"/>
                <w:szCs w:val="20"/>
              </w:rPr>
            </w:pPr>
            <w:r w:rsidRPr="007403AF">
              <w:rPr>
                <w:b/>
                <w:bCs/>
                <w:sz w:val="20"/>
                <w:szCs w:val="20"/>
              </w:rPr>
              <w:t>Net Export</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1959</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14736</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13286</w:t>
            </w:r>
          </w:p>
        </w:tc>
        <w:tc>
          <w:tcPr>
            <w:tcW w:w="1260" w:type="dxa"/>
            <w:tcBorders>
              <w:top w:val="single" w:sz="8" w:space="0" w:color="auto"/>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1450</w:t>
            </w:r>
          </w:p>
        </w:tc>
        <w:tc>
          <w:tcPr>
            <w:tcW w:w="1768" w:type="dxa"/>
            <w:tcBorders>
              <w:top w:val="single" w:sz="8" w:space="0" w:color="auto"/>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0.902</w:t>
            </w:r>
          </w:p>
        </w:tc>
        <w:tc>
          <w:tcPr>
            <w:tcW w:w="1495" w:type="dxa"/>
            <w:tcBorders>
              <w:top w:val="single" w:sz="8" w:space="0" w:color="auto"/>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9010</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5726</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1960</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16273</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14953</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1320</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0.919</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9189</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7084</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1961</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18245</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16827</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1418</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0.922</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8753</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9492</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1962</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20650</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19327</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1323</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0.936</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8084</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12566</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1963</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22744</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21360</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1384</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0.939</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7648</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15096</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1964</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25568</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24091</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1477</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0.942</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10729</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14839</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1965</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29758</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27968</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1790</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0.940</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12353</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17405</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1966</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33475</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31864</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1611</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0.952</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14049</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19426</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1967</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38903</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37088</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1815</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0.953</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17456</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21447</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1968</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44439</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42277</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2162</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0.951</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20978</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23461</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lastRenderedPageBreak/>
              <w:t>1969</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52578</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50327</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2251</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0.957</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23421</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29157</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1970</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59253</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56704</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2549</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0.957</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25228</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34025</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1971</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69449</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66045</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3404</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0.951</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30148</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39301</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1972</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79428</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76103</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3324</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0.958</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35059</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44369</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1973</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88541</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78745</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9796</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0.889</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44523</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44018</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1974</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86921</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77612</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9309</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0.893</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79991</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6930</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1975</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78036</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68364</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9672</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0.876</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120909</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-42873</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1976</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86522</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78145</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8377</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0.903</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118229</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-31707</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1977</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79730</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71278</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8453</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0.894</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134009</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-54278</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1978</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58031</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51135</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6896</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0.881</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93402</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-35371</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D9D9D9" w:themeFill="background1" w:themeFillShade="D9"/>
            <w:noWrap/>
            <w:vAlign w:val="bottom"/>
            <w:hideMark/>
          </w:tcPr>
          <w:p w:rsidR="00CD2897" w:rsidRPr="007403AF" w:rsidRDefault="00CD2897" w:rsidP="007403AF">
            <w:pPr>
              <w:rPr>
                <w:sz w:val="20"/>
                <w:szCs w:val="20"/>
              </w:rPr>
            </w:pPr>
            <w:r w:rsidRPr="007403AF">
              <w:rPr>
                <w:sz w:val="20"/>
                <w:szCs w:val="20"/>
              </w:rPr>
              <w:t>1979</w:t>
            </w:r>
          </w:p>
        </w:tc>
        <w:tc>
          <w:tcPr>
            <w:tcW w:w="1350" w:type="dxa"/>
            <w:tcBorders>
              <w:top w:val="nil"/>
              <w:left w:val="single" w:sz="4" w:space="0" w:color="auto"/>
              <w:bottom w:val="nil"/>
              <w:right w:val="single" w:sz="8" w:space="0" w:color="auto"/>
            </w:tcBorders>
            <w:shd w:val="clear" w:color="auto" w:fill="D9D9D9" w:themeFill="background1" w:themeFillShade="D9"/>
            <w:noWrap/>
            <w:vAlign w:val="bottom"/>
            <w:hideMark/>
          </w:tcPr>
          <w:p w:rsidR="00CD2897" w:rsidRPr="007403AF" w:rsidRDefault="00CD2897" w:rsidP="007403AF">
            <w:pPr>
              <w:jc w:val="center"/>
              <w:rPr>
                <w:sz w:val="20"/>
                <w:szCs w:val="20"/>
              </w:rPr>
            </w:pPr>
            <w:r w:rsidRPr="007403AF">
              <w:rPr>
                <w:sz w:val="20"/>
                <w:szCs w:val="20"/>
              </w:rPr>
              <w:t>45219</w:t>
            </w:r>
          </w:p>
        </w:tc>
        <w:tc>
          <w:tcPr>
            <w:tcW w:w="1350" w:type="dxa"/>
            <w:tcBorders>
              <w:top w:val="nil"/>
              <w:left w:val="nil"/>
              <w:bottom w:val="nil"/>
              <w:right w:val="nil"/>
            </w:tcBorders>
            <w:shd w:val="clear" w:color="auto" w:fill="D9D9D9" w:themeFill="background1" w:themeFillShade="D9"/>
            <w:noWrap/>
            <w:vAlign w:val="bottom"/>
            <w:hideMark/>
          </w:tcPr>
          <w:p w:rsidR="00CD2897" w:rsidRPr="007403AF" w:rsidRDefault="00CD2897" w:rsidP="007403AF">
            <w:pPr>
              <w:jc w:val="center"/>
              <w:rPr>
                <w:sz w:val="20"/>
                <w:szCs w:val="20"/>
              </w:rPr>
            </w:pPr>
            <w:r w:rsidRPr="007403AF">
              <w:rPr>
                <w:sz w:val="20"/>
                <w:szCs w:val="20"/>
              </w:rPr>
              <w:t>38954</w:t>
            </w:r>
          </w:p>
        </w:tc>
        <w:tc>
          <w:tcPr>
            <w:tcW w:w="1260" w:type="dxa"/>
            <w:tcBorders>
              <w:top w:val="nil"/>
              <w:left w:val="single" w:sz="8" w:space="0" w:color="auto"/>
              <w:bottom w:val="nil"/>
              <w:right w:val="single" w:sz="8" w:space="0" w:color="auto"/>
            </w:tcBorders>
            <w:shd w:val="clear" w:color="auto" w:fill="D9D9D9" w:themeFill="background1" w:themeFillShade="D9"/>
            <w:noWrap/>
            <w:vAlign w:val="bottom"/>
            <w:hideMark/>
          </w:tcPr>
          <w:p w:rsidR="00CD2897" w:rsidRPr="007403AF" w:rsidRDefault="00CD2897" w:rsidP="007403AF">
            <w:pPr>
              <w:jc w:val="center"/>
              <w:rPr>
                <w:sz w:val="20"/>
                <w:szCs w:val="20"/>
              </w:rPr>
            </w:pPr>
            <w:r w:rsidRPr="007403AF">
              <w:rPr>
                <w:sz w:val="20"/>
                <w:szCs w:val="20"/>
              </w:rPr>
              <w:t>6265</w:t>
            </w:r>
          </w:p>
        </w:tc>
        <w:tc>
          <w:tcPr>
            <w:tcW w:w="1768" w:type="dxa"/>
            <w:tcBorders>
              <w:top w:val="nil"/>
              <w:left w:val="nil"/>
              <w:bottom w:val="nil"/>
              <w:right w:val="single" w:sz="8" w:space="0" w:color="auto"/>
            </w:tcBorders>
            <w:shd w:val="clear" w:color="auto" w:fill="D9D9D9" w:themeFill="background1" w:themeFillShade="D9"/>
            <w:noWrap/>
            <w:vAlign w:val="bottom"/>
            <w:hideMark/>
          </w:tcPr>
          <w:p w:rsidR="00CD2897" w:rsidRPr="007403AF" w:rsidRDefault="00CD2897" w:rsidP="007403AF">
            <w:pPr>
              <w:jc w:val="center"/>
              <w:rPr>
                <w:sz w:val="20"/>
                <w:szCs w:val="20"/>
              </w:rPr>
            </w:pPr>
            <w:r w:rsidRPr="007403AF">
              <w:rPr>
                <w:sz w:val="20"/>
                <w:szCs w:val="20"/>
              </w:rPr>
              <w:t>0.861</w:t>
            </w:r>
          </w:p>
        </w:tc>
        <w:tc>
          <w:tcPr>
            <w:tcW w:w="1495" w:type="dxa"/>
            <w:tcBorders>
              <w:top w:val="nil"/>
              <w:left w:val="nil"/>
              <w:bottom w:val="nil"/>
              <w:right w:val="single" w:sz="8" w:space="0" w:color="auto"/>
            </w:tcBorders>
            <w:shd w:val="clear" w:color="auto" w:fill="D9D9D9" w:themeFill="background1" w:themeFillShade="D9"/>
            <w:noWrap/>
            <w:vAlign w:val="bottom"/>
            <w:hideMark/>
          </w:tcPr>
          <w:p w:rsidR="00CD2897" w:rsidRPr="007403AF" w:rsidRDefault="00CD2897" w:rsidP="007403AF">
            <w:pPr>
              <w:jc w:val="center"/>
              <w:rPr>
                <w:sz w:val="20"/>
                <w:szCs w:val="20"/>
              </w:rPr>
            </w:pPr>
            <w:r w:rsidRPr="007403AF">
              <w:rPr>
                <w:sz w:val="20"/>
                <w:szCs w:val="20"/>
              </w:rPr>
              <w:t>70413</w:t>
            </w:r>
          </w:p>
        </w:tc>
        <w:tc>
          <w:tcPr>
            <w:tcW w:w="1418" w:type="dxa"/>
            <w:tcBorders>
              <w:top w:val="nil"/>
              <w:left w:val="nil"/>
              <w:bottom w:val="nil"/>
              <w:right w:val="single" w:sz="8" w:space="0" w:color="auto"/>
            </w:tcBorders>
            <w:shd w:val="clear" w:color="auto" w:fill="D9D9D9" w:themeFill="background1" w:themeFillShade="D9"/>
            <w:noWrap/>
            <w:vAlign w:val="bottom"/>
            <w:hideMark/>
          </w:tcPr>
          <w:p w:rsidR="00CD2897" w:rsidRPr="007403AF" w:rsidRDefault="00CD2897" w:rsidP="007403AF">
            <w:pPr>
              <w:jc w:val="center"/>
              <w:rPr>
                <w:sz w:val="20"/>
                <w:szCs w:val="20"/>
              </w:rPr>
            </w:pPr>
            <w:r w:rsidRPr="007403AF">
              <w:rPr>
                <w:sz w:val="20"/>
                <w:szCs w:val="20"/>
              </w:rPr>
              <w:t>-25194</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1980</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15327</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11396</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3931</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0.744</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71825</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-56498</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1981</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13690</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11737</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1953</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0.857</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68068</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-54378</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1982</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26467</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24953</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1514</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0.943</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60733</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-34266</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1983</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32260</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30266</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1994</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0.938</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84265</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-52004</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1984</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25604</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23784</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1820</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0.929</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57908</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-32305</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1985</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23190</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21608</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1581</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0.932</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53889</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-30700</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1986</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19407</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18500</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907</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0.953</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46920</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-27513</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1987</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28327</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22881</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5446</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0.808</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51612</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-23285</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1988</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32299</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27837</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4462</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0.862</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43924</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-11625</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1989</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34866</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29339</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5527</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0.841</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52991</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-18125</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1990</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44290</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36375</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7915</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0.821</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69743</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-25454</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1991</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51880</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39784</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12096</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0.767</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92826</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-40946</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1992</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53717</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40782</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12935</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0.759</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84378</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-30661</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1993</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62002</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43196</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18806</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0.697</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67809</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-5807</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1994</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66008</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39698</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26310</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0.601</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41337</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24672</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1995</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52266</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38389</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13877</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0.734</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40953</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11313</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1996</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53562</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39997</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13565</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0.747</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47816</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5746</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1997</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51007</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37542</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13465</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0.736</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44728</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6279</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1998</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56345</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38107</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18238</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0.676</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44887</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11458</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1999</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57516</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37659</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19857</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0.655</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42521</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14995</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2000</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58479</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39913</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18566</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0.683</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46047</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12431</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2001</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57393</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35538</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21855</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0.619</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54006</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3387</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2002</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62206</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36836</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25370</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0.592</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66566</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-4360</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2003</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70013</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42931</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27082</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0.613</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80262</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-10249</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2004</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69933</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44635</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25298</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0.638</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90636</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-20703</w:t>
            </w:r>
          </w:p>
        </w:tc>
      </w:tr>
      <w:tr w:rsidR="007403AF" w:rsidRPr="00CD2897" w:rsidTr="007403AF">
        <w:trPr>
          <w:trHeight w:val="355"/>
        </w:trPr>
        <w:tc>
          <w:tcPr>
            <w:tcW w:w="735" w:type="dxa"/>
            <w:tcBorders>
              <w:top w:val="nil"/>
              <w:left w:val="single" w:sz="4" w:space="0" w:color="auto"/>
              <w:bottom w:val="nil"/>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lastRenderedPageBreak/>
              <w:t>2005</w:t>
            </w:r>
          </w:p>
        </w:tc>
        <w:tc>
          <w:tcPr>
            <w:tcW w:w="1350" w:type="dxa"/>
            <w:tcBorders>
              <w:top w:val="nil"/>
              <w:left w:val="single" w:sz="4"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73664</w:t>
            </w:r>
          </w:p>
        </w:tc>
        <w:tc>
          <w:tcPr>
            <w:tcW w:w="1350" w:type="dxa"/>
            <w:tcBorders>
              <w:top w:val="nil"/>
              <w:left w:val="nil"/>
              <w:bottom w:val="nil"/>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44619</w:t>
            </w:r>
          </w:p>
        </w:tc>
        <w:tc>
          <w:tcPr>
            <w:tcW w:w="1260" w:type="dxa"/>
            <w:tcBorders>
              <w:top w:val="nil"/>
              <w:left w:val="single" w:sz="8" w:space="0" w:color="auto"/>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29045</w:t>
            </w:r>
          </w:p>
        </w:tc>
        <w:tc>
          <w:tcPr>
            <w:tcW w:w="176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0.606</w:t>
            </w:r>
          </w:p>
        </w:tc>
        <w:tc>
          <w:tcPr>
            <w:tcW w:w="1495"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92645</w:t>
            </w:r>
          </w:p>
        </w:tc>
        <w:tc>
          <w:tcPr>
            <w:tcW w:w="1418" w:type="dxa"/>
            <w:tcBorders>
              <w:top w:val="nil"/>
              <w:left w:val="nil"/>
              <w:bottom w:val="nil"/>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-18981</w:t>
            </w:r>
          </w:p>
        </w:tc>
      </w:tr>
      <w:tr w:rsidR="007403AF" w:rsidRPr="00CD2897" w:rsidTr="007403AF">
        <w:trPr>
          <w:trHeight w:val="373"/>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CD2897" w:rsidRPr="007403AF" w:rsidRDefault="00CD2897" w:rsidP="007403AF">
            <w:pPr>
              <w:rPr>
                <w:sz w:val="20"/>
                <w:szCs w:val="20"/>
              </w:rPr>
            </w:pPr>
            <w:r w:rsidRPr="007403AF">
              <w:rPr>
                <w:sz w:val="20"/>
                <w:szCs w:val="20"/>
              </w:rPr>
              <w:t>2006</w:t>
            </w:r>
          </w:p>
        </w:tc>
        <w:tc>
          <w:tcPr>
            <w:tcW w:w="1350" w:type="dxa"/>
            <w:tcBorders>
              <w:top w:val="nil"/>
              <w:left w:val="single" w:sz="4" w:space="0" w:color="auto"/>
              <w:bottom w:val="single" w:sz="8" w:space="0" w:color="auto"/>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79585</w:t>
            </w:r>
          </w:p>
        </w:tc>
        <w:tc>
          <w:tcPr>
            <w:tcW w:w="1350" w:type="dxa"/>
            <w:tcBorders>
              <w:top w:val="nil"/>
              <w:left w:val="nil"/>
              <w:bottom w:val="single" w:sz="8" w:space="0" w:color="auto"/>
              <w:right w:val="nil"/>
            </w:tcBorders>
            <w:shd w:val="clear" w:color="auto" w:fill="auto"/>
            <w:noWrap/>
            <w:vAlign w:val="bottom"/>
            <w:hideMark/>
          </w:tcPr>
          <w:p w:rsidR="00CD2897" w:rsidRPr="007403AF" w:rsidRDefault="00CD2897" w:rsidP="007403AF">
            <w:pPr>
              <w:jc w:val="center"/>
              <w:rPr>
                <w:sz w:val="20"/>
                <w:szCs w:val="20"/>
              </w:rPr>
            </w:pPr>
            <w:r w:rsidRPr="007403AF">
              <w:rPr>
                <w:sz w:val="20"/>
                <w:szCs w:val="20"/>
              </w:rPr>
              <w:t>46259</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33326</w:t>
            </w:r>
          </w:p>
        </w:tc>
        <w:tc>
          <w:tcPr>
            <w:tcW w:w="1768" w:type="dxa"/>
            <w:tcBorders>
              <w:top w:val="nil"/>
              <w:left w:val="nil"/>
              <w:bottom w:val="single" w:sz="8" w:space="0" w:color="auto"/>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0.581</w:t>
            </w:r>
          </w:p>
        </w:tc>
        <w:tc>
          <w:tcPr>
            <w:tcW w:w="1495" w:type="dxa"/>
            <w:tcBorders>
              <w:top w:val="nil"/>
              <w:left w:val="nil"/>
              <w:bottom w:val="single" w:sz="8" w:space="0" w:color="auto"/>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99241</w:t>
            </w:r>
          </w:p>
        </w:tc>
        <w:tc>
          <w:tcPr>
            <w:tcW w:w="1418" w:type="dxa"/>
            <w:tcBorders>
              <w:top w:val="nil"/>
              <w:left w:val="nil"/>
              <w:bottom w:val="single" w:sz="8" w:space="0" w:color="auto"/>
              <w:right w:val="single" w:sz="8" w:space="0" w:color="auto"/>
            </w:tcBorders>
            <w:shd w:val="clear" w:color="auto" w:fill="auto"/>
            <w:noWrap/>
            <w:vAlign w:val="bottom"/>
            <w:hideMark/>
          </w:tcPr>
          <w:p w:rsidR="00CD2897" w:rsidRPr="007403AF" w:rsidRDefault="00CD2897" w:rsidP="007403AF">
            <w:pPr>
              <w:jc w:val="center"/>
              <w:rPr>
                <w:sz w:val="20"/>
                <w:szCs w:val="20"/>
              </w:rPr>
            </w:pPr>
            <w:r w:rsidRPr="007403AF">
              <w:rPr>
                <w:sz w:val="20"/>
                <w:szCs w:val="20"/>
              </w:rPr>
              <w:t>-19657</w:t>
            </w:r>
          </w:p>
        </w:tc>
      </w:tr>
    </w:tbl>
    <w:p w:rsidR="00CD2897" w:rsidRPr="00CD2897" w:rsidRDefault="00CD2897" w:rsidP="007403AF">
      <w:r>
        <w:t xml:space="preserve">Source: www.cbi.ir, </w:t>
      </w:r>
      <w:r w:rsidR="00DD7C87">
        <w:t>N</w:t>
      </w:r>
      <w:r>
        <w:t xml:space="preserve">ational </w:t>
      </w:r>
      <w:r w:rsidR="00DD7C87">
        <w:t>A</w:t>
      </w:r>
      <w:r>
        <w:t>ccounts</w:t>
      </w:r>
    </w:p>
    <w:p w:rsidR="005B28DA" w:rsidRDefault="005B2C15" w:rsidP="007403AF">
      <w:pPr>
        <w:ind w:firstLine="720"/>
      </w:pPr>
      <w:r>
        <w:t xml:space="preserve">As figure 1- shows, the share of foreign trade share has been reduced in the last 60 years from </w:t>
      </w:r>
      <w:r w:rsidR="00612990">
        <w:t xml:space="preserve">the highest share </w:t>
      </w:r>
      <w:r>
        <w:t>%9</w:t>
      </w:r>
      <w:r w:rsidR="00612990">
        <w:t>7</w:t>
      </w:r>
      <w:r>
        <w:t xml:space="preserve"> in 1975 to %38 in 2006, the lowest share </w:t>
      </w:r>
      <w:r w:rsidR="00612990">
        <w:t xml:space="preserve"> is </w:t>
      </w:r>
      <w:r>
        <w:t>%33 in 2000</w:t>
      </w:r>
      <w:r w:rsidR="00612990">
        <w:t>, the degree of openness in the economy has been reduced and the oil exports share is also</w:t>
      </w:r>
      <w:r w:rsidR="00C65397">
        <w:t xml:space="preserve"> </w:t>
      </w:r>
      <w:r w:rsidR="00612990">
        <w:t>have reduced sharply after 1979.</w:t>
      </w:r>
      <w:r w:rsidR="005B28DA">
        <w:t xml:space="preserve"> </w:t>
      </w:r>
    </w:p>
    <w:p w:rsidR="00146C9B" w:rsidRDefault="00146C9B" w:rsidP="007403AF">
      <w:pPr>
        <w:jc w:val="center"/>
      </w:pPr>
      <w:r w:rsidRPr="007403AF">
        <w:rPr>
          <w:b/>
          <w:bCs/>
        </w:rPr>
        <w:t>Figure 1</w:t>
      </w:r>
      <w:r>
        <w:t>- Export, Foreign trade, and Oil Export Shares</w:t>
      </w:r>
    </w:p>
    <w:p w:rsidR="00AC50CB" w:rsidRDefault="007479F2" w:rsidP="007403AF">
      <w:pPr>
        <w:jc w:val="center"/>
      </w:pPr>
      <w:r w:rsidRPr="007479F2">
        <w:rPr>
          <w:noProof/>
        </w:rPr>
        <w:drawing>
          <wp:inline distT="0" distB="0" distL="0" distR="0">
            <wp:extent cx="5286375" cy="3388995"/>
            <wp:effectExtent l="19050" t="0" r="9525"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4728A" w:rsidRDefault="0074728A" w:rsidP="00D5596C">
      <w:pPr>
        <w:ind w:firstLine="720"/>
      </w:pPr>
      <w:r>
        <w:t>W</w:t>
      </w:r>
      <w:r w:rsidRPr="00446593">
        <w:t xml:space="preserve">hen we look at the export and import separately, after oil as most of the export items, </w:t>
      </w:r>
      <w:r w:rsidR="003162CE">
        <w:t xml:space="preserve">the basic export items are: </w:t>
      </w:r>
      <w:r>
        <w:t>p</w:t>
      </w:r>
      <w:r w:rsidRPr="005062D3">
        <w:t xml:space="preserve">istachios, liquefied propane, methanol (methyl alcohol), hand-woven carpets and automobiles are the core items of Iran's non-oil exports. Iran's exports of technical and engineering services in 2007–08 were $2.7 billion of which 40% of technical services pertained to Central Asia and the Caucasus, 30% ($350 million) to Iraq, and close to 20% ($205 million) to Africa. </w:t>
      </w:r>
      <w:hyperlink r:id="rId13" w:tooltip="List of Iranian companies" w:history="1">
        <w:r w:rsidRPr="00446593">
          <w:t>Iranian firms</w:t>
        </w:r>
      </w:hyperlink>
      <w:r w:rsidRPr="005062D3">
        <w:t xml:space="preserve"> </w:t>
      </w:r>
      <w:r w:rsidRPr="00446593">
        <w:t xml:space="preserve">also </w:t>
      </w:r>
      <w:r w:rsidRPr="005062D3">
        <w:t>have</w:t>
      </w:r>
      <w:r w:rsidRPr="00446593">
        <w:t xml:space="preserve"> </w:t>
      </w:r>
      <w:r w:rsidRPr="005062D3">
        <w:t>implemented projects in different fields such as energy, pipelines, irrigation, dam construction and power generation in different countries. The country has made the development of non-oil</w:t>
      </w:r>
      <w:r w:rsidRPr="00446593">
        <w:t xml:space="preserve"> </w:t>
      </w:r>
      <w:r w:rsidRPr="005062D3">
        <w:t>exports a priority and has the advantage of a broad domestic industrial base, an educated and</w:t>
      </w:r>
      <w:r w:rsidRPr="00446593">
        <w:t xml:space="preserve"> </w:t>
      </w:r>
      <w:r w:rsidRPr="005062D3">
        <w:t xml:space="preserve"> </w:t>
      </w:r>
      <w:r w:rsidRPr="00446593">
        <w:t>m</w:t>
      </w:r>
      <w:r w:rsidRPr="005062D3">
        <w:t xml:space="preserve">otivated workforce as well as a favorable location, which gives it access to an estimated population of some 300 million people in </w:t>
      </w:r>
      <w:hyperlink r:id="rId14" w:tooltip="Caspian Sea" w:history="1">
        <w:r w:rsidRPr="00446593">
          <w:t>Caspian</w:t>
        </w:r>
      </w:hyperlink>
      <w:r w:rsidRPr="005062D3">
        <w:t xml:space="preserve"> markets, Persian Gulf states and some </w:t>
      </w:r>
      <w:hyperlink r:id="rId15" w:tooltip="Economic Cooperation Organization" w:history="1">
        <w:r w:rsidRPr="00446593">
          <w:t>ECO countries</w:t>
        </w:r>
      </w:hyperlink>
      <w:r w:rsidRPr="005062D3">
        <w:t xml:space="preserve"> further east.</w:t>
      </w:r>
      <w:r>
        <w:t xml:space="preserve"> But the combination of imports is different. Capital and consumer goods imports decreased after the 1979 Revolution, with capital goods falling from 30 percent of total imports in 1979 to 15 percent by 1982. Import of luxury </w:t>
      </w:r>
      <w:r>
        <w:lastRenderedPageBreak/>
        <w:t xml:space="preserve">goods was restricted to conserve foreign currency and preserve the balance of payments. Food imports increased despite the emphasis on agricultural self-sufficiency. Food imports in early 1986 consumed as much as 20 percent of total foreign exchange. Iran had become one of the largest per capita purchasers of wheat in the world, buying 3.4 million tons annually. The nation spent about US$3 billion per year on food items such as wheat, rice, meat, vegetable oil, eggs, chicken, tea, and sugar. By December 1986, Iran's imports of meat and dairy products alone exceeded the value of the country's entire industrial output. </w:t>
      </w:r>
    </w:p>
    <w:p w:rsidR="0074728A" w:rsidRPr="0074728A" w:rsidRDefault="0074728A" w:rsidP="007403AF">
      <w:pPr>
        <w:ind w:firstLine="720"/>
      </w:pPr>
      <w:r w:rsidRPr="0074728A">
        <w:t xml:space="preserve">The total volume of imports to Iran rose by 189% from $13.7 billion in 2000 to $39.7 billion in 2005 and $55.189 billion in 2009. Iran is among the few countries that has maintained positive GDP growth despite the </w:t>
      </w:r>
      <w:hyperlink r:id="rId16" w:tooltip="Financial crisis of 2007–2010" w:history="1">
        <w:r w:rsidRPr="0074728A">
          <w:t>2008 global financial crisis</w:t>
        </w:r>
      </w:hyperlink>
      <w:r w:rsidRPr="0074728A">
        <w:t xml:space="preserve">. Iran's major commercial partners are </w:t>
      </w:r>
      <w:hyperlink r:id="rId17" w:tooltip="People's Republic of China – Iran relations" w:history="1">
        <w:r w:rsidRPr="0074728A">
          <w:t>China</w:t>
        </w:r>
      </w:hyperlink>
      <w:r w:rsidRPr="0074728A">
        <w:t xml:space="preserve">, </w:t>
      </w:r>
      <w:hyperlink r:id="rId18" w:tooltip="India–Iran relations" w:history="1">
        <w:r w:rsidRPr="0074728A">
          <w:t>India</w:t>
        </w:r>
      </w:hyperlink>
      <w:r w:rsidRPr="0074728A">
        <w:t xml:space="preserve">, </w:t>
      </w:r>
      <w:hyperlink r:id="rId19" w:tooltip="Iran-Germany relations" w:history="1">
        <w:r w:rsidRPr="0074728A">
          <w:t>Germany</w:t>
        </w:r>
      </w:hyperlink>
      <w:r w:rsidRPr="0074728A">
        <w:t xml:space="preserve">, South Korea, </w:t>
      </w:r>
      <w:hyperlink r:id="rId20" w:tooltip="Iran–Japan relations" w:history="1">
        <w:r w:rsidRPr="0074728A">
          <w:t>Japan</w:t>
        </w:r>
      </w:hyperlink>
      <w:r w:rsidRPr="0074728A">
        <w:t xml:space="preserve">, </w:t>
      </w:r>
      <w:hyperlink r:id="rId21" w:tooltip="Iran-France relations" w:history="1">
        <w:r w:rsidRPr="0074728A">
          <w:t>France</w:t>
        </w:r>
      </w:hyperlink>
      <w:r w:rsidRPr="0074728A">
        <w:t xml:space="preserve">, </w:t>
      </w:r>
      <w:hyperlink r:id="rId22" w:tooltip="Iran-Russia relations" w:history="1">
        <w:r w:rsidRPr="0074728A">
          <w:t>Russia</w:t>
        </w:r>
      </w:hyperlink>
      <w:r w:rsidRPr="0074728A">
        <w:t xml:space="preserve"> and </w:t>
      </w:r>
      <w:hyperlink r:id="rId23" w:tooltip="Iran-Italy relations" w:history="1">
        <w:r w:rsidRPr="0074728A">
          <w:t>Italy</w:t>
        </w:r>
      </w:hyperlink>
      <w:r w:rsidRPr="0074728A">
        <w:t xml:space="preserve">. From 1950 until 1978, the </w:t>
      </w:r>
      <w:hyperlink r:id="rId24" w:tooltip="United States-Iran relations" w:history="1">
        <w:r w:rsidRPr="0074728A">
          <w:t>United States</w:t>
        </w:r>
      </w:hyperlink>
      <w:r w:rsidRPr="0074728A">
        <w:t xml:space="preserve"> was Iran's foremost economic and military partner, playing a major role in the modernization of its infrastructure and industry. Since the mid 90's, Iran has increased its economic cooperation with other </w:t>
      </w:r>
      <w:hyperlink r:id="rId25" w:tooltip="Developing country" w:history="1">
        <w:r w:rsidRPr="0074728A">
          <w:t>developing countries</w:t>
        </w:r>
      </w:hyperlink>
      <w:r w:rsidRPr="0074728A">
        <w:t xml:space="preserve"> in "</w:t>
      </w:r>
      <w:hyperlink r:id="rId26" w:tooltip="South-South Cooperation" w:history="1">
        <w:r w:rsidRPr="0074728A">
          <w:t>south-south integration</w:t>
        </w:r>
      </w:hyperlink>
      <w:r w:rsidRPr="0074728A">
        <w:t xml:space="preserve">" including </w:t>
      </w:r>
      <w:hyperlink r:id="rId27" w:tooltip="Iran–Arab relations" w:history="1">
        <w:r w:rsidRPr="0074728A">
          <w:t>Syria</w:t>
        </w:r>
      </w:hyperlink>
      <w:r w:rsidRPr="0074728A">
        <w:t xml:space="preserve">, India, China, </w:t>
      </w:r>
      <w:hyperlink r:id="rId28" w:tooltip="Iran-South Africa relations" w:history="1">
        <w:r w:rsidRPr="0074728A">
          <w:t>South Africa</w:t>
        </w:r>
      </w:hyperlink>
      <w:r w:rsidRPr="0074728A">
        <w:t xml:space="preserve">, </w:t>
      </w:r>
      <w:hyperlink r:id="rId29" w:tooltip="Cuba–Iran relations" w:history="1">
        <w:r w:rsidRPr="0074728A">
          <w:t>Cuba</w:t>
        </w:r>
      </w:hyperlink>
      <w:r w:rsidRPr="0074728A">
        <w:t xml:space="preserve"> and </w:t>
      </w:r>
      <w:hyperlink r:id="rId30" w:tooltip="Iran–Venezuela relations" w:history="1">
        <w:r w:rsidRPr="0074728A">
          <w:t>Venezuela</w:t>
        </w:r>
      </w:hyperlink>
      <w:r w:rsidRPr="0074728A">
        <w:t xml:space="preserve">. Iran's trade with India passed the $13 billion mark in 2007, an 80% increase in trade volume within a year. Iran is expanding its trade ties with </w:t>
      </w:r>
      <w:hyperlink r:id="rId31" w:tooltip="Iran-Turkey relations" w:history="1">
        <w:r w:rsidRPr="0074728A">
          <w:t>Turkey</w:t>
        </w:r>
      </w:hyperlink>
      <w:r w:rsidRPr="0074728A">
        <w:t xml:space="preserve"> and </w:t>
      </w:r>
      <w:hyperlink r:id="rId32" w:tooltip="Iran-Pakistan relations" w:history="1">
        <w:r w:rsidRPr="0074728A">
          <w:t>Pakistan</w:t>
        </w:r>
      </w:hyperlink>
      <w:r w:rsidRPr="0074728A">
        <w:t xml:space="preserve"> and shares with its partners the common objective to create the </w:t>
      </w:r>
      <w:hyperlink r:id="rId33" w:tooltip="Economic Cooperation Organization" w:history="1">
        <w:r w:rsidRPr="0074728A">
          <w:t>ECO</w:t>
        </w:r>
      </w:hyperlink>
      <w:r w:rsidRPr="0074728A">
        <w:t xml:space="preserve">, a single economic market in West and Central Asia. </w:t>
      </w:r>
    </w:p>
    <w:p w:rsidR="002A6661" w:rsidRDefault="0074728A" w:rsidP="00F73932">
      <w:pPr>
        <w:ind w:firstLine="720"/>
      </w:pPr>
      <w:r w:rsidRPr="0074728A">
        <w:t xml:space="preserve">Since 2003, </w:t>
      </w:r>
      <w:hyperlink r:id="rId34" w:tooltip="Iran" w:history="1">
        <w:r w:rsidRPr="0074728A">
          <w:t>Iran</w:t>
        </w:r>
      </w:hyperlink>
      <w:r w:rsidRPr="0074728A">
        <w:t xml:space="preserve"> has increased investment in the economic development and reconstruction of neighboring countries such as Iraq and Afghanistan. In </w:t>
      </w:r>
      <w:hyperlink r:id="rId35" w:anchor="United_Arab_Emirates" w:tooltip="Iran–Arab relations" w:history="1">
        <w:r w:rsidRPr="0074728A">
          <w:t>Dubai</w:t>
        </w:r>
      </w:hyperlink>
      <w:r w:rsidRPr="0074728A">
        <w:t xml:space="preserve">, </w:t>
      </w:r>
      <w:hyperlink r:id="rId36" w:tooltip="UAE" w:history="1">
        <w:r w:rsidRPr="0074728A">
          <w:t>UAE</w:t>
        </w:r>
      </w:hyperlink>
      <w:r w:rsidRPr="0074728A">
        <w:t xml:space="preserve">, it is estimated that </w:t>
      </w:r>
      <w:hyperlink r:id="rId37" w:tooltip="Iranian citizens abroad" w:history="1">
        <w:r w:rsidRPr="0074728A">
          <w:t>Iranian expatriates</w:t>
        </w:r>
      </w:hyperlink>
      <w:r w:rsidRPr="0074728A">
        <w:t xml:space="preserve"> handle over 20% of its domestic economy and account for an equal proportion of its population., and geared towards providing Iran and other countries with required consumer goods. It is estimated that one third of Iran's imported goods and exports are delivered through the </w:t>
      </w:r>
      <w:hyperlink r:id="rId38" w:tooltip="Black market" w:history="1">
        <w:r w:rsidRPr="0074728A">
          <w:t>black market</w:t>
        </w:r>
      </w:hyperlink>
      <w:r w:rsidRPr="0074728A">
        <w:t>, undergroun</w:t>
      </w:r>
      <w:r w:rsidR="000331F4">
        <w:t>d economy, and illegal jetties and there can be characterized their items. According to Business affair and ministry of trade report the basic combination of imported items since 1973, can be classified in three periods that is shown in table 3</w:t>
      </w:r>
      <w:r w:rsidR="002A6661">
        <w:t xml:space="preserve">. As table 3- shows the consumption goods share have not been changed in two periods 1985-1995 and 1996-2006. But the </w:t>
      </w:r>
      <w:proofErr w:type="gramStart"/>
      <w:r w:rsidR="002A6661">
        <w:t>share of capital goods have</w:t>
      </w:r>
      <w:proofErr w:type="gramEnd"/>
      <w:r w:rsidR="002A6661">
        <w:t xml:space="preserve"> been increase sharply in the 1996-2007 period and the share of intermediate goods decreased during three periods.</w:t>
      </w:r>
      <w:r w:rsidR="0003764E">
        <w:t xml:space="preserve"> </w:t>
      </w:r>
      <w:r w:rsidR="0003764E">
        <w:rPr>
          <w:rStyle w:val="hps"/>
        </w:rPr>
        <w:t>After</w:t>
      </w:r>
      <w:r w:rsidR="0003764E">
        <w:t xml:space="preserve"> </w:t>
      </w:r>
      <w:r w:rsidR="0003764E">
        <w:rPr>
          <w:rStyle w:val="hps"/>
        </w:rPr>
        <w:t>a brief</w:t>
      </w:r>
      <w:r w:rsidR="0003764E">
        <w:t xml:space="preserve"> </w:t>
      </w:r>
      <w:r w:rsidR="0003764E">
        <w:rPr>
          <w:rStyle w:val="hps"/>
        </w:rPr>
        <w:t>study of</w:t>
      </w:r>
      <w:r w:rsidR="0003764E">
        <w:t xml:space="preserve"> </w:t>
      </w:r>
      <w:r w:rsidR="0003764E">
        <w:rPr>
          <w:rStyle w:val="hps"/>
        </w:rPr>
        <w:t>the composition of</w:t>
      </w:r>
      <w:r w:rsidR="0003764E">
        <w:t xml:space="preserve"> </w:t>
      </w:r>
      <w:r w:rsidR="0003764E">
        <w:rPr>
          <w:rStyle w:val="hps"/>
        </w:rPr>
        <w:t>exports</w:t>
      </w:r>
      <w:r w:rsidR="0003764E">
        <w:t xml:space="preserve"> </w:t>
      </w:r>
      <w:r w:rsidR="0003764E">
        <w:rPr>
          <w:rStyle w:val="hps"/>
        </w:rPr>
        <w:t>and</w:t>
      </w:r>
      <w:r w:rsidR="0003764E">
        <w:t xml:space="preserve"> </w:t>
      </w:r>
      <w:r w:rsidR="0003764E">
        <w:rPr>
          <w:rStyle w:val="hps"/>
        </w:rPr>
        <w:t>imports the question about capital or labor intensity of export and import remained unanswered. To answer to this question in the following sect</w:t>
      </w:r>
      <w:r w:rsidR="00F73932">
        <w:rPr>
          <w:rStyle w:val="hps"/>
        </w:rPr>
        <w:t xml:space="preserve">ion </w:t>
      </w:r>
      <w:r w:rsidR="0003764E">
        <w:rPr>
          <w:rStyle w:val="hps"/>
        </w:rPr>
        <w:t xml:space="preserve">we review the theoretical background of the international trade theory </w:t>
      </w:r>
      <w:r w:rsidR="00071EF8">
        <w:rPr>
          <w:rStyle w:val="hps"/>
        </w:rPr>
        <w:t>a</w:t>
      </w:r>
      <w:r w:rsidR="0003764E">
        <w:rPr>
          <w:rStyle w:val="hps"/>
        </w:rPr>
        <w:t>nd</w:t>
      </w:r>
      <w:r w:rsidR="00071EF8">
        <w:rPr>
          <w:rStyle w:val="hps"/>
        </w:rPr>
        <w:t>,</w:t>
      </w:r>
      <w:r w:rsidR="0003764E">
        <w:rPr>
          <w:rStyle w:val="hps"/>
        </w:rPr>
        <w:t xml:space="preserve"> in the next sect</w:t>
      </w:r>
      <w:r w:rsidR="00F73932">
        <w:rPr>
          <w:rStyle w:val="hps"/>
        </w:rPr>
        <w:t>ion</w:t>
      </w:r>
      <w:r w:rsidR="0003764E">
        <w:rPr>
          <w:rStyle w:val="hps"/>
        </w:rPr>
        <w:t xml:space="preserve"> </w:t>
      </w:r>
      <w:r w:rsidR="00FE345C">
        <w:rPr>
          <w:rStyle w:val="hps"/>
        </w:rPr>
        <w:t xml:space="preserve">we empirically test it in the Iranian case. </w:t>
      </w:r>
      <w:r w:rsidR="0003764E">
        <w:t xml:space="preserve"> </w:t>
      </w:r>
      <w:r w:rsidR="002A6661">
        <w:t xml:space="preserve"> </w:t>
      </w:r>
      <w:r w:rsidR="000331F4">
        <w:t xml:space="preserve"> </w:t>
      </w:r>
      <w:r w:rsidR="005B2326">
        <w:t xml:space="preserve"> </w:t>
      </w:r>
    </w:p>
    <w:p w:rsidR="00E408FF" w:rsidRPr="002A6661" w:rsidRDefault="00E408FF" w:rsidP="00071EF8">
      <w:pPr>
        <w:jc w:val="center"/>
      </w:pPr>
      <w:r w:rsidRPr="007403AF">
        <w:rPr>
          <w:b/>
          <w:bCs/>
        </w:rPr>
        <w:t>Table 3</w:t>
      </w:r>
      <w:r w:rsidRPr="002A6661">
        <w:t xml:space="preserve">- Basic </w:t>
      </w:r>
      <w:r w:rsidR="000331F4" w:rsidRPr="002A6661">
        <w:t>I</w:t>
      </w:r>
      <w:r w:rsidRPr="002A6661">
        <w:t>mport</w:t>
      </w:r>
      <w:r w:rsidR="000331F4" w:rsidRPr="002A6661">
        <w:t>ed</w:t>
      </w:r>
      <w:r w:rsidRPr="002A6661">
        <w:t xml:space="preserve"> </w:t>
      </w:r>
      <w:r w:rsidR="000331F4" w:rsidRPr="002A6661">
        <w:t>I</w:t>
      </w:r>
      <w:r w:rsidRPr="002A6661">
        <w:t>tems:</w:t>
      </w:r>
      <w:r w:rsidR="000331F4" w:rsidRPr="002A6661">
        <w:t xml:space="preserve"> C</w:t>
      </w:r>
      <w:r w:rsidRPr="002A6661">
        <w:t xml:space="preserve">apital, </w:t>
      </w:r>
      <w:r w:rsidR="000331F4" w:rsidRPr="002A6661">
        <w:t>I</w:t>
      </w:r>
      <w:r w:rsidRPr="002A6661">
        <w:t xml:space="preserve">ntermediate and </w:t>
      </w:r>
      <w:r w:rsidR="000331F4" w:rsidRPr="002A6661">
        <w:t>C</w:t>
      </w:r>
      <w:r w:rsidRPr="002A6661">
        <w:t xml:space="preserve">onsumption </w:t>
      </w:r>
      <w:r w:rsidR="000331F4" w:rsidRPr="002A6661">
        <w:t>G</w:t>
      </w:r>
      <w:r w:rsidRPr="002A6661">
        <w:t xml:space="preserve">oods </w:t>
      </w:r>
      <w:r w:rsidR="000331F4" w:rsidRPr="002A6661">
        <w:t>S</w:t>
      </w:r>
      <w:r w:rsidRPr="002A6661">
        <w:t>hares</w:t>
      </w:r>
      <w:r w:rsidR="002A6661" w:rsidRPr="002A6661">
        <w:t xml:space="preserve"> in 1973-2006 period</w:t>
      </w:r>
      <w:r w:rsidR="007403AF">
        <w:t>s</w:t>
      </w:r>
    </w:p>
    <w:tbl>
      <w:tblPr>
        <w:tblStyle w:val="LightList1"/>
        <w:tblpPr w:leftFromText="180" w:rightFromText="180" w:vertAnchor="text" w:tblpXSpec="center" w:tblpY="1"/>
        <w:tblOverlap w:val="never"/>
        <w:bidiVisual/>
        <w:tblW w:w="907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tblPr>
      <w:tblGrid>
        <w:gridCol w:w="1885"/>
        <w:gridCol w:w="2093"/>
        <w:gridCol w:w="2546"/>
        <w:gridCol w:w="2546"/>
      </w:tblGrid>
      <w:tr w:rsidR="00E408FF" w:rsidRPr="00C933EB" w:rsidTr="00071EF8">
        <w:trPr>
          <w:cnfStyle w:val="100000000000"/>
          <w:trHeight w:val="318"/>
        </w:trPr>
        <w:tc>
          <w:tcPr>
            <w:cnfStyle w:val="001000000000"/>
            <w:tcW w:w="1885" w:type="dxa"/>
            <w:shd w:val="pct5" w:color="F2F2F2" w:themeColor="background1" w:themeShade="F2" w:fill="F2F2F2" w:themeFill="background1" w:themeFillShade="F2"/>
            <w:vAlign w:val="center"/>
          </w:tcPr>
          <w:p w:rsidR="00E408FF" w:rsidRPr="000331F4" w:rsidRDefault="00E408FF" w:rsidP="00071EF8">
            <w:pPr>
              <w:pStyle w:val="13TableTextBold"/>
              <w:bidi w:val="0"/>
              <w:rPr>
                <w:rtl/>
              </w:rPr>
            </w:pPr>
            <w:r w:rsidRPr="000331F4">
              <w:t>1996-2006</w:t>
            </w:r>
          </w:p>
        </w:tc>
        <w:tc>
          <w:tcPr>
            <w:cnfStyle w:val="000010000000"/>
            <w:tcW w:w="2093" w:type="dxa"/>
            <w:shd w:val="pct5" w:color="F2F2F2" w:themeColor="background1" w:themeShade="F2" w:fill="F2F2F2" w:themeFill="background1" w:themeFillShade="F2"/>
            <w:vAlign w:val="center"/>
          </w:tcPr>
          <w:p w:rsidR="00E408FF" w:rsidRPr="000331F4" w:rsidRDefault="00E408FF" w:rsidP="00071EF8">
            <w:pPr>
              <w:pStyle w:val="13TableTextBold"/>
              <w:bidi w:val="0"/>
              <w:rPr>
                <w:rtl/>
              </w:rPr>
            </w:pPr>
            <w:r w:rsidRPr="000331F4">
              <w:t>1985-1995</w:t>
            </w:r>
          </w:p>
        </w:tc>
        <w:tc>
          <w:tcPr>
            <w:tcW w:w="2546" w:type="dxa"/>
            <w:tcBorders>
              <w:bottom w:val="single" w:sz="8" w:space="0" w:color="000000" w:themeColor="text1"/>
            </w:tcBorders>
            <w:shd w:val="pct5" w:color="F2F2F2" w:themeColor="background1" w:themeShade="F2" w:fill="F2F2F2" w:themeFill="background1" w:themeFillShade="F2"/>
            <w:vAlign w:val="center"/>
          </w:tcPr>
          <w:p w:rsidR="00E408FF" w:rsidRPr="000331F4" w:rsidRDefault="00E408FF" w:rsidP="00071EF8">
            <w:pPr>
              <w:pStyle w:val="13TableTextBold"/>
              <w:bidi w:val="0"/>
              <w:cnfStyle w:val="100000000000"/>
              <w:rPr>
                <w:rtl/>
              </w:rPr>
            </w:pPr>
            <w:r w:rsidRPr="000331F4">
              <w:t>1973-1984</w:t>
            </w:r>
          </w:p>
        </w:tc>
        <w:tc>
          <w:tcPr>
            <w:cnfStyle w:val="000100000000"/>
            <w:tcW w:w="2546" w:type="dxa"/>
            <w:tcBorders>
              <w:bottom w:val="single" w:sz="8" w:space="0" w:color="000000" w:themeColor="text1"/>
            </w:tcBorders>
            <w:shd w:val="pct5" w:color="F2F2F2" w:themeColor="background1" w:themeShade="F2" w:fill="F2F2F2" w:themeFill="background1" w:themeFillShade="F2"/>
            <w:vAlign w:val="center"/>
          </w:tcPr>
          <w:p w:rsidR="00E408FF" w:rsidRPr="000331F4" w:rsidRDefault="00E408FF" w:rsidP="00071EF8">
            <w:pPr>
              <w:pStyle w:val="13TableTextBold"/>
              <w:bidi w:val="0"/>
              <w:rPr>
                <w:rtl/>
              </w:rPr>
            </w:pPr>
            <w:r w:rsidRPr="000331F4">
              <w:t>Items</w:t>
            </w:r>
          </w:p>
        </w:tc>
      </w:tr>
      <w:tr w:rsidR="00E408FF" w:rsidRPr="002A6661" w:rsidTr="00071EF8">
        <w:trPr>
          <w:cnfStyle w:val="000000100000"/>
          <w:trHeight w:val="333"/>
        </w:trPr>
        <w:tc>
          <w:tcPr>
            <w:cnfStyle w:val="001000000000"/>
            <w:tcW w:w="1885" w:type="dxa"/>
            <w:shd w:val="clear" w:color="auto" w:fill="auto"/>
            <w:vAlign w:val="center"/>
          </w:tcPr>
          <w:p w:rsidR="00E408FF" w:rsidRPr="00071EF8" w:rsidRDefault="00E408FF" w:rsidP="00071EF8">
            <w:pPr>
              <w:pStyle w:val="14TableText"/>
              <w:bidi w:val="0"/>
              <w:rPr>
                <w:sz w:val="20"/>
                <w:szCs w:val="20"/>
                <w:rtl/>
              </w:rPr>
            </w:pPr>
            <w:r w:rsidRPr="00071EF8">
              <w:rPr>
                <w:sz w:val="20"/>
                <w:szCs w:val="20"/>
                <w:rtl/>
              </w:rPr>
              <w:t>74/31</w:t>
            </w:r>
          </w:p>
        </w:tc>
        <w:tc>
          <w:tcPr>
            <w:cnfStyle w:val="000010000000"/>
            <w:tcW w:w="2093" w:type="dxa"/>
            <w:shd w:val="clear" w:color="auto" w:fill="auto"/>
            <w:vAlign w:val="center"/>
          </w:tcPr>
          <w:p w:rsidR="00E408FF" w:rsidRPr="00071EF8" w:rsidRDefault="00E408FF" w:rsidP="00071EF8">
            <w:pPr>
              <w:pStyle w:val="14TableText"/>
              <w:bidi w:val="0"/>
              <w:rPr>
                <w:sz w:val="20"/>
                <w:szCs w:val="20"/>
                <w:rtl/>
              </w:rPr>
            </w:pPr>
            <w:r w:rsidRPr="00071EF8">
              <w:rPr>
                <w:sz w:val="20"/>
                <w:szCs w:val="20"/>
                <w:rtl/>
              </w:rPr>
              <w:t>06/24</w:t>
            </w:r>
          </w:p>
        </w:tc>
        <w:tc>
          <w:tcPr>
            <w:tcW w:w="2546" w:type="dxa"/>
            <w:shd w:val="clear" w:color="auto" w:fill="auto"/>
            <w:vAlign w:val="center"/>
          </w:tcPr>
          <w:p w:rsidR="00E408FF" w:rsidRPr="00071EF8" w:rsidRDefault="00E408FF" w:rsidP="00071EF8">
            <w:pPr>
              <w:pStyle w:val="14TableText"/>
              <w:bidi w:val="0"/>
              <w:cnfStyle w:val="000000100000"/>
              <w:rPr>
                <w:sz w:val="20"/>
                <w:szCs w:val="20"/>
                <w:rtl/>
              </w:rPr>
            </w:pPr>
            <w:r w:rsidRPr="00071EF8">
              <w:rPr>
                <w:sz w:val="20"/>
                <w:szCs w:val="20"/>
                <w:rtl/>
              </w:rPr>
              <w:t>24/23</w:t>
            </w:r>
          </w:p>
        </w:tc>
        <w:tc>
          <w:tcPr>
            <w:cnfStyle w:val="000100000000"/>
            <w:tcW w:w="2546" w:type="dxa"/>
            <w:shd w:val="clear" w:color="auto" w:fill="auto"/>
            <w:vAlign w:val="center"/>
          </w:tcPr>
          <w:p w:rsidR="00E408FF" w:rsidRPr="00071EF8" w:rsidRDefault="00E408FF" w:rsidP="00071EF8">
            <w:pPr>
              <w:pStyle w:val="14TableText"/>
              <w:bidi w:val="0"/>
              <w:rPr>
                <w:sz w:val="22"/>
                <w:szCs w:val="22"/>
                <w:rtl/>
              </w:rPr>
            </w:pPr>
            <w:r w:rsidRPr="00071EF8">
              <w:rPr>
                <w:sz w:val="22"/>
                <w:szCs w:val="22"/>
              </w:rPr>
              <w:t>Capital Goods</w:t>
            </w:r>
          </w:p>
        </w:tc>
      </w:tr>
      <w:tr w:rsidR="00E408FF" w:rsidRPr="002A6661" w:rsidTr="00071EF8">
        <w:trPr>
          <w:trHeight w:val="448"/>
        </w:trPr>
        <w:tc>
          <w:tcPr>
            <w:cnfStyle w:val="001000000000"/>
            <w:tcW w:w="1885" w:type="dxa"/>
            <w:tcBorders>
              <w:top w:val="single" w:sz="8" w:space="0" w:color="000000" w:themeColor="text1"/>
              <w:left w:val="single" w:sz="8" w:space="0" w:color="000000" w:themeColor="text1"/>
              <w:bottom w:val="single" w:sz="8" w:space="0" w:color="000000" w:themeColor="text1"/>
            </w:tcBorders>
            <w:shd w:val="clear" w:color="auto" w:fill="auto"/>
            <w:vAlign w:val="center"/>
          </w:tcPr>
          <w:p w:rsidR="00E408FF" w:rsidRPr="00071EF8" w:rsidRDefault="00E408FF" w:rsidP="00071EF8">
            <w:pPr>
              <w:pStyle w:val="14TableText"/>
              <w:bidi w:val="0"/>
              <w:rPr>
                <w:sz w:val="20"/>
                <w:szCs w:val="20"/>
                <w:rtl/>
              </w:rPr>
            </w:pPr>
            <w:r w:rsidRPr="00071EF8">
              <w:rPr>
                <w:sz w:val="20"/>
                <w:szCs w:val="20"/>
                <w:rtl/>
              </w:rPr>
              <w:t>03/52</w:t>
            </w:r>
          </w:p>
        </w:tc>
        <w:tc>
          <w:tcPr>
            <w:cnfStyle w:val="000010000000"/>
            <w:tcW w:w="2093" w:type="dxa"/>
            <w:tcBorders>
              <w:top w:val="single" w:sz="8" w:space="0" w:color="000000" w:themeColor="text1"/>
              <w:bottom w:val="single" w:sz="8" w:space="0" w:color="000000" w:themeColor="text1"/>
            </w:tcBorders>
            <w:shd w:val="clear" w:color="auto" w:fill="auto"/>
            <w:vAlign w:val="center"/>
          </w:tcPr>
          <w:p w:rsidR="00E408FF" w:rsidRPr="00071EF8" w:rsidRDefault="00E408FF" w:rsidP="00071EF8">
            <w:pPr>
              <w:pStyle w:val="14TableText"/>
              <w:bidi w:val="0"/>
              <w:rPr>
                <w:sz w:val="20"/>
                <w:szCs w:val="20"/>
                <w:rtl/>
              </w:rPr>
            </w:pPr>
            <w:r w:rsidRPr="00071EF8">
              <w:rPr>
                <w:sz w:val="20"/>
                <w:szCs w:val="20"/>
                <w:rtl/>
              </w:rPr>
              <w:t>61</w:t>
            </w:r>
          </w:p>
        </w:tc>
        <w:tc>
          <w:tcPr>
            <w:tcW w:w="2546" w:type="dxa"/>
            <w:tcBorders>
              <w:top w:val="single" w:sz="8" w:space="0" w:color="000000" w:themeColor="text1"/>
              <w:bottom w:val="single" w:sz="8" w:space="0" w:color="000000" w:themeColor="text1"/>
            </w:tcBorders>
            <w:shd w:val="clear" w:color="auto" w:fill="auto"/>
            <w:vAlign w:val="center"/>
          </w:tcPr>
          <w:p w:rsidR="00E408FF" w:rsidRPr="00071EF8" w:rsidRDefault="00E408FF" w:rsidP="00071EF8">
            <w:pPr>
              <w:pStyle w:val="14TableText"/>
              <w:bidi w:val="0"/>
              <w:cnfStyle w:val="000000000000"/>
              <w:rPr>
                <w:sz w:val="20"/>
                <w:szCs w:val="20"/>
                <w:rtl/>
              </w:rPr>
            </w:pPr>
            <w:r w:rsidRPr="00071EF8">
              <w:rPr>
                <w:sz w:val="20"/>
                <w:szCs w:val="20"/>
                <w:rtl/>
              </w:rPr>
              <w:t>04/65</w:t>
            </w:r>
          </w:p>
        </w:tc>
        <w:tc>
          <w:tcPr>
            <w:cnfStyle w:val="000100000000"/>
            <w:tcW w:w="2546" w:type="dxa"/>
            <w:tcBorders>
              <w:top w:val="single" w:sz="8" w:space="0" w:color="000000" w:themeColor="text1"/>
              <w:bottom w:val="single" w:sz="8" w:space="0" w:color="000000" w:themeColor="text1"/>
            </w:tcBorders>
            <w:shd w:val="clear" w:color="auto" w:fill="auto"/>
            <w:vAlign w:val="center"/>
          </w:tcPr>
          <w:p w:rsidR="00E408FF" w:rsidRPr="00071EF8" w:rsidRDefault="00E408FF" w:rsidP="00071EF8">
            <w:pPr>
              <w:pStyle w:val="14TableText"/>
              <w:bidi w:val="0"/>
              <w:rPr>
                <w:sz w:val="22"/>
                <w:szCs w:val="22"/>
                <w:rtl/>
              </w:rPr>
            </w:pPr>
            <w:r w:rsidRPr="00071EF8">
              <w:rPr>
                <w:sz w:val="22"/>
                <w:szCs w:val="22"/>
              </w:rPr>
              <w:t>Intermediate Goods</w:t>
            </w:r>
          </w:p>
        </w:tc>
      </w:tr>
      <w:tr w:rsidR="00E408FF" w:rsidRPr="002A6661" w:rsidTr="00071EF8">
        <w:trPr>
          <w:cnfStyle w:val="010000000000"/>
          <w:trHeight w:val="448"/>
        </w:trPr>
        <w:tc>
          <w:tcPr>
            <w:cnfStyle w:val="001000000000"/>
            <w:tcW w:w="1885" w:type="dxa"/>
            <w:tcBorders>
              <w:top w:val="single" w:sz="8" w:space="0" w:color="000000" w:themeColor="text1"/>
            </w:tcBorders>
            <w:shd w:val="clear" w:color="auto" w:fill="auto"/>
            <w:vAlign w:val="center"/>
          </w:tcPr>
          <w:p w:rsidR="00E408FF" w:rsidRPr="00071EF8" w:rsidRDefault="00E408FF" w:rsidP="00071EF8">
            <w:pPr>
              <w:pStyle w:val="14TableText"/>
              <w:bidi w:val="0"/>
              <w:rPr>
                <w:sz w:val="20"/>
                <w:szCs w:val="20"/>
                <w:rtl/>
              </w:rPr>
            </w:pPr>
            <w:r w:rsidRPr="00071EF8">
              <w:rPr>
                <w:sz w:val="20"/>
                <w:szCs w:val="20"/>
                <w:rtl/>
              </w:rPr>
              <w:t>08/14</w:t>
            </w:r>
          </w:p>
        </w:tc>
        <w:tc>
          <w:tcPr>
            <w:cnfStyle w:val="000010000000"/>
            <w:tcW w:w="2093" w:type="dxa"/>
            <w:tcBorders>
              <w:top w:val="single" w:sz="8" w:space="0" w:color="000000" w:themeColor="text1"/>
            </w:tcBorders>
            <w:shd w:val="clear" w:color="auto" w:fill="auto"/>
            <w:vAlign w:val="center"/>
          </w:tcPr>
          <w:p w:rsidR="00E408FF" w:rsidRPr="00071EF8" w:rsidRDefault="00E408FF" w:rsidP="00071EF8">
            <w:pPr>
              <w:pStyle w:val="14TableText"/>
              <w:bidi w:val="0"/>
              <w:rPr>
                <w:sz w:val="20"/>
                <w:szCs w:val="20"/>
                <w:rtl/>
              </w:rPr>
            </w:pPr>
            <w:r w:rsidRPr="00071EF8">
              <w:rPr>
                <w:sz w:val="20"/>
                <w:szCs w:val="20"/>
                <w:rtl/>
              </w:rPr>
              <w:t>69/14</w:t>
            </w:r>
          </w:p>
        </w:tc>
        <w:tc>
          <w:tcPr>
            <w:tcW w:w="2546" w:type="dxa"/>
            <w:tcBorders>
              <w:top w:val="single" w:sz="8" w:space="0" w:color="000000" w:themeColor="text1"/>
            </w:tcBorders>
            <w:shd w:val="clear" w:color="auto" w:fill="auto"/>
            <w:vAlign w:val="center"/>
          </w:tcPr>
          <w:p w:rsidR="00E408FF" w:rsidRPr="00071EF8" w:rsidRDefault="00E408FF" w:rsidP="00071EF8">
            <w:pPr>
              <w:pStyle w:val="14TableText"/>
              <w:bidi w:val="0"/>
              <w:cnfStyle w:val="010000000000"/>
              <w:rPr>
                <w:sz w:val="20"/>
                <w:szCs w:val="20"/>
                <w:rtl/>
              </w:rPr>
            </w:pPr>
            <w:r w:rsidRPr="00071EF8">
              <w:rPr>
                <w:sz w:val="20"/>
                <w:szCs w:val="20"/>
                <w:rtl/>
              </w:rPr>
              <w:t>31/19</w:t>
            </w:r>
          </w:p>
        </w:tc>
        <w:tc>
          <w:tcPr>
            <w:cnfStyle w:val="000100000000"/>
            <w:tcW w:w="2546" w:type="dxa"/>
            <w:tcBorders>
              <w:top w:val="single" w:sz="8" w:space="0" w:color="000000" w:themeColor="text1"/>
            </w:tcBorders>
            <w:shd w:val="clear" w:color="auto" w:fill="auto"/>
            <w:vAlign w:val="center"/>
          </w:tcPr>
          <w:p w:rsidR="00E408FF" w:rsidRPr="00071EF8" w:rsidRDefault="00E408FF" w:rsidP="00071EF8">
            <w:pPr>
              <w:pStyle w:val="14TableText"/>
              <w:bidi w:val="0"/>
              <w:rPr>
                <w:sz w:val="22"/>
                <w:szCs w:val="22"/>
                <w:rtl/>
              </w:rPr>
            </w:pPr>
            <w:r w:rsidRPr="00071EF8">
              <w:rPr>
                <w:sz w:val="22"/>
                <w:szCs w:val="22"/>
              </w:rPr>
              <w:t>Consumption goods</w:t>
            </w:r>
          </w:p>
        </w:tc>
      </w:tr>
    </w:tbl>
    <w:p w:rsidR="00E408FF" w:rsidRPr="008636D6" w:rsidRDefault="008636D6" w:rsidP="00B66ADD">
      <w:pPr>
        <w:pStyle w:val="ListParagraph"/>
      </w:pPr>
      <w:r>
        <w:t xml:space="preserve">Source: </w:t>
      </w:r>
      <w:r w:rsidRPr="008636D6">
        <w:t>Balanced Sheet of Central Bank of Iran (1973-2006)</w:t>
      </w:r>
    </w:p>
    <w:p w:rsidR="00006726" w:rsidRPr="007403AF" w:rsidRDefault="00006726" w:rsidP="007403AF">
      <w:pPr>
        <w:pStyle w:val="ListParagraph"/>
        <w:numPr>
          <w:ilvl w:val="0"/>
          <w:numId w:val="10"/>
        </w:numPr>
        <w:rPr>
          <w:b/>
          <w:bCs/>
        </w:rPr>
      </w:pPr>
      <w:r w:rsidRPr="007403AF">
        <w:rPr>
          <w:b/>
          <w:bCs/>
        </w:rPr>
        <w:lastRenderedPageBreak/>
        <w:t>Theoretical background</w:t>
      </w:r>
    </w:p>
    <w:p w:rsidR="00071EF8" w:rsidRDefault="008F4B2D" w:rsidP="008F4B2D">
      <w:pPr>
        <w:ind w:firstLine="480"/>
      </w:pPr>
      <w:r>
        <w:t>For</w:t>
      </w:r>
      <w:r w:rsidR="00006726">
        <w:t xml:space="preserve"> application of a general equilibrium approach to the explanation of the level of composition of the trade between a country and the rest of the world, we would have to possess concrete quantitative information about</w:t>
      </w:r>
      <w:r w:rsidR="00071EF8">
        <w:t>:</w:t>
      </w:r>
    </w:p>
    <w:p w:rsidR="00071EF8" w:rsidRDefault="00071EF8" w:rsidP="00F65CA5">
      <w:pPr>
        <w:pStyle w:val="ListParagraph"/>
        <w:numPr>
          <w:ilvl w:val="0"/>
          <w:numId w:val="9"/>
        </w:numPr>
      </w:pPr>
      <w:r>
        <w:t>T</w:t>
      </w:r>
      <w:r w:rsidR="00006726">
        <w:t>he endowment</w:t>
      </w:r>
      <w:r w:rsidR="008F4B2D">
        <w:t xml:space="preserve"> of the trading countries with</w:t>
      </w:r>
      <w:r w:rsidR="00F65CA5">
        <w:t xml:space="preserve"> </w:t>
      </w:r>
      <w:r w:rsidR="008F4B2D">
        <w:t>detailed</w:t>
      </w:r>
      <w:r w:rsidR="00006726">
        <w:t xml:space="preserve"> primary factors of production; </w:t>
      </w:r>
    </w:p>
    <w:p w:rsidR="00071EF8" w:rsidRDefault="00071EF8" w:rsidP="008F4B2D">
      <w:pPr>
        <w:pStyle w:val="ListParagraph"/>
        <w:numPr>
          <w:ilvl w:val="0"/>
          <w:numId w:val="9"/>
        </w:numPr>
      </w:pPr>
      <w:r>
        <w:t>T</w:t>
      </w:r>
      <w:r w:rsidR="00006726">
        <w:t xml:space="preserve">he shape of the production functions, </w:t>
      </w:r>
      <w:r w:rsidR="00006726" w:rsidRPr="008F4B2D">
        <w:rPr>
          <w:i/>
          <w:iCs/>
        </w:rPr>
        <w:t>i.e.,</w:t>
      </w:r>
      <w:r w:rsidR="00006726">
        <w:t xml:space="preserve"> of the input-output relationships which </w:t>
      </w:r>
      <w:r w:rsidR="008F4B2D">
        <w:t>explain how</w:t>
      </w:r>
      <w:r w:rsidR="00006726">
        <w:t xml:space="preserve"> each country transform the primary resources into various goods and ser</w:t>
      </w:r>
      <w:r>
        <w:t xml:space="preserve">vices; </w:t>
      </w:r>
    </w:p>
    <w:p w:rsidR="00006726" w:rsidRDefault="00071EF8" w:rsidP="008F4B2D">
      <w:pPr>
        <w:pStyle w:val="ListParagraph"/>
        <w:numPr>
          <w:ilvl w:val="0"/>
          <w:numId w:val="9"/>
        </w:numPr>
      </w:pPr>
      <w:r>
        <w:t>P</w:t>
      </w:r>
      <w:r w:rsidR="00006726">
        <w:t>ref</w:t>
      </w:r>
      <w:r w:rsidR="008F4B2D">
        <w:t>erence</w:t>
      </w:r>
      <w:r w:rsidR="00006726">
        <w:t xml:space="preserve"> choice among alternative bundl</w:t>
      </w:r>
      <w:r w:rsidR="008F4B2D">
        <w:t xml:space="preserve">es of finished commodities </w:t>
      </w:r>
      <w:r w:rsidR="00006726">
        <w:t xml:space="preserve">through alternative combination of domestic production and foreign trade. </w:t>
      </w:r>
    </w:p>
    <w:p w:rsidR="0094674B" w:rsidRDefault="00754D40" w:rsidP="00F65CA5">
      <w:pPr>
        <w:ind w:firstLine="480"/>
      </w:pPr>
      <w:r>
        <w:t xml:space="preserve">The immediate objective of the original inquiry is to determine the amounts of capital and labor required for the production in the country under study </w:t>
      </w:r>
      <w:r w:rsidR="00F65CA5">
        <w:t xml:space="preserve">to </w:t>
      </w:r>
      <w:r>
        <w:t>produc</w:t>
      </w:r>
      <w:r w:rsidR="00F65CA5">
        <w:t>e</w:t>
      </w:r>
      <w:r>
        <w:t xml:space="preserve"> a unit worth of two alternative composite commodities, one defined as the country exports and the other as the country competitive import. In a real national economy the amount of capital or labor required for the production for export or final domestic use can be determined through the summation of as many separate capital and labor inputs as there are distinct sectors in the economy. Each </w:t>
      </w:r>
      <w:r w:rsidR="00BA4334">
        <w:t>industry participate direct</w:t>
      </w:r>
      <w:r>
        <w:t xml:space="preserve"> or indirect in the production process of </w:t>
      </w:r>
      <w:r w:rsidR="00BA4334">
        <w:t xml:space="preserve">commodities, consequently contribute at least some part of its own capital and labor to the total quantities of these factors used by system as a whole for the production of final output. So, the total direct and indirect, dependence of the output of each industry on the final demand </w:t>
      </w:r>
      <w:r w:rsidR="00BA4334" w:rsidRPr="004D70C9">
        <w:t>for</w:t>
      </w:r>
      <w:r w:rsidR="00BA4334">
        <w:t xml:space="preserve"> pr</w:t>
      </w:r>
      <w:r w:rsidR="00F65CA5">
        <w:t>oduct of any other industry is</w:t>
      </w:r>
      <w:r w:rsidR="00071EF8">
        <w:t xml:space="preserve"> </w:t>
      </w:r>
      <w:r w:rsidR="00BA4334">
        <w:t xml:space="preserve">determined by the input-output structure of all sectors of the economy. </w:t>
      </w:r>
      <w:r w:rsidR="007C6772">
        <w:t>The original input-output table show</w:t>
      </w:r>
      <w:r w:rsidR="00F65CA5">
        <w:t>s</w:t>
      </w:r>
      <w:r w:rsidR="009B0E95">
        <w:t xml:space="preserve"> the direct input requirements of the each industry for the products of other industries</w:t>
      </w:r>
      <w:r w:rsidR="00F65CA5">
        <w:t xml:space="preserve">. This </w:t>
      </w:r>
      <w:r w:rsidR="009B0E95">
        <w:t xml:space="preserve">can be transformed into the new table called Leontief Inverse. Each array of </w:t>
      </w:r>
      <w:r w:rsidR="00071EF8">
        <w:t xml:space="preserve">Leontief Inverse </w:t>
      </w:r>
      <w:r w:rsidR="009B0E95">
        <w:t xml:space="preserve">show how much the total output of each sector would be raised to satisfy direct and indirect requirements corresponding one unit money worth of additional deliveries to final demand. </w:t>
      </w:r>
    </w:p>
    <w:p w:rsidR="0094674B" w:rsidRDefault="008D72B5" w:rsidP="00391DE1">
      <w:pPr>
        <w:ind w:firstLine="480"/>
      </w:pPr>
      <w:r>
        <w:t>To reach to capital and labor requirements, given the quantities of capital, labor or any other factor employed by each indu</w:t>
      </w:r>
      <w:r w:rsidR="00F65CA5">
        <w:t xml:space="preserve">stry per unit of its output called capital or labor direct coefficients. Then these </w:t>
      </w:r>
      <w:r>
        <w:t xml:space="preserve">coefficients can be multiplied by the appropriate rows of the </w:t>
      </w:r>
      <w:proofErr w:type="gramStart"/>
      <w:r>
        <w:t>Leontief  inverse</w:t>
      </w:r>
      <w:proofErr w:type="gramEnd"/>
      <w:r>
        <w:t xml:space="preserve">. </w:t>
      </w:r>
      <w:r w:rsidR="0094674B">
        <w:t xml:space="preserve">A column-by-column summation of the entries in each of these tables yields the quantities of the respective factor absorbed through </w:t>
      </w:r>
      <w:r w:rsidR="0054215D">
        <w:t>the economy as a whole per mo</w:t>
      </w:r>
      <w:r w:rsidR="0094674B">
        <w:t>ney unit worth of final deliveries made by each of its productive sectors.</w:t>
      </w:r>
    </w:p>
    <w:p w:rsidR="00AF74D3" w:rsidRDefault="0094674B" w:rsidP="00832915">
      <w:pPr>
        <w:ind w:firstLine="480"/>
      </w:pPr>
      <w:r>
        <w:t>To consider international</w:t>
      </w:r>
      <w:r w:rsidR="0054215D">
        <w:t xml:space="preserve"> (foreign)</w:t>
      </w:r>
      <w:r>
        <w:t xml:space="preserve"> trade into the</w:t>
      </w:r>
      <w:r w:rsidR="0054215D">
        <w:t xml:space="preserve"> calculations,</w:t>
      </w:r>
      <w:r w:rsidR="00832915">
        <w:t xml:space="preserve"> in the input-output structure, </w:t>
      </w:r>
      <w:r w:rsidR="0054215D">
        <w:t xml:space="preserve"> export show how much money worth of final output of each industry </w:t>
      </w:r>
      <w:r w:rsidR="00832915">
        <w:t>are</w:t>
      </w:r>
      <w:r w:rsidR="0054215D">
        <w:t xml:space="preserve"> exported. Total quantity of Labor and capital factors requirement for export are obtained as weighted sum of the corresponding requirements of each of its many separate components. </w:t>
      </w:r>
      <w:r w:rsidR="00832915">
        <w:t>There are two types of i</w:t>
      </w:r>
      <w:r w:rsidR="0012259C">
        <w:t>mport: competitive</w:t>
      </w:r>
      <w:r w:rsidR="00CF113D">
        <w:t xml:space="preserve"> </w:t>
      </w:r>
      <w:r w:rsidR="0012259C">
        <w:t>and non-competitive imports.</w:t>
      </w:r>
      <w:r w:rsidR="00DF29D6">
        <w:t xml:space="preserve"> </w:t>
      </w:r>
      <w:r w:rsidR="00832915">
        <w:t>The first type is c</w:t>
      </w:r>
      <w:r w:rsidR="00DF29D6">
        <w:t>ompetitive impor</w:t>
      </w:r>
      <w:r w:rsidR="00CF113D">
        <w:t>ts</w:t>
      </w:r>
      <w:r w:rsidR="00CF113D" w:rsidRPr="00CF113D">
        <w:t xml:space="preserve"> </w:t>
      </w:r>
      <w:r w:rsidR="00CF113D">
        <w:t xml:space="preserve">or comparable </w:t>
      </w:r>
      <w:r w:rsidR="00DF29D6">
        <w:t>imports</w:t>
      </w:r>
      <w:r w:rsidR="00832915">
        <w:t xml:space="preserve"> </w:t>
      </w:r>
      <w:r w:rsidR="00CF113D">
        <w:t>for which there are direct</w:t>
      </w:r>
      <w:r w:rsidR="00DF29D6">
        <w:t xml:space="preserve"> </w:t>
      </w:r>
      <w:r w:rsidR="00CF113D">
        <w:t>domestic substitutes</w:t>
      </w:r>
      <w:r w:rsidR="00DF29D6">
        <w:t xml:space="preserve">. </w:t>
      </w:r>
      <w:r w:rsidR="007E0613">
        <w:t xml:space="preserve">The other type import is non-competitive imports or non-comparable imports for which there are not direct domestic substitute. </w:t>
      </w:r>
      <w:r w:rsidR="00DF29D6">
        <w:t xml:space="preserve">To replace one unit of money’s worth of </w:t>
      </w:r>
      <w:r w:rsidR="00C07095">
        <w:t xml:space="preserve">competitive </w:t>
      </w:r>
      <w:r w:rsidR="00DF29D6">
        <w:t>imports we would have to raise the output of the corresponding</w:t>
      </w:r>
      <w:r w:rsidR="00C07095">
        <w:t xml:space="preserve"> industries</w:t>
      </w:r>
      <w:r w:rsidR="00DF29D6">
        <w:t>. If competitive imports assumed</w:t>
      </w:r>
      <w:r w:rsidR="00C07095">
        <w:t xml:space="preserve"> to be</w:t>
      </w:r>
      <w:r w:rsidR="00DF29D6">
        <w:t xml:space="preserve"> cut </w:t>
      </w:r>
      <w:r w:rsidR="00DF29D6">
        <w:lastRenderedPageBreak/>
        <w:t>proportionally all along the line, the domestic production would h</w:t>
      </w:r>
      <w:r w:rsidR="00CB148E">
        <w:t>a</w:t>
      </w:r>
      <w:r w:rsidR="00DF29D6">
        <w:t xml:space="preserve">ve increase by the amounts equal to reduction in the imports. </w:t>
      </w:r>
      <w:r w:rsidR="00CB148E">
        <w:t xml:space="preserve">Such domestic production for replacing imports would mean additional direct and indirect capital and labor requirements. To compute the total amount of capital requirements to produce domestically the amount of imports </w:t>
      </w:r>
      <w:r w:rsidR="00C07095">
        <w:t xml:space="preserve">would have to </w:t>
      </w:r>
      <w:r w:rsidR="00CB148E">
        <w:t xml:space="preserve">multiply the </w:t>
      </w:r>
      <w:r w:rsidR="0031580A">
        <w:t xml:space="preserve">competitive </w:t>
      </w:r>
      <w:r w:rsidR="00CB148E">
        <w:t>import vector by the corresponding capital coe</w:t>
      </w:r>
      <w:r w:rsidR="0031580A">
        <w:t>fficients requirement</w:t>
      </w:r>
      <w:r w:rsidR="00C07095">
        <w:t xml:space="preserve"> in the production process in the country</w:t>
      </w:r>
      <w:r w:rsidR="0031580A">
        <w:t>. An analogous calculation yields the corresponding labor requirements.</w:t>
      </w:r>
    </w:p>
    <w:p w:rsidR="00AF74D3" w:rsidRDefault="00AF74D3" w:rsidP="007403AF">
      <w:pPr>
        <w:ind w:firstLine="480"/>
      </w:pPr>
      <w:r>
        <w:t>In the input-output system with foreign trade</w:t>
      </w:r>
      <w:r w:rsidR="00933262">
        <w:t xml:space="preserve"> (export and import)</w:t>
      </w:r>
      <w:r>
        <w:t xml:space="preserve"> in </w:t>
      </w:r>
      <w:r w:rsidR="00933262">
        <w:t xml:space="preserve">the </w:t>
      </w:r>
      <w:r>
        <w:t xml:space="preserve">final demand </w:t>
      </w:r>
      <w:r w:rsidR="00E30F9E">
        <w:t>vector</w:t>
      </w:r>
      <w:r w:rsidR="009C0DF7">
        <w:t xml:space="preserve"> Leontief pointed out equation (1), </w:t>
      </w:r>
    </w:p>
    <w:p w:rsidR="00E30F9E" w:rsidRDefault="004462FA" w:rsidP="00832915">
      <w:pPr>
        <w:jc w:val="left"/>
      </w:pPr>
      <w:r>
        <w:t xml:space="preserve">            </w:t>
      </w:r>
      <w:r w:rsidR="009C0DF7">
        <w:tab/>
      </w:r>
      <w:r w:rsidR="009C0DF7" w:rsidRPr="00F719A8">
        <w:rPr>
          <w:position w:val="-32"/>
        </w:rPr>
        <w:object w:dxaOrig="3820" w:dyaOrig="760">
          <v:shape id="_x0000_i1027" type="#_x0000_t75" style="width:191.25pt;height:38.25pt" o:ole="">
            <v:imagedata r:id="rId39" o:title=""/>
          </v:shape>
          <o:OLEObject Type="Embed" ProgID="Equation.3" ShapeID="_x0000_i1027" DrawAspect="Content" ObjectID="_1397122699" r:id="rId40"/>
        </w:object>
      </w:r>
      <w:r w:rsidR="00312B75">
        <w:t xml:space="preserve">             </w:t>
      </w:r>
      <w:r w:rsidR="00312B75">
        <w:tab/>
      </w:r>
      <w:r w:rsidR="00832915">
        <w:t xml:space="preserve">                        </w:t>
      </w:r>
      <w:r w:rsidR="00312B75">
        <w:tab/>
        <w:t>(1)</w:t>
      </w:r>
    </w:p>
    <w:p w:rsidR="009C0DF7" w:rsidRDefault="009C0DF7" w:rsidP="00B66ADD">
      <w:r>
        <w:t xml:space="preserve">Or </w:t>
      </w:r>
      <w:r>
        <w:tab/>
      </w:r>
      <w:r>
        <w:tab/>
      </w:r>
      <w:r w:rsidRPr="009C0DF7">
        <w:rPr>
          <w:position w:val="-34"/>
        </w:rPr>
        <w:object w:dxaOrig="4040" w:dyaOrig="820">
          <v:shape id="_x0000_i1028" type="#_x0000_t75" style="width:201.75pt;height:41.25pt" o:ole="">
            <v:imagedata r:id="rId41" o:title=""/>
          </v:shape>
          <o:OLEObject Type="Embed" ProgID="Equation.3" ShapeID="_x0000_i1028" DrawAspect="Content" ObjectID="_1397122700" r:id="rId42"/>
        </w:object>
      </w:r>
    </w:p>
    <w:p w:rsidR="00E30F9E" w:rsidRDefault="00E30F9E" w:rsidP="00B66ADD">
      <w:proofErr w:type="gramStart"/>
      <w:r>
        <w:t>which</w:t>
      </w:r>
      <w:proofErr w:type="gramEnd"/>
      <w:r>
        <w:t>;</w:t>
      </w:r>
    </w:p>
    <w:p w:rsidR="00E30F9E" w:rsidRDefault="00E30F9E" w:rsidP="00B66ADD">
      <w:r w:rsidRPr="00E30F9E">
        <w:rPr>
          <w:position w:val="-4"/>
        </w:rPr>
        <w:object w:dxaOrig="279" w:dyaOrig="260">
          <v:shape id="_x0000_i1029" type="#_x0000_t75" style="width:14.25pt;height:12.75pt" o:ole="">
            <v:imagedata r:id="rId43" o:title=""/>
          </v:shape>
          <o:OLEObject Type="Embed" ProgID="Equation.3" ShapeID="_x0000_i1029" DrawAspect="Content" ObjectID="_1397122701" r:id="rId44"/>
        </w:object>
      </w:r>
      <w:r>
        <w:t xml:space="preserve"> </w:t>
      </w:r>
      <w:proofErr w:type="gramStart"/>
      <w:r>
        <w:t>is</w:t>
      </w:r>
      <w:proofErr w:type="gramEnd"/>
      <w:r>
        <w:t xml:space="preserve"> column vector of outputs of the </w:t>
      </w:r>
      <w:r w:rsidRPr="00E30F9E">
        <w:rPr>
          <w:position w:val="-6"/>
        </w:rPr>
        <w:object w:dxaOrig="200" w:dyaOrig="220">
          <v:shape id="_x0000_i1030" type="#_x0000_t75" style="width:9.75pt;height:11.25pt" o:ole="">
            <v:imagedata r:id="rId45" o:title=""/>
          </v:shape>
          <o:OLEObject Type="Embed" ProgID="Equation.3" ShapeID="_x0000_i1030" DrawAspect="Content" ObjectID="_1397122702" r:id="rId46"/>
        </w:object>
      </w:r>
      <w:r>
        <w:t xml:space="preserve"> sectors of the economy,</w:t>
      </w:r>
    </w:p>
    <w:p w:rsidR="00E30F9E" w:rsidRDefault="008E2F2D" w:rsidP="00B66ADD">
      <w:r w:rsidRPr="00350CCD">
        <w:rPr>
          <w:position w:val="-4"/>
        </w:rPr>
        <w:object w:dxaOrig="240" w:dyaOrig="260">
          <v:shape id="_x0000_i1031" type="#_x0000_t75" style="width:12pt;height:12.75pt" o:ole="">
            <v:imagedata r:id="rId47" o:title=""/>
          </v:shape>
          <o:OLEObject Type="Embed" ProgID="Equation.3" ShapeID="_x0000_i1031" DrawAspect="Content" ObjectID="_1397122703" r:id="rId48"/>
        </w:object>
      </w:r>
      <w:r w:rsidR="00E30F9E">
        <w:t xml:space="preserve"> </w:t>
      </w:r>
      <w:proofErr w:type="gramStart"/>
      <w:r w:rsidR="00E30F9E">
        <w:t>is</w:t>
      </w:r>
      <w:proofErr w:type="gramEnd"/>
      <w:r w:rsidR="00E30F9E">
        <w:t xml:space="preserve"> the value of total export of all </w:t>
      </w:r>
      <w:r w:rsidR="00E30F9E" w:rsidRPr="00E30F9E">
        <w:rPr>
          <w:position w:val="-6"/>
        </w:rPr>
        <w:object w:dxaOrig="200" w:dyaOrig="220">
          <v:shape id="_x0000_i1032" type="#_x0000_t75" style="width:9.75pt;height:11.25pt" o:ole="">
            <v:imagedata r:id="rId45" o:title=""/>
          </v:shape>
          <o:OLEObject Type="Embed" ProgID="Equation.3" ShapeID="_x0000_i1032" DrawAspect="Content" ObjectID="_1397122704" r:id="rId49"/>
        </w:object>
      </w:r>
      <w:r w:rsidR="00E30F9E">
        <w:t xml:space="preserve"> sectors in money unit, </w:t>
      </w:r>
    </w:p>
    <w:p w:rsidR="00E30F9E" w:rsidRDefault="00350CCD" w:rsidP="00B66ADD">
      <w:r w:rsidRPr="00350CCD">
        <w:rPr>
          <w:position w:val="-4"/>
        </w:rPr>
        <w:object w:dxaOrig="320" w:dyaOrig="260">
          <v:shape id="_x0000_i1033" type="#_x0000_t75" style="width:15.75pt;height:12.75pt" o:ole="">
            <v:imagedata r:id="rId50" o:title=""/>
          </v:shape>
          <o:OLEObject Type="Embed" ProgID="Equation.3" ShapeID="_x0000_i1033" DrawAspect="Content" ObjectID="_1397122705" r:id="rId51"/>
        </w:object>
      </w:r>
      <w:proofErr w:type="gramStart"/>
      <w:r w:rsidR="00E30F9E">
        <w:t>is</w:t>
      </w:r>
      <w:proofErr w:type="gramEnd"/>
      <w:r w:rsidR="00E30F9E">
        <w:t xml:space="preserve"> the value of total competitive imports into all </w:t>
      </w:r>
      <w:r w:rsidR="00E30F9E" w:rsidRPr="00E30F9E">
        <w:rPr>
          <w:position w:val="-6"/>
        </w:rPr>
        <w:object w:dxaOrig="200" w:dyaOrig="220">
          <v:shape id="_x0000_i1034" type="#_x0000_t75" style="width:9.75pt;height:11.25pt" o:ole="">
            <v:imagedata r:id="rId45" o:title=""/>
          </v:shape>
          <o:OLEObject Type="Embed" ProgID="Equation.3" ShapeID="_x0000_i1034" DrawAspect="Content" ObjectID="_1397122706" r:id="rId52"/>
        </w:object>
      </w:r>
      <w:r w:rsidR="00E30F9E">
        <w:t xml:space="preserve"> sectors</w:t>
      </w:r>
      <w:r>
        <w:t>,</w:t>
      </w:r>
    </w:p>
    <w:p w:rsidR="00E30F9E" w:rsidRDefault="00E30F9E" w:rsidP="00B66ADD">
      <w:r w:rsidRPr="00E30F9E">
        <w:rPr>
          <w:position w:val="-4"/>
        </w:rPr>
        <w:object w:dxaOrig="240" w:dyaOrig="260">
          <v:shape id="_x0000_i1035" type="#_x0000_t75" style="width:12pt;height:12.75pt" o:ole="">
            <v:imagedata r:id="rId53" o:title=""/>
          </v:shape>
          <o:OLEObject Type="Embed" ProgID="Equation.3" ShapeID="_x0000_i1035" DrawAspect="Content" ObjectID="_1397122707" r:id="rId54"/>
        </w:object>
      </w:r>
      <w:r>
        <w:t xml:space="preserve"> </w:t>
      </w:r>
      <w:proofErr w:type="gramStart"/>
      <w:r>
        <w:t>is</w:t>
      </w:r>
      <w:proofErr w:type="gramEnd"/>
      <w:r>
        <w:t xml:space="preserve"> a square matrix of input coefficients</w:t>
      </w:r>
      <w:r w:rsidR="00350CCD">
        <w:t>,</w:t>
      </w:r>
    </w:p>
    <w:p w:rsidR="00312B75" w:rsidRDefault="00350CCD" w:rsidP="00B66ADD">
      <w:r w:rsidRPr="00350CCD">
        <w:rPr>
          <w:position w:val="-4"/>
        </w:rPr>
        <w:object w:dxaOrig="240" w:dyaOrig="260">
          <v:shape id="_x0000_i1036" type="#_x0000_t75" style="width:12pt;height:12.75pt" o:ole="">
            <v:imagedata r:id="rId55" o:title=""/>
          </v:shape>
          <o:OLEObject Type="Embed" ProgID="Equation.3" ShapeID="_x0000_i1036" DrawAspect="Content" ObjectID="_1397122708" r:id="rId56"/>
        </w:object>
      </w:r>
      <w:r>
        <w:t xml:space="preserve"> </w:t>
      </w:r>
      <w:proofErr w:type="gramStart"/>
      <w:r>
        <w:t>is</w:t>
      </w:r>
      <w:proofErr w:type="gramEnd"/>
      <w:r>
        <w:t xml:space="preserve"> a column vector of export coefficients,</w:t>
      </w:r>
    </w:p>
    <w:p w:rsidR="00312B75" w:rsidRDefault="00312B75" w:rsidP="00B66ADD">
      <w:r w:rsidRPr="00312B75">
        <w:rPr>
          <w:position w:val="-6"/>
        </w:rPr>
        <w:object w:dxaOrig="240" w:dyaOrig="279">
          <v:shape id="_x0000_i1037" type="#_x0000_t75" style="width:12pt;height:14.25pt" o:ole="">
            <v:imagedata r:id="rId57" o:title=""/>
          </v:shape>
          <o:OLEObject Type="Embed" ProgID="Equation.3" ShapeID="_x0000_i1037" DrawAspect="Content" ObjectID="_1397122709" r:id="rId58"/>
        </w:object>
      </w:r>
      <w:r>
        <w:t xml:space="preserve"> </w:t>
      </w:r>
      <w:proofErr w:type="gramStart"/>
      <w:r>
        <w:t>is</w:t>
      </w:r>
      <w:proofErr w:type="gramEnd"/>
      <w:r>
        <w:t xml:space="preserve"> a column vector of competitive import coefficients</w:t>
      </w:r>
    </w:p>
    <w:p w:rsidR="00350CCD" w:rsidRDefault="00312B75" w:rsidP="00B66ADD">
      <w:r w:rsidRPr="00312B75">
        <w:rPr>
          <w:position w:val="-4"/>
        </w:rPr>
        <w:object w:dxaOrig="260" w:dyaOrig="260">
          <v:shape id="_x0000_i1038" type="#_x0000_t75" style="width:12.75pt;height:12.75pt" o:ole="">
            <v:imagedata r:id="rId59" o:title=""/>
          </v:shape>
          <o:OLEObject Type="Embed" ProgID="Equation.3" ShapeID="_x0000_i1038" DrawAspect="Content" ObjectID="_1397122710" r:id="rId60"/>
        </w:object>
      </w:r>
      <w:r>
        <w:t xml:space="preserve"> </w:t>
      </w:r>
      <w:proofErr w:type="gramStart"/>
      <w:r>
        <w:t>is</w:t>
      </w:r>
      <w:proofErr w:type="gramEnd"/>
      <w:r>
        <w:t xml:space="preserve"> a row vector of non-competitive import input coefficients, </w:t>
      </w:r>
    </w:p>
    <w:p w:rsidR="00F719A8" w:rsidRDefault="00350CCD" w:rsidP="00B66ADD">
      <w:r w:rsidRPr="00350CCD">
        <w:rPr>
          <w:position w:val="-4"/>
        </w:rPr>
        <w:object w:dxaOrig="240" w:dyaOrig="260">
          <v:shape id="_x0000_i1039" type="#_x0000_t75" style="width:12pt;height:12.75pt" o:ole="">
            <v:imagedata r:id="rId61" o:title=""/>
          </v:shape>
          <o:OLEObject Type="Embed" ProgID="Equation.3" ShapeID="_x0000_i1039" DrawAspect="Content" ObjectID="_1397122711" r:id="rId62"/>
        </w:object>
      </w:r>
      <w:r>
        <w:t xml:space="preserve"> </w:t>
      </w:r>
      <w:proofErr w:type="gramStart"/>
      <w:r>
        <w:t>is</w:t>
      </w:r>
      <w:proofErr w:type="gramEnd"/>
      <w:r>
        <w:t xml:space="preserve"> a column vector of  final demand.</w:t>
      </w:r>
    </w:p>
    <w:p w:rsidR="00312B75" w:rsidRDefault="00312B75" w:rsidP="00B66ADD">
      <w:r w:rsidRPr="00312B75">
        <w:rPr>
          <w:position w:val="-12"/>
        </w:rPr>
        <w:object w:dxaOrig="320" w:dyaOrig="360">
          <v:shape id="_x0000_i1040" type="#_x0000_t75" style="width:15.75pt;height:18pt" o:ole="">
            <v:imagedata r:id="rId63" o:title=""/>
          </v:shape>
          <o:OLEObject Type="Embed" ProgID="Equation.3" ShapeID="_x0000_i1040" DrawAspect="Content" ObjectID="_1397122712" r:id="rId64"/>
        </w:object>
      </w:r>
      <w:proofErr w:type="gramStart"/>
      <w:r>
        <w:t>is</w:t>
      </w:r>
      <w:proofErr w:type="gramEnd"/>
      <w:r>
        <w:t xml:space="preserve"> that part of total non-competitive imports which is allocated to final uses. </w:t>
      </w:r>
    </w:p>
    <w:p w:rsidR="00F719A8" w:rsidRDefault="00F719A8" w:rsidP="007403AF">
      <w:pPr>
        <w:ind w:firstLine="720"/>
      </w:pPr>
      <w:r>
        <w:t>The computation of capital and labor requirements per money unit of competitive import replacements can be calculated through the</w:t>
      </w:r>
      <w:r w:rsidR="00933262">
        <w:t xml:space="preserve"> below </w:t>
      </w:r>
      <w:r>
        <w:t>equations:</w:t>
      </w:r>
    </w:p>
    <w:p w:rsidR="00A10765" w:rsidRDefault="00A10765" w:rsidP="00B66ADD">
      <w:r>
        <w:t>Capital requirements can be calculated by equation (3),</w:t>
      </w:r>
    </w:p>
    <w:p w:rsidR="00312B75" w:rsidRDefault="005F6117" w:rsidP="00B66ADD">
      <w:r w:rsidRPr="005F6117">
        <w:rPr>
          <w:position w:val="-34"/>
        </w:rPr>
        <w:object w:dxaOrig="5360" w:dyaOrig="820">
          <v:shape id="_x0000_i1041" type="#_x0000_t75" style="width:267.75pt;height:41.25pt" o:ole="">
            <v:imagedata r:id="rId65" o:title=""/>
          </v:shape>
          <o:OLEObject Type="Embed" ProgID="Equation.3" ShapeID="_x0000_i1041" DrawAspect="Content" ObjectID="_1397122713" r:id="rId66"/>
        </w:object>
      </w:r>
      <w:r w:rsidR="00A10765">
        <w:rPr>
          <w:position w:val="-34"/>
        </w:rPr>
        <w:tab/>
      </w:r>
      <w:r w:rsidR="00A10765">
        <w:rPr>
          <w:position w:val="-34"/>
        </w:rPr>
        <w:tab/>
      </w:r>
      <w:r w:rsidR="00A10765">
        <w:rPr>
          <w:position w:val="-34"/>
        </w:rPr>
        <w:tab/>
      </w:r>
      <w:r w:rsidR="00A10765">
        <w:rPr>
          <w:position w:val="-34"/>
        </w:rPr>
        <w:tab/>
      </w:r>
      <w:r w:rsidR="00A10765">
        <w:rPr>
          <w:position w:val="-34"/>
        </w:rPr>
        <w:tab/>
        <w:t>(3)</w:t>
      </w:r>
    </w:p>
    <w:p w:rsidR="00A10765" w:rsidRDefault="005F6117" w:rsidP="00832915">
      <w:proofErr w:type="gramStart"/>
      <w:r>
        <w:t>Labor requirements</w:t>
      </w:r>
      <w:r w:rsidR="00A10765">
        <w:t xml:space="preserve"> also is</w:t>
      </w:r>
      <w:proofErr w:type="gramEnd"/>
      <w:r w:rsidR="00A10765">
        <w:t xml:space="preserve"> possible to calculate th</w:t>
      </w:r>
      <w:r w:rsidR="00832915">
        <w:t>r</w:t>
      </w:r>
      <w:r w:rsidR="00A10765">
        <w:t>ough equation (4)</w:t>
      </w:r>
      <w:r>
        <w:t>:</w:t>
      </w:r>
    </w:p>
    <w:p w:rsidR="005F6117" w:rsidRDefault="005F6117" w:rsidP="00B66ADD">
      <w:r>
        <w:t xml:space="preserve">   </w:t>
      </w:r>
      <w:r w:rsidRPr="005F6117">
        <w:rPr>
          <w:position w:val="-34"/>
        </w:rPr>
        <w:object w:dxaOrig="5260" w:dyaOrig="820">
          <v:shape id="_x0000_i1042" type="#_x0000_t75" style="width:263.25pt;height:41.25pt" o:ole="">
            <v:imagedata r:id="rId67" o:title=""/>
          </v:shape>
          <o:OLEObject Type="Embed" ProgID="Equation.3" ShapeID="_x0000_i1042" DrawAspect="Content" ObjectID="_1397122714" r:id="rId68"/>
        </w:object>
      </w:r>
      <w:r w:rsidR="00A10765">
        <w:rPr>
          <w:position w:val="-34"/>
        </w:rPr>
        <w:tab/>
      </w:r>
      <w:r w:rsidR="00A10765">
        <w:rPr>
          <w:position w:val="-34"/>
        </w:rPr>
        <w:tab/>
      </w:r>
      <w:r w:rsidR="00A10765">
        <w:rPr>
          <w:position w:val="-34"/>
        </w:rPr>
        <w:tab/>
      </w:r>
      <w:r w:rsidR="00A10765">
        <w:rPr>
          <w:position w:val="-34"/>
        </w:rPr>
        <w:tab/>
      </w:r>
      <w:r w:rsidR="00A10765">
        <w:rPr>
          <w:position w:val="-34"/>
        </w:rPr>
        <w:tab/>
        <w:t>(4)</w:t>
      </w:r>
    </w:p>
    <w:p w:rsidR="00754D40" w:rsidRDefault="005F6117" w:rsidP="00A10765">
      <w:r>
        <w:t xml:space="preserve">In which </w:t>
      </w:r>
      <w:r w:rsidRPr="005F6117">
        <w:rPr>
          <w:position w:val="-4"/>
        </w:rPr>
        <w:object w:dxaOrig="260" w:dyaOrig="260">
          <v:shape id="_x0000_i1043" type="#_x0000_t75" style="width:12.75pt;height:12.75pt" o:ole="">
            <v:imagedata r:id="rId69" o:title=""/>
          </v:shape>
          <o:OLEObject Type="Embed" ProgID="Equation.3" ShapeID="_x0000_i1043" DrawAspect="Content" ObjectID="_1397122715" r:id="rId70"/>
        </w:object>
      </w:r>
      <w:r>
        <w:t xml:space="preserve"> and </w:t>
      </w:r>
      <w:r w:rsidRPr="005F6117">
        <w:rPr>
          <w:position w:val="-4"/>
        </w:rPr>
        <w:object w:dxaOrig="220" w:dyaOrig="260">
          <v:shape id="_x0000_i1044" type="#_x0000_t75" style="width:11.25pt;height:12.75pt" o:ole="">
            <v:imagedata r:id="rId71" o:title=""/>
          </v:shape>
          <o:OLEObject Type="Embed" ProgID="Equation.3" ShapeID="_x0000_i1044" DrawAspect="Content" ObjectID="_1397122716" r:id="rId72"/>
        </w:object>
      </w:r>
      <w:r>
        <w:t xml:space="preserve"> are row matri</w:t>
      </w:r>
      <w:r w:rsidR="004B2521">
        <w:t>ces</w:t>
      </w:r>
      <w:r>
        <w:t xml:space="preserve"> of </w:t>
      </w:r>
      <w:r w:rsidR="00832915">
        <w:t xml:space="preserve">direct </w:t>
      </w:r>
      <w:r>
        <w:t xml:space="preserve">capital and labor coefficients respectively. </w:t>
      </w:r>
      <w:r w:rsidR="00F46842">
        <w:t xml:space="preserve">Leontief (1953) found that domestic capital and labor requirements per million dollars of US export and of competitive import replacement of average 1947 </w:t>
      </w:r>
      <w:r w:rsidR="00832915">
        <w:t xml:space="preserve">prices </w:t>
      </w:r>
      <w:r w:rsidR="00F46842">
        <w:t>composition</w:t>
      </w:r>
      <w:r w:rsidR="004B2521">
        <w:t xml:space="preserve"> are </w:t>
      </w:r>
      <w:r w:rsidR="00F46842">
        <w:t>as follow:</w:t>
      </w:r>
    </w:p>
    <w:p w:rsidR="00F46842" w:rsidRPr="00A10765" w:rsidRDefault="00F46842" w:rsidP="00A10765">
      <w:pPr>
        <w:rPr>
          <w:u w:val="single"/>
        </w:rPr>
      </w:pPr>
      <w:r>
        <w:tab/>
      </w:r>
      <w:r>
        <w:tab/>
      </w:r>
      <w:r w:rsidR="004D5DAF">
        <w:t xml:space="preserve">         </w:t>
      </w:r>
      <w:r w:rsidR="004D5DAF">
        <w:tab/>
        <w:t xml:space="preserve">             </w:t>
      </w:r>
      <w:r>
        <w:tab/>
      </w:r>
      <w:r w:rsidR="00A10765">
        <w:tab/>
      </w:r>
      <w:r w:rsidR="004D5DAF" w:rsidRPr="00A10765">
        <w:rPr>
          <w:u w:val="single"/>
        </w:rPr>
        <w:t xml:space="preserve">  </w:t>
      </w:r>
      <w:r w:rsidRPr="00A10765">
        <w:rPr>
          <w:u w:val="single"/>
        </w:rPr>
        <w:t>Exports</w:t>
      </w:r>
      <w:r w:rsidRPr="00A10765">
        <w:rPr>
          <w:u w:val="single"/>
        </w:rPr>
        <w:tab/>
      </w:r>
      <w:r w:rsidR="005B2CEB" w:rsidRPr="00A10765">
        <w:rPr>
          <w:u w:val="single"/>
        </w:rPr>
        <w:t xml:space="preserve">      </w:t>
      </w:r>
      <w:r w:rsidR="00A10765">
        <w:rPr>
          <w:u w:val="single"/>
        </w:rPr>
        <w:t xml:space="preserve"> </w:t>
      </w:r>
      <w:r w:rsidR="005B2CEB" w:rsidRPr="00A10765">
        <w:rPr>
          <w:u w:val="single"/>
        </w:rPr>
        <w:t xml:space="preserve">     </w:t>
      </w:r>
      <w:r w:rsidR="004D5DAF" w:rsidRPr="00A10765">
        <w:rPr>
          <w:u w:val="single"/>
        </w:rPr>
        <w:t xml:space="preserve">  </w:t>
      </w:r>
      <w:r w:rsidR="005B2CEB" w:rsidRPr="00A10765">
        <w:rPr>
          <w:u w:val="single"/>
        </w:rPr>
        <w:t xml:space="preserve">  </w:t>
      </w:r>
      <w:r w:rsidR="004D5DAF" w:rsidRPr="00A10765">
        <w:rPr>
          <w:u w:val="single"/>
        </w:rPr>
        <w:t>I</w:t>
      </w:r>
      <w:r w:rsidRPr="00A10765">
        <w:rPr>
          <w:u w:val="single"/>
        </w:rPr>
        <w:t xml:space="preserve">mport </w:t>
      </w:r>
      <w:r w:rsidR="004B2521" w:rsidRPr="00A10765">
        <w:rPr>
          <w:u w:val="single"/>
        </w:rPr>
        <w:t>R</w:t>
      </w:r>
      <w:r w:rsidRPr="00A10765">
        <w:rPr>
          <w:u w:val="single"/>
        </w:rPr>
        <w:t>eplacements</w:t>
      </w:r>
    </w:p>
    <w:p w:rsidR="00F46842" w:rsidRDefault="00F46842" w:rsidP="00B66ADD">
      <w:r>
        <w:t xml:space="preserve">Capital </w:t>
      </w:r>
      <w:r w:rsidR="00447C42" w:rsidRPr="00447C42">
        <w:rPr>
          <w:position w:val="-4"/>
        </w:rPr>
        <w:object w:dxaOrig="260" w:dyaOrig="260">
          <v:shape id="_x0000_i1045" type="#_x0000_t75" style="width:12.75pt;height:12.75pt" o:ole="">
            <v:imagedata r:id="rId73" o:title=""/>
          </v:shape>
          <o:OLEObject Type="Embed" ProgID="Equation.3" ShapeID="_x0000_i1045" DrawAspect="Content" ObjectID="_1397122717" r:id="rId74"/>
        </w:object>
      </w:r>
      <w:r>
        <w:t xml:space="preserve">(dollars, in 1947 prices) </w:t>
      </w:r>
      <w:r w:rsidR="004D5DAF">
        <w:t xml:space="preserve">  </w:t>
      </w:r>
      <w:r w:rsidR="00A10765">
        <w:t xml:space="preserve"> </w:t>
      </w:r>
      <w:r w:rsidR="004D5DAF">
        <w:t xml:space="preserve"> </w:t>
      </w:r>
      <w:r>
        <w:tab/>
      </w:r>
      <w:r w:rsidR="00BB3976" w:rsidRPr="00447C42">
        <w:rPr>
          <w:position w:val="-10"/>
        </w:rPr>
        <w:object w:dxaOrig="1600" w:dyaOrig="340">
          <v:shape id="_x0000_i1046" type="#_x0000_t75" style="width:80.25pt;height:17.25pt" o:ole="">
            <v:imagedata r:id="rId75" o:title=""/>
          </v:shape>
          <o:OLEObject Type="Embed" ProgID="Equation.3" ShapeID="_x0000_i1046" DrawAspect="Content" ObjectID="_1397122718" r:id="rId76"/>
        </w:object>
      </w:r>
      <w:r>
        <w:t xml:space="preserve">    </w:t>
      </w:r>
      <w:r w:rsidR="005B2CEB">
        <w:t xml:space="preserve">    </w:t>
      </w:r>
      <w:r>
        <w:t xml:space="preserve"> </w:t>
      </w:r>
      <w:r w:rsidR="005B2CEB">
        <w:t xml:space="preserve">  </w:t>
      </w:r>
      <w:r>
        <w:t xml:space="preserve">   </w:t>
      </w:r>
      <w:r w:rsidR="00BB3976" w:rsidRPr="00447C42">
        <w:rPr>
          <w:position w:val="-10"/>
        </w:rPr>
        <w:object w:dxaOrig="1620" w:dyaOrig="340">
          <v:shape id="_x0000_i1047" type="#_x0000_t75" style="width:81pt;height:17.25pt" o:ole="">
            <v:imagedata r:id="rId77" o:title=""/>
          </v:shape>
          <o:OLEObject Type="Embed" ProgID="Equation.3" ShapeID="_x0000_i1047" DrawAspect="Content" ObjectID="_1397122719" r:id="rId78"/>
        </w:object>
      </w:r>
    </w:p>
    <w:p w:rsidR="00447C42" w:rsidRDefault="00F46842" w:rsidP="00A10765">
      <w:r>
        <w:t>Labor (man years)</w:t>
      </w:r>
      <w:r>
        <w:tab/>
      </w:r>
      <w:r>
        <w:tab/>
      </w:r>
      <w:r>
        <w:tab/>
      </w:r>
      <w:r w:rsidR="00A10765">
        <w:t xml:space="preserve">          </w:t>
      </w:r>
      <w:r w:rsidR="00447C42">
        <w:t xml:space="preserve">  </w:t>
      </w:r>
      <w:r w:rsidR="00BB3976" w:rsidRPr="00447C42">
        <w:object w:dxaOrig="1340" w:dyaOrig="340">
          <v:shape id="_x0000_i1048" type="#_x0000_t75" style="width:66.75pt;height:17.25pt" o:ole="">
            <v:imagedata r:id="rId79" o:title=""/>
          </v:shape>
          <o:OLEObject Type="Embed" ProgID="Equation.3" ShapeID="_x0000_i1048" DrawAspect="Content" ObjectID="_1397122720" r:id="rId80"/>
        </w:object>
      </w:r>
      <w:r>
        <w:t xml:space="preserve">      </w:t>
      </w:r>
      <w:r w:rsidR="005B2CEB">
        <w:t xml:space="preserve">    </w:t>
      </w:r>
      <w:r w:rsidR="00A10765">
        <w:t xml:space="preserve">  </w:t>
      </w:r>
      <w:r w:rsidR="005B2CEB">
        <w:t xml:space="preserve"> </w:t>
      </w:r>
      <w:r>
        <w:t xml:space="preserve">  </w:t>
      </w:r>
      <w:r w:rsidR="00447C42">
        <w:t xml:space="preserve">  </w:t>
      </w:r>
      <w:r>
        <w:t xml:space="preserve"> </w:t>
      </w:r>
      <w:r w:rsidR="00BB3976" w:rsidRPr="00447C42">
        <w:object w:dxaOrig="1400" w:dyaOrig="340">
          <v:shape id="_x0000_i1049" type="#_x0000_t75" style="width:69.75pt;height:17.25pt" o:ole="">
            <v:imagedata r:id="rId81" o:title=""/>
          </v:shape>
          <o:OLEObject Type="Embed" ProgID="Equation.3" ShapeID="_x0000_i1049" DrawAspect="Content" ObjectID="_1397122721" r:id="rId82"/>
        </w:object>
      </w:r>
    </w:p>
    <w:p w:rsidR="006E6281" w:rsidRDefault="00211367" w:rsidP="00752A3B">
      <w:pPr>
        <w:ind w:firstLine="720"/>
      </w:pPr>
      <w:r>
        <w:t xml:space="preserve">These figures can be interpreted as follows: on </w:t>
      </w:r>
      <w:r w:rsidRPr="00211367">
        <w:t>the basis</w:t>
      </w:r>
      <w:r>
        <w:t xml:space="preserve"> of the relative quantities of capital required for their production, </w:t>
      </w:r>
      <w:r w:rsidR="00DC7BDA" w:rsidRPr="00DC7BDA">
        <w:rPr>
          <w:position w:val="-10"/>
        </w:rPr>
        <w:object w:dxaOrig="1520" w:dyaOrig="340">
          <v:shape id="_x0000_i1050" type="#_x0000_t75" style="width:75.75pt;height:17.25pt" o:ole="">
            <v:imagedata r:id="rId83" o:title=""/>
          </v:shape>
          <o:OLEObject Type="Embed" ProgID="Equation.3" ShapeID="_x0000_i1050" DrawAspect="Content" ObjectID="_1397122722" r:id="rId84"/>
        </w:object>
      </w:r>
      <w:r>
        <w:t xml:space="preserve"> units of export could be substituted in the output of US country for each unit of competitive imports. In terms of labor costs the corresponding ratio is </w:t>
      </w:r>
      <w:r w:rsidR="00DC7BDA" w:rsidRPr="00DC7BDA">
        <w:rPr>
          <w:position w:val="-10"/>
        </w:rPr>
        <w:object w:dxaOrig="1440" w:dyaOrig="340">
          <v:shape id="_x0000_i1051" type="#_x0000_t75" style="width:1in;height:17.25pt" o:ole="">
            <v:imagedata r:id="rId85" o:title=""/>
          </v:shape>
          <o:OLEObject Type="Embed" ProgID="Equation.3" ShapeID="_x0000_i1051" DrawAspect="Content" ObjectID="_1397122723" r:id="rId86"/>
        </w:object>
      </w:r>
      <w:r w:rsidR="00CC5B29">
        <w:t xml:space="preserve"> units of export for each unit of competitive import. First rate is larger than the second which means that an increase in the supply of capital would tend to reduce, and alternatively a rise in supply of labor to expand the volume of the US foreign trade. </w:t>
      </w:r>
      <w:r w:rsidR="0054309C">
        <w:t>The substitution rate of exports for competitive imports expressed in terms of their comparative capital requirements which is larger than corresponding substitution rate based on the comparative labor costs</w:t>
      </w:r>
      <w:r w:rsidR="006E6281">
        <w:t xml:space="preserve"> i.e.</w:t>
      </w:r>
    </w:p>
    <w:p w:rsidR="006E6281" w:rsidRDefault="00DC7BDA" w:rsidP="00C6554B">
      <w:pPr>
        <w:jc w:val="center"/>
      </w:pPr>
      <w:r w:rsidRPr="00DC7BDA">
        <w:object w:dxaOrig="1340" w:dyaOrig="680">
          <v:shape id="_x0000_i1052" type="#_x0000_t75" style="width:66.75pt;height:33.75pt" o:ole="">
            <v:imagedata r:id="rId87" o:title=""/>
          </v:shape>
          <o:OLEObject Type="Embed" ProgID="Equation.3" ShapeID="_x0000_i1052" DrawAspect="Content" ObjectID="_1397122724" r:id="rId88"/>
        </w:object>
      </w:r>
    </w:p>
    <w:p w:rsidR="0033247F" w:rsidRDefault="00A202C8" w:rsidP="00C6554B">
      <w:r w:rsidRPr="00A202C8">
        <w:rPr>
          <w:position w:val="-24"/>
        </w:rPr>
        <w:object w:dxaOrig="1579" w:dyaOrig="620">
          <v:shape id="_x0000_i1053" type="#_x0000_t75" style="width:79.5pt;height:31.5pt" o:ole="">
            <v:imagedata r:id="rId89" o:title=""/>
          </v:shape>
          <o:OLEObject Type="Embed" ProgID="Equation.3" ShapeID="_x0000_i1053" DrawAspect="Content" ObjectID="_1397122725" r:id="rId90"/>
        </w:object>
      </w:r>
      <w:r w:rsidR="0054309C">
        <w:t xml:space="preserve"> </w:t>
      </w:r>
      <w:proofErr w:type="gramStart"/>
      <w:r w:rsidR="0054309C">
        <w:t>exceed</w:t>
      </w:r>
      <w:proofErr w:type="gramEnd"/>
      <w:r w:rsidR="0054309C">
        <w:t xml:space="preserve"> 1.  </w:t>
      </w:r>
      <w:r w:rsidR="006E6281" w:rsidRPr="0054309C">
        <w:rPr>
          <w:position w:val="-6"/>
        </w:rPr>
        <w:object w:dxaOrig="240" w:dyaOrig="220">
          <v:shape id="_x0000_i1054" type="#_x0000_t75" style="width:12pt;height:11.25pt" o:ole="">
            <v:imagedata r:id="rId91" o:title=""/>
          </v:shape>
          <o:OLEObject Type="Embed" ProgID="Equation.3" ShapeID="_x0000_i1054" DrawAspect="Content" ObjectID="_1397122726" r:id="rId92"/>
        </w:object>
      </w:r>
      <w:r w:rsidR="0054309C">
        <w:t xml:space="preserve"> </w:t>
      </w:r>
      <w:proofErr w:type="gramStart"/>
      <w:r w:rsidR="0054309C">
        <w:t>can</w:t>
      </w:r>
      <w:proofErr w:type="gramEnd"/>
      <w:r w:rsidR="0054309C">
        <w:t xml:space="preserve"> be identified as an index of comparative capital-labor intensity in the production of competitive import and export goods.</w:t>
      </w:r>
      <w:r w:rsidR="006E6281">
        <w:t xml:space="preserve"> When </w:t>
      </w:r>
      <w:r w:rsidR="006E6281" w:rsidRPr="006E6281">
        <w:rPr>
          <w:position w:val="-6"/>
        </w:rPr>
        <w:object w:dxaOrig="580" w:dyaOrig="279">
          <v:shape id="_x0000_i1055" type="#_x0000_t75" style="width:29.25pt;height:14.25pt" o:ole="">
            <v:imagedata r:id="rId93" o:title=""/>
          </v:shape>
          <o:OLEObject Type="Embed" ProgID="Equation.3" ShapeID="_x0000_i1055" DrawAspect="Content" ObjectID="_1397122727" r:id="rId94"/>
        </w:object>
      </w:r>
      <w:r w:rsidR="006E6281">
        <w:t xml:space="preserve"> then the country is labor intensive</w:t>
      </w:r>
      <w:r w:rsidR="00201A97">
        <w:t xml:space="preserve">, otherwise when </w:t>
      </w:r>
      <w:r w:rsidR="00201A97" w:rsidRPr="00201A97">
        <w:rPr>
          <w:position w:val="-6"/>
        </w:rPr>
        <w:object w:dxaOrig="580" w:dyaOrig="279">
          <v:shape id="_x0000_i1056" type="#_x0000_t75" style="width:29.25pt;height:14.25pt" o:ole="">
            <v:imagedata r:id="rId95" o:title=""/>
          </v:shape>
          <o:OLEObject Type="Embed" ProgID="Equation.3" ShapeID="_x0000_i1056" DrawAspect="Content" ObjectID="_1397122728" r:id="rId96"/>
        </w:object>
      </w:r>
      <w:r w:rsidR="00201A97">
        <w:t xml:space="preserve"> the country is capital intensive</w:t>
      </w:r>
      <w:r w:rsidR="00C82F43">
        <w:t xml:space="preserve">. </w:t>
      </w:r>
      <w:r w:rsidR="0027064E">
        <w:t xml:space="preserve">These figures show that average million dollars’ worth of US export embodies considerably less capital and somewhat more labor than would be required to replace from domestic production an equivalent amount of competitive imports. </w:t>
      </w:r>
      <w:r w:rsidR="00F02C99">
        <w:t>T</w:t>
      </w:r>
      <w:r w:rsidR="0027064E">
        <w:t xml:space="preserve">he </w:t>
      </w:r>
      <w:smartTag w:uri="urn:schemas-microsoft-com:office:smarttags" w:element="country-region">
        <w:smartTag w:uri="urn:schemas-microsoft-com:office:smarttags" w:element="place">
          <w:r w:rsidR="0027064E">
            <w:t>US</w:t>
          </w:r>
        </w:smartTag>
      </w:smartTag>
      <w:r w:rsidR="0027064E">
        <w:t xml:space="preserve"> economy compared with the rest of the world</w:t>
      </w:r>
      <w:r w:rsidR="00D943C2">
        <w:t xml:space="preserve"> is characterized by a relative surplus of capital and relatively </w:t>
      </w:r>
      <w:r w:rsidR="00CC5B29">
        <w:t>shortage of labor, thi</w:t>
      </w:r>
      <w:r w:rsidR="00BA25C2">
        <w:t>s</w:t>
      </w:r>
      <w:r w:rsidR="00D943C2">
        <w:t xml:space="preserve"> result prove</w:t>
      </w:r>
      <w:r w:rsidR="00CC5B29">
        <w:t>s</w:t>
      </w:r>
      <w:r w:rsidR="00D943C2">
        <w:t xml:space="preserve"> to be wrong and opposite is true.</w:t>
      </w:r>
      <w:r w:rsidR="00186CFF">
        <w:t xml:space="preserve"> </w:t>
      </w:r>
      <w:r w:rsidR="00F02C99">
        <w:t>T</w:t>
      </w:r>
      <w:r w:rsidR="00186CFF">
        <w:t>his result</w:t>
      </w:r>
      <w:r w:rsidR="00F02C99">
        <w:t xml:space="preserve"> in the international trade showed that the conventional trade theory- the two-factor </w:t>
      </w:r>
      <w:proofErr w:type="spellStart"/>
      <w:r w:rsidR="00F02C99">
        <w:t>Hecksher</w:t>
      </w:r>
      <w:proofErr w:type="spellEnd"/>
      <w:r w:rsidR="00F02C99">
        <w:t xml:space="preserve">-Ohlin model does not provide an accurate explanation of the </w:t>
      </w:r>
      <w:r w:rsidR="00F02C99">
        <w:lastRenderedPageBreak/>
        <w:t>composition of US trade</w:t>
      </w:r>
      <w:r w:rsidR="00201A97">
        <w:t>.</w:t>
      </w:r>
      <w:r w:rsidR="0033247F" w:rsidRPr="0033247F">
        <w:t xml:space="preserve"> </w:t>
      </w:r>
      <w:r w:rsidR="0033247F">
        <w:t>Since then is known as “Leontief paradox”</w:t>
      </w:r>
      <w:r w:rsidR="00C82F43">
        <w:t xml:space="preserve"> in the international trade literature</w:t>
      </w:r>
      <w:r w:rsidR="0033247F">
        <w:t xml:space="preserve">.  </w:t>
      </w:r>
    </w:p>
    <w:p w:rsidR="000A0B73" w:rsidRDefault="00201A97" w:rsidP="000A6C1B">
      <w:r>
        <w:t xml:space="preserve"> </w:t>
      </w:r>
      <w:r w:rsidR="00E93BA6">
        <w:tab/>
      </w:r>
      <w:r w:rsidR="00AA2BDE">
        <w:t xml:space="preserve">In </w:t>
      </w:r>
      <w:r w:rsidR="00BA25C2">
        <w:t xml:space="preserve">Leontief </w:t>
      </w:r>
      <w:r w:rsidR="00D12AF7">
        <w:t xml:space="preserve">(1956) and </w:t>
      </w:r>
      <w:proofErr w:type="spellStart"/>
      <w:r w:rsidR="00D12AF7">
        <w:t>Kreinin</w:t>
      </w:r>
      <w:proofErr w:type="spellEnd"/>
      <w:r w:rsidR="00D12AF7">
        <w:t xml:space="preserve"> (1965) </w:t>
      </w:r>
      <w:r w:rsidR="00832915">
        <w:t>attempt have</w:t>
      </w:r>
      <w:r w:rsidR="00AA2BDE">
        <w:t xml:space="preserve"> been made to</w:t>
      </w:r>
      <w:r>
        <w:t xml:space="preserve"> find a</w:t>
      </w:r>
      <w:r w:rsidR="0033247F">
        <w:t>n interpretation</w:t>
      </w:r>
      <w:r>
        <w:t xml:space="preserve"> for such results</w:t>
      </w:r>
      <w:r w:rsidR="00AA2BDE">
        <w:t>, they</w:t>
      </w:r>
      <w:r w:rsidR="003C3949" w:rsidRPr="003C3949">
        <w:t xml:space="preserve"> </w:t>
      </w:r>
      <w:r w:rsidR="003C3949">
        <w:t xml:space="preserve">explained </w:t>
      </w:r>
      <w:r w:rsidR="00BA25C2">
        <w:t xml:space="preserve">that the productivity of labor in US is three times more than the rest of the world </w:t>
      </w:r>
      <w:r w:rsidR="00BA25C2" w:rsidRPr="00832915">
        <w:rPr>
          <w:i/>
          <w:iCs/>
        </w:rPr>
        <w:t>i.e.</w:t>
      </w:r>
      <w:r w:rsidR="00BA25C2">
        <w:t xml:space="preserve"> regardless of technological type, in any combination with a given quantity of capital, one American labor is equivalent to three man years of foreign labor</w:t>
      </w:r>
      <w:r w:rsidR="00C82F43">
        <w:t>,</w:t>
      </w:r>
      <w:r w:rsidR="00BA25C2">
        <w:t xml:space="preserve"> so the total number of American labor must multiply by three which would increase US labor. </w:t>
      </w:r>
      <w:r w:rsidR="00AA2BDE">
        <w:t>I</w:t>
      </w:r>
      <w:r w:rsidR="00C82F43">
        <w:t>n</w:t>
      </w:r>
      <w:r w:rsidR="00AA2BDE">
        <w:t xml:space="preserve"> </w:t>
      </w:r>
      <w:r w:rsidR="00C82F43">
        <w:t xml:space="preserve">direction of </w:t>
      </w:r>
      <w:r w:rsidR="0033247F">
        <w:t>resolving “Leontief paradox”,</w:t>
      </w:r>
      <w:r w:rsidR="00AA2BDE" w:rsidRPr="00AA2BDE">
        <w:t xml:space="preserve"> </w:t>
      </w:r>
      <w:r w:rsidR="00AA2BDE">
        <w:t>other scholars</w:t>
      </w:r>
      <w:r w:rsidR="0033247F">
        <w:t xml:space="preserve"> Hardness and Kyle (1974)</w:t>
      </w:r>
      <w:r w:rsidR="00C82F43">
        <w:t>,</w:t>
      </w:r>
      <w:r w:rsidR="0033247F">
        <w:t xml:space="preserve"> attempted to measure the simultaneous impacts of a variety of factors in the determination of US comparative advantages using </w:t>
      </w:r>
      <w:proofErr w:type="spellStart"/>
      <w:r w:rsidR="0033247F">
        <w:t>logit</w:t>
      </w:r>
      <w:proofErr w:type="spellEnd"/>
      <w:r w:rsidR="0033247F">
        <w:t xml:space="preserve"> analysis for </w:t>
      </w:r>
      <w:r w:rsidR="007B6E09">
        <w:t xml:space="preserve">industries in the 1958 US input-output table. They found that capital-intensity has a significantly positive impact on the comparative advantage of the </w:t>
      </w:r>
      <w:smartTag w:uri="urn:schemas-microsoft-com:office:smarttags" w:element="country-region">
        <w:smartTag w:uri="urn:schemas-microsoft-com:office:smarttags" w:element="place">
          <w:r w:rsidR="007B6E09">
            <w:t>US</w:t>
          </w:r>
        </w:smartTag>
      </w:smartTag>
      <w:r w:rsidR="007B6E09">
        <w:t xml:space="preserve"> manufacturing industries. </w:t>
      </w:r>
      <w:r w:rsidR="000A0B73">
        <w:t xml:space="preserve">Although their results are reasonable, but H-O hypothesis test by using a regression of trade of many commodity on their factor </w:t>
      </w:r>
      <w:r w:rsidR="00AA2BDE">
        <w:t xml:space="preserve">input </w:t>
      </w:r>
      <w:r w:rsidR="000A0B73">
        <w:t>requirements for single country</w:t>
      </w:r>
      <w:r w:rsidR="00A33B19">
        <w:t xml:space="preserve"> were continued by many scholars</w:t>
      </w:r>
      <w:r w:rsidR="000A0B73">
        <w:t xml:space="preserve"> such as: </w:t>
      </w:r>
      <w:proofErr w:type="spellStart"/>
      <w:r w:rsidR="000A0B73">
        <w:t>Balswin</w:t>
      </w:r>
      <w:proofErr w:type="spellEnd"/>
      <w:r w:rsidR="000A0B73">
        <w:t xml:space="preserve"> 1971, Branson and </w:t>
      </w:r>
      <w:proofErr w:type="spellStart"/>
      <w:r w:rsidR="000A0B73">
        <w:t>Monoyios</w:t>
      </w:r>
      <w:proofErr w:type="spellEnd"/>
      <w:r w:rsidR="000A0B73">
        <w:t xml:space="preserve"> 1977, Hardness 1978, 1983, Stern and </w:t>
      </w:r>
      <w:proofErr w:type="spellStart"/>
      <w:r w:rsidR="000A0B73">
        <w:t>Maskus</w:t>
      </w:r>
      <w:proofErr w:type="spellEnd"/>
      <w:r w:rsidR="000A0B73">
        <w:t xml:space="preserve"> 1981, </w:t>
      </w:r>
      <w:proofErr w:type="spellStart"/>
      <w:r w:rsidR="000A0B73">
        <w:t>Leamer</w:t>
      </w:r>
      <w:proofErr w:type="spellEnd"/>
      <w:r w:rsidR="000A0B73">
        <w:t xml:space="preserve"> and Bowen 1981, </w:t>
      </w:r>
      <w:r w:rsidR="00A33B19">
        <w:t xml:space="preserve">they </w:t>
      </w:r>
      <w:r w:rsidR="000A0B73">
        <w:t>shown that this model is</w:t>
      </w:r>
      <w:r w:rsidR="000A6C1B">
        <w:t xml:space="preserve"> also</w:t>
      </w:r>
      <w:r w:rsidR="000A0B73">
        <w:t xml:space="preserve"> inappropriate inference in a multifactor world since </w:t>
      </w:r>
      <w:r w:rsidR="00BD0B00">
        <w:t xml:space="preserve">there is no guarantee that the signs of the regression coefficients will reveal the abundance of a resource. </w:t>
      </w:r>
    </w:p>
    <w:p w:rsidR="009C573E" w:rsidRDefault="009C573E" w:rsidP="00752A3B">
      <w:pPr>
        <w:ind w:firstLine="720"/>
      </w:pPr>
      <w:proofErr w:type="spellStart"/>
      <w:r>
        <w:t>Leamer</w:t>
      </w:r>
      <w:proofErr w:type="spellEnd"/>
      <w:r>
        <w:t xml:space="preserve"> 1980</w:t>
      </w:r>
      <w:r w:rsidR="00ED6B91">
        <w:t xml:space="preserve"> and Bowen </w:t>
      </w:r>
      <w:proofErr w:type="gramStart"/>
      <w:r w:rsidR="00ED6B91" w:rsidRPr="00A557CA">
        <w:rPr>
          <w:i/>
          <w:iCs/>
        </w:rPr>
        <w:t>et</w:t>
      </w:r>
      <w:proofErr w:type="gramEnd"/>
      <w:r w:rsidR="00ED6B91" w:rsidRPr="00A557CA">
        <w:rPr>
          <w:i/>
          <w:iCs/>
        </w:rPr>
        <w:t>. al</w:t>
      </w:r>
      <w:r w:rsidR="00ED6B91">
        <w:rPr>
          <w:i/>
          <w:iCs/>
        </w:rPr>
        <w:t>. (1987</w:t>
      </w:r>
      <w:r w:rsidR="00ED6B91" w:rsidRPr="002C0578">
        <w:t>)</w:t>
      </w:r>
      <w:r w:rsidR="002C0578" w:rsidRPr="002C0578">
        <w:t xml:space="preserve">, </w:t>
      </w:r>
      <w:proofErr w:type="spellStart"/>
      <w:r w:rsidR="002C0578" w:rsidRPr="002C0578">
        <w:t>Leamer</w:t>
      </w:r>
      <w:proofErr w:type="spellEnd"/>
      <w:r w:rsidR="002C0578" w:rsidRPr="002C0578">
        <w:t xml:space="preserve"> and Bowen (1981</w:t>
      </w:r>
      <w:r w:rsidR="002C0578">
        <w:rPr>
          <w:i/>
          <w:iCs/>
        </w:rPr>
        <w:t xml:space="preserve">) </w:t>
      </w:r>
      <w:r>
        <w:t xml:space="preserve">reconsidered Leontief paradox by </w:t>
      </w:r>
      <w:proofErr w:type="gramStart"/>
      <w:r>
        <w:t xml:space="preserve">using  </w:t>
      </w:r>
      <w:proofErr w:type="spellStart"/>
      <w:r>
        <w:t>Heckscher</w:t>
      </w:r>
      <w:proofErr w:type="spellEnd"/>
      <w:proofErr w:type="gramEnd"/>
      <w:r>
        <w:t>-Ohlin-</w:t>
      </w:r>
      <w:proofErr w:type="spellStart"/>
      <w:r>
        <w:t>Vanek</w:t>
      </w:r>
      <w:proofErr w:type="spellEnd"/>
      <w:r>
        <w:t xml:space="preserve"> (HOV) model of trade.</w:t>
      </w:r>
      <w:r w:rsidR="00ED6B91" w:rsidRPr="00ED6B91">
        <w:t xml:space="preserve"> </w:t>
      </w:r>
      <w:r w:rsidR="00ED6B91">
        <w:t>T</w:t>
      </w:r>
      <w:r w:rsidR="00ED6B91" w:rsidRPr="00A557CA">
        <w:t>hey</w:t>
      </w:r>
      <w:r w:rsidR="00ED6B91">
        <w:t xml:space="preserve"> pointed out that H-O hypothesis</w:t>
      </w:r>
      <w:r w:rsidR="00ED6B91" w:rsidRPr="00A557CA">
        <w:t xml:space="preserve"> </w:t>
      </w:r>
      <w:proofErr w:type="gramStart"/>
      <w:r w:rsidR="00ED6B91">
        <w:t>two</w:t>
      </w:r>
      <w:r w:rsidR="00ED6B91" w:rsidRPr="00A557CA">
        <w:rPr>
          <w:position w:val="-4"/>
        </w:rPr>
        <w:object w:dxaOrig="180" w:dyaOrig="200">
          <v:shape id="_x0000_i1057" type="#_x0000_t75" style="width:9pt;height:9.75pt" o:ole="">
            <v:imagedata r:id="rId97" o:title=""/>
          </v:shape>
          <o:OLEObject Type="Embed" ProgID="Equation.3" ShapeID="_x0000_i1057" DrawAspect="Content" ObjectID="_1397122729" r:id="rId98"/>
        </w:object>
      </w:r>
      <w:r w:rsidR="000A6C1B">
        <w:t xml:space="preserve">two </w:t>
      </w:r>
      <w:r w:rsidR="00ED6B91">
        <w:t>model</w:t>
      </w:r>
      <w:proofErr w:type="gramEnd"/>
      <w:r w:rsidR="00ED6B91">
        <w:t xml:space="preserve"> required three pair</w:t>
      </w:r>
      <w:r w:rsidR="000A6C1B">
        <w:t>-</w:t>
      </w:r>
      <w:r w:rsidR="00ED6B91">
        <w:t>wise comparisons: trade, factor input requirements, and factor endowment. So they used a multidimensional extension of the two</w:t>
      </w:r>
      <w:r w:rsidR="00ED6B91" w:rsidRPr="00A557CA">
        <w:rPr>
          <w:position w:val="-4"/>
        </w:rPr>
        <w:object w:dxaOrig="180" w:dyaOrig="200">
          <v:shape id="_x0000_i1058" type="#_x0000_t75" style="width:9pt;height:9.75pt" o:ole="">
            <v:imagedata r:id="rId97" o:title=""/>
          </v:shape>
          <o:OLEObject Type="Embed" ProgID="Equation.3" ShapeID="_x0000_i1058" DrawAspect="Content" ObjectID="_1397122730" r:id="rId99"/>
        </w:object>
      </w:r>
      <w:r w:rsidR="00ED6B91">
        <w:t xml:space="preserve">two model known as the </w:t>
      </w:r>
      <w:proofErr w:type="spellStart"/>
      <w:r w:rsidR="00ED6B91">
        <w:t>Heckscher</w:t>
      </w:r>
      <w:proofErr w:type="spellEnd"/>
      <w:r w:rsidR="00ED6B91">
        <w:t>-Ohlin-</w:t>
      </w:r>
      <w:proofErr w:type="spellStart"/>
      <w:r w:rsidR="00ED6B91">
        <w:t>Vanek</w:t>
      </w:r>
      <w:proofErr w:type="spellEnd"/>
      <w:r w:rsidR="00ED6B91">
        <w:t xml:space="preserve"> (HOV) theorem, which equates the factors embodied in a country’s net exports to country’s excess supplies of factor endowments. They argue that the basic test of H-O hypothesis (Leontief 1953) does not reveal the relative abundance of capital and labor in multifactor world, because he uses data on trade and factor input requirements but not factor endowments for a single country (US). </w:t>
      </w:r>
      <w:r w:rsidR="000A6C1B">
        <w:t xml:space="preserve"> In </w:t>
      </w:r>
      <w:proofErr w:type="spellStart"/>
      <w:r w:rsidR="000A6C1B">
        <w:t>Leamer</w:t>
      </w:r>
      <w:proofErr w:type="spellEnd"/>
      <w:r w:rsidR="000A6C1B">
        <w:t xml:space="preserve"> (1980), </w:t>
      </w:r>
      <w:r>
        <w:t xml:space="preserve">HOV model </w:t>
      </w:r>
      <w:r w:rsidR="00FD553E">
        <w:t xml:space="preserve">are </w:t>
      </w:r>
      <w:r w:rsidR="000A6C1B">
        <w:t xml:space="preserve">explained </w:t>
      </w:r>
      <w:r w:rsidR="00FF0D37">
        <w:t xml:space="preserve">fully and here we define briefly: HOV model </w:t>
      </w:r>
      <w:r>
        <w:t>shows a country is revealed to be relatively well endowment in capital compared with labor if and only if one of the following three conditions holds</w:t>
      </w:r>
      <w:r w:rsidR="00FF0D37">
        <w:t>,</w:t>
      </w:r>
      <w:r w:rsidR="0046231D">
        <w:t xml:space="preserve"> </w:t>
      </w:r>
    </w:p>
    <w:p w:rsidR="0046231D" w:rsidRDefault="00D74770" w:rsidP="00B66ADD">
      <w:r w:rsidRPr="00892483">
        <w:object w:dxaOrig="2420" w:dyaOrig="380">
          <v:shape id="_x0000_i1059" type="#_x0000_t75" style="width:120.75pt;height:18.75pt" o:ole="">
            <v:imagedata r:id="rId100" o:title=""/>
          </v:shape>
          <o:OLEObject Type="Embed" ProgID="Equation.3" ShapeID="_x0000_i1059" DrawAspect="Content" ObjectID="_1397122731" r:id="rId101"/>
        </w:object>
      </w:r>
    </w:p>
    <w:p w:rsidR="0046231D" w:rsidRDefault="00D74770" w:rsidP="00B66ADD">
      <w:r w:rsidRPr="00892483">
        <w:object w:dxaOrig="4900" w:dyaOrig="380">
          <v:shape id="_x0000_i1060" type="#_x0000_t75" style="width:245.25pt;height:18.75pt" o:ole="">
            <v:imagedata r:id="rId102" o:title=""/>
          </v:shape>
          <o:OLEObject Type="Embed" ProgID="Equation.3" ShapeID="_x0000_i1060" DrawAspect="Content" ObjectID="_1397122732" r:id="rId103"/>
        </w:object>
      </w:r>
      <w:r w:rsidR="009C07C8">
        <w:tab/>
      </w:r>
      <w:r w:rsidR="009C07C8">
        <w:tab/>
      </w:r>
      <w:r w:rsidR="009C07C8">
        <w:tab/>
      </w:r>
      <w:r w:rsidR="009C07C8">
        <w:tab/>
      </w:r>
      <w:r w:rsidR="009C07C8">
        <w:tab/>
        <w:t>(5)</w:t>
      </w:r>
    </w:p>
    <w:p w:rsidR="0046231D" w:rsidRDefault="00D74770" w:rsidP="00B66ADD">
      <w:r w:rsidRPr="00892483">
        <w:object w:dxaOrig="4900" w:dyaOrig="380">
          <v:shape id="_x0000_i1061" type="#_x0000_t75" style="width:245.25pt;height:18.75pt" o:ole="">
            <v:imagedata r:id="rId104" o:title=""/>
          </v:shape>
          <o:OLEObject Type="Embed" ProgID="Equation.3" ShapeID="_x0000_i1061" DrawAspect="Content" ObjectID="_1397122733" r:id="rId105"/>
        </w:object>
      </w:r>
    </w:p>
    <w:p w:rsidR="004D70C9" w:rsidRDefault="00704FDB" w:rsidP="00D25E88">
      <w:pPr>
        <w:ind w:firstLine="720"/>
      </w:pPr>
      <w:r>
        <w:t>W</w:t>
      </w:r>
      <w:r w:rsidR="0046231D">
        <w:t>here</w:t>
      </w:r>
      <w:r>
        <w:t>,</w:t>
      </w:r>
      <w:r w:rsidR="00892483" w:rsidRPr="00892483">
        <w:rPr>
          <w:position w:val="-14"/>
        </w:rPr>
        <w:object w:dxaOrig="700" w:dyaOrig="380">
          <v:shape id="_x0000_i1062" type="#_x0000_t75" style="width:35.25pt;height:18.75pt" o:ole="">
            <v:imagedata r:id="rId106" o:title=""/>
          </v:shape>
          <o:OLEObject Type="Embed" ProgID="Equation.3" ShapeID="_x0000_i1062" DrawAspect="Content" ObjectID="_1397122734" r:id="rId107"/>
        </w:object>
      </w:r>
      <w:proofErr w:type="gramStart"/>
      <w:r w:rsidR="00892483">
        <w:t>,</w:t>
      </w:r>
      <w:r w:rsidR="0046231D" w:rsidRPr="0046231D">
        <w:rPr>
          <w:position w:val="-12"/>
        </w:rPr>
        <w:object w:dxaOrig="360" w:dyaOrig="360">
          <v:shape id="_x0000_i1063" type="#_x0000_t75" style="width:18pt;height:18pt" o:ole="">
            <v:imagedata r:id="rId108" o:title=""/>
          </v:shape>
          <o:OLEObject Type="Embed" ProgID="Equation.3" ShapeID="_x0000_i1063" DrawAspect="Content" ObjectID="_1397122735" r:id="rId109"/>
        </w:object>
      </w:r>
      <w:r w:rsidR="00892483">
        <w:t>,</w:t>
      </w:r>
      <w:r w:rsidR="00482CF3" w:rsidRPr="00892483">
        <w:rPr>
          <w:position w:val="-14"/>
        </w:rPr>
        <w:object w:dxaOrig="660" w:dyaOrig="380">
          <v:shape id="_x0000_i1064" type="#_x0000_t75" style="width:33pt;height:18.75pt" o:ole="">
            <v:imagedata r:id="rId110" o:title=""/>
          </v:shape>
          <o:OLEObject Type="Embed" ProgID="Equation.3" ShapeID="_x0000_i1064" DrawAspect="Content" ObjectID="_1397122736" r:id="rId111"/>
        </w:object>
      </w:r>
      <w:r w:rsidR="00892483">
        <w:t>,</w:t>
      </w:r>
      <w:proofErr w:type="gramEnd"/>
      <w:r w:rsidR="00892483">
        <w:t xml:space="preserve"> and </w:t>
      </w:r>
      <w:r w:rsidR="0046231D" w:rsidRPr="0046231D">
        <w:rPr>
          <w:position w:val="-12"/>
        </w:rPr>
        <w:object w:dxaOrig="320" w:dyaOrig="360">
          <v:shape id="_x0000_i1065" type="#_x0000_t75" style="width:15.75pt;height:18pt" o:ole="">
            <v:imagedata r:id="rId112" o:title=""/>
          </v:shape>
          <o:OLEObject Type="Embed" ProgID="Equation.3" ShapeID="_x0000_i1065" DrawAspect="Content" ObjectID="_1397122737" r:id="rId113"/>
        </w:object>
      </w:r>
      <w:r w:rsidR="0046231D">
        <w:t xml:space="preserve"> are capital and labor embodied in </w:t>
      </w:r>
      <w:r w:rsidR="00892483">
        <w:t xml:space="preserve">net exports and </w:t>
      </w:r>
      <w:r w:rsidR="0046231D">
        <w:t xml:space="preserve">consumption. </w:t>
      </w:r>
      <w:r w:rsidR="00DC7BDA">
        <w:t xml:space="preserve">He </w:t>
      </w:r>
      <w:r w:rsidR="00D74770">
        <w:t xml:space="preserve">believes that </w:t>
      </w:r>
      <w:r w:rsidR="00DC7BDA">
        <w:t>the comp</w:t>
      </w:r>
      <w:r w:rsidR="00D74770">
        <w:t>utation</w:t>
      </w:r>
      <w:r w:rsidR="00DC7BDA">
        <w:t xml:space="preserve"> by </w:t>
      </w:r>
      <w:proofErr w:type="gramStart"/>
      <w:r w:rsidR="00DC7BDA">
        <w:t xml:space="preserve">Leontief </w:t>
      </w:r>
      <w:r w:rsidR="0046231D">
        <w:t xml:space="preserve"> </w:t>
      </w:r>
      <w:r w:rsidR="00DC7BDA">
        <w:t>in</w:t>
      </w:r>
      <w:proofErr w:type="gramEnd"/>
      <w:r w:rsidR="00DC7BDA">
        <w:t xml:space="preserve"> the form of </w:t>
      </w:r>
      <w:r w:rsidR="00DC7BDA" w:rsidRPr="00DC7BDA">
        <w:rPr>
          <w:position w:val="-6"/>
        </w:rPr>
        <w:object w:dxaOrig="240" w:dyaOrig="220">
          <v:shape id="_x0000_i1066" type="#_x0000_t75" style="width:12pt;height:11.25pt" o:ole="">
            <v:imagedata r:id="rId114" o:title=""/>
          </v:shape>
          <o:OLEObject Type="Embed" ProgID="Equation.3" ShapeID="_x0000_i1066" DrawAspect="Content" ObjectID="_1397122738" r:id="rId115"/>
        </w:object>
      </w:r>
      <w:r w:rsidR="00DC7BDA">
        <w:t xml:space="preserve"> is theoretically inappropriate and Le</w:t>
      </w:r>
      <w:r w:rsidR="00D25E88">
        <w:t>o</w:t>
      </w:r>
      <w:r w:rsidR="00DC7BDA">
        <w:t>ntief used nonetheless false proposition</w:t>
      </w:r>
      <w:r w:rsidR="00D74770">
        <w:t xml:space="preserve"> (</w:t>
      </w:r>
      <w:proofErr w:type="spellStart"/>
      <w:r w:rsidR="00D74770">
        <w:t>Leamer</w:t>
      </w:r>
      <w:proofErr w:type="spellEnd"/>
      <w:r w:rsidR="00D74770">
        <w:t xml:space="preserve"> 1980)</w:t>
      </w:r>
      <w:r w:rsidR="00DC7BDA">
        <w:t xml:space="preserve">. </w:t>
      </w:r>
      <w:r w:rsidR="00FE5616">
        <w:t>He also believe that t</w:t>
      </w:r>
      <w:r w:rsidR="00DC7BDA">
        <w:t xml:space="preserve">he true proposition is if the </w:t>
      </w:r>
      <w:r w:rsidR="00482CF3">
        <w:t>NET</w:t>
      </w:r>
      <w:r w:rsidR="00DC7BDA">
        <w:t xml:space="preserve"> export of labor services is the opposite sign of </w:t>
      </w:r>
      <w:r w:rsidR="007E2B43">
        <w:t xml:space="preserve">the net export of capital services, but when both are positive as Leontief’s </w:t>
      </w:r>
      <w:r w:rsidR="00FE5616">
        <w:t>study</w:t>
      </w:r>
      <w:r w:rsidR="007E2B43">
        <w:t xml:space="preserve">, the proper comparison is between the capital per man embodied in net exports and the capital per man embodied in consumption. </w:t>
      </w:r>
      <w:r w:rsidR="00D56B7C">
        <w:t>H</w:t>
      </w:r>
      <w:r w:rsidR="00482CF3">
        <w:t xml:space="preserve">e mentioned that such consideration of the </w:t>
      </w:r>
      <w:r w:rsidR="00D56B7C">
        <w:t xml:space="preserve">Leontief paradox rests on the </w:t>
      </w:r>
      <w:proofErr w:type="spellStart"/>
      <w:r w:rsidR="00D56B7C">
        <w:lastRenderedPageBreak/>
        <w:t>Heckscher</w:t>
      </w:r>
      <w:proofErr w:type="spellEnd"/>
      <w:r w:rsidR="00D56B7C">
        <w:t>-Ohlin-</w:t>
      </w:r>
      <w:proofErr w:type="spellStart"/>
      <w:r w:rsidR="00D56B7C">
        <w:t>Vanek</w:t>
      </w:r>
      <w:proofErr w:type="spellEnd"/>
      <w:r w:rsidR="00D56B7C">
        <w:t xml:space="preserve"> theorem </w:t>
      </w:r>
      <w:r w:rsidR="00A202C8">
        <w:t xml:space="preserve">that </w:t>
      </w:r>
      <w:r w:rsidR="00D56B7C">
        <w:t xml:space="preserve">was proved by </w:t>
      </w:r>
      <w:proofErr w:type="spellStart"/>
      <w:r w:rsidR="00D56B7C">
        <w:t>Vanek</w:t>
      </w:r>
      <w:proofErr w:type="spellEnd"/>
      <w:r w:rsidR="00D56B7C">
        <w:t xml:space="preserve"> in 1968</w:t>
      </w:r>
      <w:r w:rsidR="00FE5616">
        <w:t>.</w:t>
      </w:r>
      <w:r w:rsidR="00D56B7C">
        <w:t xml:space="preserve"> </w:t>
      </w:r>
      <w:r w:rsidR="005B2CEB">
        <w:t xml:space="preserve">So the Leontief paradox has been solved </w:t>
      </w:r>
      <w:r w:rsidR="00C679A7">
        <w:t xml:space="preserve">by </w:t>
      </w:r>
      <w:proofErr w:type="spellStart"/>
      <w:r w:rsidR="00FE5616">
        <w:t>Leamer’s</w:t>
      </w:r>
      <w:proofErr w:type="spellEnd"/>
      <w:r w:rsidR="00FE5616">
        <w:t xml:space="preserve"> computation</w:t>
      </w:r>
      <w:r w:rsidR="00C679A7">
        <w:t>,</w:t>
      </w:r>
      <w:r w:rsidR="00FE5616">
        <w:t xml:space="preserve"> </w:t>
      </w:r>
      <w:r w:rsidR="00C679A7">
        <w:t xml:space="preserve">those </w:t>
      </w:r>
      <w:r w:rsidR="00FE5616">
        <w:t xml:space="preserve">are </w:t>
      </w:r>
      <w:r w:rsidR="004D70C9">
        <w:t xml:space="preserve">shown in </w:t>
      </w:r>
      <w:r w:rsidR="00E93BA6">
        <w:t>T</w:t>
      </w:r>
      <w:r w:rsidR="004D70C9">
        <w:t xml:space="preserve">able </w:t>
      </w:r>
      <w:r w:rsidR="00C679A7">
        <w:t>4.</w:t>
      </w:r>
    </w:p>
    <w:p w:rsidR="00403556" w:rsidRPr="00D41687" w:rsidRDefault="00403556" w:rsidP="00391979">
      <w:pPr>
        <w:jc w:val="center"/>
      </w:pPr>
      <w:r w:rsidRPr="006D0073">
        <w:rPr>
          <w:b/>
          <w:bCs/>
        </w:rPr>
        <w:t>T</w:t>
      </w:r>
      <w:r w:rsidR="004D70C9" w:rsidRPr="006D0073">
        <w:rPr>
          <w:b/>
          <w:bCs/>
        </w:rPr>
        <w:t xml:space="preserve">able </w:t>
      </w:r>
      <w:r w:rsidR="008B6428">
        <w:rPr>
          <w:b/>
          <w:bCs/>
        </w:rPr>
        <w:t>4</w:t>
      </w:r>
      <w:r w:rsidR="004D70C9" w:rsidRPr="00D41687">
        <w:t xml:space="preserve">- </w:t>
      </w:r>
      <w:r w:rsidR="00391979">
        <w:t>C</w:t>
      </w:r>
      <w:r w:rsidR="004D70C9" w:rsidRPr="00D41687">
        <w:t xml:space="preserve">apital </w:t>
      </w:r>
      <w:r w:rsidR="00391979">
        <w:t>I</w:t>
      </w:r>
      <w:r w:rsidR="004D70C9" w:rsidRPr="00D41687">
        <w:t xml:space="preserve">ntensity of </w:t>
      </w:r>
      <w:r w:rsidR="00391979">
        <w:t>C</w:t>
      </w:r>
      <w:r w:rsidR="004D70C9" w:rsidRPr="00D41687">
        <w:t xml:space="preserve">onsumption, </w:t>
      </w:r>
      <w:r w:rsidR="00391979">
        <w:t>P</w:t>
      </w:r>
      <w:r w:rsidR="004D70C9" w:rsidRPr="00D41687">
        <w:t xml:space="preserve">roduction, and </w:t>
      </w:r>
      <w:r w:rsidR="00391979">
        <w:t>T</w:t>
      </w:r>
      <w:r w:rsidR="004D70C9" w:rsidRPr="00D41687">
        <w:t>rade US 1947</w:t>
      </w:r>
    </w:p>
    <w:tbl>
      <w:tblPr>
        <w:tblW w:w="9047" w:type="dxa"/>
        <w:tblInd w:w="-72" w:type="dxa"/>
        <w:tblLook w:val="0000"/>
      </w:tblPr>
      <w:tblGrid>
        <w:gridCol w:w="2880"/>
        <w:gridCol w:w="125"/>
        <w:gridCol w:w="1270"/>
        <w:gridCol w:w="2121"/>
        <w:gridCol w:w="2651"/>
      </w:tblGrid>
      <w:tr w:rsidR="00D41687" w:rsidRPr="00403556" w:rsidTr="00391979">
        <w:trPr>
          <w:trHeight w:val="147"/>
        </w:trPr>
        <w:tc>
          <w:tcPr>
            <w:tcW w:w="2880" w:type="dxa"/>
            <w:tcBorders>
              <w:top w:val="single" w:sz="4" w:space="0" w:color="auto"/>
              <w:left w:val="nil"/>
              <w:bottom w:val="double" w:sz="6" w:space="0" w:color="auto"/>
              <w:right w:val="nil"/>
            </w:tcBorders>
            <w:shd w:val="clear" w:color="auto" w:fill="auto"/>
            <w:noWrap/>
            <w:vAlign w:val="bottom"/>
          </w:tcPr>
          <w:p w:rsidR="00403556" w:rsidRPr="00403556" w:rsidRDefault="00403556" w:rsidP="00C679A7">
            <w:r w:rsidRPr="00403556">
              <w:t> </w:t>
            </w:r>
            <w:r w:rsidR="00E93BA6">
              <w:t>F</w:t>
            </w:r>
            <w:r w:rsidR="006D0073">
              <w:t>actor</w:t>
            </w:r>
          </w:p>
        </w:tc>
        <w:tc>
          <w:tcPr>
            <w:tcW w:w="1395" w:type="dxa"/>
            <w:gridSpan w:val="2"/>
            <w:tcBorders>
              <w:top w:val="single" w:sz="4" w:space="0" w:color="auto"/>
              <w:left w:val="nil"/>
              <w:bottom w:val="double" w:sz="6" w:space="0" w:color="auto"/>
              <w:right w:val="nil"/>
            </w:tcBorders>
            <w:shd w:val="clear" w:color="auto" w:fill="auto"/>
            <w:noWrap/>
            <w:vAlign w:val="bottom"/>
          </w:tcPr>
          <w:p w:rsidR="00403556" w:rsidRPr="00403556" w:rsidRDefault="00E93BA6" w:rsidP="00C679A7">
            <w:r>
              <w:t>P</w:t>
            </w:r>
            <w:r w:rsidR="00403556" w:rsidRPr="00403556">
              <w:t>roduction</w:t>
            </w:r>
          </w:p>
        </w:tc>
        <w:tc>
          <w:tcPr>
            <w:tcW w:w="2121" w:type="dxa"/>
            <w:tcBorders>
              <w:top w:val="single" w:sz="4" w:space="0" w:color="auto"/>
              <w:left w:val="nil"/>
              <w:bottom w:val="double" w:sz="6" w:space="0" w:color="auto"/>
              <w:right w:val="nil"/>
            </w:tcBorders>
            <w:shd w:val="clear" w:color="auto" w:fill="auto"/>
            <w:noWrap/>
            <w:vAlign w:val="bottom"/>
          </w:tcPr>
          <w:p w:rsidR="00403556" w:rsidRPr="00403556" w:rsidRDefault="00E93BA6" w:rsidP="00C679A7">
            <w:r>
              <w:t>N</w:t>
            </w:r>
            <w:r w:rsidR="00403556" w:rsidRPr="00403556">
              <w:t xml:space="preserve">et </w:t>
            </w:r>
            <w:r>
              <w:t>E</w:t>
            </w:r>
            <w:r w:rsidR="00403556" w:rsidRPr="00403556">
              <w:t>xports</w:t>
            </w:r>
          </w:p>
        </w:tc>
        <w:tc>
          <w:tcPr>
            <w:tcW w:w="2651" w:type="dxa"/>
            <w:tcBorders>
              <w:top w:val="single" w:sz="4" w:space="0" w:color="auto"/>
              <w:left w:val="nil"/>
              <w:bottom w:val="double" w:sz="6" w:space="0" w:color="auto"/>
              <w:right w:val="nil"/>
            </w:tcBorders>
            <w:shd w:val="clear" w:color="auto" w:fill="auto"/>
            <w:noWrap/>
            <w:vAlign w:val="bottom"/>
          </w:tcPr>
          <w:p w:rsidR="00403556" w:rsidRPr="00403556" w:rsidRDefault="00E93BA6" w:rsidP="00C679A7">
            <w:r>
              <w:t>C</w:t>
            </w:r>
            <w:r w:rsidR="00403556" w:rsidRPr="00403556">
              <w:t>onsumption</w:t>
            </w:r>
          </w:p>
        </w:tc>
      </w:tr>
      <w:tr w:rsidR="00D41687" w:rsidRPr="00403556" w:rsidTr="00391979">
        <w:trPr>
          <w:trHeight w:val="312"/>
        </w:trPr>
        <w:tc>
          <w:tcPr>
            <w:tcW w:w="2880" w:type="dxa"/>
            <w:tcBorders>
              <w:top w:val="nil"/>
              <w:left w:val="nil"/>
              <w:bottom w:val="nil"/>
              <w:right w:val="nil"/>
            </w:tcBorders>
            <w:shd w:val="clear" w:color="auto" w:fill="auto"/>
            <w:noWrap/>
            <w:vAlign w:val="bottom"/>
          </w:tcPr>
          <w:p w:rsidR="00403556" w:rsidRPr="00D41687" w:rsidRDefault="006D0073" w:rsidP="00C679A7">
            <w:r w:rsidRPr="00D41687">
              <w:t>C</w:t>
            </w:r>
            <w:r w:rsidR="00403556" w:rsidRPr="00D41687">
              <w:t>apital</w:t>
            </w:r>
            <w:r>
              <w:t xml:space="preserve"> ($</w:t>
            </w:r>
            <w:proofErr w:type="spellStart"/>
            <w:r>
              <w:t>million</w:t>
            </w:r>
            <w:proofErr w:type="spellEnd"/>
            <w:r>
              <w:t>)</w:t>
            </w:r>
          </w:p>
        </w:tc>
        <w:tc>
          <w:tcPr>
            <w:tcW w:w="1395" w:type="dxa"/>
            <w:gridSpan w:val="2"/>
            <w:tcBorders>
              <w:top w:val="nil"/>
              <w:left w:val="nil"/>
              <w:bottom w:val="nil"/>
              <w:right w:val="nil"/>
            </w:tcBorders>
            <w:shd w:val="clear" w:color="auto" w:fill="auto"/>
            <w:noWrap/>
            <w:vAlign w:val="bottom"/>
          </w:tcPr>
          <w:p w:rsidR="00403556" w:rsidRPr="00D51015" w:rsidRDefault="00403556" w:rsidP="00C679A7">
            <w:r w:rsidRPr="00D51015">
              <w:t>328.519</w:t>
            </w:r>
          </w:p>
        </w:tc>
        <w:tc>
          <w:tcPr>
            <w:tcW w:w="2121" w:type="dxa"/>
            <w:tcBorders>
              <w:top w:val="nil"/>
              <w:left w:val="nil"/>
              <w:bottom w:val="nil"/>
              <w:right w:val="nil"/>
            </w:tcBorders>
            <w:shd w:val="clear" w:color="auto" w:fill="auto"/>
            <w:noWrap/>
            <w:vAlign w:val="bottom"/>
          </w:tcPr>
          <w:p w:rsidR="00403556" w:rsidRPr="00D51015" w:rsidRDefault="00403556" w:rsidP="00C679A7">
            <w:r w:rsidRPr="00D51015">
              <w:t>23.450</w:t>
            </w:r>
          </w:p>
        </w:tc>
        <w:tc>
          <w:tcPr>
            <w:tcW w:w="2651" w:type="dxa"/>
            <w:tcBorders>
              <w:top w:val="nil"/>
              <w:left w:val="nil"/>
              <w:bottom w:val="nil"/>
              <w:right w:val="nil"/>
            </w:tcBorders>
            <w:shd w:val="clear" w:color="auto" w:fill="auto"/>
            <w:noWrap/>
            <w:vAlign w:val="bottom"/>
          </w:tcPr>
          <w:p w:rsidR="00403556" w:rsidRPr="00D51015" w:rsidRDefault="00403556" w:rsidP="00C679A7">
            <w:r w:rsidRPr="00D51015">
              <w:t>305.069</w:t>
            </w:r>
          </w:p>
        </w:tc>
      </w:tr>
      <w:tr w:rsidR="00D41687" w:rsidRPr="00403556" w:rsidTr="00391979">
        <w:trPr>
          <w:trHeight w:val="295"/>
        </w:trPr>
        <w:tc>
          <w:tcPr>
            <w:tcW w:w="3005" w:type="dxa"/>
            <w:gridSpan w:val="2"/>
            <w:tcBorders>
              <w:top w:val="nil"/>
              <w:left w:val="nil"/>
              <w:right w:val="nil"/>
            </w:tcBorders>
            <w:shd w:val="clear" w:color="auto" w:fill="auto"/>
            <w:noWrap/>
            <w:vAlign w:val="bottom"/>
          </w:tcPr>
          <w:p w:rsidR="00403556" w:rsidRPr="00D41687" w:rsidRDefault="006D0073" w:rsidP="00C679A7">
            <w:r w:rsidRPr="00D41687">
              <w:t>L</w:t>
            </w:r>
            <w:r w:rsidR="00403556" w:rsidRPr="00D41687">
              <w:t>abor</w:t>
            </w:r>
            <w:r>
              <w:t xml:space="preserve"> (million man-years)</w:t>
            </w:r>
          </w:p>
        </w:tc>
        <w:tc>
          <w:tcPr>
            <w:tcW w:w="1270" w:type="dxa"/>
            <w:tcBorders>
              <w:top w:val="nil"/>
              <w:left w:val="nil"/>
              <w:right w:val="nil"/>
            </w:tcBorders>
            <w:shd w:val="clear" w:color="auto" w:fill="auto"/>
            <w:noWrap/>
            <w:vAlign w:val="bottom"/>
          </w:tcPr>
          <w:p w:rsidR="00403556" w:rsidRPr="00D51015" w:rsidRDefault="00403556" w:rsidP="00C679A7">
            <w:r w:rsidRPr="00D51015">
              <w:t>47.273</w:t>
            </w:r>
          </w:p>
        </w:tc>
        <w:tc>
          <w:tcPr>
            <w:tcW w:w="2121" w:type="dxa"/>
            <w:tcBorders>
              <w:top w:val="nil"/>
              <w:left w:val="nil"/>
              <w:right w:val="nil"/>
            </w:tcBorders>
            <w:shd w:val="clear" w:color="auto" w:fill="auto"/>
            <w:noWrap/>
            <w:vAlign w:val="bottom"/>
          </w:tcPr>
          <w:p w:rsidR="00403556" w:rsidRPr="00D51015" w:rsidRDefault="00403556" w:rsidP="00C679A7">
            <w:r w:rsidRPr="00D51015">
              <w:t>1.99</w:t>
            </w:r>
          </w:p>
        </w:tc>
        <w:tc>
          <w:tcPr>
            <w:tcW w:w="2651" w:type="dxa"/>
            <w:tcBorders>
              <w:top w:val="nil"/>
              <w:left w:val="nil"/>
              <w:right w:val="nil"/>
            </w:tcBorders>
            <w:shd w:val="clear" w:color="auto" w:fill="auto"/>
            <w:noWrap/>
            <w:vAlign w:val="bottom"/>
          </w:tcPr>
          <w:p w:rsidR="00403556" w:rsidRPr="00D51015" w:rsidRDefault="00403556" w:rsidP="00C679A7">
            <w:r w:rsidRPr="00D51015">
              <w:t>45.28</w:t>
            </w:r>
          </w:p>
        </w:tc>
      </w:tr>
      <w:tr w:rsidR="00D41687" w:rsidRPr="00403556" w:rsidTr="00391979">
        <w:trPr>
          <w:trHeight w:val="312"/>
        </w:trPr>
        <w:tc>
          <w:tcPr>
            <w:tcW w:w="3005" w:type="dxa"/>
            <w:gridSpan w:val="2"/>
            <w:tcBorders>
              <w:top w:val="single" w:sz="12" w:space="0" w:color="auto"/>
              <w:left w:val="nil"/>
              <w:bottom w:val="single" w:sz="8" w:space="0" w:color="auto"/>
              <w:right w:val="nil"/>
            </w:tcBorders>
            <w:shd w:val="clear" w:color="auto" w:fill="auto"/>
            <w:noWrap/>
            <w:vAlign w:val="bottom"/>
          </w:tcPr>
          <w:p w:rsidR="00403556" w:rsidRPr="00D41687" w:rsidRDefault="00403556" w:rsidP="00C679A7">
            <w:r w:rsidRPr="00D41687">
              <w:t>capital/labor</w:t>
            </w:r>
          </w:p>
        </w:tc>
        <w:tc>
          <w:tcPr>
            <w:tcW w:w="1270" w:type="dxa"/>
            <w:tcBorders>
              <w:top w:val="single" w:sz="12" w:space="0" w:color="auto"/>
              <w:left w:val="nil"/>
              <w:bottom w:val="single" w:sz="8" w:space="0" w:color="auto"/>
              <w:right w:val="nil"/>
            </w:tcBorders>
            <w:shd w:val="clear" w:color="auto" w:fill="auto"/>
            <w:noWrap/>
            <w:vAlign w:val="bottom"/>
          </w:tcPr>
          <w:p w:rsidR="00403556" w:rsidRPr="00D51015" w:rsidRDefault="00403556" w:rsidP="00C679A7">
            <w:r w:rsidRPr="00D51015">
              <w:t>6.949</w:t>
            </w:r>
          </w:p>
        </w:tc>
        <w:tc>
          <w:tcPr>
            <w:tcW w:w="2121" w:type="dxa"/>
            <w:tcBorders>
              <w:top w:val="single" w:sz="12" w:space="0" w:color="auto"/>
              <w:left w:val="nil"/>
              <w:bottom w:val="single" w:sz="8" w:space="0" w:color="auto"/>
              <w:right w:val="nil"/>
            </w:tcBorders>
            <w:shd w:val="clear" w:color="auto" w:fill="auto"/>
            <w:noWrap/>
            <w:vAlign w:val="bottom"/>
          </w:tcPr>
          <w:p w:rsidR="00403556" w:rsidRPr="00D51015" w:rsidRDefault="00403556" w:rsidP="00C679A7">
            <w:r w:rsidRPr="00D51015">
              <w:t>11.783</w:t>
            </w:r>
          </w:p>
        </w:tc>
        <w:tc>
          <w:tcPr>
            <w:tcW w:w="2651" w:type="dxa"/>
            <w:tcBorders>
              <w:top w:val="single" w:sz="12" w:space="0" w:color="auto"/>
              <w:left w:val="nil"/>
              <w:bottom w:val="single" w:sz="8" w:space="0" w:color="auto"/>
              <w:right w:val="nil"/>
            </w:tcBorders>
            <w:shd w:val="clear" w:color="auto" w:fill="auto"/>
            <w:noWrap/>
            <w:vAlign w:val="bottom"/>
          </w:tcPr>
          <w:p w:rsidR="00403556" w:rsidRPr="00D51015" w:rsidRDefault="00403556" w:rsidP="00C679A7">
            <w:r w:rsidRPr="00D51015">
              <w:t>6.737</w:t>
            </w:r>
          </w:p>
        </w:tc>
      </w:tr>
    </w:tbl>
    <w:p w:rsidR="005B2CEB" w:rsidRPr="00403556" w:rsidRDefault="00403556" w:rsidP="00C679A7">
      <w:r w:rsidRPr="00403556">
        <w:t xml:space="preserve">Source: </w:t>
      </w:r>
      <w:proofErr w:type="spellStart"/>
      <w:r w:rsidRPr="00403556">
        <w:t>Leamer</w:t>
      </w:r>
      <w:proofErr w:type="spellEnd"/>
      <w:r w:rsidRPr="00403556">
        <w:t xml:space="preserve"> 1980</w:t>
      </w:r>
      <w:r w:rsidR="00D56B7C" w:rsidRPr="00403556">
        <w:t xml:space="preserve"> </w:t>
      </w:r>
    </w:p>
    <w:p w:rsidR="00EA4D0D" w:rsidRPr="00EA4D0D" w:rsidRDefault="00D56B7C" w:rsidP="00752A3B">
      <w:pPr>
        <w:ind w:firstLine="720"/>
        <w:rPr>
          <w:i/>
          <w:iCs/>
        </w:rPr>
      </w:pPr>
      <w:r>
        <w:t>According to the HOV model</w:t>
      </w:r>
      <w:r w:rsidR="00C679A7">
        <w:t xml:space="preserve"> of </w:t>
      </w:r>
      <w:proofErr w:type="spellStart"/>
      <w:r w:rsidR="00C679A7">
        <w:t>Leamer’s</w:t>
      </w:r>
      <w:proofErr w:type="spellEnd"/>
      <w:r>
        <w:t xml:space="preserve"> computation</w:t>
      </w:r>
      <w:r w:rsidR="00403556">
        <w:t xml:space="preserve"> o</w:t>
      </w:r>
      <w:r w:rsidR="00C679A7">
        <w:t>n</w:t>
      </w:r>
      <w:r w:rsidR="00403556">
        <w:t xml:space="preserve"> Table</w:t>
      </w:r>
      <w:r w:rsidR="00C679A7">
        <w:t xml:space="preserve"> 4</w:t>
      </w:r>
      <w:r w:rsidR="00403556">
        <w:t>-</w:t>
      </w:r>
      <w:r>
        <w:t xml:space="preserve"> the US is revealed</w:t>
      </w:r>
      <w:r w:rsidR="00E441D0">
        <w:t xml:space="preserve"> to be capital abundant case and there is no paradox</w:t>
      </w:r>
      <w:r w:rsidR="00D51015">
        <w:t>.</w:t>
      </w:r>
      <w:r w:rsidR="00E441D0">
        <w:t xml:space="preserve"> </w:t>
      </w:r>
      <w:r w:rsidR="00C679A7">
        <w:t xml:space="preserve">In a very comprehensive study, </w:t>
      </w:r>
      <w:proofErr w:type="spellStart"/>
      <w:r w:rsidR="00C679A7">
        <w:t>Leamer</w:t>
      </w:r>
      <w:proofErr w:type="spellEnd"/>
      <w:r w:rsidR="00C679A7">
        <w:t xml:space="preserve"> (1984) examined trade patterns for over hundred countries and found that actual patterns could be explained fairly well by endowment-based model with ten factors, including capital, several types of natural resources and land, and three skill classes of labor. </w:t>
      </w:r>
      <w:r w:rsidR="00EA4D0D">
        <w:t xml:space="preserve">A few years later Bowen </w:t>
      </w:r>
      <w:proofErr w:type="gramStart"/>
      <w:r w:rsidR="00EA4D0D" w:rsidRPr="00EA4D0D">
        <w:rPr>
          <w:i/>
          <w:iCs/>
        </w:rPr>
        <w:t>et</w:t>
      </w:r>
      <w:proofErr w:type="gramEnd"/>
      <w:r w:rsidR="00EA4D0D" w:rsidRPr="00EA4D0D">
        <w:rPr>
          <w:i/>
          <w:iCs/>
        </w:rPr>
        <w:t>. al.</w:t>
      </w:r>
      <w:r w:rsidR="00EA4D0D">
        <w:rPr>
          <w:i/>
          <w:iCs/>
        </w:rPr>
        <w:t xml:space="preserve"> </w:t>
      </w:r>
      <w:r w:rsidR="00EA4D0D" w:rsidRPr="00EA4D0D">
        <w:t>(1987)</w:t>
      </w:r>
      <w:r w:rsidR="00EA4D0D">
        <w:t xml:space="preserve"> computed the amount of twelve factors embodied in the net exports for twenty-seven countries on the basis of 1967 US input-output table of total input requirements. These factors were then compared with the relative factor abundance of twenty- five countries</w:t>
      </w:r>
      <w:r w:rsidR="00C47E9D">
        <w:t xml:space="preserve">. Their results show there was no correspondence between the two, contradicting the HOV model. </w:t>
      </w:r>
    </w:p>
    <w:p w:rsidR="000F1D82" w:rsidRDefault="00C47E9D" w:rsidP="00752A3B">
      <w:pPr>
        <w:ind w:firstLine="720"/>
      </w:pPr>
      <w:r>
        <w:t xml:space="preserve">As </w:t>
      </w:r>
      <w:r w:rsidR="00E441D0">
        <w:t>HOV theorem works under certain assumptions: all factors are perfectly immobile and all commodities are freely mobile</w:t>
      </w:r>
      <w:r w:rsidR="00E441D0" w:rsidRPr="00E441D0">
        <w:t xml:space="preserve"> </w:t>
      </w:r>
      <w:r w:rsidR="00E441D0">
        <w:t xml:space="preserve">internationally, all individuals have identical homothetic preferences, production functions are the same and exhibit constant return to scale for all countries. </w:t>
      </w:r>
      <w:r w:rsidR="00637700">
        <w:t>F</w:t>
      </w:r>
      <w:r w:rsidR="00E441D0">
        <w:t xml:space="preserve">actor prices are equalized across countries. </w:t>
      </w:r>
      <w:proofErr w:type="spellStart"/>
      <w:r w:rsidR="00A26092">
        <w:t>Trefler</w:t>
      </w:r>
      <w:proofErr w:type="spellEnd"/>
      <w:r w:rsidR="00A26092">
        <w:t xml:space="preserve"> (1993) criticized to the HOV assumptions</w:t>
      </w:r>
      <w:r w:rsidR="004D53AD">
        <w:t xml:space="preserve"> and pointed out to three elements: a)</w:t>
      </w:r>
      <w:r w:rsidR="005C4590">
        <w:t xml:space="preserve"> </w:t>
      </w:r>
      <w:r w:rsidR="004D53AD">
        <w:t>equalization of price factors, b)</w:t>
      </w:r>
      <w:r w:rsidR="00D51015">
        <w:t xml:space="preserve"> </w:t>
      </w:r>
      <w:r w:rsidR="004D53AD">
        <w:t xml:space="preserve">identical of technology, and c) </w:t>
      </w:r>
      <w:r w:rsidR="00076BF1">
        <w:t xml:space="preserve">no productivity differences. He </w:t>
      </w:r>
      <w:r w:rsidR="005404D9">
        <w:t xml:space="preserve">has explored more Leontief’s original productivity explanation and </w:t>
      </w:r>
      <w:r w:rsidR="00076BF1">
        <w:t>could correct the productivity differences</w:t>
      </w:r>
      <w:r w:rsidR="00D74489">
        <w:t>. His</w:t>
      </w:r>
      <w:r w:rsidR="00076BF1">
        <w:t xml:space="preserve"> results show that in 1947 the US was labor abundant and Leontief was right, contrast with </w:t>
      </w:r>
      <w:proofErr w:type="spellStart"/>
      <w:r w:rsidR="00076BF1">
        <w:t>Leamer</w:t>
      </w:r>
      <w:proofErr w:type="spellEnd"/>
      <w:r w:rsidR="00076BF1">
        <w:t xml:space="preserve"> (1980) approach. </w:t>
      </w:r>
      <w:r w:rsidR="003E776B">
        <w:t xml:space="preserve">Since 1980, HOV model have been tested </w:t>
      </w:r>
      <w:r w:rsidR="00BF2CFF">
        <w:t>empirically</w:t>
      </w:r>
      <w:r w:rsidR="003E776B">
        <w:t xml:space="preserve"> by many scholars. As the base of HOV theorem developed by 1968 by </w:t>
      </w:r>
      <w:proofErr w:type="spellStart"/>
      <w:r w:rsidR="003E776B">
        <w:t>Vanek</w:t>
      </w:r>
      <w:proofErr w:type="spellEnd"/>
      <w:r w:rsidR="003E776B">
        <w:t xml:space="preserve"> was according to the international trade and </w:t>
      </w:r>
      <w:r w:rsidR="005D6133">
        <w:t xml:space="preserve">factor abundant </w:t>
      </w:r>
      <w:r w:rsidR="003E776B">
        <w:t xml:space="preserve">of multi-countries, in most of the studies it is </w:t>
      </w:r>
      <w:r w:rsidR="00D74489">
        <w:t xml:space="preserve">used </w:t>
      </w:r>
      <w:r w:rsidR="003E776B">
        <w:t>for many countries (</w:t>
      </w:r>
      <w:r w:rsidR="002C0578">
        <w:t xml:space="preserve">for example; </w:t>
      </w:r>
      <w:proofErr w:type="spellStart"/>
      <w:r w:rsidR="002C0578">
        <w:t>Maskus</w:t>
      </w:r>
      <w:proofErr w:type="spellEnd"/>
      <w:r w:rsidR="002C0578">
        <w:t xml:space="preserve"> 1985, Bowen </w:t>
      </w:r>
      <w:r w:rsidR="002C0578" w:rsidRPr="00B613C9">
        <w:rPr>
          <w:i/>
          <w:iCs/>
        </w:rPr>
        <w:t>et. al.</w:t>
      </w:r>
      <w:r w:rsidR="002C0578">
        <w:t xml:space="preserve"> 1987, </w:t>
      </w:r>
      <w:proofErr w:type="spellStart"/>
      <w:r w:rsidR="002C0578">
        <w:t>Brecher</w:t>
      </w:r>
      <w:proofErr w:type="spellEnd"/>
      <w:r w:rsidR="002C0578">
        <w:t xml:space="preserve"> and </w:t>
      </w:r>
      <w:proofErr w:type="spellStart"/>
      <w:r w:rsidR="002C0578">
        <w:t>Choudhri</w:t>
      </w:r>
      <w:proofErr w:type="spellEnd"/>
      <w:r w:rsidR="002C0578">
        <w:t xml:space="preserve"> 1988, Kohler 1991, </w:t>
      </w:r>
      <w:proofErr w:type="spellStart"/>
      <w:r w:rsidR="005D6133">
        <w:t>Trefler</w:t>
      </w:r>
      <w:proofErr w:type="spellEnd"/>
      <w:r w:rsidR="005D6133">
        <w:t xml:space="preserve"> </w:t>
      </w:r>
      <w:r w:rsidR="005D6133" w:rsidRPr="00985829">
        <w:rPr>
          <w:i/>
          <w:iCs/>
        </w:rPr>
        <w:t>et. al.</w:t>
      </w:r>
      <w:r w:rsidR="005D6133">
        <w:t xml:space="preserve"> 2010, </w:t>
      </w:r>
      <w:proofErr w:type="spellStart"/>
      <w:r w:rsidR="005D6133">
        <w:t>Trefler</w:t>
      </w:r>
      <w:proofErr w:type="spellEnd"/>
      <w:r w:rsidR="005D6133">
        <w:t xml:space="preserve"> and Chun 2000, </w:t>
      </w:r>
      <w:proofErr w:type="spellStart"/>
      <w:r w:rsidR="005D6133">
        <w:t>Trefler</w:t>
      </w:r>
      <w:proofErr w:type="spellEnd"/>
      <w:r w:rsidR="005D6133">
        <w:t xml:space="preserve"> 1993</w:t>
      </w:r>
      <w:r w:rsidR="0073635E">
        <w:t xml:space="preserve">, </w:t>
      </w:r>
      <w:proofErr w:type="spellStart"/>
      <w:r w:rsidR="0073635E">
        <w:t>Maskus</w:t>
      </w:r>
      <w:proofErr w:type="spellEnd"/>
      <w:r w:rsidR="00BF2CFF">
        <w:t xml:space="preserve"> and </w:t>
      </w:r>
      <w:proofErr w:type="spellStart"/>
      <w:r w:rsidR="00BF2CFF">
        <w:t>Shuichiro</w:t>
      </w:r>
      <w:proofErr w:type="spellEnd"/>
      <w:r w:rsidR="00BF2CFF">
        <w:t xml:space="preserve"> 2009</w:t>
      </w:r>
      <w:r w:rsidR="003E776B">
        <w:t>)</w:t>
      </w:r>
      <w:r w:rsidR="00F15450">
        <w:t>.</w:t>
      </w:r>
      <w:r w:rsidR="003E776B">
        <w:t xml:space="preserve"> </w:t>
      </w:r>
      <w:r w:rsidR="00BF2CFF">
        <w:t>Iran</w:t>
      </w:r>
      <w:r w:rsidR="00F15450">
        <w:t xml:space="preserve"> as country of study has not been considered. Moreover, Wolf (2004) tested the continuation of the </w:t>
      </w:r>
      <w:proofErr w:type="spellStart"/>
      <w:r w:rsidR="00F15450">
        <w:t>Leotief</w:t>
      </w:r>
      <w:proofErr w:type="spellEnd"/>
      <w:r w:rsidR="00F15450">
        <w:t xml:space="preserve"> paradox in the United States for the period of 1947-1996 and found </w:t>
      </w:r>
      <w:r w:rsidR="00BD3DF4">
        <w:t>that imports are more capital – and equipment- intensive than are exports, but the difference in intensity between the two has fallen over the time.</w:t>
      </w:r>
      <w:r w:rsidR="00F15450">
        <w:t xml:space="preserve">  </w:t>
      </w:r>
      <w:r w:rsidR="00AE1BFD">
        <w:t xml:space="preserve">Several studies of the Leontief Paradox have also been conducted on inter regional (such as </w:t>
      </w:r>
      <w:proofErr w:type="spellStart"/>
      <w:r w:rsidR="00AE1BFD">
        <w:t>Polenske</w:t>
      </w:r>
      <w:proofErr w:type="spellEnd"/>
      <w:r w:rsidR="00AE1BFD">
        <w:t xml:space="preserve"> 2001 using Japan data) </w:t>
      </w:r>
      <w:proofErr w:type="gramStart"/>
      <w:r w:rsidR="00AE1BFD">
        <w:t>or  cross</w:t>
      </w:r>
      <w:proofErr w:type="gramEnd"/>
      <w:r w:rsidR="00AE1BFD">
        <w:t xml:space="preserve"> industry </w:t>
      </w:r>
      <w:r w:rsidR="00CB2892">
        <w:t>(</w:t>
      </w:r>
      <w:r w:rsidR="00AE1BFD">
        <w:t xml:space="preserve">such as </w:t>
      </w:r>
      <w:proofErr w:type="spellStart"/>
      <w:r w:rsidR="00AE1BFD">
        <w:t>Leamer</w:t>
      </w:r>
      <w:proofErr w:type="spellEnd"/>
      <w:r w:rsidR="00AE1BFD">
        <w:t xml:space="preserve"> 1980 and </w:t>
      </w:r>
      <w:proofErr w:type="spellStart"/>
      <w:r w:rsidR="00AE1BFD">
        <w:t>Leamer</w:t>
      </w:r>
      <w:proofErr w:type="spellEnd"/>
      <w:r w:rsidR="00AE1BFD">
        <w:t xml:space="preserve"> and Bowen 1981  for a single country</w:t>
      </w:r>
      <w:r w:rsidR="00CB2892">
        <w:t>)</w:t>
      </w:r>
      <w:r w:rsidR="00BF2CFF">
        <w:t xml:space="preserve">. </w:t>
      </w:r>
      <w:r w:rsidR="00F35693">
        <w:t xml:space="preserve">In this study we apply single country HOV model for Iranian trade case. </w:t>
      </w:r>
    </w:p>
    <w:p w:rsidR="00A07649" w:rsidRDefault="00A07649" w:rsidP="00A07649">
      <w:pPr>
        <w:pStyle w:val="ListParagraph"/>
        <w:rPr>
          <w:lang w:bidi="fa-IR"/>
        </w:rPr>
      </w:pPr>
    </w:p>
    <w:p w:rsidR="00A07649" w:rsidRDefault="00A07649" w:rsidP="00A07649">
      <w:pPr>
        <w:pStyle w:val="ListParagraph"/>
        <w:rPr>
          <w:lang w:bidi="fa-IR"/>
        </w:rPr>
      </w:pPr>
    </w:p>
    <w:p w:rsidR="00A07649" w:rsidRDefault="00A07649" w:rsidP="00A07649">
      <w:pPr>
        <w:pStyle w:val="ListParagraph"/>
        <w:rPr>
          <w:lang w:bidi="fa-IR"/>
        </w:rPr>
      </w:pPr>
    </w:p>
    <w:p w:rsidR="00A07649" w:rsidRDefault="00A07649" w:rsidP="00A07649">
      <w:pPr>
        <w:pStyle w:val="ListParagraph"/>
        <w:rPr>
          <w:lang w:bidi="fa-IR"/>
        </w:rPr>
      </w:pPr>
    </w:p>
    <w:p w:rsidR="00A07649" w:rsidRPr="00752A3B" w:rsidRDefault="00A07649" w:rsidP="00752A3B">
      <w:pPr>
        <w:pStyle w:val="ListParagraph"/>
        <w:numPr>
          <w:ilvl w:val="0"/>
          <w:numId w:val="10"/>
        </w:numPr>
        <w:rPr>
          <w:b/>
          <w:bCs/>
        </w:rPr>
      </w:pPr>
      <w:r w:rsidRPr="00752A3B">
        <w:rPr>
          <w:b/>
          <w:bCs/>
          <w:lang w:bidi="fa-IR"/>
        </w:rPr>
        <w:t xml:space="preserve">Data Base and </w:t>
      </w:r>
      <w:r w:rsidR="00613171" w:rsidRPr="00752A3B">
        <w:rPr>
          <w:b/>
          <w:bCs/>
          <w:lang w:bidi="fa-IR"/>
        </w:rPr>
        <w:t>Results</w:t>
      </w:r>
    </w:p>
    <w:p w:rsidR="003C6D14" w:rsidRDefault="008B1F1F" w:rsidP="00A668B8">
      <w:pPr>
        <w:ind w:firstLine="720"/>
        <w:rPr>
          <w:lang w:bidi="fa-IR"/>
        </w:rPr>
      </w:pPr>
      <w:r>
        <w:t>In th</w:t>
      </w:r>
      <w:r w:rsidR="00A07649">
        <w:t>is</w:t>
      </w:r>
      <w:r w:rsidR="000F1D82">
        <w:t xml:space="preserve"> section </w:t>
      </w:r>
      <w:r>
        <w:t>the Leontief Paradox</w:t>
      </w:r>
      <w:r w:rsidR="00E93BA6">
        <w:t xml:space="preserve"> </w:t>
      </w:r>
      <w:r w:rsidR="000F1D82">
        <w:t xml:space="preserve">is investigated </w:t>
      </w:r>
      <w:r w:rsidR="00A07649">
        <w:t xml:space="preserve">for </w:t>
      </w:r>
      <w:r w:rsidR="00037B07">
        <w:t>200</w:t>
      </w:r>
      <w:r w:rsidR="00A668B8">
        <w:t>1</w:t>
      </w:r>
      <w:r w:rsidR="00037B07">
        <w:t xml:space="preserve"> </w:t>
      </w:r>
      <w:r>
        <w:t>Iran</w:t>
      </w:r>
      <w:r w:rsidR="00037B07">
        <w:t>ian case</w:t>
      </w:r>
      <w:r>
        <w:t xml:space="preserve">. </w:t>
      </w:r>
      <w:proofErr w:type="gramStart"/>
      <w:r w:rsidR="003C6D14">
        <w:rPr>
          <w:lang w:bidi="fa-IR"/>
        </w:rPr>
        <w:t>in</w:t>
      </w:r>
      <w:proofErr w:type="gramEnd"/>
      <w:r w:rsidR="003C6D14">
        <w:rPr>
          <w:lang w:bidi="fa-IR"/>
        </w:rPr>
        <w:t xml:space="preserve"> the empirical part the attempt has been made to answer to the main question of this study. </w:t>
      </w:r>
      <w:r w:rsidR="00A07649">
        <w:t>For this purpose</w:t>
      </w:r>
      <w:r w:rsidR="00666A14">
        <w:rPr>
          <w:lang w:bidi="fa-IR"/>
        </w:rPr>
        <w:t xml:space="preserve"> two data source</w:t>
      </w:r>
      <w:r w:rsidR="00A07649">
        <w:rPr>
          <w:lang w:bidi="fa-IR"/>
        </w:rPr>
        <w:t>s</w:t>
      </w:r>
      <w:r w:rsidR="00666A14">
        <w:rPr>
          <w:lang w:bidi="fa-IR"/>
        </w:rPr>
        <w:t xml:space="preserve"> are applied. The first, a 19</w:t>
      </w:r>
      <w:r w:rsidR="00666A14" w:rsidRPr="00666A14">
        <w:rPr>
          <w:position w:val="-4"/>
          <w:lang w:bidi="fa-IR"/>
        </w:rPr>
        <w:object w:dxaOrig="180" w:dyaOrig="200">
          <v:shape id="_x0000_i1067" type="#_x0000_t75" style="width:9pt;height:9.75pt" o:ole="">
            <v:imagedata r:id="rId116" o:title=""/>
          </v:shape>
          <o:OLEObject Type="Embed" ProgID="Equation.3" ShapeID="_x0000_i1067" DrawAspect="Content" ObjectID="_1397122739" r:id="rId117"/>
        </w:object>
      </w:r>
      <w:r w:rsidR="00666A14">
        <w:rPr>
          <w:lang w:bidi="fa-IR"/>
        </w:rPr>
        <w:t>19</w:t>
      </w:r>
      <w:r w:rsidR="00037B07">
        <w:rPr>
          <w:lang w:bidi="fa-IR"/>
        </w:rPr>
        <w:t xml:space="preserve">- </w:t>
      </w:r>
      <w:r w:rsidR="00666A14">
        <w:rPr>
          <w:lang w:bidi="fa-IR"/>
        </w:rPr>
        <w:t>indu</w:t>
      </w:r>
      <w:r w:rsidR="00D2099D">
        <w:rPr>
          <w:lang w:bidi="fa-IR"/>
        </w:rPr>
        <w:t>stry of 2001 input-output table</w:t>
      </w:r>
      <w:r w:rsidR="00037B07">
        <w:rPr>
          <w:lang w:bidi="fa-IR"/>
        </w:rPr>
        <w:t>,</w:t>
      </w:r>
      <w:r w:rsidR="00666A14">
        <w:rPr>
          <w:lang w:bidi="fa-IR"/>
        </w:rPr>
        <w:t xml:space="preserve"> </w:t>
      </w:r>
      <w:r w:rsidR="00D2099D" w:rsidRPr="004D5911">
        <w:rPr>
          <w:rFonts w:cs="Yagut"/>
          <w:lang w:bidi="fa-IR"/>
        </w:rPr>
        <w:t xml:space="preserve">that has been constructed by </w:t>
      </w:r>
      <w:r w:rsidR="00D2099D">
        <w:rPr>
          <w:rFonts w:cs="Yagut"/>
          <w:lang w:bidi="fa-IR"/>
        </w:rPr>
        <w:t>Statistical Centre of Iran</w:t>
      </w:r>
      <w:r w:rsidR="00A07649">
        <w:rPr>
          <w:rFonts w:cs="Yagut"/>
          <w:lang w:bidi="fa-IR"/>
        </w:rPr>
        <w:t xml:space="preserve"> (SCI 2007)</w:t>
      </w:r>
      <w:r w:rsidR="00D2099D">
        <w:rPr>
          <w:rFonts w:cs="Yagut"/>
          <w:lang w:bidi="fa-IR"/>
        </w:rPr>
        <w:t xml:space="preserve">, </w:t>
      </w:r>
      <w:r w:rsidR="00666A14">
        <w:rPr>
          <w:lang w:bidi="fa-IR"/>
        </w:rPr>
        <w:t>and the second</w:t>
      </w:r>
      <w:r w:rsidR="001E0AA5">
        <w:rPr>
          <w:lang w:bidi="fa-IR"/>
        </w:rPr>
        <w:t xml:space="preserve"> and the third sets of our statistical data capital and labor inputs are collected as follows: a) direct capital requirements of each industry</w:t>
      </w:r>
      <w:r w:rsidR="00A07649">
        <w:rPr>
          <w:lang w:bidi="fa-IR"/>
        </w:rPr>
        <w:t xml:space="preserve"> from</w:t>
      </w:r>
      <w:r w:rsidR="001E0AA5">
        <w:rPr>
          <w:lang w:bidi="fa-IR"/>
        </w:rPr>
        <w:t xml:space="preserve"> capital consumption in the value added matrix 19-industry input-output table as the ratio of capital/output by industry </w:t>
      </w:r>
      <w:r w:rsidR="00D2648D">
        <w:rPr>
          <w:lang w:bidi="fa-IR"/>
        </w:rPr>
        <w:t>have not been prepared yet</w:t>
      </w:r>
      <w:r w:rsidR="001E0AA5">
        <w:rPr>
          <w:lang w:bidi="fa-IR"/>
        </w:rPr>
        <w:t xml:space="preserve">. b) Direct labor requirement is collected from </w:t>
      </w:r>
      <w:r w:rsidR="00A07649">
        <w:rPr>
          <w:lang w:bidi="fa-IR"/>
        </w:rPr>
        <w:t>SCI</w:t>
      </w:r>
      <w:r w:rsidR="001E0AA5">
        <w:rPr>
          <w:lang w:bidi="fa-IR"/>
        </w:rPr>
        <w:t xml:space="preserve"> site</w:t>
      </w:r>
      <w:r w:rsidR="00037B07">
        <w:rPr>
          <w:lang w:bidi="fa-IR"/>
        </w:rPr>
        <w:t xml:space="preserve">. </w:t>
      </w:r>
      <w:r w:rsidR="003C6D14">
        <w:rPr>
          <w:lang w:bidi="fa-IR"/>
        </w:rPr>
        <w:t>For purpose of our computation w</w:t>
      </w:r>
      <w:r w:rsidR="00037B07">
        <w:rPr>
          <w:lang w:bidi="fa-IR"/>
        </w:rPr>
        <w:t xml:space="preserve">e </w:t>
      </w:r>
      <w:r w:rsidR="001E0AA5">
        <w:rPr>
          <w:lang w:bidi="fa-IR"/>
        </w:rPr>
        <w:t xml:space="preserve">also </w:t>
      </w:r>
      <w:r w:rsidR="00037B07">
        <w:rPr>
          <w:lang w:bidi="fa-IR"/>
        </w:rPr>
        <w:t xml:space="preserve">consider the </w:t>
      </w:r>
      <w:r w:rsidR="003C6D14">
        <w:rPr>
          <w:lang w:bidi="fa-IR"/>
        </w:rPr>
        <w:t xml:space="preserve">total import in the value added matrix </w:t>
      </w:r>
      <w:r w:rsidR="00037B07">
        <w:rPr>
          <w:lang w:bidi="fa-IR"/>
        </w:rPr>
        <w:t>as competitive import</w:t>
      </w:r>
      <w:r w:rsidR="003C6D14">
        <w:rPr>
          <w:lang w:bidi="fa-IR"/>
        </w:rPr>
        <w:t xml:space="preserve">, because is not possible to separate non-competitive and competitive imports, that is not exactly match with special theoretical assumptions of the model. </w:t>
      </w:r>
    </w:p>
    <w:tbl>
      <w:tblPr>
        <w:tblStyle w:val="TableGrid"/>
        <w:tblW w:w="9648" w:type="dxa"/>
        <w:tblLayout w:type="fixed"/>
        <w:tblLook w:val="04A0"/>
      </w:tblPr>
      <w:tblGrid>
        <w:gridCol w:w="2268"/>
        <w:gridCol w:w="990"/>
        <w:gridCol w:w="990"/>
        <w:gridCol w:w="900"/>
        <w:gridCol w:w="1080"/>
        <w:gridCol w:w="11"/>
        <w:gridCol w:w="889"/>
        <w:gridCol w:w="990"/>
        <w:gridCol w:w="8"/>
        <w:gridCol w:w="712"/>
        <w:gridCol w:w="13"/>
        <w:gridCol w:w="730"/>
        <w:gridCol w:w="67"/>
      </w:tblGrid>
      <w:tr w:rsidR="009521B6" w:rsidRPr="009521B6" w:rsidTr="00C80C9C">
        <w:trPr>
          <w:gridAfter w:val="1"/>
          <w:wAfter w:w="67" w:type="dxa"/>
          <w:trHeight w:val="593"/>
        </w:trPr>
        <w:tc>
          <w:tcPr>
            <w:tcW w:w="9581" w:type="dxa"/>
            <w:gridSpan w:val="12"/>
            <w:tcBorders>
              <w:top w:val="nil"/>
              <w:left w:val="nil"/>
              <w:bottom w:val="single" w:sz="4" w:space="0" w:color="auto"/>
              <w:right w:val="nil"/>
            </w:tcBorders>
            <w:hideMark/>
          </w:tcPr>
          <w:p w:rsidR="009521B6" w:rsidRPr="009521B6" w:rsidRDefault="009521B6" w:rsidP="001E1810">
            <w:pPr>
              <w:jc w:val="center"/>
              <w:rPr>
                <w:lang w:bidi="fa-IR"/>
              </w:rPr>
            </w:pPr>
            <w:r w:rsidRPr="009521B6">
              <w:rPr>
                <w:b/>
                <w:bCs/>
                <w:lang w:bidi="fa-IR"/>
              </w:rPr>
              <w:t xml:space="preserve">Table 5- </w:t>
            </w:r>
            <w:r w:rsidRPr="004E4F86">
              <w:rPr>
                <w:lang w:bidi="fa-IR"/>
              </w:rPr>
              <w:t xml:space="preserve">Capital and Labor Requirements per Million </w:t>
            </w:r>
            <w:proofErr w:type="spellStart"/>
            <w:r w:rsidRPr="004E4F86">
              <w:rPr>
                <w:lang w:bidi="fa-IR"/>
              </w:rPr>
              <w:t>Rials</w:t>
            </w:r>
            <w:proofErr w:type="spellEnd"/>
            <w:r w:rsidRPr="004E4F86">
              <w:rPr>
                <w:lang w:bidi="fa-IR"/>
              </w:rPr>
              <w:t xml:space="preserve"> of Iranian Export and Import Re</w:t>
            </w:r>
            <w:r w:rsidR="001E1810" w:rsidRPr="004E4F86">
              <w:rPr>
                <w:lang w:bidi="fa-IR"/>
              </w:rPr>
              <w:t>placements, 2001</w:t>
            </w:r>
          </w:p>
        </w:tc>
      </w:tr>
      <w:tr w:rsidR="001E1810" w:rsidRPr="009521B6" w:rsidTr="00D2648D">
        <w:trPr>
          <w:trHeight w:val="287"/>
        </w:trPr>
        <w:tc>
          <w:tcPr>
            <w:tcW w:w="2268" w:type="dxa"/>
            <w:vMerge w:val="restart"/>
            <w:tcBorders>
              <w:top w:val="single" w:sz="4" w:space="0" w:color="auto"/>
            </w:tcBorders>
            <w:hideMark/>
          </w:tcPr>
          <w:p w:rsidR="001E1810" w:rsidRPr="0077791D" w:rsidRDefault="001E1810" w:rsidP="009521B6">
            <w:pPr>
              <w:rPr>
                <w:b/>
                <w:bCs/>
                <w:sz w:val="16"/>
                <w:szCs w:val="16"/>
                <w:lang w:bidi="fa-IR"/>
              </w:rPr>
            </w:pPr>
            <w:r w:rsidRPr="0077791D">
              <w:rPr>
                <w:b/>
                <w:bCs/>
                <w:sz w:val="16"/>
                <w:szCs w:val="16"/>
                <w:lang w:bidi="fa-IR"/>
              </w:rPr>
              <w:t> </w:t>
            </w:r>
          </w:p>
          <w:p w:rsidR="001E1810" w:rsidRPr="0077791D" w:rsidRDefault="001E1810" w:rsidP="009521B6">
            <w:pPr>
              <w:rPr>
                <w:b/>
                <w:bCs/>
                <w:sz w:val="16"/>
                <w:szCs w:val="16"/>
                <w:lang w:bidi="fa-IR"/>
              </w:rPr>
            </w:pPr>
            <w:r w:rsidRPr="0077791D">
              <w:rPr>
                <w:b/>
                <w:bCs/>
                <w:sz w:val="16"/>
                <w:szCs w:val="16"/>
                <w:lang w:bidi="fa-IR"/>
              </w:rPr>
              <w:t> </w:t>
            </w:r>
          </w:p>
          <w:p w:rsidR="001E1810" w:rsidRPr="0077791D" w:rsidRDefault="001E1810" w:rsidP="00391979">
            <w:pPr>
              <w:rPr>
                <w:b/>
                <w:bCs/>
                <w:sz w:val="16"/>
                <w:szCs w:val="16"/>
                <w:lang w:bidi="fa-IR"/>
              </w:rPr>
            </w:pPr>
            <w:r w:rsidRPr="0077791D">
              <w:rPr>
                <w:sz w:val="16"/>
                <w:szCs w:val="16"/>
                <w:lang w:bidi="fa-IR"/>
              </w:rPr>
              <w:t> </w:t>
            </w:r>
            <w:r w:rsidRPr="0077791D">
              <w:rPr>
                <w:b/>
                <w:bCs/>
                <w:sz w:val="16"/>
                <w:szCs w:val="16"/>
                <w:lang w:bidi="fa-IR"/>
              </w:rPr>
              <w:t>Sector</w:t>
            </w:r>
          </w:p>
        </w:tc>
        <w:tc>
          <w:tcPr>
            <w:tcW w:w="990" w:type="dxa"/>
            <w:vMerge w:val="restart"/>
            <w:tcBorders>
              <w:top w:val="single" w:sz="4" w:space="0" w:color="auto"/>
            </w:tcBorders>
            <w:hideMark/>
          </w:tcPr>
          <w:p w:rsidR="001E1810" w:rsidRPr="001E1810" w:rsidRDefault="001E1810" w:rsidP="00391979">
            <w:pPr>
              <w:jc w:val="center"/>
              <w:rPr>
                <w:sz w:val="16"/>
                <w:szCs w:val="16"/>
                <w:lang w:bidi="fa-IR"/>
              </w:rPr>
            </w:pPr>
            <w:r w:rsidRPr="001E1810">
              <w:rPr>
                <w:sz w:val="16"/>
                <w:szCs w:val="16"/>
                <w:lang w:bidi="fa-IR"/>
              </w:rPr>
              <w:t xml:space="preserve">Exports per million </w:t>
            </w:r>
            <w:proofErr w:type="spellStart"/>
            <w:r w:rsidRPr="001E1810">
              <w:rPr>
                <w:sz w:val="16"/>
                <w:szCs w:val="16"/>
                <w:lang w:bidi="fa-IR"/>
              </w:rPr>
              <w:t>rials</w:t>
            </w:r>
            <w:proofErr w:type="spellEnd"/>
            <w:r w:rsidRPr="001E1810">
              <w:rPr>
                <w:sz w:val="16"/>
                <w:szCs w:val="16"/>
                <w:lang w:bidi="fa-IR"/>
              </w:rPr>
              <w:t xml:space="preserve"> of total </w:t>
            </w:r>
            <w:r w:rsidR="00391979">
              <w:rPr>
                <w:sz w:val="16"/>
                <w:szCs w:val="16"/>
                <w:lang w:bidi="fa-IR"/>
              </w:rPr>
              <w:t>e</w:t>
            </w:r>
            <w:r w:rsidRPr="001E1810">
              <w:rPr>
                <w:sz w:val="16"/>
                <w:szCs w:val="16"/>
                <w:lang w:bidi="fa-IR"/>
              </w:rPr>
              <w:t>xport</w:t>
            </w:r>
          </w:p>
        </w:tc>
        <w:tc>
          <w:tcPr>
            <w:tcW w:w="990" w:type="dxa"/>
            <w:vMerge w:val="restart"/>
            <w:tcBorders>
              <w:top w:val="single" w:sz="4" w:space="0" w:color="auto"/>
            </w:tcBorders>
            <w:hideMark/>
          </w:tcPr>
          <w:p w:rsidR="001E1810" w:rsidRPr="0077791D" w:rsidRDefault="001E1810" w:rsidP="00391979">
            <w:pPr>
              <w:rPr>
                <w:sz w:val="16"/>
                <w:szCs w:val="16"/>
                <w:lang w:bidi="fa-IR"/>
              </w:rPr>
            </w:pPr>
            <w:r w:rsidRPr="0077791D">
              <w:rPr>
                <w:sz w:val="16"/>
                <w:szCs w:val="16"/>
                <w:lang w:bidi="fa-IR"/>
              </w:rPr>
              <w:t> </w:t>
            </w:r>
            <w:r>
              <w:rPr>
                <w:sz w:val="16"/>
                <w:szCs w:val="16"/>
                <w:lang w:bidi="fa-IR"/>
              </w:rPr>
              <w:t>Im</w:t>
            </w:r>
            <w:r w:rsidRPr="001E1810">
              <w:rPr>
                <w:sz w:val="16"/>
                <w:szCs w:val="16"/>
                <w:lang w:bidi="fa-IR"/>
              </w:rPr>
              <w:t xml:space="preserve">ports per million </w:t>
            </w:r>
            <w:proofErr w:type="spellStart"/>
            <w:r w:rsidRPr="001E1810">
              <w:rPr>
                <w:sz w:val="16"/>
                <w:szCs w:val="16"/>
                <w:lang w:bidi="fa-IR"/>
              </w:rPr>
              <w:t>rials</w:t>
            </w:r>
            <w:proofErr w:type="spellEnd"/>
            <w:r w:rsidRPr="001E1810">
              <w:rPr>
                <w:sz w:val="16"/>
                <w:szCs w:val="16"/>
                <w:lang w:bidi="fa-IR"/>
              </w:rPr>
              <w:t xml:space="preserve"> of </w:t>
            </w:r>
            <w:proofErr w:type="spellStart"/>
            <w:r w:rsidRPr="001E1810">
              <w:rPr>
                <w:sz w:val="16"/>
                <w:szCs w:val="16"/>
                <w:lang w:bidi="fa-IR"/>
              </w:rPr>
              <w:t>otal</w:t>
            </w:r>
            <w:proofErr w:type="spellEnd"/>
            <w:r w:rsidRPr="001E1810">
              <w:rPr>
                <w:sz w:val="16"/>
                <w:szCs w:val="16"/>
                <w:lang w:bidi="fa-IR"/>
              </w:rPr>
              <w:t xml:space="preserve"> </w:t>
            </w:r>
            <w:r w:rsidR="00391979">
              <w:rPr>
                <w:sz w:val="16"/>
                <w:szCs w:val="16"/>
                <w:lang w:bidi="fa-IR"/>
              </w:rPr>
              <w:t>i</w:t>
            </w:r>
            <w:r>
              <w:rPr>
                <w:sz w:val="16"/>
                <w:szCs w:val="16"/>
                <w:lang w:bidi="fa-IR"/>
              </w:rPr>
              <w:t>m</w:t>
            </w:r>
            <w:r w:rsidRPr="001E1810">
              <w:rPr>
                <w:sz w:val="16"/>
                <w:szCs w:val="16"/>
                <w:lang w:bidi="fa-IR"/>
              </w:rPr>
              <w:t>port</w:t>
            </w:r>
          </w:p>
        </w:tc>
        <w:tc>
          <w:tcPr>
            <w:tcW w:w="3870" w:type="dxa"/>
            <w:gridSpan w:val="5"/>
            <w:tcBorders>
              <w:top w:val="single" w:sz="4" w:space="0" w:color="auto"/>
            </w:tcBorders>
            <w:hideMark/>
          </w:tcPr>
          <w:p w:rsidR="001E1810" w:rsidRPr="0077791D" w:rsidRDefault="001E1810" w:rsidP="00C80C9C">
            <w:pPr>
              <w:jc w:val="center"/>
              <w:rPr>
                <w:sz w:val="16"/>
                <w:szCs w:val="16"/>
                <w:lang w:bidi="fa-IR"/>
              </w:rPr>
            </w:pPr>
            <w:r w:rsidRPr="0077791D">
              <w:rPr>
                <w:sz w:val="16"/>
                <w:szCs w:val="16"/>
                <w:lang w:bidi="fa-IR"/>
              </w:rPr>
              <w:t xml:space="preserve">Requirements per Million </w:t>
            </w:r>
            <w:proofErr w:type="spellStart"/>
            <w:r w:rsidRPr="0077791D">
              <w:rPr>
                <w:sz w:val="16"/>
                <w:szCs w:val="16"/>
                <w:lang w:bidi="fa-IR"/>
              </w:rPr>
              <w:t>rials</w:t>
            </w:r>
            <w:proofErr w:type="spellEnd"/>
            <w:r w:rsidRPr="0077791D">
              <w:rPr>
                <w:sz w:val="16"/>
                <w:szCs w:val="16"/>
                <w:lang w:bidi="fa-IR"/>
              </w:rPr>
              <w:t xml:space="preserve"> of Exports and Imports Replacements</w:t>
            </w:r>
          </w:p>
        </w:tc>
        <w:tc>
          <w:tcPr>
            <w:tcW w:w="1530" w:type="dxa"/>
            <w:gridSpan w:val="5"/>
            <w:vMerge w:val="restart"/>
            <w:tcBorders>
              <w:top w:val="single" w:sz="4" w:space="0" w:color="auto"/>
            </w:tcBorders>
            <w:hideMark/>
          </w:tcPr>
          <w:p w:rsidR="001E1810" w:rsidRPr="0077791D" w:rsidRDefault="001E1810" w:rsidP="0077791D">
            <w:pPr>
              <w:jc w:val="center"/>
              <w:rPr>
                <w:sz w:val="16"/>
                <w:szCs w:val="16"/>
                <w:lang w:bidi="fa-IR"/>
              </w:rPr>
            </w:pPr>
            <w:r w:rsidRPr="0077791D">
              <w:rPr>
                <w:sz w:val="16"/>
                <w:szCs w:val="16"/>
                <w:lang w:bidi="fa-IR"/>
              </w:rPr>
              <w:t>Comparison of exports and imports requirements</w:t>
            </w:r>
          </w:p>
        </w:tc>
      </w:tr>
      <w:tr w:rsidR="001E1810" w:rsidRPr="009521B6" w:rsidTr="00C80C9C">
        <w:trPr>
          <w:trHeight w:val="260"/>
        </w:trPr>
        <w:tc>
          <w:tcPr>
            <w:tcW w:w="2268" w:type="dxa"/>
            <w:vMerge/>
            <w:hideMark/>
          </w:tcPr>
          <w:p w:rsidR="001E1810" w:rsidRPr="0077791D" w:rsidRDefault="001E1810" w:rsidP="009521B6">
            <w:pPr>
              <w:rPr>
                <w:b/>
                <w:bCs/>
                <w:sz w:val="16"/>
                <w:szCs w:val="16"/>
                <w:lang w:bidi="fa-IR"/>
              </w:rPr>
            </w:pPr>
          </w:p>
        </w:tc>
        <w:tc>
          <w:tcPr>
            <w:tcW w:w="990" w:type="dxa"/>
            <w:vMerge/>
            <w:hideMark/>
          </w:tcPr>
          <w:p w:rsidR="001E1810" w:rsidRPr="0077791D" w:rsidRDefault="001E1810" w:rsidP="0077791D">
            <w:pPr>
              <w:jc w:val="center"/>
              <w:rPr>
                <w:sz w:val="16"/>
                <w:szCs w:val="16"/>
                <w:lang w:bidi="fa-IR"/>
              </w:rPr>
            </w:pPr>
          </w:p>
        </w:tc>
        <w:tc>
          <w:tcPr>
            <w:tcW w:w="990" w:type="dxa"/>
            <w:vMerge/>
            <w:hideMark/>
          </w:tcPr>
          <w:p w:rsidR="001E1810" w:rsidRPr="0077791D" w:rsidRDefault="001E1810" w:rsidP="0077791D">
            <w:pPr>
              <w:jc w:val="center"/>
              <w:rPr>
                <w:sz w:val="16"/>
                <w:szCs w:val="16"/>
                <w:lang w:bidi="fa-IR"/>
              </w:rPr>
            </w:pPr>
          </w:p>
        </w:tc>
        <w:tc>
          <w:tcPr>
            <w:tcW w:w="1980" w:type="dxa"/>
            <w:gridSpan w:val="2"/>
            <w:hideMark/>
          </w:tcPr>
          <w:p w:rsidR="001E1810" w:rsidRPr="0077791D" w:rsidRDefault="001E1810" w:rsidP="00C80C9C">
            <w:pPr>
              <w:jc w:val="center"/>
              <w:rPr>
                <w:sz w:val="16"/>
                <w:szCs w:val="16"/>
                <w:lang w:bidi="fa-IR"/>
              </w:rPr>
            </w:pPr>
            <w:r w:rsidRPr="0077791D">
              <w:rPr>
                <w:sz w:val="16"/>
                <w:szCs w:val="16"/>
                <w:lang w:bidi="fa-IR"/>
              </w:rPr>
              <w:t>Capital</w:t>
            </w:r>
          </w:p>
        </w:tc>
        <w:tc>
          <w:tcPr>
            <w:tcW w:w="1890" w:type="dxa"/>
            <w:gridSpan w:val="3"/>
            <w:hideMark/>
          </w:tcPr>
          <w:p w:rsidR="001E1810" w:rsidRPr="0077791D" w:rsidRDefault="001E1810" w:rsidP="00C80C9C">
            <w:pPr>
              <w:jc w:val="center"/>
              <w:rPr>
                <w:sz w:val="16"/>
                <w:szCs w:val="16"/>
                <w:lang w:bidi="fa-IR"/>
              </w:rPr>
            </w:pPr>
            <w:r w:rsidRPr="0077791D">
              <w:rPr>
                <w:sz w:val="16"/>
                <w:szCs w:val="16"/>
                <w:lang w:bidi="fa-IR"/>
              </w:rPr>
              <w:t>Labor (Man)</w:t>
            </w:r>
          </w:p>
        </w:tc>
        <w:tc>
          <w:tcPr>
            <w:tcW w:w="1530" w:type="dxa"/>
            <w:gridSpan w:val="5"/>
            <w:vMerge/>
            <w:hideMark/>
          </w:tcPr>
          <w:p w:rsidR="001E1810" w:rsidRPr="0077791D" w:rsidRDefault="001E1810" w:rsidP="009521B6">
            <w:pPr>
              <w:rPr>
                <w:sz w:val="16"/>
                <w:szCs w:val="16"/>
                <w:lang w:bidi="fa-IR"/>
              </w:rPr>
            </w:pPr>
          </w:p>
        </w:tc>
      </w:tr>
      <w:tr w:rsidR="001E1810" w:rsidRPr="009521B6" w:rsidTr="00D2648D">
        <w:trPr>
          <w:trHeight w:val="287"/>
        </w:trPr>
        <w:tc>
          <w:tcPr>
            <w:tcW w:w="2268" w:type="dxa"/>
            <w:vMerge/>
            <w:noWrap/>
            <w:hideMark/>
          </w:tcPr>
          <w:p w:rsidR="001E1810" w:rsidRPr="0077791D" w:rsidRDefault="001E1810" w:rsidP="009521B6">
            <w:pPr>
              <w:rPr>
                <w:sz w:val="16"/>
                <w:szCs w:val="16"/>
                <w:lang w:bidi="fa-IR"/>
              </w:rPr>
            </w:pPr>
          </w:p>
        </w:tc>
        <w:tc>
          <w:tcPr>
            <w:tcW w:w="990" w:type="dxa"/>
            <w:vMerge/>
            <w:hideMark/>
          </w:tcPr>
          <w:p w:rsidR="001E1810" w:rsidRPr="00C80C9C" w:rsidRDefault="001E1810" w:rsidP="0077791D">
            <w:pPr>
              <w:jc w:val="center"/>
              <w:rPr>
                <w:sz w:val="14"/>
                <w:szCs w:val="14"/>
                <w:lang w:bidi="fa-IR"/>
              </w:rPr>
            </w:pPr>
          </w:p>
        </w:tc>
        <w:tc>
          <w:tcPr>
            <w:tcW w:w="990" w:type="dxa"/>
            <w:vMerge/>
            <w:hideMark/>
          </w:tcPr>
          <w:p w:rsidR="001E1810" w:rsidRPr="00C80C9C" w:rsidRDefault="001E1810" w:rsidP="0077791D">
            <w:pPr>
              <w:jc w:val="center"/>
              <w:rPr>
                <w:sz w:val="14"/>
                <w:szCs w:val="14"/>
                <w:lang w:bidi="fa-IR"/>
              </w:rPr>
            </w:pPr>
          </w:p>
        </w:tc>
        <w:tc>
          <w:tcPr>
            <w:tcW w:w="900" w:type="dxa"/>
            <w:hideMark/>
          </w:tcPr>
          <w:p w:rsidR="001E1810" w:rsidRPr="0077791D" w:rsidRDefault="001E1810" w:rsidP="009521B6">
            <w:pPr>
              <w:rPr>
                <w:sz w:val="16"/>
                <w:szCs w:val="16"/>
                <w:lang w:bidi="fa-IR"/>
              </w:rPr>
            </w:pPr>
            <w:r w:rsidRPr="0077791D">
              <w:rPr>
                <w:sz w:val="16"/>
                <w:szCs w:val="16"/>
                <w:lang w:bidi="fa-IR"/>
              </w:rPr>
              <w:t>exports</w:t>
            </w:r>
          </w:p>
        </w:tc>
        <w:tc>
          <w:tcPr>
            <w:tcW w:w="1080" w:type="dxa"/>
            <w:hideMark/>
          </w:tcPr>
          <w:p w:rsidR="001E1810" w:rsidRPr="00C80C9C" w:rsidRDefault="001E1810" w:rsidP="0077791D">
            <w:pPr>
              <w:jc w:val="center"/>
              <w:rPr>
                <w:sz w:val="14"/>
                <w:szCs w:val="14"/>
                <w:lang w:bidi="fa-IR"/>
              </w:rPr>
            </w:pPr>
            <w:r w:rsidRPr="00C80C9C">
              <w:rPr>
                <w:sz w:val="14"/>
                <w:szCs w:val="14"/>
                <w:lang w:bidi="fa-IR"/>
              </w:rPr>
              <w:t>import replacement</w:t>
            </w:r>
          </w:p>
        </w:tc>
        <w:tc>
          <w:tcPr>
            <w:tcW w:w="900" w:type="dxa"/>
            <w:gridSpan w:val="2"/>
            <w:hideMark/>
          </w:tcPr>
          <w:p w:rsidR="001E1810" w:rsidRPr="0077791D" w:rsidRDefault="001E1810" w:rsidP="009521B6">
            <w:pPr>
              <w:rPr>
                <w:sz w:val="16"/>
                <w:szCs w:val="16"/>
                <w:lang w:bidi="fa-IR"/>
              </w:rPr>
            </w:pPr>
            <w:r w:rsidRPr="0077791D">
              <w:rPr>
                <w:sz w:val="16"/>
                <w:szCs w:val="16"/>
                <w:lang w:bidi="fa-IR"/>
              </w:rPr>
              <w:t>exports</w:t>
            </w:r>
          </w:p>
        </w:tc>
        <w:tc>
          <w:tcPr>
            <w:tcW w:w="990" w:type="dxa"/>
            <w:hideMark/>
          </w:tcPr>
          <w:p w:rsidR="001E1810" w:rsidRPr="0077791D" w:rsidRDefault="001E1810" w:rsidP="009521B6">
            <w:pPr>
              <w:rPr>
                <w:sz w:val="16"/>
                <w:szCs w:val="16"/>
                <w:lang w:bidi="fa-IR"/>
              </w:rPr>
            </w:pPr>
            <w:r w:rsidRPr="0077791D">
              <w:rPr>
                <w:sz w:val="16"/>
                <w:szCs w:val="16"/>
                <w:lang w:bidi="fa-IR"/>
              </w:rPr>
              <w:t xml:space="preserve">import </w:t>
            </w:r>
            <w:r w:rsidRPr="00C80C9C">
              <w:rPr>
                <w:sz w:val="14"/>
                <w:szCs w:val="14"/>
                <w:lang w:bidi="fa-IR"/>
              </w:rPr>
              <w:t>replacement</w:t>
            </w:r>
          </w:p>
        </w:tc>
        <w:tc>
          <w:tcPr>
            <w:tcW w:w="720" w:type="dxa"/>
            <w:gridSpan w:val="2"/>
            <w:hideMark/>
          </w:tcPr>
          <w:p w:rsidR="001E1810" w:rsidRPr="0077791D" w:rsidRDefault="001E1810" w:rsidP="009521B6">
            <w:pPr>
              <w:rPr>
                <w:sz w:val="16"/>
                <w:szCs w:val="16"/>
                <w:lang w:bidi="fa-IR"/>
              </w:rPr>
            </w:pPr>
            <w:r w:rsidRPr="0077791D">
              <w:rPr>
                <w:sz w:val="16"/>
                <w:szCs w:val="16"/>
                <w:lang w:bidi="fa-IR"/>
              </w:rPr>
              <w:t xml:space="preserve">capital </w:t>
            </w:r>
          </w:p>
        </w:tc>
        <w:tc>
          <w:tcPr>
            <w:tcW w:w="810" w:type="dxa"/>
            <w:gridSpan w:val="3"/>
            <w:hideMark/>
          </w:tcPr>
          <w:p w:rsidR="001E1810" w:rsidRPr="0077791D" w:rsidRDefault="001E1810" w:rsidP="009521B6">
            <w:pPr>
              <w:rPr>
                <w:sz w:val="16"/>
                <w:szCs w:val="16"/>
                <w:lang w:bidi="fa-IR"/>
              </w:rPr>
            </w:pPr>
            <w:r w:rsidRPr="0077791D">
              <w:rPr>
                <w:sz w:val="16"/>
                <w:szCs w:val="16"/>
                <w:lang w:bidi="fa-IR"/>
              </w:rPr>
              <w:t>labor (Man)</w:t>
            </w:r>
          </w:p>
        </w:tc>
      </w:tr>
      <w:tr w:rsidR="001B5A31" w:rsidRPr="009521B6" w:rsidTr="00391979">
        <w:trPr>
          <w:trHeight w:val="315"/>
        </w:trPr>
        <w:tc>
          <w:tcPr>
            <w:tcW w:w="2268" w:type="dxa"/>
            <w:vMerge/>
            <w:tcBorders>
              <w:bottom w:val="single" w:sz="4" w:space="0" w:color="auto"/>
            </w:tcBorders>
            <w:noWrap/>
            <w:hideMark/>
          </w:tcPr>
          <w:p w:rsidR="001B5A31" w:rsidRPr="0077791D" w:rsidRDefault="001B5A31" w:rsidP="009521B6">
            <w:pPr>
              <w:rPr>
                <w:b/>
                <w:bCs/>
                <w:sz w:val="16"/>
                <w:szCs w:val="16"/>
                <w:lang w:bidi="fa-IR"/>
              </w:rPr>
            </w:pPr>
          </w:p>
        </w:tc>
        <w:tc>
          <w:tcPr>
            <w:tcW w:w="990" w:type="dxa"/>
            <w:tcBorders>
              <w:bottom w:val="single" w:sz="4" w:space="0" w:color="auto"/>
            </w:tcBorders>
            <w:noWrap/>
            <w:vAlign w:val="center"/>
            <w:hideMark/>
          </w:tcPr>
          <w:p w:rsidR="001B5A31" w:rsidRPr="001B5A31" w:rsidRDefault="001B5A31" w:rsidP="001B5A31">
            <w:pPr>
              <w:jc w:val="center"/>
              <w:rPr>
                <w:sz w:val="16"/>
                <w:szCs w:val="16"/>
                <w:lang w:bidi="fa-IR"/>
              </w:rPr>
            </w:pPr>
            <w:r w:rsidRPr="001B5A31">
              <w:rPr>
                <w:sz w:val="16"/>
                <w:szCs w:val="16"/>
                <w:lang w:bidi="fa-IR"/>
              </w:rPr>
              <w:t>1</w:t>
            </w:r>
          </w:p>
        </w:tc>
        <w:tc>
          <w:tcPr>
            <w:tcW w:w="990" w:type="dxa"/>
            <w:tcBorders>
              <w:bottom w:val="single" w:sz="4" w:space="0" w:color="auto"/>
            </w:tcBorders>
            <w:noWrap/>
            <w:vAlign w:val="center"/>
            <w:hideMark/>
          </w:tcPr>
          <w:p w:rsidR="001B5A31" w:rsidRPr="001B5A31" w:rsidRDefault="001B5A31" w:rsidP="001B5A31">
            <w:pPr>
              <w:jc w:val="center"/>
              <w:rPr>
                <w:sz w:val="16"/>
                <w:szCs w:val="16"/>
                <w:lang w:bidi="fa-IR"/>
              </w:rPr>
            </w:pPr>
            <w:r w:rsidRPr="001B5A31">
              <w:rPr>
                <w:sz w:val="16"/>
                <w:szCs w:val="16"/>
                <w:lang w:bidi="fa-IR"/>
              </w:rPr>
              <w:t>2</w:t>
            </w:r>
          </w:p>
        </w:tc>
        <w:tc>
          <w:tcPr>
            <w:tcW w:w="900" w:type="dxa"/>
            <w:tcBorders>
              <w:bottom w:val="single" w:sz="4" w:space="0" w:color="auto"/>
            </w:tcBorders>
            <w:noWrap/>
            <w:vAlign w:val="center"/>
            <w:hideMark/>
          </w:tcPr>
          <w:p w:rsidR="001B5A31" w:rsidRPr="001B5A31" w:rsidRDefault="001B5A31" w:rsidP="001B5A31">
            <w:pPr>
              <w:jc w:val="center"/>
              <w:rPr>
                <w:sz w:val="16"/>
                <w:szCs w:val="16"/>
                <w:lang w:bidi="fa-IR"/>
              </w:rPr>
            </w:pPr>
            <w:r w:rsidRPr="001B5A31">
              <w:rPr>
                <w:sz w:val="16"/>
                <w:szCs w:val="16"/>
                <w:lang w:bidi="fa-IR"/>
              </w:rPr>
              <w:t>3</w:t>
            </w:r>
          </w:p>
        </w:tc>
        <w:tc>
          <w:tcPr>
            <w:tcW w:w="1080" w:type="dxa"/>
            <w:tcBorders>
              <w:bottom w:val="single" w:sz="4" w:space="0" w:color="auto"/>
            </w:tcBorders>
            <w:noWrap/>
            <w:vAlign w:val="center"/>
            <w:hideMark/>
          </w:tcPr>
          <w:p w:rsidR="001B5A31" w:rsidRPr="001B5A31" w:rsidRDefault="001B5A31" w:rsidP="001B5A31">
            <w:pPr>
              <w:jc w:val="center"/>
              <w:rPr>
                <w:sz w:val="16"/>
                <w:szCs w:val="16"/>
                <w:lang w:bidi="fa-IR"/>
              </w:rPr>
            </w:pPr>
            <w:r w:rsidRPr="001B5A31">
              <w:rPr>
                <w:sz w:val="16"/>
                <w:szCs w:val="16"/>
                <w:lang w:bidi="fa-IR"/>
              </w:rPr>
              <w:t>4</w:t>
            </w:r>
          </w:p>
        </w:tc>
        <w:tc>
          <w:tcPr>
            <w:tcW w:w="900" w:type="dxa"/>
            <w:gridSpan w:val="2"/>
            <w:tcBorders>
              <w:bottom w:val="single" w:sz="4" w:space="0" w:color="auto"/>
            </w:tcBorders>
            <w:noWrap/>
            <w:vAlign w:val="center"/>
            <w:hideMark/>
          </w:tcPr>
          <w:p w:rsidR="001B5A31" w:rsidRPr="001B5A31" w:rsidRDefault="001B5A31" w:rsidP="001B5A31">
            <w:pPr>
              <w:jc w:val="center"/>
              <w:rPr>
                <w:sz w:val="16"/>
                <w:szCs w:val="16"/>
                <w:lang w:bidi="fa-IR"/>
              </w:rPr>
            </w:pPr>
            <w:r w:rsidRPr="001B5A31">
              <w:rPr>
                <w:sz w:val="16"/>
                <w:szCs w:val="16"/>
                <w:lang w:bidi="fa-IR"/>
              </w:rPr>
              <w:t>5</w:t>
            </w:r>
          </w:p>
        </w:tc>
        <w:tc>
          <w:tcPr>
            <w:tcW w:w="990" w:type="dxa"/>
            <w:tcBorders>
              <w:bottom w:val="single" w:sz="4" w:space="0" w:color="auto"/>
            </w:tcBorders>
            <w:noWrap/>
            <w:vAlign w:val="center"/>
            <w:hideMark/>
          </w:tcPr>
          <w:p w:rsidR="001B5A31" w:rsidRPr="001B5A31" w:rsidRDefault="001B5A31" w:rsidP="001B5A31">
            <w:pPr>
              <w:jc w:val="center"/>
              <w:rPr>
                <w:sz w:val="16"/>
                <w:szCs w:val="16"/>
                <w:lang w:bidi="fa-IR"/>
              </w:rPr>
            </w:pPr>
            <w:r w:rsidRPr="001B5A31">
              <w:rPr>
                <w:sz w:val="16"/>
                <w:szCs w:val="16"/>
                <w:lang w:bidi="fa-IR"/>
              </w:rPr>
              <w:t>6</w:t>
            </w:r>
          </w:p>
        </w:tc>
        <w:tc>
          <w:tcPr>
            <w:tcW w:w="720" w:type="dxa"/>
            <w:gridSpan w:val="2"/>
            <w:tcBorders>
              <w:bottom w:val="single" w:sz="4" w:space="0" w:color="auto"/>
            </w:tcBorders>
            <w:noWrap/>
            <w:vAlign w:val="center"/>
            <w:hideMark/>
          </w:tcPr>
          <w:p w:rsidR="001B5A31" w:rsidRPr="001B5A31" w:rsidRDefault="001B5A31" w:rsidP="00391979">
            <w:pPr>
              <w:jc w:val="center"/>
              <w:rPr>
                <w:sz w:val="16"/>
                <w:szCs w:val="16"/>
                <w:lang w:bidi="fa-IR"/>
              </w:rPr>
            </w:pPr>
            <w:r w:rsidRPr="001B5A31">
              <w:rPr>
                <w:sz w:val="16"/>
                <w:szCs w:val="16"/>
                <w:lang w:bidi="fa-IR"/>
              </w:rPr>
              <w:t>7</w:t>
            </w:r>
          </w:p>
        </w:tc>
        <w:tc>
          <w:tcPr>
            <w:tcW w:w="810" w:type="dxa"/>
            <w:gridSpan w:val="3"/>
            <w:tcBorders>
              <w:bottom w:val="single" w:sz="4" w:space="0" w:color="auto"/>
            </w:tcBorders>
            <w:noWrap/>
            <w:vAlign w:val="center"/>
            <w:hideMark/>
          </w:tcPr>
          <w:p w:rsidR="001B5A31" w:rsidRPr="001B5A31" w:rsidRDefault="001B5A31" w:rsidP="00391979">
            <w:pPr>
              <w:jc w:val="center"/>
              <w:rPr>
                <w:sz w:val="16"/>
                <w:szCs w:val="16"/>
                <w:lang w:bidi="fa-IR"/>
              </w:rPr>
            </w:pPr>
            <w:r w:rsidRPr="001B5A31">
              <w:rPr>
                <w:sz w:val="16"/>
                <w:szCs w:val="16"/>
                <w:lang w:bidi="fa-IR"/>
              </w:rPr>
              <w:t>8</w:t>
            </w:r>
          </w:p>
        </w:tc>
      </w:tr>
      <w:tr w:rsidR="00D83549" w:rsidRPr="009521B6" w:rsidTr="00C80C9C">
        <w:trPr>
          <w:trHeight w:val="315"/>
        </w:trPr>
        <w:tc>
          <w:tcPr>
            <w:tcW w:w="2268" w:type="dxa"/>
            <w:tcBorders>
              <w:top w:val="single" w:sz="4" w:space="0" w:color="auto"/>
              <w:left w:val="single" w:sz="4" w:space="0" w:color="auto"/>
              <w:bottom w:val="single" w:sz="4" w:space="0" w:color="auto"/>
              <w:right w:val="single" w:sz="4" w:space="0" w:color="auto"/>
            </w:tcBorders>
            <w:noWrap/>
            <w:hideMark/>
          </w:tcPr>
          <w:p w:rsidR="00D83549" w:rsidRPr="0077791D" w:rsidRDefault="00D83549" w:rsidP="0077791D">
            <w:pPr>
              <w:rPr>
                <w:b/>
                <w:bCs/>
                <w:sz w:val="16"/>
                <w:szCs w:val="16"/>
                <w:lang w:bidi="fa-IR"/>
              </w:rPr>
            </w:pPr>
            <w:r w:rsidRPr="0077791D">
              <w:rPr>
                <w:b/>
                <w:bCs/>
                <w:sz w:val="16"/>
                <w:szCs w:val="16"/>
                <w:lang w:bidi="fa-IR"/>
              </w:rPr>
              <w:t>Total </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D83549" w:rsidRPr="0077791D" w:rsidRDefault="00D83549" w:rsidP="001B5A31">
            <w:pPr>
              <w:jc w:val="center"/>
              <w:rPr>
                <w:b/>
                <w:bCs/>
                <w:sz w:val="16"/>
                <w:szCs w:val="16"/>
                <w:lang w:bidi="fa-IR"/>
              </w:rPr>
            </w:pPr>
            <w:r w:rsidRPr="0077791D">
              <w:rPr>
                <w:b/>
                <w:bCs/>
                <w:sz w:val="16"/>
                <w:szCs w:val="16"/>
                <w:lang w:bidi="fa-IR"/>
              </w:rPr>
              <w:t>1,000,000</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D83549" w:rsidRPr="0077791D" w:rsidRDefault="00D83549" w:rsidP="001B5A31">
            <w:pPr>
              <w:jc w:val="center"/>
              <w:rPr>
                <w:b/>
                <w:bCs/>
                <w:sz w:val="16"/>
                <w:szCs w:val="16"/>
                <w:lang w:bidi="fa-IR"/>
              </w:rPr>
            </w:pPr>
            <w:r w:rsidRPr="0077791D">
              <w:rPr>
                <w:b/>
                <w:bCs/>
                <w:sz w:val="16"/>
                <w:szCs w:val="16"/>
                <w:lang w:bidi="fa-IR"/>
              </w:rPr>
              <w:t>1,000,000</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D83549" w:rsidRPr="0077791D" w:rsidRDefault="00D83549" w:rsidP="001B5A31">
            <w:pPr>
              <w:jc w:val="center"/>
              <w:rPr>
                <w:b/>
                <w:bCs/>
                <w:sz w:val="16"/>
                <w:szCs w:val="16"/>
                <w:lang w:bidi="fa-IR"/>
              </w:rPr>
            </w:pPr>
            <w:r>
              <w:rPr>
                <w:b/>
                <w:bCs/>
                <w:sz w:val="16"/>
                <w:szCs w:val="16"/>
                <w:lang w:bidi="fa-IR"/>
              </w:rPr>
              <w:t>9</w:t>
            </w:r>
            <w:r w:rsidR="008E3DE7">
              <w:rPr>
                <w:b/>
                <w:bCs/>
                <w:sz w:val="16"/>
                <w:szCs w:val="16"/>
                <w:lang w:bidi="fa-IR"/>
              </w:rPr>
              <w:t>,</w:t>
            </w:r>
            <w:r>
              <w:rPr>
                <w:b/>
                <w:bCs/>
                <w:sz w:val="16"/>
                <w:szCs w:val="16"/>
                <w:lang w:bidi="fa-IR"/>
              </w:rPr>
              <w:t>936</w:t>
            </w:r>
            <w:r w:rsidR="008E3DE7">
              <w:rPr>
                <w:b/>
                <w:bCs/>
                <w:sz w:val="16"/>
                <w:szCs w:val="16"/>
                <w:lang w:bidi="fa-IR"/>
              </w:rPr>
              <w:t>,</w:t>
            </w:r>
            <w:r>
              <w:rPr>
                <w:b/>
                <w:bCs/>
                <w:sz w:val="16"/>
                <w:szCs w:val="16"/>
                <w:lang w:bidi="fa-IR"/>
              </w:rPr>
              <w:t>03</w:t>
            </w:r>
            <w:r w:rsidR="008E3DE7">
              <w:rPr>
                <w:b/>
                <w:bCs/>
                <w:sz w:val="16"/>
                <w:szCs w:val="16"/>
                <w:lang w:bidi="fa-IR"/>
              </w:rPr>
              <w:t>3</w:t>
            </w:r>
          </w:p>
        </w:tc>
        <w:tc>
          <w:tcPr>
            <w:tcW w:w="1091" w:type="dxa"/>
            <w:gridSpan w:val="2"/>
            <w:tcBorders>
              <w:top w:val="single" w:sz="4" w:space="0" w:color="auto"/>
              <w:left w:val="single" w:sz="4" w:space="0" w:color="auto"/>
              <w:bottom w:val="single" w:sz="4" w:space="0" w:color="auto"/>
              <w:right w:val="single" w:sz="4" w:space="0" w:color="auto"/>
            </w:tcBorders>
            <w:noWrap/>
            <w:vAlign w:val="center"/>
            <w:hideMark/>
          </w:tcPr>
          <w:p w:rsidR="00D83549" w:rsidRPr="0077791D" w:rsidRDefault="00D83549" w:rsidP="00D83549">
            <w:pPr>
              <w:jc w:val="center"/>
              <w:rPr>
                <w:b/>
                <w:bCs/>
                <w:sz w:val="16"/>
                <w:szCs w:val="16"/>
                <w:lang w:bidi="fa-IR"/>
              </w:rPr>
            </w:pPr>
            <w:r>
              <w:rPr>
                <w:b/>
                <w:bCs/>
                <w:sz w:val="16"/>
                <w:szCs w:val="16"/>
                <w:lang w:bidi="fa-IR"/>
              </w:rPr>
              <w:t>1</w:t>
            </w:r>
            <w:r w:rsidR="008E3DE7">
              <w:rPr>
                <w:b/>
                <w:bCs/>
                <w:sz w:val="16"/>
                <w:szCs w:val="16"/>
                <w:lang w:bidi="fa-IR"/>
              </w:rPr>
              <w:t>2,69</w:t>
            </w:r>
            <w:r>
              <w:rPr>
                <w:b/>
                <w:bCs/>
                <w:sz w:val="16"/>
                <w:szCs w:val="16"/>
                <w:lang w:bidi="fa-IR"/>
              </w:rPr>
              <w:t>6</w:t>
            </w:r>
            <w:r w:rsidR="008E3DE7">
              <w:rPr>
                <w:b/>
                <w:bCs/>
                <w:sz w:val="16"/>
                <w:szCs w:val="16"/>
                <w:lang w:bidi="fa-IR"/>
              </w:rPr>
              <w:t>,</w:t>
            </w:r>
            <w:r>
              <w:rPr>
                <w:b/>
                <w:bCs/>
                <w:sz w:val="16"/>
                <w:szCs w:val="16"/>
                <w:lang w:bidi="fa-IR"/>
              </w:rPr>
              <w:t>23</w:t>
            </w:r>
            <w:r w:rsidR="008E3DE7">
              <w:rPr>
                <w:b/>
                <w:bCs/>
                <w:sz w:val="16"/>
                <w:szCs w:val="16"/>
                <w:lang w:bidi="fa-IR"/>
              </w:rPr>
              <w:t>1</w:t>
            </w:r>
          </w:p>
        </w:tc>
        <w:tc>
          <w:tcPr>
            <w:tcW w:w="889" w:type="dxa"/>
            <w:tcBorders>
              <w:top w:val="single" w:sz="4" w:space="0" w:color="auto"/>
              <w:left w:val="single" w:sz="4" w:space="0" w:color="auto"/>
              <w:bottom w:val="single" w:sz="4" w:space="0" w:color="auto"/>
              <w:right w:val="single" w:sz="4" w:space="0" w:color="auto"/>
            </w:tcBorders>
            <w:noWrap/>
            <w:vAlign w:val="center"/>
            <w:hideMark/>
          </w:tcPr>
          <w:p w:rsidR="00D83549" w:rsidRPr="0077791D" w:rsidRDefault="00D83549" w:rsidP="001B5A31">
            <w:pPr>
              <w:jc w:val="center"/>
              <w:rPr>
                <w:b/>
                <w:bCs/>
                <w:sz w:val="16"/>
                <w:szCs w:val="16"/>
                <w:lang w:bidi="fa-IR"/>
              </w:rPr>
            </w:pPr>
            <w:r>
              <w:rPr>
                <w:b/>
                <w:bCs/>
                <w:sz w:val="16"/>
                <w:szCs w:val="16"/>
                <w:lang w:bidi="fa-IR"/>
              </w:rPr>
              <w:t>1,085,531</w:t>
            </w:r>
          </w:p>
        </w:tc>
        <w:tc>
          <w:tcPr>
            <w:tcW w:w="998" w:type="dxa"/>
            <w:gridSpan w:val="2"/>
            <w:tcBorders>
              <w:top w:val="single" w:sz="4" w:space="0" w:color="auto"/>
              <w:left w:val="single" w:sz="4" w:space="0" w:color="auto"/>
              <w:bottom w:val="single" w:sz="4" w:space="0" w:color="auto"/>
              <w:right w:val="single" w:sz="4" w:space="0" w:color="auto"/>
            </w:tcBorders>
            <w:noWrap/>
            <w:vAlign w:val="center"/>
            <w:hideMark/>
          </w:tcPr>
          <w:p w:rsidR="00D83549" w:rsidRPr="0077791D" w:rsidRDefault="00D83549" w:rsidP="001B5A31">
            <w:pPr>
              <w:jc w:val="center"/>
              <w:rPr>
                <w:b/>
                <w:bCs/>
                <w:sz w:val="16"/>
                <w:szCs w:val="16"/>
                <w:lang w:bidi="fa-IR"/>
              </w:rPr>
            </w:pPr>
            <w:r>
              <w:rPr>
                <w:b/>
                <w:bCs/>
                <w:sz w:val="16"/>
                <w:szCs w:val="16"/>
                <w:lang w:bidi="fa-IR"/>
              </w:rPr>
              <w:t>2.362.562</w:t>
            </w:r>
          </w:p>
        </w:tc>
        <w:tc>
          <w:tcPr>
            <w:tcW w:w="725" w:type="dxa"/>
            <w:gridSpan w:val="2"/>
            <w:tcBorders>
              <w:top w:val="single" w:sz="4" w:space="0" w:color="auto"/>
              <w:left w:val="single" w:sz="4" w:space="0" w:color="auto"/>
              <w:bottom w:val="single" w:sz="4" w:space="0" w:color="auto"/>
              <w:right w:val="single" w:sz="4" w:space="0" w:color="auto"/>
            </w:tcBorders>
            <w:noWrap/>
            <w:hideMark/>
          </w:tcPr>
          <w:p w:rsidR="00D83549" w:rsidRPr="009521B6" w:rsidRDefault="00D83549" w:rsidP="008E3DE7">
            <w:pPr>
              <w:jc w:val="center"/>
              <w:rPr>
                <w:lang w:bidi="fa-IR"/>
              </w:rPr>
            </w:pPr>
            <m:oMathPara>
              <m:oMath>
                <m:r>
                  <w:rPr>
                    <w:rFonts w:ascii="Cambria Math" w:hAnsi="Cambria Math"/>
                    <w:lang w:bidi="fa-IR"/>
                  </w:rPr>
                  <m:t>&lt;</m:t>
                </m:r>
              </m:oMath>
            </m:oMathPara>
          </w:p>
        </w:tc>
        <w:tc>
          <w:tcPr>
            <w:tcW w:w="797" w:type="dxa"/>
            <w:gridSpan w:val="2"/>
            <w:tcBorders>
              <w:top w:val="single" w:sz="4" w:space="0" w:color="auto"/>
              <w:left w:val="single" w:sz="4" w:space="0" w:color="auto"/>
              <w:bottom w:val="single" w:sz="4" w:space="0" w:color="auto"/>
              <w:right w:val="single" w:sz="4" w:space="0" w:color="auto"/>
            </w:tcBorders>
            <w:noWrap/>
            <w:hideMark/>
          </w:tcPr>
          <w:p w:rsidR="00D83549" w:rsidRPr="009521B6" w:rsidRDefault="00D83549" w:rsidP="008E3DE7">
            <w:pPr>
              <w:jc w:val="center"/>
              <w:rPr>
                <w:lang w:bidi="fa-IR"/>
              </w:rPr>
            </w:pPr>
            <m:oMathPara>
              <m:oMath>
                <m:r>
                  <w:rPr>
                    <w:rFonts w:ascii="Cambria Math" w:hAnsi="Cambria Math"/>
                    <w:lang w:bidi="fa-IR"/>
                  </w:rPr>
                  <m:t>&lt;</m:t>
                </m:r>
              </m:oMath>
            </m:oMathPara>
          </w:p>
        </w:tc>
      </w:tr>
      <w:tr w:rsidR="0077791D" w:rsidRPr="009521B6" w:rsidTr="00D2648D">
        <w:trPr>
          <w:trHeight w:val="315"/>
        </w:trPr>
        <w:tc>
          <w:tcPr>
            <w:tcW w:w="2268" w:type="dxa"/>
            <w:tcBorders>
              <w:top w:val="single" w:sz="4" w:space="0" w:color="auto"/>
              <w:left w:val="single" w:sz="4" w:space="0" w:color="auto"/>
              <w:bottom w:val="nil"/>
              <w:right w:val="single" w:sz="4" w:space="0" w:color="auto"/>
            </w:tcBorders>
            <w:hideMark/>
          </w:tcPr>
          <w:p w:rsidR="0077791D" w:rsidRPr="0077791D" w:rsidRDefault="0077791D" w:rsidP="00D2648D">
            <w:pPr>
              <w:rPr>
                <w:b/>
                <w:bCs/>
                <w:sz w:val="16"/>
                <w:szCs w:val="16"/>
                <w:lang w:bidi="fa-IR"/>
              </w:rPr>
            </w:pPr>
            <w:r>
              <w:rPr>
                <w:b/>
                <w:bCs/>
                <w:sz w:val="16"/>
                <w:szCs w:val="16"/>
                <w:lang w:bidi="fa-IR"/>
              </w:rPr>
              <w:t xml:space="preserve">1. </w:t>
            </w:r>
            <w:r w:rsidRPr="0077791D">
              <w:rPr>
                <w:b/>
                <w:bCs/>
                <w:sz w:val="16"/>
                <w:szCs w:val="16"/>
                <w:lang w:bidi="fa-IR"/>
              </w:rPr>
              <w:t>Agriculture</w:t>
            </w:r>
          </w:p>
        </w:tc>
        <w:tc>
          <w:tcPr>
            <w:tcW w:w="990" w:type="dxa"/>
            <w:tcBorders>
              <w:top w:val="single" w:sz="4" w:space="0" w:color="auto"/>
              <w:left w:val="single" w:sz="4" w:space="0" w:color="auto"/>
              <w:bottom w:val="nil"/>
              <w:right w:val="single" w:sz="4" w:space="0" w:color="auto"/>
            </w:tcBorders>
            <w:noWrap/>
            <w:vAlign w:val="center"/>
            <w:hideMark/>
          </w:tcPr>
          <w:p w:rsidR="0077791D" w:rsidRPr="00C80C9C" w:rsidRDefault="0077791D" w:rsidP="00D2648D">
            <w:pPr>
              <w:jc w:val="center"/>
              <w:rPr>
                <w:sz w:val="16"/>
                <w:szCs w:val="16"/>
                <w:lang w:bidi="fa-IR"/>
              </w:rPr>
            </w:pPr>
            <w:r w:rsidRPr="00C80C9C">
              <w:rPr>
                <w:sz w:val="16"/>
                <w:szCs w:val="16"/>
                <w:lang w:bidi="fa-IR"/>
              </w:rPr>
              <w:t>51,444</w:t>
            </w:r>
          </w:p>
        </w:tc>
        <w:tc>
          <w:tcPr>
            <w:tcW w:w="990" w:type="dxa"/>
            <w:tcBorders>
              <w:top w:val="single" w:sz="4" w:space="0" w:color="auto"/>
              <w:left w:val="single" w:sz="4" w:space="0" w:color="auto"/>
              <w:bottom w:val="nil"/>
              <w:right w:val="single" w:sz="4" w:space="0" w:color="auto"/>
            </w:tcBorders>
            <w:noWrap/>
            <w:vAlign w:val="center"/>
            <w:hideMark/>
          </w:tcPr>
          <w:p w:rsidR="0077791D" w:rsidRPr="00C80C9C" w:rsidRDefault="0077791D" w:rsidP="00D2648D">
            <w:pPr>
              <w:jc w:val="center"/>
              <w:rPr>
                <w:sz w:val="16"/>
                <w:szCs w:val="16"/>
                <w:lang w:bidi="fa-IR"/>
              </w:rPr>
            </w:pPr>
            <w:r w:rsidRPr="00C80C9C">
              <w:rPr>
                <w:sz w:val="16"/>
                <w:szCs w:val="16"/>
                <w:lang w:bidi="fa-IR"/>
              </w:rPr>
              <w:t>87,383</w:t>
            </w:r>
          </w:p>
        </w:tc>
        <w:tc>
          <w:tcPr>
            <w:tcW w:w="900" w:type="dxa"/>
            <w:tcBorders>
              <w:top w:val="single" w:sz="4" w:space="0" w:color="auto"/>
              <w:left w:val="single" w:sz="4" w:space="0" w:color="auto"/>
              <w:bottom w:val="nil"/>
              <w:right w:val="single" w:sz="4" w:space="0" w:color="auto"/>
            </w:tcBorders>
            <w:noWrap/>
            <w:vAlign w:val="center"/>
            <w:hideMark/>
          </w:tcPr>
          <w:p w:rsidR="0077791D" w:rsidRPr="0077791D" w:rsidRDefault="0077791D" w:rsidP="00D2648D">
            <w:pPr>
              <w:jc w:val="center"/>
              <w:rPr>
                <w:sz w:val="16"/>
                <w:szCs w:val="16"/>
                <w:lang w:bidi="fa-IR"/>
              </w:rPr>
            </w:pPr>
            <w:r w:rsidRPr="0077791D">
              <w:rPr>
                <w:sz w:val="16"/>
                <w:szCs w:val="16"/>
                <w:lang w:bidi="fa-IR"/>
              </w:rPr>
              <w:t>403,669</w:t>
            </w:r>
          </w:p>
        </w:tc>
        <w:tc>
          <w:tcPr>
            <w:tcW w:w="1091" w:type="dxa"/>
            <w:gridSpan w:val="2"/>
            <w:tcBorders>
              <w:top w:val="single" w:sz="4" w:space="0" w:color="auto"/>
              <w:left w:val="single" w:sz="4" w:space="0" w:color="auto"/>
              <w:bottom w:val="nil"/>
              <w:right w:val="single" w:sz="4" w:space="0" w:color="auto"/>
            </w:tcBorders>
            <w:noWrap/>
            <w:vAlign w:val="center"/>
            <w:hideMark/>
          </w:tcPr>
          <w:p w:rsidR="0077791D" w:rsidRPr="0077791D" w:rsidRDefault="0077791D" w:rsidP="00D2648D">
            <w:pPr>
              <w:jc w:val="center"/>
              <w:rPr>
                <w:sz w:val="16"/>
                <w:szCs w:val="16"/>
                <w:lang w:bidi="fa-IR"/>
              </w:rPr>
            </w:pPr>
            <w:r w:rsidRPr="0077791D">
              <w:rPr>
                <w:sz w:val="16"/>
                <w:szCs w:val="16"/>
                <w:lang w:bidi="fa-IR"/>
              </w:rPr>
              <w:t>828,245</w:t>
            </w:r>
          </w:p>
        </w:tc>
        <w:tc>
          <w:tcPr>
            <w:tcW w:w="889" w:type="dxa"/>
            <w:tcBorders>
              <w:top w:val="single" w:sz="4" w:space="0" w:color="auto"/>
              <w:left w:val="single" w:sz="4" w:space="0" w:color="auto"/>
              <w:bottom w:val="nil"/>
              <w:right w:val="single" w:sz="4" w:space="0" w:color="auto"/>
            </w:tcBorders>
            <w:noWrap/>
            <w:vAlign w:val="center"/>
            <w:hideMark/>
          </w:tcPr>
          <w:p w:rsidR="0077791D" w:rsidRPr="0077791D" w:rsidRDefault="0077791D" w:rsidP="00D2648D">
            <w:pPr>
              <w:jc w:val="center"/>
              <w:rPr>
                <w:sz w:val="16"/>
                <w:szCs w:val="16"/>
                <w:lang w:bidi="fa-IR"/>
              </w:rPr>
            </w:pPr>
            <w:r w:rsidRPr="0077791D">
              <w:rPr>
                <w:sz w:val="16"/>
                <w:szCs w:val="16"/>
                <w:lang w:bidi="fa-IR"/>
              </w:rPr>
              <w:t>406,801</w:t>
            </w:r>
          </w:p>
        </w:tc>
        <w:tc>
          <w:tcPr>
            <w:tcW w:w="998" w:type="dxa"/>
            <w:gridSpan w:val="2"/>
            <w:tcBorders>
              <w:top w:val="single" w:sz="4" w:space="0" w:color="auto"/>
              <w:left w:val="single" w:sz="4" w:space="0" w:color="auto"/>
              <w:bottom w:val="nil"/>
              <w:right w:val="single" w:sz="4" w:space="0" w:color="auto"/>
            </w:tcBorders>
            <w:noWrap/>
            <w:vAlign w:val="center"/>
            <w:hideMark/>
          </w:tcPr>
          <w:p w:rsidR="0077791D" w:rsidRPr="0077791D" w:rsidRDefault="0077791D" w:rsidP="00D2648D">
            <w:pPr>
              <w:jc w:val="center"/>
              <w:rPr>
                <w:sz w:val="16"/>
                <w:szCs w:val="16"/>
                <w:lang w:bidi="fa-IR"/>
              </w:rPr>
            </w:pPr>
            <w:r w:rsidRPr="0077791D">
              <w:rPr>
                <w:sz w:val="16"/>
                <w:szCs w:val="16"/>
                <w:lang w:bidi="fa-IR"/>
              </w:rPr>
              <w:t>834,670</w:t>
            </w:r>
          </w:p>
        </w:tc>
        <w:tc>
          <w:tcPr>
            <w:tcW w:w="725" w:type="dxa"/>
            <w:gridSpan w:val="2"/>
            <w:tcBorders>
              <w:top w:val="single" w:sz="4" w:space="0" w:color="auto"/>
              <w:left w:val="single" w:sz="4" w:space="0" w:color="auto"/>
              <w:bottom w:val="nil"/>
              <w:right w:val="single" w:sz="4" w:space="0" w:color="auto"/>
            </w:tcBorders>
            <w:noWrap/>
            <w:hideMark/>
          </w:tcPr>
          <w:p w:rsidR="0077791D" w:rsidRPr="009521B6" w:rsidRDefault="00806FD9" w:rsidP="00D2648D">
            <w:pPr>
              <w:jc w:val="center"/>
              <w:rPr>
                <w:lang w:bidi="fa-IR"/>
              </w:rPr>
            </w:pPr>
            <m:oMathPara>
              <m:oMath>
                <m:r>
                  <w:rPr>
                    <w:rFonts w:ascii="Cambria Math" w:hAnsi="Cambria Math"/>
                    <w:lang w:bidi="fa-IR"/>
                  </w:rPr>
                  <m:t>&lt;</m:t>
                </m:r>
              </m:oMath>
            </m:oMathPara>
          </w:p>
        </w:tc>
        <w:tc>
          <w:tcPr>
            <w:tcW w:w="797" w:type="dxa"/>
            <w:gridSpan w:val="2"/>
            <w:tcBorders>
              <w:top w:val="single" w:sz="4" w:space="0" w:color="auto"/>
              <w:left w:val="single" w:sz="4" w:space="0" w:color="auto"/>
              <w:bottom w:val="nil"/>
              <w:right w:val="single" w:sz="4" w:space="0" w:color="auto"/>
            </w:tcBorders>
            <w:noWrap/>
            <w:hideMark/>
          </w:tcPr>
          <w:p w:rsidR="0077791D" w:rsidRPr="009521B6" w:rsidRDefault="00806FD9" w:rsidP="00D2648D">
            <w:pPr>
              <w:jc w:val="center"/>
              <w:rPr>
                <w:lang w:bidi="fa-IR"/>
              </w:rPr>
            </w:pPr>
            <m:oMathPara>
              <m:oMath>
                <m:r>
                  <w:rPr>
                    <w:rFonts w:ascii="Cambria Math" w:hAnsi="Cambria Math"/>
                    <w:lang w:bidi="fa-IR"/>
                  </w:rPr>
                  <m:t>&lt;</m:t>
                </m:r>
              </m:oMath>
            </m:oMathPara>
          </w:p>
        </w:tc>
      </w:tr>
      <w:tr w:rsidR="0077791D" w:rsidRPr="009521B6" w:rsidTr="00D2648D">
        <w:trPr>
          <w:trHeight w:val="315"/>
        </w:trPr>
        <w:tc>
          <w:tcPr>
            <w:tcW w:w="2268" w:type="dxa"/>
            <w:tcBorders>
              <w:top w:val="nil"/>
              <w:left w:val="single" w:sz="4" w:space="0" w:color="auto"/>
              <w:bottom w:val="nil"/>
              <w:right w:val="single" w:sz="4" w:space="0" w:color="auto"/>
            </w:tcBorders>
            <w:shd w:val="pct10" w:color="auto" w:fill="auto"/>
            <w:hideMark/>
          </w:tcPr>
          <w:p w:rsidR="0077791D" w:rsidRPr="0077791D" w:rsidRDefault="0077791D" w:rsidP="00D2648D">
            <w:pPr>
              <w:rPr>
                <w:b/>
                <w:bCs/>
                <w:sz w:val="16"/>
                <w:szCs w:val="16"/>
                <w:lang w:bidi="fa-IR"/>
              </w:rPr>
            </w:pPr>
            <w:r>
              <w:rPr>
                <w:b/>
                <w:bCs/>
                <w:sz w:val="16"/>
                <w:szCs w:val="16"/>
                <w:lang w:bidi="fa-IR"/>
              </w:rPr>
              <w:t xml:space="preserve">2. </w:t>
            </w:r>
            <w:r w:rsidRPr="0077791D">
              <w:rPr>
                <w:b/>
                <w:bCs/>
                <w:sz w:val="16"/>
                <w:szCs w:val="16"/>
                <w:lang w:bidi="fa-IR"/>
              </w:rPr>
              <w:t>Mining</w:t>
            </w:r>
          </w:p>
        </w:tc>
        <w:tc>
          <w:tcPr>
            <w:tcW w:w="990" w:type="dxa"/>
            <w:tcBorders>
              <w:top w:val="nil"/>
              <w:left w:val="single" w:sz="4" w:space="0" w:color="auto"/>
              <w:bottom w:val="nil"/>
              <w:right w:val="single" w:sz="4" w:space="0" w:color="auto"/>
            </w:tcBorders>
            <w:shd w:val="pct10" w:color="auto" w:fill="auto"/>
            <w:noWrap/>
            <w:vAlign w:val="center"/>
            <w:hideMark/>
          </w:tcPr>
          <w:p w:rsidR="0077791D" w:rsidRPr="00C80C9C" w:rsidRDefault="0077791D" w:rsidP="00D2648D">
            <w:pPr>
              <w:jc w:val="center"/>
              <w:rPr>
                <w:sz w:val="16"/>
                <w:szCs w:val="16"/>
                <w:lang w:bidi="fa-IR"/>
              </w:rPr>
            </w:pPr>
            <w:r w:rsidRPr="00C80C9C">
              <w:rPr>
                <w:sz w:val="16"/>
                <w:szCs w:val="16"/>
                <w:lang w:bidi="fa-IR"/>
              </w:rPr>
              <w:t>663,660</w:t>
            </w:r>
          </w:p>
        </w:tc>
        <w:tc>
          <w:tcPr>
            <w:tcW w:w="990" w:type="dxa"/>
            <w:tcBorders>
              <w:top w:val="nil"/>
              <w:left w:val="single" w:sz="4" w:space="0" w:color="auto"/>
              <w:bottom w:val="nil"/>
              <w:right w:val="single" w:sz="4" w:space="0" w:color="auto"/>
            </w:tcBorders>
            <w:shd w:val="pct10" w:color="auto" w:fill="auto"/>
            <w:noWrap/>
            <w:vAlign w:val="center"/>
            <w:hideMark/>
          </w:tcPr>
          <w:p w:rsidR="0077791D" w:rsidRPr="00C80C9C" w:rsidRDefault="0077791D" w:rsidP="00D2648D">
            <w:pPr>
              <w:jc w:val="center"/>
              <w:rPr>
                <w:sz w:val="16"/>
                <w:szCs w:val="16"/>
                <w:lang w:bidi="fa-IR"/>
              </w:rPr>
            </w:pPr>
            <w:r w:rsidRPr="00C80C9C">
              <w:rPr>
                <w:sz w:val="16"/>
                <w:szCs w:val="16"/>
                <w:lang w:bidi="fa-IR"/>
              </w:rPr>
              <w:t>9,038</w:t>
            </w:r>
          </w:p>
        </w:tc>
        <w:tc>
          <w:tcPr>
            <w:tcW w:w="900" w:type="dxa"/>
            <w:tcBorders>
              <w:top w:val="nil"/>
              <w:left w:val="single" w:sz="4" w:space="0" w:color="auto"/>
              <w:bottom w:val="nil"/>
              <w:right w:val="single" w:sz="4" w:space="0" w:color="auto"/>
            </w:tcBorders>
            <w:shd w:val="pct10" w:color="auto" w:fill="auto"/>
            <w:noWrap/>
            <w:vAlign w:val="center"/>
            <w:hideMark/>
          </w:tcPr>
          <w:p w:rsidR="0077791D" w:rsidRPr="0077791D" w:rsidRDefault="0077791D" w:rsidP="00D2648D">
            <w:pPr>
              <w:jc w:val="center"/>
              <w:rPr>
                <w:sz w:val="16"/>
                <w:szCs w:val="16"/>
                <w:lang w:bidi="fa-IR"/>
              </w:rPr>
            </w:pPr>
            <w:r w:rsidRPr="0077791D">
              <w:rPr>
                <w:sz w:val="16"/>
                <w:szCs w:val="16"/>
                <w:lang w:bidi="fa-IR"/>
              </w:rPr>
              <w:t>3,699,885</w:t>
            </w:r>
          </w:p>
        </w:tc>
        <w:tc>
          <w:tcPr>
            <w:tcW w:w="1091" w:type="dxa"/>
            <w:gridSpan w:val="2"/>
            <w:tcBorders>
              <w:top w:val="nil"/>
              <w:left w:val="single" w:sz="4" w:space="0" w:color="auto"/>
              <w:bottom w:val="nil"/>
              <w:right w:val="single" w:sz="4" w:space="0" w:color="auto"/>
            </w:tcBorders>
            <w:shd w:val="pct10" w:color="auto" w:fill="auto"/>
            <w:noWrap/>
            <w:vAlign w:val="center"/>
            <w:hideMark/>
          </w:tcPr>
          <w:p w:rsidR="0077791D" w:rsidRPr="0077791D" w:rsidRDefault="0077791D" w:rsidP="00D2648D">
            <w:pPr>
              <w:jc w:val="center"/>
              <w:rPr>
                <w:sz w:val="16"/>
                <w:szCs w:val="16"/>
                <w:lang w:bidi="fa-IR"/>
              </w:rPr>
            </w:pPr>
            <w:r w:rsidRPr="0077791D">
              <w:rPr>
                <w:sz w:val="16"/>
                <w:szCs w:val="16"/>
                <w:lang w:bidi="fa-IR"/>
              </w:rPr>
              <w:t>327,150</w:t>
            </w:r>
          </w:p>
        </w:tc>
        <w:tc>
          <w:tcPr>
            <w:tcW w:w="889" w:type="dxa"/>
            <w:tcBorders>
              <w:top w:val="nil"/>
              <w:left w:val="single" w:sz="4" w:space="0" w:color="auto"/>
              <w:bottom w:val="nil"/>
              <w:right w:val="single" w:sz="4" w:space="0" w:color="auto"/>
            </w:tcBorders>
            <w:shd w:val="pct10" w:color="auto" w:fill="auto"/>
            <w:noWrap/>
            <w:vAlign w:val="center"/>
            <w:hideMark/>
          </w:tcPr>
          <w:p w:rsidR="0077791D" w:rsidRPr="0077791D" w:rsidRDefault="0077791D" w:rsidP="00D2648D">
            <w:pPr>
              <w:jc w:val="center"/>
              <w:rPr>
                <w:sz w:val="16"/>
                <w:szCs w:val="16"/>
                <w:lang w:bidi="fa-IR"/>
              </w:rPr>
            </w:pPr>
            <w:r w:rsidRPr="0077791D">
              <w:rPr>
                <w:sz w:val="16"/>
                <w:szCs w:val="16"/>
                <w:lang w:bidi="fa-IR"/>
              </w:rPr>
              <w:t>69,012</w:t>
            </w:r>
          </w:p>
        </w:tc>
        <w:tc>
          <w:tcPr>
            <w:tcW w:w="998" w:type="dxa"/>
            <w:gridSpan w:val="2"/>
            <w:tcBorders>
              <w:top w:val="nil"/>
              <w:left w:val="single" w:sz="4" w:space="0" w:color="auto"/>
              <w:bottom w:val="nil"/>
              <w:right w:val="single" w:sz="4" w:space="0" w:color="auto"/>
            </w:tcBorders>
            <w:shd w:val="pct10" w:color="auto" w:fill="auto"/>
            <w:noWrap/>
            <w:vAlign w:val="center"/>
            <w:hideMark/>
          </w:tcPr>
          <w:p w:rsidR="0077791D" w:rsidRPr="0077791D" w:rsidRDefault="0077791D" w:rsidP="00D2648D">
            <w:pPr>
              <w:jc w:val="center"/>
              <w:rPr>
                <w:sz w:val="16"/>
                <w:szCs w:val="16"/>
                <w:lang w:bidi="fa-IR"/>
              </w:rPr>
            </w:pPr>
            <w:r w:rsidRPr="0077791D">
              <w:rPr>
                <w:sz w:val="16"/>
                <w:szCs w:val="16"/>
                <w:lang w:bidi="fa-IR"/>
              </w:rPr>
              <w:t>6,102</w:t>
            </w:r>
          </w:p>
        </w:tc>
        <w:tc>
          <w:tcPr>
            <w:tcW w:w="725" w:type="dxa"/>
            <w:gridSpan w:val="2"/>
            <w:tcBorders>
              <w:top w:val="nil"/>
              <w:left w:val="single" w:sz="4" w:space="0" w:color="auto"/>
              <w:bottom w:val="nil"/>
              <w:right w:val="single" w:sz="4" w:space="0" w:color="auto"/>
            </w:tcBorders>
            <w:shd w:val="pct10" w:color="auto" w:fill="auto"/>
            <w:noWrap/>
            <w:hideMark/>
          </w:tcPr>
          <w:p w:rsidR="0077791D" w:rsidRPr="009521B6" w:rsidRDefault="00806FD9" w:rsidP="00D2648D">
            <w:pPr>
              <w:jc w:val="center"/>
              <w:rPr>
                <w:lang w:bidi="fa-IR"/>
              </w:rPr>
            </w:pPr>
            <m:oMathPara>
              <m:oMath>
                <m:r>
                  <w:rPr>
                    <w:rFonts w:ascii="Cambria Math" w:hAnsi="Cambria Math"/>
                    <w:lang w:bidi="fa-IR"/>
                  </w:rPr>
                  <m:t>&gt;</m:t>
                </m:r>
              </m:oMath>
            </m:oMathPara>
          </w:p>
        </w:tc>
        <w:tc>
          <w:tcPr>
            <w:tcW w:w="797" w:type="dxa"/>
            <w:gridSpan w:val="2"/>
            <w:tcBorders>
              <w:top w:val="nil"/>
              <w:left w:val="single" w:sz="4" w:space="0" w:color="auto"/>
              <w:bottom w:val="nil"/>
              <w:right w:val="single" w:sz="4" w:space="0" w:color="auto"/>
            </w:tcBorders>
            <w:shd w:val="pct10" w:color="auto" w:fill="auto"/>
            <w:noWrap/>
            <w:hideMark/>
          </w:tcPr>
          <w:p w:rsidR="0077791D" w:rsidRPr="009521B6" w:rsidRDefault="00806FD9" w:rsidP="00D2648D">
            <w:pPr>
              <w:jc w:val="center"/>
              <w:rPr>
                <w:lang w:bidi="fa-IR"/>
              </w:rPr>
            </w:pPr>
            <m:oMathPara>
              <m:oMathParaPr>
                <m:jc m:val="center"/>
              </m:oMathParaPr>
              <m:oMath>
                <m:r>
                  <w:rPr>
                    <w:rFonts w:ascii="Cambria Math" w:hAnsi="Cambria Math"/>
                    <w:lang w:bidi="fa-IR"/>
                  </w:rPr>
                  <m:t>&gt;</m:t>
                </m:r>
              </m:oMath>
            </m:oMathPara>
          </w:p>
        </w:tc>
      </w:tr>
      <w:tr w:rsidR="00806FD9" w:rsidRPr="009521B6" w:rsidTr="00C80C9C">
        <w:trPr>
          <w:trHeight w:val="315"/>
        </w:trPr>
        <w:tc>
          <w:tcPr>
            <w:tcW w:w="2268" w:type="dxa"/>
            <w:tcBorders>
              <w:top w:val="nil"/>
              <w:left w:val="single" w:sz="4" w:space="0" w:color="auto"/>
              <w:bottom w:val="nil"/>
              <w:right w:val="single" w:sz="4" w:space="0" w:color="auto"/>
            </w:tcBorders>
            <w:hideMark/>
          </w:tcPr>
          <w:p w:rsidR="00806FD9" w:rsidRPr="0077791D" w:rsidRDefault="00806FD9" w:rsidP="00D2648D">
            <w:pPr>
              <w:rPr>
                <w:b/>
                <w:bCs/>
                <w:sz w:val="16"/>
                <w:szCs w:val="16"/>
                <w:lang w:bidi="fa-IR"/>
              </w:rPr>
            </w:pPr>
            <w:r>
              <w:rPr>
                <w:b/>
                <w:bCs/>
                <w:sz w:val="16"/>
                <w:szCs w:val="16"/>
                <w:lang w:bidi="fa-IR"/>
              </w:rPr>
              <w:t>3.</w:t>
            </w:r>
            <w:r w:rsidRPr="0077791D">
              <w:rPr>
                <w:b/>
                <w:bCs/>
                <w:sz w:val="16"/>
                <w:szCs w:val="16"/>
                <w:lang w:bidi="fa-IR"/>
              </w:rPr>
              <w:t>Food, Drink, and Toba</w:t>
            </w:r>
            <w:r>
              <w:rPr>
                <w:b/>
                <w:bCs/>
                <w:sz w:val="16"/>
                <w:szCs w:val="16"/>
                <w:lang w:bidi="fa-IR"/>
              </w:rPr>
              <w:t>c</w:t>
            </w:r>
            <w:r w:rsidRPr="0077791D">
              <w:rPr>
                <w:b/>
                <w:bCs/>
                <w:sz w:val="16"/>
                <w:szCs w:val="16"/>
                <w:lang w:bidi="fa-IR"/>
              </w:rPr>
              <w:t>co</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10,441</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82,404</w:t>
            </w:r>
          </w:p>
        </w:tc>
        <w:tc>
          <w:tcPr>
            <w:tcW w:w="900"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50,944</w:t>
            </w:r>
          </w:p>
        </w:tc>
        <w:tc>
          <w:tcPr>
            <w:tcW w:w="1091"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234,794</w:t>
            </w:r>
          </w:p>
        </w:tc>
        <w:tc>
          <w:tcPr>
            <w:tcW w:w="889"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14,590</w:t>
            </w:r>
          </w:p>
        </w:tc>
        <w:tc>
          <w:tcPr>
            <w:tcW w:w="998"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67,241</w:t>
            </w:r>
          </w:p>
        </w:tc>
        <w:tc>
          <w:tcPr>
            <w:tcW w:w="725"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c>
          <w:tcPr>
            <w:tcW w:w="797"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r>
      <w:tr w:rsidR="00806FD9" w:rsidRPr="009521B6" w:rsidTr="00C80C9C">
        <w:trPr>
          <w:trHeight w:val="315"/>
        </w:trPr>
        <w:tc>
          <w:tcPr>
            <w:tcW w:w="2268" w:type="dxa"/>
            <w:tcBorders>
              <w:top w:val="nil"/>
              <w:left w:val="single" w:sz="4" w:space="0" w:color="auto"/>
              <w:bottom w:val="nil"/>
              <w:right w:val="single" w:sz="4" w:space="0" w:color="auto"/>
            </w:tcBorders>
            <w:hideMark/>
          </w:tcPr>
          <w:p w:rsidR="00806FD9" w:rsidRPr="0077791D" w:rsidRDefault="00806FD9" w:rsidP="00D2648D">
            <w:pPr>
              <w:rPr>
                <w:b/>
                <w:bCs/>
                <w:sz w:val="16"/>
                <w:szCs w:val="16"/>
                <w:lang w:bidi="fa-IR"/>
              </w:rPr>
            </w:pPr>
            <w:r>
              <w:rPr>
                <w:b/>
                <w:bCs/>
                <w:sz w:val="16"/>
                <w:szCs w:val="16"/>
                <w:lang w:bidi="fa-IR"/>
              </w:rPr>
              <w:t>4.</w:t>
            </w:r>
            <w:r w:rsidRPr="0077791D">
              <w:rPr>
                <w:b/>
                <w:bCs/>
                <w:sz w:val="16"/>
                <w:szCs w:val="16"/>
                <w:lang w:bidi="fa-IR"/>
              </w:rPr>
              <w:t>Textile</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28,687</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35,303</w:t>
            </w:r>
          </w:p>
        </w:tc>
        <w:tc>
          <w:tcPr>
            <w:tcW w:w="900"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380,026</w:t>
            </w:r>
          </w:p>
        </w:tc>
        <w:tc>
          <w:tcPr>
            <w:tcW w:w="1091"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1,446,915</w:t>
            </w:r>
          </w:p>
        </w:tc>
        <w:tc>
          <w:tcPr>
            <w:tcW w:w="889"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73,471</w:t>
            </w:r>
          </w:p>
        </w:tc>
        <w:tc>
          <w:tcPr>
            <w:tcW w:w="998"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279,732</w:t>
            </w:r>
          </w:p>
        </w:tc>
        <w:tc>
          <w:tcPr>
            <w:tcW w:w="725"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c>
          <w:tcPr>
            <w:tcW w:w="797"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r>
      <w:tr w:rsidR="00806FD9" w:rsidRPr="009521B6" w:rsidTr="00C80C9C">
        <w:trPr>
          <w:trHeight w:val="342"/>
        </w:trPr>
        <w:tc>
          <w:tcPr>
            <w:tcW w:w="2268" w:type="dxa"/>
            <w:tcBorders>
              <w:top w:val="nil"/>
              <w:left w:val="single" w:sz="4" w:space="0" w:color="auto"/>
              <w:bottom w:val="nil"/>
              <w:right w:val="single" w:sz="4" w:space="0" w:color="auto"/>
            </w:tcBorders>
            <w:hideMark/>
          </w:tcPr>
          <w:p w:rsidR="00806FD9" w:rsidRPr="0077791D" w:rsidRDefault="00806FD9" w:rsidP="00D2648D">
            <w:pPr>
              <w:rPr>
                <w:b/>
                <w:bCs/>
                <w:sz w:val="16"/>
                <w:szCs w:val="16"/>
                <w:lang w:bidi="fa-IR"/>
              </w:rPr>
            </w:pPr>
            <w:r>
              <w:rPr>
                <w:b/>
                <w:bCs/>
                <w:sz w:val="16"/>
                <w:szCs w:val="16"/>
                <w:lang w:bidi="fa-IR"/>
              </w:rPr>
              <w:t>5.</w:t>
            </w:r>
            <w:r w:rsidRPr="0077791D">
              <w:rPr>
                <w:b/>
                <w:bCs/>
                <w:sz w:val="16"/>
                <w:szCs w:val="16"/>
                <w:lang w:bidi="fa-IR"/>
              </w:rPr>
              <w:t xml:space="preserve">Covering and Leather </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9,687</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54,542</w:t>
            </w:r>
          </w:p>
        </w:tc>
        <w:tc>
          <w:tcPr>
            <w:tcW w:w="900"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13,663</w:t>
            </w:r>
          </w:p>
        </w:tc>
        <w:tc>
          <w:tcPr>
            <w:tcW w:w="1091"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60,835</w:t>
            </w:r>
          </w:p>
        </w:tc>
        <w:tc>
          <w:tcPr>
            <w:tcW w:w="889"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24,848</w:t>
            </w:r>
          </w:p>
        </w:tc>
        <w:tc>
          <w:tcPr>
            <w:tcW w:w="998"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110,639</w:t>
            </w:r>
          </w:p>
        </w:tc>
        <w:tc>
          <w:tcPr>
            <w:tcW w:w="725"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c>
          <w:tcPr>
            <w:tcW w:w="797"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r>
      <w:tr w:rsidR="00806FD9" w:rsidRPr="009521B6" w:rsidTr="00C80C9C">
        <w:trPr>
          <w:trHeight w:val="315"/>
        </w:trPr>
        <w:tc>
          <w:tcPr>
            <w:tcW w:w="2268" w:type="dxa"/>
            <w:tcBorders>
              <w:top w:val="nil"/>
              <w:left w:val="single" w:sz="4" w:space="0" w:color="auto"/>
              <w:bottom w:val="nil"/>
              <w:right w:val="single" w:sz="4" w:space="0" w:color="auto"/>
            </w:tcBorders>
            <w:hideMark/>
          </w:tcPr>
          <w:p w:rsidR="00806FD9" w:rsidRPr="0077791D" w:rsidRDefault="00806FD9" w:rsidP="00D2648D">
            <w:pPr>
              <w:rPr>
                <w:b/>
                <w:bCs/>
                <w:sz w:val="16"/>
                <w:szCs w:val="16"/>
                <w:lang w:bidi="fa-IR"/>
              </w:rPr>
            </w:pPr>
            <w:r>
              <w:rPr>
                <w:b/>
                <w:bCs/>
                <w:sz w:val="16"/>
                <w:szCs w:val="16"/>
                <w:lang w:bidi="fa-IR"/>
              </w:rPr>
              <w:t>6.W</w:t>
            </w:r>
            <w:r w:rsidRPr="0077791D">
              <w:rPr>
                <w:b/>
                <w:bCs/>
                <w:sz w:val="16"/>
                <w:szCs w:val="16"/>
                <w:lang w:bidi="fa-IR"/>
              </w:rPr>
              <w:t>ood and wood products</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447</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2,318</w:t>
            </w:r>
          </w:p>
        </w:tc>
        <w:tc>
          <w:tcPr>
            <w:tcW w:w="900"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6,395</w:t>
            </w:r>
          </w:p>
        </w:tc>
        <w:tc>
          <w:tcPr>
            <w:tcW w:w="1091"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22,686</w:t>
            </w:r>
          </w:p>
        </w:tc>
        <w:tc>
          <w:tcPr>
            <w:tcW w:w="889"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5,653</w:t>
            </w:r>
          </w:p>
        </w:tc>
        <w:tc>
          <w:tcPr>
            <w:tcW w:w="998"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20,054</w:t>
            </w:r>
          </w:p>
        </w:tc>
        <w:tc>
          <w:tcPr>
            <w:tcW w:w="725"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c>
          <w:tcPr>
            <w:tcW w:w="797"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r>
      <w:tr w:rsidR="00806FD9" w:rsidRPr="009521B6" w:rsidTr="00C80C9C">
        <w:trPr>
          <w:trHeight w:val="315"/>
        </w:trPr>
        <w:tc>
          <w:tcPr>
            <w:tcW w:w="2268" w:type="dxa"/>
            <w:tcBorders>
              <w:top w:val="nil"/>
              <w:left w:val="single" w:sz="4" w:space="0" w:color="auto"/>
              <w:bottom w:val="nil"/>
              <w:right w:val="single" w:sz="4" w:space="0" w:color="auto"/>
            </w:tcBorders>
            <w:hideMark/>
          </w:tcPr>
          <w:p w:rsidR="00806FD9" w:rsidRPr="0077791D" w:rsidRDefault="00806FD9" w:rsidP="00D2648D">
            <w:pPr>
              <w:rPr>
                <w:b/>
                <w:bCs/>
                <w:sz w:val="16"/>
                <w:szCs w:val="16"/>
                <w:lang w:bidi="fa-IR"/>
              </w:rPr>
            </w:pPr>
            <w:r>
              <w:rPr>
                <w:b/>
                <w:bCs/>
                <w:sz w:val="16"/>
                <w:szCs w:val="16"/>
                <w:lang w:bidi="fa-IR"/>
              </w:rPr>
              <w:t>7.</w:t>
            </w:r>
            <w:r w:rsidRPr="0077791D">
              <w:rPr>
                <w:b/>
                <w:bCs/>
                <w:sz w:val="16"/>
                <w:szCs w:val="16"/>
                <w:lang w:bidi="fa-IR"/>
              </w:rPr>
              <w:t>Paper</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327</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19,420</w:t>
            </w:r>
          </w:p>
        </w:tc>
        <w:tc>
          <w:tcPr>
            <w:tcW w:w="900"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31,526</w:t>
            </w:r>
          </w:p>
        </w:tc>
        <w:tc>
          <w:tcPr>
            <w:tcW w:w="1091"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253,225</w:t>
            </w:r>
          </w:p>
        </w:tc>
        <w:tc>
          <w:tcPr>
            <w:tcW w:w="889"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5,134</w:t>
            </w:r>
          </w:p>
        </w:tc>
        <w:tc>
          <w:tcPr>
            <w:tcW w:w="998"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41,235</w:t>
            </w:r>
          </w:p>
        </w:tc>
        <w:tc>
          <w:tcPr>
            <w:tcW w:w="725"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c>
          <w:tcPr>
            <w:tcW w:w="797"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r>
      <w:tr w:rsidR="00806FD9" w:rsidRPr="009521B6" w:rsidTr="00C80C9C">
        <w:trPr>
          <w:trHeight w:val="315"/>
        </w:trPr>
        <w:tc>
          <w:tcPr>
            <w:tcW w:w="2268" w:type="dxa"/>
            <w:tcBorders>
              <w:top w:val="nil"/>
              <w:left w:val="single" w:sz="4" w:space="0" w:color="auto"/>
              <w:bottom w:val="nil"/>
              <w:right w:val="single" w:sz="4" w:space="0" w:color="auto"/>
            </w:tcBorders>
            <w:hideMark/>
          </w:tcPr>
          <w:p w:rsidR="00806FD9" w:rsidRPr="0077791D" w:rsidRDefault="00806FD9" w:rsidP="00D2648D">
            <w:pPr>
              <w:rPr>
                <w:b/>
                <w:bCs/>
                <w:sz w:val="16"/>
                <w:szCs w:val="16"/>
                <w:lang w:bidi="fa-IR"/>
              </w:rPr>
            </w:pPr>
            <w:r>
              <w:rPr>
                <w:b/>
                <w:bCs/>
                <w:sz w:val="16"/>
                <w:szCs w:val="16"/>
                <w:lang w:bidi="fa-IR"/>
              </w:rPr>
              <w:t>8.</w:t>
            </w:r>
            <w:r w:rsidRPr="0077791D">
              <w:rPr>
                <w:b/>
                <w:bCs/>
                <w:sz w:val="16"/>
                <w:szCs w:val="16"/>
                <w:lang w:bidi="fa-IR"/>
              </w:rPr>
              <w:t>Chemical industry</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73,202</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158,011</w:t>
            </w:r>
          </w:p>
        </w:tc>
        <w:tc>
          <w:tcPr>
            <w:tcW w:w="900"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499,114</w:t>
            </w:r>
          </w:p>
        </w:tc>
        <w:tc>
          <w:tcPr>
            <w:tcW w:w="1091"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964,309</w:t>
            </w:r>
          </w:p>
        </w:tc>
        <w:tc>
          <w:tcPr>
            <w:tcW w:w="889"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44,218</w:t>
            </w:r>
          </w:p>
        </w:tc>
        <w:tc>
          <w:tcPr>
            <w:tcW w:w="998"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85,430</w:t>
            </w:r>
          </w:p>
        </w:tc>
        <w:tc>
          <w:tcPr>
            <w:tcW w:w="725"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c>
          <w:tcPr>
            <w:tcW w:w="797"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r>
      <w:tr w:rsidR="00806FD9" w:rsidRPr="009521B6" w:rsidTr="00C80C9C">
        <w:trPr>
          <w:trHeight w:val="315"/>
        </w:trPr>
        <w:tc>
          <w:tcPr>
            <w:tcW w:w="2268" w:type="dxa"/>
            <w:tcBorders>
              <w:top w:val="nil"/>
              <w:left w:val="single" w:sz="4" w:space="0" w:color="auto"/>
              <w:bottom w:val="nil"/>
              <w:right w:val="single" w:sz="4" w:space="0" w:color="auto"/>
            </w:tcBorders>
            <w:hideMark/>
          </w:tcPr>
          <w:p w:rsidR="00806FD9" w:rsidRPr="0077791D" w:rsidRDefault="00806FD9" w:rsidP="00D2648D">
            <w:pPr>
              <w:rPr>
                <w:b/>
                <w:bCs/>
                <w:sz w:val="16"/>
                <w:szCs w:val="16"/>
                <w:lang w:bidi="fa-IR"/>
              </w:rPr>
            </w:pPr>
            <w:r>
              <w:rPr>
                <w:b/>
                <w:bCs/>
                <w:sz w:val="16"/>
                <w:szCs w:val="16"/>
                <w:lang w:bidi="fa-IR"/>
              </w:rPr>
              <w:t>9.</w:t>
            </w:r>
            <w:r w:rsidRPr="0077791D">
              <w:rPr>
                <w:b/>
                <w:bCs/>
                <w:sz w:val="16"/>
                <w:szCs w:val="16"/>
                <w:lang w:bidi="fa-IR"/>
              </w:rPr>
              <w:t>Non-metal industry</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6,699</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11,438</w:t>
            </w:r>
          </w:p>
        </w:tc>
        <w:tc>
          <w:tcPr>
            <w:tcW w:w="900"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69,637</w:t>
            </w:r>
          </w:p>
        </w:tc>
        <w:tc>
          <w:tcPr>
            <w:tcW w:w="1091"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137,574</w:t>
            </w:r>
          </w:p>
        </w:tc>
        <w:tc>
          <w:tcPr>
            <w:tcW w:w="889"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15,296</w:t>
            </w:r>
          </w:p>
        </w:tc>
        <w:tc>
          <w:tcPr>
            <w:tcW w:w="998"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30,218</w:t>
            </w:r>
          </w:p>
        </w:tc>
        <w:tc>
          <w:tcPr>
            <w:tcW w:w="725"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c>
          <w:tcPr>
            <w:tcW w:w="797"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r>
      <w:tr w:rsidR="00806FD9" w:rsidRPr="009521B6" w:rsidTr="00C80C9C">
        <w:trPr>
          <w:trHeight w:val="315"/>
        </w:trPr>
        <w:tc>
          <w:tcPr>
            <w:tcW w:w="2268" w:type="dxa"/>
            <w:tcBorders>
              <w:top w:val="nil"/>
              <w:left w:val="single" w:sz="4" w:space="0" w:color="auto"/>
              <w:bottom w:val="nil"/>
              <w:right w:val="single" w:sz="4" w:space="0" w:color="auto"/>
            </w:tcBorders>
            <w:hideMark/>
          </w:tcPr>
          <w:p w:rsidR="00806FD9" w:rsidRPr="0077791D" w:rsidRDefault="00806FD9" w:rsidP="00D2648D">
            <w:pPr>
              <w:rPr>
                <w:b/>
                <w:bCs/>
                <w:sz w:val="16"/>
                <w:szCs w:val="16"/>
                <w:lang w:bidi="fa-IR"/>
              </w:rPr>
            </w:pPr>
            <w:r>
              <w:rPr>
                <w:b/>
                <w:bCs/>
                <w:sz w:val="16"/>
                <w:szCs w:val="16"/>
                <w:lang w:bidi="fa-IR"/>
              </w:rPr>
              <w:t>10.</w:t>
            </w:r>
            <w:r w:rsidRPr="0077791D">
              <w:rPr>
                <w:b/>
                <w:bCs/>
                <w:sz w:val="16"/>
                <w:szCs w:val="16"/>
                <w:lang w:bidi="fa-IR"/>
              </w:rPr>
              <w:t>Basic and metal industry</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15,841</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98,450</w:t>
            </w:r>
          </w:p>
        </w:tc>
        <w:tc>
          <w:tcPr>
            <w:tcW w:w="900"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149,842</w:t>
            </w:r>
          </w:p>
        </w:tc>
        <w:tc>
          <w:tcPr>
            <w:tcW w:w="1091"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879,890</w:t>
            </w:r>
          </w:p>
        </w:tc>
        <w:tc>
          <w:tcPr>
            <w:tcW w:w="889"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28,450</w:t>
            </w:r>
          </w:p>
        </w:tc>
        <w:tc>
          <w:tcPr>
            <w:tcW w:w="998"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167,060</w:t>
            </w:r>
          </w:p>
        </w:tc>
        <w:tc>
          <w:tcPr>
            <w:tcW w:w="725"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c>
          <w:tcPr>
            <w:tcW w:w="797"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r>
      <w:tr w:rsidR="00806FD9" w:rsidRPr="009521B6" w:rsidTr="00C80C9C">
        <w:trPr>
          <w:trHeight w:val="315"/>
        </w:trPr>
        <w:tc>
          <w:tcPr>
            <w:tcW w:w="2268" w:type="dxa"/>
            <w:tcBorders>
              <w:top w:val="nil"/>
              <w:left w:val="single" w:sz="4" w:space="0" w:color="auto"/>
              <w:bottom w:val="nil"/>
              <w:right w:val="single" w:sz="4" w:space="0" w:color="auto"/>
            </w:tcBorders>
            <w:hideMark/>
          </w:tcPr>
          <w:p w:rsidR="00806FD9" w:rsidRPr="0077791D" w:rsidRDefault="00806FD9" w:rsidP="00D2648D">
            <w:pPr>
              <w:rPr>
                <w:b/>
                <w:bCs/>
                <w:sz w:val="16"/>
                <w:szCs w:val="16"/>
                <w:lang w:bidi="fa-IR"/>
              </w:rPr>
            </w:pPr>
            <w:r>
              <w:rPr>
                <w:b/>
                <w:bCs/>
                <w:sz w:val="16"/>
                <w:szCs w:val="16"/>
                <w:lang w:bidi="fa-IR"/>
              </w:rPr>
              <w:t>11.</w:t>
            </w:r>
            <w:r w:rsidRPr="0077791D">
              <w:rPr>
                <w:b/>
                <w:bCs/>
                <w:sz w:val="16"/>
                <w:szCs w:val="16"/>
                <w:lang w:bidi="fa-IR"/>
              </w:rPr>
              <w:t>Machin</w:t>
            </w:r>
            <w:r>
              <w:rPr>
                <w:b/>
                <w:bCs/>
                <w:sz w:val="16"/>
                <w:szCs w:val="16"/>
                <w:lang w:bidi="fa-IR"/>
              </w:rPr>
              <w:t>e</w:t>
            </w:r>
            <w:r w:rsidRPr="0077791D">
              <w:rPr>
                <w:b/>
                <w:bCs/>
                <w:sz w:val="16"/>
                <w:szCs w:val="16"/>
                <w:lang w:bidi="fa-IR"/>
              </w:rPr>
              <w:t xml:space="preserve">ry </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8,969</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347,236</w:t>
            </w:r>
          </w:p>
        </w:tc>
        <w:tc>
          <w:tcPr>
            <w:tcW w:w="900"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50,574</w:t>
            </w:r>
          </w:p>
        </w:tc>
        <w:tc>
          <w:tcPr>
            <w:tcW w:w="1091"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1,146,214</w:t>
            </w:r>
          </w:p>
        </w:tc>
        <w:tc>
          <w:tcPr>
            <w:tcW w:w="889"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6,817</w:t>
            </w:r>
          </w:p>
        </w:tc>
        <w:tc>
          <w:tcPr>
            <w:tcW w:w="998"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154,505</w:t>
            </w:r>
          </w:p>
        </w:tc>
        <w:tc>
          <w:tcPr>
            <w:tcW w:w="725"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c>
          <w:tcPr>
            <w:tcW w:w="797"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r>
      <w:tr w:rsidR="00806FD9" w:rsidRPr="009521B6" w:rsidTr="00C80C9C">
        <w:trPr>
          <w:trHeight w:val="315"/>
        </w:trPr>
        <w:tc>
          <w:tcPr>
            <w:tcW w:w="2268" w:type="dxa"/>
            <w:tcBorders>
              <w:top w:val="nil"/>
              <w:left w:val="single" w:sz="4" w:space="0" w:color="auto"/>
              <w:bottom w:val="nil"/>
              <w:right w:val="single" w:sz="4" w:space="0" w:color="auto"/>
            </w:tcBorders>
            <w:hideMark/>
          </w:tcPr>
          <w:p w:rsidR="00806FD9" w:rsidRPr="0077791D" w:rsidRDefault="00806FD9" w:rsidP="00D2648D">
            <w:pPr>
              <w:rPr>
                <w:b/>
                <w:bCs/>
                <w:sz w:val="16"/>
                <w:szCs w:val="16"/>
                <w:lang w:bidi="fa-IR"/>
              </w:rPr>
            </w:pPr>
            <w:r>
              <w:rPr>
                <w:b/>
                <w:bCs/>
                <w:sz w:val="16"/>
                <w:szCs w:val="16"/>
                <w:lang w:bidi="fa-IR"/>
              </w:rPr>
              <w:t>12.O</w:t>
            </w:r>
            <w:r w:rsidRPr="0077791D">
              <w:rPr>
                <w:b/>
                <w:bCs/>
                <w:sz w:val="16"/>
                <w:szCs w:val="16"/>
                <w:lang w:bidi="fa-IR"/>
              </w:rPr>
              <w:t>ther manufacturing</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929</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2,292</w:t>
            </w:r>
          </w:p>
        </w:tc>
        <w:tc>
          <w:tcPr>
            <w:tcW w:w="900"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6,149</w:t>
            </w:r>
          </w:p>
        </w:tc>
        <w:tc>
          <w:tcPr>
            <w:tcW w:w="1091"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20,208</w:t>
            </w:r>
          </w:p>
        </w:tc>
        <w:tc>
          <w:tcPr>
            <w:tcW w:w="889"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5,276</w:t>
            </w:r>
          </w:p>
        </w:tc>
        <w:tc>
          <w:tcPr>
            <w:tcW w:w="998"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17,340</w:t>
            </w:r>
          </w:p>
        </w:tc>
        <w:tc>
          <w:tcPr>
            <w:tcW w:w="725"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c>
          <w:tcPr>
            <w:tcW w:w="797"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r>
      <w:tr w:rsidR="00806FD9" w:rsidRPr="009521B6" w:rsidTr="00C80C9C">
        <w:trPr>
          <w:trHeight w:val="315"/>
        </w:trPr>
        <w:tc>
          <w:tcPr>
            <w:tcW w:w="2268" w:type="dxa"/>
            <w:tcBorders>
              <w:top w:val="nil"/>
              <w:left w:val="single" w:sz="4" w:space="0" w:color="auto"/>
              <w:bottom w:val="nil"/>
              <w:right w:val="single" w:sz="4" w:space="0" w:color="auto"/>
            </w:tcBorders>
            <w:hideMark/>
          </w:tcPr>
          <w:p w:rsidR="00806FD9" w:rsidRPr="0077791D" w:rsidRDefault="00806FD9" w:rsidP="00D2648D">
            <w:pPr>
              <w:rPr>
                <w:b/>
                <w:bCs/>
                <w:sz w:val="16"/>
                <w:szCs w:val="16"/>
                <w:lang w:bidi="fa-IR"/>
              </w:rPr>
            </w:pPr>
            <w:r>
              <w:rPr>
                <w:b/>
                <w:bCs/>
                <w:sz w:val="16"/>
                <w:szCs w:val="16"/>
                <w:lang w:bidi="fa-IR"/>
              </w:rPr>
              <w:t>13.</w:t>
            </w:r>
            <w:r w:rsidRPr="0077791D">
              <w:rPr>
                <w:b/>
                <w:bCs/>
                <w:sz w:val="16"/>
                <w:szCs w:val="16"/>
                <w:lang w:bidi="fa-IR"/>
              </w:rPr>
              <w:t>Water, electricity, and gas</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5,212</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1,040</w:t>
            </w:r>
          </w:p>
        </w:tc>
        <w:tc>
          <w:tcPr>
            <w:tcW w:w="900"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639,758</w:t>
            </w:r>
          </w:p>
        </w:tc>
        <w:tc>
          <w:tcPr>
            <w:tcW w:w="1091"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1,102,791</w:t>
            </w:r>
          </w:p>
        </w:tc>
        <w:tc>
          <w:tcPr>
            <w:tcW w:w="889"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19,337</w:t>
            </w:r>
          </w:p>
        </w:tc>
        <w:tc>
          <w:tcPr>
            <w:tcW w:w="998"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33,332</w:t>
            </w:r>
          </w:p>
        </w:tc>
        <w:tc>
          <w:tcPr>
            <w:tcW w:w="725" w:type="dxa"/>
            <w:gridSpan w:val="2"/>
            <w:tcBorders>
              <w:top w:val="nil"/>
              <w:left w:val="single" w:sz="4" w:space="0" w:color="auto"/>
              <w:bottom w:val="nil"/>
              <w:right w:val="single" w:sz="4" w:space="0" w:color="auto"/>
            </w:tcBorders>
            <w:hideMark/>
          </w:tcPr>
          <w:p w:rsidR="00806FD9" w:rsidRPr="009521B6" w:rsidRDefault="00806FD9" w:rsidP="00D2648D">
            <w:pPr>
              <w:jc w:val="center"/>
              <w:rPr>
                <w:lang w:bidi="fa-IR"/>
              </w:rPr>
            </w:pPr>
            <m:oMathPara>
              <m:oMath>
                <m:r>
                  <w:rPr>
                    <w:rFonts w:ascii="Cambria Math" w:hAnsi="Cambria Math"/>
                    <w:lang w:bidi="fa-IR"/>
                  </w:rPr>
                  <m:t>&lt;</m:t>
                </m:r>
              </m:oMath>
            </m:oMathPara>
          </w:p>
        </w:tc>
        <w:tc>
          <w:tcPr>
            <w:tcW w:w="797" w:type="dxa"/>
            <w:gridSpan w:val="2"/>
            <w:tcBorders>
              <w:top w:val="nil"/>
              <w:left w:val="single" w:sz="4" w:space="0" w:color="auto"/>
              <w:bottom w:val="nil"/>
              <w:right w:val="single" w:sz="4" w:space="0" w:color="auto"/>
            </w:tcBorders>
            <w:hideMark/>
          </w:tcPr>
          <w:p w:rsidR="00806FD9" w:rsidRPr="009521B6" w:rsidRDefault="00806FD9" w:rsidP="00D2648D">
            <w:pPr>
              <w:jc w:val="center"/>
              <w:rPr>
                <w:lang w:bidi="fa-IR"/>
              </w:rPr>
            </w:pPr>
            <m:oMathPara>
              <m:oMath>
                <m:r>
                  <w:rPr>
                    <w:rFonts w:ascii="Cambria Math" w:hAnsi="Cambria Math"/>
                    <w:lang w:bidi="fa-IR"/>
                  </w:rPr>
                  <m:t>&lt;</m:t>
                </m:r>
              </m:oMath>
            </m:oMathPara>
          </w:p>
        </w:tc>
      </w:tr>
      <w:tr w:rsidR="00806FD9" w:rsidRPr="009521B6" w:rsidTr="00C80C9C">
        <w:trPr>
          <w:trHeight w:val="315"/>
        </w:trPr>
        <w:tc>
          <w:tcPr>
            <w:tcW w:w="2268" w:type="dxa"/>
            <w:tcBorders>
              <w:top w:val="nil"/>
              <w:left w:val="single" w:sz="4" w:space="0" w:color="auto"/>
              <w:bottom w:val="nil"/>
              <w:right w:val="single" w:sz="4" w:space="0" w:color="auto"/>
            </w:tcBorders>
            <w:hideMark/>
          </w:tcPr>
          <w:p w:rsidR="00806FD9" w:rsidRPr="0077791D" w:rsidRDefault="00806FD9" w:rsidP="00D2648D">
            <w:pPr>
              <w:rPr>
                <w:b/>
                <w:bCs/>
                <w:sz w:val="16"/>
                <w:szCs w:val="16"/>
                <w:lang w:bidi="fa-IR"/>
              </w:rPr>
            </w:pPr>
            <w:r>
              <w:rPr>
                <w:b/>
                <w:bCs/>
                <w:sz w:val="16"/>
                <w:szCs w:val="16"/>
                <w:lang w:bidi="fa-IR"/>
              </w:rPr>
              <w:t>14.</w:t>
            </w:r>
            <w:r w:rsidRPr="0077791D">
              <w:rPr>
                <w:b/>
                <w:bCs/>
                <w:sz w:val="16"/>
                <w:szCs w:val="16"/>
                <w:lang w:bidi="fa-IR"/>
              </w:rPr>
              <w:t>Construction</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1</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0</w:t>
            </w:r>
          </w:p>
        </w:tc>
        <w:tc>
          <w:tcPr>
            <w:tcW w:w="900"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13,452</w:t>
            </w:r>
          </w:p>
        </w:tc>
        <w:tc>
          <w:tcPr>
            <w:tcW w:w="1091"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19,656</w:t>
            </w:r>
          </w:p>
        </w:tc>
        <w:tc>
          <w:tcPr>
            <w:tcW w:w="889"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11,332</w:t>
            </w:r>
          </w:p>
        </w:tc>
        <w:tc>
          <w:tcPr>
            <w:tcW w:w="998"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16,559</w:t>
            </w:r>
          </w:p>
        </w:tc>
        <w:tc>
          <w:tcPr>
            <w:tcW w:w="725"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c>
          <w:tcPr>
            <w:tcW w:w="797"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r>
      <w:tr w:rsidR="00806FD9" w:rsidRPr="009521B6" w:rsidTr="00C80C9C">
        <w:trPr>
          <w:trHeight w:val="315"/>
        </w:trPr>
        <w:tc>
          <w:tcPr>
            <w:tcW w:w="2268" w:type="dxa"/>
            <w:tcBorders>
              <w:top w:val="nil"/>
              <w:left w:val="single" w:sz="4" w:space="0" w:color="auto"/>
              <w:bottom w:val="nil"/>
              <w:right w:val="single" w:sz="4" w:space="0" w:color="auto"/>
            </w:tcBorders>
            <w:hideMark/>
          </w:tcPr>
          <w:p w:rsidR="00806FD9" w:rsidRPr="0077791D" w:rsidRDefault="00806FD9" w:rsidP="00D2648D">
            <w:pPr>
              <w:rPr>
                <w:b/>
                <w:bCs/>
                <w:sz w:val="16"/>
                <w:szCs w:val="16"/>
                <w:lang w:bidi="fa-IR"/>
              </w:rPr>
            </w:pPr>
            <w:r>
              <w:rPr>
                <w:b/>
                <w:bCs/>
                <w:sz w:val="16"/>
                <w:szCs w:val="16"/>
                <w:lang w:bidi="fa-IR"/>
              </w:rPr>
              <w:t>15.</w:t>
            </w:r>
            <w:r w:rsidRPr="0077791D">
              <w:rPr>
                <w:b/>
                <w:bCs/>
                <w:sz w:val="16"/>
                <w:szCs w:val="16"/>
                <w:lang w:bidi="fa-IR"/>
              </w:rPr>
              <w:t>Wholesale and retail sale</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44,387</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5,909</w:t>
            </w:r>
          </w:p>
        </w:tc>
        <w:tc>
          <w:tcPr>
            <w:tcW w:w="900"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254,308</w:t>
            </w:r>
          </w:p>
        </w:tc>
        <w:tc>
          <w:tcPr>
            <w:tcW w:w="1091"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395,939</w:t>
            </w:r>
          </w:p>
        </w:tc>
        <w:tc>
          <w:tcPr>
            <w:tcW w:w="889"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155,621</w:t>
            </w:r>
          </w:p>
        </w:tc>
        <w:tc>
          <w:tcPr>
            <w:tcW w:w="998"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242,290</w:t>
            </w:r>
          </w:p>
        </w:tc>
        <w:tc>
          <w:tcPr>
            <w:tcW w:w="725"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c>
          <w:tcPr>
            <w:tcW w:w="797"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r>
      <w:tr w:rsidR="00806FD9" w:rsidRPr="009521B6" w:rsidTr="00806FD9">
        <w:trPr>
          <w:trHeight w:val="297"/>
        </w:trPr>
        <w:tc>
          <w:tcPr>
            <w:tcW w:w="2268" w:type="dxa"/>
            <w:tcBorders>
              <w:top w:val="nil"/>
              <w:left w:val="single" w:sz="4" w:space="0" w:color="auto"/>
              <w:bottom w:val="nil"/>
              <w:right w:val="single" w:sz="4" w:space="0" w:color="auto"/>
            </w:tcBorders>
            <w:hideMark/>
          </w:tcPr>
          <w:p w:rsidR="00806FD9" w:rsidRPr="0077791D" w:rsidRDefault="00806FD9" w:rsidP="00D2648D">
            <w:pPr>
              <w:rPr>
                <w:b/>
                <w:bCs/>
                <w:sz w:val="16"/>
                <w:szCs w:val="16"/>
                <w:lang w:bidi="fa-IR"/>
              </w:rPr>
            </w:pPr>
            <w:r>
              <w:rPr>
                <w:b/>
                <w:bCs/>
                <w:sz w:val="16"/>
                <w:szCs w:val="16"/>
                <w:lang w:bidi="fa-IR"/>
              </w:rPr>
              <w:t>16.</w:t>
            </w:r>
            <w:r w:rsidRPr="00C80C9C">
              <w:rPr>
                <w:sz w:val="12"/>
                <w:szCs w:val="12"/>
                <w:lang w:bidi="fa-IR"/>
              </w:rPr>
              <w:t>Transportation and Communications</w:t>
            </w:r>
            <w:r>
              <w:rPr>
                <w:sz w:val="12"/>
                <w:szCs w:val="12"/>
                <w:lang w:bidi="fa-IR"/>
              </w:rPr>
              <w:t xml:space="preserve"> </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65,216</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54,261</w:t>
            </w:r>
          </w:p>
        </w:tc>
        <w:tc>
          <w:tcPr>
            <w:tcW w:w="900"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2,646,061</w:t>
            </w:r>
          </w:p>
        </w:tc>
        <w:tc>
          <w:tcPr>
            <w:tcW w:w="1091"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3,075,048</w:t>
            </w:r>
          </w:p>
        </w:tc>
        <w:tc>
          <w:tcPr>
            <w:tcW w:w="889"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159,332</w:t>
            </w:r>
          </w:p>
        </w:tc>
        <w:tc>
          <w:tcPr>
            <w:tcW w:w="998"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185,163</w:t>
            </w:r>
          </w:p>
        </w:tc>
        <w:tc>
          <w:tcPr>
            <w:tcW w:w="725"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c>
          <w:tcPr>
            <w:tcW w:w="797"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r>
      <w:tr w:rsidR="00806FD9" w:rsidRPr="009521B6" w:rsidTr="00C80C9C">
        <w:trPr>
          <w:trHeight w:val="315"/>
        </w:trPr>
        <w:tc>
          <w:tcPr>
            <w:tcW w:w="2268" w:type="dxa"/>
            <w:tcBorders>
              <w:top w:val="nil"/>
              <w:left w:val="single" w:sz="4" w:space="0" w:color="auto"/>
              <w:bottom w:val="nil"/>
              <w:right w:val="single" w:sz="4" w:space="0" w:color="auto"/>
            </w:tcBorders>
            <w:hideMark/>
          </w:tcPr>
          <w:p w:rsidR="00806FD9" w:rsidRPr="0077791D" w:rsidRDefault="00806FD9" w:rsidP="00D2648D">
            <w:pPr>
              <w:rPr>
                <w:b/>
                <w:bCs/>
                <w:sz w:val="16"/>
                <w:szCs w:val="16"/>
                <w:lang w:bidi="fa-IR"/>
              </w:rPr>
            </w:pPr>
            <w:r>
              <w:rPr>
                <w:b/>
                <w:bCs/>
                <w:sz w:val="16"/>
                <w:szCs w:val="16"/>
                <w:lang w:bidi="fa-IR"/>
              </w:rPr>
              <w:t xml:space="preserve">17. </w:t>
            </w:r>
            <w:r w:rsidRPr="00C80C9C">
              <w:rPr>
                <w:b/>
                <w:bCs/>
                <w:sz w:val="14"/>
                <w:szCs w:val="14"/>
                <w:lang w:bidi="fa-IR"/>
              </w:rPr>
              <w:t>Finance, Banking, insurance</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7,961</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15,730</w:t>
            </w:r>
          </w:p>
        </w:tc>
        <w:tc>
          <w:tcPr>
            <w:tcW w:w="900"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752,689</w:t>
            </w:r>
          </w:p>
        </w:tc>
        <w:tc>
          <w:tcPr>
            <w:tcW w:w="1091"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1,308,459</w:t>
            </w:r>
          </w:p>
        </w:tc>
        <w:tc>
          <w:tcPr>
            <w:tcW w:w="889"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13,383</w:t>
            </w:r>
          </w:p>
        </w:tc>
        <w:tc>
          <w:tcPr>
            <w:tcW w:w="998"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23,265</w:t>
            </w:r>
          </w:p>
        </w:tc>
        <w:tc>
          <w:tcPr>
            <w:tcW w:w="725"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c>
          <w:tcPr>
            <w:tcW w:w="797"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r>
      <w:tr w:rsidR="00806FD9" w:rsidRPr="009521B6" w:rsidTr="00C80C9C">
        <w:trPr>
          <w:trHeight w:val="315"/>
        </w:trPr>
        <w:tc>
          <w:tcPr>
            <w:tcW w:w="2268" w:type="dxa"/>
            <w:tcBorders>
              <w:top w:val="nil"/>
              <w:left w:val="single" w:sz="4" w:space="0" w:color="auto"/>
              <w:bottom w:val="nil"/>
              <w:right w:val="single" w:sz="4" w:space="0" w:color="auto"/>
            </w:tcBorders>
            <w:hideMark/>
          </w:tcPr>
          <w:p w:rsidR="00806FD9" w:rsidRPr="0077791D" w:rsidRDefault="00806FD9" w:rsidP="00D2648D">
            <w:pPr>
              <w:rPr>
                <w:b/>
                <w:bCs/>
                <w:sz w:val="16"/>
                <w:szCs w:val="16"/>
                <w:lang w:bidi="fa-IR"/>
              </w:rPr>
            </w:pPr>
            <w:r>
              <w:rPr>
                <w:b/>
                <w:bCs/>
                <w:sz w:val="16"/>
                <w:szCs w:val="16"/>
                <w:lang w:bidi="fa-IR"/>
              </w:rPr>
              <w:t>18.</w:t>
            </w:r>
            <w:r w:rsidRPr="00C80C9C">
              <w:rPr>
                <w:b/>
                <w:bCs/>
                <w:sz w:val="14"/>
                <w:szCs w:val="14"/>
                <w:lang w:bidi="fa-IR"/>
              </w:rPr>
              <w:t>Public services and defense</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6,688</w:t>
            </w:r>
          </w:p>
        </w:tc>
        <w:tc>
          <w:tcPr>
            <w:tcW w:w="990" w:type="dxa"/>
            <w:tcBorders>
              <w:top w:val="nil"/>
              <w:left w:val="single" w:sz="4" w:space="0" w:color="auto"/>
              <w:bottom w:val="nil"/>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14,287</w:t>
            </w:r>
          </w:p>
        </w:tc>
        <w:tc>
          <w:tcPr>
            <w:tcW w:w="900"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251,783</w:t>
            </w:r>
          </w:p>
        </w:tc>
        <w:tc>
          <w:tcPr>
            <w:tcW w:w="1091"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441,909</w:t>
            </w:r>
          </w:p>
        </w:tc>
        <w:tc>
          <w:tcPr>
            <w:tcW w:w="889" w:type="dxa"/>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21,939</w:t>
            </w:r>
          </w:p>
        </w:tc>
        <w:tc>
          <w:tcPr>
            <w:tcW w:w="998" w:type="dxa"/>
            <w:gridSpan w:val="2"/>
            <w:tcBorders>
              <w:top w:val="nil"/>
              <w:left w:val="single" w:sz="4" w:space="0" w:color="auto"/>
              <w:bottom w:val="nil"/>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38,506</w:t>
            </w:r>
          </w:p>
        </w:tc>
        <w:tc>
          <w:tcPr>
            <w:tcW w:w="725"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c>
          <w:tcPr>
            <w:tcW w:w="797" w:type="dxa"/>
            <w:gridSpan w:val="2"/>
            <w:tcBorders>
              <w:top w:val="nil"/>
              <w:left w:val="single" w:sz="4" w:space="0" w:color="auto"/>
              <w:bottom w:val="nil"/>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r>
      <w:tr w:rsidR="00806FD9" w:rsidRPr="009521B6" w:rsidTr="00C80C9C">
        <w:trPr>
          <w:trHeight w:val="315"/>
        </w:trPr>
        <w:tc>
          <w:tcPr>
            <w:tcW w:w="2268" w:type="dxa"/>
            <w:tcBorders>
              <w:top w:val="nil"/>
              <w:left w:val="single" w:sz="4" w:space="0" w:color="auto"/>
              <w:bottom w:val="single" w:sz="4" w:space="0" w:color="auto"/>
              <w:right w:val="single" w:sz="4" w:space="0" w:color="auto"/>
            </w:tcBorders>
            <w:hideMark/>
          </w:tcPr>
          <w:p w:rsidR="00806FD9" w:rsidRPr="0077791D" w:rsidRDefault="00806FD9" w:rsidP="00D2648D">
            <w:pPr>
              <w:rPr>
                <w:b/>
                <w:bCs/>
                <w:sz w:val="16"/>
                <w:szCs w:val="16"/>
                <w:lang w:bidi="fa-IR"/>
              </w:rPr>
            </w:pPr>
            <w:r>
              <w:rPr>
                <w:b/>
                <w:bCs/>
                <w:sz w:val="16"/>
                <w:szCs w:val="16"/>
                <w:lang w:bidi="fa-IR"/>
              </w:rPr>
              <w:t>19.</w:t>
            </w:r>
            <w:r w:rsidRPr="0077791D">
              <w:rPr>
                <w:b/>
                <w:bCs/>
                <w:sz w:val="16"/>
                <w:szCs w:val="16"/>
                <w:lang w:bidi="fa-IR"/>
              </w:rPr>
              <w:t>Other services</w:t>
            </w:r>
          </w:p>
        </w:tc>
        <w:tc>
          <w:tcPr>
            <w:tcW w:w="990" w:type="dxa"/>
            <w:tcBorders>
              <w:top w:val="nil"/>
              <w:left w:val="single" w:sz="4" w:space="0" w:color="auto"/>
              <w:bottom w:val="single" w:sz="4" w:space="0" w:color="auto"/>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199</w:t>
            </w:r>
          </w:p>
        </w:tc>
        <w:tc>
          <w:tcPr>
            <w:tcW w:w="990" w:type="dxa"/>
            <w:tcBorders>
              <w:top w:val="nil"/>
              <w:left w:val="single" w:sz="4" w:space="0" w:color="auto"/>
              <w:bottom w:val="single" w:sz="4" w:space="0" w:color="auto"/>
              <w:right w:val="single" w:sz="4" w:space="0" w:color="auto"/>
            </w:tcBorders>
            <w:noWrap/>
            <w:vAlign w:val="center"/>
            <w:hideMark/>
          </w:tcPr>
          <w:p w:rsidR="00806FD9" w:rsidRPr="00C80C9C" w:rsidRDefault="00806FD9" w:rsidP="00D2648D">
            <w:pPr>
              <w:jc w:val="center"/>
              <w:rPr>
                <w:sz w:val="16"/>
                <w:szCs w:val="16"/>
                <w:lang w:bidi="fa-IR"/>
              </w:rPr>
            </w:pPr>
            <w:r w:rsidRPr="00C80C9C">
              <w:rPr>
                <w:sz w:val="16"/>
                <w:szCs w:val="16"/>
                <w:lang w:bidi="fa-IR"/>
              </w:rPr>
              <w:t>938</w:t>
            </w:r>
          </w:p>
        </w:tc>
        <w:tc>
          <w:tcPr>
            <w:tcW w:w="900" w:type="dxa"/>
            <w:tcBorders>
              <w:top w:val="nil"/>
              <w:left w:val="single" w:sz="4" w:space="0" w:color="auto"/>
              <w:bottom w:val="single" w:sz="4" w:space="0" w:color="auto"/>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16,560</w:t>
            </w:r>
          </w:p>
        </w:tc>
        <w:tc>
          <w:tcPr>
            <w:tcW w:w="1091" w:type="dxa"/>
            <w:gridSpan w:val="2"/>
            <w:tcBorders>
              <w:top w:val="nil"/>
              <w:left w:val="single" w:sz="4" w:space="0" w:color="auto"/>
              <w:bottom w:val="single" w:sz="4" w:space="0" w:color="auto"/>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30,383</w:t>
            </w:r>
          </w:p>
        </w:tc>
        <w:tc>
          <w:tcPr>
            <w:tcW w:w="889" w:type="dxa"/>
            <w:tcBorders>
              <w:top w:val="nil"/>
              <w:left w:val="single" w:sz="4" w:space="0" w:color="auto"/>
              <w:bottom w:val="single" w:sz="4" w:space="0" w:color="auto"/>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5,025</w:t>
            </w:r>
          </w:p>
        </w:tc>
        <w:tc>
          <w:tcPr>
            <w:tcW w:w="998" w:type="dxa"/>
            <w:gridSpan w:val="2"/>
            <w:tcBorders>
              <w:top w:val="nil"/>
              <w:left w:val="single" w:sz="4" w:space="0" w:color="auto"/>
              <w:bottom w:val="single" w:sz="4" w:space="0" w:color="auto"/>
              <w:right w:val="single" w:sz="4" w:space="0" w:color="auto"/>
            </w:tcBorders>
            <w:noWrap/>
            <w:vAlign w:val="center"/>
            <w:hideMark/>
          </w:tcPr>
          <w:p w:rsidR="00806FD9" w:rsidRPr="0077791D" w:rsidRDefault="00806FD9" w:rsidP="00D2648D">
            <w:pPr>
              <w:jc w:val="center"/>
              <w:rPr>
                <w:sz w:val="16"/>
                <w:szCs w:val="16"/>
                <w:lang w:bidi="fa-IR"/>
              </w:rPr>
            </w:pPr>
            <w:r w:rsidRPr="0077791D">
              <w:rPr>
                <w:sz w:val="16"/>
                <w:szCs w:val="16"/>
                <w:lang w:bidi="fa-IR"/>
              </w:rPr>
              <w:t>9,219</w:t>
            </w:r>
          </w:p>
        </w:tc>
        <w:tc>
          <w:tcPr>
            <w:tcW w:w="725" w:type="dxa"/>
            <w:gridSpan w:val="2"/>
            <w:tcBorders>
              <w:top w:val="nil"/>
              <w:left w:val="single" w:sz="4" w:space="0" w:color="auto"/>
              <w:bottom w:val="single" w:sz="4" w:space="0" w:color="auto"/>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c>
          <w:tcPr>
            <w:tcW w:w="797" w:type="dxa"/>
            <w:gridSpan w:val="2"/>
            <w:tcBorders>
              <w:top w:val="nil"/>
              <w:left w:val="single" w:sz="4" w:space="0" w:color="auto"/>
              <w:bottom w:val="single" w:sz="4" w:space="0" w:color="auto"/>
              <w:right w:val="single" w:sz="4" w:space="0" w:color="auto"/>
            </w:tcBorders>
            <w:noWrap/>
            <w:hideMark/>
          </w:tcPr>
          <w:p w:rsidR="00806FD9" w:rsidRPr="009521B6" w:rsidRDefault="00806FD9" w:rsidP="00D2648D">
            <w:pPr>
              <w:jc w:val="center"/>
              <w:rPr>
                <w:lang w:bidi="fa-IR"/>
              </w:rPr>
            </w:pPr>
            <m:oMathPara>
              <m:oMath>
                <m:r>
                  <w:rPr>
                    <w:rFonts w:ascii="Cambria Math" w:hAnsi="Cambria Math"/>
                    <w:lang w:bidi="fa-IR"/>
                  </w:rPr>
                  <m:t>&lt;</m:t>
                </m:r>
              </m:oMath>
            </m:oMathPara>
          </w:p>
        </w:tc>
      </w:tr>
    </w:tbl>
    <w:p w:rsidR="005F399E" w:rsidRPr="00391979" w:rsidRDefault="00391979" w:rsidP="00D2648D">
      <w:pPr>
        <w:rPr>
          <w:sz w:val="16"/>
          <w:szCs w:val="16"/>
          <w:lang w:bidi="fa-IR"/>
        </w:rPr>
      </w:pPr>
      <w:r w:rsidRPr="00391979">
        <w:rPr>
          <w:sz w:val="16"/>
          <w:szCs w:val="16"/>
          <w:lang w:bidi="fa-IR"/>
        </w:rPr>
        <w:t>Source</w:t>
      </w:r>
      <w:r>
        <w:rPr>
          <w:sz w:val="16"/>
          <w:szCs w:val="16"/>
          <w:lang w:bidi="fa-IR"/>
        </w:rPr>
        <w:t xml:space="preserve">s: SCI input-output table 2001, employment SCI site: www.SCI.ir,  </w:t>
      </w:r>
    </w:p>
    <w:p w:rsidR="009C07C8" w:rsidRDefault="009C07C8" w:rsidP="00A668B8">
      <w:pPr>
        <w:ind w:firstLine="720"/>
        <w:rPr>
          <w:lang w:bidi="fa-IR"/>
        </w:rPr>
      </w:pPr>
      <w:r>
        <w:rPr>
          <w:lang w:bidi="fa-IR"/>
        </w:rPr>
        <w:lastRenderedPageBreak/>
        <w:t>The principal numerical results of computations designed to calculate the quantities of domestic capital and labor required to produce one unit of money’s worth of Iran export or alternatively, to replace an equivalent amount of competitive imports (here total import), the results are summarized in table 5 using (3) and (4) equations</w:t>
      </w:r>
      <w:r w:rsidR="00A668B8">
        <w:rPr>
          <w:lang w:bidi="fa-IR"/>
        </w:rPr>
        <w:t>.</w:t>
      </w:r>
    </w:p>
    <w:p w:rsidR="005F399E" w:rsidRDefault="004E4F86" w:rsidP="00752A3B">
      <w:pPr>
        <w:ind w:firstLine="720"/>
        <w:rPr>
          <w:lang w:bidi="fa-IR"/>
        </w:rPr>
      </w:pPr>
      <w:r>
        <w:rPr>
          <w:lang w:bidi="fa-IR"/>
        </w:rPr>
        <w:t xml:space="preserve">As table-5 shows the comparison of input requirements for export and import for all sectors are the same i.e. net capital requirement </w:t>
      </w:r>
      <w:proofErr w:type="gramStart"/>
      <w:r>
        <w:rPr>
          <w:lang w:bidi="fa-IR"/>
        </w:rPr>
        <w:t>and  net</w:t>
      </w:r>
      <w:proofErr w:type="gramEnd"/>
      <w:r>
        <w:rPr>
          <w:lang w:bidi="fa-IR"/>
        </w:rPr>
        <w:t xml:space="preserve"> labor requirements are negative except for mining sector in which </w:t>
      </w:r>
      <w:r w:rsidR="00D53B95">
        <w:rPr>
          <w:lang w:bidi="fa-IR"/>
        </w:rPr>
        <w:t xml:space="preserve">includes mainly oil sector. The principal findings of the quantitative factual analysis are aggregated and summarized in Table 6. In table-6 total domestic capital and labor requirements per million </w:t>
      </w:r>
      <w:proofErr w:type="spellStart"/>
      <w:r w:rsidR="00D53B95">
        <w:rPr>
          <w:lang w:bidi="fa-IR"/>
        </w:rPr>
        <w:t>rials</w:t>
      </w:r>
      <w:proofErr w:type="spellEnd"/>
      <w:r w:rsidR="00D53B95">
        <w:rPr>
          <w:lang w:bidi="fa-IR"/>
        </w:rPr>
        <w:t xml:space="preserve"> of Iran’s exports and imports replacement are shown. In table 6- figures show that an average million </w:t>
      </w:r>
      <w:proofErr w:type="spellStart"/>
      <w:r w:rsidR="00D53B95">
        <w:rPr>
          <w:lang w:bidi="fa-IR"/>
        </w:rPr>
        <w:t>rial’s</w:t>
      </w:r>
      <w:proofErr w:type="spellEnd"/>
      <w:r w:rsidR="00D53B95">
        <w:rPr>
          <w:lang w:bidi="fa-IR"/>
        </w:rPr>
        <w:t xml:space="preserve"> worth of exports embodies considerably more capital and somewhat less labor than would be required to replace from domestic production an equivalent amount of imports. Therefore, Iran’s participation in the international trade is based on its specialization on capital intensive</w:t>
      </w:r>
      <w:r w:rsidR="00177605">
        <w:rPr>
          <w:lang w:bidi="fa-IR"/>
        </w:rPr>
        <w:t>, which is not true. Iran’s economy is known by a relative surplus of labor especially educated labor and relative shortage of capital.</w:t>
      </w:r>
      <w:r w:rsidR="006B11A2">
        <w:rPr>
          <w:lang w:bidi="fa-IR"/>
        </w:rPr>
        <w:t xml:space="preserve"> The meaning of this result is that there exists a comparative surplus of capital and scarcity of labor in this country. As table-6 shows for 18 sectors out of 19 net </w:t>
      </w:r>
      <w:proofErr w:type="gramStart"/>
      <w:r w:rsidR="006B11A2">
        <w:rPr>
          <w:lang w:bidi="fa-IR"/>
        </w:rPr>
        <w:t>export</w:t>
      </w:r>
      <w:proofErr w:type="gramEnd"/>
      <w:r w:rsidR="006B11A2">
        <w:rPr>
          <w:lang w:bidi="fa-IR"/>
        </w:rPr>
        <w:t xml:space="preserve"> is negative and only one sector with positive and highly positive net export (oil sector). Oil sector is strongly capital intensive </w:t>
      </w:r>
      <w:proofErr w:type="gramStart"/>
      <w:r w:rsidR="006B11A2">
        <w:rPr>
          <w:lang w:bidi="fa-IR"/>
        </w:rPr>
        <w:t xml:space="preserve">sector, that could play significant role for the </w:t>
      </w:r>
      <m:oMath>
        <m:r>
          <w:rPr>
            <w:rFonts w:ascii="Cambria Math" w:hAnsi="Cambria Math"/>
            <w:lang w:bidi="fa-IR"/>
          </w:rPr>
          <m:t>α</m:t>
        </m:r>
      </m:oMath>
      <w:proofErr w:type="gramEnd"/>
      <w:r w:rsidR="00D53B95">
        <w:rPr>
          <w:lang w:bidi="fa-IR"/>
        </w:rPr>
        <w:t xml:space="preserve"> </w:t>
      </w:r>
      <w:r w:rsidR="006B11A2">
        <w:rPr>
          <w:lang w:bidi="fa-IR"/>
        </w:rPr>
        <w:t xml:space="preserve">measure in table 6 to be less than unit. </w:t>
      </w:r>
    </w:p>
    <w:tbl>
      <w:tblPr>
        <w:tblW w:w="8958" w:type="dxa"/>
        <w:jc w:val="center"/>
        <w:tblInd w:w="93" w:type="dxa"/>
        <w:tblLook w:val="0000"/>
      </w:tblPr>
      <w:tblGrid>
        <w:gridCol w:w="4081"/>
        <w:gridCol w:w="195"/>
        <w:gridCol w:w="2243"/>
        <w:gridCol w:w="2439"/>
      </w:tblGrid>
      <w:tr w:rsidR="00B67EE6" w:rsidRPr="007B0EF2" w:rsidTr="00F062CF">
        <w:trPr>
          <w:trHeight w:val="272"/>
          <w:jc w:val="center"/>
        </w:trPr>
        <w:tc>
          <w:tcPr>
            <w:tcW w:w="8958" w:type="dxa"/>
            <w:gridSpan w:val="4"/>
            <w:tcBorders>
              <w:top w:val="nil"/>
              <w:left w:val="nil"/>
              <w:bottom w:val="double" w:sz="6" w:space="0" w:color="auto"/>
              <w:right w:val="nil"/>
            </w:tcBorders>
            <w:shd w:val="clear" w:color="auto" w:fill="auto"/>
            <w:noWrap/>
            <w:vAlign w:val="bottom"/>
          </w:tcPr>
          <w:p w:rsidR="00B67EE6" w:rsidRPr="00B67EE6" w:rsidRDefault="00B67EE6" w:rsidP="00752A3B">
            <w:pPr>
              <w:jc w:val="center"/>
              <w:rPr>
                <w:b/>
                <w:bCs/>
              </w:rPr>
            </w:pPr>
            <w:r w:rsidRPr="006321C1">
              <w:rPr>
                <w:b/>
                <w:bCs/>
              </w:rPr>
              <w:t>Table</w:t>
            </w:r>
            <w:r>
              <w:rPr>
                <w:b/>
                <w:bCs/>
              </w:rPr>
              <w:t xml:space="preserve"> </w:t>
            </w:r>
            <w:r w:rsidR="004C1C3E">
              <w:rPr>
                <w:b/>
                <w:bCs/>
              </w:rPr>
              <w:t>6</w:t>
            </w:r>
            <w:r w:rsidRPr="00B67EE6">
              <w:rPr>
                <w:b/>
                <w:bCs/>
              </w:rPr>
              <w:t xml:space="preserve"> </w:t>
            </w:r>
            <w:r w:rsidR="00C80C9C">
              <w:rPr>
                <w:b/>
                <w:bCs/>
              </w:rPr>
              <w:t>–</w:t>
            </w:r>
            <w:r w:rsidRPr="00B67EE6">
              <w:rPr>
                <w:b/>
                <w:bCs/>
              </w:rPr>
              <w:t xml:space="preserve"> </w:t>
            </w:r>
            <w:r w:rsidR="00C80C9C" w:rsidRPr="00C80C9C">
              <w:t>Total</w:t>
            </w:r>
            <w:r w:rsidR="00C80C9C">
              <w:rPr>
                <w:b/>
                <w:bCs/>
              </w:rPr>
              <w:t xml:space="preserve"> </w:t>
            </w:r>
            <w:r w:rsidR="00E93BA6" w:rsidRPr="00E93BA6">
              <w:t>Factor</w:t>
            </w:r>
            <w:r w:rsidRPr="00E93BA6">
              <w:t xml:space="preserve"> </w:t>
            </w:r>
            <w:r w:rsidR="007F509F">
              <w:t>I</w:t>
            </w:r>
            <w:r w:rsidRPr="00B67EE6">
              <w:t xml:space="preserve">ntensity of </w:t>
            </w:r>
            <w:r w:rsidR="00752A3B">
              <w:t xml:space="preserve">2001 Iran’s </w:t>
            </w:r>
            <w:r w:rsidR="007F509F">
              <w:t>E</w:t>
            </w:r>
            <w:r w:rsidRPr="00B67EE6">
              <w:t xml:space="preserve">xports and </w:t>
            </w:r>
            <w:r w:rsidR="007F509F">
              <w:t>I</w:t>
            </w:r>
            <w:r w:rsidRPr="00B67EE6">
              <w:t>mports</w:t>
            </w:r>
            <w:r w:rsidR="00752A3B">
              <w:t xml:space="preserve"> </w:t>
            </w:r>
            <w:r w:rsidR="008B6428">
              <w:t xml:space="preserve"> </w:t>
            </w:r>
            <w:r w:rsidR="00190544">
              <w:t>(</w:t>
            </w:r>
            <w:proofErr w:type="spellStart"/>
            <w:r w:rsidR="00190544">
              <w:t>Lenotief</w:t>
            </w:r>
            <w:proofErr w:type="spellEnd"/>
            <w:r w:rsidR="00190544">
              <w:t xml:space="preserve"> index)</w:t>
            </w:r>
          </w:p>
        </w:tc>
      </w:tr>
      <w:tr w:rsidR="00B8607A" w:rsidRPr="007B0EF2" w:rsidTr="00F062CF">
        <w:trPr>
          <w:trHeight w:val="289"/>
          <w:jc w:val="center"/>
        </w:trPr>
        <w:tc>
          <w:tcPr>
            <w:tcW w:w="4081" w:type="dxa"/>
            <w:tcBorders>
              <w:top w:val="nil"/>
              <w:left w:val="nil"/>
              <w:bottom w:val="single" w:sz="8" w:space="0" w:color="auto"/>
              <w:right w:val="nil"/>
            </w:tcBorders>
            <w:shd w:val="clear" w:color="auto" w:fill="auto"/>
            <w:noWrap/>
            <w:vAlign w:val="bottom"/>
          </w:tcPr>
          <w:p w:rsidR="00B8607A" w:rsidRPr="007B0EF2" w:rsidRDefault="00B8607A" w:rsidP="00B66ADD">
            <w:r w:rsidRPr="007B0EF2">
              <w:t> </w:t>
            </w:r>
          </w:p>
        </w:tc>
        <w:tc>
          <w:tcPr>
            <w:tcW w:w="2438" w:type="dxa"/>
            <w:gridSpan w:val="2"/>
            <w:tcBorders>
              <w:top w:val="double" w:sz="6" w:space="0" w:color="auto"/>
              <w:left w:val="nil"/>
              <w:bottom w:val="single" w:sz="8" w:space="0" w:color="auto"/>
              <w:right w:val="nil"/>
            </w:tcBorders>
            <w:shd w:val="clear" w:color="auto" w:fill="auto"/>
            <w:noWrap/>
            <w:vAlign w:val="bottom"/>
          </w:tcPr>
          <w:p w:rsidR="00B8607A" w:rsidRPr="007B0EF2" w:rsidRDefault="008E3DE7" w:rsidP="00B66ADD">
            <w:r>
              <w:t xml:space="preserve">     </w:t>
            </w:r>
            <w:r w:rsidR="00B8607A">
              <w:t xml:space="preserve">Export </w:t>
            </w:r>
          </w:p>
        </w:tc>
        <w:tc>
          <w:tcPr>
            <w:tcW w:w="2438" w:type="dxa"/>
            <w:tcBorders>
              <w:top w:val="double" w:sz="6" w:space="0" w:color="auto"/>
              <w:left w:val="nil"/>
              <w:bottom w:val="single" w:sz="8" w:space="0" w:color="auto"/>
              <w:right w:val="nil"/>
            </w:tcBorders>
            <w:shd w:val="clear" w:color="auto" w:fill="auto"/>
            <w:noWrap/>
            <w:vAlign w:val="bottom"/>
          </w:tcPr>
          <w:p w:rsidR="00B8607A" w:rsidRPr="007B0EF2" w:rsidRDefault="00310536" w:rsidP="00B66ADD">
            <w:r>
              <w:t xml:space="preserve">  </w:t>
            </w:r>
            <w:r w:rsidR="00B8607A">
              <w:t xml:space="preserve">Import </w:t>
            </w:r>
          </w:p>
        </w:tc>
      </w:tr>
      <w:tr w:rsidR="00B8607A" w:rsidRPr="007B0EF2" w:rsidTr="00F062CF">
        <w:trPr>
          <w:trHeight w:val="256"/>
          <w:jc w:val="center"/>
        </w:trPr>
        <w:tc>
          <w:tcPr>
            <w:tcW w:w="4276" w:type="dxa"/>
            <w:gridSpan w:val="2"/>
            <w:tcBorders>
              <w:top w:val="nil"/>
              <w:left w:val="nil"/>
              <w:bottom w:val="nil"/>
              <w:right w:val="nil"/>
            </w:tcBorders>
            <w:shd w:val="clear" w:color="auto" w:fill="auto"/>
            <w:noWrap/>
            <w:vAlign w:val="bottom"/>
          </w:tcPr>
          <w:p w:rsidR="00B8607A" w:rsidRPr="007B0EF2" w:rsidRDefault="00B8607A" w:rsidP="00B66ADD">
            <w:r w:rsidRPr="007B0EF2">
              <w:t>Capital</w:t>
            </w:r>
            <w:r w:rsidR="00D83549">
              <w:t xml:space="preserve"> (million</w:t>
            </w:r>
            <w:r>
              <w:t xml:space="preserve"> </w:t>
            </w:r>
            <w:proofErr w:type="spellStart"/>
            <w:r>
              <w:t>Rials</w:t>
            </w:r>
            <w:proofErr w:type="spellEnd"/>
            <w:r w:rsidR="008E3DE7">
              <w:t xml:space="preserve"> in 2001 price</w:t>
            </w:r>
            <w:r>
              <w:t>)</w:t>
            </w:r>
          </w:p>
        </w:tc>
        <w:tc>
          <w:tcPr>
            <w:tcW w:w="2243" w:type="dxa"/>
            <w:tcBorders>
              <w:top w:val="single" w:sz="8" w:space="0" w:color="auto"/>
              <w:left w:val="nil"/>
              <w:bottom w:val="nil"/>
              <w:right w:val="nil"/>
            </w:tcBorders>
            <w:shd w:val="clear" w:color="auto" w:fill="auto"/>
            <w:noWrap/>
            <w:vAlign w:val="bottom"/>
          </w:tcPr>
          <w:p w:rsidR="00B8607A" w:rsidRPr="00542995" w:rsidRDefault="00D83549" w:rsidP="00B66ADD">
            <w:r>
              <w:t xml:space="preserve">  993603</w:t>
            </w:r>
            <w:r w:rsidR="008E3DE7">
              <w:t>3</w:t>
            </w:r>
          </w:p>
        </w:tc>
        <w:tc>
          <w:tcPr>
            <w:tcW w:w="2438" w:type="dxa"/>
            <w:tcBorders>
              <w:top w:val="single" w:sz="8" w:space="0" w:color="auto"/>
              <w:left w:val="nil"/>
              <w:bottom w:val="nil"/>
              <w:right w:val="nil"/>
            </w:tcBorders>
            <w:shd w:val="clear" w:color="auto" w:fill="auto"/>
            <w:noWrap/>
            <w:vAlign w:val="bottom"/>
          </w:tcPr>
          <w:p w:rsidR="00B8607A" w:rsidRPr="00542995" w:rsidRDefault="00B8607A" w:rsidP="00D83549">
            <w:r>
              <w:t>1</w:t>
            </w:r>
            <w:r w:rsidR="00D83549">
              <w:t>269623</w:t>
            </w:r>
            <w:r w:rsidR="008E3DE7">
              <w:t>1</w:t>
            </w:r>
          </w:p>
        </w:tc>
      </w:tr>
      <w:tr w:rsidR="00B8607A" w:rsidRPr="007B0EF2" w:rsidTr="00F062CF">
        <w:trPr>
          <w:trHeight w:val="256"/>
          <w:jc w:val="center"/>
        </w:trPr>
        <w:tc>
          <w:tcPr>
            <w:tcW w:w="4081" w:type="dxa"/>
            <w:tcBorders>
              <w:top w:val="nil"/>
              <w:left w:val="nil"/>
              <w:bottom w:val="single" w:sz="4" w:space="0" w:color="auto"/>
              <w:right w:val="nil"/>
            </w:tcBorders>
            <w:shd w:val="clear" w:color="auto" w:fill="auto"/>
            <w:noWrap/>
            <w:vAlign w:val="bottom"/>
          </w:tcPr>
          <w:p w:rsidR="00B8607A" w:rsidRPr="007B0EF2" w:rsidRDefault="00B8607A" w:rsidP="00B66ADD">
            <w:r w:rsidRPr="007B0EF2">
              <w:t>labor</w:t>
            </w:r>
            <w:r w:rsidRPr="00542995">
              <w:t xml:space="preserve"> </w:t>
            </w:r>
            <w:r>
              <w:t>(thousands</w:t>
            </w:r>
            <w:r w:rsidRPr="00542995">
              <w:t xml:space="preserve"> man-years</w:t>
            </w:r>
            <w:r>
              <w:t>)</w:t>
            </w:r>
          </w:p>
        </w:tc>
        <w:tc>
          <w:tcPr>
            <w:tcW w:w="2438" w:type="dxa"/>
            <w:gridSpan w:val="2"/>
            <w:tcBorders>
              <w:top w:val="nil"/>
              <w:left w:val="nil"/>
              <w:bottom w:val="single" w:sz="4" w:space="0" w:color="auto"/>
              <w:right w:val="nil"/>
            </w:tcBorders>
            <w:shd w:val="clear" w:color="auto" w:fill="auto"/>
            <w:noWrap/>
            <w:vAlign w:val="bottom"/>
          </w:tcPr>
          <w:p w:rsidR="00B8607A" w:rsidRPr="00542995" w:rsidRDefault="008E3DE7" w:rsidP="008E3DE7">
            <w:r>
              <w:t xml:space="preserve">     </w:t>
            </w:r>
            <w:r w:rsidR="00B8607A">
              <w:t>1</w:t>
            </w:r>
            <w:r w:rsidR="00D83549">
              <w:t>085531</w:t>
            </w:r>
          </w:p>
        </w:tc>
        <w:tc>
          <w:tcPr>
            <w:tcW w:w="2438" w:type="dxa"/>
            <w:tcBorders>
              <w:top w:val="nil"/>
              <w:left w:val="nil"/>
              <w:bottom w:val="single" w:sz="4" w:space="0" w:color="auto"/>
              <w:right w:val="nil"/>
            </w:tcBorders>
            <w:shd w:val="clear" w:color="auto" w:fill="auto"/>
            <w:noWrap/>
            <w:vAlign w:val="bottom"/>
          </w:tcPr>
          <w:p w:rsidR="00B8607A" w:rsidRPr="00542995" w:rsidRDefault="00D83549" w:rsidP="00D83549">
            <w:r>
              <w:t xml:space="preserve"> </w:t>
            </w:r>
            <w:r w:rsidR="00B8607A">
              <w:t>23</w:t>
            </w:r>
            <w:r>
              <w:t>62562</w:t>
            </w:r>
          </w:p>
        </w:tc>
      </w:tr>
      <w:tr w:rsidR="00B8607A" w:rsidRPr="007B0EF2" w:rsidTr="00F062CF">
        <w:trPr>
          <w:trHeight w:val="406"/>
          <w:jc w:val="center"/>
        </w:trPr>
        <w:tc>
          <w:tcPr>
            <w:tcW w:w="4081" w:type="dxa"/>
            <w:tcBorders>
              <w:top w:val="single" w:sz="4" w:space="0" w:color="auto"/>
              <w:left w:val="nil"/>
              <w:bottom w:val="single" w:sz="8" w:space="0" w:color="auto"/>
              <w:right w:val="nil"/>
            </w:tcBorders>
            <w:shd w:val="clear" w:color="auto" w:fill="auto"/>
            <w:noWrap/>
            <w:vAlign w:val="bottom"/>
          </w:tcPr>
          <w:p w:rsidR="00B8607A" w:rsidRPr="007B0EF2" w:rsidRDefault="00B8607A" w:rsidP="00B66ADD">
            <w:r w:rsidRPr="007B0EF2">
              <w:t>capital/labor</w:t>
            </w:r>
          </w:p>
        </w:tc>
        <w:tc>
          <w:tcPr>
            <w:tcW w:w="2438" w:type="dxa"/>
            <w:gridSpan w:val="2"/>
            <w:tcBorders>
              <w:top w:val="single" w:sz="4" w:space="0" w:color="auto"/>
              <w:left w:val="nil"/>
              <w:bottom w:val="single" w:sz="8" w:space="0" w:color="auto"/>
              <w:right w:val="nil"/>
            </w:tcBorders>
            <w:shd w:val="clear" w:color="auto" w:fill="auto"/>
            <w:vAlign w:val="bottom"/>
          </w:tcPr>
          <w:p w:rsidR="00B8607A" w:rsidRPr="00542995" w:rsidRDefault="00310536" w:rsidP="00310536">
            <w:r>
              <w:t xml:space="preserve">        9.153</w:t>
            </w:r>
          </w:p>
        </w:tc>
        <w:tc>
          <w:tcPr>
            <w:tcW w:w="2438" w:type="dxa"/>
            <w:tcBorders>
              <w:top w:val="single" w:sz="4" w:space="0" w:color="auto"/>
              <w:left w:val="nil"/>
              <w:bottom w:val="single" w:sz="8" w:space="0" w:color="auto"/>
              <w:right w:val="nil"/>
            </w:tcBorders>
            <w:shd w:val="clear" w:color="auto" w:fill="auto"/>
            <w:vAlign w:val="bottom"/>
          </w:tcPr>
          <w:p w:rsidR="00B8607A" w:rsidRPr="00542995" w:rsidRDefault="00310536" w:rsidP="00310536">
            <w:r>
              <w:t xml:space="preserve">   5.373</w:t>
            </w:r>
          </w:p>
        </w:tc>
      </w:tr>
    </w:tbl>
    <w:p w:rsidR="00F062CF" w:rsidRDefault="00F062CF" w:rsidP="00F062CF">
      <w:r>
        <w:t xml:space="preserve">According to the results on table 6- </w:t>
      </w:r>
      <w:r w:rsidR="00482ED2" w:rsidRPr="00DC7BDA">
        <w:rPr>
          <w:position w:val="-30"/>
        </w:rPr>
        <w:object w:dxaOrig="5040" w:dyaOrig="700">
          <v:shape id="_x0000_i1068" type="#_x0000_t75" style="width:252pt;height:35.25pt" o:ole="">
            <v:imagedata r:id="rId118" o:title=""/>
          </v:shape>
          <o:OLEObject Type="Embed" ProgID="Equation.3" ShapeID="_x0000_i1068" DrawAspect="Content" ObjectID="_1397122740" r:id="rId119"/>
        </w:object>
      </w:r>
      <w:r w:rsidR="00482ED2">
        <w:t>, s</w:t>
      </w:r>
      <w:r w:rsidR="00E4580D">
        <w:t>o the countr</w:t>
      </w:r>
      <w:r w:rsidR="00482ED2">
        <w:t xml:space="preserve">y is capital intensive according to the Leontief index of HO model. </w:t>
      </w:r>
    </w:p>
    <w:p w:rsidR="00482ED2" w:rsidRDefault="00482ED2" w:rsidP="00A668B8">
      <w:pPr>
        <w:ind w:firstLine="720"/>
      </w:pPr>
      <w:r>
        <w:t xml:space="preserve">In contrast with HO Leontief model, in which </w:t>
      </w:r>
      <w:r w:rsidR="00A668B8">
        <w:t>the comparison is between</w:t>
      </w:r>
      <w:r>
        <w:t xml:space="preserve"> the capital per man embodied in a million worth of exports with the capital per man embodied in a million dollars worth of imports, </w:t>
      </w:r>
      <w:proofErr w:type="spellStart"/>
      <w:r w:rsidR="007827B9">
        <w:t>leamer</w:t>
      </w:r>
      <w:proofErr w:type="spellEnd"/>
      <w:r w:rsidR="007827B9">
        <w:t xml:space="preserve"> 1980 showed this comparison does not reveal the relative abundance of capital and labor in multifactor world. His approach is discussed in detail in section three, and in this part we test it for Iranian economy in 2001.  </w:t>
      </w:r>
      <w:r w:rsidR="009C07C8">
        <w:t xml:space="preserve">The computations were made according to the equations (5) and their results are shown in Table 7. </w:t>
      </w:r>
    </w:p>
    <w:tbl>
      <w:tblPr>
        <w:tblW w:w="8925" w:type="dxa"/>
        <w:tblInd w:w="93" w:type="dxa"/>
        <w:tblLook w:val="0000"/>
      </w:tblPr>
      <w:tblGrid>
        <w:gridCol w:w="4335"/>
        <w:gridCol w:w="1350"/>
        <w:gridCol w:w="1547"/>
        <w:gridCol w:w="1693"/>
      </w:tblGrid>
      <w:tr w:rsidR="00463C85" w:rsidRPr="007B0EF2" w:rsidTr="00190544">
        <w:trPr>
          <w:trHeight w:val="260"/>
        </w:trPr>
        <w:tc>
          <w:tcPr>
            <w:tcW w:w="8925" w:type="dxa"/>
            <w:gridSpan w:val="4"/>
            <w:tcBorders>
              <w:top w:val="nil"/>
              <w:left w:val="nil"/>
              <w:bottom w:val="single" w:sz="8" w:space="0" w:color="auto"/>
              <w:right w:val="nil"/>
            </w:tcBorders>
            <w:shd w:val="clear" w:color="auto" w:fill="auto"/>
            <w:noWrap/>
            <w:vAlign w:val="bottom"/>
          </w:tcPr>
          <w:p w:rsidR="00463C85" w:rsidRPr="007B0EF2" w:rsidRDefault="00463C85" w:rsidP="009C07C8">
            <w:pPr>
              <w:jc w:val="center"/>
            </w:pPr>
            <w:r w:rsidRPr="006321C1">
              <w:rPr>
                <w:b/>
                <w:bCs/>
              </w:rPr>
              <w:t xml:space="preserve">Table </w:t>
            </w:r>
            <w:r w:rsidR="004C1C3E">
              <w:rPr>
                <w:b/>
                <w:bCs/>
              </w:rPr>
              <w:t>7</w:t>
            </w:r>
            <w:r>
              <w:t xml:space="preserve">- </w:t>
            </w:r>
            <w:r w:rsidR="007F509F">
              <w:t>C</w:t>
            </w:r>
            <w:r w:rsidRPr="007B0EF2">
              <w:t xml:space="preserve">apital </w:t>
            </w:r>
            <w:r w:rsidR="007F509F">
              <w:t>Intensity of C</w:t>
            </w:r>
            <w:r w:rsidRPr="007B0EF2">
              <w:t xml:space="preserve">onsumption, </w:t>
            </w:r>
            <w:r w:rsidR="007F509F">
              <w:t>P</w:t>
            </w:r>
            <w:r w:rsidRPr="007B0EF2">
              <w:t xml:space="preserve">roduction, and </w:t>
            </w:r>
            <w:r w:rsidR="007F509F">
              <w:t>T</w:t>
            </w:r>
            <w:r w:rsidRPr="007B0EF2">
              <w:t>rade</w:t>
            </w:r>
            <w:r w:rsidR="00E41F6A">
              <w:t xml:space="preserve"> Iranian case</w:t>
            </w:r>
            <w:r w:rsidR="009C07C8">
              <w:t xml:space="preserve">           (Test of HOV equations)</w:t>
            </w:r>
          </w:p>
        </w:tc>
      </w:tr>
      <w:tr w:rsidR="006321C1" w:rsidRPr="007B0EF2" w:rsidTr="00E03813">
        <w:trPr>
          <w:trHeight w:val="275"/>
        </w:trPr>
        <w:tc>
          <w:tcPr>
            <w:tcW w:w="4335" w:type="dxa"/>
            <w:tcBorders>
              <w:top w:val="single" w:sz="8" w:space="0" w:color="auto"/>
              <w:bottom w:val="single" w:sz="8" w:space="0" w:color="auto"/>
            </w:tcBorders>
            <w:shd w:val="clear" w:color="auto" w:fill="auto"/>
            <w:noWrap/>
            <w:vAlign w:val="bottom"/>
          </w:tcPr>
          <w:p w:rsidR="006321C1" w:rsidRPr="007B0EF2" w:rsidRDefault="006321C1" w:rsidP="00B66ADD">
            <w:r w:rsidRPr="007B0EF2">
              <w:t> </w:t>
            </w:r>
            <w:r w:rsidR="00190544">
              <w:t>Factor</w:t>
            </w:r>
          </w:p>
        </w:tc>
        <w:tc>
          <w:tcPr>
            <w:tcW w:w="1350" w:type="dxa"/>
            <w:tcBorders>
              <w:top w:val="single" w:sz="8" w:space="0" w:color="auto"/>
              <w:bottom w:val="single" w:sz="8" w:space="0" w:color="auto"/>
            </w:tcBorders>
            <w:shd w:val="clear" w:color="auto" w:fill="auto"/>
            <w:noWrap/>
            <w:vAlign w:val="bottom"/>
          </w:tcPr>
          <w:p w:rsidR="006321C1" w:rsidRPr="007B0EF2" w:rsidRDefault="006321C1" w:rsidP="00B66ADD">
            <w:r>
              <w:t>P</w:t>
            </w:r>
            <w:r w:rsidRPr="007B0EF2">
              <w:t>roduction</w:t>
            </w:r>
          </w:p>
        </w:tc>
        <w:tc>
          <w:tcPr>
            <w:tcW w:w="1547" w:type="dxa"/>
            <w:tcBorders>
              <w:top w:val="single" w:sz="8" w:space="0" w:color="auto"/>
              <w:bottom w:val="single" w:sz="8" w:space="0" w:color="auto"/>
            </w:tcBorders>
            <w:shd w:val="clear" w:color="auto" w:fill="auto"/>
            <w:noWrap/>
            <w:vAlign w:val="bottom"/>
          </w:tcPr>
          <w:p w:rsidR="006321C1" w:rsidRPr="007B0EF2" w:rsidRDefault="006321C1" w:rsidP="00B66ADD">
            <w:r>
              <w:t>N</w:t>
            </w:r>
            <w:r w:rsidRPr="007B0EF2">
              <w:t>et exports</w:t>
            </w:r>
          </w:p>
        </w:tc>
        <w:tc>
          <w:tcPr>
            <w:tcW w:w="1693" w:type="dxa"/>
            <w:tcBorders>
              <w:top w:val="single" w:sz="8" w:space="0" w:color="auto"/>
              <w:bottom w:val="single" w:sz="8" w:space="0" w:color="auto"/>
            </w:tcBorders>
            <w:shd w:val="clear" w:color="auto" w:fill="auto"/>
            <w:noWrap/>
            <w:vAlign w:val="bottom"/>
          </w:tcPr>
          <w:p w:rsidR="006321C1" w:rsidRPr="007B0EF2" w:rsidRDefault="006321C1" w:rsidP="00B66ADD">
            <w:r>
              <w:t>C</w:t>
            </w:r>
            <w:r w:rsidRPr="007B0EF2">
              <w:t>onsumption</w:t>
            </w:r>
          </w:p>
        </w:tc>
      </w:tr>
      <w:tr w:rsidR="006321C1" w:rsidRPr="007B0EF2" w:rsidTr="00E03813">
        <w:trPr>
          <w:trHeight w:val="245"/>
        </w:trPr>
        <w:tc>
          <w:tcPr>
            <w:tcW w:w="4335" w:type="dxa"/>
            <w:tcBorders>
              <w:top w:val="single" w:sz="8" w:space="0" w:color="auto"/>
            </w:tcBorders>
            <w:shd w:val="clear" w:color="auto" w:fill="auto"/>
            <w:noWrap/>
            <w:vAlign w:val="bottom"/>
          </w:tcPr>
          <w:p w:rsidR="006321C1" w:rsidRPr="007B0EF2" w:rsidRDefault="00B67EE6" w:rsidP="00B66ADD">
            <w:r w:rsidRPr="007B0EF2">
              <w:t>C</w:t>
            </w:r>
            <w:r w:rsidR="006321C1" w:rsidRPr="007B0EF2">
              <w:t>apital</w:t>
            </w:r>
            <w:r>
              <w:t xml:space="preserve"> (billion </w:t>
            </w:r>
            <w:proofErr w:type="spellStart"/>
            <w:r>
              <w:t>Rials</w:t>
            </w:r>
            <w:proofErr w:type="spellEnd"/>
            <w:r>
              <w:t>)</w:t>
            </w:r>
          </w:p>
        </w:tc>
        <w:tc>
          <w:tcPr>
            <w:tcW w:w="1350" w:type="dxa"/>
            <w:tcBorders>
              <w:top w:val="single" w:sz="8" w:space="0" w:color="auto"/>
            </w:tcBorders>
            <w:shd w:val="clear" w:color="auto" w:fill="auto"/>
            <w:noWrap/>
            <w:vAlign w:val="bottom"/>
          </w:tcPr>
          <w:p w:rsidR="006321C1" w:rsidRPr="00542995" w:rsidRDefault="00F26ACD" w:rsidP="00B66ADD">
            <w:r>
              <w:t xml:space="preserve">  </w:t>
            </w:r>
            <w:r w:rsidR="006321C1" w:rsidRPr="00542995">
              <w:t>81800</w:t>
            </w:r>
          </w:p>
        </w:tc>
        <w:tc>
          <w:tcPr>
            <w:tcW w:w="1547" w:type="dxa"/>
            <w:tcBorders>
              <w:top w:val="single" w:sz="8" w:space="0" w:color="auto"/>
            </w:tcBorders>
            <w:shd w:val="clear" w:color="auto" w:fill="auto"/>
            <w:noWrap/>
            <w:vAlign w:val="bottom"/>
          </w:tcPr>
          <w:p w:rsidR="006321C1" w:rsidRPr="00542995" w:rsidRDefault="009C07C8" w:rsidP="00B66ADD">
            <w:r>
              <w:t xml:space="preserve">  </w:t>
            </w:r>
            <w:r w:rsidR="006321C1" w:rsidRPr="00542995">
              <w:t>(-2760)</w:t>
            </w:r>
          </w:p>
        </w:tc>
        <w:tc>
          <w:tcPr>
            <w:tcW w:w="1693" w:type="dxa"/>
            <w:tcBorders>
              <w:top w:val="single" w:sz="8" w:space="0" w:color="auto"/>
            </w:tcBorders>
            <w:shd w:val="clear" w:color="auto" w:fill="auto"/>
            <w:noWrap/>
            <w:vAlign w:val="bottom"/>
          </w:tcPr>
          <w:p w:rsidR="006321C1" w:rsidRPr="00542995" w:rsidRDefault="009C07C8" w:rsidP="00B66ADD">
            <w:r>
              <w:t xml:space="preserve">    </w:t>
            </w:r>
            <w:r w:rsidR="00866E39">
              <w:t xml:space="preserve"> </w:t>
            </w:r>
            <w:r w:rsidR="006321C1" w:rsidRPr="00542995">
              <w:t>84560</w:t>
            </w:r>
          </w:p>
        </w:tc>
      </w:tr>
      <w:tr w:rsidR="006321C1" w:rsidRPr="007B0EF2" w:rsidTr="00E03813">
        <w:trPr>
          <w:trHeight w:val="245"/>
        </w:trPr>
        <w:tc>
          <w:tcPr>
            <w:tcW w:w="4335" w:type="dxa"/>
            <w:tcBorders>
              <w:bottom w:val="single" w:sz="8" w:space="0" w:color="auto"/>
            </w:tcBorders>
            <w:shd w:val="clear" w:color="auto" w:fill="auto"/>
            <w:noWrap/>
            <w:vAlign w:val="bottom"/>
          </w:tcPr>
          <w:p w:rsidR="006321C1" w:rsidRPr="007B0EF2" w:rsidRDefault="00190544" w:rsidP="00B66ADD">
            <w:r>
              <w:t>L</w:t>
            </w:r>
            <w:r w:rsidR="006321C1" w:rsidRPr="007B0EF2">
              <w:t>abor</w:t>
            </w:r>
            <w:r w:rsidR="00B67EE6" w:rsidRPr="00542995">
              <w:t xml:space="preserve"> </w:t>
            </w:r>
            <w:r w:rsidR="00B67EE6">
              <w:t>(thousands</w:t>
            </w:r>
            <w:r w:rsidR="00B67EE6" w:rsidRPr="00542995">
              <w:t xml:space="preserve"> man-years</w:t>
            </w:r>
            <w:r w:rsidR="00B67EE6">
              <w:t>)</w:t>
            </w:r>
          </w:p>
        </w:tc>
        <w:tc>
          <w:tcPr>
            <w:tcW w:w="1350" w:type="dxa"/>
            <w:tcBorders>
              <w:bottom w:val="single" w:sz="8" w:space="0" w:color="auto"/>
            </w:tcBorders>
            <w:shd w:val="clear" w:color="auto" w:fill="auto"/>
            <w:noWrap/>
            <w:vAlign w:val="bottom"/>
          </w:tcPr>
          <w:p w:rsidR="006321C1" w:rsidRPr="00542995" w:rsidRDefault="00F26ACD" w:rsidP="00B66ADD">
            <w:r>
              <w:t xml:space="preserve">  </w:t>
            </w:r>
            <w:r w:rsidR="006321C1" w:rsidRPr="00542995">
              <w:t>12368</w:t>
            </w:r>
          </w:p>
        </w:tc>
        <w:tc>
          <w:tcPr>
            <w:tcW w:w="1547" w:type="dxa"/>
            <w:tcBorders>
              <w:bottom w:val="single" w:sz="8" w:space="0" w:color="auto"/>
            </w:tcBorders>
            <w:shd w:val="clear" w:color="auto" w:fill="auto"/>
            <w:noWrap/>
            <w:vAlign w:val="bottom"/>
          </w:tcPr>
          <w:p w:rsidR="006321C1" w:rsidRPr="00542995" w:rsidRDefault="009C07C8" w:rsidP="00B66ADD">
            <w:r>
              <w:t xml:space="preserve">  </w:t>
            </w:r>
            <w:r w:rsidR="006321C1" w:rsidRPr="00542995">
              <w:t>(-1277)</w:t>
            </w:r>
          </w:p>
        </w:tc>
        <w:tc>
          <w:tcPr>
            <w:tcW w:w="1693" w:type="dxa"/>
            <w:tcBorders>
              <w:bottom w:val="single" w:sz="8" w:space="0" w:color="auto"/>
            </w:tcBorders>
            <w:shd w:val="clear" w:color="auto" w:fill="auto"/>
            <w:noWrap/>
            <w:vAlign w:val="bottom"/>
          </w:tcPr>
          <w:p w:rsidR="006321C1" w:rsidRPr="00542995" w:rsidRDefault="009C07C8" w:rsidP="00B66ADD">
            <w:r>
              <w:t xml:space="preserve">     </w:t>
            </w:r>
            <w:r w:rsidR="006321C1" w:rsidRPr="00542995">
              <w:t>13645</w:t>
            </w:r>
          </w:p>
        </w:tc>
      </w:tr>
      <w:tr w:rsidR="00463C85" w:rsidRPr="007B0EF2" w:rsidTr="00190544">
        <w:trPr>
          <w:trHeight w:val="387"/>
        </w:trPr>
        <w:tc>
          <w:tcPr>
            <w:tcW w:w="4335" w:type="dxa"/>
            <w:tcBorders>
              <w:top w:val="single" w:sz="8" w:space="0" w:color="auto"/>
              <w:bottom w:val="single" w:sz="8" w:space="0" w:color="auto"/>
            </w:tcBorders>
            <w:shd w:val="clear" w:color="auto" w:fill="auto"/>
            <w:noWrap/>
            <w:vAlign w:val="bottom"/>
          </w:tcPr>
          <w:p w:rsidR="00463C85" w:rsidRPr="007B0EF2" w:rsidRDefault="00190544" w:rsidP="00B66ADD">
            <w:r>
              <w:t xml:space="preserve">(Thousands) </w:t>
            </w:r>
            <w:proofErr w:type="spellStart"/>
            <w:r>
              <w:t>Rial</w:t>
            </w:r>
            <w:proofErr w:type="spellEnd"/>
            <w:r>
              <w:t xml:space="preserve"> </w:t>
            </w:r>
            <w:r w:rsidR="00463C85" w:rsidRPr="007B0EF2">
              <w:t>capital/labor</w:t>
            </w:r>
            <w:r>
              <w:t xml:space="preserve"> (man-year)</w:t>
            </w:r>
          </w:p>
        </w:tc>
        <w:tc>
          <w:tcPr>
            <w:tcW w:w="1350" w:type="dxa"/>
            <w:tcBorders>
              <w:top w:val="single" w:sz="8" w:space="0" w:color="auto"/>
              <w:bottom w:val="single" w:sz="8" w:space="0" w:color="auto"/>
            </w:tcBorders>
            <w:shd w:val="clear" w:color="auto" w:fill="auto"/>
            <w:vAlign w:val="bottom"/>
          </w:tcPr>
          <w:p w:rsidR="00463C85" w:rsidRPr="00542995" w:rsidRDefault="00F26ACD" w:rsidP="00B66ADD">
            <w:r>
              <w:t xml:space="preserve">   </w:t>
            </w:r>
            <w:r w:rsidR="00463C85" w:rsidRPr="00542995">
              <w:t>6614</w:t>
            </w:r>
          </w:p>
        </w:tc>
        <w:tc>
          <w:tcPr>
            <w:tcW w:w="1547" w:type="dxa"/>
            <w:tcBorders>
              <w:top w:val="single" w:sz="8" w:space="0" w:color="auto"/>
              <w:bottom w:val="single" w:sz="8" w:space="0" w:color="auto"/>
            </w:tcBorders>
            <w:shd w:val="clear" w:color="auto" w:fill="auto"/>
            <w:vAlign w:val="bottom"/>
          </w:tcPr>
          <w:p w:rsidR="00463C85" w:rsidRPr="00542995" w:rsidRDefault="009C07C8" w:rsidP="00B66ADD">
            <w:r>
              <w:t xml:space="preserve">    </w:t>
            </w:r>
            <w:r w:rsidR="00463C85" w:rsidRPr="00542995">
              <w:t>2161</w:t>
            </w:r>
          </w:p>
        </w:tc>
        <w:tc>
          <w:tcPr>
            <w:tcW w:w="1693" w:type="dxa"/>
            <w:tcBorders>
              <w:top w:val="single" w:sz="8" w:space="0" w:color="auto"/>
              <w:bottom w:val="single" w:sz="8" w:space="0" w:color="auto"/>
            </w:tcBorders>
            <w:shd w:val="clear" w:color="auto" w:fill="auto"/>
            <w:vAlign w:val="bottom"/>
          </w:tcPr>
          <w:p w:rsidR="00463C85" w:rsidRPr="00542995" w:rsidRDefault="009C07C8" w:rsidP="00B66ADD">
            <w:r>
              <w:t xml:space="preserve">      </w:t>
            </w:r>
            <w:r w:rsidR="00463C85" w:rsidRPr="00542995">
              <w:t>6197</w:t>
            </w:r>
          </w:p>
        </w:tc>
      </w:tr>
    </w:tbl>
    <w:p w:rsidR="00866E39" w:rsidRDefault="009C07C8" w:rsidP="00A668B8">
      <w:pPr>
        <w:ind w:firstLine="720"/>
      </w:pPr>
      <w:r>
        <w:lastRenderedPageBreak/>
        <w:t xml:space="preserve">Table 7- reports the </w:t>
      </w:r>
      <w:r w:rsidR="00F26ACD">
        <w:t xml:space="preserve">information on the </w:t>
      </w:r>
      <w:r>
        <w:t xml:space="preserve">performance of </w:t>
      </w:r>
      <w:r w:rsidR="00F26ACD">
        <w:t xml:space="preserve">HOV models and indicates that Iran in 2001 was a net importer of both capital services and labor services, and </w:t>
      </w:r>
      <w:r w:rsidR="00866E39">
        <w:t>since net exports are more</w:t>
      </w:r>
      <w:r w:rsidR="00F26ACD">
        <w:t xml:space="preserve"> labor </w:t>
      </w:r>
      <w:r w:rsidR="00866E39">
        <w:t xml:space="preserve">intensive than consumption, so Iran is revealed by its trade to be relatively well endowed in </w:t>
      </w:r>
      <w:r w:rsidR="00A668B8">
        <w:t>capital</w:t>
      </w:r>
      <w:r w:rsidR="00866E39">
        <w:t xml:space="preserve"> compared with </w:t>
      </w:r>
      <w:r w:rsidR="00A668B8">
        <w:t>labor</w:t>
      </w:r>
      <w:r w:rsidR="00866E39">
        <w:t xml:space="preserve">. </w:t>
      </w:r>
    </w:p>
    <w:p w:rsidR="00065846" w:rsidRPr="00752A3B" w:rsidRDefault="00065846" w:rsidP="00752A3B">
      <w:pPr>
        <w:pStyle w:val="ListParagraph"/>
        <w:numPr>
          <w:ilvl w:val="0"/>
          <w:numId w:val="10"/>
        </w:numPr>
        <w:rPr>
          <w:b/>
          <w:bCs/>
        </w:rPr>
      </w:pPr>
      <w:r w:rsidRPr="00752A3B">
        <w:rPr>
          <w:b/>
          <w:bCs/>
        </w:rPr>
        <w:t>Conclusions</w:t>
      </w:r>
    </w:p>
    <w:p w:rsidR="00351C72" w:rsidRDefault="006C7436" w:rsidP="00351C72">
      <w:r>
        <w:t xml:space="preserve">In this paper we </w:t>
      </w:r>
      <w:r w:rsidR="00351C72">
        <w:t xml:space="preserve">investigated the Leontief paradox for Iranian economy. </w:t>
      </w:r>
      <w:r w:rsidR="00351C72" w:rsidRPr="004D70C9">
        <w:t xml:space="preserve">Since Iran is known to have a far higher labor/capital ratio than its trading partners. </w:t>
      </w:r>
      <w:r w:rsidR="00351C72">
        <w:t>In this direction attempt has been made to answer to t</w:t>
      </w:r>
      <w:r w:rsidR="00351C72" w:rsidRPr="004D70C9">
        <w:t>h</w:t>
      </w:r>
      <w:r w:rsidR="00351C72">
        <w:t>is</w:t>
      </w:r>
      <w:r w:rsidR="00351C72" w:rsidRPr="004D70C9">
        <w:t xml:space="preserve"> question</w:t>
      </w:r>
      <w:r w:rsidR="00351C72">
        <w:t>:</w:t>
      </w:r>
      <w:r w:rsidR="00351C72" w:rsidRPr="004D70C9">
        <w:t xml:space="preserve"> whether or not the Leontief Paradox is satisfied in foreign trade in Iran? </w:t>
      </w:r>
      <w:r w:rsidR="00351C72">
        <w:t xml:space="preserve">Answer is YES. Testing HO </w:t>
      </w:r>
      <w:proofErr w:type="spellStart"/>
      <w:r w:rsidR="00351C72">
        <w:t>Lenotief</w:t>
      </w:r>
      <w:proofErr w:type="spellEnd"/>
      <w:r w:rsidR="00351C72">
        <w:t xml:space="preserve"> index and HOV model for the 2001 in the 19-sector input-output table, for both the Leontief paradox was satisfied and Iran export is capital intensive. </w:t>
      </w:r>
    </w:p>
    <w:p w:rsidR="009C07C8" w:rsidRDefault="00F26ACD" w:rsidP="00866E39">
      <w:r>
        <w:t xml:space="preserve"> </w:t>
      </w:r>
    </w:p>
    <w:p w:rsidR="009C07C8" w:rsidRDefault="009C07C8">
      <w:pPr>
        <w:spacing w:before="0" w:beforeAutospacing="0" w:after="0" w:afterAutospacing="0"/>
        <w:jc w:val="left"/>
      </w:pPr>
      <w:r>
        <w:br w:type="page"/>
      </w:r>
    </w:p>
    <w:p w:rsidR="00C47E9D" w:rsidRDefault="00C47E9D" w:rsidP="009C07C8">
      <w:r>
        <w:lastRenderedPageBreak/>
        <w:t xml:space="preserve">Bowen H. P., </w:t>
      </w:r>
      <w:proofErr w:type="spellStart"/>
      <w:r>
        <w:t>Leamer</w:t>
      </w:r>
      <w:proofErr w:type="spellEnd"/>
      <w:r>
        <w:t xml:space="preserve"> E.E, and </w:t>
      </w:r>
      <w:proofErr w:type="spellStart"/>
      <w:r>
        <w:t>Sveikauskas</w:t>
      </w:r>
      <w:proofErr w:type="spellEnd"/>
      <w:r>
        <w:t xml:space="preserve"> 1987, </w:t>
      </w:r>
      <w:proofErr w:type="spellStart"/>
      <w:r>
        <w:t>Multicountry</w:t>
      </w:r>
      <w:proofErr w:type="spellEnd"/>
      <w:r>
        <w:t xml:space="preserve">, Multifactor Tests of the Factor Abundance Theory, </w:t>
      </w:r>
      <w:r w:rsidRPr="00C47E9D">
        <w:rPr>
          <w:i/>
          <w:iCs/>
        </w:rPr>
        <w:t>American Economic Review</w:t>
      </w:r>
      <w:r>
        <w:t xml:space="preserve">, 77, 791-809. </w:t>
      </w:r>
    </w:p>
    <w:p w:rsidR="00B613C9" w:rsidRDefault="00B613C9" w:rsidP="00B613C9">
      <w:proofErr w:type="spellStart"/>
      <w:r>
        <w:t>Brecher</w:t>
      </w:r>
      <w:proofErr w:type="spellEnd"/>
      <w:r>
        <w:t xml:space="preserve"> and </w:t>
      </w:r>
      <w:proofErr w:type="spellStart"/>
      <w:r>
        <w:t>Choudhri</w:t>
      </w:r>
      <w:proofErr w:type="spellEnd"/>
      <w:r>
        <w:t xml:space="preserve"> 1988, </w:t>
      </w:r>
    </w:p>
    <w:p w:rsidR="009B468E" w:rsidRDefault="007B6E09" w:rsidP="00B66ADD">
      <w:proofErr w:type="spellStart"/>
      <w:r>
        <w:t>Harkenss</w:t>
      </w:r>
      <w:proofErr w:type="spellEnd"/>
      <w:r>
        <w:t xml:space="preserve"> J. &amp; Kyle J. F. 1974, Factors Influencing United States Comparative Advantage, Journal of International Economics, No. 5, </w:t>
      </w:r>
      <w:proofErr w:type="gramStart"/>
      <w:r>
        <w:t>pp</w:t>
      </w:r>
      <w:proofErr w:type="gramEnd"/>
      <w:r>
        <w:t xml:space="preserve">. 153-165 </w:t>
      </w:r>
    </w:p>
    <w:p w:rsidR="00D12AF7" w:rsidRDefault="00D12AF7" w:rsidP="00B66ADD">
      <w:proofErr w:type="spellStart"/>
      <w:r>
        <w:t>Kreinin</w:t>
      </w:r>
      <w:proofErr w:type="spellEnd"/>
      <w:r>
        <w:t xml:space="preserve"> M. 1965, Comparative Labor Effectiveness and </w:t>
      </w:r>
      <w:proofErr w:type="gramStart"/>
      <w:r>
        <w:t>The</w:t>
      </w:r>
      <w:proofErr w:type="gramEnd"/>
      <w:r>
        <w:t xml:space="preserve"> Leontief Scare-Factor Paradox, The American Economic Review, Vol. 55, No.1/2 (Mar. 1), pp. 131-140</w:t>
      </w:r>
    </w:p>
    <w:p w:rsidR="00B613C9" w:rsidRDefault="00B613C9" w:rsidP="00B66ADD">
      <w:bookmarkStart w:id="0" w:name="OLE_LINK1"/>
      <w:bookmarkStart w:id="1" w:name="OLE_LINK2"/>
      <w:r>
        <w:t>Kohler 1991</w:t>
      </w:r>
    </w:p>
    <w:p w:rsidR="00D56B7C" w:rsidRDefault="00D56B7C" w:rsidP="00B66ADD">
      <w:proofErr w:type="spellStart"/>
      <w:r>
        <w:t>Leamer</w:t>
      </w:r>
      <w:proofErr w:type="spellEnd"/>
      <w:r>
        <w:t xml:space="preserve"> E. E. </w:t>
      </w:r>
      <w:bookmarkEnd w:id="0"/>
      <w:bookmarkEnd w:id="1"/>
      <w:r>
        <w:t xml:space="preserve">1980, </w:t>
      </w:r>
      <w:proofErr w:type="gramStart"/>
      <w:r>
        <w:t>The</w:t>
      </w:r>
      <w:proofErr w:type="gramEnd"/>
      <w:r>
        <w:t xml:space="preserve"> Leontief Paradox, Reconsidered, </w:t>
      </w:r>
      <w:r w:rsidRPr="00D56B7C">
        <w:rPr>
          <w:i/>
          <w:iCs/>
        </w:rPr>
        <w:t>Journal of Political Economy</w:t>
      </w:r>
      <w:r>
        <w:t>, Vol. 88, No. 3, pp. 495-503</w:t>
      </w:r>
    </w:p>
    <w:p w:rsidR="00C47E9D" w:rsidRDefault="00C47E9D" w:rsidP="00B66ADD">
      <w:proofErr w:type="spellStart"/>
      <w:r>
        <w:t>Leamer</w:t>
      </w:r>
      <w:proofErr w:type="spellEnd"/>
      <w:r>
        <w:t xml:space="preserve"> E. E. (1984), </w:t>
      </w:r>
      <w:r w:rsidRPr="00C47E9D">
        <w:rPr>
          <w:i/>
          <w:iCs/>
        </w:rPr>
        <w:t>Sources of International Comparative Advantage</w:t>
      </w:r>
      <w:r>
        <w:t xml:space="preserve"> (Cambridge, MA. </w:t>
      </w:r>
      <w:proofErr w:type="gramStart"/>
      <w:r>
        <w:t>MIT Press).</w:t>
      </w:r>
      <w:proofErr w:type="gramEnd"/>
      <w:r>
        <w:t xml:space="preserve"> </w:t>
      </w:r>
    </w:p>
    <w:p w:rsidR="000650F0" w:rsidRDefault="000650F0" w:rsidP="00B66ADD">
      <w:r>
        <w:t xml:space="preserve">Leontief W. 1953, Domestic Production and Foreign Trade; </w:t>
      </w:r>
      <w:proofErr w:type="gramStart"/>
      <w:r>
        <w:t>The</w:t>
      </w:r>
      <w:proofErr w:type="gramEnd"/>
      <w:r>
        <w:t xml:space="preserve"> American Capital Position Re-Examined, </w:t>
      </w:r>
      <w:r w:rsidRPr="000650F0">
        <w:rPr>
          <w:i/>
          <w:iCs/>
        </w:rPr>
        <w:t>Proceeding of the American Philosophical Society</w:t>
      </w:r>
      <w:r>
        <w:t>, Vol. 97, No. 4. (Sep. 28), pp. 332-349</w:t>
      </w:r>
    </w:p>
    <w:p w:rsidR="009B468E" w:rsidRDefault="009B468E" w:rsidP="00B66ADD">
      <w:r>
        <w:t xml:space="preserve">Leontief W. 1956, Factor Productions and the Structure of American Trade: Further Theoretical and Empirical Analysis, </w:t>
      </w:r>
      <w:r w:rsidR="000650F0" w:rsidRPr="000650F0">
        <w:rPr>
          <w:i/>
          <w:iCs/>
        </w:rPr>
        <w:t xml:space="preserve">The </w:t>
      </w:r>
      <w:r w:rsidRPr="009B468E">
        <w:rPr>
          <w:i/>
          <w:iCs/>
        </w:rPr>
        <w:t>Review of Economics and Statistics</w:t>
      </w:r>
      <w:r>
        <w:t xml:space="preserve"> XXXVIII, Nov.</w:t>
      </w:r>
      <w:r w:rsidR="000650F0">
        <w:t xml:space="preserve"> Vol. 38, No. 4, pp. 386-407</w:t>
      </w:r>
    </w:p>
    <w:p w:rsidR="00B613C9" w:rsidRDefault="00B613C9" w:rsidP="007827B9">
      <w:proofErr w:type="spellStart"/>
      <w:r>
        <w:t>Maskus</w:t>
      </w:r>
      <w:proofErr w:type="spellEnd"/>
      <w:r>
        <w:t xml:space="preserve"> </w:t>
      </w:r>
      <w:r w:rsidR="007827B9">
        <w:t>K.V.</w:t>
      </w:r>
      <w:r>
        <w:t>1985,</w:t>
      </w:r>
      <w:r w:rsidR="007827B9">
        <w:t xml:space="preserve"> A test of the </w:t>
      </w:r>
      <w:proofErr w:type="spellStart"/>
      <w:r w:rsidR="007827B9">
        <w:t>Heckscher</w:t>
      </w:r>
      <w:proofErr w:type="spellEnd"/>
      <w:r w:rsidR="007827B9">
        <w:t>-Ohlin-</w:t>
      </w:r>
      <w:proofErr w:type="spellStart"/>
      <w:r w:rsidR="007827B9">
        <w:t>Vanek</w:t>
      </w:r>
      <w:proofErr w:type="spellEnd"/>
      <w:r w:rsidR="007827B9">
        <w:t xml:space="preserve"> Theorem: The Leontief Commonplace, Journal of International Economics, November, No. 9. 201-212</w:t>
      </w:r>
      <w:r>
        <w:t xml:space="preserve"> </w:t>
      </w:r>
      <w:r w:rsidR="00996713">
        <w:t xml:space="preserve"> </w:t>
      </w:r>
    </w:p>
    <w:p w:rsidR="00996713" w:rsidRPr="00996713" w:rsidRDefault="00996713" w:rsidP="00996713">
      <w:pPr>
        <w:autoSpaceDE w:val="0"/>
        <w:autoSpaceDN w:val="0"/>
        <w:adjustRightInd w:val="0"/>
        <w:spacing w:before="0" w:beforeAutospacing="0" w:after="0" w:afterAutospacing="0"/>
        <w:rPr>
          <w:rFonts w:asciiTheme="majorBidi" w:hAnsiTheme="majorBidi" w:cstheme="majorBidi"/>
          <w:color w:val="auto"/>
        </w:rPr>
      </w:pPr>
      <w:proofErr w:type="spellStart"/>
      <w:r w:rsidRPr="00996713">
        <w:rPr>
          <w:rFonts w:asciiTheme="majorBidi" w:hAnsiTheme="majorBidi" w:cstheme="majorBidi"/>
          <w:color w:val="auto"/>
        </w:rPr>
        <w:t>Maskus</w:t>
      </w:r>
      <w:proofErr w:type="spellEnd"/>
      <w:r w:rsidRPr="00996713">
        <w:rPr>
          <w:rFonts w:asciiTheme="majorBidi" w:hAnsiTheme="majorBidi" w:cstheme="majorBidi"/>
          <w:color w:val="auto"/>
        </w:rPr>
        <w:t>, K</w:t>
      </w:r>
      <w:r>
        <w:rPr>
          <w:rFonts w:asciiTheme="majorBidi" w:hAnsiTheme="majorBidi" w:cstheme="majorBidi"/>
          <w:color w:val="auto"/>
        </w:rPr>
        <w:t>. E</w:t>
      </w:r>
      <w:proofErr w:type="gramStart"/>
      <w:r>
        <w:rPr>
          <w:rFonts w:asciiTheme="majorBidi" w:hAnsiTheme="majorBidi" w:cstheme="majorBidi"/>
          <w:color w:val="auto"/>
        </w:rPr>
        <w:t>.&amp;</w:t>
      </w:r>
      <w:proofErr w:type="gramEnd"/>
      <w:r w:rsidRPr="00996713">
        <w:rPr>
          <w:rFonts w:asciiTheme="majorBidi" w:hAnsiTheme="majorBidi" w:cstheme="majorBidi"/>
          <w:color w:val="auto"/>
        </w:rPr>
        <w:t xml:space="preserve"> </w:t>
      </w:r>
      <w:proofErr w:type="spellStart"/>
      <w:r>
        <w:rPr>
          <w:rFonts w:asciiTheme="majorBidi" w:hAnsiTheme="majorBidi" w:cstheme="majorBidi"/>
          <w:color w:val="auto"/>
        </w:rPr>
        <w:t>Shuichiro</w:t>
      </w:r>
      <w:proofErr w:type="spellEnd"/>
      <w:r>
        <w:rPr>
          <w:rFonts w:asciiTheme="majorBidi" w:hAnsiTheme="majorBidi" w:cstheme="majorBidi"/>
          <w:color w:val="auto"/>
        </w:rPr>
        <w:t xml:space="preserve"> N. </w:t>
      </w:r>
      <w:r w:rsidRPr="00996713">
        <w:rPr>
          <w:rFonts w:asciiTheme="majorBidi" w:hAnsiTheme="majorBidi" w:cstheme="majorBidi"/>
          <w:color w:val="auto"/>
        </w:rPr>
        <w:t xml:space="preserve"> 2009</w:t>
      </w:r>
      <w:r>
        <w:rPr>
          <w:rFonts w:asciiTheme="majorBidi" w:hAnsiTheme="majorBidi" w:cstheme="majorBidi"/>
          <w:color w:val="auto"/>
        </w:rPr>
        <w:t>,</w:t>
      </w:r>
      <w:r w:rsidRPr="00996713">
        <w:rPr>
          <w:rFonts w:asciiTheme="majorBidi" w:hAnsiTheme="majorBidi" w:cstheme="majorBidi"/>
          <w:color w:val="auto"/>
        </w:rPr>
        <w:t xml:space="preserve"> </w:t>
      </w:r>
      <w:r w:rsidRPr="00996713">
        <w:rPr>
          <w:rFonts w:asciiTheme="majorBidi" w:hAnsiTheme="majorBidi" w:cstheme="majorBidi"/>
          <w:i/>
          <w:iCs/>
          <w:color w:val="auto"/>
        </w:rPr>
        <w:t>Development-Related Biases in Factor Productivities and the HOV Model of Trade</w:t>
      </w:r>
      <w:r>
        <w:rPr>
          <w:rFonts w:asciiTheme="majorBidi" w:hAnsiTheme="majorBidi" w:cstheme="majorBidi"/>
          <w:i/>
          <w:iCs/>
          <w:color w:val="auto"/>
        </w:rPr>
        <w:t>,</w:t>
      </w:r>
      <w:r w:rsidRPr="00996713">
        <w:rPr>
          <w:rFonts w:asciiTheme="majorBidi" w:hAnsiTheme="majorBidi" w:cstheme="majorBidi"/>
          <w:color w:val="auto"/>
        </w:rPr>
        <w:t xml:space="preserve"> Canadian Journal of Economics 42 (2),</w:t>
      </w:r>
      <w:r>
        <w:rPr>
          <w:rFonts w:asciiTheme="majorBidi" w:hAnsiTheme="majorBidi" w:cstheme="majorBidi"/>
          <w:color w:val="auto"/>
        </w:rPr>
        <w:t xml:space="preserve"> </w:t>
      </w:r>
      <w:r w:rsidRPr="00996713">
        <w:rPr>
          <w:rFonts w:asciiTheme="majorBidi" w:hAnsiTheme="majorBidi" w:cstheme="majorBidi"/>
          <w:color w:val="auto"/>
        </w:rPr>
        <w:t>519–553 May.</w:t>
      </w:r>
    </w:p>
    <w:p w:rsidR="00A07649" w:rsidRDefault="00A07649" w:rsidP="00996713">
      <w:r>
        <w:t xml:space="preserve">Statistical Centre of Iran 2007, </w:t>
      </w:r>
      <w:r w:rsidRPr="00A07649">
        <w:rPr>
          <w:i/>
          <w:iCs/>
        </w:rPr>
        <w:t>Input-Output Table for Iran in 2001.</w:t>
      </w:r>
      <w:r>
        <w:t xml:space="preserve">  </w:t>
      </w:r>
    </w:p>
    <w:p w:rsidR="00B613C9" w:rsidRPr="00996713" w:rsidRDefault="00B613C9" w:rsidP="00E47A19">
      <w:pPr>
        <w:rPr>
          <w:rFonts w:asciiTheme="majorBidi" w:hAnsiTheme="majorBidi" w:cstheme="majorBidi"/>
        </w:rPr>
      </w:pPr>
      <w:proofErr w:type="spellStart"/>
      <w:r>
        <w:t>Trefler</w:t>
      </w:r>
      <w:proofErr w:type="spellEnd"/>
      <w:r>
        <w:t xml:space="preserve"> </w:t>
      </w:r>
      <w:r w:rsidR="00996713">
        <w:t xml:space="preserve">D. </w:t>
      </w:r>
      <w:r w:rsidR="00E47A19">
        <w:t xml:space="preserve">&amp; </w:t>
      </w:r>
      <w:r w:rsidR="00996713" w:rsidRPr="00996713">
        <w:rPr>
          <w:rFonts w:asciiTheme="majorBidi" w:hAnsiTheme="majorBidi" w:cstheme="majorBidi"/>
          <w:color w:val="auto"/>
        </w:rPr>
        <w:t>Z. S.</w:t>
      </w:r>
      <w:r w:rsidR="00996713">
        <w:rPr>
          <w:rFonts w:asciiTheme="majorBidi" w:hAnsiTheme="majorBidi" w:cstheme="majorBidi"/>
          <w:color w:val="auto"/>
        </w:rPr>
        <w:t xml:space="preserve"> Chun </w:t>
      </w:r>
      <w:r>
        <w:t xml:space="preserve">2010, </w:t>
      </w:r>
      <w:proofErr w:type="gramStart"/>
      <w:r w:rsidR="00E47A19">
        <w:t>T</w:t>
      </w:r>
      <w:r w:rsidR="00996713">
        <w:t>he</w:t>
      </w:r>
      <w:proofErr w:type="gramEnd"/>
      <w:r w:rsidR="00996713">
        <w:t xml:space="preserve"> Structure of Factor Content Predictions, </w:t>
      </w:r>
      <w:r w:rsidR="00996713" w:rsidRPr="00996713">
        <w:rPr>
          <w:i/>
          <w:iCs/>
        </w:rPr>
        <w:t xml:space="preserve">Journal of International </w:t>
      </w:r>
      <w:r w:rsidR="00996713">
        <w:rPr>
          <w:i/>
          <w:iCs/>
        </w:rPr>
        <w:t>E</w:t>
      </w:r>
      <w:r w:rsidR="00996713" w:rsidRPr="00996713">
        <w:rPr>
          <w:i/>
          <w:iCs/>
        </w:rPr>
        <w:t>conomics</w:t>
      </w:r>
      <w:r w:rsidR="00996713">
        <w:t xml:space="preserve">, </w:t>
      </w:r>
      <w:r w:rsidR="00E47A19">
        <w:t xml:space="preserve">Vol. </w:t>
      </w:r>
      <w:r w:rsidR="00E47A19">
        <w:rPr>
          <w:rFonts w:asciiTheme="majorBidi" w:hAnsiTheme="majorBidi" w:cstheme="majorBidi"/>
        </w:rPr>
        <w:t xml:space="preserve">82, </w:t>
      </w:r>
      <w:r w:rsidR="00996713" w:rsidRPr="00996713">
        <w:rPr>
          <w:rFonts w:asciiTheme="majorBidi" w:hAnsiTheme="majorBidi" w:cstheme="majorBidi"/>
        </w:rPr>
        <w:t>195–207</w:t>
      </w:r>
    </w:p>
    <w:p w:rsidR="00B613C9" w:rsidRPr="00996713" w:rsidRDefault="00996713" w:rsidP="00E47A19">
      <w:pPr>
        <w:autoSpaceDE w:val="0"/>
        <w:autoSpaceDN w:val="0"/>
        <w:adjustRightInd w:val="0"/>
        <w:spacing w:before="0" w:beforeAutospacing="0" w:after="0" w:afterAutospacing="0"/>
        <w:jc w:val="left"/>
        <w:rPr>
          <w:rFonts w:asciiTheme="majorBidi" w:hAnsiTheme="majorBidi" w:cstheme="majorBidi"/>
        </w:rPr>
      </w:pPr>
      <w:proofErr w:type="spellStart"/>
      <w:proofErr w:type="gramStart"/>
      <w:r w:rsidRPr="00996713">
        <w:rPr>
          <w:rFonts w:asciiTheme="majorBidi" w:hAnsiTheme="majorBidi" w:cstheme="majorBidi"/>
          <w:color w:val="auto"/>
        </w:rPr>
        <w:t>Tre</w:t>
      </w:r>
      <w:r>
        <w:rPr>
          <w:rFonts w:asciiTheme="majorBidi" w:hAnsiTheme="majorBidi" w:cstheme="majorBidi"/>
          <w:color w:val="auto"/>
        </w:rPr>
        <w:t>ft</w:t>
      </w:r>
      <w:r w:rsidRPr="00996713">
        <w:rPr>
          <w:rFonts w:asciiTheme="majorBidi" w:hAnsiTheme="majorBidi" w:cstheme="majorBidi"/>
          <w:color w:val="auto"/>
        </w:rPr>
        <w:t>er</w:t>
      </w:r>
      <w:proofErr w:type="spellEnd"/>
      <w:r w:rsidRPr="00996713">
        <w:rPr>
          <w:rFonts w:asciiTheme="majorBidi" w:hAnsiTheme="majorBidi" w:cstheme="majorBidi"/>
          <w:color w:val="auto"/>
        </w:rPr>
        <w:t>, D.</w:t>
      </w:r>
      <w:proofErr w:type="gramEnd"/>
      <w:r w:rsidRPr="00996713">
        <w:rPr>
          <w:rFonts w:asciiTheme="majorBidi" w:hAnsiTheme="majorBidi" w:cstheme="majorBidi"/>
          <w:color w:val="auto"/>
        </w:rPr>
        <w:t xml:space="preserve">  Z. S.</w:t>
      </w:r>
      <w:r>
        <w:rPr>
          <w:rFonts w:asciiTheme="majorBidi" w:hAnsiTheme="majorBidi" w:cstheme="majorBidi"/>
          <w:color w:val="auto"/>
        </w:rPr>
        <w:t xml:space="preserve"> Chun 2005, </w:t>
      </w:r>
      <w:proofErr w:type="gramStart"/>
      <w:r w:rsidRPr="00996713">
        <w:rPr>
          <w:rFonts w:asciiTheme="majorBidi" w:hAnsiTheme="majorBidi" w:cstheme="majorBidi"/>
          <w:i/>
          <w:iCs/>
          <w:color w:val="auto"/>
        </w:rPr>
        <w:t>The</w:t>
      </w:r>
      <w:proofErr w:type="gramEnd"/>
      <w:r w:rsidRPr="00996713">
        <w:rPr>
          <w:rFonts w:asciiTheme="majorBidi" w:hAnsiTheme="majorBidi" w:cstheme="majorBidi"/>
          <w:i/>
          <w:iCs/>
          <w:color w:val="auto"/>
        </w:rPr>
        <w:t xml:space="preserve"> Structure of Factor Content Predictions</w:t>
      </w:r>
      <w:r>
        <w:rPr>
          <w:rFonts w:asciiTheme="majorBidi" w:hAnsiTheme="majorBidi" w:cstheme="majorBidi"/>
          <w:color w:val="auto"/>
        </w:rPr>
        <w:t>,</w:t>
      </w:r>
      <w:r w:rsidRPr="00996713">
        <w:rPr>
          <w:rFonts w:asciiTheme="majorBidi" w:hAnsiTheme="majorBidi" w:cstheme="majorBidi"/>
          <w:color w:val="auto"/>
        </w:rPr>
        <w:t xml:space="preserve"> Working Paper No. 1121, National Bureau of Economic Research</w:t>
      </w:r>
      <w:r>
        <w:rPr>
          <w:rFonts w:asciiTheme="majorBidi" w:hAnsiTheme="majorBidi" w:cstheme="majorBidi"/>
          <w:color w:val="auto"/>
        </w:rPr>
        <w:t>,</w:t>
      </w:r>
      <w:r w:rsidRPr="00996713">
        <w:rPr>
          <w:rFonts w:asciiTheme="majorBidi" w:hAnsiTheme="majorBidi" w:cstheme="majorBidi"/>
          <w:color w:val="auto"/>
        </w:rPr>
        <w:t xml:space="preserve"> March.</w:t>
      </w:r>
      <w:r w:rsidR="00B613C9" w:rsidRPr="00996713">
        <w:rPr>
          <w:rFonts w:asciiTheme="majorBidi" w:hAnsiTheme="majorBidi" w:cstheme="majorBidi"/>
        </w:rPr>
        <w:t xml:space="preserve"> </w:t>
      </w:r>
    </w:p>
    <w:p w:rsidR="004D53AD" w:rsidRDefault="004D53AD" w:rsidP="00B66ADD">
      <w:proofErr w:type="spellStart"/>
      <w:r>
        <w:t>Trefler</w:t>
      </w:r>
      <w:proofErr w:type="spellEnd"/>
      <w:r>
        <w:t xml:space="preserve"> D. 1993, International Factor Price D</w:t>
      </w:r>
      <w:r w:rsidR="0077272F">
        <w:t>ifferences: Leontief Was Right!</w:t>
      </w:r>
      <w:r>
        <w:t xml:space="preserve"> </w:t>
      </w:r>
      <w:r w:rsidRPr="00D56B7C">
        <w:rPr>
          <w:i/>
          <w:iCs/>
        </w:rPr>
        <w:t>Journal of Political Economy</w:t>
      </w:r>
      <w:r>
        <w:t>, Vol. 101, No. 6, (Dec.), pp. 961-987</w:t>
      </w:r>
    </w:p>
    <w:p w:rsidR="00D56B7C" w:rsidRDefault="00D56B7C" w:rsidP="00B66ADD">
      <w:proofErr w:type="spellStart"/>
      <w:r>
        <w:t>Vanek</w:t>
      </w:r>
      <w:proofErr w:type="spellEnd"/>
      <w:r>
        <w:t xml:space="preserve"> J. 1968, </w:t>
      </w:r>
      <w:proofErr w:type="gramStart"/>
      <w:r>
        <w:t>The</w:t>
      </w:r>
      <w:proofErr w:type="gramEnd"/>
      <w:r>
        <w:t xml:space="preserve"> Factor Proportions Theory: the N-Factor Case, </w:t>
      </w:r>
      <w:proofErr w:type="spellStart"/>
      <w:r>
        <w:t>Kyklos</w:t>
      </w:r>
      <w:proofErr w:type="spellEnd"/>
      <w:r>
        <w:t>, 21, (October), pp. 7</w:t>
      </w:r>
      <w:r w:rsidR="00E0330F">
        <w:t>49</w:t>
      </w:r>
      <w:r>
        <w:t>-754</w:t>
      </w:r>
    </w:p>
    <w:p w:rsidR="00E77F9D" w:rsidRPr="004B4A26" w:rsidRDefault="00E77F9D" w:rsidP="00E77F9D">
      <w:r>
        <w:lastRenderedPageBreak/>
        <w:t xml:space="preserve">Wolf E. N. (2004), What Has Happened to the Leontief Paradox? </w:t>
      </w:r>
      <w:proofErr w:type="gramStart"/>
      <w:r>
        <w:t xml:space="preserve">In </w:t>
      </w:r>
      <w:r w:rsidRPr="00E77F9D">
        <w:rPr>
          <w:i/>
          <w:iCs/>
        </w:rPr>
        <w:t>“</w:t>
      </w:r>
      <w:proofErr w:type="spellStart"/>
      <w:r w:rsidRPr="00E77F9D">
        <w:rPr>
          <w:i/>
          <w:iCs/>
        </w:rPr>
        <w:t>Wassily</w:t>
      </w:r>
      <w:proofErr w:type="spellEnd"/>
      <w:r w:rsidRPr="00E77F9D">
        <w:rPr>
          <w:i/>
          <w:iCs/>
        </w:rPr>
        <w:t xml:space="preserve"> Leontief and Input-Output Economics”</w:t>
      </w:r>
      <w:r>
        <w:t xml:space="preserve">, </w:t>
      </w:r>
      <w:proofErr w:type="spellStart"/>
      <w:r>
        <w:t>Dietzenbacher</w:t>
      </w:r>
      <w:proofErr w:type="spellEnd"/>
      <w:r>
        <w:t xml:space="preserve"> E. and Lahr M. (eds.), Cambridge University Press.</w:t>
      </w:r>
      <w:proofErr w:type="gramEnd"/>
      <w:r>
        <w:t xml:space="preserve">  </w:t>
      </w:r>
    </w:p>
    <w:sectPr w:rsidR="00E77F9D" w:rsidRPr="004B4A26" w:rsidSect="00E93BA6">
      <w:headerReference w:type="even" r:id="rId120"/>
      <w:footerReference w:type="even" r:id="rId121"/>
      <w:pgSz w:w="12240" w:h="15840"/>
      <w:pgMar w:top="1440" w:right="1440" w:bottom="1440" w:left="1440" w:header="72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33A" w:rsidRDefault="00D8033A" w:rsidP="00B66ADD">
      <w:r>
        <w:separator/>
      </w:r>
    </w:p>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p w:rsidR="00D8033A" w:rsidRDefault="00D8033A" w:rsidP="00071EF8"/>
    <w:p w:rsidR="00D8033A" w:rsidRDefault="00D8033A"/>
    <w:p w:rsidR="00D8033A" w:rsidRDefault="00D8033A"/>
    <w:p w:rsidR="00D8033A" w:rsidRDefault="00D8033A" w:rsidP="00996713"/>
    <w:p w:rsidR="00D8033A" w:rsidRDefault="00D8033A" w:rsidP="00996713"/>
    <w:p w:rsidR="00D8033A" w:rsidRDefault="00D8033A" w:rsidP="00996713"/>
    <w:p w:rsidR="00D8033A" w:rsidRDefault="00D8033A"/>
    <w:p w:rsidR="00D8033A" w:rsidRDefault="00D8033A" w:rsidP="009521B6"/>
    <w:p w:rsidR="00D8033A" w:rsidRDefault="00D8033A" w:rsidP="009521B6"/>
    <w:p w:rsidR="00D8033A" w:rsidRDefault="00D8033A" w:rsidP="0077791D"/>
    <w:p w:rsidR="00D8033A" w:rsidRDefault="00D8033A" w:rsidP="0077791D"/>
    <w:p w:rsidR="00D8033A" w:rsidRDefault="00D8033A" w:rsidP="0077791D"/>
    <w:p w:rsidR="00D8033A" w:rsidRDefault="00D8033A" w:rsidP="00C80C9C"/>
    <w:p w:rsidR="00D8033A" w:rsidRDefault="00D8033A" w:rsidP="006E62AD"/>
    <w:p w:rsidR="00D8033A" w:rsidRDefault="00D8033A" w:rsidP="001E1810"/>
    <w:p w:rsidR="00D8033A" w:rsidRDefault="00D8033A" w:rsidP="001E1810"/>
    <w:p w:rsidR="00D8033A" w:rsidRDefault="00D8033A" w:rsidP="00391979"/>
    <w:p w:rsidR="00D8033A" w:rsidRDefault="00D8033A" w:rsidP="009C07C8"/>
    <w:p w:rsidR="00D8033A" w:rsidRDefault="00D8033A" w:rsidP="007403AF"/>
    <w:p w:rsidR="00D8033A" w:rsidRDefault="00D8033A" w:rsidP="007403AF"/>
    <w:p w:rsidR="00D8033A" w:rsidRDefault="00D8033A" w:rsidP="007403AF"/>
    <w:p w:rsidR="00D8033A" w:rsidRDefault="00D8033A"/>
  </w:endnote>
  <w:endnote w:type="continuationSeparator" w:id="0">
    <w:p w:rsidR="00D8033A" w:rsidRDefault="00D8033A" w:rsidP="00B66ADD">
      <w:r>
        <w:continuationSeparator/>
      </w:r>
    </w:p>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p w:rsidR="00D8033A" w:rsidRDefault="00D8033A" w:rsidP="00071EF8"/>
    <w:p w:rsidR="00D8033A" w:rsidRDefault="00D8033A"/>
    <w:p w:rsidR="00D8033A" w:rsidRDefault="00D8033A"/>
    <w:p w:rsidR="00D8033A" w:rsidRDefault="00D8033A" w:rsidP="00996713"/>
    <w:p w:rsidR="00D8033A" w:rsidRDefault="00D8033A" w:rsidP="00996713"/>
    <w:p w:rsidR="00D8033A" w:rsidRDefault="00D8033A" w:rsidP="00996713"/>
    <w:p w:rsidR="00D8033A" w:rsidRDefault="00D8033A"/>
    <w:p w:rsidR="00D8033A" w:rsidRDefault="00D8033A" w:rsidP="009521B6"/>
    <w:p w:rsidR="00D8033A" w:rsidRDefault="00D8033A" w:rsidP="009521B6"/>
    <w:p w:rsidR="00D8033A" w:rsidRDefault="00D8033A" w:rsidP="0077791D"/>
    <w:p w:rsidR="00D8033A" w:rsidRDefault="00D8033A" w:rsidP="0077791D"/>
    <w:p w:rsidR="00D8033A" w:rsidRDefault="00D8033A" w:rsidP="0077791D"/>
    <w:p w:rsidR="00D8033A" w:rsidRDefault="00D8033A" w:rsidP="00C80C9C"/>
    <w:p w:rsidR="00D8033A" w:rsidRDefault="00D8033A" w:rsidP="006E62AD"/>
    <w:p w:rsidR="00D8033A" w:rsidRDefault="00D8033A" w:rsidP="001E1810"/>
    <w:p w:rsidR="00D8033A" w:rsidRDefault="00D8033A" w:rsidP="001E1810"/>
    <w:p w:rsidR="00D8033A" w:rsidRDefault="00D8033A" w:rsidP="00391979"/>
    <w:p w:rsidR="00D8033A" w:rsidRDefault="00D8033A" w:rsidP="009C07C8"/>
    <w:p w:rsidR="00D8033A" w:rsidRDefault="00D8033A" w:rsidP="007403AF"/>
    <w:p w:rsidR="00D8033A" w:rsidRDefault="00D8033A" w:rsidP="007403AF"/>
    <w:p w:rsidR="00D8033A" w:rsidRDefault="00D8033A" w:rsidP="007403AF"/>
    <w:p w:rsidR="00D8033A" w:rsidRDefault="00D8033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otus">
    <w:panose1 w:val="000004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2  Nazanin">
    <w:altName w:val="Courier New"/>
    <w:charset w:val="B2"/>
    <w:family w:val="auto"/>
    <w:pitch w:val="variable"/>
    <w:sig w:usb0="00002000"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2  Zar">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B Traffic">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20000287" w:usb1="00000000" w:usb2="00000000" w:usb3="00000000" w:csb0="0000019F" w:csb1="00000000"/>
  </w:font>
  <w:font w:name="Yagut">
    <w:panose1 w:val="000004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915" w:rsidRDefault="00832915" w:rsidP="00B66AD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832915" w:rsidRDefault="00832915" w:rsidP="00B66ADD">
    <w:pPr>
      <w:pStyle w:val="Footer"/>
    </w:pPr>
  </w:p>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p w:rsidR="00832915" w:rsidRDefault="00832915" w:rsidP="00071EF8"/>
  <w:p w:rsidR="00832915" w:rsidRDefault="00832915"/>
  <w:p w:rsidR="00832915" w:rsidRDefault="00832915"/>
  <w:p w:rsidR="00832915" w:rsidRDefault="00832915" w:rsidP="00996713"/>
  <w:p w:rsidR="00832915" w:rsidRDefault="00832915" w:rsidP="00996713"/>
  <w:p w:rsidR="00832915" w:rsidRDefault="00832915" w:rsidP="00996713"/>
  <w:p w:rsidR="00832915" w:rsidRDefault="00832915"/>
  <w:p w:rsidR="00832915" w:rsidRDefault="00832915" w:rsidP="009521B6"/>
  <w:p w:rsidR="00832915" w:rsidRDefault="00832915" w:rsidP="009521B6"/>
  <w:p w:rsidR="00832915" w:rsidRDefault="00832915" w:rsidP="0077791D"/>
  <w:p w:rsidR="00832915" w:rsidRDefault="00832915" w:rsidP="0077791D"/>
  <w:p w:rsidR="00832915" w:rsidRDefault="00832915" w:rsidP="0077791D"/>
  <w:p w:rsidR="00832915" w:rsidRDefault="00832915" w:rsidP="00C80C9C"/>
  <w:p w:rsidR="00832915" w:rsidRDefault="00832915" w:rsidP="006E62AD"/>
  <w:p w:rsidR="00832915" w:rsidRDefault="00832915" w:rsidP="001E1810"/>
  <w:p w:rsidR="00832915" w:rsidRDefault="00832915" w:rsidP="001E1810"/>
  <w:p w:rsidR="00832915" w:rsidRDefault="00832915" w:rsidP="00391979"/>
  <w:p w:rsidR="00832915" w:rsidRDefault="00832915" w:rsidP="009C07C8"/>
  <w:p w:rsidR="00832915" w:rsidRDefault="00832915" w:rsidP="007403AF"/>
  <w:p w:rsidR="00832915" w:rsidRDefault="00832915" w:rsidP="007403AF"/>
  <w:p w:rsidR="00832915" w:rsidRDefault="00832915" w:rsidP="007403AF"/>
  <w:p w:rsidR="00832915" w:rsidRDefault="0083291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33A" w:rsidRDefault="00D8033A" w:rsidP="00B66ADD">
      <w:r>
        <w:separator/>
      </w:r>
    </w:p>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p w:rsidR="00D8033A" w:rsidRDefault="00D8033A" w:rsidP="00071EF8"/>
    <w:p w:rsidR="00D8033A" w:rsidRDefault="00D8033A"/>
    <w:p w:rsidR="00D8033A" w:rsidRDefault="00D8033A"/>
    <w:p w:rsidR="00D8033A" w:rsidRDefault="00D8033A" w:rsidP="00996713"/>
    <w:p w:rsidR="00D8033A" w:rsidRDefault="00D8033A" w:rsidP="00996713"/>
    <w:p w:rsidR="00D8033A" w:rsidRDefault="00D8033A" w:rsidP="00996713"/>
    <w:p w:rsidR="00D8033A" w:rsidRDefault="00D8033A"/>
    <w:p w:rsidR="00D8033A" w:rsidRDefault="00D8033A" w:rsidP="009521B6"/>
    <w:p w:rsidR="00D8033A" w:rsidRDefault="00D8033A" w:rsidP="009521B6"/>
    <w:p w:rsidR="00D8033A" w:rsidRDefault="00D8033A" w:rsidP="0077791D"/>
    <w:p w:rsidR="00D8033A" w:rsidRDefault="00D8033A" w:rsidP="0077791D"/>
    <w:p w:rsidR="00D8033A" w:rsidRDefault="00D8033A" w:rsidP="0077791D"/>
    <w:p w:rsidR="00D8033A" w:rsidRDefault="00D8033A" w:rsidP="00C80C9C"/>
    <w:p w:rsidR="00D8033A" w:rsidRDefault="00D8033A" w:rsidP="006E62AD"/>
    <w:p w:rsidR="00D8033A" w:rsidRDefault="00D8033A" w:rsidP="001E1810"/>
    <w:p w:rsidR="00D8033A" w:rsidRDefault="00D8033A" w:rsidP="001E1810"/>
    <w:p w:rsidR="00D8033A" w:rsidRDefault="00D8033A" w:rsidP="00391979"/>
    <w:p w:rsidR="00D8033A" w:rsidRDefault="00D8033A" w:rsidP="009C07C8"/>
    <w:p w:rsidR="00D8033A" w:rsidRDefault="00D8033A" w:rsidP="007403AF"/>
    <w:p w:rsidR="00D8033A" w:rsidRDefault="00D8033A" w:rsidP="007403AF"/>
    <w:p w:rsidR="00D8033A" w:rsidRDefault="00D8033A" w:rsidP="007403AF"/>
    <w:p w:rsidR="00D8033A" w:rsidRDefault="00D8033A"/>
  </w:footnote>
  <w:footnote w:type="continuationSeparator" w:id="0">
    <w:p w:rsidR="00D8033A" w:rsidRDefault="00D8033A" w:rsidP="00B66ADD">
      <w:r>
        <w:continuationSeparator/>
      </w:r>
    </w:p>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rsidP="00B66ADD"/>
    <w:p w:rsidR="00D8033A" w:rsidRDefault="00D8033A"/>
    <w:p w:rsidR="00D8033A" w:rsidRDefault="00D8033A" w:rsidP="00071EF8"/>
    <w:p w:rsidR="00D8033A" w:rsidRDefault="00D8033A"/>
    <w:p w:rsidR="00D8033A" w:rsidRDefault="00D8033A"/>
    <w:p w:rsidR="00D8033A" w:rsidRDefault="00D8033A" w:rsidP="00996713"/>
    <w:p w:rsidR="00D8033A" w:rsidRDefault="00D8033A" w:rsidP="00996713"/>
    <w:p w:rsidR="00D8033A" w:rsidRDefault="00D8033A" w:rsidP="00996713"/>
    <w:p w:rsidR="00D8033A" w:rsidRDefault="00D8033A"/>
    <w:p w:rsidR="00D8033A" w:rsidRDefault="00D8033A" w:rsidP="009521B6"/>
    <w:p w:rsidR="00D8033A" w:rsidRDefault="00D8033A" w:rsidP="009521B6"/>
    <w:p w:rsidR="00D8033A" w:rsidRDefault="00D8033A" w:rsidP="0077791D"/>
    <w:p w:rsidR="00D8033A" w:rsidRDefault="00D8033A" w:rsidP="0077791D"/>
    <w:p w:rsidR="00D8033A" w:rsidRDefault="00D8033A" w:rsidP="0077791D"/>
    <w:p w:rsidR="00D8033A" w:rsidRDefault="00D8033A" w:rsidP="00C80C9C"/>
    <w:p w:rsidR="00D8033A" w:rsidRDefault="00D8033A" w:rsidP="006E62AD"/>
    <w:p w:rsidR="00D8033A" w:rsidRDefault="00D8033A" w:rsidP="001E1810"/>
    <w:p w:rsidR="00D8033A" w:rsidRDefault="00D8033A" w:rsidP="001E1810"/>
    <w:p w:rsidR="00D8033A" w:rsidRDefault="00D8033A" w:rsidP="00391979"/>
    <w:p w:rsidR="00D8033A" w:rsidRDefault="00D8033A" w:rsidP="009C07C8"/>
    <w:p w:rsidR="00D8033A" w:rsidRDefault="00D8033A" w:rsidP="007403AF"/>
    <w:p w:rsidR="00D8033A" w:rsidRDefault="00D8033A" w:rsidP="007403AF"/>
    <w:p w:rsidR="00D8033A" w:rsidRDefault="00D8033A" w:rsidP="007403AF"/>
    <w:p w:rsidR="00D8033A" w:rsidRDefault="00D8033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rsidP="00B66ADD"/>
  <w:p w:rsidR="00832915" w:rsidRDefault="00832915"/>
  <w:p w:rsidR="00832915" w:rsidRDefault="00832915" w:rsidP="00071EF8"/>
  <w:p w:rsidR="00832915" w:rsidRDefault="00832915"/>
  <w:p w:rsidR="00832915" w:rsidRDefault="00832915"/>
  <w:p w:rsidR="00832915" w:rsidRDefault="00832915" w:rsidP="00996713"/>
  <w:p w:rsidR="00832915" w:rsidRDefault="00832915" w:rsidP="00996713"/>
  <w:p w:rsidR="00832915" w:rsidRDefault="00832915" w:rsidP="00996713"/>
  <w:p w:rsidR="00832915" w:rsidRDefault="00832915"/>
  <w:p w:rsidR="00832915" w:rsidRDefault="00832915" w:rsidP="009521B6"/>
  <w:p w:rsidR="00832915" w:rsidRDefault="00832915" w:rsidP="009521B6"/>
  <w:p w:rsidR="00832915" w:rsidRDefault="00832915" w:rsidP="0077791D"/>
  <w:p w:rsidR="00832915" w:rsidRDefault="00832915" w:rsidP="0077791D"/>
  <w:p w:rsidR="00832915" w:rsidRDefault="00832915" w:rsidP="0077791D"/>
  <w:p w:rsidR="00832915" w:rsidRDefault="00832915" w:rsidP="00C80C9C"/>
  <w:p w:rsidR="00832915" w:rsidRDefault="00832915" w:rsidP="006E62AD"/>
  <w:p w:rsidR="00832915" w:rsidRDefault="00832915" w:rsidP="001E1810"/>
  <w:p w:rsidR="00832915" w:rsidRDefault="00832915" w:rsidP="001E1810"/>
  <w:p w:rsidR="00832915" w:rsidRDefault="00832915" w:rsidP="00391979"/>
  <w:p w:rsidR="00832915" w:rsidRDefault="00832915" w:rsidP="009C07C8"/>
  <w:p w:rsidR="00832915" w:rsidRDefault="00832915" w:rsidP="007403AF"/>
  <w:p w:rsidR="00832915" w:rsidRDefault="00832915" w:rsidP="007403AF"/>
  <w:p w:rsidR="00832915" w:rsidRDefault="00832915" w:rsidP="007403AF"/>
  <w:p w:rsidR="00832915" w:rsidRDefault="0083291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80D98"/>
    <w:multiLevelType w:val="multilevel"/>
    <w:tmpl w:val="DF845F4A"/>
    <w:lvl w:ilvl="0">
      <w:start w:val="1"/>
      <w:numFmt w:val="decimal"/>
      <w:lvlText w:val="%1."/>
      <w:lvlJc w:val="left"/>
      <w:pPr>
        <w:tabs>
          <w:tab w:val="num" w:pos="360"/>
        </w:tabs>
        <w:ind w:left="360" w:hanging="36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Text w:val="6.%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Lotus" w:hAnsi="Lotu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FB73CB8"/>
    <w:multiLevelType w:val="hybridMultilevel"/>
    <w:tmpl w:val="97503F4A"/>
    <w:lvl w:ilvl="0" w:tplc="450E8ACE">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3C66DA2"/>
    <w:multiLevelType w:val="hybridMultilevel"/>
    <w:tmpl w:val="F6A49FEA"/>
    <w:lvl w:ilvl="0" w:tplc="1BECB3E8">
      <w:start w:val="1"/>
      <w:numFmt w:val="decimal"/>
      <w:pStyle w:val="Style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A0714E"/>
    <w:multiLevelType w:val="multilevel"/>
    <w:tmpl w:val="AC6426B2"/>
    <w:lvl w:ilvl="0">
      <w:start w:val="5"/>
      <w:numFmt w:val="decimal"/>
      <w:lvlText w:val="%1."/>
      <w:lvlJc w:val="left"/>
      <w:pPr>
        <w:tabs>
          <w:tab w:val="num" w:pos="360"/>
        </w:tabs>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Lotus" w:hAnsi="Lotu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3F625EC7"/>
    <w:multiLevelType w:val="hybridMultilevel"/>
    <w:tmpl w:val="E9E44F1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4635299D"/>
    <w:multiLevelType w:val="hybridMultilevel"/>
    <w:tmpl w:val="5600C7EC"/>
    <w:lvl w:ilvl="0" w:tplc="C8B41D16">
      <w:start w:val="1"/>
      <w:numFmt w:val="decimal"/>
      <w:lvlText w:val="%1."/>
      <w:lvlJc w:val="left"/>
      <w:pPr>
        <w:tabs>
          <w:tab w:val="num" w:pos="1440"/>
        </w:tabs>
        <w:ind w:left="1440" w:hanging="360"/>
      </w:pPr>
      <w:rPr>
        <w:b/>
        <w:bC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48C151C2"/>
    <w:multiLevelType w:val="hybridMultilevel"/>
    <w:tmpl w:val="CDA027F8"/>
    <w:lvl w:ilvl="0" w:tplc="C8B41D1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F767BF9"/>
    <w:multiLevelType w:val="hybridMultilevel"/>
    <w:tmpl w:val="162633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AC84980"/>
    <w:multiLevelType w:val="hybridMultilevel"/>
    <w:tmpl w:val="CF128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0"/>
  </w:num>
  <w:num w:numId="5">
    <w:abstractNumId w:val="6"/>
  </w:num>
  <w:num w:numId="6">
    <w:abstractNumId w:val="5"/>
  </w:num>
  <w:num w:numId="7">
    <w:abstractNumId w:val="1"/>
  </w:num>
  <w:num w:numId="8">
    <w:abstractNumId w:val="8"/>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
  <w:rsids>
    <w:rsidRoot w:val="003661AC"/>
    <w:rsid w:val="0000001A"/>
    <w:rsid w:val="00002E9A"/>
    <w:rsid w:val="00003459"/>
    <w:rsid w:val="00006726"/>
    <w:rsid w:val="0002023D"/>
    <w:rsid w:val="0002100C"/>
    <w:rsid w:val="0002706E"/>
    <w:rsid w:val="000331F4"/>
    <w:rsid w:val="0003764E"/>
    <w:rsid w:val="00037B07"/>
    <w:rsid w:val="00040EA8"/>
    <w:rsid w:val="000650F0"/>
    <w:rsid w:val="00065846"/>
    <w:rsid w:val="00067272"/>
    <w:rsid w:val="00071EF8"/>
    <w:rsid w:val="000722A4"/>
    <w:rsid w:val="00072C1A"/>
    <w:rsid w:val="00076BF1"/>
    <w:rsid w:val="00080064"/>
    <w:rsid w:val="000805CB"/>
    <w:rsid w:val="00081BE9"/>
    <w:rsid w:val="00083686"/>
    <w:rsid w:val="0008530E"/>
    <w:rsid w:val="00086814"/>
    <w:rsid w:val="000A0B73"/>
    <w:rsid w:val="000A6C1B"/>
    <w:rsid w:val="000B4337"/>
    <w:rsid w:val="000B60B5"/>
    <w:rsid w:val="000C0DBE"/>
    <w:rsid w:val="000D564F"/>
    <w:rsid w:val="000D69CF"/>
    <w:rsid w:val="000D77D2"/>
    <w:rsid w:val="000E5AFB"/>
    <w:rsid w:val="000F048F"/>
    <w:rsid w:val="000F1D82"/>
    <w:rsid w:val="000F4336"/>
    <w:rsid w:val="000F6F22"/>
    <w:rsid w:val="00114723"/>
    <w:rsid w:val="00116E4B"/>
    <w:rsid w:val="0012259C"/>
    <w:rsid w:val="00123F0B"/>
    <w:rsid w:val="00140861"/>
    <w:rsid w:val="00140949"/>
    <w:rsid w:val="00143C64"/>
    <w:rsid w:val="001442B6"/>
    <w:rsid w:val="0014650A"/>
    <w:rsid w:val="00146C9B"/>
    <w:rsid w:val="00163875"/>
    <w:rsid w:val="001653D0"/>
    <w:rsid w:val="00165596"/>
    <w:rsid w:val="00165A6B"/>
    <w:rsid w:val="00170285"/>
    <w:rsid w:val="00177605"/>
    <w:rsid w:val="00186CFF"/>
    <w:rsid w:val="00190544"/>
    <w:rsid w:val="00196457"/>
    <w:rsid w:val="001B39B1"/>
    <w:rsid w:val="001B5A31"/>
    <w:rsid w:val="001C0215"/>
    <w:rsid w:val="001C4851"/>
    <w:rsid w:val="001D242D"/>
    <w:rsid w:val="001D4669"/>
    <w:rsid w:val="001E037D"/>
    <w:rsid w:val="001E0AA5"/>
    <w:rsid w:val="001E1810"/>
    <w:rsid w:val="001E5D5E"/>
    <w:rsid w:val="00201A97"/>
    <w:rsid w:val="00204579"/>
    <w:rsid w:val="00211367"/>
    <w:rsid w:val="002228CA"/>
    <w:rsid w:val="00226256"/>
    <w:rsid w:val="002269D6"/>
    <w:rsid w:val="0022729F"/>
    <w:rsid w:val="00234B83"/>
    <w:rsid w:val="0023645F"/>
    <w:rsid w:val="00252C68"/>
    <w:rsid w:val="00254171"/>
    <w:rsid w:val="00260322"/>
    <w:rsid w:val="00266C56"/>
    <w:rsid w:val="0027064E"/>
    <w:rsid w:val="00282533"/>
    <w:rsid w:val="00287275"/>
    <w:rsid w:val="00290114"/>
    <w:rsid w:val="00292FD9"/>
    <w:rsid w:val="002A1C2E"/>
    <w:rsid w:val="002A6661"/>
    <w:rsid w:val="002B52A8"/>
    <w:rsid w:val="002C0578"/>
    <w:rsid w:val="002C2CAA"/>
    <w:rsid w:val="002C550D"/>
    <w:rsid w:val="002D0BFB"/>
    <w:rsid w:val="002D19A2"/>
    <w:rsid w:val="002D6561"/>
    <w:rsid w:val="002E42C8"/>
    <w:rsid w:val="002E7893"/>
    <w:rsid w:val="002F4735"/>
    <w:rsid w:val="0030153F"/>
    <w:rsid w:val="00302BB8"/>
    <w:rsid w:val="00310536"/>
    <w:rsid w:val="00312B75"/>
    <w:rsid w:val="0031580A"/>
    <w:rsid w:val="003162CE"/>
    <w:rsid w:val="003232EA"/>
    <w:rsid w:val="00323DDD"/>
    <w:rsid w:val="003246F0"/>
    <w:rsid w:val="003311BF"/>
    <w:rsid w:val="0033247F"/>
    <w:rsid w:val="00334818"/>
    <w:rsid w:val="00340667"/>
    <w:rsid w:val="00350CCD"/>
    <w:rsid w:val="003513E1"/>
    <w:rsid w:val="00351C72"/>
    <w:rsid w:val="003661AC"/>
    <w:rsid w:val="00377EAC"/>
    <w:rsid w:val="00385D15"/>
    <w:rsid w:val="00391979"/>
    <w:rsid w:val="00391DE1"/>
    <w:rsid w:val="00396867"/>
    <w:rsid w:val="003A7ED5"/>
    <w:rsid w:val="003A7FB8"/>
    <w:rsid w:val="003B56E7"/>
    <w:rsid w:val="003B5A06"/>
    <w:rsid w:val="003C3949"/>
    <w:rsid w:val="003C516B"/>
    <w:rsid w:val="003C6C0C"/>
    <w:rsid w:val="003C6D14"/>
    <w:rsid w:val="003C7291"/>
    <w:rsid w:val="003D4BC4"/>
    <w:rsid w:val="003E0688"/>
    <w:rsid w:val="003E4DAF"/>
    <w:rsid w:val="003E50B0"/>
    <w:rsid w:val="003E776B"/>
    <w:rsid w:val="003F2C2D"/>
    <w:rsid w:val="003F6080"/>
    <w:rsid w:val="003F7628"/>
    <w:rsid w:val="003F7DE4"/>
    <w:rsid w:val="00403556"/>
    <w:rsid w:val="004069C8"/>
    <w:rsid w:val="0042271A"/>
    <w:rsid w:val="00423B0F"/>
    <w:rsid w:val="00440D73"/>
    <w:rsid w:val="004416D5"/>
    <w:rsid w:val="0044513F"/>
    <w:rsid w:val="004462FA"/>
    <w:rsid w:val="00446593"/>
    <w:rsid w:val="00447C42"/>
    <w:rsid w:val="0046231D"/>
    <w:rsid w:val="00463C85"/>
    <w:rsid w:val="00471FAE"/>
    <w:rsid w:val="004723E1"/>
    <w:rsid w:val="00477980"/>
    <w:rsid w:val="00480EF3"/>
    <w:rsid w:val="00482CF3"/>
    <w:rsid w:val="00482ED2"/>
    <w:rsid w:val="00487F9C"/>
    <w:rsid w:val="004910A7"/>
    <w:rsid w:val="004B2521"/>
    <w:rsid w:val="004B480F"/>
    <w:rsid w:val="004B4A26"/>
    <w:rsid w:val="004C1C3E"/>
    <w:rsid w:val="004C7F0D"/>
    <w:rsid w:val="004D53AD"/>
    <w:rsid w:val="004D5DAF"/>
    <w:rsid w:val="004D70C9"/>
    <w:rsid w:val="004E29AD"/>
    <w:rsid w:val="004E4F86"/>
    <w:rsid w:val="004F41BC"/>
    <w:rsid w:val="00504836"/>
    <w:rsid w:val="005062D3"/>
    <w:rsid w:val="0051271D"/>
    <w:rsid w:val="00523DC9"/>
    <w:rsid w:val="00527CF5"/>
    <w:rsid w:val="005346CA"/>
    <w:rsid w:val="005404D9"/>
    <w:rsid w:val="00541CAC"/>
    <w:rsid w:val="0054215D"/>
    <w:rsid w:val="00542995"/>
    <w:rsid w:val="0054309C"/>
    <w:rsid w:val="0054341B"/>
    <w:rsid w:val="005546F3"/>
    <w:rsid w:val="00557D15"/>
    <w:rsid w:val="00571218"/>
    <w:rsid w:val="00572938"/>
    <w:rsid w:val="0057430A"/>
    <w:rsid w:val="005877A1"/>
    <w:rsid w:val="005920D1"/>
    <w:rsid w:val="005927AE"/>
    <w:rsid w:val="005952A7"/>
    <w:rsid w:val="005A19C6"/>
    <w:rsid w:val="005B05A4"/>
    <w:rsid w:val="005B2326"/>
    <w:rsid w:val="005B28DA"/>
    <w:rsid w:val="005B2C15"/>
    <w:rsid w:val="005B2CEB"/>
    <w:rsid w:val="005B7B3F"/>
    <w:rsid w:val="005C2745"/>
    <w:rsid w:val="005C4590"/>
    <w:rsid w:val="005D6133"/>
    <w:rsid w:val="005D7740"/>
    <w:rsid w:val="005E4DAE"/>
    <w:rsid w:val="005F0EAC"/>
    <w:rsid w:val="005F399E"/>
    <w:rsid w:val="005F6117"/>
    <w:rsid w:val="005F6ECD"/>
    <w:rsid w:val="00601330"/>
    <w:rsid w:val="006029A9"/>
    <w:rsid w:val="00604EC4"/>
    <w:rsid w:val="00612990"/>
    <w:rsid w:val="00613171"/>
    <w:rsid w:val="0062674E"/>
    <w:rsid w:val="006321C1"/>
    <w:rsid w:val="00637700"/>
    <w:rsid w:val="00640EBD"/>
    <w:rsid w:val="00644D67"/>
    <w:rsid w:val="006568E1"/>
    <w:rsid w:val="00666A14"/>
    <w:rsid w:val="00670578"/>
    <w:rsid w:val="006734AF"/>
    <w:rsid w:val="0067635C"/>
    <w:rsid w:val="00681A20"/>
    <w:rsid w:val="006B11A2"/>
    <w:rsid w:val="006B4EA8"/>
    <w:rsid w:val="006B7DFA"/>
    <w:rsid w:val="006C0F72"/>
    <w:rsid w:val="006C1884"/>
    <w:rsid w:val="006C563A"/>
    <w:rsid w:val="006C7436"/>
    <w:rsid w:val="006D0073"/>
    <w:rsid w:val="006E383D"/>
    <w:rsid w:val="006E6281"/>
    <w:rsid w:val="006E62AD"/>
    <w:rsid w:val="006F69A4"/>
    <w:rsid w:val="00704FDB"/>
    <w:rsid w:val="00712933"/>
    <w:rsid w:val="00724373"/>
    <w:rsid w:val="0072611A"/>
    <w:rsid w:val="00734EB8"/>
    <w:rsid w:val="00735F9D"/>
    <w:rsid w:val="0073635E"/>
    <w:rsid w:val="007403AF"/>
    <w:rsid w:val="00747058"/>
    <w:rsid w:val="0074728A"/>
    <w:rsid w:val="007479F2"/>
    <w:rsid w:val="00752A3B"/>
    <w:rsid w:val="007532E5"/>
    <w:rsid w:val="00754288"/>
    <w:rsid w:val="00754D40"/>
    <w:rsid w:val="00754D5B"/>
    <w:rsid w:val="00763CB7"/>
    <w:rsid w:val="00765C61"/>
    <w:rsid w:val="00765E39"/>
    <w:rsid w:val="0077272F"/>
    <w:rsid w:val="0077791D"/>
    <w:rsid w:val="007827B9"/>
    <w:rsid w:val="007B0EF2"/>
    <w:rsid w:val="007B6E09"/>
    <w:rsid w:val="007C6772"/>
    <w:rsid w:val="007D716A"/>
    <w:rsid w:val="007E0613"/>
    <w:rsid w:val="007E2B43"/>
    <w:rsid w:val="007F0248"/>
    <w:rsid w:val="007F509F"/>
    <w:rsid w:val="00800DCE"/>
    <w:rsid w:val="008041DA"/>
    <w:rsid w:val="00806FD9"/>
    <w:rsid w:val="0081223B"/>
    <w:rsid w:val="00816038"/>
    <w:rsid w:val="00826E7E"/>
    <w:rsid w:val="008279F9"/>
    <w:rsid w:val="00832915"/>
    <w:rsid w:val="0083673A"/>
    <w:rsid w:val="00845952"/>
    <w:rsid w:val="00846F57"/>
    <w:rsid w:val="008636D6"/>
    <w:rsid w:val="00866D77"/>
    <w:rsid w:val="00866E39"/>
    <w:rsid w:val="008840D6"/>
    <w:rsid w:val="008852BE"/>
    <w:rsid w:val="00891F02"/>
    <w:rsid w:val="00892483"/>
    <w:rsid w:val="00896EB7"/>
    <w:rsid w:val="0089793D"/>
    <w:rsid w:val="008A32F1"/>
    <w:rsid w:val="008B1F1F"/>
    <w:rsid w:val="008B45F5"/>
    <w:rsid w:val="008B6428"/>
    <w:rsid w:val="008D440A"/>
    <w:rsid w:val="008D5B1E"/>
    <w:rsid w:val="008D72B5"/>
    <w:rsid w:val="008D7DEE"/>
    <w:rsid w:val="008E2BB1"/>
    <w:rsid w:val="008E2F2D"/>
    <w:rsid w:val="008E3DE7"/>
    <w:rsid w:val="008E7C4C"/>
    <w:rsid w:val="008F0809"/>
    <w:rsid w:val="008F4B2D"/>
    <w:rsid w:val="009140D3"/>
    <w:rsid w:val="009145CE"/>
    <w:rsid w:val="009205AC"/>
    <w:rsid w:val="00933262"/>
    <w:rsid w:val="009357AE"/>
    <w:rsid w:val="00937762"/>
    <w:rsid w:val="0094674B"/>
    <w:rsid w:val="009521B6"/>
    <w:rsid w:val="00966488"/>
    <w:rsid w:val="00966DB2"/>
    <w:rsid w:val="00973E5D"/>
    <w:rsid w:val="00985829"/>
    <w:rsid w:val="0099052B"/>
    <w:rsid w:val="00996713"/>
    <w:rsid w:val="009A79AC"/>
    <w:rsid w:val="009B0E95"/>
    <w:rsid w:val="009B0ECE"/>
    <w:rsid w:val="009B468E"/>
    <w:rsid w:val="009B7569"/>
    <w:rsid w:val="009C07C8"/>
    <w:rsid w:val="009C0DF7"/>
    <w:rsid w:val="009C573E"/>
    <w:rsid w:val="009D0240"/>
    <w:rsid w:val="009D5596"/>
    <w:rsid w:val="00A031B7"/>
    <w:rsid w:val="00A03D70"/>
    <w:rsid w:val="00A07592"/>
    <w:rsid w:val="00A07649"/>
    <w:rsid w:val="00A10765"/>
    <w:rsid w:val="00A170C6"/>
    <w:rsid w:val="00A202C8"/>
    <w:rsid w:val="00A24AA2"/>
    <w:rsid w:val="00A26092"/>
    <w:rsid w:val="00A279CC"/>
    <w:rsid w:val="00A33053"/>
    <w:rsid w:val="00A33B19"/>
    <w:rsid w:val="00A420BF"/>
    <w:rsid w:val="00A436FC"/>
    <w:rsid w:val="00A52BDC"/>
    <w:rsid w:val="00A5573C"/>
    <w:rsid w:val="00A557CA"/>
    <w:rsid w:val="00A603B4"/>
    <w:rsid w:val="00A63EF5"/>
    <w:rsid w:val="00A668B8"/>
    <w:rsid w:val="00A74EB3"/>
    <w:rsid w:val="00A81443"/>
    <w:rsid w:val="00A9165E"/>
    <w:rsid w:val="00A93884"/>
    <w:rsid w:val="00AA2BDE"/>
    <w:rsid w:val="00AC4267"/>
    <w:rsid w:val="00AC50CB"/>
    <w:rsid w:val="00AD24DC"/>
    <w:rsid w:val="00AD518D"/>
    <w:rsid w:val="00AD595E"/>
    <w:rsid w:val="00AE1BFD"/>
    <w:rsid w:val="00AE1C98"/>
    <w:rsid w:val="00AE4569"/>
    <w:rsid w:val="00AE66AD"/>
    <w:rsid w:val="00AF74D3"/>
    <w:rsid w:val="00B07072"/>
    <w:rsid w:val="00B30718"/>
    <w:rsid w:val="00B3214A"/>
    <w:rsid w:val="00B402DC"/>
    <w:rsid w:val="00B4792A"/>
    <w:rsid w:val="00B55C73"/>
    <w:rsid w:val="00B613C9"/>
    <w:rsid w:val="00B66ADD"/>
    <w:rsid w:val="00B67EE6"/>
    <w:rsid w:val="00B72A38"/>
    <w:rsid w:val="00B73FB5"/>
    <w:rsid w:val="00B80F51"/>
    <w:rsid w:val="00B8607A"/>
    <w:rsid w:val="00B948E4"/>
    <w:rsid w:val="00B96FBD"/>
    <w:rsid w:val="00B97F40"/>
    <w:rsid w:val="00BA25C2"/>
    <w:rsid w:val="00BA4334"/>
    <w:rsid w:val="00BA5565"/>
    <w:rsid w:val="00BB3976"/>
    <w:rsid w:val="00BB513B"/>
    <w:rsid w:val="00BC360E"/>
    <w:rsid w:val="00BD0B00"/>
    <w:rsid w:val="00BD1B4B"/>
    <w:rsid w:val="00BD2678"/>
    <w:rsid w:val="00BD3DF4"/>
    <w:rsid w:val="00BF2CFF"/>
    <w:rsid w:val="00BF63DA"/>
    <w:rsid w:val="00C05C98"/>
    <w:rsid w:val="00C07095"/>
    <w:rsid w:val="00C15C6D"/>
    <w:rsid w:val="00C2124F"/>
    <w:rsid w:val="00C224B1"/>
    <w:rsid w:val="00C25E9F"/>
    <w:rsid w:val="00C32F8A"/>
    <w:rsid w:val="00C332BB"/>
    <w:rsid w:val="00C37C7F"/>
    <w:rsid w:val="00C4714A"/>
    <w:rsid w:val="00C47E9D"/>
    <w:rsid w:val="00C50ADD"/>
    <w:rsid w:val="00C5368E"/>
    <w:rsid w:val="00C54685"/>
    <w:rsid w:val="00C65397"/>
    <w:rsid w:val="00C6554B"/>
    <w:rsid w:val="00C65BEB"/>
    <w:rsid w:val="00C679A7"/>
    <w:rsid w:val="00C72D38"/>
    <w:rsid w:val="00C80C9C"/>
    <w:rsid w:val="00C827F4"/>
    <w:rsid w:val="00C82F43"/>
    <w:rsid w:val="00CA64BE"/>
    <w:rsid w:val="00CB082A"/>
    <w:rsid w:val="00CB148E"/>
    <w:rsid w:val="00CB2892"/>
    <w:rsid w:val="00CB7917"/>
    <w:rsid w:val="00CB7B3A"/>
    <w:rsid w:val="00CC5B29"/>
    <w:rsid w:val="00CD2897"/>
    <w:rsid w:val="00CD3430"/>
    <w:rsid w:val="00CE2E4A"/>
    <w:rsid w:val="00CE3E57"/>
    <w:rsid w:val="00CF113D"/>
    <w:rsid w:val="00CF4771"/>
    <w:rsid w:val="00D01B83"/>
    <w:rsid w:val="00D12954"/>
    <w:rsid w:val="00D12AF7"/>
    <w:rsid w:val="00D2099D"/>
    <w:rsid w:val="00D22011"/>
    <w:rsid w:val="00D2217B"/>
    <w:rsid w:val="00D25E88"/>
    <w:rsid w:val="00D2648D"/>
    <w:rsid w:val="00D41687"/>
    <w:rsid w:val="00D51015"/>
    <w:rsid w:val="00D53B95"/>
    <w:rsid w:val="00D5596C"/>
    <w:rsid w:val="00D56B7C"/>
    <w:rsid w:val="00D674E8"/>
    <w:rsid w:val="00D67F69"/>
    <w:rsid w:val="00D713AF"/>
    <w:rsid w:val="00D7149C"/>
    <w:rsid w:val="00D7393A"/>
    <w:rsid w:val="00D74489"/>
    <w:rsid w:val="00D74770"/>
    <w:rsid w:val="00D76526"/>
    <w:rsid w:val="00D76C95"/>
    <w:rsid w:val="00D8033A"/>
    <w:rsid w:val="00D83549"/>
    <w:rsid w:val="00D83B11"/>
    <w:rsid w:val="00D84A8A"/>
    <w:rsid w:val="00D85291"/>
    <w:rsid w:val="00D90235"/>
    <w:rsid w:val="00D943C2"/>
    <w:rsid w:val="00D971EF"/>
    <w:rsid w:val="00DA2694"/>
    <w:rsid w:val="00DB3105"/>
    <w:rsid w:val="00DC09A3"/>
    <w:rsid w:val="00DC1006"/>
    <w:rsid w:val="00DC598C"/>
    <w:rsid w:val="00DC7BDA"/>
    <w:rsid w:val="00DD1CE6"/>
    <w:rsid w:val="00DD4259"/>
    <w:rsid w:val="00DD7C87"/>
    <w:rsid w:val="00DE0763"/>
    <w:rsid w:val="00DE3502"/>
    <w:rsid w:val="00DF0C0E"/>
    <w:rsid w:val="00DF29D6"/>
    <w:rsid w:val="00E0330F"/>
    <w:rsid w:val="00E03813"/>
    <w:rsid w:val="00E05E1A"/>
    <w:rsid w:val="00E11712"/>
    <w:rsid w:val="00E11AA5"/>
    <w:rsid w:val="00E13869"/>
    <w:rsid w:val="00E15339"/>
    <w:rsid w:val="00E26C13"/>
    <w:rsid w:val="00E30F9E"/>
    <w:rsid w:val="00E34FC3"/>
    <w:rsid w:val="00E408FF"/>
    <w:rsid w:val="00E40CBD"/>
    <w:rsid w:val="00E41F6A"/>
    <w:rsid w:val="00E42072"/>
    <w:rsid w:val="00E441D0"/>
    <w:rsid w:val="00E4580D"/>
    <w:rsid w:val="00E47A19"/>
    <w:rsid w:val="00E61895"/>
    <w:rsid w:val="00E628A4"/>
    <w:rsid w:val="00E77F9D"/>
    <w:rsid w:val="00E831AF"/>
    <w:rsid w:val="00E869E7"/>
    <w:rsid w:val="00E87118"/>
    <w:rsid w:val="00E93BA6"/>
    <w:rsid w:val="00EA4D0D"/>
    <w:rsid w:val="00EB0399"/>
    <w:rsid w:val="00EB4C3A"/>
    <w:rsid w:val="00EC2C8C"/>
    <w:rsid w:val="00EC782C"/>
    <w:rsid w:val="00ED339A"/>
    <w:rsid w:val="00ED4477"/>
    <w:rsid w:val="00ED6B91"/>
    <w:rsid w:val="00EE3504"/>
    <w:rsid w:val="00EF5C76"/>
    <w:rsid w:val="00EF7B9C"/>
    <w:rsid w:val="00F02C99"/>
    <w:rsid w:val="00F036B1"/>
    <w:rsid w:val="00F062CF"/>
    <w:rsid w:val="00F103DE"/>
    <w:rsid w:val="00F120F3"/>
    <w:rsid w:val="00F13D92"/>
    <w:rsid w:val="00F15450"/>
    <w:rsid w:val="00F24166"/>
    <w:rsid w:val="00F26ACD"/>
    <w:rsid w:val="00F32C5B"/>
    <w:rsid w:val="00F35693"/>
    <w:rsid w:val="00F43229"/>
    <w:rsid w:val="00F46842"/>
    <w:rsid w:val="00F572AB"/>
    <w:rsid w:val="00F61FF0"/>
    <w:rsid w:val="00F6331D"/>
    <w:rsid w:val="00F65CA5"/>
    <w:rsid w:val="00F719A8"/>
    <w:rsid w:val="00F73932"/>
    <w:rsid w:val="00F81164"/>
    <w:rsid w:val="00F82669"/>
    <w:rsid w:val="00FA02A3"/>
    <w:rsid w:val="00FA1521"/>
    <w:rsid w:val="00FA3C0F"/>
    <w:rsid w:val="00FA702E"/>
    <w:rsid w:val="00FA7763"/>
    <w:rsid w:val="00FB4FDE"/>
    <w:rsid w:val="00FB724C"/>
    <w:rsid w:val="00FC10F1"/>
    <w:rsid w:val="00FC40AE"/>
    <w:rsid w:val="00FC583A"/>
    <w:rsid w:val="00FD324B"/>
    <w:rsid w:val="00FD32AC"/>
    <w:rsid w:val="00FD3D6A"/>
    <w:rsid w:val="00FD442D"/>
    <w:rsid w:val="00FD4A2D"/>
    <w:rsid w:val="00FD553E"/>
    <w:rsid w:val="00FD5A31"/>
    <w:rsid w:val="00FE345C"/>
    <w:rsid w:val="00FE3B8E"/>
    <w:rsid w:val="00FE5616"/>
    <w:rsid w:val="00FF0D37"/>
    <w:rsid w:val="00FF6F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66ADD"/>
    <w:pPr>
      <w:spacing w:before="100" w:beforeAutospacing="1" w:after="100" w:afterAutospacing="1"/>
      <w:jc w:val="both"/>
    </w:pPr>
    <w:rPr>
      <w:color w:val="000000" w:themeColor="text1"/>
      <w:sz w:val="24"/>
      <w:szCs w:val="24"/>
    </w:rPr>
  </w:style>
  <w:style w:type="paragraph" w:styleId="Heading1">
    <w:name w:val="heading 1"/>
    <w:basedOn w:val="Normal"/>
    <w:next w:val="Normal"/>
    <w:qFormat/>
    <w:rsid w:val="003661AC"/>
    <w:pPr>
      <w:keepNext/>
      <w:bidi/>
      <w:spacing w:before="240" w:after="60"/>
      <w:outlineLvl w:val="0"/>
    </w:pPr>
    <w:rPr>
      <w:rFonts w:ascii="2  Nazanin" w:hAnsi="2  Nazanin" w:cs="Zar"/>
      <w:b/>
      <w:bCs/>
      <w:kern w:val="32"/>
      <w:sz w:val="32"/>
      <w:szCs w:val="32"/>
      <w:lang w:bidi="fa-IR"/>
    </w:rPr>
  </w:style>
  <w:style w:type="paragraph" w:styleId="Heading2">
    <w:name w:val="heading 2"/>
    <w:basedOn w:val="Normal"/>
    <w:next w:val="Normal"/>
    <w:autoRedefine/>
    <w:qFormat/>
    <w:rsid w:val="00CE2E4A"/>
    <w:pPr>
      <w:keepNext/>
      <w:numPr>
        <w:ilvl w:val="1"/>
        <w:numId w:val="1"/>
      </w:numPr>
      <w:bidi/>
      <w:spacing w:before="240" w:after="60" w:line="276" w:lineRule="auto"/>
      <w:outlineLvl w:val="1"/>
    </w:pPr>
    <w:rPr>
      <w:rFonts w:ascii="2  Zar" w:hAnsi="2  Zar" w:cs="Arial"/>
      <w:b/>
      <w:bCs/>
      <w:iCs/>
      <w:sz w:val="28"/>
      <w:szCs w:val="28"/>
      <w:lang w:bidi="fa-IR"/>
    </w:rPr>
  </w:style>
  <w:style w:type="paragraph" w:styleId="Heading3">
    <w:name w:val="heading 3"/>
    <w:basedOn w:val="Normal"/>
    <w:next w:val="Normal"/>
    <w:autoRedefine/>
    <w:qFormat/>
    <w:rsid w:val="009357AE"/>
    <w:pPr>
      <w:keepNext/>
      <w:spacing w:before="240" w:after="60"/>
      <w:outlineLvl w:val="2"/>
    </w:pPr>
    <w:rPr>
      <w:rFonts w:ascii="B Nazanin" w:eastAsia="Zar" w:hAnsi="B Nazanin" w:cs="2  Za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rsid w:val="0081223B"/>
    <w:pPr>
      <w:numPr>
        <w:numId w:val="2"/>
      </w:numPr>
    </w:pPr>
    <w:rPr>
      <w:rFonts w:ascii="2  Zar" w:hAnsi="2  Zar"/>
    </w:rPr>
  </w:style>
  <w:style w:type="paragraph" w:customStyle="1" w:styleId="StyleHeading3ComplexBNazanin">
    <w:name w:val="Style Heading 3 + (Complex) B Nazanin"/>
    <w:basedOn w:val="Heading3"/>
    <w:autoRedefine/>
    <w:rsid w:val="009357AE"/>
    <w:rPr>
      <w:rFonts w:cs="B Nazanin"/>
      <w:b/>
    </w:rPr>
  </w:style>
  <w:style w:type="character" w:styleId="CommentReference">
    <w:name w:val="annotation reference"/>
    <w:basedOn w:val="DefaultParagraphFont"/>
    <w:semiHidden/>
    <w:rsid w:val="003A7ED5"/>
    <w:rPr>
      <w:sz w:val="16"/>
      <w:szCs w:val="16"/>
    </w:rPr>
  </w:style>
  <w:style w:type="paragraph" w:styleId="CommentText">
    <w:name w:val="annotation text"/>
    <w:basedOn w:val="Normal"/>
    <w:semiHidden/>
    <w:rsid w:val="003A7ED5"/>
    <w:rPr>
      <w:sz w:val="20"/>
      <w:szCs w:val="20"/>
    </w:rPr>
  </w:style>
  <w:style w:type="paragraph" w:styleId="CommentSubject">
    <w:name w:val="annotation subject"/>
    <w:basedOn w:val="CommentText"/>
    <w:next w:val="CommentText"/>
    <w:semiHidden/>
    <w:rsid w:val="003A7ED5"/>
    <w:rPr>
      <w:b/>
      <w:bCs/>
    </w:rPr>
  </w:style>
  <w:style w:type="paragraph" w:styleId="BalloonText">
    <w:name w:val="Balloon Text"/>
    <w:basedOn w:val="Normal"/>
    <w:semiHidden/>
    <w:rsid w:val="003A7ED5"/>
    <w:rPr>
      <w:rFonts w:ascii="Tahoma" w:hAnsi="Tahoma" w:cs="Tahoma"/>
      <w:sz w:val="16"/>
      <w:szCs w:val="16"/>
    </w:rPr>
  </w:style>
  <w:style w:type="paragraph" w:styleId="Footer">
    <w:name w:val="footer"/>
    <w:basedOn w:val="Normal"/>
    <w:link w:val="FooterChar"/>
    <w:uiPriority w:val="99"/>
    <w:rsid w:val="004D70C9"/>
    <w:pPr>
      <w:tabs>
        <w:tab w:val="center" w:pos="4320"/>
        <w:tab w:val="right" w:pos="8640"/>
      </w:tabs>
    </w:pPr>
  </w:style>
  <w:style w:type="character" w:styleId="PageNumber">
    <w:name w:val="page number"/>
    <w:basedOn w:val="DefaultParagraphFont"/>
    <w:rsid w:val="004D70C9"/>
  </w:style>
  <w:style w:type="paragraph" w:styleId="Header">
    <w:name w:val="header"/>
    <w:basedOn w:val="Normal"/>
    <w:rsid w:val="00B8607A"/>
    <w:pPr>
      <w:tabs>
        <w:tab w:val="center" w:pos="4320"/>
        <w:tab w:val="right" w:pos="8640"/>
      </w:tabs>
    </w:pPr>
  </w:style>
  <w:style w:type="paragraph" w:styleId="ListParagraph">
    <w:name w:val="List Paragraph"/>
    <w:basedOn w:val="Normal"/>
    <w:uiPriority w:val="34"/>
    <w:qFormat/>
    <w:rsid w:val="004D5DAF"/>
    <w:pPr>
      <w:ind w:left="720"/>
      <w:contextualSpacing/>
    </w:pPr>
  </w:style>
  <w:style w:type="character" w:customStyle="1" w:styleId="FooterChar">
    <w:name w:val="Footer Char"/>
    <w:basedOn w:val="DefaultParagraphFont"/>
    <w:link w:val="Footer"/>
    <w:uiPriority w:val="99"/>
    <w:rsid w:val="00734EB8"/>
    <w:rPr>
      <w:sz w:val="24"/>
      <w:szCs w:val="24"/>
    </w:rPr>
  </w:style>
  <w:style w:type="paragraph" w:styleId="NormalWeb">
    <w:name w:val="Normal (Web)"/>
    <w:basedOn w:val="Normal"/>
    <w:uiPriority w:val="99"/>
    <w:unhideWhenUsed/>
    <w:rsid w:val="005B28DA"/>
    <w:pPr>
      <w:jc w:val="left"/>
    </w:pPr>
    <w:rPr>
      <w:rFonts w:eastAsia="Times New Roman"/>
    </w:rPr>
  </w:style>
  <w:style w:type="character" w:styleId="Hyperlink">
    <w:name w:val="Hyperlink"/>
    <w:basedOn w:val="DefaultParagraphFont"/>
    <w:uiPriority w:val="99"/>
    <w:semiHidden/>
    <w:unhideWhenUsed/>
    <w:rsid w:val="005062D3"/>
    <w:rPr>
      <w:color w:val="0000FF"/>
      <w:u w:val="single"/>
    </w:rPr>
  </w:style>
  <w:style w:type="paragraph" w:customStyle="1" w:styleId="11TableTitle">
    <w:name w:val="11 Table Title"/>
    <w:basedOn w:val="Normal"/>
    <w:next w:val="Normal"/>
    <w:qFormat/>
    <w:rsid w:val="00E408FF"/>
    <w:pPr>
      <w:keepNext/>
      <w:keepLines/>
      <w:bidi/>
      <w:spacing w:before="240" w:beforeAutospacing="0" w:after="60" w:afterAutospacing="0"/>
      <w:jc w:val="center"/>
    </w:pPr>
    <w:rPr>
      <w:rFonts w:ascii="Times" w:eastAsiaTheme="minorHAnsi" w:hAnsi="Times" w:cs="B Traffic"/>
      <w:b/>
      <w:bCs/>
      <w:color w:val="auto"/>
      <w:sz w:val="20"/>
      <w:szCs w:val="22"/>
      <w:lang w:bidi="fa-IR"/>
    </w:rPr>
  </w:style>
  <w:style w:type="paragraph" w:customStyle="1" w:styleId="13TableTextBold">
    <w:name w:val="13 Table Text Bold"/>
    <w:basedOn w:val="Normal"/>
    <w:qFormat/>
    <w:rsid w:val="00E408FF"/>
    <w:pPr>
      <w:widowControl w:val="0"/>
      <w:bidi/>
      <w:spacing w:before="0" w:beforeAutospacing="0" w:after="0" w:afterAutospacing="0"/>
      <w:jc w:val="center"/>
    </w:pPr>
    <w:rPr>
      <w:rFonts w:ascii="Times" w:eastAsiaTheme="minorHAnsi" w:hAnsi="Times" w:cs="B Zar"/>
      <w:b/>
      <w:bCs/>
      <w:color w:val="auto"/>
      <w:sz w:val="16"/>
      <w:szCs w:val="17"/>
      <w:lang w:bidi="fa-IR"/>
    </w:rPr>
  </w:style>
  <w:style w:type="paragraph" w:customStyle="1" w:styleId="14TableText">
    <w:name w:val="14 Table Text"/>
    <w:basedOn w:val="13TableTextBold"/>
    <w:qFormat/>
    <w:rsid w:val="00E408FF"/>
    <w:rPr>
      <w:b w:val="0"/>
      <w:bCs w:val="0"/>
    </w:rPr>
  </w:style>
  <w:style w:type="table" w:customStyle="1" w:styleId="LightList1">
    <w:name w:val="Light List1"/>
    <w:basedOn w:val="TableNormal"/>
    <w:uiPriority w:val="61"/>
    <w:rsid w:val="00E408FF"/>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03764E"/>
  </w:style>
  <w:style w:type="paragraph" w:customStyle="1" w:styleId="style55">
    <w:name w:val="style55"/>
    <w:basedOn w:val="Normal"/>
    <w:rsid w:val="00B66ADD"/>
    <w:pPr>
      <w:jc w:val="left"/>
    </w:pPr>
    <w:rPr>
      <w:rFonts w:ascii="Verdana" w:eastAsia="Times New Roman" w:hAnsi="Verdana"/>
      <w:b/>
      <w:bCs/>
      <w:color w:val="666666"/>
      <w:sz w:val="18"/>
      <w:szCs w:val="18"/>
    </w:rPr>
  </w:style>
  <w:style w:type="table" w:styleId="TableGrid">
    <w:name w:val="Table Grid"/>
    <w:basedOn w:val="TableNormal"/>
    <w:uiPriority w:val="59"/>
    <w:rsid w:val="0095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80C9C"/>
    <w:rPr>
      <w:color w:val="808080"/>
    </w:rPr>
  </w:style>
</w:styles>
</file>

<file path=word/webSettings.xml><?xml version="1.0" encoding="utf-8"?>
<w:webSettings xmlns:r="http://schemas.openxmlformats.org/officeDocument/2006/relationships" xmlns:w="http://schemas.openxmlformats.org/wordprocessingml/2006/main">
  <w:divs>
    <w:div w:id="262298780">
      <w:bodyDiv w:val="1"/>
      <w:marLeft w:val="0"/>
      <w:marRight w:val="0"/>
      <w:marTop w:val="0"/>
      <w:marBottom w:val="0"/>
      <w:divBdr>
        <w:top w:val="none" w:sz="0" w:space="0" w:color="auto"/>
        <w:left w:val="none" w:sz="0" w:space="0" w:color="auto"/>
        <w:bottom w:val="none" w:sz="0" w:space="0" w:color="auto"/>
        <w:right w:val="none" w:sz="0" w:space="0" w:color="auto"/>
      </w:divBdr>
    </w:div>
    <w:div w:id="361786744">
      <w:bodyDiv w:val="1"/>
      <w:marLeft w:val="0"/>
      <w:marRight w:val="0"/>
      <w:marTop w:val="0"/>
      <w:marBottom w:val="0"/>
      <w:divBdr>
        <w:top w:val="none" w:sz="0" w:space="0" w:color="auto"/>
        <w:left w:val="none" w:sz="0" w:space="0" w:color="auto"/>
        <w:bottom w:val="none" w:sz="0" w:space="0" w:color="auto"/>
        <w:right w:val="none" w:sz="0" w:space="0" w:color="auto"/>
      </w:divBdr>
      <w:divsChild>
        <w:div w:id="709262619">
          <w:marLeft w:val="0"/>
          <w:marRight w:val="0"/>
          <w:marTop w:val="0"/>
          <w:marBottom w:val="0"/>
          <w:divBdr>
            <w:top w:val="none" w:sz="0" w:space="0" w:color="auto"/>
            <w:left w:val="none" w:sz="0" w:space="0" w:color="auto"/>
            <w:bottom w:val="none" w:sz="0" w:space="0" w:color="auto"/>
            <w:right w:val="none" w:sz="0" w:space="0" w:color="auto"/>
          </w:divBdr>
          <w:divsChild>
            <w:div w:id="54277795">
              <w:marLeft w:val="0"/>
              <w:marRight w:val="0"/>
              <w:marTop w:val="0"/>
              <w:marBottom w:val="0"/>
              <w:divBdr>
                <w:top w:val="none" w:sz="0" w:space="0" w:color="auto"/>
                <w:left w:val="none" w:sz="0" w:space="0" w:color="auto"/>
                <w:bottom w:val="none" w:sz="0" w:space="0" w:color="auto"/>
                <w:right w:val="none" w:sz="0" w:space="0" w:color="auto"/>
              </w:divBdr>
              <w:divsChild>
                <w:div w:id="1071539547">
                  <w:marLeft w:val="0"/>
                  <w:marRight w:val="0"/>
                  <w:marTop w:val="0"/>
                  <w:marBottom w:val="0"/>
                  <w:divBdr>
                    <w:top w:val="none" w:sz="0" w:space="0" w:color="auto"/>
                    <w:left w:val="none" w:sz="0" w:space="0" w:color="auto"/>
                    <w:bottom w:val="none" w:sz="0" w:space="0" w:color="auto"/>
                    <w:right w:val="none" w:sz="0" w:space="0" w:color="auto"/>
                  </w:divBdr>
                  <w:divsChild>
                    <w:div w:id="13349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4944">
      <w:bodyDiv w:val="1"/>
      <w:marLeft w:val="0"/>
      <w:marRight w:val="0"/>
      <w:marTop w:val="0"/>
      <w:marBottom w:val="0"/>
      <w:divBdr>
        <w:top w:val="none" w:sz="0" w:space="0" w:color="auto"/>
        <w:left w:val="none" w:sz="0" w:space="0" w:color="auto"/>
        <w:bottom w:val="none" w:sz="0" w:space="0" w:color="auto"/>
        <w:right w:val="none" w:sz="0" w:space="0" w:color="auto"/>
      </w:divBdr>
    </w:div>
    <w:div w:id="1340618119">
      <w:bodyDiv w:val="1"/>
      <w:marLeft w:val="0"/>
      <w:marRight w:val="0"/>
      <w:marTop w:val="0"/>
      <w:marBottom w:val="0"/>
      <w:divBdr>
        <w:top w:val="none" w:sz="0" w:space="0" w:color="auto"/>
        <w:left w:val="none" w:sz="0" w:space="0" w:color="auto"/>
        <w:bottom w:val="none" w:sz="0" w:space="0" w:color="auto"/>
        <w:right w:val="none" w:sz="0" w:space="0" w:color="auto"/>
      </w:divBdr>
    </w:div>
    <w:div w:id="1354333830">
      <w:bodyDiv w:val="1"/>
      <w:marLeft w:val="0"/>
      <w:marRight w:val="0"/>
      <w:marTop w:val="0"/>
      <w:marBottom w:val="0"/>
      <w:divBdr>
        <w:top w:val="none" w:sz="0" w:space="0" w:color="auto"/>
        <w:left w:val="none" w:sz="0" w:space="0" w:color="auto"/>
        <w:bottom w:val="none" w:sz="0" w:space="0" w:color="auto"/>
        <w:right w:val="none" w:sz="0" w:space="0" w:color="auto"/>
      </w:divBdr>
    </w:div>
    <w:div w:id="1395465735">
      <w:bodyDiv w:val="1"/>
      <w:marLeft w:val="0"/>
      <w:marRight w:val="0"/>
      <w:marTop w:val="0"/>
      <w:marBottom w:val="0"/>
      <w:divBdr>
        <w:top w:val="none" w:sz="0" w:space="0" w:color="auto"/>
        <w:left w:val="none" w:sz="0" w:space="0" w:color="auto"/>
        <w:bottom w:val="none" w:sz="0" w:space="0" w:color="auto"/>
        <w:right w:val="none" w:sz="0" w:space="0" w:color="auto"/>
      </w:divBdr>
    </w:div>
    <w:div w:id="1911884214">
      <w:bodyDiv w:val="1"/>
      <w:marLeft w:val="0"/>
      <w:marRight w:val="0"/>
      <w:marTop w:val="0"/>
      <w:marBottom w:val="0"/>
      <w:divBdr>
        <w:top w:val="none" w:sz="0" w:space="0" w:color="auto"/>
        <w:left w:val="none" w:sz="0" w:space="0" w:color="auto"/>
        <w:bottom w:val="none" w:sz="0" w:space="0" w:color="auto"/>
        <w:right w:val="none" w:sz="0" w:space="0" w:color="auto"/>
      </w:divBdr>
    </w:div>
    <w:div w:id="191596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South-South_Cooperation" TargetMode="External"/><Relationship Id="rId117" Type="http://schemas.openxmlformats.org/officeDocument/2006/relationships/oleObject" Target="embeddings/oleObject43.bin"/><Relationship Id="rId21" Type="http://schemas.openxmlformats.org/officeDocument/2006/relationships/hyperlink" Target="http://en.wikipedia.org/wiki/Iran-France_relations" TargetMode="External"/><Relationship Id="rId42" Type="http://schemas.openxmlformats.org/officeDocument/2006/relationships/oleObject" Target="embeddings/oleObject4.bin"/><Relationship Id="rId47" Type="http://schemas.openxmlformats.org/officeDocument/2006/relationships/image" Target="media/image9.wmf"/><Relationship Id="rId63" Type="http://schemas.openxmlformats.org/officeDocument/2006/relationships/image" Target="media/image16.wmf"/><Relationship Id="rId68" Type="http://schemas.openxmlformats.org/officeDocument/2006/relationships/oleObject" Target="embeddings/oleObject18.bin"/><Relationship Id="rId84" Type="http://schemas.openxmlformats.org/officeDocument/2006/relationships/oleObject" Target="embeddings/oleObject26.bin"/><Relationship Id="rId89" Type="http://schemas.openxmlformats.org/officeDocument/2006/relationships/image" Target="media/image29.wmf"/><Relationship Id="rId112" Type="http://schemas.openxmlformats.org/officeDocument/2006/relationships/image" Target="media/image40.wmf"/><Relationship Id="rId16" Type="http://schemas.openxmlformats.org/officeDocument/2006/relationships/hyperlink" Target="http://en.wikipedia.org/wiki/Financial_crisis_of_2007%E2%80%932010" TargetMode="External"/><Relationship Id="rId107" Type="http://schemas.openxmlformats.org/officeDocument/2006/relationships/oleObject" Target="embeddings/oleObject38.bin"/><Relationship Id="rId11" Type="http://schemas.openxmlformats.org/officeDocument/2006/relationships/oleObject" Target="embeddings/oleObject2.bin"/><Relationship Id="rId32" Type="http://schemas.openxmlformats.org/officeDocument/2006/relationships/hyperlink" Target="http://en.wikipedia.org/wiki/Iran-Pakistan_relations" TargetMode="External"/><Relationship Id="rId37" Type="http://schemas.openxmlformats.org/officeDocument/2006/relationships/hyperlink" Target="http://en.wikipedia.org/wiki/Iranian_citizens_abroad" TargetMode="External"/><Relationship Id="rId53" Type="http://schemas.openxmlformats.org/officeDocument/2006/relationships/image" Target="media/image11.wmf"/><Relationship Id="rId58" Type="http://schemas.openxmlformats.org/officeDocument/2006/relationships/oleObject" Target="embeddings/oleObject13.bin"/><Relationship Id="rId74" Type="http://schemas.openxmlformats.org/officeDocument/2006/relationships/oleObject" Target="embeddings/oleObject21.bin"/><Relationship Id="rId79" Type="http://schemas.openxmlformats.org/officeDocument/2006/relationships/image" Target="media/image24.wmf"/><Relationship Id="rId102" Type="http://schemas.openxmlformats.org/officeDocument/2006/relationships/image" Target="media/image35.wmf"/><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15.wmf"/><Relationship Id="rId82" Type="http://schemas.openxmlformats.org/officeDocument/2006/relationships/oleObject" Target="embeddings/oleObject25.bin"/><Relationship Id="rId90" Type="http://schemas.openxmlformats.org/officeDocument/2006/relationships/oleObject" Target="embeddings/oleObject29.bin"/><Relationship Id="rId95" Type="http://schemas.openxmlformats.org/officeDocument/2006/relationships/image" Target="media/image32.wmf"/><Relationship Id="rId19" Type="http://schemas.openxmlformats.org/officeDocument/2006/relationships/hyperlink" Target="http://en.wikipedia.org/wiki/Iran-Germany_relations" TargetMode="External"/><Relationship Id="rId14" Type="http://schemas.openxmlformats.org/officeDocument/2006/relationships/hyperlink" Target="http://en.wikipedia.org/wiki/Caspian_Sea" TargetMode="External"/><Relationship Id="rId22" Type="http://schemas.openxmlformats.org/officeDocument/2006/relationships/hyperlink" Target="http://en.wikipedia.org/wiki/Iran-Russia_relations" TargetMode="External"/><Relationship Id="rId27" Type="http://schemas.openxmlformats.org/officeDocument/2006/relationships/hyperlink" Target="http://en.wikipedia.org/wiki/Iran%E2%80%93Arab_relations" TargetMode="External"/><Relationship Id="rId30" Type="http://schemas.openxmlformats.org/officeDocument/2006/relationships/hyperlink" Target="http://en.wikipedia.org/wiki/Iran%E2%80%93Venezuela_relations" TargetMode="External"/><Relationship Id="rId35" Type="http://schemas.openxmlformats.org/officeDocument/2006/relationships/hyperlink" Target="http://en.wikipedia.org/wiki/Iran%E2%80%93Arab_relations" TargetMode="External"/><Relationship Id="rId43" Type="http://schemas.openxmlformats.org/officeDocument/2006/relationships/image" Target="media/image7.wmf"/><Relationship Id="rId48" Type="http://schemas.openxmlformats.org/officeDocument/2006/relationships/oleObject" Target="embeddings/oleObject7.bin"/><Relationship Id="rId56" Type="http://schemas.openxmlformats.org/officeDocument/2006/relationships/oleObject" Target="embeddings/oleObject12.bin"/><Relationship Id="rId64" Type="http://schemas.openxmlformats.org/officeDocument/2006/relationships/oleObject" Target="embeddings/oleObject16.bin"/><Relationship Id="rId69" Type="http://schemas.openxmlformats.org/officeDocument/2006/relationships/image" Target="media/image19.wmf"/><Relationship Id="rId77" Type="http://schemas.openxmlformats.org/officeDocument/2006/relationships/image" Target="media/image23.wmf"/><Relationship Id="rId100" Type="http://schemas.openxmlformats.org/officeDocument/2006/relationships/image" Target="media/image34.wmf"/><Relationship Id="rId105" Type="http://schemas.openxmlformats.org/officeDocument/2006/relationships/oleObject" Target="embeddings/oleObject37.bin"/><Relationship Id="rId113" Type="http://schemas.openxmlformats.org/officeDocument/2006/relationships/oleObject" Target="embeddings/oleObject41.bin"/><Relationship Id="rId118" Type="http://schemas.openxmlformats.org/officeDocument/2006/relationships/image" Target="media/image43.wmf"/><Relationship Id="rId8" Type="http://schemas.openxmlformats.org/officeDocument/2006/relationships/image" Target="media/image1.wmf"/><Relationship Id="rId51" Type="http://schemas.openxmlformats.org/officeDocument/2006/relationships/oleObject" Target="embeddings/oleObject9.bin"/><Relationship Id="rId72" Type="http://schemas.openxmlformats.org/officeDocument/2006/relationships/oleObject" Target="embeddings/oleObject20.bin"/><Relationship Id="rId80" Type="http://schemas.openxmlformats.org/officeDocument/2006/relationships/oleObject" Target="embeddings/oleObject24.bin"/><Relationship Id="rId85" Type="http://schemas.openxmlformats.org/officeDocument/2006/relationships/image" Target="media/image27.wmf"/><Relationship Id="rId93" Type="http://schemas.openxmlformats.org/officeDocument/2006/relationships/image" Target="media/image31.wmf"/><Relationship Id="rId98" Type="http://schemas.openxmlformats.org/officeDocument/2006/relationships/oleObject" Target="embeddings/oleObject33.bin"/><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en.wikipedia.org/wiki/People%27s_Republic_of_China_%E2%80%93_Iran_relations" TargetMode="External"/><Relationship Id="rId25" Type="http://schemas.openxmlformats.org/officeDocument/2006/relationships/hyperlink" Target="http://en.wikipedia.org/wiki/Developing_country" TargetMode="External"/><Relationship Id="rId33" Type="http://schemas.openxmlformats.org/officeDocument/2006/relationships/hyperlink" Target="http://en.wikipedia.org/wiki/Economic_Cooperation_Organization" TargetMode="External"/><Relationship Id="rId38" Type="http://schemas.openxmlformats.org/officeDocument/2006/relationships/hyperlink" Target="http://en.wikipedia.org/wiki/Black_market" TargetMode="External"/><Relationship Id="rId46" Type="http://schemas.openxmlformats.org/officeDocument/2006/relationships/oleObject" Target="embeddings/oleObject6.bin"/><Relationship Id="rId59" Type="http://schemas.openxmlformats.org/officeDocument/2006/relationships/image" Target="media/image14.wmf"/><Relationship Id="rId67" Type="http://schemas.openxmlformats.org/officeDocument/2006/relationships/image" Target="media/image18.wmf"/><Relationship Id="rId103" Type="http://schemas.openxmlformats.org/officeDocument/2006/relationships/oleObject" Target="embeddings/oleObject36.bin"/><Relationship Id="rId108" Type="http://schemas.openxmlformats.org/officeDocument/2006/relationships/image" Target="media/image38.wmf"/><Relationship Id="rId116" Type="http://schemas.openxmlformats.org/officeDocument/2006/relationships/image" Target="media/image42.wmf"/><Relationship Id="rId20" Type="http://schemas.openxmlformats.org/officeDocument/2006/relationships/hyperlink" Target="http://en.wikipedia.org/wiki/Iran%E2%80%93Japan_relations" TargetMode="External"/><Relationship Id="rId41" Type="http://schemas.openxmlformats.org/officeDocument/2006/relationships/image" Target="media/image6.wmf"/><Relationship Id="rId54" Type="http://schemas.openxmlformats.org/officeDocument/2006/relationships/oleObject" Target="embeddings/oleObject11.bin"/><Relationship Id="rId62" Type="http://schemas.openxmlformats.org/officeDocument/2006/relationships/oleObject" Target="embeddings/oleObject15.bin"/><Relationship Id="rId70" Type="http://schemas.openxmlformats.org/officeDocument/2006/relationships/oleObject" Target="embeddings/oleObject19.bin"/><Relationship Id="rId75" Type="http://schemas.openxmlformats.org/officeDocument/2006/relationships/image" Target="media/image22.wmf"/><Relationship Id="rId83" Type="http://schemas.openxmlformats.org/officeDocument/2006/relationships/image" Target="media/image26.wmf"/><Relationship Id="rId88" Type="http://schemas.openxmlformats.org/officeDocument/2006/relationships/oleObject" Target="embeddings/oleObject28.bin"/><Relationship Id="rId91" Type="http://schemas.openxmlformats.org/officeDocument/2006/relationships/image" Target="media/image30.wmf"/><Relationship Id="rId96" Type="http://schemas.openxmlformats.org/officeDocument/2006/relationships/oleObject" Target="embeddings/oleObject32.bin"/><Relationship Id="rId111"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n.wikipedia.org/wiki/Economic_Cooperation_Organization" TargetMode="External"/><Relationship Id="rId23" Type="http://schemas.openxmlformats.org/officeDocument/2006/relationships/hyperlink" Target="http://en.wikipedia.org/wiki/Iran-Italy_relations" TargetMode="External"/><Relationship Id="rId28" Type="http://schemas.openxmlformats.org/officeDocument/2006/relationships/hyperlink" Target="http://en.wikipedia.org/wiki/Iran-South_Africa_relations" TargetMode="External"/><Relationship Id="rId36" Type="http://schemas.openxmlformats.org/officeDocument/2006/relationships/hyperlink" Target="http://en.wikipedia.org/wiki/UAE" TargetMode="External"/><Relationship Id="rId49" Type="http://schemas.openxmlformats.org/officeDocument/2006/relationships/oleObject" Target="embeddings/oleObject8.bin"/><Relationship Id="rId57" Type="http://schemas.openxmlformats.org/officeDocument/2006/relationships/image" Target="media/image13.wmf"/><Relationship Id="rId106" Type="http://schemas.openxmlformats.org/officeDocument/2006/relationships/image" Target="media/image37.wmf"/><Relationship Id="rId114" Type="http://schemas.openxmlformats.org/officeDocument/2006/relationships/image" Target="media/image41.wmf"/><Relationship Id="rId119" Type="http://schemas.openxmlformats.org/officeDocument/2006/relationships/oleObject" Target="embeddings/oleObject44.bin"/><Relationship Id="rId10" Type="http://schemas.openxmlformats.org/officeDocument/2006/relationships/image" Target="media/image2.wmf"/><Relationship Id="rId31" Type="http://schemas.openxmlformats.org/officeDocument/2006/relationships/hyperlink" Target="http://en.wikipedia.org/wiki/Iran-Turkey_relations" TargetMode="External"/><Relationship Id="rId44" Type="http://schemas.openxmlformats.org/officeDocument/2006/relationships/oleObject" Target="embeddings/oleObject5.bin"/><Relationship Id="rId52" Type="http://schemas.openxmlformats.org/officeDocument/2006/relationships/oleObject" Target="embeddings/oleObject10.bin"/><Relationship Id="rId60" Type="http://schemas.openxmlformats.org/officeDocument/2006/relationships/oleObject" Target="embeddings/oleObject14.bin"/><Relationship Id="rId65" Type="http://schemas.openxmlformats.org/officeDocument/2006/relationships/image" Target="media/image17.wmf"/><Relationship Id="rId73" Type="http://schemas.openxmlformats.org/officeDocument/2006/relationships/image" Target="media/image21.wmf"/><Relationship Id="rId78" Type="http://schemas.openxmlformats.org/officeDocument/2006/relationships/oleObject" Target="embeddings/oleObject23.bin"/><Relationship Id="rId81" Type="http://schemas.openxmlformats.org/officeDocument/2006/relationships/image" Target="media/image25.wmf"/><Relationship Id="rId86" Type="http://schemas.openxmlformats.org/officeDocument/2006/relationships/oleObject" Target="embeddings/oleObject27.bin"/><Relationship Id="rId94" Type="http://schemas.openxmlformats.org/officeDocument/2006/relationships/oleObject" Target="embeddings/oleObject31.bin"/><Relationship Id="rId99" Type="http://schemas.openxmlformats.org/officeDocument/2006/relationships/oleObject" Target="embeddings/oleObject34.bin"/><Relationship Id="rId101" Type="http://schemas.openxmlformats.org/officeDocument/2006/relationships/oleObject" Target="embeddings/oleObject35.bin"/><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en.wikipedia.org/wiki/List_of_Iranian_companies" TargetMode="External"/><Relationship Id="rId18" Type="http://schemas.openxmlformats.org/officeDocument/2006/relationships/hyperlink" Target="http://en.wikipedia.org/wiki/India%E2%80%93Iran_relations" TargetMode="External"/><Relationship Id="rId39" Type="http://schemas.openxmlformats.org/officeDocument/2006/relationships/image" Target="media/image5.wmf"/><Relationship Id="rId109" Type="http://schemas.openxmlformats.org/officeDocument/2006/relationships/oleObject" Target="embeddings/oleObject39.bin"/><Relationship Id="rId34" Type="http://schemas.openxmlformats.org/officeDocument/2006/relationships/hyperlink" Target="http://en.wikipedia.org/wiki/Iran" TargetMode="External"/><Relationship Id="rId50" Type="http://schemas.openxmlformats.org/officeDocument/2006/relationships/image" Target="media/image10.wmf"/><Relationship Id="rId55" Type="http://schemas.openxmlformats.org/officeDocument/2006/relationships/image" Target="media/image12.wmf"/><Relationship Id="rId76" Type="http://schemas.openxmlformats.org/officeDocument/2006/relationships/oleObject" Target="embeddings/oleObject22.bin"/><Relationship Id="rId97" Type="http://schemas.openxmlformats.org/officeDocument/2006/relationships/image" Target="media/image33.wmf"/><Relationship Id="rId104" Type="http://schemas.openxmlformats.org/officeDocument/2006/relationships/image" Target="media/image36.wmf"/><Relationship Id="rId120"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20.wmf"/><Relationship Id="rId92" Type="http://schemas.openxmlformats.org/officeDocument/2006/relationships/oleObject" Target="embeddings/oleObject30.bin"/><Relationship Id="rId2" Type="http://schemas.openxmlformats.org/officeDocument/2006/relationships/numbering" Target="numbering.xml"/><Relationship Id="rId29" Type="http://schemas.openxmlformats.org/officeDocument/2006/relationships/hyperlink" Target="http://en.wikipedia.org/wiki/Cuba%E2%80%93Iran_relations" TargetMode="External"/><Relationship Id="rId24" Type="http://schemas.openxmlformats.org/officeDocument/2006/relationships/hyperlink" Target="http://en.wikipedia.org/wiki/United_States-Iran_relations" TargetMode="External"/><Relationship Id="rId40" Type="http://schemas.openxmlformats.org/officeDocument/2006/relationships/oleObject" Target="embeddings/oleObject3.bin"/><Relationship Id="rId45" Type="http://schemas.openxmlformats.org/officeDocument/2006/relationships/image" Target="media/image8.wmf"/><Relationship Id="rId66" Type="http://schemas.openxmlformats.org/officeDocument/2006/relationships/oleObject" Target="embeddings/oleObject17.bin"/><Relationship Id="rId87" Type="http://schemas.openxmlformats.org/officeDocument/2006/relationships/image" Target="media/image28.wmf"/><Relationship Id="rId110" Type="http://schemas.openxmlformats.org/officeDocument/2006/relationships/image" Target="media/image39.wmf"/><Relationship Id="rId115" Type="http://schemas.openxmlformats.org/officeDocument/2006/relationships/oleObject" Target="embeddings/oleObject42.bin"/></Relationships>
</file>

<file path=word/charts/_rels/chart1.xml.rels><?xml version="1.0" encoding="UTF-8" standalone="yes"?>
<Relationships xmlns="http://schemas.openxmlformats.org/package/2006/relationships"><Relationship Id="rId3" Type="http://schemas.openxmlformats.org/officeDocument/2006/relationships/oleObject" Target="file:///C:\Documents%20and%20Settings\Homaie\My%20Documents\Soory%20Documents\Slovaky\export%20and%20import%20time%20series.xlsx" TargetMode="External"/><Relationship Id="rId2" Type="http://schemas.openxmlformats.org/officeDocument/2006/relationships/image" Target="../media/image4.jpeg"/><Relationship Id="rId1" Type="http://schemas.openxmlformats.org/officeDocument/2006/relationships/image" Target="../media/image3.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v>export ratio</c:v>
          </c:tx>
          <c:spPr>
            <a:ln>
              <a:prstDash val="sysDash"/>
            </a:ln>
          </c:spPr>
          <c:marker>
            <c:symbol val="none"/>
          </c:marker>
          <c:xVal>
            <c:numRef>
              <c:f>Sheet2!$A$3:$A$50</c:f>
              <c:numCache>
                <c:formatCode>General</c:formatCode>
                <c:ptCount val="48"/>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numCache>
            </c:numRef>
          </c:xVal>
          <c:yVal>
            <c:numRef>
              <c:f>Sheet2!$B$3:$B$50</c:f>
              <c:numCache>
                <c:formatCode>0.00</c:formatCode>
                <c:ptCount val="48"/>
                <c:pt idx="0">
                  <c:v>0.33559385147012949</c:v>
                </c:pt>
                <c:pt idx="1">
                  <c:v>0.33592195035315248</c:v>
                </c:pt>
                <c:pt idx="2">
                  <c:v>0.35057097560624539</c:v>
                </c:pt>
                <c:pt idx="3">
                  <c:v>0.37304285744000681</c:v>
                </c:pt>
                <c:pt idx="4">
                  <c:v>0.38884272000993292</c:v>
                </c:pt>
                <c:pt idx="5">
                  <c:v>0.40663213113626528</c:v>
                </c:pt>
                <c:pt idx="6">
                  <c:v>0.40868209436410341</c:v>
                </c:pt>
                <c:pt idx="7">
                  <c:v>0.42029349688471757</c:v>
                </c:pt>
                <c:pt idx="8">
                  <c:v>0.44079057507335639</c:v>
                </c:pt>
                <c:pt idx="9">
                  <c:v>0.44887214347096033</c:v>
                </c:pt>
                <c:pt idx="10">
                  <c:v>0.47107961390673631</c:v>
                </c:pt>
                <c:pt idx="11">
                  <c:v>0.48334391503182034</c:v>
                </c:pt>
                <c:pt idx="12">
                  <c:v>0.49863573487383683</c:v>
                </c:pt>
                <c:pt idx="13">
                  <c:v>0.48861605695427057</c:v>
                </c:pt>
                <c:pt idx="14">
                  <c:v>0.50690864107621059</c:v>
                </c:pt>
                <c:pt idx="15">
                  <c:v>0.44216248886924442</c:v>
                </c:pt>
                <c:pt idx="16">
                  <c:v>0.37860594200642239</c:v>
                </c:pt>
                <c:pt idx="17">
                  <c:v>0.35704817471361738</c:v>
                </c:pt>
                <c:pt idx="18">
                  <c:v>0.33691920073008996</c:v>
                </c:pt>
                <c:pt idx="19">
                  <c:v>0.2647503988042158</c:v>
                </c:pt>
                <c:pt idx="20">
                  <c:v>0.21541071105861606</c:v>
                </c:pt>
                <c:pt idx="21">
                  <c:v>8.6035581348831047E-2</c:v>
                </c:pt>
                <c:pt idx="22">
                  <c:v>8.0394983574822582E-2</c:v>
                </c:pt>
                <c:pt idx="23">
                  <c:v>0.13808770073419771</c:v>
                </c:pt>
                <c:pt idx="24">
                  <c:v>0.1515446896240879</c:v>
                </c:pt>
                <c:pt idx="25">
                  <c:v>0.12278929474219212</c:v>
                </c:pt>
                <c:pt idx="26">
                  <c:v>0.10903186347307914</c:v>
                </c:pt>
                <c:pt idx="27">
                  <c:v>0.10043267103731272</c:v>
                </c:pt>
                <c:pt idx="28">
                  <c:v>0.14806835348609876</c:v>
                </c:pt>
                <c:pt idx="29">
                  <c:v>0.17862533612413295</c:v>
                </c:pt>
                <c:pt idx="30">
                  <c:v>0.18206536413695396</c:v>
                </c:pt>
                <c:pt idx="31">
                  <c:v>0.20266287153861767</c:v>
                </c:pt>
                <c:pt idx="32">
                  <c:v>0.21172297153276742</c:v>
                </c:pt>
                <c:pt idx="33">
                  <c:v>0.2108023603052577</c:v>
                </c:pt>
                <c:pt idx="34">
                  <c:v>0.23975873881742596</c:v>
                </c:pt>
                <c:pt idx="35">
                  <c:v>0.25399848139918291</c:v>
                </c:pt>
                <c:pt idx="36">
                  <c:v>0.19536032776005768</c:v>
                </c:pt>
                <c:pt idx="37">
                  <c:v>0.18872844418173243</c:v>
                </c:pt>
                <c:pt idx="38">
                  <c:v>0.17481865121428633</c:v>
                </c:pt>
                <c:pt idx="39">
                  <c:v>0.18772917237467551</c:v>
                </c:pt>
                <c:pt idx="40">
                  <c:v>0.1886132179855507</c:v>
                </c:pt>
                <c:pt idx="41">
                  <c:v>0.18270676748686313</c:v>
                </c:pt>
                <c:pt idx="42">
                  <c:v>0.17362152128693037</c:v>
                </c:pt>
                <c:pt idx="43">
                  <c:v>0.17391956714571871</c:v>
                </c:pt>
                <c:pt idx="44">
                  <c:v>0.18155385348536876</c:v>
                </c:pt>
                <c:pt idx="45">
                  <c:v>0.17039009537717234</c:v>
                </c:pt>
                <c:pt idx="46">
                  <c:v>0.16783778279837921</c:v>
                </c:pt>
                <c:pt idx="47">
                  <c:v>0.17007827285131821</c:v>
                </c:pt>
              </c:numCache>
            </c:numRef>
          </c:yVal>
          <c:smooth val="1"/>
        </c:ser>
        <c:ser>
          <c:idx val="1"/>
          <c:order val="1"/>
          <c:tx>
            <c:v>Foeign Trade share</c:v>
          </c:tx>
          <c:spPr>
            <a:ln>
              <a:prstDash val="sysDot"/>
            </a:ln>
          </c:spPr>
          <c:marker>
            <c:symbol val="none"/>
          </c:marker>
          <c:xVal>
            <c:numRef>
              <c:f>Sheet2!$A$3:$A$50</c:f>
              <c:numCache>
                <c:formatCode>General</c:formatCode>
                <c:ptCount val="48"/>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numCache>
            </c:numRef>
          </c:xVal>
          <c:yVal>
            <c:numRef>
              <c:f>Sheet2!$C$3:$C$50</c:f>
              <c:numCache>
                <c:formatCode>0.00</c:formatCode>
                <c:ptCount val="48"/>
                <c:pt idx="0">
                  <c:v>0.54078209569738811</c:v>
                </c:pt>
                <c:pt idx="1">
                  <c:v>0.52561115763039268</c:v>
                </c:pt>
                <c:pt idx="2">
                  <c:v>0.51876162283560001</c:v>
                </c:pt>
                <c:pt idx="3">
                  <c:v>0.51907670355619073</c:v>
                </c:pt>
                <c:pt idx="4">
                  <c:v>0.51959954577895973</c:v>
                </c:pt>
                <c:pt idx="5">
                  <c:v>0.57727126460954048</c:v>
                </c:pt>
                <c:pt idx="6">
                  <c:v>0.57832685072456469</c:v>
                </c:pt>
                <c:pt idx="7">
                  <c:v>0.59668889847229722</c:v>
                </c:pt>
                <c:pt idx="8">
                  <c:v>0.63857413697103294</c:v>
                </c:pt>
                <c:pt idx="9">
                  <c:v>0.66076495047529182</c:v>
                </c:pt>
                <c:pt idx="10">
                  <c:v>0.68092612400537333</c:v>
                </c:pt>
                <c:pt idx="11">
                  <c:v>0.6891377250722811</c:v>
                </c:pt>
                <c:pt idx="12">
                  <c:v>0.71509443627852975</c:v>
                </c:pt>
                <c:pt idx="13">
                  <c:v>0.70428766543395327</c:v>
                </c:pt>
                <c:pt idx="14">
                  <c:v>0.76180802864751684</c:v>
                </c:pt>
                <c:pt idx="15">
                  <c:v>0.8490732969827367</c:v>
                </c:pt>
                <c:pt idx="16">
                  <c:v>0.96521833907958265</c:v>
                </c:pt>
                <c:pt idx="17">
                  <c:v>0.84494018041700214</c:v>
                </c:pt>
                <c:pt idx="18">
                  <c:v>0.90320424605080563</c:v>
                </c:pt>
                <c:pt idx="19">
                  <c:v>0.69087065906256084</c:v>
                </c:pt>
                <c:pt idx="20">
                  <c:v>0.55083807174472021</c:v>
                </c:pt>
                <c:pt idx="21">
                  <c:v>0.48920964515126281</c:v>
                </c:pt>
                <c:pt idx="22">
                  <c:v>0.48013455056901527</c:v>
                </c:pt>
                <c:pt idx="23">
                  <c:v>0.45495570603231206</c:v>
                </c:pt>
                <c:pt idx="24">
                  <c:v>0.5473832941367075</c:v>
                </c:pt>
                <c:pt idx="25">
                  <c:v>0.40050665375272332</c:v>
                </c:pt>
                <c:pt idx="26">
                  <c:v>0.36240543889812726</c:v>
                </c:pt>
                <c:pt idx="27">
                  <c:v>0.34324497795710007</c:v>
                </c:pt>
                <c:pt idx="28">
                  <c:v>0.41784958138125206</c:v>
                </c:pt>
                <c:pt idx="29">
                  <c:v>0.42153888320831839</c:v>
                </c:pt>
                <c:pt idx="30">
                  <c:v>0.45877735621113169</c:v>
                </c:pt>
                <c:pt idx="31">
                  <c:v>0.52179738526556219</c:v>
                </c:pt>
                <c:pt idx="32">
                  <c:v>0.59054944322931258</c:v>
                </c:pt>
                <c:pt idx="33">
                  <c:v>0.54192750970379999</c:v>
                </c:pt>
                <c:pt idx="34">
                  <c:v>0.50197251165810564</c:v>
                </c:pt>
                <c:pt idx="35">
                  <c:v>0.41306083472270028</c:v>
                </c:pt>
                <c:pt idx="36">
                  <c:v>0.34843601282687447</c:v>
                </c:pt>
                <c:pt idx="37">
                  <c:v>0.35721013854979883</c:v>
                </c:pt>
                <c:pt idx="38">
                  <c:v>0.32811650481714505</c:v>
                </c:pt>
                <c:pt idx="39">
                  <c:v>0.33728221819510723</c:v>
                </c:pt>
                <c:pt idx="40">
                  <c:v>0.3280528592618468</c:v>
                </c:pt>
                <c:pt idx="41">
                  <c:v>0.32657345884681738</c:v>
                </c:pt>
                <c:pt idx="42">
                  <c:v>0.33699724707856632</c:v>
                </c:pt>
                <c:pt idx="43">
                  <c:v>0.36002950282799684</c:v>
                </c:pt>
                <c:pt idx="44">
                  <c:v>0.38968467074275193</c:v>
                </c:pt>
                <c:pt idx="45">
                  <c:v>0.39122217481843841</c:v>
                </c:pt>
                <c:pt idx="46">
                  <c:v>0.37892304377049657</c:v>
                </c:pt>
                <c:pt idx="47">
                  <c:v>0.38216412451929088</c:v>
                </c:pt>
              </c:numCache>
            </c:numRef>
          </c:yVal>
          <c:smooth val="1"/>
        </c:ser>
        <c:ser>
          <c:idx val="2"/>
          <c:order val="2"/>
          <c:tx>
            <c:v>oil export share</c:v>
          </c:tx>
          <c:spPr>
            <a:ln cap="rnd" cmpd="sng">
              <a:prstDash val="lgDashDot"/>
              <a:round/>
              <a:headEnd type="triangle" w="sm" len="sm"/>
              <a:tailEnd w="sm" len="sm"/>
            </a:ln>
          </c:spPr>
          <c:marker>
            <c:symbol val="none"/>
          </c:marker>
          <c:xVal>
            <c:numRef>
              <c:f>Sheet2!$A$3:$A$50</c:f>
              <c:numCache>
                <c:formatCode>General</c:formatCode>
                <c:ptCount val="48"/>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numCache>
            </c:numRef>
          </c:xVal>
          <c:yVal>
            <c:numRef>
              <c:f>Sheet2!$D$3:$D$50</c:f>
              <c:numCache>
                <c:formatCode>0.00</c:formatCode>
                <c:ptCount val="48"/>
                <c:pt idx="0">
                  <c:v>0.3025694765921193</c:v>
                </c:pt>
                <c:pt idx="1">
                  <c:v>0.30867277677340493</c:v>
                </c:pt>
                <c:pt idx="2">
                  <c:v>0.3233241901932174</c:v>
                </c:pt>
                <c:pt idx="3">
                  <c:v>0.3491361167806909</c:v>
                </c:pt>
                <c:pt idx="4">
                  <c:v>0.36517755038162408</c:v>
                </c:pt>
                <c:pt idx="5">
                  <c:v>0.38313950272450581</c:v>
                </c:pt>
                <c:pt idx="6">
                  <c:v>0.38410128344051586</c:v>
                </c:pt>
                <c:pt idx="7">
                  <c:v>0.40007034720627987</c:v>
                </c:pt>
                <c:pt idx="8">
                  <c:v>0.42022366753887197</c:v>
                </c:pt>
                <c:pt idx="9">
                  <c:v>0.42703715045002627</c:v>
                </c:pt>
                <c:pt idx="10">
                  <c:v>0.45090930802342999</c:v>
                </c:pt>
                <c:pt idx="11">
                  <c:v>0.46255315047400125</c:v>
                </c:pt>
                <c:pt idx="12">
                  <c:v>0.4741960188767595</c:v>
                </c:pt>
                <c:pt idx="13">
                  <c:v>0.46816477949860402</c:v>
                </c:pt>
                <c:pt idx="14">
                  <c:v>0.45082661791002115</c:v>
                </c:pt>
                <c:pt idx="15">
                  <c:v>0.39481050177110277</c:v>
                </c:pt>
                <c:pt idx="16">
                  <c:v>0.33167894251833435</c:v>
                </c:pt>
                <c:pt idx="17">
                  <c:v>0.32247903507173942</c:v>
                </c:pt>
                <c:pt idx="18">
                  <c:v>0.30120075155962528</c:v>
                </c:pt>
                <c:pt idx="19">
                  <c:v>0.23328825224667554</c:v>
                </c:pt>
                <c:pt idx="20">
                  <c:v>0.18556705784852467</c:v>
                </c:pt>
                <c:pt idx="21">
                  <c:v>6.3969781355701819E-2</c:v>
                </c:pt>
                <c:pt idx="22">
                  <c:v>6.8924547152440854E-2</c:v>
                </c:pt>
                <c:pt idx="23">
                  <c:v>0.13019014252674224</c:v>
                </c:pt>
                <c:pt idx="24">
                  <c:v>0.14217822612758188</c:v>
                </c:pt>
                <c:pt idx="25">
                  <c:v>0.11406286083400655</c:v>
                </c:pt>
                <c:pt idx="26">
                  <c:v>0.10159697138694962</c:v>
                </c:pt>
                <c:pt idx="27">
                  <c:v>9.5739431449045814E-2</c:v>
                </c:pt>
                <c:pt idx="28">
                  <c:v>0.11960077204619274</c:v>
                </c:pt>
                <c:pt idx="29">
                  <c:v>0.15394731921306531</c:v>
                </c:pt>
                <c:pt idx="30">
                  <c:v>0.15320195005769732</c:v>
                </c:pt>
                <c:pt idx="31">
                  <c:v>0.16644587179426432</c:v>
                </c:pt>
                <c:pt idx="32">
                  <c:v>0.16236079570866022</c:v>
                </c:pt>
                <c:pt idx="33">
                  <c:v>0.16004232349563405</c:v>
                </c:pt>
                <c:pt idx="34">
                  <c:v>0.16703856648020399</c:v>
                </c:pt>
                <c:pt idx="35">
                  <c:v>0.1527561618254242</c:v>
                </c:pt>
                <c:pt idx="36">
                  <c:v>0.14349078674419238</c:v>
                </c:pt>
                <c:pt idx="37">
                  <c:v>0.14093157663638795</c:v>
                </c:pt>
                <c:pt idx="38">
                  <c:v>0.12867026787161637</c:v>
                </c:pt>
                <c:pt idx="39">
                  <c:v>0.12696566867046349</c:v>
                </c:pt>
                <c:pt idx="40">
                  <c:v>0.12349470828965545</c:v>
                </c:pt>
                <c:pt idx="41">
                  <c:v>0.1247005197211226</c:v>
                </c:pt>
                <c:pt idx="42">
                  <c:v>0.10750691685385072</c:v>
                </c:pt>
                <c:pt idx="43">
                  <c:v>0.10298712324710874</c:v>
                </c:pt>
                <c:pt idx="44">
                  <c:v>0.11132683392565994</c:v>
                </c:pt>
                <c:pt idx="45">
                  <c:v>0.10875211450668361</c:v>
                </c:pt>
                <c:pt idx="46">
                  <c:v>0.10166031851461092</c:v>
                </c:pt>
                <c:pt idx="47">
                  <c:v>9.8858370037431739E-2</c:v>
                </c:pt>
              </c:numCache>
            </c:numRef>
          </c:yVal>
          <c:smooth val="1"/>
        </c:ser>
        <c:axId val="132397312"/>
        <c:axId val="132441216"/>
      </c:scatterChart>
      <c:valAx>
        <c:axId val="132397312"/>
        <c:scaling>
          <c:orientation val="minMax"/>
        </c:scaling>
        <c:axPos val="b"/>
        <c:numFmt formatCode="General" sourceLinked="1"/>
        <c:tickLblPos val="nextTo"/>
        <c:crossAx val="132441216"/>
        <c:crosses val="autoZero"/>
        <c:crossBetween val="midCat"/>
        <c:majorUnit val="5"/>
      </c:valAx>
      <c:valAx>
        <c:axId val="132441216"/>
        <c:scaling>
          <c:orientation val="minMax"/>
        </c:scaling>
        <c:axPos val="l"/>
        <c:majorGridlines/>
        <c:numFmt formatCode="0.00" sourceLinked="1"/>
        <c:tickLblPos val="nextTo"/>
        <c:crossAx val="132397312"/>
        <c:crosses val="autoZero"/>
        <c:crossBetween val="midCat"/>
      </c:valAx>
      <c:spPr>
        <a:blipFill>
          <a:blip xmlns:r="http://schemas.openxmlformats.org/officeDocument/2006/relationships" r:embed="rId1"/>
          <a:tile tx="0" ty="0" sx="100000" sy="100000" flip="none" algn="tl"/>
        </a:blipFill>
      </c:spPr>
    </c:plotArea>
    <c:legend>
      <c:legendPos val="b"/>
    </c:legend>
    <c:plotVisOnly val="1"/>
  </c:chart>
  <c:spPr>
    <a:blipFill>
      <a:blip xmlns:r="http://schemas.openxmlformats.org/officeDocument/2006/relationships" r:embed="rId2"/>
      <a:tile tx="0" ty="0" sx="100000" sy="100000" flip="none" algn="tl"/>
    </a:blipFill>
  </c:spPr>
  <c:externalData r:id="rId3"/>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64B31-FD46-4022-AE42-5DEA0F4A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TotalTime>
  <Pages>16</Pages>
  <Words>5922</Words>
  <Characters>33756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Is Leontief Paradox satisfied in Foreign Trade in Iran</vt:lpstr>
    </vt:vector>
  </TitlesOfParts>
  <Company>Home</Company>
  <LinksUpToDate>false</LinksUpToDate>
  <CharactersWithSpaces>39599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Leontief Paradox satisfied in Foreign Trade in Iran</dc:title>
  <dc:subject/>
  <dc:creator>Bazazan</dc:creator>
  <cp:keywords/>
  <dc:description/>
  <cp:lastModifiedBy>PARAND</cp:lastModifiedBy>
  <cp:revision>90</cp:revision>
  <dcterms:created xsi:type="dcterms:W3CDTF">2012-04-05T07:52:00Z</dcterms:created>
  <dcterms:modified xsi:type="dcterms:W3CDTF">2012-04-28T08:14:00Z</dcterms:modified>
</cp:coreProperties>
</file>