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380" w:rsidRPr="002F4A08" w:rsidRDefault="00B33968" w:rsidP="00FD3016">
      <w:pPr>
        <w:pStyle w:val="Titel"/>
        <w:rPr>
          <w:lang w:val="en-US"/>
        </w:rPr>
      </w:pPr>
      <w:bookmarkStart w:id="0" w:name="_GoBack"/>
      <w:bookmarkEnd w:id="0"/>
      <w:r w:rsidRPr="002F4A08">
        <w:rPr>
          <w:lang w:val="en-US"/>
        </w:rPr>
        <w:t xml:space="preserve">On the </w:t>
      </w:r>
      <w:r w:rsidR="006D30A1" w:rsidRPr="002F4A08">
        <w:rPr>
          <w:lang w:val="en-US"/>
        </w:rPr>
        <w:t xml:space="preserve">Construction of Regional Input-Output Tables </w:t>
      </w:r>
      <w:r w:rsidRPr="002F4A08">
        <w:rPr>
          <w:lang w:val="en-US"/>
        </w:rPr>
        <w:t>with Imported Products inside the Transactions Matrix</w:t>
      </w:r>
    </w:p>
    <w:p w:rsidR="00FD3016" w:rsidRPr="002F4A08" w:rsidRDefault="00C65C95" w:rsidP="001F647B">
      <w:pPr>
        <w:jc w:val="center"/>
        <w:rPr>
          <w:lang w:val="en-US"/>
        </w:rPr>
      </w:pPr>
      <w:r w:rsidRPr="002F4A08">
        <w:rPr>
          <w:lang w:val="en-US"/>
        </w:rPr>
        <w:t>Tobias Kronenberg</w:t>
      </w:r>
      <w:r w:rsidR="00E4346E" w:rsidRPr="002F4A08">
        <w:rPr>
          <w:rStyle w:val="Funotenzeichen"/>
          <w:lang w:val="en-US"/>
        </w:rPr>
        <w:footnoteReference w:id="1"/>
      </w:r>
      <w:r w:rsidR="00F6570A" w:rsidRPr="002F4A08">
        <w:rPr>
          <w:lang w:val="en-US"/>
        </w:rPr>
        <w:t xml:space="preserve"> </w:t>
      </w:r>
      <w:r w:rsidR="006D30A1" w:rsidRPr="002F4A08">
        <w:rPr>
          <w:lang w:val="en-US"/>
        </w:rPr>
        <w:t>&amp; Johannes Többen</w:t>
      </w:r>
    </w:p>
    <w:p w:rsidR="004F7DB0" w:rsidRPr="002F4A08" w:rsidRDefault="004F7DB0" w:rsidP="001F647B">
      <w:pPr>
        <w:jc w:val="center"/>
        <w:rPr>
          <w:lang w:val="en-US"/>
        </w:rPr>
      </w:pPr>
      <w:r w:rsidRPr="002F4A08">
        <w:rPr>
          <w:lang w:val="en-US"/>
        </w:rPr>
        <w:t>Research Centre Jülich, Institute of Energy and Climate Research</w:t>
      </w:r>
    </w:p>
    <w:p w:rsidR="00FD3016" w:rsidRPr="002F4A08" w:rsidRDefault="007673BB" w:rsidP="007673BB">
      <w:pPr>
        <w:pStyle w:val="berschrift1"/>
        <w:rPr>
          <w:lang w:val="en-US"/>
        </w:rPr>
      </w:pPr>
      <w:r w:rsidRPr="002F4A08">
        <w:rPr>
          <w:lang w:val="en-US"/>
        </w:rPr>
        <w:t>Abstract</w:t>
      </w:r>
    </w:p>
    <w:p w:rsidR="006B7611" w:rsidRPr="002F4A08" w:rsidRDefault="006B7611">
      <w:pPr>
        <w:rPr>
          <w:lang w:val="en-US"/>
        </w:rPr>
      </w:pPr>
      <w:r w:rsidRPr="002F4A08">
        <w:rPr>
          <w:lang w:val="en-US"/>
        </w:rPr>
        <w:t xml:space="preserve">A number of recent papers discuss the accuracy of nonsurvey methods for the construction of regional input output tables (RIOTs). </w:t>
      </w:r>
      <w:r w:rsidR="00B33968" w:rsidRPr="002F4A08">
        <w:rPr>
          <w:lang w:val="en-US"/>
        </w:rPr>
        <w:t xml:space="preserve">All these papers focus on RIOTs </w:t>
      </w:r>
      <w:r w:rsidR="00950B63" w:rsidRPr="002F4A08">
        <w:rPr>
          <w:lang w:val="en-US"/>
        </w:rPr>
        <w:t xml:space="preserve">in which imports are allocated in a row in the South-West quadrant of the table (Type B tables). </w:t>
      </w:r>
      <w:r w:rsidR="00866284" w:rsidRPr="002F4A08">
        <w:rPr>
          <w:lang w:val="en-US"/>
        </w:rPr>
        <w:t xml:space="preserve">This means that, for example, the table shows how much the electricity sector spent on imported intermediate inputs, but it does not show how much of this was spent on coal, gas and oil. </w:t>
      </w:r>
      <w:r w:rsidR="00950B63" w:rsidRPr="002F4A08">
        <w:rPr>
          <w:lang w:val="en-US"/>
        </w:rPr>
        <w:t xml:space="preserve">For certain applications, RIOTs of a different kind are preferable, with imported products included in the interindustry transactions matrix (Type </w:t>
      </w:r>
      <w:r w:rsidR="00997676" w:rsidRPr="002F4A08">
        <w:rPr>
          <w:lang w:val="en-US"/>
        </w:rPr>
        <w:t xml:space="preserve">Aor E </w:t>
      </w:r>
      <w:r w:rsidR="00950B63" w:rsidRPr="002F4A08">
        <w:rPr>
          <w:lang w:val="en-US"/>
        </w:rPr>
        <w:t xml:space="preserve">tables). </w:t>
      </w:r>
      <w:r w:rsidR="00AC483B" w:rsidRPr="002F4A08">
        <w:rPr>
          <w:lang w:val="en-US"/>
        </w:rPr>
        <w:t xml:space="preserve">These tables show precisely the value of imported coal, oil and gas. </w:t>
      </w:r>
      <w:r w:rsidR="00975685" w:rsidRPr="002F4A08">
        <w:rPr>
          <w:lang w:val="en-US"/>
        </w:rPr>
        <w:t xml:space="preserve">So far, the literature focusses almost exclusively on Type B tables and </w:t>
      </w:r>
      <w:r w:rsidR="00950B63" w:rsidRPr="002F4A08">
        <w:rPr>
          <w:lang w:val="en-US"/>
        </w:rPr>
        <w:t xml:space="preserve">offers little advice on the construction of </w:t>
      </w:r>
      <w:r w:rsidR="00AC483B" w:rsidRPr="002F4A08">
        <w:rPr>
          <w:lang w:val="en-US"/>
        </w:rPr>
        <w:t xml:space="preserve">Type A or E </w:t>
      </w:r>
      <w:r w:rsidR="00950B63" w:rsidRPr="002F4A08">
        <w:rPr>
          <w:lang w:val="en-US"/>
        </w:rPr>
        <w:t>RIOTs.</w:t>
      </w:r>
    </w:p>
    <w:p w:rsidR="00950B63" w:rsidRPr="002F4A08" w:rsidRDefault="002925C7">
      <w:pPr>
        <w:rPr>
          <w:lang w:val="en-US"/>
        </w:rPr>
      </w:pPr>
      <w:r w:rsidRPr="002F4A08">
        <w:rPr>
          <w:lang w:val="en-US"/>
        </w:rPr>
        <w:t xml:space="preserve">We aim </w:t>
      </w:r>
      <w:r w:rsidR="000E6C3C" w:rsidRPr="002F4A08">
        <w:rPr>
          <w:lang w:val="en-US"/>
        </w:rPr>
        <w:t>at closing th</w:t>
      </w:r>
      <w:r w:rsidR="00CB0F64" w:rsidRPr="002F4A08">
        <w:rPr>
          <w:lang w:val="en-US"/>
        </w:rPr>
        <w:t>is</w:t>
      </w:r>
      <w:r w:rsidR="000E6C3C" w:rsidRPr="002F4A08">
        <w:rPr>
          <w:lang w:val="en-US"/>
        </w:rPr>
        <w:t xml:space="preserve"> gap by, first, highlighting the conceptual differences between the two types of RIOTs and, second, illustrating them </w:t>
      </w:r>
      <w:r w:rsidR="00937854" w:rsidRPr="002F4A08">
        <w:rPr>
          <w:lang w:val="en-US"/>
        </w:rPr>
        <w:t xml:space="preserve">by using </w:t>
      </w:r>
      <w:r w:rsidR="000E6C3C" w:rsidRPr="002F4A08">
        <w:rPr>
          <w:lang w:val="en-US"/>
        </w:rPr>
        <w:t xml:space="preserve">the example </w:t>
      </w:r>
      <w:r w:rsidR="00937854" w:rsidRPr="002F4A08">
        <w:rPr>
          <w:lang w:val="en-US"/>
        </w:rPr>
        <w:t xml:space="preserve">of </w:t>
      </w:r>
      <w:r w:rsidR="000E6C3C" w:rsidRPr="002F4A08">
        <w:rPr>
          <w:lang w:val="en-US"/>
        </w:rPr>
        <w:t xml:space="preserve">Baden-Württemberg, one of Germany’s federal states. </w:t>
      </w:r>
      <w:r w:rsidRPr="002F4A08">
        <w:rPr>
          <w:lang w:val="en-US"/>
        </w:rPr>
        <w:t xml:space="preserve">The statistical office of Baden-Württemberg produced type B </w:t>
      </w:r>
      <w:r w:rsidRPr="002F4A08">
        <w:rPr>
          <w:i/>
          <w:lang w:val="en-US"/>
        </w:rPr>
        <w:t>and</w:t>
      </w:r>
      <w:r w:rsidR="00997676" w:rsidRPr="002F4A08">
        <w:rPr>
          <w:lang w:val="en-US"/>
        </w:rPr>
        <w:t>A</w:t>
      </w:r>
      <w:r w:rsidRPr="002F4A08">
        <w:rPr>
          <w:lang w:val="en-US"/>
        </w:rPr>
        <w:t xml:space="preserve"> tables for 1990. From the federal statistical office received corresponding tables for Germany as a whole. We use a variety of nonsurvey methods (SLQ, FLQ, CB, CHARM) to derive RIOTs of both types</w:t>
      </w:r>
      <w:r w:rsidR="00855F7F" w:rsidRPr="002F4A08">
        <w:rPr>
          <w:lang w:val="en-US"/>
        </w:rPr>
        <w:t xml:space="preserve"> on the basis of the national tables</w:t>
      </w:r>
      <w:r w:rsidR="009C03FB" w:rsidRPr="002F4A08">
        <w:rPr>
          <w:lang w:val="en-US"/>
        </w:rPr>
        <w:t xml:space="preserve"> and compare the derived tables to the official ones</w:t>
      </w:r>
      <w:r w:rsidRPr="002F4A08">
        <w:rPr>
          <w:lang w:val="en-US"/>
        </w:rPr>
        <w:t xml:space="preserve">. Our findings suggest that LQ methods are better suited for deriving Type B tables and CB methods including CHARM are better suited for deriving Type </w:t>
      </w:r>
      <w:r w:rsidR="00997676" w:rsidRPr="002F4A08">
        <w:rPr>
          <w:lang w:val="en-US"/>
        </w:rPr>
        <w:t>A</w:t>
      </w:r>
      <w:r w:rsidR="009F73BB" w:rsidRPr="002F4A08">
        <w:rPr>
          <w:lang w:val="en-US"/>
        </w:rPr>
        <w:t xml:space="preserve"> </w:t>
      </w:r>
      <w:r w:rsidR="00997676" w:rsidRPr="002F4A08">
        <w:rPr>
          <w:lang w:val="en-US"/>
        </w:rPr>
        <w:t xml:space="preserve">or E </w:t>
      </w:r>
      <w:r w:rsidRPr="002F4A08">
        <w:rPr>
          <w:lang w:val="en-US"/>
        </w:rPr>
        <w:t>tables.</w:t>
      </w:r>
    </w:p>
    <w:p w:rsidR="00E51779" w:rsidRDefault="00E51779">
      <w:pPr>
        <w:jc w:val="left"/>
        <w:rPr>
          <w:lang w:val="en-US"/>
        </w:rPr>
      </w:pPr>
    </w:p>
    <w:p w:rsidR="0053408E" w:rsidRPr="002F4A08" w:rsidRDefault="0053408E">
      <w:pPr>
        <w:jc w:val="left"/>
        <w:rPr>
          <w:lang w:val="en-US"/>
        </w:rPr>
        <w:sectPr w:rsidR="0053408E" w:rsidRPr="002F4A08" w:rsidSect="00A15DD9">
          <w:footerReference w:type="default" r:id="rId9"/>
          <w:footnotePr>
            <w:numFmt w:val="chicago"/>
          </w:footnotePr>
          <w:pgSz w:w="11906" w:h="16838"/>
          <w:pgMar w:top="1417" w:right="1417" w:bottom="1134" w:left="1417" w:header="708" w:footer="708" w:gutter="0"/>
          <w:cols w:space="708"/>
          <w:docGrid w:linePitch="360"/>
        </w:sectPr>
      </w:pPr>
    </w:p>
    <w:p w:rsidR="008C1558" w:rsidRPr="002F4A08" w:rsidRDefault="008C1558" w:rsidP="008C1558">
      <w:pPr>
        <w:pStyle w:val="berschrift1"/>
        <w:numPr>
          <w:ilvl w:val="0"/>
          <w:numId w:val="2"/>
        </w:numPr>
        <w:rPr>
          <w:lang w:val="en-US"/>
        </w:rPr>
      </w:pPr>
      <w:r w:rsidRPr="002F4A08">
        <w:rPr>
          <w:lang w:val="en-US"/>
        </w:rPr>
        <w:lastRenderedPageBreak/>
        <w:t>Introduction</w:t>
      </w:r>
    </w:p>
    <w:p w:rsidR="00027CA4" w:rsidRPr="002F4A08" w:rsidRDefault="0050774E" w:rsidP="00E51779">
      <w:pPr>
        <w:rPr>
          <w:lang w:val="en-US"/>
        </w:rPr>
      </w:pPr>
      <w:r w:rsidRPr="002F4A08">
        <w:rPr>
          <w:lang w:val="en-US"/>
        </w:rPr>
        <w:t xml:space="preserve">Since the publication of the first overview about non-survey methods for the regionalization of national input-output tables (NIOT) by Schaffer and Chu </w:t>
      </w:r>
      <w:r w:rsidR="0005517B" w:rsidRPr="002F4A08">
        <w:rPr>
          <w:lang w:val="en-US"/>
        </w:rPr>
        <w:fldChar w:fldCharType="begin"/>
      </w:r>
      <w:r w:rsidR="0005517B" w:rsidRPr="002F4A08">
        <w:rPr>
          <w:lang w:val="en-US"/>
        </w:rPr>
        <w:instrText xml:space="preserve"> ADDIN EN.CITE &lt;EndNote&gt;&lt;Cite ExcludeAuth="1"&gt;&lt;Author&gt;Schaffer&lt;/Author&gt;&lt;Year&gt;1969&lt;/Year&gt;&lt;RecNum&gt;588&lt;/RecNum&gt;&lt;DisplayText&gt;(1969)&lt;/DisplayText&gt;&lt;record&gt;&lt;rec-number&gt;588&lt;/rec-number&gt;&lt;foreign-keys&gt;&lt;key app="EN" db-id="fsxszs05u5f00setapvp9rzrpww0505fwf9v"&gt;588&lt;/key&gt;&lt;/foreign-keys&gt;&lt;ref-type name="Journal Article"&gt;17&lt;/ref-type&gt;&lt;contributors&gt;&lt;authors&gt;&lt;author&gt;Schaffer, W.A.&lt;/author&gt;&lt;author&gt;Chu, K.&lt;/author&gt;&lt;/authors&gt;&lt;/contributors&gt;&lt;titles&gt;&lt;title&gt;Nonsurvey Techniques for Constructing Regional Interindustry Models&lt;/title&gt;&lt;secondary-title&gt;Papers of the Regional Science Association&lt;/secondary-title&gt;&lt;/titles&gt;&lt;periodical&gt;&lt;full-title&gt;Papers of the Regional Science Association&lt;/full-title&gt;&lt;/periodical&gt;&lt;pages&gt;83-101&lt;/pages&gt;&lt;volume&gt;23&lt;/volume&gt;&lt;dates&gt;&lt;year&gt;1969&lt;/year&gt;&lt;/dates&gt;&lt;urls&gt;&lt;/urls&gt;&lt;/record&gt;&lt;/Cite&gt;&lt;/EndNote&gt;</w:instrText>
      </w:r>
      <w:r w:rsidR="0005517B" w:rsidRPr="002F4A08">
        <w:rPr>
          <w:lang w:val="en-US"/>
        </w:rPr>
        <w:fldChar w:fldCharType="separate"/>
      </w:r>
      <w:r w:rsidR="0005517B" w:rsidRPr="002F4A08">
        <w:rPr>
          <w:noProof/>
          <w:lang w:val="en-US"/>
        </w:rPr>
        <w:t>(</w:t>
      </w:r>
      <w:hyperlink w:anchor="_ENREF_12" w:tooltip="Schaffer, 1969 #588" w:history="1">
        <w:r w:rsidR="00B07F05" w:rsidRPr="002F4A08">
          <w:rPr>
            <w:noProof/>
            <w:lang w:val="en-US"/>
          </w:rPr>
          <w:t>1969</w:t>
        </w:r>
      </w:hyperlink>
      <w:r w:rsidR="0005517B" w:rsidRPr="002F4A08">
        <w:rPr>
          <w:noProof/>
          <w:lang w:val="en-US"/>
        </w:rPr>
        <w:t>)</w:t>
      </w:r>
      <w:r w:rsidR="0005517B" w:rsidRPr="002F4A08">
        <w:rPr>
          <w:lang w:val="en-US"/>
        </w:rPr>
        <w:fldChar w:fldCharType="end"/>
      </w:r>
      <w:r w:rsidRPr="002F4A08">
        <w:rPr>
          <w:lang w:val="en-US"/>
        </w:rPr>
        <w:t xml:space="preserve">, a growing variety of both non-survey methods and applications of regional input-output tables, such as regional environmental impact studies can be observed in </w:t>
      </w:r>
      <w:r w:rsidR="00871000" w:rsidRPr="002F4A08">
        <w:rPr>
          <w:lang w:val="en-US"/>
        </w:rPr>
        <w:t xml:space="preserve">the </w:t>
      </w:r>
      <w:r w:rsidRPr="002F4A08">
        <w:rPr>
          <w:lang w:val="en-US"/>
        </w:rPr>
        <w:t xml:space="preserve">literature. </w:t>
      </w:r>
      <w:r w:rsidR="00964D3D" w:rsidRPr="002F4A08">
        <w:rPr>
          <w:lang w:val="en-US"/>
        </w:rPr>
        <w:t>This variety of pure non-survey methods ranges from the members of the family of location-quotient methods like SLQ, FLQ or AFLQ to the commodity-balance method and its extensions suc</w:t>
      </w:r>
      <w:r w:rsidR="00857332" w:rsidRPr="002F4A08">
        <w:rPr>
          <w:lang w:val="en-US"/>
        </w:rPr>
        <w:t xml:space="preserve">h as CHARM </w:t>
      </w:r>
      <w:r w:rsidR="0005517B" w:rsidRPr="002F4A08">
        <w:rPr>
          <w:lang w:val="en-US"/>
        </w:rPr>
        <w:fldChar w:fldCharType="begin"/>
      </w:r>
      <w:r w:rsidR="0005517B" w:rsidRPr="002F4A08">
        <w:rPr>
          <w:lang w:val="en-US"/>
        </w:rPr>
        <w:instrText xml:space="preserve"> ADDIN EN.CITE &lt;EndNote&gt;&lt;Cite&gt;&lt;Author&gt;Kronenberg&lt;/Author&gt;&lt;Year&gt;2009&lt;/Year&gt;&lt;RecNum&gt;110&lt;/RecNum&gt;&lt;DisplayText&gt;(Kronenberg, 2009)&lt;/DisplayText&gt;&lt;record&gt;&lt;rec-number&gt;110&lt;/rec-number&gt;&lt;foreign-keys&gt;&lt;key app="EN" db-id="fsxszs05u5f00setapvp9rzrpww0505fwf9v"&gt;110&lt;/key&gt;&lt;/foreign-keys&gt;&lt;ref-type name="Journal Article"&gt;17&lt;/ref-type&gt;&lt;contributors&gt;&lt;authors&gt;&lt;author&gt;Kronenberg, Tobias&lt;/author&gt;&lt;/authors&gt;&lt;/contributors&gt;&lt;titles&gt;&lt;title&gt;Construction of Regional Input-Output Tables Using Nonsurvey Methods: The Role of Cross-Hauling&lt;/title&gt;&lt;secondary-title&gt;International Regional Science Review&lt;/secondary-title&gt;&lt;/titles&gt;&lt;periodical&gt;&lt;full-title&gt;International Regional Science Review&lt;/full-title&gt;&lt;/periodical&gt;&lt;pages&gt;40-64&lt;/pages&gt;&lt;volume&gt;32&lt;/volume&gt;&lt;number&gt;1&lt;/number&gt;&lt;dates&gt;&lt;year&gt;2009&lt;/year&gt;&lt;/dates&gt;&lt;urls&gt;&lt;/urls&gt;&lt;/record&gt;&lt;/Cite&gt;&lt;/EndNote&gt;</w:instrText>
      </w:r>
      <w:r w:rsidR="0005517B" w:rsidRPr="002F4A08">
        <w:rPr>
          <w:lang w:val="en-US"/>
        </w:rPr>
        <w:fldChar w:fldCharType="separate"/>
      </w:r>
      <w:r w:rsidR="0005517B" w:rsidRPr="002F4A08">
        <w:rPr>
          <w:noProof/>
          <w:lang w:val="en-US"/>
        </w:rPr>
        <w:t>(</w:t>
      </w:r>
      <w:hyperlink w:anchor="_ENREF_6" w:tooltip="Kronenberg, 2009 #110" w:history="1">
        <w:r w:rsidR="00B07F05" w:rsidRPr="002F4A08">
          <w:rPr>
            <w:noProof/>
            <w:lang w:val="en-US"/>
          </w:rPr>
          <w:t>Kronenberg, 2009</w:t>
        </w:r>
      </w:hyperlink>
      <w:r w:rsidR="0005517B" w:rsidRPr="002F4A08">
        <w:rPr>
          <w:noProof/>
          <w:lang w:val="en-US"/>
        </w:rPr>
        <w:t>)</w:t>
      </w:r>
      <w:r w:rsidR="0005517B" w:rsidRPr="002F4A08">
        <w:rPr>
          <w:lang w:val="en-US"/>
        </w:rPr>
        <w:fldChar w:fldCharType="end"/>
      </w:r>
      <w:r w:rsidR="00857332" w:rsidRPr="002F4A08">
        <w:rPr>
          <w:lang w:val="en-US"/>
        </w:rPr>
        <w:t xml:space="preserve">. </w:t>
      </w:r>
      <w:r w:rsidR="00964D3D" w:rsidRPr="002F4A08">
        <w:rPr>
          <w:lang w:val="en-US"/>
        </w:rPr>
        <w:t>Naturally</w:t>
      </w:r>
      <w:r w:rsidR="00A633C3" w:rsidRPr="002F4A08">
        <w:rPr>
          <w:lang w:val="en-US"/>
        </w:rPr>
        <w:t xml:space="preserve">, the growing variety of methods induced a large and growing stream of literature </w:t>
      </w:r>
      <w:r w:rsidR="0005517B" w:rsidRPr="002F4A08">
        <w:rPr>
          <w:lang w:val="en-US"/>
        </w:rPr>
        <w:t xml:space="preserve">discussing the </w:t>
      </w:r>
      <w:r w:rsidR="00A633C3" w:rsidRPr="002F4A08">
        <w:rPr>
          <w:lang w:val="en-US"/>
        </w:rPr>
        <w:t xml:space="preserve">strengths and weaknesses of these. </w:t>
      </w:r>
      <w:r w:rsidR="0005517B" w:rsidRPr="002F4A08">
        <w:rPr>
          <w:lang w:val="en-US"/>
        </w:rPr>
        <w:fldChar w:fldCharType="begin">
          <w:fldData xml:space="preserve">PEVuZE5vdGU+PENpdGU+PEF1dGhvcj5SaWNoYXJkc29uPC9BdXRob3I+PFllYXI+MTk4NTwvWWVh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</w:fldData>
        </w:fldChar>
      </w:r>
      <w:r w:rsidR="001B1E67" w:rsidRPr="002F4A08">
        <w:rPr>
          <w:lang w:val="en-US"/>
        </w:rPr>
        <w:instrText xml:space="preserve"> ADDIN EN.CITE </w:instrText>
      </w:r>
      <w:r w:rsidR="001B1E67" w:rsidRPr="002F4A08">
        <w:rPr>
          <w:lang w:val="en-US"/>
        </w:rPr>
        <w:fldChar w:fldCharType="begin">
          <w:fldData xml:space="preserve">PEVuZE5vdGU+PENpdGU+PEF1dGhvcj5SaWNoYXJkc29uPC9BdXRob3I+PFllYXI+MTk4NTwvWWVh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</w:fldData>
        </w:fldChar>
      </w:r>
      <w:r w:rsidR="001B1E67" w:rsidRPr="002F4A08">
        <w:rPr>
          <w:lang w:val="en-US"/>
        </w:rPr>
        <w:instrText xml:space="preserve"> ADDIN EN.CITE.DATA </w:instrText>
      </w:r>
      <w:r w:rsidR="001B1E67" w:rsidRPr="002F4A08">
        <w:rPr>
          <w:lang w:val="en-US"/>
        </w:rPr>
      </w:r>
      <w:r w:rsidR="001B1E67" w:rsidRPr="002F4A08">
        <w:rPr>
          <w:lang w:val="en-US"/>
        </w:rPr>
        <w:fldChar w:fldCharType="end"/>
      </w:r>
      <w:r w:rsidR="0005517B" w:rsidRPr="002F4A08">
        <w:rPr>
          <w:lang w:val="en-US"/>
        </w:rPr>
      </w:r>
      <w:r w:rsidR="0005517B" w:rsidRPr="002F4A08">
        <w:rPr>
          <w:lang w:val="en-US"/>
        </w:rPr>
        <w:fldChar w:fldCharType="separate"/>
      </w:r>
      <w:r w:rsidR="001B1E67" w:rsidRPr="002F4A08">
        <w:rPr>
          <w:noProof/>
          <w:lang w:val="en-US"/>
        </w:rPr>
        <w:t>(</w:t>
      </w:r>
      <w:hyperlink w:anchor="_ENREF_1" w:tooltip="Bonfiglio, 2009 #373" w:history="1">
        <w:r w:rsidR="00B07F05" w:rsidRPr="002F4A08">
          <w:rPr>
            <w:noProof/>
            <w:lang w:val="en-US"/>
          </w:rPr>
          <w:t>Bonfiglio, 2009</w:t>
        </w:r>
      </w:hyperlink>
      <w:r w:rsidR="001B1E67" w:rsidRPr="002F4A08">
        <w:rPr>
          <w:noProof/>
          <w:lang w:val="en-US"/>
        </w:rPr>
        <w:t xml:space="preserve">; </w:t>
      </w:r>
      <w:hyperlink w:anchor="_ENREF_2" w:tooltip="Bonfiglio, 2008 #650" w:history="1">
        <w:r w:rsidR="00B07F05" w:rsidRPr="002F4A08">
          <w:rPr>
            <w:noProof/>
            <w:lang w:val="en-US"/>
          </w:rPr>
          <w:t>Bonfiglio and Chelli, 2008</w:t>
        </w:r>
      </w:hyperlink>
      <w:r w:rsidR="001B1E67" w:rsidRPr="002F4A08">
        <w:rPr>
          <w:noProof/>
          <w:lang w:val="en-US"/>
        </w:rPr>
        <w:t xml:space="preserve">; </w:t>
      </w:r>
      <w:hyperlink w:anchor="_ENREF_3" w:tooltip="Flegg, 2011 #674" w:history="1">
        <w:r w:rsidR="00B07F05" w:rsidRPr="002F4A08">
          <w:rPr>
            <w:noProof/>
            <w:lang w:val="en-US"/>
          </w:rPr>
          <w:t>Flegg and Tohmo, 2011</w:t>
        </w:r>
      </w:hyperlink>
      <w:r w:rsidR="001B1E67" w:rsidRPr="002F4A08">
        <w:rPr>
          <w:noProof/>
          <w:lang w:val="en-US"/>
        </w:rPr>
        <w:t xml:space="preserve">; </w:t>
      </w:r>
      <w:hyperlink w:anchor="_ENREF_9" w:tooltip="Morrison, 1974 #540" w:history="1">
        <w:r w:rsidR="00B07F05" w:rsidRPr="002F4A08">
          <w:rPr>
            <w:noProof/>
            <w:lang w:val="en-US"/>
          </w:rPr>
          <w:t>Morrison and Smith, 1974</w:t>
        </w:r>
      </w:hyperlink>
      <w:r w:rsidR="001B1E67" w:rsidRPr="002F4A08">
        <w:rPr>
          <w:noProof/>
          <w:lang w:val="en-US"/>
        </w:rPr>
        <w:t xml:space="preserve">; </w:t>
      </w:r>
      <w:hyperlink w:anchor="_ENREF_10" w:tooltip="Richardson, 1985 #569" w:history="1">
        <w:r w:rsidR="00B07F05" w:rsidRPr="002F4A08">
          <w:rPr>
            <w:noProof/>
            <w:lang w:val="en-US"/>
          </w:rPr>
          <w:t>Richardson, 1985</w:t>
        </w:r>
      </w:hyperlink>
      <w:r w:rsidR="001B1E67" w:rsidRPr="002F4A08">
        <w:rPr>
          <w:noProof/>
          <w:lang w:val="en-US"/>
        </w:rPr>
        <w:t xml:space="preserve">; </w:t>
      </w:r>
      <w:hyperlink w:anchor="_ENREF_14" w:tooltip="Tohmo, 2004 #628" w:history="1">
        <w:r w:rsidR="00B07F05" w:rsidRPr="002F4A08">
          <w:rPr>
            <w:noProof/>
            <w:lang w:val="en-US"/>
          </w:rPr>
          <w:t>Tohmo, 2004</w:t>
        </w:r>
      </w:hyperlink>
      <w:r w:rsidR="001B1E67" w:rsidRPr="002F4A08">
        <w:rPr>
          <w:noProof/>
          <w:lang w:val="en-US"/>
        </w:rPr>
        <w:t>)</w:t>
      </w:r>
      <w:r w:rsidR="0005517B" w:rsidRPr="002F4A08">
        <w:rPr>
          <w:lang w:val="en-US"/>
        </w:rPr>
        <w:fldChar w:fldCharType="end"/>
      </w:r>
      <w:r w:rsidR="00066786" w:rsidRPr="002F4A08">
        <w:rPr>
          <w:lang w:val="en-US"/>
        </w:rPr>
        <w:t xml:space="preserve">. </w:t>
      </w:r>
      <w:r w:rsidR="003C51A6" w:rsidRPr="002F4A08">
        <w:rPr>
          <w:lang w:val="en-US"/>
        </w:rPr>
        <w:t>However, our aim is to analyze strengths and weaknesses of non-survey from a different perspective: We argue that the choice of method should depend on the variant of import allocation of the symmetric input-output table tha</w:t>
      </w:r>
      <w:r w:rsidR="00E51779" w:rsidRPr="002F4A08">
        <w:rPr>
          <w:lang w:val="en-US"/>
        </w:rPr>
        <w:t>t is to be regionalized.</w:t>
      </w:r>
    </w:p>
    <w:p w:rsidR="00027CA4" w:rsidRPr="002F4A08" w:rsidRDefault="00027CA4" w:rsidP="00027CA4">
      <w:pPr>
        <w:rPr>
          <w:lang w:val="en-US"/>
        </w:rPr>
      </w:pPr>
      <w:r w:rsidRPr="002F4A08">
        <w:rPr>
          <w:lang w:val="en-US"/>
        </w:rPr>
        <w:t xml:space="preserve">The United Nations handbook on input-output analysis identified four different variants, labelled alphabetically from “A” to “D” </w:t>
      </w:r>
      <w:r w:rsidRPr="002F4A08">
        <w:rPr>
          <w:lang w:val="en-US"/>
        </w:rPr>
        <w:fldChar w:fldCharType="begin"/>
      </w:r>
      <w:r w:rsidRPr="002F4A08">
        <w:rPr>
          <w:lang w:val="en-US"/>
        </w:rPr>
        <w:instrText xml:space="preserve"> ADDIN EN.CITE &lt;EndNote&gt;&lt;Cite&gt;&lt;Author&gt;United Nations&lt;/Author&gt;&lt;Year&gt;1973&lt;/Year&gt;&lt;RecNum&gt;649&lt;/RecNum&gt;&lt;DisplayText&gt;(United Nations, 1973)&lt;/DisplayText&gt;&lt;record&gt;&lt;rec-number&gt;649&lt;/rec-number&gt;&lt;foreign-keys&gt;&lt;key app="EN" db-id="fsxszs05u5f00setapvp9rzrpww0505fwf9v"&gt;649&lt;/key&gt;&lt;/foreign-keys&gt;&lt;ref-type name="Book"&gt;6&lt;/ref-type&gt;&lt;contributors&gt;&lt;authors&gt;&lt;author&gt;United Nations,&lt;/author&gt;&lt;/authors&gt;&lt;/contributors&gt;&lt;titles&gt;&lt;title&gt;Input-Output Tables and Analysis&lt;/title&gt;&lt;secondary-title&gt;Studies in Methods, Series F, No. 14, Rev. 1&lt;/secondary-title&gt;&lt;/titles&gt;&lt;dates&gt;&lt;year&gt;1973&lt;/year&gt;&lt;/dates&gt;&lt;pub-location&gt;New York&lt;/pub-location&gt;&lt;urls&gt;&lt;/urls&gt;&lt;/record&gt;&lt;/Cite&gt;&lt;/EndNote&gt;</w:instrText>
      </w:r>
      <w:r w:rsidRPr="002F4A08">
        <w:rPr>
          <w:lang w:val="en-US"/>
        </w:rPr>
        <w:fldChar w:fldCharType="separate"/>
      </w:r>
      <w:r w:rsidRPr="002F4A08">
        <w:rPr>
          <w:noProof/>
          <w:lang w:val="en-US"/>
        </w:rPr>
        <w:t>(</w:t>
      </w:r>
      <w:hyperlink w:anchor="_ENREF_15" w:tooltip="United Nations, 1973 #649" w:history="1">
        <w:r w:rsidR="00B07F05" w:rsidRPr="002F4A08">
          <w:rPr>
            <w:noProof/>
            <w:lang w:val="en-US"/>
          </w:rPr>
          <w:t>United Nations, 1973</w:t>
        </w:r>
      </w:hyperlink>
      <w:r w:rsidRPr="002F4A08">
        <w:rPr>
          <w:noProof/>
          <w:lang w:val="en-US"/>
        </w:rPr>
        <w:t>)</w:t>
      </w:r>
      <w:r w:rsidRPr="002F4A08">
        <w:rPr>
          <w:lang w:val="en-US"/>
        </w:rPr>
        <w:fldChar w:fldCharType="end"/>
      </w:r>
      <w:r w:rsidRPr="002F4A08">
        <w:rPr>
          <w:lang w:val="en-US"/>
        </w:rPr>
        <w:t>. This convention is also adopted in the present paper, and an additional variant “E” (for “Eurostat”) is introduced to describe the tables based on the European System of Accounts (ESA 95). A crucial finding of this paper is that location quotient (LQ) methods are suitable for variant B tables, whereas commodity balance (CB) methods are suitable for variant A and E tables. The existing literature has not paid much attention to this issue because regional economists mostly use variant B tables. Ecological economists, by contrast, are more likely to use variant A or E tables. As these are the most common variants, this paper concentrates on variant B and A, or E respectively.</w:t>
      </w:r>
    </w:p>
    <w:p w:rsidR="00B07A95" w:rsidRPr="002F4A08" w:rsidRDefault="00027CA4" w:rsidP="00E51779">
      <w:pPr>
        <w:rPr>
          <w:lang w:val="en-US"/>
        </w:rPr>
      </w:pPr>
      <w:r w:rsidRPr="002F4A08">
        <w:rPr>
          <w:lang w:val="en-US"/>
        </w:rPr>
        <w:t xml:space="preserve">In this paper we argue that LQ methods are suitable for type B tables, whereas CB methods are to be preferred for type E tables. This argument was laid out in theoretical terms in an earlier publication </w:t>
      </w:r>
      <w:r w:rsidRPr="002F4A08">
        <w:rPr>
          <w:lang w:val="en-US"/>
        </w:rPr>
        <w:fldChar w:fldCharType="begin"/>
      </w:r>
      <w:r w:rsidRPr="002F4A08">
        <w:rPr>
          <w:lang w:val="en-US"/>
        </w:rPr>
        <w:instrText xml:space="preserve"> ADDIN EN.CITE &lt;EndNote&gt;&lt;Cite&gt;&lt;Author&gt;Kronenberg&lt;/Author&gt;&lt;Year&gt;in press&lt;/Year&gt;&lt;RecNum&gt;726&lt;/RecNum&gt;&lt;DisplayText&gt;(Kronenberg, in press)&lt;/DisplayText&gt;&lt;record&gt;&lt;rec-number&gt;726&lt;/rec-number&gt;&lt;foreign-keys&gt;&lt;key app="EN" db-id="fsxszs05u5f00setapvp9rzrpww0505fwf9v"&gt;726&lt;/key&gt;&lt;/foreign-keys&gt;&lt;ref-type name="Journal Article"&gt;17&lt;/ref-type&gt;&lt;contributors&gt;&lt;authors&gt;&lt;author&gt;Kronenberg, Tobias&lt;/author&gt;&lt;/authors&gt;&lt;/contributors&gt;&lt;titles&gt;&lt;title&gt;Regional input-output models and the treatment of imports in the European System of Accounts (ESA)&lt;/title&gt;&lt;secondary-title&gt;Jahrbuch für Regionalwissenschaft&lt;/secondary-title&gt;&lt;/titles&gt;&lt;periodical&gt;&lt;full-title&gt;Jahrbuch für Regionalwissenschaft&lt;/full-title&gt;&lt;/periodical&gt;&lt;dates&gt;&lt;year&gt;in press&lt;/year&gt;&lt;/dates&gt;&lt;urls&gt;&lt;/urls&gt;&lt;/record&gt;&lt;/Cite&gt;&lt;/EndNote&gt;</w:instrText>
      </w:r>
      <w:r w:rsidRPr="002F4A08">
        <w:rPr>
          <w:lang w:val="en-US"/>
        </w:rPr>
        <w:fldChar w:fldCharType="separate"/>
      </w:r>
      <w:r w:rsidRPr="002F4A08">
        <w:rPr>
          <w:noProof/>
          <w:lang w:val="en-US"/>
        </w:rPr>
        <w:t>(</w:t>
      </w:r>
      <w:hyperlink w:anchor="_ENREF_7" w:tooltip="Kronenberg, in press #726" w:history="1">
        <w:r w:rsidR="00B07F05" w:rsidRPr="002F4A08">
          <w:rPr>
            <w:noProof/>
            <w:lang w:val="en-US"/>
          </w:rPr>
          <w:t>Kronenberg, in press</w:t>
        </w:r>
      </w:hyperlink>
      <w:r w:rsidRPr="002F4A08">
        <w:rPr>
          <w:noProof/>
          <w:lang w:val="en-US"/>
        </w:rPr>
        <w:t>)</w:t>
      </w:r>
      <w:r w:rsidRPr="002F4A08">
        <w:rPr>
          <w:lang w:val="en-US"/>
        </w:rPr>
        <w:fldChar w:fldCharType="end"/>
      </w:r>
      <w:r w:rsidRPr="002F4A08">
        <w:rPr>
          <w:lang w:val="en-US"/>
        </w:rPr>
        <w:t xml:space="preserve">. The purpose of the present paper is to illustrate the theoretical argument – and to test its validity – by means of an empirical study for the case of Baden-Württemberg, one of Germany’s federal states </w:t>
      </w:r>
      <w:r w:rsidR="006218D2" w:rsidRPr="002F4A08">
        <w:rPr>
          <w:lang w:val="en-US"/>
        </w:rPr>
        <w:t>for which benchmarks in form of type B and type A tables for 1990 are available from the statistical office o</w:t>
      </w:r>
      <w:r w:rsidR="00F6570A" w:rsidRPr="002F4A08">
        <w:rPr>
          <w:lang w:val="en-US"/>
        </w:rPr>
        <w:t xml:space="preserve">f Baden-Württemberg. </w:t>
      </w:r>
      <w:r w:rsidR="00165D4E" w:rsidRPr="002F4A08">
        <w:rPr>
          <w:lang w:val="en-US"/>
        </w:rPr>
        <w:t xml:space="preserve">For this comparison different non-survey methods, namely SLQ, CILQ, (A)FLQ, CB and CHARM, are applied to corresponding tables for Germany as whole. </w:t>
      </w:r>
    </w:p>
    <w:p w:rsidR="00165D4E" w:rsidRPr="002F4A08" w:rsidRDefault="00165D4E" w:rsidP="00E51779">
      <w:pPr>
        <w:rPr>
          <w:lang w:val="en-US"/>
        </w:rPr>
      </w:pPr>
      <w:r w:rsidRPr="002F4A08">
        <w:rPr>
          <w:lang w:val="en-US"/>
        </w:rPr>
        <w:t xml:space="preserve">The paper proceeds as follows: Section 2 explains the conceptual differences between type B, A and E tables and describes the interpretation of coefficients that arises from the differences. Section 3 identifies implications for the construction of RIOTs on a theoretical basis. </w:t>
      </w:r>
      <w:r w:rsidR="000507DF" w:rsidRPr="002F4A08">
        <w:rPr>
          <w:lang w:val="en-US"/>
        </w:rPr>
        <w:t>Section 4 describes the empirical application to the case of Baden-Württemberg and presents the results. Section 5 draws a conclusion.</w:t>
      </w:r>
    </w:p>
    <w:p w:rsidR="000507DF" w:rsidRPr="002F4A08" w:rsidRDefault="000507DF" w:rsidP="00BD3F35">
      <w:pPr>
        <w:pStyle w:val="berschrift1"/>
        <w:numPr>
          <w:ilvl w:val="0"/>
          <w:numId w:val="2"/>
        </w:numPr>
        <w:rPr>
          <w:lang w:val="en-US"/>
        </w:rPr>
      </w:pPr>
      <w:r w:rsidRPr="002F4A08">
        <w:rPr>
          <w:lang w:val="en-US"/>
        </w:rPr>
        <w:t>Conceptual differences and interpretation of coefficients</w:t>
      </w:r>
    </w:p>
    <w:p w:rsidR="00BD3F35" w:rsidRPr="002F4A08" w:rsidRDefault="00167F6D" w:rsidP="00E51779">
      <w:pPr>
        <w:rPr>
          <w:lang w:val="en-US"/>
        </w:rPr>
      </w:pPr>
      <w:r w:rsidRPr="002F4A08">
        <w:rPr>
          <w:lang w:val="en-US"/>
        </w:rPr>
        <w:fldChar w:fldCharType="begin"/>
      </w:r>
      <w:r w:rsidRPr="002F4A08">
        <w:rPr>
          <w:lang w:val="en-US"/>
        </w:rPr>
        <w:instrText xml:space="preserve"> REF _Ref277067147 \h  \* MERGEFORMAT </w:instrText>
      </w:r>
      <w:r w:rsidRPr="002F4A08">
        <w:rPr>
          <w:lang w:val="en-US"/>
        </w:rPr>
      </w:r>
      <w:r w:rsidRPr="002F4A08">
        <w:rPr>
          <w:lang w:val="en-US"/>
        </w:rPr>
        <w:fldChar w:fldCharType="separate"/>
      </w:r>
      <w:r w:rsidR="001B1E67" w:rsidRPr="002F4A08">
        <w:rPr>
          <w:lang w:val="en-US"/>
        </w:rPr>
        <w:t>Table 1</w:t>
      </w:r>
      <w:r w:rsidRPr="002F4A08">
        <w:rPr>
          <w:lang w:val="en-US"/>
        </w:rPr>
        <w:fldChar w:fldCharType="end"/>
      </w:r>
      <w:r w:rsidR="00BD3F35" w:rsidRPr="002F4A08">
        <w:rPr>
          <w:lang w:val="en-US"/>
        </w:rPr>
        <w:t xml:space="preserve"> shows the basic data which is needed to construct input-output tables of the sort that will be discussed below.</w:t>
      </w:r>
    </w:p>
    <w:p w:rsidR="00BD3F35" w:rsidRPr="002F4A08" w:rsidRDefault="00BD3F35" w:rsidP="008E48E4">
      <w:pPr>
        <w:pStyle w:val="Tab"/>
        <w:keepNext/>
        <w:widowControl w:val="0"/>
        <w:pBdr>
          <w:bottom w:val="single" w:sz="4" w:space="1" w:color="auto"/>
        </w:pBdr>
        <w:rPr>
          <w:rFonts w:asciiTheme="minorHAnsi" w:hAnsiTheme="minorHAnsi" w:cstheme="minorHAnsi"/>
          <w:sz w:val="22"/>
          <w:szCs w:val="22"/>
          <w:lang w:val="en-US"/>
        </w:rPr>
      </w:pPr>
      <w:bookmarkStart w:id="1" w:name="_Ref277067147"/>
      <w:r w:rsidRPr="002F4A08">
        <w:rPr>
          <w:rFonts w:asciiTheme="minorHAnsi" w:hAnsiTheme="minorHAnsi" w:cstheme="minorHAnsi"/>
          <w:sz w:val="22"/>
          <w:szCs w:val="22"/>
          <w:lang w:val="en-US"/>
        </w:rPr>
        <w:lastRenderedPageBreak/>
        <w:t xml:space="preserve">Table </w:t>
      </w:r>
      <w:r w:rsidR="00662E01" w:rsidRPr="002F4A08">
        <w:rPr>
          <w:rFonts w:asciiTheme="minorHAnsi" w:hAnsiTheme="minorHAnsi" w:cstheme="minorHAnsi"/>
          <w:sz w:val="22"/>
          <w:szCs w:val="22"/>
          <w:lang w:val="en-US"/>
        </w:rPr>
        <w:fldChar w:fldCharType="begin"/>
      </w:r>
      <w:r w:rsidR="00C76886" w:rsidRPr="002F4A08">
        <w:rPr>
          <w:rFonts w:asciiTheme="minorHAnsi" w:hAnsiTheme="minorHAnsi" w:cstheme="minorHAnsi"/>
          <w:sz w:val="22"/>
          <w:szCs w:val="22"/>
          <w:lang w:val="en-US"/>
        </w:rPr>
        <w:instrText xml:space="preserve"> SEQ Table \* ARABIC </w:instrText>
      </w:r>
      <w:r w:rsidR="00662E01" w:rsidRPr="002F4A08">
        <w:rPr>
          <w:rFonts w:asciiTheme="minorHAnsi" w:hAnsiTheme="minorHAnsi" w:cstheme="minorHAnsi"/>
          <w:sz w:val="22"/>
          <w:szCs w:val="22"/>
          <w:lang w:val="en-US"/>
        </w:rPr>
        <w:fldChar w:fldCharType="separate"/>
      </w:r>
      <w:r w:rsidR="001B1E67" w:rsidRPr="002F4A08">
        <w:rPr>
          <w:rFonts w:asciiTheme="minorHAnsi" w:hAnsiTheme="minorHAnsi" w:cstheme="minorHAnsi"/>
          <w:noProof/>
          <w:sz w:val="22"/>
          <w:szCs w:val="22"/>
          <w:lang w:val="en-US"/>
        </w:rPr>
        <w:t>1</w:t>
      </w:r>
      <w:r w:rsidR="00662E01" w:rsidRPr="002F4A08">
        <w:rPr>
          <w:rFonts w:asciiTheme="minorHAnsi" w:hAnsiTheme="minorHAnsi" w:cstheme="minorHAnsi"/>
          <w:sz w:val="22"/>
          <w:szCs w:val="22"/>
          <w:lang w:val="en-US"/>
        </w:rPr>
        <w:fldChar w:fldCharType="end"/>
      </w:r>
      <w:bookmarkEnd w:id="1"/>
      <w:r w:rsidRPr="002F4A08">
        <w:rPr>
          <w:rFonts w:asciiTheme="minorHAnsi" w:hAnsiTheme="minorHAnsi" w:cstheme="minorHAnsi"/>
          <w:sz w:val="22"/>
          <w:szCs w:val="22"/>
          <w:lang w:val="en-US"/>
        </w:rPr>
        <w:t>: Basic data</w:t>
      </w:r>
    </w:p>
    <w:tbl>
      <w:tblPr>
        <w:tblW w:w="6956" w:type="dxa"/>
        <w:tblInd w:w="58" w:type="dxa"/>
        <w:tblCellMar>
          <w:left w:w="70" w:type="dxa"/>
          <w:right w:w="70" w:type="dxa"/>
        </w:tblCellMar>
        <w:tblLook w:val="0000" w:firstRow="0" w:lastRow="0" w:firstColumn="0" w:lastColumn="0" w:noHBand="0" w:noVBand="0"/>
      </w:tblPr>
      <w:tblGrid>
        <w:gridCol w:w="1240"/>
        <w:gridCol w:w="360"/>
        <w:gridCol w:w="1240"/>
        <w:gridCol w:w="572"/>
        <w:gridCol w:w="1240"/>
        <w:gridCol w:w="492"/>
        <w:gridCol w:w="1240"/>
        <w:gridCol w:w="572"/>
      </w:tblGrid>
      <w:tr w:rsidR="00BD3F35" w:rsidRPr="002F4A08" w:rsidTr="00465A34">
        <w:trPr>
          <w:trHeight w:val="264"/>
        </w:trPr>
        <w:tc>
          <w:tcPr>
            <w:tcW w:w="1600" w:type="dxa"/>
            <w:gridSpan w:val="2"/>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4"/>
                <w:lang w:val="en-US"/>
              </w:rPr>
              <w:object w:dxaOrig="3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0.25pt" o:ole="">
                  <v:imagedata r:id="rId10" o:title=""/>
                </v:shape>
                <o:OLEObject Type="Embed" ProgID="Equation.3" ShapeID="_x0000_i1025" DrawAspect="Content" ObjectID="_1397289110" r:id="rId11"/>
              </w:object>
            </w:r>
          </w:p>
        </w:tc>
        <w:tc>
          <w:tcPr>
            <w:tcW w:w="1240" w:type="dxa"/>
            <w:tcBorders>
              <w:top w:val="nil"/>
              <w:left w:val="single" w:sz="4" w:space="0" w:color="auto"/>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0"/>
                <w:lang w:val="en-US"/>
              </w:rPr>
              <w:object w:dxaOrig="300" w:dyaOrig="360">
                <v:shape id="_x0000_i1026" type="#_x0000_t75" style="width:15pt;height:18pt" o:ole="">
                  <v:imagedata r:id="rId12" o:title=""/>
                </v:shape>
                <o:OLEObject Type="Embed" ProgID="Equation.3" ShapeID="_x0000_i1026" DrawAspect="Content" ObjectID="_1397289111" r:id="rId13"/>
              </w:object>
            </w: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0"/>
                <w:lang w:val="en-US"/>
              </w:rPr>
              <w:object w:dxaOrig="279" w:dyaOrig="360">
                <v:shape id="_x0000_i1027" type="#_x0000_t75" style="width:14.25pt;height:18pt" o:ole="">
                  <v:imagedata r:id="rId14" o:title=""/>
                </v:shape>
                <o:OLEObject Type="Embed" ProgID="Equation.3" ShapeID="_x0000_i1027" DrawAspect="Content" ObjectID="_1397289112" r:id="rId15"/>
              </w:object>
            </w: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0"/>
                <w:lang w:val="en-US"/>
              </w:rPr>
              <w:object w:dxaOrig="300" w:dyaOrig="360">
                <v:shape id="_x0000_i1028" type="#_x0000_t75" style="width:15pt;height:18pt" o:ole="">
                  <v:imagedata r:id="rId16" o:title=""/>
                </v:shape>
                <o:OLEObject Type="Embed" ProgID="Equation.3" ShapeID="_x0000_i1028" DrawAspect="Content" ObjectID="_1397289113" r:id="rId17"/>
              </w:object>
            </w:r>
          </w:p>
        </w:tc>
      </w:tr>
      <w:tr w:rsidR="00BD3F35" w:rsidRPr="002F4A08" w:rsidTr="00465A34">
        <w:trPr>
          <w:trHeight w:val="264"/>
        </w:trPr>
        <w:tc>
          <w:tcPr>
            <w:tcW w:w="1600" w:type="dxa"/>
            <w:gridSpan w:val="2"/>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single" w:sz="4" w:space="0" w:color="auto"/>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r>
      <w:tr w:rsidR="00BD3F35" w:rsidRPr="002F4A08" w:rsidTr="00465A34">
        <w:trPr>
          <w:trHeight w:val="264"/>
        </w:trPr>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36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tcBorders>
              <w:top w:val="nil"/>
              <w:left w:val="nil"/>
              <w:bottom w:val="single" w:sz="4" w:space="0" w:color="auto"/>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r>
      <w:tr w:rsidR="00BD3F35" w:rsidRPr="002F4A08" w:rsidTr="00465A34">
        <w:trPr>
          <w:trHeight w:val="264"/>
        </w:trPr>
        <w:tc>
          <w:tcPr>
            <w:tcW w:w="1600" w:type="dxa"/>
            <w:gridSpan w:val="2"/>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4"/>
                <w:lang w:val="en-US"/>
              </w:rPr>
              <w:object w:dxaOrig="380" w:dyaOrig="400">
                <v:shape id="_x0000_i1029" type="#_x0000_t75" style="width:18.75pt;height:20.25pt" o:ole="">
                  <v:imagedata r:id="rId18" o:title=""/>
                </v:shape>
                <o:OLEObject Type="Embed" ProgID="Equation.3" ShapeID="_x0000_i1029" DrawAspect="Content" ObjectID="_1397289114" r:id="rId19"/>
              </w:object>
            </w:r>
          </w:p>
        </w:tc>
        <w:tc>
          <w:tcPr>
            <w:tcW w:w="1240" w:type="dxa"/>
            <w:tcBorders>
              <w:top w:val="nil"/>
              <w:left w:val="single" w:sz="4" w:space="0" w:color="auto"/>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0"/>
                <w:lang w:val="en-US"/>
              </w:rPr>
              <w:object w:dxaOrig="340" w:dyaOrig="360">
                <v:shape id="_x0000_i1030" type="#_x0000_t75" style="width:17.25pt;height:18pt" o:ole="">
                  <v:imagedata r:id="rId20" o:title=""/>
                </v:shape>
                <o:OLEObject Type="Embed" ProgID="Equation.3" ShapeID="_x0000_i1030" DrawAspect="Content" ObjectID="_1397289115" r:id="rId21"/>
              </w:object>
            </w:r>
          </w:p>
        </w:tc>
        <w:tc>
          <w:tcPr>
            <w:tcW w:w="1240" w:type="dxa"/>
            <w:tcBorders>
              <w:top w:val="nil"/>
              <w:left w:val="nil"/>
              <w:bottom w:val="nil"/>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r w:rsidRPr="002F4A08">
              <w:rPr>
                <w:rFonts w:cstheme="minorHAnsi"/>
                <w:position w:val="-10"/>
                <w:lang w:val="en-US"/>
              </w:rPr>
              <w:object w:dxaOrig="320" w:dyaOrig="360">
                <v:shape id="_x0000_i1031" type="#_x0000_t75" style="width:15.75pt;height:18pt" o:ole="">
                  <v:imagedata r:id="rId22" o:title=""/>
                </v:shape>
                <o:OLEObject Type="Embed" ProgID="Equation.3" ShapeID="_x0000_i1031" DrawAspect="Content" ObjectID="_1397289116" r:id="rId23"/>
              </w:object>
            </w:r>
          </w:p>
        </w:tc>
        <w:tc>
          <w:tcPr>
            <w:tcW w:w="1240" w:type="dxa"/>
            <w:tcBorders>
              <w:top w:val="nil"/>
              <w:left w:val="single" w:sz="4" w:space="0" w:color="auto"/>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val="restart"/>
            <w:tcBorders>
              <w:top w:val="single" w:sz="4" w:space="0" w:color="auto"/>
              <w:left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0"/>
                <w:lang w:val="en-US"/>
              </w:rPr>
              <w:object w:dxaOrig="340" w:dyaOrig="360">
                <v:shape id="_x0000_i1032" type="#_x0000_t75" style="width:17.25pt;height:18pt" o:ole="">
                  <v:imagedata r:id="rId24" o:title=""/>
                </v:shape>
                <o:OLEObject Type="Embed" ProgID="Equation.3" ShapeID="_x0000_i1032" DrawAspect="Content" ObjectID="_1397289117" r:id="rId25"/>
              </w:object>
            </w:r>
          </w:p>
        </w:tc>
      </w:tr>
      <w:tr w:rsidR="00BD3F35" w:rsidRPr="002F4A08" w:rsidTr="00465A34">
        <w:trPr>
          <w:trHeight w:val="264"/>
        </w:trPr>
        <w:tc>
          <w:tcPr>
            <w:tcW w:w="1600" w:type="dxa"/>
            <w:gridSpan w:val="2"/>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single" w:sz="4" w:space="0" w:color="auto"/>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single" w:sz="4" w:space="0" w:color="auto"/>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vMerge/>
            <w:tcBorders>
              <w:left w:val="single" w:sz="4" w:space="0" w:color="auto"/>
              <w:bottom w:val="single" w:sz="4" w:space="0" w:color="auto"/>
              <w:right w:val="single" w:sz="4" w:space="0" w:color="auto"/>
            </w:tcBorders>
            <w:shd w:val="clear" w:color="auto" w:fill="auto"/>
            <w:noWrap/>
            <w:vAlign w:val="bottom"/>
          </w:tcPr>
          <w:p w:rsidR="00BD3F35" w:rsidRPr="002F4A08" w:rsidRDefault="00BD3F35" w:rsidP="008E48E4">
            <w:pPr>
              <w:keepNext/>
              <w:widowControl w:val="0"/>
              <w:rPr>
                <w:rFonts w:cstheme="minorHAnsi"/>
                <w:lang w:val="en-US"/>
              </w:rPr>
            </w:pPr>
          </w:p>
        </w:tc>
      </w:tr>
      <w:tr w:rsidR="00BD3F35" w:rsidRPr="002F4A08" w:rsidTr="00465A34">
        <w:trPr>
          <w:trHeight w:val="264"/>
        </w:trPr>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36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tcBorders>
              <w:top w:val="single" w:sz="4" w:space="0" w:color="auto"/>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r>
      <w:tr w:rsidR="00BD3F35" w:rsidRPr="002F4A08" w:rsidTr="00465A34">
        <w:trPr>
          <w:trHeight w:val="264"/>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4"/>
                <w:lang w:val="en-US"/>
              </w:rPr>
              <w:object w:dxaOrig="260" w:dyaOrig="380">
                <v:shape id="_x0000_i1033" type="#_x0000_t75" style="width:12.75pt;height:18.75pt" o:ole="">
                  <v:imagedata r:id="rId26" o:title=""/>
                </v:shape>
                <o:OLEObject Type="Embed" ProgID="Equation.3" ShapeID="_x0000_i1033" DrawAspect="Content" ObjectID="_1397289118" r:id="rId27"/>
              </w:object>
            </w: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r>
      <w:tr w:rsidR="00BD3F35" w:rsidRPr="002F4A08" w:rsidTr="00465A34">
        <w:trPr>
          <w:trHeight w:val="264"/>
        </w:trPr>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36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r>
      <w:tr w:rsidR="00BD3F35" w:rsidRPr="002F4A08" w:rsidTr="00465A34">
        <w:trPr>
          <w:trHeight w:val="264"/>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D3F35" w:rsidRPr="002F4A08" w:rsidRDefault="00BD3F35" w:rsidP="008E48E4">
            <w:pPr>
              <w:keepNext/>
              <w:widowControl w:val="0"/>
              <w:jc w:val="center"/>
              <w:rPr>
                <w:rFonts w:cstheme="minorHAnsi"/>
                <w:lang w:val="en-US"/>
              </w:rPr>
            </w:pPr>
            <w:r w:rsidRPr="002F4A08">
              <w:rPr>
                <w:rFonts w:cstheme="minorHAnsi"/>
                <w:position w:val="-14"/>
                <w:lang w:val="en-US"/>
              </w:rPr>
              <w:object w:dxaOrig="260" w:dyaOrig="380">
                <v:shape id="_x0000_i1034" type="#_x0000_t75" style="width:12.75pt;height:18.75pt" o:ole="">
                  <v:imagedata r:id="rId28" o:title=""/>
                </v:shape>
                <o:OLEObject Type="Embed" ProgID="Equation.3" ShapeID="_x0000_i1034" DrawAspect="Content" ObjectID="_1397289119" r:id="rId29"/>
              </w:object>
            </w: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49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1240"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c>
          <w:tcPr>
            <w:tcW w:w="572" w:type="dxa"/>
            <w:tcBorders>
              <w:top w:val="nil"/>
              <w:left w:val="nil"/>
              <w:bottom w:val="nil"/>
              <w:right w:val="nil"/>
            </w:tcBorders>
            <w:shd w:val="clear" w:color="auto" w:fill="auto"/>
            <w:noWrap/>
            <w:vAlign w:val="bottom"/>
          </w:tcPr>
          <w:p w:rsidR="00BD3F35" w:rsidRPr="002F4A08" w:rsidRDefault="00BD3F35" w:rsidP="008E48E4">
            <w:pPr>
              <w:keepNext/>
              <w:widowControl w:val="0"/>
              <w:rPr>
                <w:rFonts w:cstheme="minorHAnsi"/>
                <w:lang w:val="en-US"/>
              </w:rPr>
            </w:pPr>
          </w:p>
        </w:tc>
      </w:tr>
    </w:tbl>
    <w:p w:rsidR="0003041A" w:rsidRPr="002F4A08" w:rsidRDefault="0003041A" w:rsidP="0003041A">
      <w:pPr>
        <w:pStyle w:val="SourceSTEPreprint"/>
        <w:keepNext/>
        <w:widowControl w:val="0"/>
        <w:rPr>
          <w:rFonts w:asciiTheme="minorHAnsi" w:hAnsiTheme="minorHAnsi" w:cstheme="minorHAnsi"/>
          <w:szCs w:val="22"/>
          <w:lang w:val="en-US"/>
        </w:rPr>
      </w:pPr>
      <w:r w:rsidRPr="002F4A08">
        <w:rPr>
          <w:rFonts w:asciiTheme="minorHAnsi" w:hAnsiTheme="minorHAnsi" w:cstheme="minorHAnsi"/>
          <w:szCs w:val="22"/>
          <w:lang w:val="en-US"/>
        </w:rPr>
        <w:t xml:space="preserve">Source: Kronenberg </w:t>
      </w:r>
      <w:r w:rsidRPr="002F4A08">
        <w:rPr>
          <w:rFonts w:asciiTheme="minorHAnsi" w:hAnsiTheme="minorHAnsi" w:cstheme="minorHAnsi"/>
          <w:szCs w:val="22"/>
          <w:lang w:val="en-US"/>
        </w:rPr>
        <w:fldChar w:fldCharType="begin"/>
      </w:r>
      <w:r w:rsidRPr="002F4A08">
        <w:rPr>
          <w:rFonts w:asciiTheme="minorHAnsi" w:hAnsiTheme="minorHAnsi" w:cstheme="minorHAnsi"/>
          <w:szCs w:val="22"/>
          <w:lang w:val="en-US"/>
        </w:rPr>
        <w:instrText xml:space="preserve"> ADDIN EN.CITE &lt;EndNote&gt;&lt;Cite ExcludeAuth="1"&gt;&lt;Author&gt;Kronenberg&lt;/Author&gt;&lt;Year&gt;in press&lt;/Year&gt;&lt;RecNum&gt;726&lt;/RecNum&gt;&lt;DisplayText&gt;(in press)&lt;/DisplayText&gt;&lt;record&gt;&lt;rec-number&gt;726&lt;/rec-number&gt;&lt;foreign-keys&gt;&lt;key app="EN" db-id="fsxszs05u5f00setapvp9rzrpww0505fwf9v"&gt;726&lt;/key&gt;&lt;/foreign-keys&gt;&lt;ref-type name="Journal Article"&gt;17&lt;/ref-type&gt;&lt;contributors&gt;&lt;authors&gt;&lt;author&gt;Kronenberg, Tobias&lt;/author&gt;&lt;/authors&gt;&lt;/contributors&gt;&lt;titles&gt;&lt;title&gt;Regional input-output models and the treatment of imports in the European System of Accounts (ESA)&lt;/title&gt;&lt;secondary-title&gt;Jahrbuch für Regionalwissenschaft&lt;/secondary-title&gt;&lt;/titles&gt;&lt;periodical&gt;&lt;full-title&gt;Jahrbuch für Regionalwissenschaft&lt;/full-title&gt;&lt;/periodical&gt;&lt;dates&gt;&lt;year&gt;in press&lt;/year&gt;&lt;/dates&gt;&lt;urls&gt;&lt;/urls&gt;&lt;/record&gt;&lt;/Cite&gt;&lt;/EndNote&gt;</w:instrText>
      </w:r>
      <w:r w:rsidRPr="002F4A08">
        <w:rPr>
          <w:rFonts w:asciiTheme="minorHAnsi" w:hAnsiTheme="minorHAnsi" w:cstheme="minorHAnsi"/>
          <w:szCs w:val="22"/>
          <w:lang w:val="en-US"/>
        </w:rPr>
        <w:fldChar w:fldCharType="separate"/>
      </w:r>
      <w:r w:rsidRPr="002F4A08">
        <w:rPr>
          <w:rFonts w:asciiTheme="minorHAnsi" w:hAnsiTheme="minorHAnsi" w:cstheme="minorHAnsi"/>
          <w:noProof/>
          <w:szCs w:val="22"/>
          <w:lang w:val="en-US"/>
        </w:rPr>
        <w:t>(</w:t>
      </w:r>
      <w:hyperlink w:anchor="_ENREF_7" w:tooltip="Kronenberg, in press #726" w:history="1">
        <w:r w:rsidR="00B07F05" w:rsidRPr="002F4A08">
          <w:rPr>
            <w:rFonts w:asciiTheme="minorHAnsi" w:hAnsiTheme="minorHAnsi" w:cstheme="minorHAnsi"/>
            <w:noProof/>
            <w:szCs w:val="22"/>
            <w:lang w:val="en-US"/>
          </w:rPr>
          <w:t>in press</w:t>
        </w:r>
      </w:hyperlink>
      <w:r w:rsidRPr="002F4A08">
        <w:rPr>
          <w:rFonts w:asciiTheme="minorHAnsi" w:hAnsiTheme="minorHAnsi" w:cstheme="minorHAnsi"/>
          <w:noProof/>
          <w:szCs w:val="22"/>
          <w:lang w:val="en-US"/>
        </w:rPr>
        <w:t>)</w:t>
      </w:r>
      <w:r w:rsidRPr="002F4A08">
        <w:rPr>
          <w:rFonts w:asciiTheme="minorHAnsi" w:hAnsiTheme="minorHAnsi" w:cstheme="minorHAnsi"/>
          <w:szCs w:val="22"/>
          <w:lang w:val="en-US"/>
        </w:rPr>
        <w:fldChar w:fldCharType="end"/>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t xml:space="preserve">  IEK-STE 2012</w:t>
      </w:r>
    </w:p>
    <w:p w:rsidR="00BD3F35" w:rsidRPr="002F4A08" w:rsidRDefault="00BD3F35" w:rsidP="00E51779">
      <w:pPr>
        <w:rPr>
          <w:lang w:val="en-US"/>
        </w:rPr>
      </w:pPr>
      <w:r w:rsidRPr="002F4A08">
        <w:rPr>
          <w:lang w:val="en-US"/>
        </w:rPr>
        <w:t xml:space="preserve">The following conventions will be used: The subscript </w:t>
      </w:r>
      <w:r w:rsidR="009F73BB" w:rsidRPr="002F4A08">
        <w:rPr>
          <w:lang w:val="en-US"/>
        </w:rPr>
        <w:t>i</w:t>
      </w:r>
      <w:r w:rsidR="009F73BB" w:rsidRPr="002F4A08">
        <w:rPr>
          <w:i/>
          <w:lang w:val="en-US"/>
        </w:rPr>
        <w:t xml:space="preserve"> </w:t>
      </w:r>
      <w:r w:rsidRPr="002F4A08">
        <w:rPr>
          <w:lang w:val="en-US"/>
        </w:rPr>
        <w:t xml:space="preserve">stands for products or commodities, the subscript </w:t>
      </w:r>
      <w:r w:rsidRPr="002F4A08">
        <w:rPr>
          <w:i/>
          <w:lang w:val="en-US"/>
        </w:rPr>
        <w:t>j</w:t>
      </w:r>
      <w:r w:rsidRPr="002F4A08">
        <w:rPr>
          <w:lang w:val="en-US"/>
        </w:rPr>
        <w:t xml:space="preserve"> stands for industries or homogeneous branches. A superscript </w:t>
      </w:r>
      <w:r w:rsidRPr="002F4A08">
        <w:rPr>
          <w:i/>
          <w:lang w:val="en-US"/>
        </w:rPr>
        <w:t>d</w:t>
      </w:r>
      <w:r w:rsidRPr="002F4A08">
        <w:rPr>
          <w:lang w:val="en-US"/>
        </w:rPr>
        <w:t xml:space="preserve"> or </w:t>
      </w:r>
      <w:r w:rsidRPr="002F4A08">
        <w:rPr>
          <w:i/>
          <w:lang w:val="en-US"/>
        </w:rPr>
        <w:t>m</w:t>
      </w:r>
      <w:r w:rsidRPr="002F4A08">
        <w:rPr>
          <w:lang w:val="en-US"/>
        </w:rPr>
        <w:t xml:space="preserve"> is used to indicate the origin of products (domestically produced or imported). Matrices are denoted by capital letters, vectors by lower case letters. Both are printed in bold type. The individual elements of a matrix are printed in italics. Thus, for example, </w:t>
      </w:r>
      <w:r w:rsidRPr="002F4A08">
        <w:rPr>
          <w:position w:val="-14"/>
          <w:lang w:val="en-US"/>
        </w:rPr>
        <w:object w:dxaOrig="400" w:dyaOrig="380">
          <v:shape id="_x0000_i1035" type="#_x0000_t75" style="width:20.25pt;height:18.75pt" o:ole="">
            <v:imagedata r:id="rId30" o:title=""/>
          </v:shape>
          <o:OLEObject Type="Embed" ProgID="Equation.3" ShapeID="_x0000_i1035" DrawAspect="Content" ObjectID="_1397289120" r:id="rId31"/>
        </w:object>
      </w:r>
      <w:r w:rsidRPr="002F4A08">
        <w:rPr>
          <w:lang w:val="en-US"/>
        </w:rPr>
        <w:t xml:space="preserve"> is element </w:t>
      </w:r>
      <w:r w:rsidRPr="002F4A08">
        <w:rPr>
          <w:i/>
          <w:lang w:val="en-US"/>
        </w:rPr>
        <w:t>i</w:t>
      </w:r>
      <w:r w:rsidRPr="002F4A08">
        <w:rPr>
          <w:lang w:val="en-US"/>
        </w:rPr>
        <w:t xml:space="preserve">, </w:t>
      </w:r>
      <w:r w:rsidRPr="002F4A08">
        <w:rPr>
          <w:i/>
          <w:lang w:val="en-US"/>
        </w:rPr>
        <w:t>j</w:t>
      </w:r>
      <w:r w:rsidRPr="002F4A08">
        <w:rPr>
          <w:lang w:val="en-US"/>
        </w:rPr>
        <w:t xml:space="preserve"> of matrix </w:t>
      </w:r>
      <w:r w:rsidRPr="002F4A08">
        <w:rPr>
          <w:position w:val="-14"/>
          <w:lang w:val="en-US"/>
        </w:rPr>
        <w:object w:dxaOrig="380" w:dyaOrig="380">
          <v:shape id="_x0000_i1036" type="#_x0000_t75" style="width:18.75pt;height:18.75pt" o:ole="">
            <v:imagedata r:id="rId32" o:title=""/>
          </v:shape>
          <o:OLEObject Type="Embed" ProgID="Equation.3" ShapeID="_x0000_i1036" DrawAspect="Content" ObjectID="_1397289121" r:id="rId33"/>
        </w:object>
      </w:r>
      <w:r w:rsidRPr="002F4A08">
        <w:rPr>
          <w:lang w:val="en-US"/>
        </w:rPr>
        <w:t xml:space="preserve">. It reports the total amount of product </w:t>
      </w:r>
      <w:r w:rsidRPr="002F4A08">
        <w:rPr>
          <w:i/>
          <w:lang w:val="en-US"/>
        </w:rPr>
        <w:t>i</w:t>
      </w:r>
      <w:r w:rsidRPr="002F4A08">
        <w:rPr>
          <w:lang w:val="en-US"/>
        </w:rPr>
        <w:t xml:space="preserve"> used by industry </w:t>
      </w:r>
      <w:r w:rsidRPr="002F4A08">
        <w:rPr>
          <w:i/>
          <w:lang w:val="en-US"/>
        </w:rPr>
        <w:t>j</w:t>
      </w:r>
      <w:r w:rsidRPr="002F4A08">
        <w:rPr>
          <w:lang w:val="en-US"/>
        </w:rPr>
        <w:t xml:space="preserve">. The amount of this which originates from domestic production is </w:t>
      </w:r>
      <w:r w:rsidRPr="002F4A08">
        <w:rPr>
          <w:position w:val="-14"/>
          <w:lang w:val="en-US"/>
        </w:rPr>
        <w:object w:dxaOrig="400" w:dyaOrig="400">
          <v:shape id="_x0000_i1037" type="#_x0000_t75" style="width:20.25pt;height:20.25pt" o:ole="">
            <v:imagedata r:id="rId34" o:title=""/>
          </v:shape>
          <o:OLEObject Type="Embed" ProgID="Equation.3" ShapeID="_x0000_i1037" DrawAspect="Content" ObjectID="_1397289122" r:id="rId35"/>
        </w:object>
      </w:r>
      <w:r w:rsidRPr="002F4A08">
        <w:rPr>
          <w:lang w:val="en-US"/>
        </w:rPr>
        <w:t xml:space="preserve">, and the amount which was imported is </w:t>
      </w:r>
      <w:r w:rsidRPr="002F4A08">
        <w:rPr>
          <w:position w:val="-14"/>
          <w:lang w:val="en-US"/>
        </w:rPr>
        <w:object w:dxaOrig="400" w:dyaOrig="400">
          <v:shape id="_x0000_i1038" type="#_x0000_t75" style="width:20.25pt;height:20.25pt" o:ole="">
            <v:imagedata r:id="rId36" o:title=""/>
          </v:shape>
          <o:OLEObject Type="Embed" ProgID="Equation.3" ShapeID="_x0000_i1038" DrawAspect="Content" ObjectID="_1397289123" r:id="rId37"/>
        </w:object>
      </w:r>
      <w:r w:rsidRPr="002F4A08">
        <w:rPr>
          <w:lang w:val="en-US"/>
        </w:rPr>
        <w:t xml:space="preserve">. Naturally, </w:t>
      </w:r>
      <w:r w:rsidRPr="002F4A08">
        <w:rPr>
          <w:position w:val="-14"/>
          <w:lang w:val="en-US"/>
        </w:rPr>
        <w:object w:dxaOrig="1560" w:dyaOrig="400">
          <v:shape id="_x0000_i1039" type="#_x0000_t75" style="width:78pt;height:20.25pt" o:ole="">
            <v:imagedata r:id="rId38" o:title=""/>
          </v:shape>
          <o:OLEObject Type="Embed" ProgID="Equation.3" ShapeID="_x0000_i1039" DrawAspect="Content" ObjectID="_1397289124" r:id="rId39"/>
        </w:object>
      </w:r>
      <w:r w:rsidRPr="002F4A08">
        <w:rPr>
          <w:lang w:val="en-US"/>
        </w:rPr>
        <w:t>.</w:t>
      </w:r>
    </w:p>
    <w:p w:rsidR="00BD3F35" w:rsidRPr="002F4A08" w:rsidRDefault="00BD3F35" w:rsidP="00E51779">
      <w:pPr>
        <w:rPr>
          <w:lang w:val="en-US"/>
        </w:rPr>
      </w:pPr>
      <w:r w:rsidRPr="002F4A08">
        <w:rPr>
          <w:lang w:val="en-US"/>
        </w:rPr>
        <w:t xml:space="preserve">In addition to </w:t>
      </w:r>
      <w:r w:rsidRPr="002F4A08">
        <w:rPr>
          <w:position w:val="-14"/>
          <w:lang w:val="en-US"/>
        </w:rPr>
        <w:object w:dxaOrig="380" w:dyaOrig="400">
          <v:shape id="_x0000_i1040" type="#_x0000_t75" style="width:18.75pt;height:20.25pt" o:ole="">
            <v:imagedata r:id="rId40" o:title=""/>
          </v:shape>
          <o:OLEObject Type="Embed" ProgID="Equation.3" ShapeID="_x0000_i1040" DrawAspect="Content" ObjectID="_1397289125" r:id="rId41"/>
        </w:object>
      </w:r>
      <w:r w:rsidRPr="002F4A08">
        <w:rPr>
          <w:lang w:val="en-US"/>
        </w:rPr>
        <w:t xml:space="preserve">and </w:t>
      </w:r>
      <w:r w:rsidRPr="002F4A08">
        <w:rPr>
          <w:position w:val="-14"/>
          <w:lang w:val="en-US"/>
        </w:rPr>
        <w:object w:dxaOrig="380" w:dyaOrig="400">
          <v:shape id="_x0000_i1041" type="#_x0000_t75" style="width:18.75pt;height:20.25pt" o:ole="">
            <v:imagedata r:id="rId42" o:title=""/>
          </v:shape>
          <o:OLEObject Type="Embed" ProgID="Equation.3" ShapeID="_x0000_i1041" DrawAspect="Content" ObjectID="_1397289126" r:id="rId43"/>
        </w:object>
      </w:r>
      <w:r w:rsidRPr="002F4A08">
        <w:rPr>
          <w:lang w:val="en-US"/>
        </w:rPr>
        <w:t xml:space="preserve">, the basic data table contains the following elements. The vector </w:t>
      </w:r>
      <w:r w:rsidRPr="002F4A08">
        <w:rPr>
          <w:position w:val="-14"/>
          <w:lang w:val="en-US"/>
        </w:rPr>
        <w:object w:dxaOrig="260" w:dyaOrig="380">
          <v:shape id="_x0000_i1042" type="#_x0000_t75" style="width:12.75pt;height:18.75pt" o:ole="">
            <v:imagedata r:id="rId26" o:title=""/>
          </v:shape>
          <o:OLEObject Type="Embed" ProgID="Equation.3" ShapeID="_x0000_i1042" DrawAspect="Content" ObjectID="_1397289127" r:id="rId44"/>
        </w:object>
      </w:r>
      <w:r w:rsidRPr="002F4A08">
        <w:rPr>
          <w:lang w:val="en-US"/>
        </w:rPr>
        <w:t xml:space="preserve"> reports value added (i.e. primary inputs) by industry, and the vector </w:t>
      </w:r>
      <w:r w:rsidRPr="002F4A08">
        <w:rPr>
          <w:position w:val="-14"/>
          <w:lang w:val="en-US"/>
        </w:rPr>
        <w:object w:dxaOrig="260" w:dyaOrig="380">
          <v:shape id="_x0000_i1043" type="#_x0000_t75" style="width:12.75pt;height:18.75pt" o:ole="">
            <v:imagedata r:id="rId28" o:title=""/>
          </v:shape>
          <o:OLEObject Type="Embed" ProgID="Equation.3" ShapeID="_x0000_i1043" DrawAspect="Content" ObjectID="_1397289128" r:id="rId45"/>
        </w:object>
      </w:r>
      <w:r w:rsidRPr="002F4A08">
        <w:rPr>
          <w:lang w:val="en-US"/>
        </w:rPr>
        <w:t xml:space="preserve"> reports output (i.e. production) by industry. The vectors </w:t>
      </w:r>
      <w:r w:rsidRPr="002F4A08">
        <w:rPr>
          <w:position w:val="-10"/>
          <w:lang w:val="en-US"/>
        </w:rPr>
        <w:object w:dxaOrig="300" w:dyaOrig="360">
          <v:shape id="_x0000_i1044" type="#_x0000_t75" style="width:15pt;height:18pt" o:ole="">
            <v:imagedata r:id="rId12" o:title=""/>
          </v:shape>
          <o:OLEObject Type="Embed" ProgID="Equation.3" ShapeID="_x0000_i1044" DrawAspect="Content" ObjectID="_1397289129" r:id="rId46"/>
        </w:object>
      </w:r>
      <w:r w:rsidRPr="002F4A08">
        <w:rPr>
          <w:lang w:val="en-US"/>
        </w:rPr>
        <w:t xml:space="preserve"> and </w:t>
      </w:r>
      <w:r w:rsidRPr="002F4A08">
        <w:rPr>
          <w:position w:val="-10"/>
          <w:lang w:val="en-US"/>
        </w:rPr>
        <w:object w:dxaOrig="340" w:dyaOrig="360">
          <v:shape id="_x0000_i1045" type="#_x0000_t75" style="width:17.25pt;height:18pt" o:ole="">
            <v:imagedata r:id="rId20" o:title=""/>
          </v:shape>
          <o:OLEObject Type="Embed" ProgID="Equation.3" ShapeID="_x0000_i1045" DrawAspect="Content" ObjectID="_1397289130" r:id="rId47"/>
        </w:object>
      </w:r>
      <w:r w:rsidRPr="002F4A08">
        <w:rPr>
          <w:lang w:val="en-US"/>
        </w:rPr>
        <w:t xml:space="preserve"> contain domestic final use of products, respectively. Domestic final use is defined as the sum of private consumption expenditure, public consumption expenditure, and gross capital formation. The vector </w:t>
      </w:r>
      <w:r w:rsidRPr="002F4A08">
        <w:rPr>
          <w:position w:val="-10"/>
          <w:lang w:val="en-US"/>
        </w:rPr>
        <w:object w:dxaOrig="279" w:dyaOrig="360">
          <v:shape id="_x0000_i1046" type="#_x0000_t75" style="width:14.25pt;height:18pt" o:ole="">
            <v:imagedata r:id="rId14" o:title=""/>
          </v:shape>
          <o:OLEObject Type="Embed" ProgID="Equation.3" ShapeID="_x0000_i1046" DrawAspect="Content" ObjectID="_1397289131" r:id="rId48"/>
        </w:object>
      </w:r>
      <w:r w:rsidRPr="002F4A08">
        <w:rPr>
          <w:lang w:val="en-US"/>
        </w:rPr>
        <w:t xml:space="preserve"> reports exports of domestically produced commodities, whereas </w:t>
      </w:r>
      <w:r w:rsidRPr="002F4A08">
        <w:rPr>
          <w:position w:val="-10"/>
          <w:lang w:val="en-US"/>
        </w:rPr>
        <w:object w:dxaOrig="320" w:dyaOrig="360">
          <v:shape id="_x0000_i1047" type="#_x0000_t75" style="width:15.75pt;height:18pt" o:ole="">
            <v:imagedata r:id="rId22" o:title=""/>
          </v:shape>
          <o:OLEObject Type="Embed" ProgID="Equation.3" ShapeID="_x0000_i1047" DrawAspect="Content" ObjectID="_1397289132" r:id="rId49"/>
        </w:object>
      </w:r>
      <w:r w:rsidRPr="002F4A08">
        <w:rPr>
          <w:lang w:val="en-US"/>
        </w:rPr>
        <w:t xml:space="preserve"> reports exports of imported commodities (i.e. re-exports). It should be noted that re-exports are normally not included in input-output tables, so </w:t>
      </w:r>
      <w:r w:rsidRPr="002F4A08">
        <w:rPr>
          <w:position w:val="-10"/>
          <w:lang w:val="en-US"/>
        </w:rPr>
        <w:object w:dxaOrig="320" w:dyaOrig="360">
          <v:shape id="_x0000_i1048" type="#_x0000_t75" style="width:15.75pt;height:18pt" o:ole="">
            <v:imagedata r:id="rId22" o:title=""/>
          </v:shape>
          <o:OLEObject Type="Embed" ProgID="Equation.3" ShapeID="_x0000_i1048" DrawAspect="Content" ObjectID="_1397289133" r:id="rId50"/>
        </w:object>
      </w:r>
      <w:r w:rsidRPr="002F4A08">
        <w:rPr>
          <w:lang w:val="en-US"/>
        </w:rPr>
        <w:t xml:space="preserve"> will usually contain only zeroes. Finally, the vectors </w:t>
      </w:r>
      <w:r w:rsidRPr="002F4A08">
        <w:rPr>
          <w:position w:val="-10"/>
          <w:lang w:val="en-US"/>
        </w:rPr>
        <w:object w:dxaOrig="300" w:dyaOrig="360">
          <v:shape id="_x0000_i1049" type="#_x0000_t75" style="width:15pt;height:18pt" o:ole="">
            <v:imagedata r:id="rId16" o:title=""/>
          </v:shape>
          <o:OLEObject Type="Embed" ProgID="Equation.3" ShapeID="_x0000_i1049" DrawAspect="Content" ObjectID="_1397289134" r:id="rId51"/>
        </w:object>
      </w:r>
      <w:r w:rsidRPr="002F4A08">
        <w:rPr>
          <w:lang w:val="en-US"/>
        </w:rPr>
        <w:t xml:space="preserve"> and </w:t>
      </w:r>
      <w:r w:rsidRPr="002F4A08">
        <w:rPr>
          <w:position w:val="-10"/>
          <w:lang w:val="en-US"/>
        </w:rPr>
        <w:object w:dxaOrig="340" w:dyaOrig="360">
          <v:shape id="_x0000_i1050" type="#_x0000_t75" style="width:17.25pt;height:18pt" o:ole="">
            <v:imagedata r:id="rId24" o:title=""/>
          </v:shape>
          <o:OLEObject Type="Embed" ProgID="Equation.3" ShapeID="_x0000_i1050" DrawAspect="Content" ObjectID="_1397289135" r:id="rId52"/>
        </w:object>
      </w:r>
      <w:r w:rsidRPr="002F4A08">
        <w:rPr>
          <w:lang w:val="en-US"/>
        </w:rPr>
        <w:t xml:space="preserve"> describe the total use of domestically produced and imported commodities. Total use is defined as the sum of intermediate use, final domestic use, and exports. Mathematically:</w:t>
      </w:r>
    </w:p>
    <w:p w:rsidR="00BD3F35" w:rsidRPr="002F4A08" w:rsidRDefault="00BD3F35" w:rsidP="00E51779">
      <w:pPr>
        <w:rPr>
          <w:lang w:val="en-US"/>
        </w:rPr>
      </w:pPr>
      <w:r w:rsidRPr="002F4A08">
        <w:rPr>
          <w:lang w:val="en-US"/>
        </w:rPr>
        <w:tab/>
      </w:r>
      <w:r w:rsidRPr="002F4A08">
        <w:rPr>
          <w:position w:val="-30"/>
          <w:lang w:val="en-US"/>
        </w:rPr>
        <w:object w:dxaOrig="1980" w:dyaOrig="700">
          <v:shape id="_x0000_i1051" type="#_x0000_t75" style="width:99pt;height:35.25pt" o:ole="">
            <v:imagedata r:id="rId53" o:title=""/>
          </v:shape>
          <o:OLEObject Type="Embed" ProgID="Equation.3" ShapeID="_x0000_i1051" DrawAspect="Content" ObjectID="_1397289136" r:id="rId54"/>
        </w:object>
      </w:r>
      <w:r w:rsidRPr="002F4A08">
        <w:rPr>
          <w:lang w:val="en-US"/>
        </w:rPr>
        <w:tab/>
        <w:t>(1)</w:t>
      </w:r>
    </w:p>
    <w:p w:rsidR="00BD3F35" w:rsidRPr="002F4A08" w:rsidRDefault="00F6570A" w:rsidP="00E51779">
      <w:pPr>
        <w:rPr>
          <w:lang w:val="en-US"/>
        </w:rPr>
      </w:pPr>
      <w:r w:rsidRPr="002F4A08">
        <w:rPr>
          <w:lang w:val="en-US"/>
        </w:rPr>
        <w:lastRenderedPageBreak/>
        <w:t>w</w:t>
      </w:r>
      <w:r w:rsidR="00BD3F35" w:rsidRPr="002F4A08">
        <w:rPr>
          <w:lang w:val="en-US"/>
        </w:rPr>
        <w:t>here</w:t>
      </w:r>
      <w:r w:rsidRPr="002F4A08">
        <w:rPr>
          <w:lang w:val="en-US"/>
        </w:rPr>
        <w:t xml:space="preserve"> </w:t>
      </w:r>
      <w:r w:rsidR="00BD3F35" w:rsidRPr="002F4A08">
        <w:rPr>
          <w:i/>
          <w:lang w:val="en-US"/>
        </w:rPr>
        <w:t>n</w:t>
      </w:r>
      <w:r w:rsidR="00BD3F35" w:rsidRPr="002F4A08">
        <w:rPr>
          <w:lang w:val="en-US"/>
        </w:rPr>
        <w:t xml:space="preserve"> is the number of products. Naturally, this relationship also holds for only domestically produced products or imported products:</w:t>
      </w:r>
    </w:p>
    <w:p w:rsidR="00BD3F35" w:rsidRPr="002F4A08" w:rsidRDefault="00BD3F35" w:rsidP="00E51779">
      <w:pPr>
        <w:rPr>
          <w:lang w:val="en-US"/>
        </w:rPr>
      </w:pPr>
      <w:r w:rsidRPr="002F4A08">
        <w:rPr>
          <w:lang w:val="en-US"/>
        </w:rPr>
        <w:tab/>
      </w:r>
      <w:r w:rsidRPr="002F4A08">
        <w:rPr>
          <w:position w:val="-30"/>
          <w:lang w:val="en-US"/>
        </w:rPr>
        <w:object w:dxaOrig="2160" w:dyaOrig="700">
          <v:shape id="_x0000_i1052" type="#_x0000_t75" style="width:108pt;height:35.25pt" o:ole="">
            <v:imagedata r:id="rId55" o:title=""/>
          </v:shape>
          <o:OLEObject Type="Embed" ProgID="Equation.3" ShapeID="_x0000_i1052" DrawAspect="Content" ObjectID="_1397289137" r:id="rId56"/>
        </w:object>
      </w:r>
      <w:r w:rsidRPr="002F4A08">
        <w:rPr>
          <w:lang w:val="en-US"/>
        </w:rPr>
        <w:tab/>
        <w:t>(2.A)</w:t>
      </w:r>
    </w:p>
    <w:p w:rsidR="00BD3F35" w:rsidRPr="002F4A08" w:rsidRDefault="00BD3F35" w:rsidP="00E51779">
      <w:pPr>
        <w:rPr>
          <w:lang w:val="en-US"/>
        </w:rPr>
      </w:pPr>
      <w:r w:rsidRPr="002F4A08">
        <w:rPr>
          <w:lang w:val="en-US"/>
        </w:rPr>
        <w:tab/>
      </w:r>
      <w:r w:rsidRPr="002F4A08">
        <w:rPr>
          <w:position w:val="-30"/>
          <w:lang w:val="en-US"/>
        </w:rPr>
        <w:object w:dxaOrig="2220" w:dyaOrig="700">
          <v:shape id="_x0000_i1053" type="#_x0000_t75" style="width:111pt;height:35.25pt" o:ole="">
            <v:imagedata r:id="rId57" o:title=""/>
          </v:shape>
          <o:OLEObject Type="Embed" ProgID="Equation.3" ShapeID="_x0000_i1053" DrawAspect="Content" ObjectID="_1397289138" r:id="rId58"/>
        </w:object>
      </w:r>
      <w:r w:rsidRPr="002F4A08">
        <w:rPr>
          <w:lang w:val="en-US"/>
        </w:rPr>
        <w:tab/>
        <w:t>(2.B)</w:t>
      </w:r>
    </w:p>
    <w:p w:rsidR="00BD3F35" w:rsidRPr="002F4A08" w:rsidRDefault="00465A34" w:rsidP="00E51779">
      <w:pPr>
        <w:rPr>
          <w:lang w:val="en-US"/>
        </w:rPr>
      </w:pPr>
      <w:r w:rsidRPr="002F4A08">
        <w:rPr>
          <w:lang w:val="en-US"/>
        </w:rPr>
        <w:t xml:space="preserve">These basic data provide the framework to discuss the conceptual differences of types of import allocation. </w:t>
      </w:r>
      <w:r w:rsidR="00167F6D" w:rsidRPr="002F4A08">
        <w:rPr>
          <w:lang w:val="en-US"/>
        </w:rPr>
        <w:fldChar w:fldCharType="begin"/>
      </w:r>
      <w:r w:rsidR="00167F6D" w:rsidRPr="002F4A08">
        <w:rPr>
          <w:lang w:val="en-US"/>
        </w:rPr>
        <w:instrText xml:space="preserve"> REF _Ref277056209 \h  \* MERGEFORMAT </w:instrText>
      </w:r>
      <w:r w:rsidR="00167F6D" w:rsidRPr="002F4A08">
        <w:rPr>
          <w:lang w:val="en-US"/>
        </w:rPr>
      </w:r>
      <w:r w:rsidR="00167F6D" w:rsidRPr="002F4A08">
        <w:rPr>
          <w:lang w:val="en-US"/>
        </w:rPr>
        <w:fldChar w:fldCharType="separate"/>
      </w:r>
      <w:r w:rsidR="00AF6AA5" w:rsidRPr="002F4A08">
        <w:rPr>
          <w:lang w:val="en-US"/>
        </w:rPr>
        <w:t>Table 2</w:t>
      </w:r>
      <w:r w:rsidR="00167F6D" w:rsidRPr="002F4A08">
        <w:rPr>
          <w:lang w:val="en-US"/>
        </w:rPr>
        <w:fldChar w:fldCharType="end"/>
      </w:r>
      <w:r w:rsidR="00BD3F35" w:rsidRPr="002F4A08">
        <w:rPr>
          <w:lang w:val="en-US"/>
        </w:rPr>
        <w:t xml:space="preserve"> reports what we will call the SIOT Variant A</w:t>
      </w:r>
      <w:r w:rsidR="00BD3F35" w:rsidRPr="002F4A08">
        <w:rPr>
          <w:rStyle w:val="Funotenzeichen"/>
          <w:rFonts w:cstheme="minorHAnsi"/>
          <w:lang w:val="en-US"/>
        </w:rPr>
        <w:footnoteReference w:id="2"/>
      </w:r>
      <w:r w:rsidR="00BD3F35" w:rsidRPr="002F4A08">
        <w:rPr>
          <w:lang w:val="en-US"/>
        </w:rPr>
        <w:t xml:space="preserve">. At the core of the SIOT Variant A is an interindustry transactions matrix </w:t>
      </w:r>
      <w:r w:rsidR="00BD3F35" w:rsidRPr="002F4A08">
        <w:rPr>
          <w:b/>
          <w:lang w:val="en-US"/>
        </w:rPr>
        <w:t>Z</w:t>
      </w:r>
      <w:r w:rsidR="00BD3F35" w:rsidRPr="002F4A08">
        <w:rPr>
          <w:lang w:val="en-US"/>
        </w:rPr>
        <w:t xml:space="preserve">, which reports the entire intermediate consumption of products (domestically produced and imported). Mathematically, </w:t>
      </w:r>
      <w:r w:rsidR="00BD3F35" w:rsidRPr="002F4A08">
        <w:rPr>
          <w:position w:val="-4"/>
          <w:lang w:val="en-US"/>
        </w:rPr>
        <w:object w:dxaOrig="1320" w:dyaOrig="300">
          <v:shape id="_x0000_i1054" type="#_x0000_t75" style="width:66pt;height:15pt" o:ole="">
            <v:imagedata r:id="rId59" o:title=""/>
          </v:shape>
          <o:OLEObject Type="Embed" ProgID="Equation.3" ShapeID="_x0000_i1054" DrawAspect="Content" ObjectID="_1397289139" r:id="rId60"/>
        </w:object>
      </w:r>
      <w:r w:rsidR="00BD3F35" w:rsidRPr="002F4A08">
        <w:rPr>
          <w:lang w:val="en-US"/>
        </w:rPr>
        <w:t xml:space="preserve">. Taking column sums of this matrix yields total intermediate consumption by industry, denoted by </w:t>
      </w:r>
      <w:r w:rsidR="00BD3F35" w:rsidRPr="002F4A08">
        <w:rPr>
          <w:b/>
          <w:lang w:val="en-US"/>
        </w:rPr>
        <w:t>z</w:t>
      </w:r>
      <w:r w:rsidR="00BD3F35" w:rsidRPr="002F4A08">
        <w:rPr>
          <w:lang w:val="en-US"/>
        </w:rPr>
        <w:t xml:space="preserve">. Taking row sums yield total intermediate consumption by product, denoted by </w:t>
      </w:r>
      <w:r w:rsidR="00BD3F35" w:rsidRPr="002F4A08">
        <w:rPr>
          <w:b/>
          <w:lang w:val="en-US"/>
        </w:rPr>
        <w:t>r</w:t>
      </w:r>
      <w:r w:rsidR="00BD3F35" w:rsidRPr="002F4A08">
        <w:rPr>
          <w:lang w:val="en-US"/>
        </w:rPr>
        <w:t xml:space="preserve">. By definition, summing </w:t>
      </w:r>
      <w:r w:rsidR="00BD3F35" w:rsidRPr="002F4A08">
        <w:rPr>
          <w:b/>
          <w:lang w:val="en-US"/>
        </w:rPr>
        <w:t>z</w:t>
      </w:r>
      <w:r w:rsidR="00BD3F35" w:rsidRPr="002F4A08">
        <w:rPr>
          <w:lang w:val="en-US"/>
        </w:rPr>
        <w:t xml:space="preserve"> over </w:t>
      </w:r>
      <w:r w:rsidR="00BD3F35" w:rsidRPr="002F4A08">
        <w:rPr>
          <w:i/>
          <w:lang w:val="en-US"/>
        </w:rPr>
        <w:t>j</w:t>
      </w:r>
      <w:r w:rsidR="00BD3F35" w:rsidRPr="002F4A08">
        <w:rPr>
          <w:lang w:val="en-US"/>
        </w:rPr>
        <w:t xml:space="preserve"> must yield the same result as summing </w:t>
      </w:r>
      <w:r w:rsidR="00BD3F35" w:rsidRPr="002F4A08">
        <w:rPr>
          <w:b/>
          <w:lang w:val="en-US"/>
        </w:rPr>
        <w:t>r</w:t>
      </w:r>
      <w:r w:rsidR="00BD3F35" w:rsidRPr="002F4A08">
        <w:rPr>
          <w:lang w:val="en-US"/>
        </w:rPr>
        <w:t xml:space="preserve"> over </w:t>
      </w:r>
      <w:r w:rsidR="00BD3F35" w:rsidRPr="002F4A08">
        <w:rPr>
          <w:i/>
          <w:lang w:val="en-US"/>
        </w:rPr>
        <w:t>i</w:t>
      </w:r>
      <w:r w:rsidR="00BD3F35" w:rsidRPr="002F4A08">
        <w:rPr>
          <w:lang w:val="en-US"/>
        </w:rPr>
        <w:t xml:space="preserve">, so </w:t>
      </w:r>
      <w:r w:rsidR="00BD3F35" w:rsidRPr="002F4A08">
        <w:rPr>
          <w:position w:val="-4"/>
          <w:lang w:val="en-US"/>
        </w:rPr>
        <w:object w:dxaOrig="560" w:dyaOrig="200">
          <v:shape id="_x0000_i1055" type="#_x0000_t75" style="width:27.75pt;height:9.75pt" o:ole="">
            <v:imagedata r:id="rId61" o:title=""/>
          </v:shape>
          <o:OLEObject Type="Embed" ProgID="Equation.3" ShapeID="_x0000_i1055" DrawAspect="Content" ObjectID="_1397289140" r:id="rId62"/>
        </w:object>
      </w:r>
      <w:r w:rsidR="00BD3F35" w:rsidRPr="002F4A08">
        <w:rPr>
          <w:lang w:val="en-US"/>
        </w:rPr>
        <w:t xml:space="preserve"> (but </w:t>
      </w:r>
      <w:r w:rsidR="00BD3F35" w:rsidRPr="002F4A08">
        <w:rPr>
          <w:position w:val="-4"/>
          <w:lang w:val="en-US"/>
        </w:rPr>
        <w:object w:dxaOrig="560" w:dyaOrig="200">
          <v:shape id="_x0000_i1056" type="#_x0000_t75" style="width:27.75pt;height:9.75pt" o:ole="">
            <v:imagedata r:id="rId63" o:title=""/>
          </v:shape>
          <o:OLEObject Type="Embed" ProgID="Equation.3" ShapeID="_x0000_i1056" DrawAspect="Content" ObjectID="_1397289141" r:id="rId64"/>
        </w:object>
      </w:r>
      <w:r w:rsidR="00BD3F35" w:rsidRPr="002F4A08">
        <w:rPr>
          <w:lang w:val="en-US"/>
        </w:rPr>
        <w:t xml:space="preserve"> will usually not be true; it is possible but extremely unlikely).</w:t>
      </w:r>
    </w:p>
    <w:p w:rsidR="00BD3F35" w:rsidRPr="002F4A08" w:rsidRDefault="00BD3F35" w:rsidP="00BD3F35">
      <w:pPr>
        <w:pStyle w:val="Tab"/>
        <w:keepNext/>
        <w:pBdr>
          <w:bottom w:val="single" w:sz="4" w:space="1" w:color="auto"/>
        </w:pBdr>
        <w:rPr>
          <w:rFonts w:asciiTheme="minorHAnsi" w:hAnsiTheme="minorHAnsi" w:cstheme="minorHAnsi"/>
          <w:sz w:val="22"/>
          <w:szCs w:val="22"/>
          <w:lang w:val="en-US"/>
        </w:rPr>
      </w:pPr>
      <w:bookmarkStart w:id="2" w:name="_Ref277056209"/>
      <w:r w:rsidRPr="002F4A08">
        <w:rPr>
          <w:rFonts w:asciiTheme="minorHAnsi" w:hAnsiTheme="minorHAnsi" w:cstheme="minorHAnsi"/>
          <w:sz w:val="22"/>
          <w:szCs w:val="22"/>
          <w:lang w:val="en-US"/>
        </w:rPr>
        <w:t xml:space="preserve">Table </w:t>
      </w:r>
      <w:r w:rsidR="00662E01" w:rsidRPr="002F4A08">
        <w:rPr>
          <w:rFonts w:asciiTheme="minorHAnsi" w:hAnsiTheme="minorHAnsi" w:cstheme="minorHAnsi"/>
          <w:sz w:val="22"/>
          <w:szCs w:val="22"/>
          <w:lang w:val="en-US"/>
        </w:rPr>
        <w:fldChar w:fldCharType="begin"/>
      </w:r>
      <w:r w:rsidR="00C76886" w:rsidRPr="002F4A08">
        <w:rPr>
          <w:rFonts w:asciiTheme="minorHAnsi" w:hAnsiTheme="minorHAnsi" w:cstheme="minorHAnsi"/>
          <w:sz w:val="22"/>
          <w:szCs w:val="22"/>
          <w:lang w:val="en-US"/>
        </w:rPr>
        <w:instrText xml:space="preserve"> SEQ Table \* ARABIC </w:instrText>
      </w:r>
      <w:r w:rsidR="00662E01" w:rsidRPr="002F4A08">
        <w:rPr>
          <w:rFonts w:asciiTheme="minorHAnsi" w:hAnsiTheme="minorHAnsi" w:cstheme="minorHAnsi"/>
          <w:sz w:val="22"/>
          <w:szCs w:val="22"/>
          <w:lang w:val="en-US"/>
        </w:rPr>
        <w:fldChar w:fldCharType="separate"/>
      </w:r>
      <w:r w:rsidR="001B1E67" w:rsidRPr="002F4A08">
        <w:rPr>
          <w:rFonts w:asciiTheme="minorHAnsi" w:hAnsiTheme="minorHAnsi" w:cstheme="minorHAnsi"/>
          <w:noProof/>
          <w:sz w:val="22"/>
          <w:szCs w:val="22"/>
          <w:lang w:val="en-US"/>
        </w:rPr>
        <w:t>2</w:t>
      </w:r>
      <w:r w:rsidR="00662E01" w:rsidRPr="002F4A08">
        <w:rPr>
          <w:rFonts w:asciiTheme="minorHAnsi" w:hAnsiTheme="minorHAnsi" w:cstheme="minorHAnsi"/>
          <w:sz w:val="22"/>
          <w:szCs w:val="22"/>
          <w:lang w:val="en-US"/>
        </w:rPr>
        <w:fldChar w:fldCharType="end"/>
      </w:r>
      <w:bookmarkEnd w:id="2"/>
      <w:r w:rsidRPr="002F4A08">
        <w:rPr>
          <w:rFonts w:asciiTheme="minorHAnsi" w:hAnsiTheme="minorHAnsi" w:cstheme="minorHAnsi"/>
          <w:sz w:val="22"/>
          <w:szCs w:val="22"/>
          <w:lang w:val="en-US"/>
        </w:rPr>
        <w:t>: Symmetric input-output table, variant ‘A’</w:t>
      </w:r>
    </w:p>
    <w:tbl>
      <w:tblPr>
        <w:tblW w:w="8759" w:type="dxa"/>
        <w:tblInd w:w="70" w:type="dxa"/>
        <w:tblCellMar>
          <w:left w:w="70" w:type="dxa"/>
          <w:right w:w="70" w:type="dxa"/>
        </w:tblCellMar>
        <w:tblLook w:val="0000" w:firstRow="0" w:lastRow="0" w:firstColumn="0" w:lastColumn="0" w:noHBand="0" w:noVBand="0"/>
      </w:tblPr>
      <w:tblGrid>
        <w:gridCol w:w="2653"/>
        <w:gridCol w:w="652"/>
        <w:gridCol w:w="452"/>
        <w:gridCol w:w="672"/>
        <w:gridCol w:w="695"/>
        <w:gridCol w:w="1085"/>
        <w:gridCol w:w="930"/>
        <w:gridCol w:w="840"/>
        <w:gridCol w:w="780"/>
      </w:tblGrid>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p>
        </w:tc>
        <w:tc>
          <w:tcPr>
            <w:tcW w:w="2471" w:type="dxa"/>
            <w:gridSpan w:val="4"/>
            <w:tcBorders>
              <w:top w:val="nil"/>
              <w:left w:val="nil"/>
              <w:bottom w:val="nil"/>
              <w:right w:val="nil"/>
            </w:tcBorders>
            <w:shd w:val="clear" w:color="auto" w:fill="auto"/>
            <w:vAlign w:val="center"/>
          </w:tcPr>
          <w:p w:rsidR="00BD3F35" w:rsidRPr="002F4A08" w:rsidRDefault="00BD3F35" w:rsidP="00465A34">
            <w:pPr>
              <w:keepNext/>
              <w:jc w:val="center"/>
              <w:rPr>
                <w:rFonts w:cstheme="minorHAnsi"/>
                <w:lang w:val="en-US"/>
              </w:rPr>
            </w:pPr>
            <w:r w:rsidRPr="002F4A08">
              <w:rPr>
                <w:rFonts w:cstheme="minorHAnsi"/>
                <w:lang w:val="en-US"/>
              </w:rPr>
              <w:t>Homogeneous branches</w:t>
            </w:r>
          </w:p>
        </w:tc>
        <w:tc>
          <w:tcPr>
            <w:tcW w:w="2015" w:type="dxa"/>
            <w:gridSpan w:val="2"/>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Final uses</w:t>
            </w:r>
          </w:p>
        </w:tc>
        <w:tc>
          <w:tcPr>
            <w:tcW w:w="840" w:type="dxa"/>
            <w:vMerge w:val="restart"/>
            <w:tcBorders>
              <w:top w:val="nil"/>
              <w:left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Imports</w:t>
            </w:r>
          </w:p>
        </w:tc>
        <w:tc>
          <w:tcPr>
            <w:tcW w:w="780" w:type="dxa"/>
            <w:vMerge w:val="restart"/>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Output</w: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Products</w:t>
            </w:r>
          </w:p>
        </w:tc>
        <w:tc>
          <w:tcPr>
            <w:tcW w:w="652" w:type="dxa"/>
            <w:tcBorders>
              <w:top w:val="nil"/>
              <w:left w:val="nil"/>
              <w:bottom w:val="nil"/>
              <w:right w:val="nil"/>
            </w:tcBorders>
            <w:shd w:val="clear" w:color="auto" w:fill="auto"/>
            <w:vAlign w:val="center"/>
          </w:tcPr>
          <w:p w:rsidR="00BD3F35" w:rsidRPr="002F4A08" w:rsidRDefault="00BD3F35" w:rsidP="00465A34">
            <w:pPr>
              <w:keepNext/>
              <w:jc w:val="center"/>
              <w:rPr>
                <w:rFonts w:cstheme="minorHAnsi"/>
                <w:lang w:val="en-US"/>
              </w:rPr>
            </w:pPr>
            <w:r w:rsidRPr="002F4A08">
              <w:rPr>
                <w:rFonts w:cstheme="minorHAnsi"/>
                <w:lang w:val="en-US"/>
              </w:rPr>
              <w:t>1</w: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i/>
                <w:lang w:val="en-US"/>
              </w:rPr>
            </w:pPr>
            <w:r w:rsidRPr="002F4A08">
              <w:rPr>
                <w:rFonts w:cstheme="minorHAnsi"/>
                <w:i/>
                <w:lang w:val="en-US"/>
              </w:rPr>
              <w:t>n</w: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Total</w: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Domestic</w: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Exports</w:t>
            </w:r>
          </w:p>
        </w:tc>
        <w:tc>
          <w:tcPr>
            <w:tcW w:w="840" w:type="dxa"/>
            <w:vMerge/>
            <w:tcBorders>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p>
        </w:tc>
        <w:tc>
          <w:tcPr>
            <w:tcW w:w="780" w:type="dxa"/>
            <w:vMerge/>
            <w:tcBorders>
              <w:top w:val="nil"/>
              <w:left w:val="nil"/>
              <w:bottom w:val="nil"/>
              <w:right w:val="nil"/>
            </w:tcBorders>
            <w:vAlign w:val="center"/>
          </w:tcPr>
          <w:p w:rsidR="00BD3F35" w:rsidRPr="002F4A08" w:rsidRDefault="00BD3F35" w:rsidP="00465A34">
            <w:pPr>
              <w:keepNext/>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1</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380" w:dyaOrig="380">
                <v:shape id="_x0000_i1057" type="#_x0000_t75" style="width:18.75pt;height:18.75pt" o:ole="">
                  <v:imagedata r:id="rId65" o:title=""/>
                </v:shape>
                <o:OLEObject Type="Embed" ProgID="Equation.3" ShapeID="_x0000_i1057" DrawAspect="Content" ObjectID="_1397289142" r:id="rId66"/>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00" w:dyaOrig="380">
                <v:shape id="_x0000_i1058" type="#_x0000_t75" style="width:20.25pt;height:18.75pt" o:ole="">
                  <v:imagedata r:id="rId67" o:title=""/>
                </v:shape>
                <o:OLEObject Type="Embed" ProgID="Equation.3" ShapeID="_x0000_i1058" DrawAspect="Content" ObjectID="_1397289143" r:id="rId68"/>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00" w:dyaOrig="340">
                <v:shape id="_x0000_i1059" type="#_x0000_t75" style="width:9.75pt;height:17.25pt" o:ole="">
                  <v:imagedata r:id="rId69" o:title=""/>
                </v:shape>
                <o:OLEObject Type="Embed" ProgID="Equation.3" ShapeID="_x0000_i1059" DrawAspect="Content" ObjectID="_1397289144" r:id="rId70"/>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060" type="#_x0000_t75" style="width:12.75pt;height:17.25pt" o:ole="">
                  <v:imagedata r:id="rId71" o:title=""/>
                </v:shape>
                <o:OLEObject Type="Embed" ProgID="Equation.3" ShapeID="_x0000_i1060" DrawAspect="Content" ObjectID="_1397289145" r:id="rId72"/>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061" type="#_x0000_t75" style="width:12pt;height:17.25pt" o:ole="">
                  <v:imagedata r:id="rId73" o:title=""/>
                </v:shape>
                <o:OLEObject Type="Embed" ProgID="Equation.3" ShapeID="_x0000_i1061" DrawAspect="Content" ObjectID="_1397289146" r:id="rId74"/>
              </w:object>
            </w:r>
          </w:p>
        </w:tc>
        <w:tc>
          <w:tcPr>
            <w:tcW w:w="84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480" w:dyaOrig="340">
                <v:shape id="_x0000_i1062" type="#_x0000_t75" style="width:24pt;height:17.25pt" o:ole="">
                  <v:imagedata r:id="rId75" o:title=""/>
                </v:shape>
                <o:OLEObject Type="Embed" ProgID="Equation.3" ShapeID="_x0000_i1062" DrawAspect="Content" ObjectID="_1397289147" r:id="rId76"/>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063" type="#_x0000_t75" style="width:12.75pt;height:17.25pt" o:ole="">
                  <v:imagedata r:id="rId77" o:title=""/>
                </v:shape>
                <o:OLEObject Type="Embed" ProgID="Equation.3" ShapeID="_x0000_i1063" DrawAspect="Content" ObjectID="_1397289148" r:id="rId78"/>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84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i/>
                <w:lang w:val="en-US"/>
              </w:rPr>
            </w:pPr>
            <w:r w:rsidRPr="002F4A08">
              <w:rPr>
                <w:rFonts w:cstheme="minorHAnsi"/>
                <w:i/>
                <w:lang w:val="en-US"/>
              </w:rPr>
              <w:t>n</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00" w:dyaOrig="380">
                <v:shape id="_x0000_i1064" type="#_x0000_t75" style="width:20.25pt;height:18.75pt" o:ole="">
                  <v:imagedata r:id="rId79" o:title=""/>
                </v:shape>
                <o:OLEObject Type="Embed" ProgID="Equation.3" ShapeID="_x0000_i1064" DrawAspect="Content" ObjectID="_1397289149" r:id="rId80"/>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20" w:dyaOrig="380">
                <v:shape id="_x0000_i1065" type="#_x0000_t75" style="width:21pt;height:18.75pt" o:ole="">
                  <v:imagedata r:id="rId81" o:title=""/>
                </v:shape>
                <o:OLEObject Type="Embed" ProgID="Equation.3" ShapeID="_x0000_i1065" DrawAspect="Content" ObjectID="_1397289150" r:id="rId82"/>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20" w:dyaOrig="360">
                <v:shape id="_x0000_i1066" type="#_x0000_t75" style="width:11.25pt;height:18pt" o:ole="">
                  <v:imagedata r:id="rId83" o:title=""/>
                </v:shape>
                <o:OLEObject Type="Embed" ProgID="Equation.3" ShapeID="_x0000_i1066" DrawAspect="Content" ObjectID="_1397289151" r:id="rId84"/>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300" w:dyaOrig="360">
                <v:shape id="_x0000_i1067" type="#_x0000_t75" style="width:15pt;height:18pt" o:ole="">
                  <v:imagedata r:id="rId85" o:title=""/>
                </v:shape>
                <o:OLEObject Type="Embed" ProgID="Equation.3" ShapeID="_x0000_i1067" DrawAspect="Content" ObjectID="_1397289152" r:id="rId86"/>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068" type="#_x0000_t75" style="width:12.75pt;height:18pt" o:ole="">
                  <v:imagedata r:id="rId87" o:title=""/>
                </v:shape>
                <o:OLEObject Type="Embed" ProgID="Equation.3" ShapeID="_x0000_i1068" DrawAspect="Content" ObjectID="_1397289153" r:id="rId88"/>
              </w:object>
            </w:r>
          </w:p>
        </w:tc>
        <w:tc>
          <w:tcPr>
            <w:tcW w:w="84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520" w:dyaOrig="360">
                <v:shape id="_x0000_i1069" type="#_x0000_t75" style="width:26.25pt;height:18pt" o:ole="">
                  <v:imagedata r:id="rId89" o:title=""/>
                </v:shape>
                <o:OLEObject Type="Embed" ProgID="Equation.3" ShapeID="_x0000_i1069" DrawAspect="Content" ObjectID="_1397289154" r:id="rId90"/>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070" type="#_x0000_t75" style="width:14.25pt;height:18pt" o:ole="">
                  <v:imagedata r:id="rId91" o:title=""/>
                </v:shape>
                <o:OLEObject Type="Embed" ProgID="Equation.3" ShapeID="_x0000_i1070" DrawAspect="Content" ObjectID="_1397289155" r:id="rId92"/>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Total interm. use / final use</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071" type="#_x0000_t75" style="width:12pt;height:17.25pt" o:ole="">
                  <v:imagedata r:id="rId93" o:title=""/>
                </v:shape>
                <o:OLEObject Type="Embed" ProgID="Equation.3" ShapeID="_x0000_i1071" DrawAspect="Content" ObjectID="_1397289156" r:id="rId94"/>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072" type="#_x0000_t75" style="width:12.75pt;height:18pt" o:ole="">
                  <v:imagedata r:id="rId95" o:title=""/>
                </v:shape>
                <o:OLEObject Type="Embed" ProgID="Equation.3" ShapeID="_x0000_i1072" DrawAspect="Content" ObjectID="_1397289157" r:id="rId96"/>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4"/>
                <w:lang w:val="en-US"/>
              </w:rPr>
              <w:object w:dxaOrig="560" w:dyaOrig="200">
                <v:shape id="_x0000_i1073" type="#_x0000_t75" style="width:27.75pt;height:9.75pt" o:ole="">
                  <v:imagedata r:id="rId97" o:title=""/>
                </v:shape>
                <o:OLEObject Type="Embed" ProgID="Equation.3" ShapeID="_x0000_i1073" DrawAspect="Content" ObjectID="_1397289158" r:id="rId98"/>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20" w:dyaOrig="260">
                <v:shape id="_x0000_i1074" type="#_x0000_t75" style="width:11.25pt;height:12.75pt" o:ole="">
                  <v:imagedata r:id="rId99" o:title=""/>
                </v:shape>
                <o:OLEObject Type="Embed" ProgID="Equation.3" ShapeID="_x0000_i1074" DrawAspect="Content" ObjectID="_1397289159" r:id="rId100"/>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075" type="#_x0000_t75" style="width:9pt;height:11.25pt" o:ole="">
                  <v:imagedata r:id="rId101" o:title=""/>
                </v:shape>
                <o:OLEObject Type="Embed" ProgID="Equation.3" ShapeID="_x0000_i1075" DrawAspect="Content" ObjectID="_1397289160" r:id="rId102"/>
              </w:object>
            </w:r>
          </w:p>
        </w:tc>
        <w:tc>
          <w:tcPr>
            <w:tcW w:w="84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440" w:dyaOrig="220">
                <v:shape id="_x0000_i1076" type="#_x0000_t75" style="width:21.75pt;height:11.25pt" o:ole="">
                  <v:imagedata r:id="rId103" o:title=""/>
                </v:shape>
                <o:OLEObject Type="Embed" ProgID="Equation.3" ShapeID="_x0000_i1076" DrawAspect="Content" ObjectID="_1397289161" r:id="rId104"/>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00" w:dyaOrig="220">
                <v:shape id="_x0000_i1077" type="#_x0000_t75" style="width:9.75pt;height:11.25pt" o:ole="">
                  <v:imagedata r:id="rId105" o:title=""/>
                </v:shape>
                <o:OLEObject Type="Embed" ProgID="Equation.3" ShapeID="_x0000_i1077" DrawAspect="Content" ObjectID="_1397289162" r:id="rId106"/>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Value added</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078" type="#_x0000_t75" style="width:12pt;height:17.25pt" o:ole="">
                  <v:imagedata r:id="rId107" o:title=""/>
                </v:shape>
                <o:OLEObject Type="Embed" ProgID="Equation.3" ShapeID="_x0000_i1078" DrawAspect="Content" ObjectID="_1397289163" r:id="rId108"/>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079" type="#_x0000_t75" style="width:12.75pt;height:18pt" o:ole="">
                  <v:imagedata r:id="rId109" o:title=""/>
                </v:shape>
                <o:OLEObject Type="Embed" ProgID="Equation.3" ShapeID="_x0000_i1079" DrawAspect="Content" ObjectID="_1397289164" r:id="rId110"/>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080" type="#_x0000_t75" style="width:9pt;height:11.25pt" o:ole="">
                  <v:imagedata r:id="rId111" o:title=""/>
                </v:shape>
                <o:OLEObject Type="Embed" ProgID="Equation.3" ShapeID="_x0000_i1080" DrawAspect="Content" ObjectID="_1397289165" r:id="rId112"/>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84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Output</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081" type="#_x0000_t75" style="width:12.75pt;height:17.25pt" o:ole="">
                  <v:imagedata r:id="rId113" o:title=""/>
                </v:shape>
                <o:OLEObject Type="Embed" ProgID="Equation.3" ShapeID="_x0000_i1081" DrawAspect="Content" ObjectID="_1397289166" r:id="rId114"/>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082" type="#_x0000_t75" style="width:14.25pt;height:18pt" o:ole="">
                  <v:imagedata r:id="rId115" o:title=""/>
                </v:shape>
                <o:OLEObject Type="Embed" ProgID="Equation.3" ShapeID="_x0000_i1082" DrawAspect="Content" ObjectID="_1397289167" r:id="rId116"/>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00" w:dyaOrig="220">
                <v:shape id="_x0000_i1083" type="#_x0000_t75" style="width:9.75pt;height:11.25pt" o:ole="">
                  <v:imagedata r:id="rId117" o:title=""/>
                </v:shape>
                <o:OLEObject Type="Embed" ProgID="Equation.3" ShapeID="_x0000_i1083" DrawAspect="Content" ObjectID="_1397289168" r:id="rId118"/>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84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bl>
    <w:p w:rsidR="0003041A" w:rsidRPr="002F4A08" w:rsidRDefault="0003041A" w:rsidP="0003041A">
      <w:pPr>
        <w:pStyle w:val="SourceSTEPreprint"/>
        <w:keepNext/>
        <w:widowControl w:val="0"/>
        <w:rPr>
          <w:rFonts w:asciiTheme="minorHAnsi" w:hAnsiTheme="minorHAnsi" w:cstheme="minorHAnsi"/>
          <w:szCs w:val="22"/>
          <w:lang w:val="en-US"/>
        </w:rPr>
      </w:pPr>
      <w:r w:rsidRPr="002F4A08">
        <w:rPr>
          <w:rFonts w:asciiTheme="minorHAnsi" w:hAnsiTheme="minorHAnsi" w:cstheme="minorHAnsi"/>
          <w:szCs w:val="22"/>
          <w:lang w:val="en-US"/>
        </w:rPr>
        <w:t xml:space="preserve">Source: Kronenberg </w:t>
      </w:r>
      <w:r w:rsidRPr="002F4A08">
        <w:rPr>
          <w:rFonts w:asciiTheme="minorHAnsi" w:hAnsiTheme="minorHAnsi" w:cstheme="minorHAnsi"/>
          <w:szCs w:val="22"/>
          <w:lang w:val="en-US"/>
        </w:rPr>
        <w:fldChar w:fldCharType="begin"/>
      </w:r>
      <w:r w:rsidRPr="002F4A08">
        <w:rPr>
          <w:rFonts w:asciiTheme="minorHAnsi" w:hAnsiTheme="minorHAnsi" w:cstheme="minorHAnsi"/>
          <w:szCs w:val="22"/>
          <w:lang w:val="en-US"/>
        </w:rPr>
        <w:instrText xml:space="preserve"> ADDIN EN.CITE &lt;EndNote&gt;&lt;Cite ExcludeAuth="1"&gt;&lt;Author&gt;Kronenberg&lt;/Author&gt;&lt;Year&gt;in press&lt;/Year&gt;&lt;RecNum&gt;726&lt;/RecNum&gt;&lt;DisplayText&gt;(in press)&lt;/DisplayText&gt;&lt;record&gt;&lt;rec-number&gt;726&lt;/rec-number&gt;&lt;foreign-keys&gt;&lt;key app="EN" db-id="fsxszs05u5f00setapvp9rzrpww0505fwf9v"&gt;726&lt;/key&gt;&lt;/foreign-keys&gt;&lt;ref-type name="Journal Article"&gt;17&lt;/ref-type&gt;&lt;contributors&gt;&lt;authors&gt;&lt;author&gt;Kronenberg, Tobias&lt;/author&gt;&lt;/authors&gt;&lt;/contributors&gt;&lt;titles&gt;&lt;title&gt;Regional input-output models and the treatment of imports in the European System of Accounts (ESA)&lt;/title&gt;&lt;secondary-title&gt;Jahrbuch für Regionalwissenschaft&lt;/secondary-title&gt;&lt;/titles&gt;&lt;periodical&gt;&lt;full-title&gt;Jahrbuch für Regionalwissenschaft&lt;/full-title&gt;&lt;/periodical&gt;&lt;dates&gt;&lt;year&gt;in press&lt;/year&gt;&lt;/dates&gt;&lt;urls&gt;&lt;/urls&gt;&lt;/record&gt;&lt;/Cite&gt;&lt;/EndNote&gt;</w:instrText>
      </w:r>
      <w:r w:rsidRPr="002F4A08">
        <w:rPr>
          <w:rFonts w:asciiTheme="minorHAnsi" w:hAnsiTheme="minorHAnsi" w:cstheme="minorHAnsi"/>
          <w:szCs w:val="22"/>
          <w:lang w:val="en-US"/>
        </w:rPr>
        <w:fldChar w:fldCharType="separate"/>
      </w:r>
      <w:r w:rsidRPr="002F4A08">
        <w:rPr>
          <w:rFonts w:asciiTheme="minorHAnsi" w:hAnsiTheme="minorHAnsi" w:cstheme="minorHAnsi"/>
          <w:noProof/>
          <w:szCs w:val="22"/>
          <w:lang w:val="en-US"/>
        </w:rPr>
        <w:t>(</w:t>
      </w:r>
      <w:hyperlink w:anchor="_ENREF_7" w:tooltip="Kronenberg, in press #726" w:history="1">
        <w:r w:rsidR="00B07F05" w:rsidRPr="002F4A08">
          <w:rPr>
            <w:rFonts w:asciiTheme="minorHAnsi" w:hAnsiTheme="minorHAnsi" w:cstheme="minorHAnsi"/>
            <w:noProof/>
            <w:szCs w:val="22"/>
            <w:lang w:val="en-US"/>
          </w:rPr>
          <w:t>in press</w:t>
        </w:r>
      </w:hyperlink>
      <w:r w:rsidRPr="002F4A08">
        <w:rPr>
          <w:rFonts w:asciiTheme="minorHAnsi" w:hAnsiTheme="minorHAnsi" w:cstheme="minorHAnsi"/>
          <w:noProof/>
          <w:szCs w:val="22"/>
          <w:lang w:val="en-US"/>
        </w:rPr>
        <w:t>)</w:t>
      </w:r>
      <w:r w:rsidRPr="002F4A08">
        <w:rPr>
          <w:rFonts w:asciiTheme="minorHAnsi" w:hAnsiTheme="minorHAnsi" w:cstheme="minorHAnsi"/>
          <w:szCs w:val="22"/>
          <w:lang w:val="en-US"/>
        </w:rPr>
        <w:fldChar w:fldCharType="end"/>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t xml:space="preserve">  IEK-STE 2012</w:t>
      </w:r>
    </w:p>
    <w:p w:rsidR="00BD3F35" w:rsidRPr="002F4A08" w:rsidRDefault="00BD3F35" w:rsidP="00E51779">
      <w:pPr>
        <w:rPr>
          <w:lang w:val="en-US"/>
        </w:rPr>
      </w:pPr>
      <w:r w:rsidRPr="002F4A08">
        <w:rPr>
          <w:lang w:val="en-US"/>
        </w:rPr>
        <w:t>In each homogeneous branch, intermediate consumption plus value added is equal to output:</w:t>
      </w:r>
    </w:p>
    <w:p w:rsidR="00BD3F35" w:rsidRPr="002F4A08" w:rsidRDefault="00BD3F35" w:rsidP="00E51779">
      <w:pPr>
        <w:rPr>
          <w:lang w:val="en-US"/>
        </w:rPr>
      </w:pPr>
      <w:r w:rsidRPr="002F4A08">
        <w:rPr>
          <w:lang w:val="en-US"/>
        </w:rPr>
        <w:tab/>
      </w:r>
      <w:r w:rsidRPr="002F4A08">
        <w:rPr>
          <w:position w:val="-6"/>
          <w:lang w:val="en-US"/>
        </w:rPr>
        <w:object w:dxaOrig="940" w:dyaOrig="240">
          <v:shape id="_x0000_i1084" type="#_x0000_t75" style="width:47.25pt;height:12pt" o:ole="">
            <v:imagedata r:id="rId119" o:title=""/>
          </v:shape>
          <o:OLEObject Type="Embed" ProgID="Equation.3" ShapeID="_x0000_i1084" DrawAspect="Content" ObjectID="_1397289169" r:id="rId120"/>
        </w:object>
      </w:r>
      <w:r w:rsidR="009F73BB" w:rsidRPr="002F4A08">
        <w:rPr>
          <w:lang w:val="en-US"/>
        </w:rPr>
        <w:tab/>
        <w:t>(3</w:t>
      </w:r>
      <w:r w:rsidRPr="002F4A08">
        <w:rPr>
          <w:lang w:val="en-US"/>
        </w:rPr>
        <w:t>)</w:t>
      </w:r>
    </w:p>
    <w:p w:rsidR="00BD3F35" w:rsidRPr="002F4A08" w:rsidRDefault="00BD3F35" w:rsidP="00E51779">
      <w:pPr>
        <w:rPr>
          <w:lang w:val="en-US"/>
        </w:rPr>
      </w:pPr>
      <w:r w:rsidRPr="002F4A08">
        <w:rPr>
          <w:lang w:val="en-US"/>
        </w:rPr>
        <w:t xml:space="preserve">The bottom row of the SIOT variant A reports output by industry </w:t>
      </w:r>
      <w:r w:rsidRPr="002F4A08">
        <w:rPr>
          <w:i/>
          <w:lang w:val="en-US"/>
        </w:rPr>
        <w:t>x</w:t>
      </w:r>
      <w:r w:rsidRPr="002F4A08">
        <w:rPr>
          <w:i/>
          <w:vertAlign w:val="subscript"/>
          <w:lang w:val="en-US"/>
        </w:rPr>
        <w:t>j</w:t>
      </w:r>
      <w:r w:rsidRPr="002F4A08">
        <w:rPr>
          <w:lang w:val="en-US"/>
        </w:rPr>
        <w:t xml:space="preserve">. Total output is the sum of </w:t>
      </w:r>
      <w:r w:rsidRPr="002F4A08">
        <w:rPr>
          <w:i/>
          <w:lang w:val="en-US"/>
        </w:rPr>
        <w:t>x</w:t>
      </w:r>
      <w:r w:rsidRPr="002F4A08">
        <w:rPr>
          <w:i/>
          <w:vertAlign w:val="subscript"/>
          <w:lang w:val="en-US"/>
        </w:rPr>
        <w:t>j</w:t>
      </w:r>
      <w:r w:rsidRPr="002F4A08">
        <w:rPr>
          <w:lang w:val="en-US"/>
        </w:rPr>
        <w:t xml:space="preserve"> over all </w:t>
      </w:r>
      <w:r w:rsidRPr="002F4A08">
        <w:rPr>
          <w:i/>
          <w:lang w:val="en-US"/>
        </w:rPr>
        <w:t>j</w:t>
      </w:r>
      <w:r w:rsidRPr="002F4A08">
        <w:rPr>
          <w:lang w:val="en-US"/>
        </w:rPr>
        <w:t xml:space="preserve">: </w:t>
      </w:r>
      <w:r w:rsidRPr="002F4A08">
        <w:rPr>
          <w:position w:val="-18"/>
          <w:lang w:val="en-US"/>
        </w:rPr>
        <w:object w:dxaOrig="1060" w:dyaOrig="480">
          <v:shape id="_x0000_i1085" type="#_x0000_t75" style="width:53.25pt;height:24pt" o:ole="">
            <v:imagedata r:id="rId121" o:title=""/>
          </v:shape>
          <o:OLEObject Type="Embed" ProgID="Equation.3" ShapeID="_x0000_i1085" DrawAspect="Content" ObjectID="_1397289170" r:id="rId122"/>
        </w:object>
      </w:r>
      <w:r w:rsidRPr="002F4A08">
        <w:rPr>
          <w:lang w:val="en-US"/>
        </w:rPr>
        <w:t>.</w:t>
      </w:r>
    </w:p>
    <w:p w:rsidR="00BD3F35" w:rsidRPr="002F4A08" w:rsidRDefault="00BD3F35" w:rsidP="00E51779">
      <w:pPr>
        <w:rPr>
          <w:lang w:val="en-US"/>
        </w:rPr>
      </w:pPr>
      <w:r w:rsidRPr="002F4A08">
        <w:rPr>
          <w:lang w:val="en-US"/>
        </w:rPr>
        <w:lastRenderedPageBreak/>
        <w:t xml:space="preserve">Each row can be understood as a representation of the commodity balance. If a country uses more of product </w:t>
      </w:r>
      <w:r w:rsidRPr="002F4A08">
        <w:rPr>
          <w:i/>
          <w:lang w:val="en-US"/>
        </w:rPr>
        <w:t>i</w:t>
      </w:r>
      <w:r w:rsidRPr="002F4A08">
        <w:rPr>
          <w:lang w:val="en-US"/>
        </w:rPr>
        <w:t xml:space="preserve"> than it produces, it must be a net importer of that product, and vice versa. In other words, net exports of product </w:t>
      </w:r>
      <w:r w:rsidRPr="002F4A08">
        <w:rPr>
          <w:i/>
          <w:lang w:val="en-US"/>
        </w:rPr>
        <w:t>i</w:t>
      </w:r>
      <w:r w:rsidRPr="002F4A08">
        <w:rPr>
          <w:lang w:val="en-US"/>
        </w:rPr>
        <w:t xml:space="preserve"> must be equal to domestic output minus domestic use of that product. Mathematically:</w:t>
      </w:r>
    </w:p>
    <w:p w:rsidR="00BD3F35" w:rsidRPr="002F4A08" w:rsidRDefault="00BD3F35" w:rsidP="00E51779">
      <w:pPr>
        <w:rPr>
          <w:lang w:val="en-US"/>
        </w:rPr>
      </w:pPr>
      <w:r w:rsidRPr="002F4A08">
        <w:rPr>
          <w:lang w:val="en-US"/>
        </w:rPr>
        <w:tab/>
      </w:r>
      <w:r w:rsidRPr="002F4A08">
        <w:rPr>
          <w:position w:val="-12"/>
          <w:lang w:val="en-US"/>
        </w:rPr>
        <w:object w:dxaOrig="1980" w:dyaOrig="360">
          <v:shape id="_x0000_i1086" type="#_x0000_t75" style="width:99pt;height:18pt" o:ole="">
            <v:imagedata r:id="rId123" o:title=""/>
          </v:shape>
          <o:OLEObject Type="Embed" ProgID="Equation.3" ShapeID="_x0000_i1086" DrawAspect="Content" ObjectID="_1397289171" r:id="rId124"/>
        </w:object>
      </w:r>
      <w:r w:rsidR="009F73BB" w:rsidRPr="002F4A08">
        <w:rPr>
          <w:lang w:val="en-US"/>
        </w:rPr>
        <w:tab/>
        <w:t>(4</w:t>
      </w:r>
      <w:r w:rsidRPr="002F4A08">
        <w:rPr>
          <w:lang w:val="en-US"/>
        </w:rPr>
        <w:t>)</w:t>
      </w:r>
    </w:p>
    <w:p w:rsidR="00BD3F35" w:rsidRPr="002F4A08" w:rsidRDefault="00BD3F35" w:rsidP="00E51779">
      <w:pPr>
        <w:rPr>
          <w:lang w:val="en-US"/>
        </w:rPr>
      </w:pPr>
      <w:r w:rsidRPr="002F4A08">
        <w:rPr>
          <w:lang w:val="en-US"/>
        </w:rPr>
        <w:t>Rearranging terms yields:</w:t>
      </w:r>
    </w:p>
    <w:p w:rsidR="00BD3F35" w:rsidRPr="002F4A08" w:rsidRDefault="00BD3F35" w:rsidP="00E51779">
      <w:pPr>
        <w:rPr>
          <w:lang w:val="en-US"/>
        </w:rPr>
      </w:pPr>
      <w:r w:rsidRPr="002F4A08">
        <w:rPr>
          <w:lang w:val="en-US"/>
        </w:rPr>
        <w:tab/>
      </w:r>
      <w:r w:rsidRPr="002F4A08">
        <w:rPr>
          <w:position w:val="-12"/>
          <w:lang w:val="en-US"/>
        </w:rPr>
        <w:object w:dxaOrig="1980" w:dyaOrig="360">
          <v:shape id="_x0000_i1087" type="#_x0000_t75" style="width:99pt;height:18pt" o:ole="">
            <v:imagedata r:id="rId125" o:title=""/>
          </v:shape>
          <o:OLEObject Type="Embed" ProgID="Equation.3" ShapeID="_x0000_i1087" DrawAspect="Content" ObjectID="_1397289172" r:id="rId126"/>
        </w:object>
      </w:r>
      <w:r w:rsidR="009F73BB" w:rsidRPr="002F4A08">
        <w:rPr>
          <w:lang w:val="en-US"/>
        </w:rPr>
        <w:tab/>
        <w:t>(5</w:t>
      </w:r>
      <w:r w:rsidRPr="002F4A08">
        <w:rPr>
          <w:lang w:val="en-US"/>
        </w:rPr>
        <w:t>)</w:t>
      </w:r>
    </w:p>
    <w:p w:rsidR="00BD3F35" w:rsidRPr="002F4A08" w:rsidRDefault="00BD3F35" w:rsidP="00E51779">
      <w:pPr>
        <w:rPr>
          <w:lang w:val="en-US"/>
        </w:rPr>
      </w:pPr>
      <w:r w:rsidRPr="002F4A08">
        <w:rPr>
          <w:lang w:val="en-US"/>
        </w:rPr>
        <w:t xml:space="preserve">Going through row </w:t>
      </w:r>
      <w:r w:rsidRPr="002F4A08">
        <w:rPr>
          <w:i/>
          <w:lang w:val="en-US"/>
        </w:rPr>
        <w:t>i</w:t>
      </w:r>
      <w:r w:rsidRPr="002F4A08">
        <w:rPr>
          <w:lang w:val="en-US"/>
        </w:rPr>
        <w:t xml:space="preserve"> of the SIOT variant A</w:t>
      </w:r>
      <w:r w:rsidR="009F73BB" w:rsidRPr="002F4A08">
        <w:rPr>
          <w:lang w:val="en-US"/>
        </w:rPr>
        <w:t xml:space="preserve"> means going through equation (5</w:t>
      </w:r>
      <w:r w:rsidRPr="002F4A08">
        <w:rPr>
          <w:lang w:val="en-US"/>
        </w:rPr>
        <w:t>). This is why imports are entered with a negative sign in the table.</w:t>
      </w:r>
    </w:p>
    <w:p w:rsidR="00BD3F35" w:rsidRPr="002F4A08" w:rsidRDefault="00BD3F35" w:rsidP="00E51779">
      <w:pPr>
        <w:rPr>
          <w:lang w:val="en-US"/>
        </w:rPr>
      </w:pPr>
      <w:r w:rsidRPr="002F4A08">
        <w:rPr>
          <w:lang w:val="en-US"/>
        </w:rPr>
        <w:t>The symmetry of SIOT variant A is captured by the following condition:</w:t>
      </w:r>
    </w:p>
    <w:p w:rsidR="00BD3F35" w:rsidRPr="002F4A08" w:rsidRDefault="00BD3F35" w:rsidP="00E51779">
      <w:pPr>
        <w:rPr>
          <w:lang w:val="en-US"/>
        </w:rPr>
      </w:pPr>
      <w:r w:rsidRPr="002F4A08">
        <w:rPr>
          <w:lang w:val="en-US"/>
        </w:rPr>
        <w:tab/>
      </w:r>
      <w:r w:rsidRPr="002F4A08">
        <w:rPr>
          <w:position w:val="-14"/>
          <w:lang w:val="en-US"/>
        </w:rPr>
        <w:object w:dxaOrig="740" w:dyaOrig="380">
          <v:shape id="_x0000_i1088" type="#_x0000_t75" style="width:36.75pt;height:18.75pt" o:ole="">
            <v:imagedata r:id="rId127" o:title=""/>
          </v:shape>
          <o:OLEObject Type="Embed" ProgID="Equation.3" ShapeID="_x0000_i1088" DrawAspect="Content" ObjectID="_1397289173" r:id="rId128"/>
        </w:object>
      </w:r>
      <w:r w:rsidRPr="002F4A08">
        <w:rPr>
          <w:lang w:val="en-US"/>
        </w:rPr>
        <w:t xml:space="preserve">if </w:t>
      </w:r>
      <w:r w:rsidRPr="002F4A08">
        <w:rPr>
          <w:position w:val="-10"/>
          <w:lang w:val="en-US"/>
        </w:rPr>
        <w:object w:dxaOrig="520" w:dyaOrig="300">
          <v:shape id="_x0000_i1089" type="#_x0000_t75" style="width:26.25pt;height:15pt" o:ole="">
            <v:imagedata r:id="rId129" o:title=""/>
          </v:shape>
          <o:OLEObject Type="Embed" ProgID="Equation.3" ShapeID="_x0000_i1089" DrawAspect="Content" ObjectID="_1397289174" r:id="rId130"/>
        </w:object>
      </w:r>
      <w:r w:rsidR="009F73BB" w:rsidRPr="002F4A08">
        <w:rPr>
          <w:lang w:val="en-US"/>
        </w:rPr>
        <w:t>.</w:t>
      </w:r>
      <w:r w:rsidR="009F73BB" w:rsidRPr="002F4A08">
        <w:rPr>
          <w:lang w:val="en-US"/>
        </w:rPr>
        <w:tab/>
        <w:t>(6</w:t>
      </w:r>
      <w:r w:rsidRPr="002F4A08">
        <w:rPr>
          <w:lang w:val="en-US"/>
        </w:rPr>
        <w:t>)</w:t>
      </w:r>
    </w:p>
    <w:p w:rsidR="00465A34" w:rsidRPr="002F4A08" w:rsidRDefault="0094737E" w:rsidP="00E51779">
      <w:pPr>
        <w:rPr>
          <w:lang w:val="en-US"/>
        </w:rPr>
      </w:pPr>
      <w:r w:rsidRPr="002F4A08">
        <w:rPr>
          <w:lang w:val="en-US"/>
        </w:rPr>
        <w:t xml:space="preserve">The </w:t>
      </w:r>
      <w:r w:rsidR="00465A34" w:rsidRPr="002F4A08">
        <w:rPr>
          <w:lang w:val="en-US"/>
        </w:rPr>
        <w:t>Coefficients derived from variant A SIOTs have the following form:</w:t>
      </w:r>
    </w:p>
    <w:p w:rsidR="00465A34" w:rsidRPr="002F4A08" w:rsidRDefault="00465A34" w:rsidP="00E51779">
      <w:pPr>
        <w:ind w:firstLine="708"/>
        <w:rPr>
          <w:rFonts w:eastAsia="Times New Roman"/>
          <w:lang w:val="en-US"/>
        </w:rPr>
      </w:pPr>
      <w:r w:rsidRPr="002F4A08">
        <w:rPr>
          <w:rFonts w:eastAsia="Times New Roman"/>
          <w:position w:val="-32"/>
          <w:lang w:val="en-US"/>
        </w:rPr>
        <w:object w:dxaOrig="1020" w:dyaOrig="740">
          <v:shape id="_x0000_i1090" type="#_x0000_t75" style="width:51pt;height:36.75pt" o:ole="">
            <v:imagedata r:id="rId131" o:title=""/>
          </v:shape>
          <o:OLEObject Type="Embed" ProgID="Equation.3" ShapeID="_x0000_i1090" DrawAspect="Content" ObjectID="_1397289175" r:id="rId132"/>
        </w:object>
      </w:r>
      <w:r w:rsidR="009F73BB" w:rsidRPr="002F4A08">
        <w:rPr>
          <w:rFonts w:eastAsia="Times New Roman"/>
          <w:lang w:val="en-US"/>
        </w:rPr>
        <w:tab/>
      </w:r>
      <w:r w:rsidR="00E51779" w:rsidRPr="002F4A08">
        <w:rPr>
          <w:rFonts w:eastAsia="Times New Roman"/>
          <w:lang w:val="en-US"/>
        </w:rPr>
        <w:tab/>
      </w:r>
      <w:r w:rsidR="009F73BB" w:rsidRPr="002F4A08">
        <w:rPr>
          <w:rFonts w:eastAsia="Times New Roman"/>
          <w:lang w:val="en-US"/>
        </w:rPr>
        <w:t>(7</w:t>
      </w:r>
      <w:r w:rsidRPr="002F4A08">
        <w:rPr>
          <w:rFonts w:eastAsia="Times New Roman"/>
          <w:lang w:val="en-US"/>
        </w:rPr>
        <w:t>)</w:t>
      </w:r>
    </w:p>
    <w:p w:rsidR="00E51779" w:rsidRPr="002F4A08" w:rsidRDefault="00465A34" w:rsidP="00E51779">
      <w:pPr>
        <w:rPr>
          <w:lang w:val="en-US"/>
        </w:rPr>
      </w:pPr>
      <w:r w:rsidRPr="002F4A08">
        <w:rPr>
          <w:lang w:val="en-US"/>
        </w:rPr>
        <w:t xml:space="preserve">These coefficients describe how many units of input </w:t>
      </w:r>
      <w:r w:rsidRPr="002F4A08">
        <w:rPr>
          <w:i/>
          <w:lang w:val="en-US"/>
        </w:rPr>
        <w:t>i</w:t>
      </w:r>
      <w:r w:rsidRPr="002F4A08">
        <w:rPr>
          <w:lang w:val="en-US"/>
        </w:rPr>
        <w:t xml:space="preserve"> were used/needed to produce one unit of output </w:t>
      </w:r>
      <w:r w:rsidRPr="002F4A08">
        <w:rPr>
          <w:i/>
          <w:lang w:val="en-US"/>
        </w:rPr>
        <w:t>j</w:t>
      </w:r>
      <w:r w:rsidRPr="002F4A08">
        <w:rPr>
          <w:lang w:val="en-US"/>
        </w:rPr>
        <w:t xml:space="preserve">. Therefore, they can be interpreted as </w:t>
      </w:r>
      <w:r w:rsidRPr="002F4A08">
        <w:rPr>
          <w:i/>
          <w:lang w:val="en-US"/>
        </w:rPr>
        <w:t>technological coefficients</w:t>
      </w:r>
      <w:r w:rsidRPr="002F4A08">
        <w:rPr>
          <w:lang w:val="en-US"/>
        </w:rPr>
        <w:t>.</w:t>
      </w:r>
      <w:r w:rsidR="00206F00" w:rsidRPr="002F4A08">
        <w:rPr>
          <w:lang w:val="en-US"/>
        </w:rPr>
        <w:t xml:space="preserve"> Type A tables are suitable for environmental economic analysis, e.g. the estimation of resource consumption and associated harms to the environment, but they are not suitable to perform impact analysis. As for example </w:t>
      </w:r>
      <w:r w:rsidR="007670AB" w:rsidRPr="002F4A08">
        <w:rPr>
          <w:lang w:val="en-US"/>
        </w:rPr>
        <w:t>imports of coal by electricity industry are</w:t>
      </w:r>
      <w:r w:rsidR="00206F00" w:rsidRPr="002F4A08">
        <w:rPr>
          <w:lang w:val="en-US"/>
        </w:rPr>
        <w:t xml:space="preserve"> recorded as </w:t>
      </w:r>
      <w:r w:rsidR="007670AB" w:rsidRPr="002F4A08">
        <w:rPr>
          <w:lang w:val="en-US"/>
        </w:rPr>
        <w:t>a delivery of the coal industry to the electricity industry lumped together with coal form domestic production, it is not possible to say how much coal was imported and, thus, what the effects on domestic production are.</w:t>
      </w:r>
    </w:p>
    <w:p w:rsidR="00BD3F35" w:rsidRPr="002F4A08" w:rsidRDefault="00BD3F35" w:rsidP="00BD3F35">
      <w:pPr>
        <w:pStyle w:val="Tab"/>
        <w:keepNext/>
        <w:pBdr>
          <w:bottom w:val="single" w:sz="4" w:space="1" w:color="auto"/>
        </w:pBdr>
        <w:rPr>
          <w:rFonts w:asciiTheme="minorHAnsi" w:hAnsiTheme="minorHAnsi" w:cstheme="minorHAnsi"/>
          <w:sz w:val="22"/>
          <w:szCs w:val="22"/>
          <w:lang w:val="en-US"/>
        </w:rPr>
      </w:pPr>
      <w:bookmarkStart w:id="3" w:name="_Ref277058559"/>
      <w:r w:rsidRPr="002F4A08">
        <w:rPr>
          <w:rFonts w:asciiTheme="minorHAnsi" w:hAnsiTheme="minorHAnsi" w:cstheme="minorHAnsi"/>
          <w:sz w:val="22"/>
          <w:szCs w:val="22"/>
          <w:lang w:val="en-US"/>
        </w:rPr>
        <w:lastRenderedPageBreak/>
        <w:t xml:space="preserve">Table </w:t>
      </w:r>
      <w:r w:rsidR="00662E01" w:rsidRPr="002F4A08">
        <w:rPr>
          <w:rFonts w:asciiTheme="minorHAnsi" w:hAnsiTheme="minorHAnsi" w:cstheme="minorHAnsi"/>
          <w:sz w:val="22"/>
          <w:szCs w:val="22"/>
          <w:lang w:val="en-US"/>
        </w:rPr>
        <w:fldChar w:fldCharType="begin"/>
      </w:r>
      <w:r w:rsidR="00C76886" w:rsidRPr="002F4A08">
        <w:rPr>
          <w:rFonts w:asciiTheme="minorHAnsi" w:hAnsiTheme="minorHAnsi" w:cstheme="minorHAnsi"/>
          <w:sz w:val="22"/>
          <w:szCs w:val="22"/>
          <w:lang w:val="en-US"/>
        </w:rPr>
        <w:instrText xml:space="preserve"> SEQ Table \* ARABIC </w:instrText>
      </w:r>
      <w:r w:rsidR="00662E01" w:rsidRPr="002F4A08">
        <w:rPr>
          <w:rFonts w:asciiTheme="minorHAnsi" w:hAnsiTheme="minorHAnsi" w:cstheme="minorHAnsi"/>
          <w:sz w:val="22"/>
          <w:szCs w:val="22"/>
          <w:lang w:val="en-US"/>
        </w:rPr>
        <w:fldChar w:fldCharType="separate"/>
      </w:r>
      <w:r w:rsidR="001B1E67" w:rsidRPr="002F4A08">
        <w:rPr>
          <w:rFonts w:asciiTheme="minorHAnsi" w:hAnsiTheme="minorHAnsi" w:cstheme="minorHAnsi"/>
          <w:noProof/>
          <w:sz w:val="22"/>
          <w:szCs w:val="22"/>
          <w:lang w:val="en-US"/>
        </w:rPr>
        <w:t>3</w:t>
      </w:r>
      <w:r w:rsidR="00662E01" w:rsidRPr="002F4A08">
        <w:rPr>
          <w:rFonts w:asciiTheme="minorHAnsi" w:hAnsiTheme="minorHAnsi" w:cstheme="minorHAnsi"/>
          <w:sz w:val="22"/>
          <w:szCs w:val="22"/>
          <w:lang w:val="en-US"/>
        </w:rPr>
        <w:fldChar w:fldCharType="end"/>
      </w:r>
      <w:bookmarkEnd w:id="3"/>
      <w:r w:rsidRPr="002F4A08">
        <w:rPr>
          <w:rFonts w:asciiTheme="minorHAnsi" w:hAnsiTheme="minorHAnsi" w:cstheme="minorHAnsi"/>
          <w:sz w:val="22"/>
          <w:szCs w:val="22"/>
          <w:lang w:val="en-US"/>
        </w:rPr>
        <w:t>: Symmetric input-output table, variant ‘B’</w:t>
      </w:r>
    </w:p>
    <w:tbl>
      <w:tblPr>
        <w:tblW w:w="7919" w:type="dxa"/>
        <w:tblInd w:w="70" w:type="dxa"/>
        <w:tblCellMar>
          <w:left w:w="70" w:type="dxa"/>
          <w:right w:w="70" w:type="dxa"/>
        </w:tblCellMar>
        <w:tblLook w:val="0000" w:firstRow="0" w:lastRow="0" w:firstColumn="0" w:lastColumn="0" w:noHBand="0" w:noVBand="0"/>
      </w:tblPr>
      <w:tblGrid>
        <w:gridCol w:w="2653"/>
        <w:gridCol w:w="652"/>
        <w:gridCol w:w="452"/>
        <w:gridCol w:w="672"/>
        <w:gridCol w:w="695"/>
        <w:gridCol w:w="1085"/>
        <w:gridCol w:w="930"/>
        <w:gridCol w:w="780"/>
      </w:tblGrid>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p>
        </w:tc>
        <w:tc>
          <w:tcPr>
            <w:tcW w:w="2471" w:type="dxa"/>
            <w:gridSpan w:val="4"/>
            <w:tcBorders>
              <w:top w:val="nil"/>
              <w:left w:val="nil"/>
              <w:bottom w:val="nil"/>
              <w:right w:val="nil"/>
            </w:tcBorders>
            <w:shd w:val="clear" w:color="auto" w:fill="auto"/>
            <w:vAlign w:val="center"/>
          </w:tcPr>
          <w:p w:rsidR="00BD3F35" w:rsidRPr="002F4A08" w:rsidRDefault="00BD3F35" w:rsidP="00465A34">
            <w:pPr>
              <w:keepNext/>
              <w:jc w:val="center"/>
              <w:rPr>
                <w:rFonts w:cstheme="minorHAnsi"/>
                <w:lang w:val="en-US"/>
              </w:rPr>
            </w:pPr>
            <w:r w:rsidRPr="002F4A08">
              <w:rPr>
                <w:rFonts w:cstheme="minorHAnsi"/>
                <w:lang w:val="en-US"/>
              </w:rPr>
              <w:t>Homogeneous branches</w:t>
            </w:r>
          </w:p>
        </w:tc>
        <w:tc>
          <w:tcPr>
            <w:tcW w:w="2015" w:type="dxa"/>
            <w:gridSpan w:val="2"/>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Final uses</w:t>
            </w:r>
          </w:p>
        </w:tc>
        <w:tc>
          <w:tcPr>
            <w:tcW w:w="780" w:type="dxa"/>
            <w:vMerge w:val="restart"/>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Output</w: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Products</w:t>
            </w:r>
          </w:p>
        </w:tc>
        <w:tc>
          <w:tcPr>
            <w:tcW w:w="652" w:type="dxa"/>
            <w:tcBorders>
              <w:top w:val="nil"/>
              <w:left w:val="nil"/>
              <w:bottom w:val="nil"/>
              <w:right w:val="nil"/>
            </w:tcBorders>
            <w:shd w:val="clear" w:color="auto" w:fill="auto"/>
            <w:vAlign w:val="center"/>
          </w:tcPr>
          <w:p w:rsidR="00BD3F35" w:rsidRPr="002F4A08" w:rsidRDefault="00BD3F35" w:rsidP="00465A34">
            <w:pPr>
              <w:keepNext/>
              <w:jc w:val="center"/>
              <w:rPr>
                <w:rFonts w:cstheme="minorHAnsi"/>
                <w:lang w:val="en-US"/>
              </w:rPr>
            </w:pPr>
            <w:r w:rsidRPr="002F4A08">
              <w:rPr>
                <w:rFonts w:cstheme="minorHAnsi"/>
                <w:lang w:val="en-US"/>
              </w:rPr>
              <w:t>1</w: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i/>
                <w:lang w:val="en-US"/>
              </w:rPr>
            </w:pPr>
            <w:r w:rsidRPr="002F4A08">
              <w:rPr>
                <w:rFonts w:cstheme="minorHAnsi"/>
                <w:i/>
                <w:lang w:val="en-US"/>
              </w:rPr>
              <w:t>n</w: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Total</w: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Domestic</w: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Exports</w:t>
            </w:r>
          </w:p>
        </w:tc>
        <w:tc>
          <w:tcPr>
            <w:tcW w:w="780" w:type="dxa"/>
            <w:vMerge/>
            <w:tcBorders>
              <w:top w:val="nil"/>
              <w:left w:val="nil"/>
              <w:bottom w:val="nil"/>
              <w:right w:val="nil"/>
            </w:tcBorders>
            <w:vAlign w:val="center"/>
          </w:tcPr>
          <w:p w:rsidR="00BD3F35" w:rsidRPr="002F4A08" w:rsidRDefault="00BD3F35" w:rsidP="00465A34">
            <w:pPr>
              <w:keepNext/>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1</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380" w:dyaOrig="400">
                <v:shape id="_x0000_i1091" type="#_x0000_t75" style="width:18.75pt;height:20.25pt" o:ole="">
                  <v:imagedata r:id="rId133" o:title=""/>
                </v:shape>
                <o:OLEObject Type="Embed" ProgID="Equation.3" ShapeID="_x0000_i1091" DrawAspect="Content" ObjectID="_1397289176" r:id="rId134"/>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00" w:dyaOrig="400">
                <v:shape id="_x0000_i1092" type="#_x0000_t75" style="width:16.5pt;height:19.5pt" o:ole="">
                  <v:imagedata r:id="rId135" o:title=""/>
                </v:shape>
                <o:OLEObject Type="Embed" ProgID="Equation.3" ShapeID="_x0000_i1092" DrawAspect="Content" ObjectID="_1397289177" r:id="rId136"/>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79" w:dyaOrig="360">
                <v:shape id="_x0000_i1093" type="#_x0000_t75" style="width:14.25pt;height:18pt" o:ole="">
                  <v:imagedata r:id="rId137" o:title=""/>
                </v:shape>
                <o:OLEObject Type="Embed" ProgID="Equation.3" ShapeID="_x0000_i1093" DrawAspect="Content" ObjectID="_1397289178" r:id="rId138"/>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320" w:dyaOrig="360">
                <v:shape id="_x0000_i1094" type="#_x0000_t75" style="width:15.75pt;height:18pt" o:ole="">
                  <v:imagedata r:id="rId139" o:title=""/>
                </v:shape>
                <o:OLEObject Type="Embed" ProgID="Equation.3" ShapeID="_x0000_i1094" DrawAspect="Content" ObjectID="_1397289179" r:id="rId140"/>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79" w:dyaOrig="360">
                <v:shape id="_x0000_i1095" type="#_x0000_t75" style="width:14.25pt;height:18pt" o:ole="">
                  <v:imagedata r:id="rId141" o:title=""/>
                </v:shape>
                <o:OLEObject Type="Embed" ProgID="Equation.3" ShapeID="_x0000_i1095" DrawAspect="Content" ObjectID="_1397289180" r:id="rId142"/>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096" type="#_x0000_t75" style="width:12.75pt;height:17.25pt" o:ole="">
                  <v:imagedata r:id="rId113" o:title=""/>
                </v:shape>
                <o:OLEObject Type="Embed" ProgID="Equation.3" ShapeID="_x0000_i1096" DrawAspect="Content" ObjectID="_1397289181" r:id="rId143"/>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i/>
                <w:lang w:val="en-US"/>
              </w:rPr>
            </w:pPr>
            <w:r w:rsidRPr="002F4A08">
              <w:rPr>
                <w:rFonts w:cstheme="minorHAnsi"/>
                <w:i/>
                <w:lang w:val="en-US"/>
              </w:rPr>
              <w:t>n</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00" w:dyaOrig="400">
                <v:shape id="_x0000_i1097" type="#_x0000_t75" style="width:20.25pt;height:20.25pt" o:ole="">
                  <v:imagedata r:id="rId144" o:title=""/>
                </v:shape>
                <o:OLEObject Type="Embed" ProgID="Equation.3" ShapeID="_x0000_i1097" DrawAspect="Content" ObjectID="_1397289182" r:id="rId145"/>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20" w:dyaOrig="400">
                <v:shape id="_x0000_i1098" type="#_x0000_t75" style="width:21pt;height:20.25pt" o:ole="">
                  <v:imagedata r:id="rId146" o:title=""/>
                </v:shape>
                <o:OLEObject Type="Embed" ProgID="Equation.3" ShapeID="_x0000_i1098" DrawAspect="Content" ObjectID="_1397289183" r:id="rId147"/>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79" w:dyaOrig="360">
                <v:shape id="_x0000_i1099" type="#_x0000_t75" style="width:14.25pt;height:18pt" o:ole="">
                  <v:imagedata r:id="rId148" o:title=""/>
                </v:shape>
                <o:OLEObject Type="Embed" ProgID="Equation.3" ShapeID="_x0000_i1099" DrawAspect="Content" ObjectID="_1397289184" r:id="rId149"/>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320" w:dyaOrig="380">
                <v:shape id="_x0000_i1100" type="#_x0000_t75" style="width:15.75pt;height:18.75pt" o:ole="">
                  <v:imagedata r:id="rId150" o:title=""/>
                </v:shape>
                <o:OLEObject Type="Embed" ProgID="Equation.3" ShapeID="_x0000_i1100" DrawAspect="Content" ObjectID="_1397289185" r:id="rId151"/>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80">
                <v:shape id="_x0000_i1101" type="#_x0000_t75" style="width:14.25pt;height:18.75pt" o:ole="">
                  <v:imagedata r:id="rId152" o:title=""/>
                </v:shape>
                <o:OLEObject Type="Embed" ProgID="Equation.3" ShapeID="_x0000_i1101" DrawAspect="Content" ObjectID="_1397289186" r:id="rId153"/>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102" type="#_x0000_t75" style="width:14.25pt;height:18pt" o:ole="">
                  <v:imagedata r:id="rId115" o:title=""/>
                </v:shape>
                <o:OLEObject Type="Embed" ProgID="Equation.3" ShapeID="_x0000_i1102" DrawAspect="Content" ObjectID="_1397289187" r:id="rId154"/>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Imported products</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300" w:dyaOrig="360">
                <v:shape id="_x0000_i1103" type="#_x0000_t75" style="width:15pt;height:18pt" o:ole="">
                  <v:imagedata r:id="rId155" o:title=""/>
                </v:shape>
                <o:OLEObject Type="Embed" ProgID="Equation.3" ShapeID="_x0000_i1103" DrawAspect="Content" ObjectID="_1397289188" r:id="rId156"/>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300" w:dyaOrig="380">
                <v:shape id="_x0000_i1104" type="#_x0000_t75" style="width:15pt;height:18.75pt" o:ole="">
                  <v:imagedata r:id="rId157" o:title=""/>
                </v:shape>
                <o:OLEObject Type="Embed" ProgID="Equation.3" ShapeID="_x0000_i1104" DrawAspect="Content" ObjectID="_1397289189" r:id="rId158"/>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4"/>
                <w:lang w:val="en-US"/>
              </w:rPr>
              <w:object w:dxaOrig="300" w:dyaOrig="300">
                <v:shape id="_x0000_i1105" type="#_x0000_t75" style="width:15pt;height:15pt" o:ole="">
                  <v:imagedata r:id="rId159" o:title=""/>
                </v:shape>
                <o:OLEObject Type="Embed" ProgID="Equation.3" ShapeID="_x0000_i1105" DrawAspect="Content" ObjectID="_1397289190" r:id="rId160"/>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340" w:dyaOrig="360">
                <v:shape id="_x0000_i1106" type="#_x0000_t75" style="width:17.25pt;height:18pt" o:ole="">
                  <v:imagedata r:id="rId161" o:title=""/>
                </v:shape>
                <o:OLEObject Type="Embed" ProgID="Equation.3" ShapeID="_x0000_i1106" DrawAspect="Content" ObjectID="_1397289191" r:id="rId162"/>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300" w:dyaOrig="320">
                <v:shape id="_x0000_i1107" type="#_x0000_t75" style="width:15pt;height:15.75pt" o:ole="">
                  <v:imagedata r:id="rId163" o:title=""/>
                </v:shape>
                <o:OLEObject Type="Embed" ProgID="Equation.3" ShapeID="_x0000_i1107" DrawAspect="Content" ObjectID="_1397289192" r:id="rId164"/>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60" w:dyaOrig="220">
                <v:shape id="_x0000_i1108" type="#_x0000_t75" style="width:12.75pt;height:11.25pt" o:ole="">
                  <v:imagedata r:id="rId165" o:title=""/>
                </v:shape>
                <o:OLEObject Type="Embed" ProgID="Equation.3" ShapeID="_x0000_i1108" DrawAspect="Content" ObjectID="_1397289193" r:id="rId166"/>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Total interm. use / final use</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109" type="#_x0000_t75" style="width:12pt;height:17.25pt" o:ole="">
                  <v:imagedata r:id="rId93" o:title=""/>
                </v:shape>
                <o:OLEObject Type="Embed" ProgID="Equation.3" ShapeID="_x0000_i1109" DrawAspect="Content" ObjectID="_1397289194" r:id="rId167"/>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110" type="#_x0000_t75" style="width:12.75pt;height:18pt" o:ole="">
                  <v:imagedata r:id="rId95" o:title=""/>
                </v:shape>
                <o:OLEObject Type="Embed" ProgID="Equation.3" ShapeID="_x0000_i1110" DrawAspect="Content" ObjectID="_1397289195" r:id="rId168"/>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4"/>
                <w:lang w:val="en-US"/>
              </w:rPr>
              <w:object w:dxaOrig="560" w:dyaOrig="200">
                <v:shape id="_x0000_i1111" type="#_x0000_t75" style="width:27.75pt;height:9.75pt" o:ole="">
                  <v:imagedata r:id="rId97" o:title=""/>
                </v:shape>
                <o:OLEObject Type="Embed" ProgID="Equation.3" ShapeID="_x0000_i1111" DrawAspect="Content" ObjectID="_1397289196" r:id="rId169"/>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20" w:dyaOrig="260">
                <v:shape id="_x0000_i1112" type="#_x0000_t75" style="width:11.25pt;height:12.75pt" o:ole="">
                  <v:imagedata r:id="rId99" o:title=""/>
                </v:shape>
                <o:OLEObject Type="Embed" ProgID="Equation.3" ShapeID="_x0000_i1112" DrawAspect="Content" ObjectID="_1397289197" r:id="rId170"/>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113" type="#_x0000_t75" style="width:9pt;height:11.25pt" o:ole="">
                  <v:imagedata r:id="rId101" o:title=""/>
                </v:shape>
                <o:OLEObject Type="Embed" ProgID="Equation.3" ShapeID="_x0000_i1113" DrawAspect="Content" ObjectID="_1397289198" r:id="rId171"/>
              </w:object>
            </w: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00" w:dyaOrig="220">
                <v:shape id="_x0000_i1114" type="#_x0000_t75" style="width:9.75pt;height:11.25pt" o:ole="">
                  <v:imagedata r:id="rId172" o:title=""/>
                </v:shape>
                <o:OLEObject Type="Embed" ProgID="Equation.3" ShapeID="_x0000_i1114" DrawAspect="Content" ObjectID="_1397289199" r:id="rId173"/>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Value added</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115" type="#_x0000_t75" style="width:12pt;height:17.25pt" o:ole="">
                  <v:imagedata r:id="rId107" o:title=""/>
                </v:shape>
                <o:OLEObject Type="Embed" ProgID="Equation.3" ShapeID="_x0000_i1115" DrawAspect="Content" ObjectID="_1397289200" r:id="rId174"/>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116" type="#_x0000_t75" style="width:12.75pt;height:18pt" o:ole="">
                  <v:imagedata r:id="rId109" o:title=""/>
                </v:shape>
                <o:OLEObject Type="Embed" ProgID="Equation.3" ShapeID="_x0000_i1116" DrawAspect="Content" ObjectID="_1397289201" r:id="rId175"/>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117" type="#_x0000_t75" style="width:9pt;height:11.25pt" o:ole="">
                  <v:imagedata r:id="rId111" o:title=""/>
                </v:shape>
                <o:OLEObject Type="Embed" ProgID="Equation.3" ShapeID="_x0000_i1117" DrawAspect="Content" ObjectID="_1397289202" r:id="rId176"/>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Output</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118" type="#_x0000_t75" style="width:12.75pt;height:17.25pt" o:ole="">
                  <v:imagedata r:id="rId113" o:title=""/>
                </v:shape>
                <o:OLEObject Type="Embed" ProgID="Equation.3" ShapeID="_x0000_i1118" DrawAspect="Content" ObjectID="_1397289203" r:id="rId177"/>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119" type="#_x0000_t75" style="width:14.25pt;height:18pt" o:ole="">
                  <v:imagedata r:id="rId115" o:title=""/>
                </v:shape>
                <o:OLEObject Type="Embed" ProgID="Equation.3" ShapeID="_x0000_i1119" DrawAspect="Content" ObjectID="_1397289204" r:id="rId178"/>
              </w:object>
            </w:r>
          </w:p>
        </w:tc>
        <w:tc>
          <w:tcPr>
            <w:tcW w:w="695"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00" w:dyaOrig="220">
                <v:shape id="_x0000_i1120" type="#_x0000_t75" style="width:9.75pt;height:11.25pt" o:ole="">
                  <v:imagedata r:id="rId117" o:title=""/>
                </v:shape>
                <o:OLEObject Type="Embed" ProgID="Equation.3" ShapeID="_x0000_i1120" DrawAspect="Content" ObjectID="_1397289205" r:id="rId179"/>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78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bl>
    <w:p w:rsidR="0003041A" w:rsidRPr="002F4A08" w:rsidRDefault="0003041A" w:rsidP="0003041A">
      <w:pPr>
        <w:pStyle w:val="SourceSTEPreprint"/>
        <w:keepNext/>
        <w:widowControl w:val="0"/>
        <w:rPr>
          <w:rFonts w:asciiTheme="minorHAnsi" w:hAnsiTheme="minorHAnsi" w:cstheme="minorHAnsi"/>
          <w:szCs w:val="22"/>
          <w:lang w:val="en-US"/>
        </w:rPr>
      </w:pPr>
      <w:r w:rsidRPr="002F4A08">
        <w:rPr>
          <w:rFonts w:asciiTheme="minorHAnsi" w:hAnsiTheme="minorHAnsi" w:cstheme="minorHAnsi"/>
          <w:szCs w:val="22"/>
          <w:lang w:val="en-US"/>
        </w:rPr>
        <w:t xml:space="preserve">Source: Kronenberg </w:t>
      </w:r>
      <w:r w:rsidRPr="002F4A08">
        <w:rPr>
          <w:rFonts w:asciiTheme="minorHAnsi" w:hAnsiTheme="minorHAnsi" w:cstheme="minorHAnsi"/>
          <w:szCs w:val="22"/>
          <w:lang w:val="en-US"/>
        </w:rPr>
        <w:fldChar w:fldCharType="begin"/>
      </w:r>
      <w:r w:rsidRPr="002F4A08">
        <w:rPr>
          <w:rFonts w:asciiTheme="minorHAnsi" w:hAnsiTheme="minorHAnsi" w:cstheme="minorHAnsi"/>
          <w:szCs w:val="22"/>
          <w:lang w:val="en-US"/>
        </w:rPr>
        <w:instrText xml:space="preserve"> ADDIN EN.CITE &lt;EndNote&gt;&lt;Cite ExcludeAuth="1"&gt;&lt;Author&gt;Kronenberg&lt;/Author&gt;&lt;Year&gt;in press&lt;/Year&gt;&lt;RecNum&gt;726&lt;/RecNum&gt;&lt;DisplayText&gt;(in press)&lt;/DisplayText&gt;&lt;record&gt;&lt;rec-number&gt;726&lt;/rec-number&gt;&lt;foreign-keys&gt;&lt;key app="EN" db-id="fsxszs05u5f00setapvp9rzrpww0505fwf9v"&gt;726&lt;/key&gt;&lt;/foreign-keys&gt;&lt;ref-type name="Journal Article"&gt;17&lt;/ref-type&gt;&lt;contributors&gt;&lt;authors&gt;&lt;author&gt;Kronenberg, Tobias&lt;/author&gt;&lt;/authors&gt;&lt;/contributors&gt;&lt;titles&gt;&lt;title&gt;Regional input-output models and the treatment of imports in the European System of Accounts (ESA)&lt;/title&gt;&lt;secondary-title&gt;Jahrbuch für Regionalwissenschaft&lt;/secondary-title&gt;&lt;/titles&gt;&lt;periodical&gt;&lt;full-title&gt;Jahrbuch für Regionalwissenschaft&lt;/full-title&gt;&lt;/periodical&gt;&lt;dates&gt;&lt;year&gt;in press&lt;/year&gt;&lt;/dates&gt;&lt;urls&gt;&lt;/urls&gt;&lt;/record&gt;&lt;/Cite&gt;&lt;/EndNote&gt;</w:instrText>
      </w:r>
      <w:r w:rsidRPr="002F4A08">
        <w:rPr>
          <w:rFonts w:asciiTheme="minorHAnsi" w:hAnsiTheme="minorHAnsi" w:cstheme="minorHAnsi"/>
          <w:szCs w:val="22"/>
          <w:lang w:val="en-US"/>
        </w:rPr>
        <w:fldChar w:fldCharType="separate"/>
      </w:r>
      <w:r w:rsidRPr="002F4A08">
        <w:rPr>
          <w:rFonts w:asciiTheme="minorHAnsi" w:hAnsiTheme="minorHAnsi" w:cstheme="minorHAnsi"/>
          <w:noProof/>
          <w:szCs w:val="22"/>
          <w:lang w:val="en-US"/>
        </w:rPr>
        <w:t>(</w:t>
      </w:r>
      <w:hyperlink w:anchor="_ENREF_7" w:tooltip="Kronenberg, in press #726" w:history="1">
        <w:r w:rsidR="00B07F05" w:rsidRPr="002F4A08">
          <w:rPr>
            <w:rFonts w:asciiTheme="minorHAnsi" w:hAnsiTheme="minorHAnsi" w:cstheme="minorHAnsi"/>
            <w:noProof/>
            <w:szCs w:val="22"/>
            <w:lang w:val="en-US"/>
          </w:rPr>
          <w:t>in press</w:t>
        </w:r>
      </w:hyperlink>
      <w:r w:rsidRPr="002F4A08">
        <w:rPr>
          <w:rFonts w:asciiTheme="minorHAnsi" w:hAnsiTheme="minorHAnsi" w:cstheme="minorHAnsi"/>
          <w:noProof/>
          <w:szCs w:val="22"/>
          <w:lang w:val="en-US"/>
        </w:rPr>
        <w:t>)</w:t>
      </w:r>
      <w:r w:rsidRPr="002F4A08">
        <w:rPr>
          <w:rFonts w:asciiTheme="minorHAnsi" w:hAnsiTheme="minorHAnsi" w:cstheme="minorHAnsi"/>
          <w:szCs w:val="22"/>
          <w:lang w:val="en-US"/>
        </w:rPr>
        <w:fldChar w:fldCharType="end"/>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t xml:space="preserve">  IEK-STE 2012</w:t>
      </w:r>
    </w:p>
    <w:p w:rsidR="00BD3F35" w:rsidRPr="002F4A08" w:rsidRDefault="00167F6D" w:rsidP="00E51779">
      <w:pPr>
        <w:rPr>
          <w:lang w:val="en-US"/>
        </w:rPr>
      </w:pPr>
      <w:r w:rsidRPr="002F4A08">
        <w:rPr>
          <w:lang w:val="en-US"/>
        </w:rPr>
        <w:fldChar w:fldCharType="begin"/>
      </w:r>
      <w:r w:rsidRPr="002F4A08">
        <w:rPr>
          <w:lang w:val="en-US"/>
        </w:rPr>
        <w:instrText xml:space="preserve"> REF _Ref277058559 \h  \* MERGEFORMAT </w:instrText>
      </w:r>
      <w:r w:rsidRPr="002F4A08">
        <w:rPr>
          <w:lang w:val="en-US"/>
        </w:rPr>
      </w:r>
      <w:r w:rsidRPr="002F4A08">
        <w:rPr>
          <w:lang w:val="en-US"/>
        </w:rPr>
        <w:fldChar w:fldCharType="separate"/>
      </w:r>
      <w:r w:rsidR="001B1E67" w:rsidRPr="002F4A08">
        <w:rPr>
          <w:lang w:val="en-US"/>
        </w:rPr>
        <w:t>Table 3</w:t>
      </w:r>
      <w:r w:rsidRPr="002F4A08">
        <w:rPr>
          <w:lang w:val="en-US"/>
        </w:rPr>
        <w:fldChar w:fldCharType="end"/>
      </w:r>
      <w:r w:rsidR="00BD3F35" w:rsidRPr="002F4A08">
        <w:rPr>
          <w:lang w:val="en-US"/>
        </w:rPr>
        <w:t xml:space="preserve"> shows the symmetric input-output table, variant B</w:t>
      </w:r>
      <w:r w:rsidR="00BD3F35" w:rsidRPr="002F4A08">
        <w:rPr>
          <w:rStyle w:val="Funotenzeichen"/>
          <w:rFonts w:cstheme="minorHAnsi"/>
          <w:lang w:val="en-US"/>
        </w:rPr>
        <w:footnoteReference w:id="3"/>
      </w:r>
      <w:r w:rsidR="00BD3F35" w:rsidRPr="002F4A08">
        <w:rPr>
          <w:lang w:val="en-US"/>
        </w:rPr>
        <w:t xml:space="preserve">. This variant is based on a different way of recording imports. In variant A, imports are allocated by product and the vector </w:t>
      </w:r>
      <w:r w:rsidR="00BD3F35" w:rsidRPr="002F4A08">
        <w:rPr>
          <w:b/>
          <w:lang w:val="en-US"/>
        </w:rPr>
        <w:t>m</w:t>
      </w:r>
      <w:r w:rsidR="00BD3F35" w:rsidRPr="002F4A08">
        <w:rPr>
          <w:lang w:val="en-US"/>
        </w:rPr>
        <w:t xml:space="preserve"> consists of the </w:t>
      </w:r>
      <w:r w:rsidR="00BD3F35" w:rsidRPr="002F4A08">
        <w:rPr>
          <w:i/>
          <w:lang w:val="en-US"/>
        </w:rPr>
        <w:t>m</w:t>
      </w:r>
      <w:r w:rsidR="00BD3F35" w:rsidRPr="002F4A08">
        <w:rPr>
          <w:i/>
          <w:vertAlign w:val="subscript"/>
          <w:lang w:val="en-US"/>
        </w:rPr>
        <w:t>i</w:t>
      </w:r>
      <w:r w:rsidR="00BD3F35" w:rsidRPr="002F4A08">
        <w:rPr>
          <w:lang w:val="en-US"/>
        </w:rPr>
        <w:t xml:space="preserve">’s. In variant B, by contrast, imports are allocated by use, i.e. homogeneous branches and final users. </w:t>
      </w:r>
      <w:r w:rsidR="00BD3F35" w:rsidRPr="002F4A08">
        <w:rPr>
          <w:position w:val="-14"/>
          <w:lang w:val="en-US"/>
        </w:rPr>
        <w:object w:dxaOrig="300" w:dyaOrig="400">
          <v:shape id="_x0000_i1121" type="#_x0000_t75" style="width:15pt;height:20.25pt" o:ole="">
            <v:imagedata r:id="rId180" o:title=""/>
          </v:shape>
          <o:OLEObject Type="Embed" ProgID="Equation.3" ShapeID="_x0000_i1121" DrawAspect="Content" ObjectID="_1397289206" r:id="rId181"/>
        </w:object>
      </w:r>
      <w:r w:rsidR="00BD3F35" w:rsidRPr="002F4A08">
        <w:rPr>
          <w:lang w:val="en-US"/>
        </w:rPr>
        <w:t xml:space="preserve">denotes the column sums of matrix </w:t>
      </w:r>
      <w:r w:rsidR="00BD3F35" w:rsidRPr="002F4A08">
        <w:rPr>
          <w:b/>
          <w:lang w:val="en-US"/>
        </w:rPr>
        <w:t>Z</w:t>
      </w:r>
      <w:r w:rsidR="00BD3F35" w:rsidRPr="002F4A08">
        <w:rPr>
          <w:b/>
          <w:vertAlign w:val="superscript"/>
          <w:lang w:val="en-US"/>
        </w:rPr>
        <w:t>m</w:t>
      </w:r>
      <w:r w:rsidR="00BD3F35" w:rsidRPr="002F4A08">
        <w:rPr>
          <w:lang w:val="en-US"/>
        </w:rPr>
        <w:t xml:space="preserve">. Thus, </w:t>
      </w:r>
      <w:r w:rsidR="00BD3F35" w:rsidRPr="002F4A08">
        <w:rPr>
          <w:position w:val="-14"/>
          <w:lang w:val="en-US"/>
        </w:rPr>
        <w:object w:dxaOrig="300" w:dyaOrig="400">
          <v:shape id="_x0000_i1122" type="#_x0000_t75" style="width:15pt;height:20.25pt" o:ole="">
            <v:imagedata r:id="rId182" o:title=""/>
          </v:shape>
          <o:OLEObject Type="Embed" ProgID="Equation.3" ShapeID="_x0000_i1122" DrawAspect="Content" ObjectID="_1397289207" r:id="rId183"/>
        </w:object>
      </w:r>
      <w:r w:rsidR="00BD3F35" w:rsidRPr="002F4A08">
        <w:rPr>
          <w:lang w:val="en-US"/>
        </w:rPr>
        <w:t xml:space="preserve"> is the value of imported products which were used as intermediate inputs by industry </w:t>
      </w:r>
      <w:r w:rsidR="00BD3F35" w:rsidRPr="002F4A08">
        <w:rPr>
          <w:i/>
          <w:lang w:val="en-US"/>
        </w:rPr>
        <w:t>j</w:t>
      </w:r>
      <w:r w:rsidR="00BD3F35" w:rsidRPr="002F4A08">
        <w:rPr>
          <w:lang w:val="en-US"/>
        </w:rPr>
        <w:t xml:space="preserve">. Accordingly, </w:t>
      </w:r>
      <w:r w:rsidR="00BD3F35" w:rsidRPr="002F4A08">
        <w:rPr>
          <w:position w:val="-4"/>
          <w:lang w:val="en-US"/>
        </w:rPr>
        <w:object w:dxaOrig="300" w:dyaOrig="300">
          <v:shape id="_x0000_i1123" type="#_x0000_t75" style="width:15pt;height:15pt" o:ole="">
            <v:imagedata r:id="rId159" o:title=""/>
          </v:shape>
          <o:OLEObject Type="Embed" ProgID="Equation.3" ShapeID="_x0000_i1123" DrawAspect="Content" ObjectID="_1397289208" r:id="rId184"/>
        </w:object>
      </w:r>
      <w:r w:rsidR="00BD3F35" w:rsidRPr="002F4A08">
        <w:rPr>
          <w:lang w:val="en-US"/>
        </w:rPr>
        <w:t xml:space="preserve"> denotes the value of total imports used as intermediate inputs. </w:t>
      </w:r>
      <w:r w:rsidR="00BD3F35" w:rsidRPr="002F4A08">
        <w:rPr>
          <w:position w:val="-10"/>
          <w:lang w:val="en-US"/>
        </w:rPr>
        <w:object w:dxaOrig="340" w:dyaOrig="360">
          <v:shape id="_x0000_i1124" type="#_x0000_t75" style="width:17.25pt;height:18pt" o:ole="">
            <v:imagedata r:id="rId161" o:title=""/>
          </v:shape>
          <o:OLEObject Type="Embed" ProgID="Equation.3" ShapeID="_x0000_i1124" DrawAspect="Content" ObjectID="_1397289209" r:id="rId185"/>
        </w:object>
      </w:r>
      <w:r w:rsidR="001E3B16">
        <w:rPr>
          <w:lang w:val="en-US"/>
        </w:rPr>
        <w:t xml:space="preserve"> d</w:t>
      </w:r>
      <w:r w:rsidR="00BD3F35" w:rsidRPr="002F4A08">
        <w:rPr>
          <w:lang w:val="en-US"/>
        </w:rPr>
        <w:t xml:space="preserve">enotes the value of products that were consumed by final users in the country, and </w:t>
      </w:r>
      <w:r w:rsidR="00BD3F35" w:rsidRPr="002F4A08">
        <w:rPr>
          <w:position w:val="-6"/>
          <w:lang w:val="en-US"/>
        </w:rPr>
        <w:object w:dxaOrig="300" w:dyaOrig="320">
          <v:shape id="_x0000_i1125" type="#_x0000_t75" style="width:15pt;height:15.75pt" o:ole="">
            <v:imagedata r:id="rId163" o:title=""/>
          </v:shape>
          <o:OLEObject Type="Embed" ProgID="Equation.3" ShapeID="_x0000_i1125" DrawAspect="Content" ObjectID="_1397289210" r:id="rId186"/>
        </w:object>
      </w:r>
      <w:r w:rsidR="00BD3F35" w:rsidRPr="002F4A08">
        <w:rPr>
          <w:lang w:val="en-US"/>
        </w:rPr>
        <w:t xml:space="preserve"> denotes the value of imported products used for exports (re-exports). </w:t>
      </w:r>
      <w:r w:rsidR="00BD3F35" w:rsidRPr="002F4A08">
        <w:rPr>
          <w:position w:val="-6"/>
          <w:lang w:val="en-US"/>
        </w:rPr>
        <w:object w:dxaOrig="260" w:dyaOrig="220">
          <v:shape id="_x0000_i1126" type="#_x0000_t75" style="width:12.75pt;height:11.25pt" o:ole="">
            <v:imagedata r:id="rId165" o:title=""/>
          </v:shape>
          <o:OLEObject Type="Embed" ProgID="Equation.3" ShapeID="_x0000_i1126" DrawAspect="Content" ObjectID="_1397289211" r:id="rId187"/>
        </w:object>
      </w:r>
      <w:r w:rsidR="001E3B16">
        <w:rPr>
          <w:lang w:val="en-US"/>
        </w:rPr>
        <w:t xml:space="preserve"> d</w:t>
      </w:r>
      <w:r w:rsidR="00BD3F35" w:rsidRPr="002F4A08">
        <w:rPr>
          <w:lang w:val="en-US"/>
        </w:rPr>
        <w:t>enotes the total value of imports.</w:t>
      </w:r>
    </w:p>
    <w:p w:rsidR="00BD3F35" w:rsidRPr="002F4A08" w:rsidRDefault="00BD3F35" w:rsidP="00E51779">
      <w:pPr>
        <w:rPr>
          <w:lang w:val="en-US"/>
        </w:rPr>
      </w:pPr>
      <w:r w:rsidRPr="002F4A08">
        <w:rPr>
          <w:lang w:val="en-US"/>
        </w:rPr>
        <w:t xml:space="preserve">It is important to realize that </w:t>
      </w:r>
      <w:r w:rsidRPr="002F4A08">
        <w:rPr>
          <w:b/>
          <w:lang w:val="en-US"/>
        </w:rPr>
        <w:t>z</w:t>
      </w:r>
      <w:r w:rsidRPr="002F4A08">
        <w:rPr>
          <w:b/>
          <w:vertAlign w:val="superscript"/>
          <w:lang w:val="en-US"/>
        </w:rPr>
        <w:t>m</w:t>
      </w:r>
      <w:r w:rsidRPr="002F4A08">
        <w:rPr>
          <w:lang w:val="en-US"/>
        </w:rPr>
        <w:t xml:space="preserve"> is very different from </w:t>
      </w:r>
      <w:r w:rsidRPr="002F4A08">
        <w:rPr>
          <w:b/>
          <w:lang w:val="en-US"/>
        </w:rPr>
        <w:t>m</w:t>
      </w:r>
      <w:r w:rsidRPr="002F4A08">
        <w:rPr>
          <w:lang w:val="en-US"/>
        </w:rPr>
        <w:t xml:space="preserve">. The latter is a column vector of length </w:t>
      </w:r>
      <w:r w:rsidRPr="002F4A08">
        <w:rPr>
          <w:i/>
          <w:lang w:val="en-US"/>
        </w:rPr>
        <w:t>n</w:t>
      </w:r>
      <w:r w:rsidRPr="002F4A08">
        <w:rPr>
          <w:lang w:val="en-US"/>
        </w:rPr>
        <w:t xml:space="preserve"> (the number of different products), and element </w:t>
      </w:r>
      <w:r w:rsidRPr="002F4A08">
        <w:rPr>
          <w:i/>
          <w:lang w:val="en-US"/>
        </w:rPr>
        <w:t>m</w:t>
      </w:r>
      <w:r w:rsidRPr="002F4A08">
        <w:rPr>
          <w:i/>
          <w:vertAlign w:val="subscript"/>
          <w:lang w:val="en-US"/>
        </w:rPr>
        <w:t>i</w:t>
      </w:r>
      <w:r w:rsidRPr="002F4A08">
        <w:rPr>
          <w:lang w:val="en-US"/>
        </w:rPr>
        <w:t xml:space="preserve"> is interpreted as “imported products of type </w:t>
      </w:r>
      <w:r w:rsidRPr="002F4A08">
        <w:rPr>
          <w:i/>
          <w:lang w:val="en-US"/>
        </w:rPr>
        <w:t>i</w:t>
      </w:r>
      <w:r w:rsidRPr="002F4A08">
        <w:rPr>
          <w:lang w:val="en-US"/>
        </w:rPr>
        <w:t xml:space="preserve">”. The former is a row vector of length </w:t>
      </w:r>
      <w:r w:rsidRPr="002F4A08">
        <w:rPr>
          <w:i/>
          <w:lang w:val="en-US"/>
        </w:rPr>
        <w:t>n</w:t>
      </w:r>
      <w:r w:rsidRPr="002F4A08">
        <w:rPr>
          <w:lang w:val="en-US"/>
        </w:rPr>
        <w:t xml:space="preserve">, and element </w:t>
      </w:r>
      <w:r w:rsidRPr="002F4A08">
        <w:rPr>
          <w:position w:val="-14"/>
          <w:lang w:val="en-US"/>
        </w:rPr>
        <w:object w:dxaOrig="300" w:dyaOrig="400">
          <v:shape id="_x0000_i1127" type="#_x0000_t75" style="width:15pt;height:20.25pt" o:ole="">
            <v:imagedata r:id="rId188" o:title=""/>
          </v:shape>
          <o:OLEObject Type="Embed" ProgID="Equation.3" ShapeID="_x0000_i1127" DrawAspect="Content" ObjectID="_1397289212" r:id="rId189"/>
        </w:object>
      </w:r>
      <w:r w:rsidRPr="002F4A08">
        <w:rPr>
          <w:lang w:val="en-US"/>
        </w:rPr>
        <w:t xml:space="preserve"> is interpreted as “products of all types imported for use by industry j”. Moreover, the sum of all elements is not equal – vector </w:t>
      </w:r>
      <w:r w:rsidRPr="002F4A08">
        <w:rPr>
          <w:b/>
          <w:lang w:val="en-US"/>
        </w:rPr>
        <w:t>m</w:t>
      </w:r>
      <w:r w:rsidRPr="002F4A08">
        <w:rPr>
          <w:lang w:val="en-US"/>
        </w:rPr>
        <w:t xml:space="preserve"> contains all imported products, but vector </w:t>
      </w:r>
      <w:r w:rsidRPr="002F4A08">
        <w:rPr>
          <w:b/>
          <w:lang w:val="en-US"/>
        </w:rPr>
        <w:t>z</w:t>
      </w:r>
      <w:r w:rsidRPr="002F4A08">
        <w:rPr>
          <w:b/>
          <w:vertAlign w:val="superscript"/>
          <w:lang w:val="en-US"/>
        </w:rPr>
        <w:t>m</w:t>
      </w:r>
      <w:r w:rsidRPr="002F4A08">
        <w:rPr>
          <w:lang w:val="en-US"/>
        </w:rPr>
        <w:t xml:space="preserve"> contains only those products imported for intermediate, as imported products for final use are recorded elsewhere.</w:t>
      </w:r>
    </w:p>
    <w:p w:rsidR="0094737E" w:rsidRPr="002F4A08" w:rsidRDefault="0094737E" w:rsidP="00E51779">
      <w:pPr>
        <w:rPr>
          <w:lang w:val="en-US"/>
        </w:rPr>
      </w:pPr>
      <w:r w:rsidRPr="002F4A08">
        <w:rPr>
          <w:lang w:val="en-US"/>
        </w:rPr>
        <w:t>The type B coefficients are then defined as:</w:t>
      </w:r>
    </w:p>
    <w:p w:rsidR="007670AB" w:rsidRPr="002F4A08" w:rsidRDefault="007670AB" w:rsidP="00E51779">
      <w:pPr>
        <w:rPr>
          <w:lang w:val="en-US"/>
        </w:rPr>
      </w:pPr>
      <w:r w:rsidRPr="002F4A08">
        <w:rPr>
          <w:rFonts w:ascii="Arial" w:eastAsia="Times New Roman" w:hAnsi="Arial" w:cs="Times New Roman"/>
          <w:sz w:val="24"/>
          <w:szCs w:val="20"/>
          <w:lang w:val="en-US"/>
        </w:rPr>
        <w:tab/>
      </w:r>
      <w:r w:rsidRPr="002F4A08">
        <w:rPr>
          <w:rFonts w:eastAsia="Times New Roman"/>
          <w:position w:val="-32"/>
          <w:lang w:val="en-US"/>
        </w:rPr>
        <w:object w:dxaOrig="1020" w:dyaOrig="760">
          <v:shape id="_x0000_i1128" type="#_x0000_t75" style="width:51pt;height:38.25pt" o:ole="">
            <v:imagedata r:id="rId190" o:title=""/>
          </v:shape>
          <o:OLEObject Type="Embed" ProgID="Equation.3" ShapeID="_x0000_i1128" DrawAspect="Content" ObjectID="_1397289213" r:id="rId191"/>
        </w:object>
      </w:r>
      <w:r w:rsidR="009F73BB" w:rsidRPr="002F4A08">
        <w:rPr>
          <w:rFonts w:ascii="Arial" w:eastAsia="Times New Roman" w:hAnsi="Arial" w:cs="Times New Roman"/>
          <w:sz w:val="24"/>
          <w:szCs w:val="20"/>
          <w:lang w:val="en-US"/>
        </w:rPr>
        <w:tab/>
      </w:r>
      <w:r w:rsidR="009F73BB" w:rsidRPr="002F4A08">
        <w:rPr>
          <w:lang w:val="en-US"/>
        </w:rPr>
        <w:t>(8</w:t>
      </w:r>
      <w:r w:rsidRPr="002F4A08">
        <w:rPr>
          <w:lang w:val="en-US"/>
        </w:rPr>
        <w:t>)</w:t>
      </w:r>
    </w:p>
    <w:p w:rsidR="007670AB" w:rsidRPr="002F4A08" w:rsidRDefault="007670AB" w:rsidP="00E51779">
      <w:pPr>
        <w:rPr>
          <w:rFonts w:eastAsia="Times New Roman"/>
          <w:lang w:val="en-US"/>
        </w:rPr>
      </w:pPr>
      <w:r w:rsidRPr="002F4A08">
        <w:rPr>
          <w:rFonts w:eastAsia="Times New Roman"/>
          <w:lang w:val="en-US"/>
        </w:rPr>
        <w:lastRenderedPageBreak/>
        <w:t xml:space="preserve">These coefficients do not tell us how many units of input </w:t>
      </w:r>
      <w:r w:rsidRPr="002F4A08">
        <w:rPr>
          <w:rFonts w:eastAsia="Times New Roman"/>
          <w:i/>
          <w:lang w:val="en-US"/>
        </w:rPr>
        <w:t>i</w:t>
      </w:r>
      <w:r w:rsidRPr="002F4A08">
        <w:rPr>
          <w:rFonts w:eastAsia="Times New Roman"/>
          <w:lang w:val="en-US"/>
        </w:rPr>
        <w:t xml:space="preserve"> were used to produce one unit of output </w:t>
      </w:r>
      <w:r w:rsidRPr="002F4A08">
        <w:rPr>
          <w:rFonts w:eastAsia="Times New Roman"/>
          <w:i/>
          <w:lang w:val="en-US"/>
        </w:rPr>
        <w:t>j</w:t>
      </w:r>
      <w:r w:rsidRPr="002F4A08">
        <w:rPr>
          <w:rFonts w:eastAsia="Times New Roman"/>
          <w:lang w:val="en-US"/>
        </w:rPr>
        <w:t xml:space="preserve">, because they refer only to those inputs that were produced domestically. Imported inputs are ignored. To make this point clearer, let’s define a trading coefficient </w:t>
      </w:r>
      <w:r w:rsidRPr="002F4A08">
        <w:rPr>
          <w:rFonts w:eastAsia="Times New Roman"/>
          <w:i/>
          <w:lang w:val="en-US"/>
        </w:rPr>
        <w:t>t</w:t>
      </w:r>
      <w:r w:rsidRPr="002F4A08">
        <w:rPr>
          <w:rFonts w:eastAsia="Times New Roman"/>
          <w:i/>
          <w:vertAlign w:val="subscript"/>
          <w:lang w:val="en-US"/>
        </w:rPr>
        <w:t>i,j</w:t>
      </w:r>
      <w:r w:rsidRPr="002F4A08">
        <w:rPr>
          <w:rFonts w:eastAsia="Times New Roman"/>
          <w:lang w:val="en-US"/>
        </w:rPr>
        <w:t xml:space="preserve"> as:</w:t>
      </w:r>
    </w:p>
    <w:p w:rsidR="007670AB" w:rsidRPr="002F4A08" w:rsidRDefault="007670AB" w:rsidP="00E51779">
      <w:pPr>
        <w:rPr>
          <w:rFonts w:eastAsia="Times New Roman"/>
          <w:lang w:val="en-US"/>
        </w:rPr>
      </w:pPr>
      <w:r w:rsidRPr="002F4A08">
        <w:rPr>
          <w:rFonts w:eastAsia="Times New Roman"/>
          <w:lang w:val="en-US"/>
        </w:rPr>
        <w:tab/>
      </w:r>
      <w:r w:rsidRPr="002F4A08">
        <w:rPr>
          <w:rFonts w:eastAsia="Times New Roman"/>
          <w:position w:val="-32"/>
          <w:lang w:val="en-US"/>
        </w:rPr>
        <w:object w:dxaOrig="999" w:dyaOrig="780">
          <v:shape id="_x0000_i1129" type="#_x0000_t75" style="width:50.25pt;height:39pt" o:ole="">
            <v:imagedata r:id="rId192" o:title=""/>
          </v:shape>
          <o:OLEObject Type="Embed" ProgID="Equation.3" ShapeID="_x0000_i1129" DrawAspect="Content" ObjectID="_1397289214" r:id="rId193"/>
        </w:object>
      </w:r>
      <w:r w:rsidR="00911CA8" w:rsidRPr="002F4A08">
        <w:rPr>
          <w:rFonts w:eastAsia="Times New Roman"/>
          <w:lang w:val="en-US"/>
        </w:rPr>
        <w:tab/>
        <w:t>(9</w:t>
      </w:r>
      <w:r w:rsidRPr="002F4A08">
        <w:rPr>
          <w:rFonts w:eastAsia="Times New Roman"/>
          <w:lang w:val="en-US"/>
        </w:rPr>
        <w:t>)</w:t>
      </w:r>
    </w:p>
    <w:p w:rsidR="007670AB" w:rsidRPr="002F4A08" w:rsidRDefault="007670AB" w:rsidP="00E51779">
      <w:pPr>
        <w:rPr>
          <w:rFonts w:eastAsia="Times New Roman"/>
          <w:lang w:val="en-US"/>
        </w:rPr>
      </w:pPr>
      <w:r w:rsidRPr="002F4A08">
        <w:rPr>
          <w:rFonts w:eastAsia="Times New Roman"/>
          <w:lang w:val="en-US"/>
        </w:rPr>
        <w:t xml:space="preserve">In words, </w:t>
      </w:r>
      <w:r w:rsidRPr="002F4A08">
        <w:rPr>
          <w:rFonts w:eastAsia="Times New Roman"/>
          <w:i/>
          <w:lang w:val="en-US"/>
        </w:rPr>
        <w:t>t</w:t>
      </w:r>
      <w:r w:rsidRPr="002F4A08">
        <w:rPr>
          <w:rFonts w:eastAsia="Times New Roman"/>
          <w:i/>
          <w:vertAlign w:val="subscript"/>
          <w:lang w:val="en-US"/>
        </w:rPr>
        <w:t>i,j</w:t>
      </w:r>
      <w:r w:rsidRPr="002F4A08">
        <w:rPr>
          <w:rFonts w:eastAsia="Times New Roman"/>
          <w:lang w:val="en-US"/>
        </w:rPr>
        <w:t xml:space="preserve"> is the share of input </w:t>
      </w:r>
      <w:r w:rsidRPr="002F4A08">
        <w:rPr>
          <w:rFonts w:eastAsia="Times New Roman"/>
          <w:i/>
          <w:lang w:val="en-US"/>
        </w:rPr>
        <w:t>i</w:t>
      </w:r>
      <w:r w:rsidRPr="002F4A08">
        <w:rPr>
          <w:rFonts w:eastAsia="Times New Roman"/>
          <w:lang w:val="en-US"/>
        </w:rPr>
        <w:t xml:space="preserve"> used by industry </w:t>
      </w:r>
      <w:r w:rsidRPr="002F4A08">
        <w:rPr>
          <w:rFonts w:eastAsia="Times New Roman"/>
          <w:i/>
          <w:lang w:val="en-US"/>
        </w:rPr>
        <w:t>j</w:t>
      </w:r>
      <w:r w:rsidRPr="002F4A08">
        <w:rPr>
          <w:rFonts w:eastAsia="Times New Roman"/>
          <w:lang w:val="en-US"/>
        </w:rPr>
        <w:t xml:space="preserve"> that originates from domestic production. Conversely, </w:t>
      </w:r>
      <w:r w:rsidRPr="002F4A08">
        <w:rPr>
          <w:rFonts w:eastAsia="Times New Roman"/>
          <w:position w:val="-14"/>
          <w:lang w:val="en-US"/>
        </w:rPr>
        <w:object w:dxaOrig="820" w:dyaOrig="380">
          <v:shape id="_x0000_i1130" type="#_x0000_t75" style="width:41.25pt;height:18.75pt" o:ole="">
            <v:imagedata r:id="rId194" o:title=""/>
          </v:shape>
          <o:OLEObject Type="Embed" ProgID="Equation.3" ShapeID="_x0000_i1130" DrawAspect="Content" ObjectID="_1397289215" r:id="rId195"/>
        </w:object>
      </w:r>
      <w:r w:rsidRPr="002F4A08">
        <w:rPr>
          <w:rFonts w:eastAsia="Times New Roman"/>
          <w:lang w:val="en-US"/>
        </w:rPr>
        <w:t xml:space="preserve"> can be interpreted as the </w:t>
      </w:r>
      <w:r w:rsidR="00911CA8" w:rsidRPr="002F4A08">
        <w:rPr>
          <w:rFonts w:eastAsia="Times New Roman"/>
          <w:lang w:val="en-US"/>
        </w:rPr>
        <w:t>import share. Using equations 7</w:t>
      </w:r>
      <w:r w:rsidRPr="002F4A08">
        <w:rPr>
          <w:rFonts w:eastAsia="Times New Roman"/>
          <w:lang w:val="en-US"/>
        </w:rPr>
        <w:t xml:space="preserve">, </w:t>
      </w:r>
      <w:r w:rsidR="00911CA8" w:rsidRPr="002F4A08">
        <w:rPr>
          <w:rFonts w:eastAsia="Times New Roman"/>
          <w:lang w:val="en-US"/>
        </w:rPr>
        <w:t>8</w:t>
      </w:r>
      <w:r w:rsidRPr="002F4A08">
        <w:rPr>
          <w:rFonts w:eastAsia="Times New Roman"/>
          <w:lang w:val="en-US"/>
        </w:rPr>
        <w:t xml:space="preserve">, and </w:t>
      </w:r>
      <w:r w:rsidR="00911CA8" w:rsidRPr="002F4A08">
        <w:rPr>
          <w:rFonts w:eastAsia="Times New Roman"/>
          <w:lang w:val="en-US"/>
        </w:rPr>
        <w:t>9</w:t>
      </w:r>
      <w:r w:rsidRPr="002F4A08">
        <w:rPr>
          <w:rFonts w:eastAsia="Times New Roman"/>
          <w:lang w:val="en-US"/>
        </w:rPr>
        <w:t xml:space="preserve">, we can write the relationship between </w:t>
      </w:r>
      <w:r w:rsidRPr="002F4A08">
        <w:rPr>
          <w:rFonts w:eastAsia="Times New Roman"/>
          <w:position w:val="-14"/>
          <w:lang w:val="en-US"/>
        </w:rPr>
        <w:object w:dxaOrig="360" w:dyaOrig="400">
          <v:shape id="_x0000_i1131" type="#_x0000_t75" style="width:18pt;height:20.25pt" o:ole="">
            <v:imagedata r:id="rId196" o:title=""/>
          </v:shape>
          <o:OLEObject Type="Embed" ProgID="Equation.3" ShapeID="_x0000_i1131" DrawAspect="Content" ObjectID="_1397289216" r:id="rId197"/>
        </w:object>
      </w:r>
      <w:r w:rsidRPr="002F4A08">
        <w:rPr>
          <w:rFonts w:eastAsia="Times New Roman"/>
          <w:lang w:val="en-US"/>
        </w:rPr>
        <w:t xml:space="preserve"> and </w:t>
      </w:r>
      <w:r w:rsidRPr="002F4A08">
        <w:rPr>
          <w:rFonts w:eastAsia="Times New Roman"/>
          <w:position w:val="-14"/>
          <w:lang w:val="en-US"/>
        </w:rPr>
        <w:object w:dxaOrig="360" w:dyaOrig="400">
          <v:shape id="_x0000_i1132" type="#_x0000_t75" style="width:18pt;height:20.25pt" o:ole="">
            <v:imagedata r:id="rId198" o:title=""/>
          </v:shape>
          <o:OLEObject Type="Embed" ProgID="Equation.3" ShapeID="_x0000_i1132" DrawAspect="Content" ObjectID="_1397289217" r:id="rId199"/>
        </w:object>
      </w:r>
      <w:r w:rsidRPr="002F4A08">
        <w:rPr>
          <w:rFonts w:eastAsia="Times New Roman"/>
          <w:lang w:val="en-US"/>
        </w:rPr>
        <w:t xml:space="preserve"> as:</w:t>
      </w:r>
    </w:p>
    <w:p w:rsidR="007670AB" w:rsidRPr="002F4A08" w:rsidRDefault="007670AB" w:rsidP="00E51779">
      <w:pPr>
        <w:rPr>
          <w:rFonts w:eastAsia="Times New Roman"/>
          <w:lang w:val="en-US"/>
        </w:rPr>
      </w:pPr>
      <w:r w:rsidRPr="002F4A08">
        <w:rPr>
          <w:rFonts w:eastAsia="Times New Roman"/>
          <w:lang w:val="en-US"/>
        </w:rPr>
        <w:tab/>
      </w:r>
      <w:r w:rsidRPr="002F4A08">
        <w:rPr>
          <w:rFonts w:eastAsia="Times New Roman"/>
          <w:position w:val="-14"/>
          <w:lang w:val="en-US"/>
        </w:rPr>
        <w:object w:dxaOrig="1180" w:dyaOrig="400">
          <v:shape id="_x0000_i1133" type="#_x0000_t75" style="width:59.25pt;height:20.25pt" o:ole="">
            <v:imagedata r:id="rId200" o:title=""/>
          </v:shape>
          <o:OLEObject Type="Embed" ProgID="Equation.3" ShapeID="_x0000_i1133" DrawAspect="Content" ObjectID="_1397289218" r:id="rId201"/>
        </w:object>
      </w:r>
      <w:r w:rsidR="00911CA8" w:rsidRPr="002F4A08">
        <w:rPr>
          <w:rFonts w:eastAsia="Times New Roman"/>
          <w:lang w:val="en-US"/>
        </w:rPr>
        <w:tab/>
        <w:t>(10</w:t>
      </w:r>
      <w:r w:rsidRPr="002F4A08">
        <w:rPr>
          <w:rFonts w:eastAsia="Times New Roman"/>
          <w:lang w:val="en-US"/>
        </w:rPr>
        <w:t>)</w:t>
      </w:r>
    </w:p>
    <w:p w:rsidR="0094737E" w:rsidRPr="002F4A08" w:rsidRDefault="007670AB" w:rsidP="00E51779">
      <w:pPr>
        <w:rPr>
          <w:rFonts w:eastAsia="Times New Roman"/>
          <w:lang w:val="en-US"/>
        </w:rPr>
      </w:pPr>
      <w:r w:rsidRPr="002F4A08">
        <w:rPr>
          <w:rFonts w:eastAsia="Times New Roman"/>
          <w:lang w:val="en-US"/>
        </w:rPr>
        <w:t xml:space="preserve">Thus, </w:t>
      </w:r>
      <w:r w:rsidRPr="002F4A08">
        <w:rPr>
          <w:rFonts w:eastAsia="Times New Roman"/>
          <w:position w:val="-14"/>
          <w:lang w:val="en-US"/>
        </w:rPr>
        <w:object w:dxaOrig="360" w:dyaOrig="400">
          <v:shape id="_x0000_i1134" type="#_x0000_t75" style="width:18pt;height:20.25pt" o:ole="">
            <v:imagedata r:id="rId198" o:title=""/>
          </v:shape>
          <o:OLEObject Type="Embed" ProgID="Equation.3" ShapeID="_x0000_i1134" DrawAspect="Content" ObjectID="_1397289219" r:id="rId202"/>
        </w:object>
      </w:r>
      <w:r w:rsidRPr="002F4A08">
        <w:rPr>
          <w:rFonts w:eastAsia="Times New Roman"/>
          <w:lang w:val="en-US"/>
        </w:rPr>
        <w:t xml:space="preserve"> will generally be smaller than </w:t>
      </w:r>
      <w:r w:rsidRPr="002F4A08">
        <w:rPr>
          <w:rFonts w:eastAsia="Times New Roman"/>
          <w:position w:val="-14"/>
          <w:lang w:val="en-US"/>
        </w:rPr>
        <w:object w:dxaOrig="360" w:dyaOrig="400">
          <v:shape id="_x0000_i1135" type="#_x0000_t75" style="width:18pt;height:20.25pt" o:ole="">
            <v:imagedata r:id="rId196" o:title=""/>
          </v:shape>
          <o:OLEObject Type="Embed" ProgID="Equation.3" ShapeID="_x0000_i1135" DrawAspect="Content" ObjectID="_1397289220" r:id="rId203"/>
        </w:object>
      </w:r>
      <w:r w:rsidRPr="002F4A08">
        <w:rPr>
          <w:rFonts w:eastAsia="Times New Roman"/>
          <w:lang w:val="en-US"/>
        </w:rPr>
        <w:t xml:space="preserve">. The </w:t>
      </w:r>
      <w:r w:rsidRPr="002F4A08">
        <w:rPr>
          <w:rFonts w:eastAsia="Times New Roman"/>
          <w:position w:val="-14"/>
          <w:lang w:val="en-US"/>
        </w:rPr>
        <w:object w:dxaOrig="360" w:dyaOrig="400">
          <v:shape id="_x0000_i1136" type="#_x0000_t75" style="width:18pt;height:20.25pt" o:ole="">
            <v:imagedata r:id="rId198" o:title=""/>
          </v:shape>
          <o:OLEObject Type="Embed" ProgID="Equation.3" ShapeID="_x0000_i1136" DrawAspect="Content" ObjectID="_1397289221" r:id="rId204"/>
        </w:object>
      </w:r>
      <w:r w:rsidRPr="002F4A08">
        <w:rPr>
          <w:rFonts w:eastAsia="Times New Roman"/>
          <w:lang w:val="en-US"/>
        </w:rPr>
        <w:t xml:space="preserve"> coefficients differ from the true technological coefficients (</w:t>
      </w:r>
      <w:r w:rsidRPr="002F4A08">
        <w:rPr>
          <w:rFonts w:eastAsia="Times New Roman"/>
          <w:position w:val="-14"/>
          <w:lang w:val="en-US"/>
        </w:rPr>
        <w:object w:dxaOrig="360" w:dyaOrig="400">
          <v:shape id="_x0000_i1137" type="#_x0000_t75" style="width:18pt;height:20.25pt" o:ole="">
            <v:imagedata r:id="rId196" o:title=""/>
          </v:shape>
          <o:OLEObject Type="Embed" ProgID="Equation.3" ShapeID="_x0000_i1137" DrawAspect="Content" ObjectID="_1397289222" r:id="rId205"/>
        </w:object>
      </w:r>
      <w:r w:rsidRPr="002F4A08">
        <w:rPr>
          <w:rFonts w:eastAsia="Times New Roman"/>
          <w:lang w:val="en-US"/>
        </w:rPr>
        <w:t>) due to international trade. Therefore, they cannot not be interpreted as technological coefficients. They are a mixture of technology and trade.</w:t>
      </w:r>
    </w:p>
    <w:p w:rsidR="00A15DD9" w:rsidRPr="002F4A08" w:rsidRDefault="0094737E" w:rsidP="00E51779">
      <w:pPr>
        <w:rPr>
          <w:lang w:val="en-US"/>
        </w:rPr>
      </w:pPr>
      <w:r w:rsidRPr="002F4A08">
        <w:rPr>
          <w:lang w:val="en-US"/>
        </w:rPr>
        <w:t>As, for example, imported coal of the electricity industry is lumped together all other imported goods, it is impossible to say how much coal was actually used in the production of electricity. But it is possible how much coal from domestic sources was</w:t>
      </w:r>
      <w:r w:rsidR="00CE4B6B" w:rsidRPr="002F4A08">
        <w:rPr>
          <w:lang w:val="en-US"/>
        </w:rPr>
        <w:t xml:space="preserve"> used</w:t>
      </w:r>
      <w:r w:rsidRPr="002F4A08">
        <w:rPr>
          <w:lang w:val="en-US"/>
        </w:rPr>
        <w:t xml:space="preserve">, so that </w:t>
      </w:r>
      <w:r w:rsidR="00CE4B6B" w:rsidRPr="002F4A08">
        <w:rPr>
          <w:lang w:val="en-US"/>
        </w:rPr>
        <w:t>t</w:t>
      </w:r>
      <w:r w:rsidR="001A5032" w:rsidRPr="002F4A08">
        <w:rPr>
          <w:lang w:val="en-US"/>
        </w:rPr>
        <w:t>ype B tables are useful for estimating the impact of final demand on national/regional employment, value added etc.</w:t>
      </w:r>
    </w:p>
    <w:p w:rsidR="00BD3F35" w:rsidRPr="002F4A08" w:rsidRDefault="00BD3F35" w:rsidP="00BD3F35">
      <w:pPr>
        <w:pStyle w:val="Tab"/>
        <w:keepNext/>
        <w:pBdr>
          <w:bottom w:val="single" w:sz="4" w:space="1" w:color="auto"/>
        </w:pBdr>
        <w:rPr>
          <w:rFonts w:asciiTheme="minorHAnsi" w:hAnsiTheme="minorHAnsi" w:cstheme="minorHAnsi"/>
          <w:sz w:val="22"/>
          <w:szCs w:val="22"/>
          <w:lang w:val="en-US"/>
        </w:rPr>
      </w:pPr>
      <w:bookmarkStart w:id="4" w:name="_Ref277058226"/>
      <w:r w:rsidRPr="002F4A08">
        <w:rPr>
          <w:rFonts w:asciiTheme="minorHAnsi" w:hAnsiTheme="minorHAnsi" w:cstheme="minorHAnsi"/>
          <w:sz w:val="22"/>
          <w:szCs w:val="22"/>
          <w:lang w:val="en-US"/>
        </w:rPr>
        <w:lastRenderedPageBreak/>
        <w:t xml:space="preserve">Table </w:t>
      </w:r>
      <w:r w:rsidR="00662E01" w:rsidRPr="002F4A08">
        <w:rPr>
          <w:rFonts w:asciiTheme="minorHAnsi" w:hAnsiTheme="minorHAnsi" w:cstheme="minorHAnsi"/>
          <w:sz w:val="22"/>
          <w:szCs w:val="22"/>
          <w:lang w:val="en-US"/>
        </w:rPr>
        <w:fldChar w:fldCharType="begin"/>
      </w:r>
      <w:r w:rsidR="00C76886" w:rsidRPr="002F4A08">
        <w:rPr>
          <w:rFonts w:asciiTheme="minorHAnsi" w:hAnsiTheme="minorHAnsi" w:cstheme="minorHAnsi"/>
          <w:sz w:val="22"/>
          <w:szCs w:val="22"/>
          <w:lang w:val="en-US"/>
        </w:rPr>
        <w:instrText xml:space="preserve"> SEQ Table \* ARABIC </w:instrText>
      </w:r>
      <w:r w:rsidR="00662E01" w:rsidRPr="002F4A08">
        <w:rPr>
          <w:rFonts w:asciiTheme="minorHAnsi" w:hAnsiTheme="minorHAnsi" w:cstheme="minorHAnsi"/>
          <w:sz w:val="22"/>
          <w:szCs w:val="22"/>
          <w:lang w:val="en-US"/>
        </w:rPr>
        <w:fldChar w:fldCharType="separate"/>
      </w:r>
      <w:r w:rsidR="001B1E67" w:rsidRPr="002F4A08">
        <w:rPr>
          <w:rFonts w:asciiTheme="minorHAnsi" w:hAnsiTheme="minorHAnsi" w:cstheme="minorHAnsi"/>
          <w:noProof/>
          <w:sz w:val="22"/>
          <w:szCs w:val="22"/>
          <w:lang w:val="en-US"/>
        </w:rPr>
        <w:t>4</w:t>
      </w:r>
      <w:r w:rsidR="00662E01" w:rsidRPr="002F4A08">
        <w:rPr>
          <w:rFonts w:asciiTheme="minorHAnsi" w:hAnsiTheme="minorHAnsi" w:cstheme="minorHAnsi"/>
          <w:sz w:val="22"/>
          <w:szCs w:val="22"/>
          <w:lang w:val="en-US"/>
        </w:rPr>
        <w:fldChar w:fldCharType="end"/>
      </w:r>
      <w:bookmarkEnd w:id="4"/>
      <w:r w:rsidRPr="002F4A08">
        <w:rPr>
          <w:rFonts w:asciiTheme="minorHAnsi" w:hAnsiTheme="minorHAnsi" w:cstheme="minorHAnsi"/>
          <w:sz w:val="22"/>
          <w:szCs w:val="22"/>
          <w:lang w:val="en-US"/>
        </w:rPr>
        <w:t>: Symmetric input-output table, variant ‘E’</w:t>
      </w:r>
    </w:p>
    <w:tbl>
      <w:tblPr>
        <w:tblW w:w="8426" w:type="dxa"/>
        <w:tblInd w:w="70" w:type="dxa"/>
        <w:tblCellMar>
          <w:left w:w="70" w:type="dxa"/>
          <w:right w:w="70" w:type="dxa"/>
        </w:tblCellMar>
        <w:tblLook w:val="0000" w:firstRow="0" w:lastRow="0" w:firstColumn="0" w:lastColumn="0" w:noHBand="0" w:noVBand="0"/>
      </w:tblPr>
      <w:tblGrid>
        <w:gridCol w:w="2653"/>
        <w:gridCol w:w="652"/>
        <w:gridCol w:w="452"/>
        <w:gridCol w:w="672"/>
        <w:gridCol w:w="796"/>
        <w:gridCol w:w="1085"/>
        <w:gridCol w:w="930"/>
        <w:gridCol w:w="593"/>
        <w:gridCol w:w="593"/>
      </w:tblGrid>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bookmarkStart w:id="5" w:name="OLE_LINK1"/>
          </w:p>
        </w:tc>
        <w:tc>
          <w:tcPr>
            <w:tcW w:w="2572" w:type="dxa"/>
            <w:gridSpan w:val="4"/>
            <w:tcBorders>
              <w:top w:val="nil"/>
              <w:left w:val="nil"/>
              <w:bottom w:val="nil"/>
              <w:right w:val="nil"/>
            </w:tcBorders>
            <w:shd w:val="clear" w:color="auto" w:fill="auto"/>
            <w:vAlign w:val="bottom"/>
          </w:tcPr>
          <w:p w:rsidR="00BD3F35" w:rsidRPr="002F4A08" w:rsidRDefault="00BD3F35" w:rsidP="00465A34">
            <w:pPr>
              <w:keepNext/>
              <w:jc w:val="center"/>
              <w:rPr>
                <w:rFonts w:cstheme="minorHAnsi"/>
                <w:lang w:val="en-US"/>
              </w:rPr>
            </w:pPr>
            <w:r w:rsidRPr="002F4A08">
              <w:rPr>
                <w:rFonts w:cstheme="minorHAnsi"/>
                <w:lang w:val="en-US"/>
              </w:rPr>
              <w:t>Homogeneous branches</w:t>
            </w:r>
          </w:p>
        </w:tc>
        <w:tc>
          <w:tcPr>
            <w:tcW w:w="2608" w:type="dxa"/>
            <w:gridSpan w:val="3"/>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Final uses</w:t>
            </w:r>
          </w:p>
        </w:tc>
        <w:tc>
          <w:tcPr>
            <w:tcW w:w="593" w:type="dxa"/>
            <w:vMerge w:val="restart"/>
            <w:tcBorders>
              <w:top w:val="nil"/>
              <w:left w:val="nil"/>
              <w:bottom w:val="nil"/>
              <w:right w:val="nil"/>
            </w:tcBorders>
            <w:vAlign w:val="center"/>
          </w:tcPr>
          <w:p w:rsidR="00BD3F35" w:rsidRPr="002F4A08" w:rsidRDefault="00BD3F35" w:rsidP="00465A34">
            <w:pPr>
              <w:keepNext/>
              <w:rPr>
                <w:rFonts w:cstheme="minorHAnsi"/>
                <w:lang w:val="en-US"/>
              </w:rPr>
            </w:pPr>
            <w:r w:rsidRPr="002F4A08">
              <w:rPr>
                <w:rFonts w:cstheme="minorHAnsi"/>
                <w:lang w:val="en-US"/>
              </w:rPr>
              <w:t>Total use</w: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Products</w:t>
            </w:r>
          </w:p>
        </w:tc>
        <w:tc>
          <w:tcPr>
            <w:tcW w:w="652" w:type="dxa"/>
            <w:tcBorders>
              <w:top w:val="nil"/>
              <w:left w:val="nil"/>
              <w:bottom w:val="nil"/>
              <w:right w:val="nil"/>
            </w:tcBorders>
            <w:shd w:val="clear" w:color="auto" w:fill="auto"/>
            <w:vAlign w:val="bottom"/>
          </w:tcPr>
          <w:p w:rsidR="00BD3F35" w:rsidRPr="002F4A08" w:rsidRDefault="00BD3F35" w:rsidP="00465A34">
            <w:pPr>
              <w:keepNext/>
              <w:jc w:val="center"/>
              <w:rPr>
                <w:rFonts w:cstheme="minorHAnsi"/>
                <w:lang w:val="en-US"/>
              </w:rPr>
            </w:pPr>
            <w:r w:rsidRPr="002F4A08">
              <w:rPr>
                <w:rFonts w:cstheme="minorHAnsi"/>
                <w:lang w:val="en-US"/>
              </w:rPr>
              <w:t>1</w:t>
            </w:r>
          </w:p>
        </w:tc>
        <w:tc>
          <w:tcPr>
            <w:tcW w:w="452"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i/>
                <w:lang w:val="en-US"/>
              </w:rPr>
            </w:pPr>
            <w:r w:rsidRPr="002F4A08">
              <w:rPr>
                <w:rFonts w:cstheme="minorHAnsi"/>
                <w:i/>
                <w:lang w:val="en-US"/>
              </w:rPr>
              <w:t>n</w:t>
            </w:r>
          </w:p>
        </w:tc>
        <w:tc>
          <w:tcPr>
            <w:tcW w:w="796" w:type="dxa"/>
            <w:tcBorders>
              <w:top w:val="nil"/>
              <w:left w:val="nil"/>
              <w:bottom w:val="nil"/>
              <w:right w:val="nil"/>
            </w:tcBorders>
          </w:tcPr>
          <w:p w:rsidR="00BD3F35" w:rsidRPr="002F4A08" w:rsidRDefault="00BD3F35" w:rsidP="00465A34">
            <w:pPr>
              <w:keepNext/>
              <w:jc w:val="center"/>
              <w:rPr>
                <w:rFonts w:cstheme="minorHAnsi"/>
                <w:lang w:val="en-US"/>
              </w:rPr>
            </w:pPr>
            <w:r w:rsidRPr="002F4A08">
              <w:rPr>
                <w:rFonts w:cstheme="minorHAnsi"/>
                <w:lang w:val="en-US"/>
              </w:rPr>
              <w:t>Total</w:t>
            </w:r>
          </w:p>
        </w:tc>
        <w:tc>
          <w:tcPr>
            <w:tcW w:w="1085"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Domestic</w:t>
            </w:r>
          </w:p>
        </w:tc>
        <w:tc>
          <w:tcPr>
            <w:tcW w:w="930"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Exports</w:t>
            </w:r>
          </w:p>
        </w:tc>
        <w:tc>
          <w:tcPr>
            <w:tcW w:w="593" w:type="dxa"/>
            <w:tcBorders>
              <w:top w:val="nil"/>
              <w:left w:val="nil"/>
              <w:bottom w:val="nil"/>
              <w:right w:val="nil"/>
            </w:tcBorders>
            <w:shd w:val="clear" w:color="auto" w:fill="auto"/>
            <w:noWrap/>
            <w:vAlign w:val="bottom"/>
          </w:tcPr>
          <w:p w:rsidR="00BD3F35" w:rsidRPr="002F4A08" w:rsidRDefault="00BD3F35" w:rsidP="00465A34">
            <w:pPr>
              <w:keepNext/>
              <w:jc w:val="center"/>
              <w:rPr>
                <w:rFonts w:cstheme="minorHAnsi"/>
                <w:lang w:val="en-US"/>
              </w:rPr>
            </w:pPr>
            <w:r w:rsidRPr="002F4A08">
              <w:rPr>
                <w:rFonts w:cstheme="minorHAnsi"/>
                <w:lang w:val="en-US"/>
              </w:rPr>
              <w:t>Total</w:t>
            </w:r>
          </w:p>
        </w:tc>
        <w:tc>
          <w:tcPr>
            <w:tcW w:w="593" w:type="dxa"/>
            <w:vMerge/>
            <w:tcBorders>
              <w:top w:val="nil"/>
              <w:left w:val="nil"/>
              <w:bottom w:val="nil"/>
              <w:right w:val="nil"/>
            </w:tcBorders>
            <w:vAlign w:val="center"/>
          </w:tcPr>
          <w:p w:rsidR="00BD3F35" w:rsidRPr="002F4A08" w:rsidRDefault="00BD3F35" w:rsidP="00465A34">
            <w:pPr>
              <w:keepNext/>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1</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380" w:dyaOrig="380">
                <v:shape id="_x0000_i1138" type="#_x0000_t75" style="width:18.75pt;height:18.75pt" o:ole="">
                  <v:imagedata r:id="rId65" o:title=""/>
                </v:shape>
                <o:OLEObject Type="Embed" ProgID="Equation.3" ShapeID="_x0000_i1138" DrawAspect="Content" ObjectID="_1397289223" r:id="rId206"/>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00" w:dyaOrig="380">
                <v:shape id="_x0000_i1139" type="#_x0000_t75" style="width:20.25pt;height:18.75pt" o:ole="">
                  <v:imagedata r:id="rId67" o:title=""/>
                </v:shape>
                <o:OLEObject Type="Embed" ProgID="Equation.3" ShapeID="_x0000_i1139" DrawAspect="Content" ObjectID="_1397289224" r:id="rId207"/>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00" w:dyaOrig="340">
                <v:shape id="_x0000_i1140" type="#_x0000_t75" style="width:9.75pt;height:17.25pt" o:ole="">
                  <v:imagedata r:id="rId69" o:title=""/>
                </v:shape>
                <o:OLEObject Type="Embed" ProgID="Equation.3" ShapeID="_x0000_i1140" DrawAspect="Content" ObjectID="_1397289225" r:id="rId208"/>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141" type="#_x0000_t75" style="width:12.75pt;height:17.25pt" o:ole="">
                  <v:imagedata r:id="rId71" o:title=""/>
                </v:shape>
                <o:OLEObject Type="Embed" ProgID="Equation.3" ShapeID="_x0000_i1141" DrawAspect="Content" ObjectID="_1397289226" r:id="rId209"/>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142" type="#_x0000_t75" style="width:12pt;height:17.25pt" o:ole="">
                  <v:imagedata r:id="rId73" o:title=""/>
                </v:shape>
                <o:OLEObject Type="Embed" ProgID="Equation.3" ShapeID="_x0000_i1142" DrawAspect="Content" ObjectID="_1397289227" r:id="rId210"/>
              </w:objec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143" type="#_x0000_t75" style="width:12.75pt;height:17.25pt" o:ole="">
                  <v:imagedata r:id="rId211" o:title=""/>
                </v:shape>
                <o:OLEObject Type="Embed" ProgID="Equation.3" ShapeID="_x0000_i1143" DrawAspect="Content" ObjectID="_1397289228" r:id="rId212"/>
              </w:objec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144" type="#_x0000_t75" style="width:12pt;height:17.25pt" o:ole="">
                  <v:imagedata r:id="rId213" o:title=""/>
                </v:shape>
                <o:OLEObject Type="Embed" ProgID="Equation.3" ShapeID="_x0000_i1144" DrawAspect="Content" ObjectID="_1397289229" r:id="rId214"/>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i/>
                <w:lang w:val="en-US"/>
              </w:rPr>
            </w:pPr>
            <w:r w:rsidRPr="002F4A08">
              <w:rPr>
                <w:rFonts w:cstheme="minorHAnsi"/>
                <w:i/>
                <w:lang w:val="en-US"/>
              </w:rPr>
              <w:t>n</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00" w:dyaOrig="380">
                <v:shape id="_x0000_i1145" type="#_x0000_t75" style="width:20.25pt;height:18.75pt" o:ole="">
                  <v:imagedata r:id="rId79" o:title=""/>
                </v:shape>
                <o:OLEObject Type="Embed" ProgID="Equation.3" ShapeID="_x0000_i1145" DrawAspect="Content" ObjectID="_1397289230" r:id="rId215"/>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4"/>
                <w:lang w:val="en-US"/>
              </w:rPr>
              <w:object w:dxaOrig="420" w:dyaOrig="380">
                <v:shape id="_x0000_i1146" type="#_x0000_t75" style="width:21pt;height:18.75pt" o:ole="">
                  <v:imagedata r:id="rId81" o:title=""/>
                </v:shape>
                <o:OLEObject Type="Embed" ProgID="Equation.3" ShapeID="_x0000_i1146" DrawAspect="Content" ObjectID="_1397289231" r:id="rId216"/>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20" w:dyaOrig="360">
                <v:shape id="_x0000_i1147" type="#_x0000_t75" style="width:11.25pt;height:18pt" o:ole="">
                  <v:imagedata r:id="rId83" o:title=""/>
                </v:shape>
                <o:OLEObject Type="Embed" ProgID="Equation.3" ShapeID="_x0000_i1147" DrawAspect="Content" ObjectID="_1397289232" r:id="rId217"/>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300" w:dyaOrig="360">
                <v:shape id="_x0000_i1148" type="#_x0000_t75" style="width:15pt;height:18pt" o:ole="">
                  <v:imagedata r:id="rId85" o:title=""/>
                </v:shape>
                <o:OLEObject Type="Embed" ProgID="Equation.3" ShapeID="_x0000_i1148" DrawAspect="Content" ObjectID="_1397289233" r:id="rId218"/>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149" type="#_x0000_t75" style="width:12.75pt;height:18pt" o:ole="">
                  <v:imagedata r:id="rId87" o:title=""/>
                </v:shape>
                <o:OLEObject Type="Embed" ProgID="Equation.3" ShapeID="_x0000_i1149" DrawAspect="Content" ObjectID="_1397289234" r:id="rId219"/>
              </w:objec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150" type="#_x0000_t75" style="width:14.25pt;height:18pt" o:ole="">
                  <v:imagedata r:id="rId220" o:title=""/>
                </v:shape>
                <o:OLEObject Type="Embed" ProgID="Equation.3" ShapeID="_x0000_i1150" DrawAspect="Content" ObjectID="_1397289235" r:id="rId221"/>
              </w:objec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151" type="#_x0000_t75" style="width:14.25pt;height:18pt" o:ole="">
                  <v:imagedata r:id="rId222" o:title=""/>
                </v:shape>
                <o:OLEObject Type="Embed" ProgID="Equation.3" ShapeID="_x0000_i1151" DrawAspect="Content" ObjectID="_1397289236" r:id="rId223"/>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Total interm. use / final use</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152" type="#_x0000_t75" style="width:12pt;height:17.25pt" o:ole="">
                  <v:imagedata r:id="rId93" o:title=""/>
                </v:shape>
                <o:OLEObject Type="Embed" ProgID="Equation.3" ShapeID="_x0000_i1152" DrawAspect="Content" ObjectID="_1397289237" r:id="rId224"/>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153" type="#_x0000_t75" style="width:12.75pt;height:18pt" o:ole="">
                  <v:imagedata r:id="rId95" o:title=""/>
                </v:shape>
                <o:OLEObject Type="Embed" ProgID="Equation.3" ShapeID="_x0000_i1153" DrawAspect="Content" ObjectID="_1397289238" r:id="rId225"/>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4"/>
                <w:lang w:val="en-US"/>
              </w:rPr>
              <w:object w:dxaOrig="560" w:dyaOrig="200">
                <v:shape id="_x0000_i1154" type="#_x0000_t75" style="width:27.75pt;height:9.75pt" o:ole="">
                  <v:imagedata r:id="rId97" o:title=""/>
                </v:shape>
                <o:OLEObject Type="Embed" ProgID="Equation.3" ShapeID="_x0000_i1154" DrawAspect="Content" ObjectID="_1397289239" r:id="rId226"/>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20" w:dyaOrig="260">
                <v:shape id="_x0000_i1155" type="#_x0000_t75" style="width:11.25pt;height:12.75pt" o:ole="">
                  <v:imagedata r:id="rId99" o:title=""/>
                </v:shape>
                <o:OLEObject Type="Embed" ProgID="Equation.3" ShapeID="_x0000_i1155" DrawAspect="Content" ObjectID="_1397289240" r:id="rId227"/>
              </w:object>
            </w: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156" type="#_x0000_t75" style="width:9pt;height:11.25pt" o:ole="">
                  <v:imagedata r:id="rId101" o:title=""/>
                </v:shape>
                <o:OLEObject Type="Embed" ProgID="Equation.3" ShapeID="_x0000_i1156" DrawAspect="Content" ObjectID="_1397289241" r:id="rId228"/>
              </w:objec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20">
                <v:shape id="_x0000_i1157" type="#_x0000_t75" style="width:12pt;height:15.75pt" o:ole="">
                  <v:imagedata r:id="rId229" o:title=""/>
                </v:shape>
                <o:OLEObject Type="Embed" ProgID="Equation.3" ShapeID="_x0000_i1157" DrawAspect="Content" ObjectID="_1397289242" r:id="rId230"/>
              </w:object>
            </w: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00" w:dyaOrig="220">
                <v:shape id="_x0000_i1158" type="#_x0000_t75" style="width:9.75pt;height:11.25pt" o:ole="">
                  <v:imagedata r:id="rId231" o:title=""/>
                </v:shape>
                <o:OLEObject Type="Embed" ProgID="Equation.3" ShapeID="_x0000_i1158" DrawAspect="Content" ObjectID="_1397289243" r:id="rId232"/>
              </w:object>
            </w: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Value added</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40" w:dyaOrig="340">
                <v:shape id="_x0000_i1159" type="#_x0000_t75" style="width:12pt;height:17.25pt" o:ole="">
                  <v:imagedata r:id="rId107" o:title=""/>
                </v:shape>
                <o:OLEObject Type="Embed" ProgID="Equation.3" ShapeID="_x0000_i1159" DrawAspect="Content" ObjectID="_1397289244" r:id="rId233"/>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160" type="#_x0000_t75" style="width:12.75pt;height:18pt" o:ole="">
                  <v:imagedata r:id="rId109" o:title=""/>
                </v:shape>
                <o:OLEObject Type="Embed" ProgID="Equation.3" ShapeID="_x0000_i1160" DrawAspect="Content" ObjectID="_1397289245" r:id="rId234"/>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161" type="#_x0000_t75" style="width:9pt;height:11.25pt" o:ole="">
                  <v:imagedata r:id="rId111" o:title=""/>
                </v:shape>
                <o:OLEObject Type="Embed" ProgID="Equation.3" ShapeID="_x0000_i1161" DrawAspect="Content" ObjectID="_1397289246" r:id="rId235"/>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Output</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60" w:dyaOrig="340">
                <v:shape id="_x0000_i1162" type="#_x0000_t75" style="width:12.75pt;height:17.25pt" o:ole="">
                  <v:imagedata r:id="rId113" o:title=""/>
                </v:shape>
                <o:OLEObject Type="Embed" ProgID="Equation.3" ShapeID="_x0000_i1162" DrawAspect="Content" ObjectID="_1397289247" r:id="rId236"/>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79" w:dyaOrig="360">
                <v:shape id="_x0000_i1163" type="#_x0000_t75" style="width:14.25pt;height:18pt" o:ole="">
                  <v:imagedata r:id="rId115" o:title=""/>
                </v:shape>
                <o:OLEObject Type="Embed" ProgID="Equation.3" ShapeID="_x0000_i1163" DrawAspect="Content" ObjectID="_1397289248" r:id="rId237"/>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00" w:dyaOrig="220">
                <v:shape id="_x0000_i1164" type="#_x0000_t75" style="width:9.75pt;height:11.25pt" o:ole="">
                  <v:imagedata r:id="rId117" o:title=""/>
                </v:shape>
                <o:OLEObject Type="Embed" ProgID="Equation.3" ShapeID="_x0000_i1164" DrawAspect="Content" ObjectID="_1397289249" r:id="rId238"/>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Imports of similar goods</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360" w:dyaOrig="360">
                <v:shape id="_x0000_i1165" type="#_x0000_t75" style="width:18pt;height:18pt" o:ole="">
                  <v:imagedata r:id="rId239" o:title=""/>
                </v:shape>
                <o:OLEObject Type="Embed" ProgID="Equation.3" ShapeID="_x0000_i1165" DrawAspect="Content" ObjectID="_1397289250" r:id="rId240"/>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360" w:dyaOrig="380">
                <v:shape id="_x0000_i1166" type="#_x0000_t75" style="width:18pt;height:18.75pt" o:ole="">
                  <v:imagedata r:id="rId241" o:title=""/>
                </v:shape>
                <o:OLEObject Type="Embed" ProgID="Equation.3" ShapeID="_x0000_i1166" DrawAspect="Content" ObjectID="_1397289251" r:id="rId242"/>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260" w:dyaOrig="220">
                <v:shape id="_x0000_i1167" type="#_x0000_t75" style="width:12.75pt;height:11.25pt" o:ole="">
                  <v:imagedata r:id="rId243" o:title=""/>
                </v:shape>
                <o:OLEObject Type="Embed" ProgID="Equation.3" ShapeID="_x0000_i1167" DrawAspect="Content" ObjectID="_1397289252" r:id="rId244"/>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r w:rsidR="00BD3F35" w:rsidRPr="002F4A08" w:rsidTr="0003041A">
        <w:trPr>
          <w:trHeight w:val="264"/>
        </w:trPr>
        <w:tc>
          <w:tcPr>
            <w:tcW w:w="2653" w:type="dxa"/>
            <w:tcBorders>
              <w:top w:val="nil"/>
              <w:left w:val="nil"/>
              <w:bottom w:val="nil"/>
              <w:right w:val="nil"/>
            </w:tcBorders>
            <w:shd w:val="clear" w:color="auto" w:fill="auto"/>
            <w:noWrap/>
            <w:vAlign w:val="bottom"/>
          </w:tcPr>
          <w:p w:rsidR="00BD3F35" w:rsidRPr="002F4A08" w:rsidRDefault="00BD3F35" w:rsidP="00465A34">
            <w:pPr>
              <w:keepNext/>
              <w:rPr>
                <w:rFonts w:cstheme="minorHAnsi"/>
                <w:lang w:val="en-US"/>
              </w:rPr>
            </w:pPr>
            <w:r w:rsidRPr="002F4A08">
              <w:rPr>
                <w:rFonts w:cstheme="minorHAnsi"/>
                <w:lang w:val="en-US"/>
              </w:rPr>
              <w:t>Total supply</w:t>
            </w:r>
          </w:p>
        </w:tc>
        <w:tc>
          <w:tcPr>
            <w:tcW w:w="6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0"/>
                <w:lang w:val="en-US"/>
              </w:rPr>
              <w:object w:dxaOrig="220" w:dyaOrig="340">
                <v:shape id="_x0000_i1168" type="#_x0000_t75" style="width:11.25pt;height:17.25pt" o:ole="">
                  <v:imagedata r:id="rId245" o:title=""/>
                </v:shape>
                <o:OLEObject Type="Embed" ProgID="Equation.3" ShapeID="_x0000_i1168" DrawAspect="Content" ObjectID="_1397289253" r:id="rId246"/>
              </w:object>
            </w:r>
          </w:p>
        </w:tc>
        <w:tc>
          <w:tcPr>
            <w:tcW w:w="45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lang w:val="en-US"/>
              </w:rPr>
              <w:t>…</w:t>
            </w:r>
          </w:p>
        </w:tc>
        <w:tc>
          <w:tcPr>
            <w:tcW w:w="672"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r w:rsidRPr="002F4A08">
              <w:rPr>
                <w:rFonts w:cstheme="minorHAnsi"/>
                <w:position w:val="-12"/>
                <w:lang w:val="en-US"/>
              </w:rPr>
              <w:object w:dxaOrig="260" w:dyaOrig="360">
                <v:shape id="_x0000_i1169" type="#_x0000_t75" style="width:12.75pt;height:18pt" o:ole="">
                  <v:imagedata r:id="rId247" o:title=""/>
                </v:shape>
                <o:OLEObject Type="Embed" ProgID="Equation.3" ShapeID="_x0000_i1169" DrawAspect="Content" ObjectID="_1397289254" r:id="rId248"/>
              </w:object>
            </w:r>
          </w:p>
        </w:tc>
        <w:tc>
          <w:tcPr>
            <w:tcW w:w="796" w:type="dxa"/>
            <w:tcBorders>
              <w:top w:val="nil"/>
              <w:left w:val="nil"/>
              <w:bottom w:val="nil"/>
              <w:right w:val="nil"/>
            </w:tcBorders>
            <w:vAlign w:val="center"/>
          </w:tcPr>
          <w:p w:rsidR="00BD3F35" w:rsidRPr="002F4A08" w:rsidRDefault="00BD3F35" w:rsidP="00465A34">
            <w:pPr>
              <w:keepNext/>
              <w:jc w:val="center"/>
              <w:rPr>
                <w:rFonts w:cstheme="minorHAnsi"/>
                <w:lang w:val="en-US"/>
              </w:rPr>
            </w:pPr>
            <w:r w:rsidRPr="002F4A08">
              <w:rPr>
                <w:rFonts w:cstheme="minorHAnsi"/>
                <w:position w:val="-6"/>
                <w:lang w:val="en-US"/>
              </w:rPr>
              <w:object w:dxaOrig="180" w:dyaOrig="220">
                <v:shape id="_x0000_i1170" type="#_x0000_t75" style="width:9pt;height:11.25pt" o:ole="">
                  <v:imagedata r:id="rId249" o:title=""/>
                </v:shape>
                <o:OLEObject Type="Embed" ProgID="Equation.3" ShapeID="_x0000_i1170" DrawAspect="Content" ObjectID="_1397289255" r:id="rId250"/>
              </w:object>
            </w:r>
          </w:p>
        </w:tc>
        <w:tc>
          <w:tcPr>
            <w:tcW w:w="1085"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930"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c>
          <w:tcPr>
            <w:tcW w:w="593" w:type="dxa"/>
            <w:tcBorders>
              <w:top w:val="nil"/>
              <w:left w:val="nil"/>
              <w:bottom w:val="nil"/>
              <w:right w:val="nil"/>
            </w:tcBorders>
            <w:shd w:val="clear" w:color="auto" w:fill="auto"/>
            <w:noWrap/>
            <w:vAlign w:val="center"/>
          </w:tcPr>
          <w:p w:rsidR="00BD3F35" w:rsidRPr="002F4A08" w:rsidRDefault="00BD3F35" w:rsidP="00465A34">
            <w:pPr>
              <w:keepNext/>
              <w:jc w:val="center"/>
              <w:rPr>
                <w:rFonts w:cstheme="minorHAnsi"/>
                <w:lang w:val="en-US"/>
              </w:rPr>
            </w:pPr>
          </w:p>
        </w:tc>
      </w:tr>
    </w:tbl>
    <w:bookmarkEnd w:id="5"/>
    <w:p w:rsidR="0003041A" w:rsidRPr="002F4A08" w:rsidRDefault="0003041A" w:rsidP="0003041A">
      <w:pPr>
        <w:pStyle w:val="SourceSTEPreprint"/>
        <w:keepNext/>
        <w:widowControl w:val="0"/>
        <w:rPr>
          <w:rFonts w:asciiTheme="minorHAnsi" w:hAnsiTheme="minorHAnsi" w:cstheme="minorHAnsi"/>
          <w:szCs w:val="22"/>
          <w:lang w:val="en-US"/>
        </w:rPr>
      </w:pPr>
      <w:r w:rsidRPr="002F4A08">
        <w:rPr>
          <w:rFonts w:asciiTheme="minorHAnsi" w:hAnsiTheme="minorHAnsi" w:cstheme="minorHAnsi"/>
          <w:szCs w:val="22"/>
          <w:lang w:val="en-US"/>
        </w:rPr>
        <w:t xml:space="preserve">Source: Kronenberg </w:t>
      </w:r>
      <w:r w:rsidRPr="002F4A08">
        <w:rPr>
          <w:rFonts w:asciiTheme="minorHAnsi" w:hAnsiTheme="minorHAnsi" w:cstheme="minorHAnsi"/>
          <w:szCs w:val="22"/>
          <w:lang w:val="en-US"/>
        </w:rPr>
        <w:fldChar w:fldCharType="begin"/>
      </w:r>
      <w:r w:rsidRPr="002F4A08">
        <w:rPr>
          <w:rFonts w:asciiTheme="minorHAnsi" w:hAnsiTheme="minorHAnsi" w:cstheme="minorHAnsi"/>
          <w:szCs w:val="22"/>
          <w:lang w:val="en-US"/>
        </w:rPr>
        <w:instrText xml:space="preserve"> ADDIN EN.CITE &lt;EndNote&gt;&lt;Cite ExcludeAuth="1"&gt;&lt;Author&gt;Kronenberg&lt;/Author&gt;&lt;Year&gt;in press&lt;/Year&gt;&lt;RecNum&gt;726&lt;/RecNum&gt;&lt;DisplayText&gt;(in press)&lt;/DisplayText&gt;&lt;record&gt;&lt;rec-number&gt;726&lt;/rec-number&gt;&lt;foreign-keys&gt;&lt;key app="EN" db-id="fsxszs05u5f00setapvp9rzrpww0505fwf9v"&gt;726&lt;/key&gt;&lt;/foreign-keys&gt;&lt;ref-type name="Journal Article"&gt;17&lt;/ref-type&gt;&lt;contributors&gt;&lt;authors&gt;&lt;author&gt;Kronenberg, Tobias&lt;/author&gt;&lt;/authors&gt;&lt;/contributors&gt;&lt;titles&gt;&lt;title&gt;Regional input-output models and the treatment of imports in the European System of Accounts (ESA)&lt;/title&gt;&lt;secondary-title&gt;Jahrbuch für Regionalwissenschaft&lt;/secondary-title&gt;&lt;/titles&gt;&lt;periodical&gt;&lt;full-title&gt;Jahrbuch für Regionalwissenschaft&lt;/full-title&gt;&lt;/periodical&gt;&lt;dates&gt;&lt;year&gt;in press&lt;/year&gt;&lt;/dates&gt;&lt;urls&gt;&lt;/urls&gt;&lt;/record&gt;&lt;/Cite&gt;&lt;/EndNote&gt;</w:instrText>
      </w:r>
      <w:r w:rsidRPr="002F4A08">
        <w:rPr>
          <w:rFonts w:asciiTheme="minorHAnsi" w:hAnsiTheme="minorHAnsi" w:cstheme="minorHAnsi"/>
          <w:szCs w:val="22"/>
          <w:lang w:val="en-US"/>
        </w:rPr>
        <w:fldChar w:fldCharType="separate"/>
      </w:r>
      <w:r w:rsidRPr="002F4A08">
        <w:rPr>
          <w:rFonts w:asciiTheme="minorHAnsi" w:hAnsiTheme="minorHAnsi" w:cstheme="minorHAnsi"/>
          <w:noProof/>
          <w:szCs w:val="22"/>
          <w:lang w:val="en-US"/>
        </w:rPr>
        <w:t>(</w:t>
      </w:r>
      <w:hyperlink w:anchor="_ENREF_7" w:tooltip="Kronenberg, in press #726" w:history="1">
        <w:r w:rsidR="00B07F05" w:rsidRPr="002F4A08">
          <w:rPr>
            <w:rFonts w:asciiTheme="minorHAnsi" w:hAnsiTheme="minorHAnsi" w:cstheme="minorHAnsi"/>
            <w:noProof/>
            <w:szCs w:val="22"/>
            <w:lang w:val="en-US"/>
          </w:rPr>
          <w:t>in press</w:t>
        </w:r>
      </w:hyperlink>
      <w:r w:rsidRPr="002F4A08">
        <w:rPr>
          <w:rFonts w:asciiTheme="minorHAnsi" w:hAnsiTheme="minorHAnsi" w:cstheme="minorHAnsi"/>
          <w:noProof/>
          <w:szCs w:val="22"/>
          <w:lang w:val="en-US"/>
        </w:rPr>
        <w:t>)</w:t>
      </w:r>
      <w:r w:rsidRPr="002F4A08">
        <w:rPr>
          <w:rFonts w:asciiTheme="minorHAnsi" w:hAnsiTheme="minorHAnsi" w:cstheme="minorHAnsi"/>
          <w:szCs w:val="22"/>
          <w:lang w:val="en-US"/>
        </w:rPr>
        <w:fldChar w:fldCharType="end"/>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r>
      <w:r w:rsidRPr="002F4A08">
        <w:rPr>
          <w:rFonts w:asciiTheme="minorHAnsi" w:hAnsiTheme="minorHAnsi" w:cstheme="minorHAnsi"/>
          <w:szCs w:val="22"/>
          <w:lang w:val="en-US"/>
        </w:rPr>
        <w:tab/>
        <w:t xml:space="preserve">  IEK-STE 2012</w:t>
      </w:r>
    </w:p>
    <w:p w:rsidR="00BD3F35" w:rsidRPr="002F4A08" w:rsidRDefault="00167F6D" w:rsidP="00E51779">
      <w:pPr>
        <w:rPr>
          <w:lang w:val="en-US"/>
        </w:rPr>
      </w:pPr>
      <w:r w:rsidRPr="002F4A08">
        <w:rPr>
          <w:lang w:val="en-US"/>
        </w:rPr>
        <w:fldChar w:fldCharType="begin"/>
      </w:r>
      <w:r w:rsidRPr="002F4A08">
        <w:rPr>
          <w:lang w:val="en-US"/>
        </w:rPr>
        <w:instrText xml:space="preserve"> REF _Ref277058226 \h  \* MERGEFORMAT </w:instrText>
      </w:r>
      <w:r w:rsidRPr="002F4A08">
        <w:rPr>
          <w:lang w:val="en-US"/>
        </w:rPr>
      </w:r>
      <w:r w:rsidRPr="002F4A08">
        <w:rPr>
          <w:lang w:val="en-US"/>
        </w:rPr>
        <w:fldChar w:fldCharType="separate"/>
      </w:r>
      <w:r w:rsidR="001B1E67" w:rsidRPr="002F4A08">
        <w:rPr>
          <w:lang w:val="en-US"/>
        </w:rPr>
        <w:t>Table 4</w:t>
      </w:r>
      <w:r w:rsidRPr="002F4A08">
        <w:rPr>
          <w:lang w:val="en-US"/>
        </w:rPr>
        <w:fldChar w:fldCharType="end"/>
      </w:r>
      <w:r w:rsidR="00BD3F35" w:rsidRPr="002F4A08">
        <w:rPr>
          <w:lang w:val="en-US"/>
        </w:rPr>
        <w:t xml:space="preserve"> shows how Eurostat currently compiles its input-output tables according to the ESA 95 guidelines. This variant is called variant ‘E’ for ‘Eurostat’.</w:t>
      </w:r>
    </w:p>
    <w:p w:rsidR="00BD3F35" w:rsidRPr="002F4A08" w:rsidRDefault="00BD3F35" w:rsidP="00E51779">
      <w:pPr>
        <w:rPr>
          <w:lang w:val="en-US"/>
        </w:rPr>
      </w:pPr>
      <w:r w:rsidRPr="002F4A08">
        <w:rPr>
          <w:lang w:val="en-US"/>
        </w:rPr>
        <w:t>The total supply of a commodity is equal to domestic production plus imports of similar commodities:</w:t>
      </w:r>
    </w:p>
    <w:p w:rsidR="00BD3F35" w:rsidRPr="002F4A08" w:rsidRDefault="00BD3F35" w:rsidP="00E51779">
      <w:pPr>
        <w:rPr>
          <w:lang w:val="en-US"/>
        </w:rPr>
      </w:pPr>
      <w:r w:rsidRPr="002F4A08">
        <w:rPr>
          <w:lang w:val="en-US"/>
        </w:rPr>
        <w:tab/>
      </w:r>
      <w:r w:rsidRPr="002F4A08">
        <w:rPr>
          <w:position w:val="-6"/>
          <w:lang w:val="en-US"/>
        </w:rPr>
        <w:object w:dxaOrig="1080" w:dyaOrig="320">
          <v:shape id="_x0000_i1171" type="#_x0000_t75" style="width:54pt;height:15.75pt" o:ole="">
            <v:imagedata r:id="rId251" o:title=""/>
          </v:shape>
          <o:OLEObject Type="Embed" ProgID="Equation.3" ShapeID="_x0000_i1171" DrawAspect="Content" ObjectID="_1397289256" r:id="rId252"/>
        </w:object>
      </w:r>
      <w:r w:rsidR="00911CA8" w:rsidRPr="002F4A08">
        <w:rPr>
          <w:lang w:val="en-US"/>
        </w:rPr>
        <w:tab/>
        <w:t>(11</w:t>
      </w:r>
      <w:r w:rsidRPr="002F4A08">
        <w:rPr>
          <w:lang w:val="en-US"/>
        </w:rPr>
        <w:t>)</w:t>
      </w:r>
    </w:p>
    <w:p w:rsidR="00BD3F35" w:rsidRPr="002F4A08" w:rsidRDefault="00BD3F35" w:rsidP="00E51779">
      <w:pPr>
        <w:rPr>
          <w:lang w:val="en-US"/>
        </w:rPr>
      </w:pPr>
      <w:r w:rsidRPr="002F4A08">
        <w:rPr>
          <w:lang w:val="en-US"/>
        </w:rPr>
        <w:t xml:space="preserve">The row vector </w:t>
      </w:r>
      <w:r w:rsidRPr="002F4A08">
        <w:rPr>
          <w:b/>
          <w:lang w:val="en-US"/>
        </w:rPr>
        <w:t>m</w:t>
      </w:r>
      <w:r w:rsidRPr="002F4A08">
        <w:rPr>
          <w:b/>
          <w:vertAlign w:val="superscript"/>
          <w:lang w:val="en-US"/>
        </w:rPr>
        <w:t>E</w:t>
      </w:r>
      <w:r w:rsidRPr="002F4A08">
        <w:rPr>
          <w:lang w:val="en-US"/>
        </w:rPr>
        <w:t xml:space="preserve"> refers to imports by commodity. </w:t>
      </w:r>
      <w:r w:rsidRPr="002F4A08">
        <w:rPr>
          <w:b/>
          <w:lang w:val="en-US"/>
        </w:rPr>
        <w:t>m</w:t>
      </w:r>
      <w:r w:rsidRPr="002F4A08">
        <w:rPr>
          <w:b/>
          <w:vertAlign w:val="superscript"/>
          <w:lang w:val="en-US"/>
        </w:rPr>
        <w:t>E</w:t>
      </w:r>
      <w:r w:rsidRPr="002F4A08">
        <w:rPr>
          <w:lang w:val="en-US"/>
        </w:rPr>
        <w:t xml:space="preserve"> stands for ‘vector of imports constructed the Eurostat way’. </w:t>
      </w:r>
      <w:r w:rsidRPr="002F4A08">
        <w:rPr>
          <w:position w:val="-14"/>
          <w:lang w:val="en-US"/>
        </w:rPr>
        <w:object w:dxaOrig="360" w:dyaOrig="400">
          <v:shape id="_x0000_i1172" type="#_x0000_t75" style="width:18pt;height:20.25pt" o:ole="">
            <v:imagedata r:id="rId253" o:title=""/>
          </v:shape>
          <o:OLEObject Type="Embed" ProgID="Equation.3" ShapeID="_x0000_i1172" DrawAspect="Content" ObjectID="_1397289257" r:id="rId254"/>
        </w:object>
      </w:r>
      <w:r w:rsidRPr="002F4A08">
        <w:rPr>
          <w:lang w:val="en-US"/>
        </w:rPr>
        <w:t xml:space="preserve">is the value of imports of commodity </w:t>
      </w:r>
      <w:r w:rsidRPr="002F4A08">
        <w:rPr>
          <w:i/>
          <w:lang w:val="en-US"/>
        </w:rPr>
        <w:t>j</w:t>
      </w:r>
      <w:r w:rsidRPr="002F4A08">
        <w:rPr>
          <w:lang w:val="en-US"/>
        </w:rPr>
        <w:t xml:space="preserve">, not the value of products imported by industry </w:t>
      </w:r>
      <w:r w:rsidRPr="002F4A08">
        <w:rPr>
          <w:i/>
          <w:lang w:val="en-US"/>
        </w:rPr>
        <w:t>j</w:t>
      </w:r>
      <w:r w:rsidRPr="002F4A08">
        <w:rPr>
          <w:lang w:val="en-US"/>
        </w:rPr>
        <w:t xml:space="preserve">. This is a crucial difference, as we will see below. Mathematically, </w:t>
      </w:r>
      <w:r w:rsidRPr="002F4A08">
        <w:rPr>
          <w:b/>
          <w:lang w:val="en-US"/>
        </w:rPr>
        <w:t>m</w:t>
      </w:r>
      <w:r w:rsidRPr="002F4A08">
        <w:rPr>
          <w:b/>
          <w:vertAlign w:val="superscript"/>
          <w:lang w:val="en-US"/>
        </w:rPr>
        <w:t>E</w:t>
      </w:r>
      <w:r w:rsidRPr="002F4A08">
        <w:rPr>
          <w:lang w:val="en-US"/>
        </w:rPr>
        <w:t xml:space="preserve"> is the transpose of </w:t>
      </w:r>
      <w:r w:rsidRPr="002F4A08">
        <w:rPr>
          <w:b/>
          <w:lang w:val="en-US"/>
        </w:rPr>
        <w:t>m</w:t>
      </w:r>
      <w:r w:rsidRPr="002F4A08">
        <w:rPr>
          <w:b/>
          <w:vertAlign w:val="superscript"/>
          <w:lang w:val="en-US"/>
        </w:rPr>
        <w:t>A</w:t>
      </w:r>
      <w:r w:rsidRPr="002F4A08">
        <w:rPr>
          <w:lang w:val="en-US"/>
        </w:rPr>
        <w:t>.</w:t>
      </w:r>
    </w:p>
    <w:p w:rsidR="00BD3F35" w:rsidRPr="002F4A08" w:rsidRDefault="00BD3F35" w:rsidP="00E51779">
      <w:pPr>
        <w:rPr>
          <w:lang w:val="en-US"/>
        </w:rPr>
      </w:pPr>
      <w:r w:rsidRPr="002F4A08">
        <w:rPr>
          <w:lang w:val="en-US"/>
        </w:rPr>
        <w:t xml:space="preserve">At the core of Variant E is the interindustry transactions matrix </w:t>
      </w:r>
      <w:r w:rsidRPr="002F4A08">
        <w:rPr>
          <w:b/>
          <w:lang w:val="en-US"/>
        </w:rPr>
        <w:t>Z</w:t>
      </w:r>
      <w:r w:rsidRPr="002F4A08">
        <w:rPr>
          <w:lang w:val="en-US"/>
        </w:rPr>
        <w:t xml:space="preserve">, as in variant A. Taking column sums of this matrix yields total intermediate consumption by industry, denoted by </w:t>
      </w:r>
      <w:r w:rsidRPr="002F4A08">
        <w:rPr>
          <w:b/>
          <w:lang w:val="en-US"/>
        </w:rPr>
        <w:t>z</w:t>
      </w:r>
      <w:r w:rsidRPr="002F4A08">
        <w:rPr>
          <w:lang w:val="en-US"/>
        </w:rPr>
        <w:t xml:space="preserve">. Taking row sums yield total intermediate consumption by product, denoted by </w:t>
      </w:r>
      <w:r w:rsidRPr="002F4A08">
        <w:rPr>
          <w:b/>
          <w:lang w:val="en-US"/>
        </w:rPr>
        <w:t>r</w:t>
      </w:r>
      <w:r w:rsidRPr="002F4A08">
        <w:rPr>
          <w:lang w:val="en-US"/>
        </w:rPr>
        <w:t xml:space="preserve">. By definition, summing </w:t>
      </w:r>
      <w:r w:rsidRPr="002F4A08">
        <w:rPr>
          <w:b/>
          <w:lang w:val="en-US"/>
        </w:rPr>
        <w:t>z</w:t>
      </w:r>
      <w:r w:rsidRPr="002F4A08">
        <w:rPr>
          <w:lang w:val="en-US"/>
        </w:rPr>
        <w:t xml:space="preserve"> over </w:t>
      </w:r>
      <w:r w:rsidRPr="002F4A08">
        <w:rPr>
          <w:i/>
          <w:lang w:val="en-US"/>
        </w:rPr>
        <w:t>j</w:t>
      </w:r>
      <w:r w:rsidRPr="002F4A08">
        <w:rPr>
          <w:lang w:val="en-US"/>
        </w:rPr>
        <w:t xml:space="preserve"> must yield the same result as summing </w:t>
      </w:r>
      <w:r w:rsidRPr="002F4A08">
        <w:rPr>
          <w:b/>
          <w:lang w:val="en-US"/>
        </w:rPr>
        <w:t>r</w:t>
      </w:r>
      <w:r w:rsidRPr="002F4A08">
        <w:rPr>
          <w:lang w:val="en-US"/>
        </w:rPr>
        <w:t xml:space="preserve"> over </w:t>
      </w:r>
      <w:r w:rsidRPr="002F4A08">
        <w:rPr>
          <w:i/>
          <w:lang w:val="en-US"/>
        </w:rPr>
        <w:t>i</w:t>
      </w:r>
      <w:r w:rsidRPr="002F4A08">
        <w:rPr>
          <w:lang w:val="en-US"/>
        </w:rPr>
        <w:t xml:space="preserve">, so </w:t>
      </w:r>
      <w:r w:rsidRPr="002F4A08">
        <w:rPr>
          <w:position w:val="-4"/>
          <w:lang w:val="en-US"/>
        </w:rPr>
        <w:object w:dxaOrig="560" w:dyaOrig="200">
          <v:shape id="_x0000_i1173" type="#_x0000_t75" style="width:27.75pt;height:9.75pt" o:ole="">
            <v:imagedata r:id="rId61" o:title=""/>
          </v:shape>
          <o:OLEObject Type="Embed" ProgID="Equation.3" ShapeID="_x0000_i1173" DrawAspect="Content" ObjectID="_1397289258" r:id="rId255"/>
        </w:object>
      </w:r>
      <w:r w:rsidRPr="002F4A08">
        <w:rPr>
          <w:lang w:val="en-US"/>
        </w:rPr>
        <w:t xml:space="preserve"> (but </w:t>
      </w:r>
      <w:r w:rsidRPr="002F4A08">
        <w:rPr>
          <w:position w:val="-4"/>
          <w:lang w:val="en-US"/>
        </w:rPr>
        <w:object w:dxaOrig="560" w:dyaOrig="200">
          <v:shape id="_x0000_i1174" type="#_x0000_t75" style="width:27.75pt;height:9.75pt" o:ole="">
            <v:imagedata r:id="rId63" o:title=""/>
          </v:shape>
          <o:OLEObject Type="Embed" ProgID="Equation.3" ShapeID="_x0000_i1174" DrawAspect="Content" ObjectID="_1397289259" r:id="rId256"/>
        </w:object>
      </w:r>
      <w:r w:rsidRPr="002F4A08">
        <w:rPr>
          <w:lang w:val="en-US"/>
        </w:rPr>
        <w:t xml:space="preserve"> will usually not be true; it is possible but extremely unlikely).</w:t>
      </w:r>
    </w:p>
    <w:p w:rsidR="00BD3F35" w:rsidRPr="002F4A08" w:rsidRDefault="00BD3F35" w:rsidP="00E51779">
      <w:pPr>
        <w:rPr>
          <w:lang w:val="en-US"/>
        </w:rPr>
      </w:pPr>
      <w:r w:rsidRPr="002F4A08">
        <w:rPr>
          <w:lang w:val="en-US"/>
        </w:rPr>
        <w:t>Total final use is defined as the sum of domestic final use and exports:</w:t>
      </w:r>
    </w:p>
    <w:p w:rsidR="00BD3F35" w:rsidRPr="002F4A08" w:rsidRDefault="00BD3F35" w:rsidP="00E51779">
      <w:pPr>
        <w:rPr>
          <w:lang w:val="en-US"/>
        </w:rPr>
      </w:pPr>
      <w:r w:rsidRPr="002F4A08">
        <w:rPr>
          <w:lang w:val="en-US"/>
        </w:rPr>
        <w:tab/>
      </w:r>
      <w:r w:rsidRPr="002F4A08">
        <w:rPr>
          <w:position w:val="-6"/>
          <w:lang w:val="en-US"/>
        </w:rPr>
        <w:object w:dxaOrig="920" w:dyaOrig="279">
          <v:shape id="_x0000_i1175" type="#_x0000_t75" style="width:45.75pt;height:14.25pt" o:ole="">
            <v:imagedata r:id="rId257" o:title=""/>
          </v:shape>
          <o:OLEObject Type="Embed" ProgID="Equation.3" ShapeID="_x0000_i1175" DrawAspect="Content" ObjectID="_1397289260" r:id="rId258"/>
        </w:object>
      </w:r>
      <w:r w:rsidR="00911CA8" w:rsidRPr="002F4A08">
        <w:rPr>
          <w:lang w:val="en-US"/>
        </w:rPr>
        <w:tab/>
        <w:t>(12</w:t>
      </w:r>
      <w:r w:rsidRPr="002F4A08">
        <w:rPr>
          <w:lang w:val="en-US"/>
        </w:rPr>
        <w:t>)</w:t>
      </w:r>
    </w:p>
    <w:p w:rsidR="00BD3F35" w:rsidRPr="002F4A08" w:rsidRDefault="00BD3F35" w:rsidP="00E51779">
      <w:pPr>
        <w:rPr>
          <w:lang w:val="en-US"/>
        </w:rPr>
      </w:pPr>
      <w:r w:rsidRPr="002F4A08">
        <w:rPr>
          <w:lang w:val="en-US"/>
        </w:rPr>
        <w:t>Total use is equal to the sum of intermediate use (by product) and final use:</w:t>
      </w:r>
    </w:p>
    <w:p w:rsidR="00BD3F35" w:rsidRPr="002F4A08" w:rsidRDefault="00BD3F35" w:rsidP="00E51779">
      <w:pPr>
        <w:rPr>
          <w:lang w:val="en-US"/>
        </w:rPr>
      </w:pPr>
      <w:r w:rsidRPr="002F4A08">
        <w:rPr>
          <w:lang w:val="en-US"/>
        </w:rPr>
        <w:lastRenderedPageBreak/>
        <w:tab/>
      </w:r>
      <w:r w:rsidRPr="002F4A08">
        <w:rPr>
          <w:position w:val="-6"/>
          <w:lang w:val="en-US"/>
        </w:rPr>
        <w:object w:dxaOrig="920" w:dyaOrig="279">
          <v:shape id="_x0000_i1176" type="#_x0000_t75" style="width:45.75pt;height:14.25pt" o:ole="">
            <v:imagedata r:id="rId259" o:title=""/>
          </v:shape>
          <o:OLEObject Type="Embed" ProgID="Equation.3" ShapeID="_x0000_i1176" DrawAspect="Content" ObjectID="_1397289261" r:id="rId260"/>
        </w:object>
      </w:r>
      <w:r w:rsidR="00911CA8" w:rsidRPr="002F4A08">
        <w:rPr>
          <w:lang w:val="en-US"/>
        </w:rPr>
        <w:tab/>
        <w:t>(13</w:t>
      </w:r>
      <w:r w:rsidRPr="002F4A08">
        <w:rPr>
          <w:lang w:val="en-US"/>
        </w:rPr>
        <w:t>)</w:t>
      </w:r>
    </w:p>
    <w:p w:rsidR="00BD3F35" w:rsidRPr="002F4A08" w:rsidRDefault="00BD3F35" w:rsidP="00E51779">
      <w:pPr>
        <w:rPr>
          <w:lang w:val="en-US"/>
        </w:rPr>
      </w:pPr>
      <w:r w:rsidRPr="002F4A08">
        <w:rPr>
          <w:lang w:val="en-US"/>
        </w:rPr>
        <w:t>Finally, it is true by definition that</w:t>
      </w:r>
    </w:p>
    <w:p w:rsidR="00BD3F35" w:rsidRPr="002F4A08" w:rsidRDefault="00BD3F35" w:rsidP="00E51779">
      <w:pPr>
        <w:rPr>
          <w:lang w:val="en-US"/>
        </w:rPr>
      </w:pPr>
      <w:r w:rsidRPr="002F4A08">
        <w:rPr>
          <w:lang w:val="en-US"/>
        </w:rPr>
        <w:tab/>
      </w:r>
      <w:r w:rsidRPr="002F4A08">
        <w:rPr>
          <w:position w:val="-6"/>
          <w:lang w:val="en-US"/>
        </w:rPr>
        <w:object w:dxaOrig="560" w:dyaOrig="220">
          <v:shape id="_x0000_i1177" type="#_x0000_t75" style="width:27.75pt;height:11.25pt" o:ole="">
            <v:imagedata r:id="rId261" o:title=""/>
          </v:shape>
          <o:OLEObject Type="Embed" ProgID="Equation.3" ShapeID="_x0000_i1177" DrawAspect="Content" ObjectID="_1397289262" r:id="rId262"/>
        </w:object>
      </w:r>
      <w:r w:rsidR="00911CA8" w:rsidRPr="002F4A08">
        <w:rPr>
          <w:lang w:val="en-US"/>
        </w:rPr>
        <w:tab/>
        <w:t>(14</w:t>
      </w:r>
      <w:r w:rsidRPr="002F4A08">
        <w:rPr>
          <w:lang w:val="en-US"/>
        </w:rPr>
        <w:t>)</w:t>
      </w:r>
    </w:p>
    <w:p w:rsidR="00BD3F35" w:rsidRPr="002F4A08" w:rsidRDefault="00BD3F35" w:rsidP="00E51779">
      <w:pPr>
        <w:rPr>
          <w:lang w:val="en-US"/>
        </w:rPr>
      </w:pPr>
      <w:r w:rsidRPr="002F4A08">
        <w:rPr>
          <w:lang w:val="en-US"/>
        </w:rPr>
        <w:t xml:space="preserve">Thus, the IOT is symmetric in the sense that </w:t>
      </w:r>
      <w:r w:rsidRPr="002F4A08">
        <w:rPr>
          <w:position w:val="-10"/>
          <w:lang w:val="en-US"/>
        </w:rPr>
        <w:object w:dxaOrig="1100" w:dyaOrig="320">
          <v:shape id="_x0000_i1178" type="#_x0000_t75" style="width:54.75pt;height:15.75pt" o:ole="">
            <v:imagedata r:id="rId263" o:title=""/>
          </v:shape>
          <o:OLEObject Type="Embed" ProgID="Equation.3" ShapeID="_x0000_i1178" DrawAspect="Content" ObjectID="_1397289263" r:id="rId264"/>
        </w:object>
      </w:r>
      <w:r w:rsidRPr="002F4A08">
        <w:rPr>
          <w:lang w:val="en-US"/>
        </w:rPr>
        <w:t xml:space="preserve">when </w:t>
      </w:r>
      <w:r w:rsidRPr="002F4A08">
        <w:rPr>
          <w:position w:val="-10"/>
          <w:lang w:val="en-US"/>
        </w:rPr>
        <w:object w:dxaOrig="520" w:dyaOrig="300">
          <v:shape id="_x0000_i1179" type="#_x0000_t75" style="width:26.25pt;height:15pt" o:ole="">
            <v:imagedata r:id="rId265" o:title=""/>
          </v:shape>
          <o:OLEObject Type="Embed" ProgID="Equation.3" ShapeID="_x0000_i1179" DrawAspect="Content" ObjectID="_1397289264" r:id="rId266"/>
        </w:object>
      </w:r>
      <w:r w:rsidRPr="002F4A08">
        <w:rPr>
          <w:lang w:val="en-US"/>
        </w:rPr>
        <w:t>.</w:t>
      </w:r>
    </w:p>
    <w:p w:rsidR="00CE4B6B" w:rsidRPr="002F4A08" w:rsidRDefault="00CE4B6B" w:rsidP="00E51779">
      <w:pPr>
        <w:rPr>
          <w:rFonts w:eastAsia="Times New Roman"/>
          <w:lang w:val="en-US"/>
        </w:rPr>
      </w:pPr>
      <w:r w:rsidRPr="002F4A08">
        <w:rPr>
          <w:rFonts w:eastAsia="Times New Roman"/>
          <w:lang w:val="en-US"/>
        </w:rPr>
        <w:t>Finally, which coefficients do we have in variant E? This depends on what we put in the denominator – output or supply. If we put output in the denominator, we are performing exactly the same c</w:t>
      </w:r>
      <w:r w:rsidR="00911CA8" w:rsidRPr="002F4A08">
        <w:rPr>
          <w:rFonts w:eastAsia="Times New Roman"/>
          <w:lang w:val="en-US"/>
        </w:rPr>
        <w:t>alculation as in (7</w:t>
      </w:r>
      <w:r w:rsidRPr="002F4A08">
        <w:rPr>
          <w:rFonts w:eastAsia="Times New Roman"/>
          <w:lang w:val="en-US"/>
        </w:rPr>
        <w:t>). Mathematically:</w:t>
      </w:r>
    </w:p>
    <w:p w:rsidR="00CE4B6B" w:rsidRPr="002F4A08" w:rsidRDefault="00CE4B6B" w:rsidP="00E51779">
      <w:pPr>
        <w:rPr>
          <w:rFonts w:eastAsia="Times New Roman"/>
          <w:lang w:val="en-US"/>
        </w:rPr>
      </w:pPr>
      <w:r w:rsidRPr="002F4A08">
        <w:rPr>
          <w:rFonts w:eastAsia="Times New Roman"/>
          <w:lang w:val="en-US"/>
        </w:rPr>
        <w:tab/>
      </w:r>
      <w:r w:rsidRPr="002F4A08">
        <w:rPr>
          <w:rFonts w:eastAsia="Times New Roman"/>
          <w:position w:val="-32"/>
          <w:lang w:val="en-US"/>
        </w:rPr>
        <w:object w:dxaOrig="1560" w:dyaOrig="740">
          <v:shape id="_x0000_i1180" type="#_x0000_t75" style="width:78pt;height:36.75pt" o:ole="">
            <v:imagedata r:id="rId267" o:title=""/>
          </v:shape>
          <o:OLEObject Type="Embed" ProgID="Equation.3" ShapeID="_x0000_i1180" DrawAspect="Content" ObjectID="_1397289265" r:id="rId268"/>
        </w:object>
      </w:r>
      <w:r w:rsidR="00911CA8" w:rsidRPr="002F4A08">
        <w:rPr>
          <w:rFonts w:eastAsia="Times New Roman"/>
          <w:lang w:val="en-US"/>
        </w:rPr>
        <w:tab/>
        <w:t>(15</w:t>
      </w:r>
      <w:r w:rsidRPr="002F4A08">
        <w:rPr>
          <w:rFonts w:eastAsia="Times New Roman"/>
          <w:lang w:val="en-US"/>
        </w:rPr>
        <w:t>)</w:t>
      </w:r>
    </w:p>
    <w:p w:rsidR="00CE4B6B" w:rsidRPr="002F4A08" w:rsidRDefault="00CE4B6B" w:rsidP="00E51779">
      <w:pPr>
        <w:rPr>
          <w:rFonts w:eastAsia="Times New Roman"/>
          <w:lang w:val="en-US"/>
        </w:rPr>
      </w:pPr>
      <w:r w:rsidRPr="002F4A08">
        <w:rPr>
          <w:rFonts w:eastAsia="Times New Roman"/>
          <w:lang w:val="en-US"/>
        </w:rPr>
        <w:t>Thus, variant E also allows the computation of technological coefficients.</w:t>
      </w:r>
    </w:p>
    <w:p w:rsidR="00CE4B6B" w:rsidRPr="002F4A08" w:rsidRDefault="00CE4B6B" w:rsidP="00E51779">
      <w:pPr>
        <w:rPr>
          <w:rFonts w:eastAsia="Times New Roman"/>
          <w:i/>
          <w:lang w:val="en-US"/>
        </w:rPr>
      </w:pPr>
      <w:r w:rsidRPr="002F4A08">
        <w:rPr>
          <w:rFonts w:eastAsia="Times New Roman"/>
          <w:lang w:val="en-US"/>
        </w:rPr>
        <w:t xml:space="preserve">If we divide </w:t>
      </w:r>
      <w:r w:rsidRPr="002F4A08">
        <w:rPr>
          <w:rFonts w:eastAsia="Times New Roman"/>
          <w:i/>
          <w:lang w:val="en-US"/>
        </w:rPr>
        <w:t>Z</w:t>
      </w:r>
      <w:r w:rsidRPr="002F4A08">
        <w:rPr>
          <w:rFonts w:eastAsia="Times New Roman"/>
          <w:i/>
          <w:vertAlign w:val="subscript"/>
          <w:lang w:val="en-US"/>
        </w:rPr>
        <w:t>i,j</w:t>
      </w:r>
      <w:r w:rsidRPr="002F4A08">
        <w:rPr>
          <w:rFonts w:eastAsia="Times New Roman"/>
          <w:lang w:val="en-US"/>
        </w:rPr>
        <w:t xml:space="preserve"> by </w:t>
      </w:r>
      <w:r w:rsidRPr="002F4A08">
        <w:rPr>
          <w:rFonts w:eastAsia="Times New Roman"/>
          <w:i/>
          <w:lang w:val="en-US"/>
        </w:rPr>
        <w:t>s</w:t>
      </w:r>
      <w:r w:rsidRPr="002F4A08">
        <w:rPr>
          <w:rFonts w:eastAsia="Times New Roman"/>
          <w:i/>
          <w:vertAlign w:val="subscript"/>
          <w:lang w:val="en-US"/>
        </w:rPr>
        <w:t>j</w:t>
      </w:r>
      <w:r w:rsidRPr="002F4A08">
        <w:rPr>
          <w:rFonts w:eastAsia="Times New Roman"/>
          <w:lang w:val="en-US"/>
        </w:rPr>
        <w:t xml:space="preserve">, we get a different kind of coefficients, which we will call </w:t>
      </w:r>
      <w:r w:rsidRPr="002F4A08">
        <w:rPr>
          <w:rFonts w:eastAsia="Times New Roman"/>
          <w:i/>
          <w:lang w:val="en-US"/>
        </w:rPr>
        <w:t>b</w:t>
      </w:r>
      <w:r w:rsidRPr="002F4A08">
        <w:rPr>
          <w:rFonts w:eastAsia="Times New Roman"/>
          <w:i/>
          <w:vertAlign w:val="subscript"/>
          <w:lang w:val="en-US"/>
        </w:rPr>
        <w:t>i,j</w:t>
      </w:r>
      <w:r w:rsidRPr="002F4A08">
        <w:rPr>
          <w:rFonts w:eastAsia="Times New Roman"/>
          <w:lang w:val="en-US"/>
        </w:rPr>
        <w:t>:</w:t>
      </w:r>
    </w:p>
    <w:p w:rsidR="00CE4B6B" w:rsidRPr="002F4A08" w:rsidRDefault="00CE4B6B" w:rsidP="00E51779">
      <w:pPr>
        <w:rPr>
          <w:rFonts w:eastAsia="Times New Roman"/>
          <w:lang w:val="en-US"/>
        </w:rPr>
      </w:pPr>
      <w:r w:rsidRPr="002F4A08">
        <w:rPr>
          <w:rFonts w:eastAsia="Times New Roman"/>
          <w:lang w:val="en-US"/>
        </w:rPr>
        <w:tab/>
      </w:r>
      <w:r w:rsidRPr="002F4A08">
        <w:rPr>
          <w:rFonts w:eastAsia="Times New Roman"/>
          <w:position w:val="-32"/>
          <w:lang w:val="en-US"/>
        </w:rPr>
        <w:object w:dxaOrig="2780" w:dyaOrig="740">
          <v:shape id="_x0000_i1181" type="#_x0000_t75" style="width:138.75pt;height:36.75pt" o:ole="">
            <v:imagedata r:id="rId269" o:title=""/>
          </v:shape>
          <o:OLEObject Type="Embed" ProgID="Equation.3" ShapeID="_x0000_i1181" DrawAspect="Content" ObjectID="_1397289266" r:id="rId270"/>
        </w:object>
      </w:r>
      <w:r w:rsidR="00911CA8" w:rsidRPr="002F4A08">
        <w:rPr>
          <w:rFonts w:eastAsia="Times New Roman"/>
          <w:lang w:val="en-US"/>
        </w:rPr>
        <w:tab/>
        <w:t>(16</w:t>
      </w:r>
      <w:r w:rsidRPr="002F4A08">
        <w:rPr>
          <w:rFonts w:eastAsia="Times New Roman"/>
          <w:lang w:val="en-US"/>
        </w:rPr>
        <w:t>)</w:t>
      </w:r>
    </w:p>
    <w:p w:rsidR="00C00EF1" w:rsidRPr="002F4A08" w:rsidRDefault="00CE4B6B" w:rsidP="00E51779">
      <w:pPr>
        <w:rPr>
          <w:rFonts w:eastAsia="Times New Roman"/>
          <w:lang w:val="en-US"/>
        </w:rPr>
      </w:pPr>
      <w:r w:rsidRPr="002F4A08">
        <w:rPr>
          <w:rFonts w:eastAsia="Times New Roman"/>
          <w:lang w:val="en-US"/>
        </w:rPr>
        <w:t xml:space="preserve">Thus, there is a close relationship between </w:t>
      </w:r>
      <w:r w:rsidRPr="002F4A08">
        <w:rPr>
          <w:rFonts w:eastAsia="Times New Roman"/>
          <w:position w:val="-14"/>
          <w:lang w:val="en-US"/>
        </w:rPr>
        <w:object w:dxaOrig="340" w:dyaOrig="400">
          <v:shape id="_x0000_i1182" type="#_x0000_t75" style="width:17.25pt;height:20.25pt" o:ole="">
            <v:imagedata r:id="rId271" o:title=""/>
          </v:shape>
          <o:OLEObject Type="Embed" ProgID="Equation.3" ShapeID="_x0000_i1182" DrawAspect="Content" ObjectID="_1397289267" r:id="rId272"/>
        </w:object>
      </w:r>
      <w:r w:rsidRPr="002F4A08">
        <w:rPr>
          <w:rFonts w:eastAsia="Times New Roman"/>
          <w:lang w:val="en-US"/>
        </w:rPr>
        <w:t xml:space="preserve"> and the technological coefficient </w:t>
      </w:r>
      <w:r w:rsidRPr="002F4A08">
        <w:rPr>
          <w:rFonts w:eastAsia="Times New Roman"/>
          <w:position w:val="-14"/>
          <w:lang w:val="en-US"/>
        </w:rPr>
        <w:object w:dxaOrig="360" w:dyaOrig="400">
          <v:shape id="_x0000_i1183" type="#_x0000_t75" style="width:18pt;height:20.25pt" o:ole="">
            <v:imagedata r:id="rId273" o:title=""/>
          </v:shape>
          <o:OLEObject Type="Embed" ProgID="Equation.3" ShapeID="_x0000_i1183" DrawAspect="Content" ObjectID="_1397289268" r:id="rId274"/>
        </w:object>
      </w:r>
      <w:r w:rsidRPr="002F4A08">
        <w:rPr>
          <w:rFonts w:eastAsia="Times New Roman"/>
          <w:lang w:val="en-US"/>
        </w:rPr>
        <w:t xml:space="preserve">. The factor of proportionality is </w:t>
      </w:r>
      <w:r w:rsidRPr="002F4A08">
        <w:rPr>
          <w:rFonts w:eastAsia="Times New Roman"/>
          <w:position w:val="-14"/>
          <w:lang w:val="en-US"/>
        </w:rPr>
        <w:object w:dxaOrig="820" w:dyaOrig="380">
          <v:shape id="_x0000_i1184" type="#_x0000_t75" style="width:41.25pt;height:18.75pt" o:ole="">
            <v:imagedata r:id="rId275" o:title=""/>
          </v:shape>
          <o:OLEObject Type="Embed" ProgID="Equation.3" ShapeID="_x0000_i1184" DrawAspect="Content" ObjectID="_1397289269" r:id="rId276"/>
        </w:object>
      </w:r>
      <w:r w:rsidRPr="002F4A08">
        <w:rPr>
          <w:rFonts w:eastAsia="Times New Roman"/>
          <w:lang w:val="en-US"/>
        </w:rPr>
        <w:t xml:space="preserve">. This is the share of total supply of product </w:t>
      </w:r>
      <w:r w:rsidRPr="002F4A08">
        <w:rPr>
          <w:rFonts w:eastAsia="Times New Roman"/>
          <w:i/>
          <w:lang w:val="en-US"/>
        </w:rPr>
        <w:t>j</w:t>
      </w:r>
      <w:r w:rsidRPr="002F4A08">
        <w:rPr>
          <w:rFonts w:eastAsia="Times New Roman"/>
          <w:lang w:val="en-US"/>
        </w:rPr>
        <w:t xml:space="preserve"> which is provided by domestic output </w:t>
      </w:r>
      <w:r w:rsidRPr="002F4A08">
        <w:rPr>
          <w:rFonts w:eastAsia="Times New Roman"/>
          <w:i/>
          <w:lang w:val="en-US"/>
        </w:rPr>
        <w:t>x</w:t>
      </w:r>
      <w:r w:rsidRPr="002F4A08">
        <w:rPr>
          <w:rFonts w:eastAsia="Times New Roman"/>
          <w:i/>
          <w:vertAlign w:val="subscript"/>
          <w:lang w:val="en-US"/>
        </w:rPr>
        <w:t>j</w:t>
      </w:r>
      <w:r w:rsidRPr="002F4A08">
        <w:rPr>
          <w:rFonts w:eastAsia="Times New Roman"/>
          <w:lang w:val="en-US"/>
        </w:rPr>
        <w:t xml:space="preserve">. If the country does not import product </w:t>
      </w:r>
      <w:r w:rsidRPr="002F4A08">
        <w:rPr>
          <w:rFonts w:eastAsia="Times New Roman"/>
          <w:i/>
          <w:lang w:val="en-US"/>
        </w:rPr>
        <w:t>j</w:t>
      </w:r>
      <w:r w:rsidRPr="002F4A08">
        <w:rPr>
          <w:rFonts w:eastAsia="Times New Roman"/>
          <w:lang w:val="en-US"/>
        </w:rPr>
        <w:t xml:space="preserve">, we have </w:t>
      </w:r>
      <w:r w:rsidRPr="002F4A08">
        <w:rPr>
          <w:rFonts w:eastAsia="Times New Roman"/>
          <w:position w:val="-14"/>
          <w:lang w:val="en-US"/>
        </w:rPr>
        <w:object w:dxaOrig="740" w:dyaOrig="380">
          <v:shape id="_x0000_i1185" type="#_x0000_t75" style="width:36.75pt;height:18.75pt" o:ole="">
            <v:imagedata r:id="rId277" o:title=""/>
          </v:shape>
          <o:OLEObject Type="Embed" ProgID="Equation.3" ShapeID="_x0000_i1185" DrawAspect="Content" ObjectID="_1397289270" r:id="rId278"/>
        </w:object>
      </w:r>
      <w:r w:rsidRPr="002F4A08">
        <w:rPr>
          <w:rFonts w:eastAsia="Times New Roman"/>
          <w:lang w:val="en-US"/>
        </w:rPr>
        <w:t xml:space="preserve">. In this case, the two coefficients coincide. Whenever imports of product </w:t>
      </w:r>
      <w:r w:rsidRPr="002F4A08">
        <w:rPr>
          <w:rFonts w:eastAsia="Times New Roman"/>
          <w:i/>
          <w:lang w:val="en-US"/>
        </w:rPr>
        <w:t>j</w:t>
      </w:r>
      <w:r w:rsidRPr="002F4A08">
        <w:rPr>
          <w:rFonts w:eastAsia="Times New Roman"/>
          <w:lang w:val="en-US"/>
        </w:rPr>
        <w:t xml:space="preserve"> are larger than zero, </w:t>
      </w:r>
      <w:r w:rsidRPr="002F4A08">
        <w:rPr>
          <w:rFonts w:eastAsia="Times New Roman"/>
          <w:position w:val="-14"/>
          <w:lang w:val="en-US"/>
        </w:rPr>
        <w:object w:dxaOrig="340" w:dyaOrig="400">
          <v:shape id="_x0000_i1186" type="#_x0000_t75" style="width:17.25pt;height:20.25pt" o:ole="">
            <v:imagedata r:id="rId279" o:title=""/>
          </v:shape>
          <o:OLEObject Type="Embed" ProgID="Equation.3" ShapeID="_x0000_i1186" DrawAspect="Content" ObjectID="_1397289271" r:id="rId280"/>
        </w:object>
      </w:r>
      <w:r w:rsidRPr="002F4A08">
        <w:rPr>
          <w:rFonts w:eastAsia="Times New Roman"/>
          <w:lang w:val="en-US"/>
        </w:rPr>
        <w:t xml:space="preserve"> will be smaller than </w:t>
      </w:r>
      <w:r w:rsidRPr="002F4A08">
        <w:rPr>
          <w:rFonts w:eastAsia="Times New Roman"/>
          <w:position w:val="-14"/>
          <w:lang w:val="en-US"/>
        </w:rPr>
        <w:object w:dxaOrig="360" w:dyaOrig="400">
          <v:shape id="_x0000_i1187" type="#_x0000_t75" style="width:18pt;height:20.25pt" o:ole="">
            <v:imagedata r:id="rId281" o:title=""/>
          </v:shape>
          <o:OLEObject Type="Embed" ProgID="Equation.3" ShapeID="_x0000_i1187" DrawAspect="Content" ObjectID="_1397289272" r:id="rId282"/>
        </w:object>
      </w:r>
      <w:r w:rsidRPr="002F4A08">
        <w:rPr>
          <w:rFonts w:eastAsia="Times New Roman"/>
          <w:lang w:val="en-US"/>
        </w:rPr>
        <w:t xml:space="preserve">. The difference between the two can be interpreted as an indicator of self-sufficiency or import dependence. It is clear, however, that </w:t>
      </w:r>
      <w:r w:rsidRPr="002F4A08">
        <w:rPr>
          <w:rFonts w:eastAsia="Times New Roman"/>
          <w:position w:val="-14"/>
          <w:lang w:val="en-US"/>
        </w:rPr>
        <w:object w:dxaOrig="340" w:dyaOrig="400">
          <v:shape id="_x0000_i1188" type="#_x0000_t75" style="width:17.25pt;height:20.25pt" o:ole="">
            <v:imagedata r:id="rId279" o:title=""/>
          </v:shape>
          <o:OLEObject Type="Embed" ProgID="Equation.3" ShapeID="_x0000_i1188" DrawAspect="Content" ObjectID="_1397289273" r:id="rId283"/>
        </w:object>
      </w:r>
      <w:r w:rsidRPr="002F4A08">
        <w:rPr>
          <w:rFonts w:eastAsia="Times New Roman"/>
          <w:lang w:val="en-US"/>
        </w:rPr>
        <w:t xml:space="preserve"> cannot be interpreted as a technological coefficient. The only technological coefficient is </w:t>
      </w:r>
      <w:r w:rsidRPr="002F4A08">
        <w:rPr>
          <w:rFonts w:eastAsia="Times New Roman"/>
          <w:position w:val="-14"/>
          <w:lang w:val="en-US"/>
        </w:rPr>
        <w:object w:dxaOrig="360" w:dyaOrig="400">
          <v:shape id="_x0000_i1189" type="#_x0000_t75" style="width:18pt;height:20.25pt" o:ole="">
            <v:imagedata r:id="rId284" o:title=""/>
          </v:shape>
          <o:OLEObject Type="Embed" ProgID="Equation.3" ShapeID="_x0000_i1189" DrawAspect="Content" ObjectID="_1397289274" r:id="rId285"/>
        </w:object>
      </w:r>
      <w:r w:rsidRPr="002F4A08">
        <w:rPr>
          <w:rFonts w:eastAsia="Times New Roman"/>
          <w:lang w:val="en-US"/>
        </w:rPr>
        <w:t xml:space="preserve">, which is equal to </w:t>
      </w:r>
      <w:r w:rsidRPr="002F4A08">
        <w:rPr>
          <w:rFonts w:eastAsia="Times New Roman"/>
          <w:position w:val="-14"/>
          <w:lang w:val="en-US"/>
        </w:rPr>
        <w:object w:dxaOrig="360" w:dyaOrig="400">
          <v:shape id="_x0000_i1190" type="#_x0000_t75" style="width:18pt;height:20.25pt" o:ole="">
            <v:imagedata r:id="rId196" o:title=""/>
          </v:shape>
          <o:OLEObject Type="Embed" ProgID="Equation.3" ShapeID="_x0000_i1190" DrawAspect="Content" ObjectID="_1397289275" r:id="rId286"/>
        </w:object>
      </w:r>
      <w:r w:rsidRPr="002F4A08">
        <w:rPr>
          <w:rFonts w:eastAsia="Times New Roman"/>
          <w:lang w:val="en-US"/>
        </w:rPr>
        <w:t>.</w:t>
      </w:r>
      <w:r w:rsidR="00C00EF1" w:rsidRPr="002F4A08">
        <w:rPr>
          <w:rFonts w:eastAsia="Times New Roman"/>
          <w:lang w:val="en-US"/>
        </w:rPr>
        <w:t xml:space="preserve">In the case of variant E SIOTs it is, for example, possible to how much coal was used by providers of electricity and it is also possible how much coal was imported, which makes these tables suitable to to estimate the effects of final demand on resource use </w:t>
      </w:r>
      <w:r w:rsidR="00C00EF1" w:rsidRPr="002F4A08">
        <w:rPr>
          <w:rFonts w:eastAsia="Times New Roman"/>
          <w:b/>
          <w:bCs/>
          <w:lang w:val="en-US"/>
        </w:rPr>
        <w:t>and</w:t>
      </w:r>
      <w:r w:rsidR="00C00EF1" w:rsidRPr="002F4A08">
        <w:rPr>
          <w:rFonts w:eastAsia="Times New Roman"/>
          <w:lang w:val="en-US"/>
        </w:rPr>
        <w:t xml:space="preserve"> domestic/regional employment, value added etc.</w:t>
      </w:r>
    </w:p>
    <w:p w:rsidR="00BD3F35" w:rsidRPr="002F4A08" w:rsidRDefault="00BD3F35" w:rsidP="00BD3F35">
      <w:pPr>
        <w:pStyle w:val="berschrift1"/>
        <w:numPr>
          <w:ilvl w:val="0"/>
          <w:numId w:val="2"/>
        </w:numPr>
        <w:rPr>
          <w:lang w:val="en-US"/>
        </w:rPr>
      </w:pPr>
      <w:r w:rsidRPr="002F4A08">
        <w:rPr>
          <w:lang w:val="en-US"/>
        </w:rPr>
        <w:t>Implications for non-survey methods</w:t>
      </w:r>
    </w:p>
    <w:p w:rsidR="000775C7" w:rsidRPr="002F4A08" w:rsidRDefault="000775C7" w:rsidP="00E51779">
      <w:pPr>
        <w:rPr>
          <w:lang w:val="en-US"/>
        </w:rPr>
      </w:pPr>
      <w:r w:rsidRPr="002F4A08">
        <w:rPr>
          <w:lang w:val="en-US"/>
        </w:rPr>
        <w:t>The very technical discussion of the previous sections has important implications for regional input-output modellers. The reason for this is that regional input-output models are often constructed on the basis of regionalisation methods that adjust the national input-output table to regional conditions by applying mechanistic rules. These methods are laid out in the following</w:t>
      </w:r>
      <w:r w:rsidRPr="002F4A08">
        <w:rPr>
          <w:rStyle w:val="Funotenzeichen"/>
          <w:rFonts w:cstheme="minorHAnsi"/>
          <w:lang w:val="en-US"/>
        </w:rPr>
        <w:footnoteReference w:id="4"/>
      </w:r>
      <w:r w:rsidRPr="002F4A08">
        <w:rPr>
          <w:lang w:val="en-US"/>
        </w:rPr>
        <w:t>.</w:t>
      </w:r>
    </w:p>
    <w:p w:rsidR="000775C7" w:rsidRPr="002F4A08" w:rsidRDefault="000775C7" w:rsidP="00E51779">
      <w:pPr>
        <w:rPr>
          <w:lang w:val="en-US"/>
        </w:rPr>
      </w:pPr>
      <w:r w:rsidRPr="002F4A08">
        <w:rPr>
          <w:lang w:val="en-US"/>
        </w:rPr>
        <w:t xml:space="preserve">A variety of methods is based on a popular concept of regional science, the location quotient (LQ), which is generally interpreted as an indicator of an industry’s relative over- or underrepresentation within a region (compared to the national average). The LQ is computed by using data that happens </w:t>
      </w:r>
      <w:r w:rsidRPr="002F4A08">
        <w:rPr>
          <w:lang w:val="en-US"/>
        </w:rPr>
        <w:lastRenderedPageBreak/>
        <w:t xml:space="preserve">to be available. Preferable is a direct measure of an industry’s relative importance, such as the share of its output in total regional output. If such data are not available (at a satisfactory level of disaggregation), researchers often resort to employment data. The LQ of industry </w:t>
      </w:r>
      <w:r w:rsidRPr="002F4A08">
        <w:rPr>
          <w:i/>
          <w:lang w:val="en-US"/>
        </w:rPr>
        <w:t>j</w:t>
      </w:r>
      <w:r w:rsidRPr="002F4A08">
        <w:rPr>
          <w:lang w:val="en-US"/>
        </w:rPr>
        <w:t xml:space="preserve"> is then computed according to following formula:</w:t>
      </w:r>
    </w:p>
    <w:p w:rsidR="000775C7" w:rsidRPr="002F4A08" w:rsidRDefault="000775C7" w:rsidP="00E51779">
      <w:pPr>
        <w:rPr>
          <w:lang w:val="en-US"/>
        </w:rPr>
      </w:pPr>
      <w:r w:rsidRPr="002F4A08">
        <w:rPr>
          <w:lang w:val="en-US"/>
        </w:rPr>
        <w:tab/>
      </w:r>
      <w:r w:rsidRPr="002F4A08">
        <w:rPr>
          <w:position w:val="-32"/>
          <w:lang w:val="en-US"/>
        </w:rPr>
        <w:object w:dxaOrig="1500" w:dyaOrig="760">
          <v:shape id="_x0000_i1191" type="#_x0000_t75" style="width:75pt;height:38.25pt" o:ole="">
            <v:imagedata r:id="rId287" o:title=""/>
          </v:shape>
          <o:OLEObject Type="Embed" ProgID="Equation.3" ShapeID="_x0000_i1191" DrawAspect="Content" ObjectID="_1397289276" r:id="rId288"/>
        </w:object>
      </w:r>
      <w:r w:rsidRPr="002F4A08">
        <w:rPr>
          <w:lang w:val="en-US"/>
        </w:rPr>
        <w:tab/>
        <w:t>(17)</w:t>
      </w:r>
    </w:p>
    <w:p w:rsidR="000775C7" w:rsidRPr="002F4A08" w:rsidRDefault="000775C7" w:rsidP="00E51779">
      <w:pPr>
        <w:rPr>
          <w:lang w:val="en-US"/>
        </w:rPr>
      </w:pPr>
      <w:r w:rsidRPr="002F4A08">
        <w:rPr>
          <w:lang w:val="en-US"/>
        </w:rPr>
        <w:t xml:space="preserve">In words, the LQ as computed by equation (17) is equal to the share of industry </w:t>
      </w:r>
      <w:r w:rsidRPr="002F4A08">
        <w:rPr>
          <w:i/>
          <w:lang w:val="en-US"/>
        </w:rPr>
        <w:t>j</w:t>
      </w:r>
      <w:r w:rsidRPr="002F4A08">
        <w:rPr>
          <w:lang w:val="en-US"/>
        </w:rPr>
        <w:t xml:space="preserve"> in regional employment divided by the share of industry </w:t>
      </w:r>
      <w:r w:rsidRPr="002F4A08">
        <w:rPr>
          <w:i/>
          <w:lang w:val="en-US"/>
        </w:rPr>
        <w:t>j</w:t>
      </w:r>
      <w:r w:rsidRPr="002F4A08">
        <w:rPr>
          <w:lang w:val="en-US"/>
        </w:rPr>
        <w:t xml:space="preserve"> at the national level. If </w:t>
      </w:r>
      <w:r w:rsidRPr="002F4A08">
        <w:rPr>
          <w:position w:val="-14"/>
          <w:lang w:val="en-US"/>
        </w:rPr>
        <w:object w:dxaOrig="820" w:dyaOrig="380">
          <v:shape id="_x0000_i1192" type="#_x0000_t75" style="width:41.25pt;height:18.75pt" o:ole="">
            <v:imagedata r:id="rId289" o:title=""/>
          </v:shape>
          <o:OLEObject Type="Embed" ProgID="Equation.3" ShapeID="_x0000_i1192" DrawAspect="Content" ObjectID="_1397289277" r:id="rId290"/>
        </w:object>
      </w:r>
      <w:r w:rsidRPr="002F4A08">
        <w:rPr>
          <w:lang w:val="en-US"/>
        </w:rPr>
        <w:t xml:space="preserve"> (i.e. the employment share of industry </w:t>
      </w:r>
      <w:r w:rsidRPr="002F4A08">
        <w:rPr>
          <w:i/>
          <w:lang w:val="en-US"/>
        </w:rPr>
        <w:t>j</w:t>
      </w:r>
      <w:r w:rsidRPr="002F4A08">
        <w:rPr>
          <w:lang w:val="en-US"/>
        </w:rPr>
        <w:t xml:space="preserve"> at the regional level is larger than at the national level) industry </w:t>
      </w:r>
      <w:r w:rsidRPr="002F4A08">
        <w:rPr>
          <w:i/>
          <w:lang w:val="en-US"/>
        </w:rPr>
        <w:t>j</w:t>
      </w:r>
      <w:r w:rsidRPr="002F4A08">
        <w:rPr>
          <w:lang w:val="en-US"/>
        </w:rPr>
        <w:t xml:space="preserve"> is said to be overrepresented. Conversely, if </w:t>
      </w:r>
      <w:r w:rsidRPr="002F4A08">
        <w:rPr>
          <w:position w:val="-14"/>
          <w:lang w:val="en-US"/>
        </w:rPr>
        <w:object w:dxaOrig="820" w:dyaOrig="380">
          <v:shape id="_x0000_i1193" type="#_x0000_t75" style="width:41.25pt;height:18.75pt" o:ole="">
            <v:imagedata r:id="rId291" o:title=""/>
          </v:shape>
          <o:OLEObject Type="Embed" ProgID="Equation.3" ShapeID="_x0000_i1193" DrawAspect="Content" ObjectID="_1397289278" r:id="rId292"/>
        </w:object>
      </w:r>
      <w:r w:rsidRPr="002F4A08">
        <w:rPr>
          <w:lang w:val="en-US"/>
        </w:rPr>
        <w:t xml:space="preserve"> industry </w:t>
      </w:r>
      <w:r w:rsidRPr="002F4A08">
        <w:rPr>
          <w:i/>
          <w:lang w:val="en-US"/>
        </w:rPr>
        <w:t>j</w:t>
      </w:r>
      <w:r w:rsidRPr="002F4A08">
        <w:rPr>
          <w:lang w:val="en-US"/>
        </w:rPr>
        <w:t xml:space="preserve"> is said to be underrepresented. This procedure of describing the economic structure of a region, in comparison with other regions or the national average, has been standard practice in regional science for a long time.</w:t>
      </w:r>
    </w:p>
    <w:p w:rsidR="000775C7" w:rsidRPr="002F4A08" w:rsidRDefault="000775C7" w:rsidP="00E51779">
      <w:pPr>
        <w:rPr>
          <w:lang w:val="en-US"/>
        </w:rPr>
      </w:pPr>
      <w:r w:rsidRPr="002F4A08">
        <w:rPr>
          <w:lang w:val="en-US"/>
        </w:rPr>
        <w:t xml:space="preserve">The LQ has found use in the input-output literature as a tool for constructing regional input-output tables when detailed data is not available for the region to be studied. The idea is to regionalise the national input-output table by applying the LQ as correction factor of the A matrix. In the seminal paper by Schaffer and Chu this is formulated as follows: “A location quotient of less than one means that the region imports some of its needs of output </w:t>
      </w:r>
      <w:r w:rsidRPr="002F4A08">
        <w:rPr>
          <w:i/>
          <w:lang w:val="en-US"/>
        </w:rPr>
        <w:t>i</w:t>
      </w:r>
      <w:r w:rsidRPr="002F4A08">
        <w:rPr>
          <w:lang w:val="en-US"/>
        </w:rPr>
        <w:t xml:space="preserve">. A location quotient greater than one means that the region exports some of output </w:t>
      </w:r>
      <w:r w:rsidRPr="002F4A08">
        <w:rPr>
          <w:i/>
          <w:lang w:val="en-US"/>
        </w:rPr>
        <w:t>i</w:t>
      </w:r>
      <w:r w:rsidRPr="002F4A08">
        <w:rPr>
          <w:lang w:val="en-US"/>
        </w:rPr>
        <w:t xml:space="preserve">” </w:t>
      </w:r>
      <w:r w:rsidR="00662E01" w:rsidRPr="002F4A08">
        <w:rPr>
          <w:lang w:val="en-US"/>
        </w:rPr>
        <w:fldChar w:fldCharType="begin"/>
      </w:r>
      <w:r w:rsidR="0005517B" w:rsidRPr="002F4A08">
        <w:rPr>
          <w:lang w:val="en-US"/>
        </w:rPr>
        <w:instrText xml:space="preserve"> ADDIN EN.CITE &lt;EndNote&gt;&lt;Cite&gt;&lt;Author&gt;Schaffer&lt;/Author&gt;&lt;Year&gt;1969&lt;/Year&gt;&lt;RecNum&gt;588&lt;/RecNum&gt;&lt;Suffix&gt;`, p. 85&lt;/Suffix&gt;&lt;DisplayText&gt;(Schaffer and Chu, 1969, p. 85)&lt;/DisplayText&gt;&lt;record&gt;&lt;rec-number&gt;588&lt;/rec-number&gt;&lt;foreign-keys&gt;&lt;key app="EN" db-id="fsxszs05u5f00setapvp9rzrpww0505fwf9v"&gt;588&lt;/key&gt;&lt;/foreign-keys&gt;&lt;ref-type name="Journal Article"&gt;17&lt;/ref-type&gt;&lt;contributors&gt;&lt;authors&gt;&lt;author&gt;Schaffer, W.A.&lt;/author&gt;&lt;author&gt;Chu, K.&lt;/author&gt;&lt;/authors&gt;&lt;/contributors&gt;&lt;titles&gt;&lt;title&gt;Nonsurvey Techniques for Constructing Regional Interindustry Models&lt;/title&gt;&lt;secondary-title&gt;Papers of the Regional Science Association&lt;/secondary-title&gt;&lt;/titles&gt;&lt;periodical&gt;&lt;full-title&gt;Papers of the Regional Science Association&lt;/full-title&gt;&lt;/periodical&gt;&lt;pages&gt;83-101&lt;/pages&gt;&lt;volume&gt;23&lt;/volume&gt;&lt;dates&gt;&lt;year&gt;1969&lt;/year&gt;&lt;/dates&gt;&lt;urls&gt;&lt;/urls&gt;&lt;/record&gt;&lt;/Cite&gt;&lt;/EndNote&gt;</w:instrText>
      </w:r>
      <w:r w:rsidR="00662E01" w:rsidRPr="002F4A08">
        <w:rPr>
          <w:lang w:val="en-US"/>
        </w:rPr>
        <w:fldChar w:fldCharType="separate"/>
      </w:r>
      <w:r w:rsidR="0005517B" w:rsidRPr="002F4A08">
        <w:rPr>
          <w:noProof/>
          <w:lang w:val="en-US"/>
        </w:rPr>
        <w:t>(</w:t>
      </w:r>
      <w:hyperlink w:anchor="_ENREF_12" w:tooltip="Schaffer, 1969 #588" w:history="1">
        <w:r w:rsidR="00B07F05" w:rsidRPr="002F4A08">
          <w:rPr>
            <w:noProof/>
            <w:lang w:val="en-US"/>
          </w:rPr>
          <w:t>Schaffer and Chu, 1969, p. 85</w:t>
        </w:r>
      </w:hyperlink>
      <w:r w:rsidR="0005517B" w:rsidRPr="002F4A08">
        <w:rPr>
          <w:noProof/>
          <w:lang w:val="en-US"/>
        </w:rPr>
        <w:t>)</w:t>
      </w:r>
      <w:r w:rsidR="00662E01" w:rsidRPr="002F4A08">
        <w:rPr>
          <w:lang w:val="en-US"/>
        </w:rPr>
        <w:fldChar w:fldCharType="end"/>
      </w:r>
      <w:r w:rsidRPr="002F4A08">
        <w:rPr>
          <w:lang w:val="en-US"/>
        </w:rPr>
        <w:t xml:space="preserve">. Following this line of reasoning, Schaffer and Chu then explain what to do when the location quotient is greater or smaller than one: “If </w:t>
      </w:r>
      <w:r w:rsidRPr="002F4A08">
        <w:rPr>
          <w:position w:val="-12"/>
          <w:lang w:val="en-US"/>
        </w:rPr>
        <w:object w:dxaOrig="800" w:dyaOrig="360">
          <v:shape id="_x0000_i1194" type="#_x0000_t75" style="width:39.75pt;height:18pt" o:ole="">
            <v:imagedata r:id="rId293" o:title=""/>
          </v:shape>
          <o:OLEObject Type="Embed" ProgID="Equation.3" ShapeID="_x0000_i1194" DrawAspect="Content" ObjectID="_1397289279" r:id="rId294"/>
        </w:object>
      </w:r>
      <w:r w:rsidRPr="002F4A08">
        <w:rPr>
          <w:lang w:val="en-US"/>
        </w:rPr>
        <w:t xml:space="preserve">, we set </w:t>
      </w:r>
      <w:r w:rsidRPr="002F4A08">
        <w:rPr>
          <w:position w:val="-14"/>
          <w:lang w:val="en-US"/>
        </w:rPr>
        <w:object w:dxaOrig="960" w:dyaOrig="380">
          <v:shape id="_x0000_i1195" type="#_x0000_t75" style="width:48pt;height:18.75pt" o:ole="">
            <v:imagedata r:id="rId295" o:title=""/>
          </v:shape>
          <o:OLEObject Type="Embed" ProgID="Equation.3" ShapeID="_x0000_i1195" DrawAspect="Content" ObjectID="_1397289280" r:id="rId296"/>
        </w:object>
      </w:r>
      <w:r w:rsidRPr="002F4A08">
        <w:rPr>
          <w:lang w:val="en-US"/>
        </w:rPr>
        <w:t xml:space="preserve">, where </w:t>
      </w:r>
      <w:r w:rsidRPr="002F4A08">
        <w:rPr>
          <w:position w:val="-14"/>
          <w:lang w:val="en-US"/>
        </w:rPr>
        <w:object w:dxaOrig="360" w:dyaOrig="380">
          <v:shape id="_x0000_i1196" type="#_x0000_t75" style="width:18pt;height:18.75pt" o:ole="">
            <v:imagedata r:id="rId297" o:title=""/>
          </v:shape>
          <o:OLEObject Type="Embed" ProgID="Equation.3" ShapeID="_x0000_i1196" DrawAspect="Content" ObjectID="_1397289281" r:id="rId298"/>
        </w:object>
      </w:r>
      <w:r w:rsidRPr="002F4A08">
        <w:rPr>
          <w:lang w:val="en-US"/>
        </w:rPr>
        <w:t xml:space="preserve"> is the regional production coefficient (defined as </w:t>
      </w:r>
      <w:r w:rsidRPr="002F4A08">
        <w:rPr>
          <w:position w:val="-14"/>
          <w:lang w:val="en-US"/>
        </w:rPr>
        <w:object w:dxaOrig="740" w:dyaOrig="380">
          <v:shape id="_x0000_i1197" type="#_x0000_t75" style="width:36.75pt;height:18.75pt" o:ole="">
            <v:imagedata r:id="rId299" o:title=""/>
          </v:shape>
          <o:OLEObject Type="Embed" ProgID="Equation.3" ShapeID="_x0000_i1197" DrawAspect="Content" ObjectID="_1397289282" r:id="rId300"/>
        </w:object>
      </w:r>
      <w:r w:rsidRPr="002F4A08">
        <w:rPr>
          <w:lang w:val="en-US"/>
        </w:rPr>
        <w:t xml:space="preserve">) and </w:t>
      </w:r>
      <w:r w:rsidRPr="002F4A08">
        <w:rPr>
          <w:position w:val="-14"/>
          <w:lang w:val="en-US"/>
        </w:rPr>
        <w:object w:dxaOrig="380" w:dyaOrig="380">
          <v:shape id="_x0000_i1198" type="#_x0000_t75" style="width:18.75pt;height:18.75pt" o:ole="">
            <v:imagedata r:id="rId301" o:title=""/>
          </v:shape>
          <o:OLEObject Type="Embed" ProgID="Equation.3" ShapeID="_x0000_i1198" DrawAspect="Content" ObjectID="_1397289283" r:id="rId302"/>
        </w:object>
      </w:r>
      <w:r w:rsidRPr="002F4A08">
        <w:rPr>
          <w:lang w:val="en-US"/>
        </w:rPr>
        <w:t xml:space="preserve"> is the national production coefficient (</w:t>
      </w:r>
      <w:r w:rsidRPr="002F4A08">
        <w:rPr>
          <w:position w:val="-14"/>
          <w:lang w:val="en-US"/>
        </w:rPr>
        <w:object w:dxaOrig="880" w:dyaOrig="380">
          <v:shape id="_x0000_i1199" type="#_x0000_t75" style="width:44.25pt;height:18.75pt" o:ole="">
            <v:imagedata r:id="rId303" o:title=""/>
          </v:shape>
          <o:OLEObject Type="Embed" ProgID="Equation.3" ShapeID="_x0000_i1199" DrawAspect="Content" ObjectID="_1397289284" r:id="rId304"/>
        </w:object>
      </w:r>
      <w:r w:rsidRPr="002F4A08">
        <w:rPr>
          <w:lang w:val="en-US"/>
        </w:rPr>
        <w:t xml:space="preserve">). Knowing regional industry outputs, </w:t>
      </w:r>
      <w:r w:rsidRPr="002F4A08">
        <w:rPr>
          <w:position w:val="-14"/>
          <w:lang w:val="en-US"/>
        </w:rPr>
        <w:object w:dxaOrig="279" w:dyaOrig="380">
          <v:shape id="_x0000_i1200" type="#_x0000_t75" style="width:14.25pt;height:18.75pt" o:ole="">
            <v:imagedata r:id="rId305" o:title=""/>
          </v:shape>
          <o:OLEObject Type="Embed" ProgID="Equation.3" ShapeID="_x0000_i1200" DrawAspect="Content" ObjectID="_1397289285" r:id="rId306"/>
        </w:object>
      </w:r>
      <w:r w:rsidRPr="002F4A08">
        <w:rPr>
          <w:lang w:val="en-US"/>
        </w:rPr>
        <w:t xml:space="preserve">, and having established </w:t>
      </w:r>
      <w:r w:rsidRPr="002F4A08">
        <w:rPr>
          <w:position w:val="-14"/>
          <w:lang w:val="en-US"/>
        </w:rPr>
        <w:object w:dxaOrig="360" w:dyaOrig="380">
          <v:shape id="_x0000_i1201" type="#_x0000_t75" style="width:18pt;height:18.75pt" o:ole="">
            <v:imagedata r:id="rId297" o:title=""/>
          </v:shape>
          <o:OLEObject Type="Embed" ProgID="Equation.3" ShapeID="_x0000_i1201" DrawAspect="Content" ObjectID="_1397289286" r:id="rId307"/>
        </w:object>
      </w:r>
      <w:r w:rsidRPr="002F4A08">
        <w:rPr>
          <w:lang w:val="en-US"/>
        </w:rPr>
        <w:t xml:space="preserve">, we may easily compute regional interindustry flows” </w:t>
      </w:r>
      <w:r w:rsidR="00662E01" w:rsidRPr="002F4A08">
        <w:rPr>
          <w:lang w:val="en-US"/>
        </w:rPr>
        <w:fldChar w:fldCharType="begin"/>
      </w:r>
      <w:r w:rsidR="0005517B" w:rsidRPr="002F4A08">
        <w:rPr>
          <w:lang w:val="en-US"/>
        </w:rPr>
        <w:instrText xml:space="preserve"> ADDIN EN.CITE &lt;EndNote&gt;&lt;Cite&gt;&lt;Author&gt;Schaffer&lt;/Author&gt;&lt;Year&gt;1969&lt;/Year&gt;&lt;RecNum&gt;588&lt;/RecNum&gt;&lt;Suffix&gt;`, p. 85&lt;/Suffix&gt;&lt;DisplayText&gt;(Schaffer and Chu, 1969, p. 85)&lt;/DisplayText&gt;&lt;record&gt;&lt;rec-number&gt;588&lt;/rec-number&gt;&lt;foreign-keys&gt;&lt;key app="EN" db-id="fsxszs05u5f00setapvp9rzrpww0505fwf9v"&gt;588&lt;/key&gt;&lt;/foreign-keys&gt;&lt;ref-type name="Journal Article"&gt;17&lt;/ref-type&gt;&lt;contributors&gt;&lt;authors&gt;&lt;author&gt;Schaffer, W.A.&lt;/author&gt;&lt;author&gt;Chu, K.&lt;/author&gt;&lt;/authors&gt;&lt;/contributors&gt;&lt;titles&gt;&lt;title&gt;Nonsurvey Techniques for Constructing Regional Interindustry Models&lt;/title&gt;&lt;secondary-title&gt;Papers of the Regional Science Association&lt;/secondary-title&gt;&lt;/titles&gt;&lt;periodical&gt;&lt;full-title&gt;Papers of the Regional Science Association&lt;/full-title&gt;&lt;/periodical&gt;&lt;pages&gt;83-101&lt;/pages&gt;&lt;volume&gt;23&lt;/volume&gt;&lt;dates&gt;&lt;year&gt;1969&lt;/year&gt;&lt;/dates&gt;&lt;urls&gt;&lt;/urls&gt;&lt;/record&gt;&lt;/Cite&gt;&lt;/EndNote&gt;</w:instrText>
      </w:r>
      <w:r w:rsidR="00662E01" w:rsidRPr="002F4A08">
        <w:rPr>
          <w:lang w:val="en-US"/>
        </w:rPr>
        <w:fldChar w:fldCharType="separate"/>
      </w:r>
      <w:r w:rsidR="0005517B" w:rsidRPr="002F4A08">
        <w:rPr>
          <w:noProof/>
          <w:lang w:val="en-US"/>
        </w:rPr>
        <w:t>(</w:t>
      </w:r>
      <w:hyperlink w:anchor="_ENREF_12" w:tooltip="Schaffer, 1969 #588" w:history="1">
        <w:r w:rsidR="00B07F05" w:rsidRPr="002F4A08">
          <w:rPr>
            <w:noProof/>
            <w:lang w:val="en-US"/>
          </w:rPr>
          <w:t>Schaffer and Chu, 1969, p. 85</w:t>
        </w:r>
      </w:hyperlink>
      <w:r w:rsidR="0005517B" w:rsidRPr="002F4A08">
        <w:rPr>
          <w:noProof/>
          <w:lang w:val="en-US"/>
        </w:rPr>
        <w:t>)</w:t>
      </w:r>
      <w:r w:rsidR="00662E01" w:rsidRPr="002F4A08">
        <w:rPr>
          <w:lang w:val="en-US"/>
        </w:rPr>
        <w:fldChar w:fldCharType="end"/>
      </w:r>
      <w:r w:rsidRPr="002F4A08">
        <w:rPr>
          <w:lang w:val="en-US"/>
        </w:rPr>
        <w:t xml:space="preserve">. They then propose the following formula for computing </w:t>
      </w:r>
      <w:r w:rsidRPr="002F4A08">
        <w:rPr>
          <w:position w:val="-14"/>
          <w:lang w:val="en-US"/>
        </w:rPr>
        <w:object w:dxaOrig="360" w:dyaOrig="380">
          <v:shape id="_x0000_i1202" type="#_x0000_t75" style="width:18pt;height:18.75pt" o:ole="">
            <v:imagedata r:id="rId308" o:title=""/>
          </v:shape>
          <o:OLEObject Type="Embed" ProgID="Equation.3" ShapeID="_x0000_i1202" DrawAspect="Content" ObjectID="_1397289287" r:id="rId309"/>
        </w:object>
      </w:r>
      <w:r w:rsidRPr="002F4A08">
        <w:rPr>
          <w:lang w:val="en-US"/>
        </w:rPr>
        <w:t>:</w:t>
      </w:r>
    </w:p>
    <w:p w:rsidR="000775C7" w:rsidRPr="002F4A08" w:rsidRDefault="000775C7" w:rsidP="00E51779">
      <w:pPr>
        <w:rPr>
          <w:lang w:val="en-US"/>
        </w:rPr>
      </w:pPr>
      <w:r w:rsidRPr="002F4A08">
        <w:rPr>
          <w:lang w:val="en-US"/>
        </w:rPr>
        <w:tab/>
      </w:r>
      <w:r w:rsidRPr="002F4A08">
        <w:rPr>
          <w:position w:val="-32"/>
          <w:lang w:val="en-US"/>
        </w:rPr>
        <w:object w:dxaOrig="2180" w:dyaOrig="740">
          <v:shape id="_x0000_i1203" type="#_x0000_t75" style="width:108.75pt;height:36.75pt" o:ole="">
            <v:imagedata r:id="rId310" o:title=""/>
          </v:shape>
          <o:OLEObject Type="Embed" ProgID="Equation.3" ShapeID="_x0000_i1203" DrawAspect="Content" ObjectID="_1397289288" r:id="rId311"/>
        </w:object>
      </w:r>
      <w:r w:rsidRPr="002F4A08">
        <w:rPr>
          <w:lang w:val="en-US"/>
        </w:rPr>
        <w:t>.</w:t>
      </w:r>
      <w:r w:rsidRPr="002F4A08">
        <w:rPr>
          <w:lang w:val="en-US"/>
        </w:rPr>
        <w:tab/>
        <w:t>(18)</w:t>
      </w:r>
    </w:p>
    <w:p w:rsidR="000775C7" w:rsidRPr="002F4A08" w:rsidRDefault="000775C7" w:rsidP="00E51779">
      <w:pPr>
        <w:rPr>
          <w:lang w:val="en-US"/>
        </w:rPr>
      </w:pPr>
      <w:r w:rsidRPr="002F4A08">
        <w:rPr>
          <w:lang w:val="en-US"/>
        </w:rPr>
        <w:t xml:space="preserve">In other words, this procedure boils down to assuming that if </w:t>
      </w:r>
      <w:r w:rsidRPr="002F4A08">
        <w:rPr>
          <w:position w:val="-12"/>
          <w:lang w:val="en-US"/>
        </w:rPr>
        <w:object w:dxaOrig="800" w:dyaOrig="360">
          <v:shape id="_x0000_i1204" type="#_x0000_t75" style="width:39.75pt;height:18pt" o:ole="">
            <v:imagedata r:id="rId293" o:title=""/>
          </v:shape>
          <o:OLEObject Type="Embed" ProgID="Equation.3" ShapeID="_x0000_i1204" DrawAspect="Content" ObjectID="_1397289289" r:id="rId312"/>
        </w:object>
      </w:r>
      <w:r w:rsidRPr="002F4A08">
        <w:rPr>
          <w:lang w:val="en-US"/>
        </w:rPr>
        <w:t xml:space="preserve"> the “regional production coefficient”, </w:t>
      </w:r>
      <w:r w:rsidRPr="002F4A08">
        <w:rPr>
          <w:position w:val="-14"/>
          <w:lang w:val="en-US"/>
        </w:rPr>
        <w:object w:dxaOrig="360" w:dyaOrig="380">
          <v:shape id="_x0000_i1205" type="#_x0000_t75" style="width:18pt;height:18.75pt" o:ole="">
            <v:imagedata r:id="rId297" o:title=""/>
          </v:shape>
          <o:OLEObject Type="Embed" ProgID="Equation.3" ShapeID="_x0000_i1205" DrawAspect="Content" ObjectID="_1397289290" r:id="rId313"/>
        </w:object>
      </w:r>
      <w:r w:rsidRPr="002F4A08">
        <w:rPr>
          <w:lang w:val="en-US"/>
        </w:rPr>
        <w:t xml:space="preserve">, is equal to its national counterpart. In the other case, Schaffer and Chu propose the following procedure: “If </w:t>
      </w:r>
      <w:r w:rsidRPr="002F4A08">
        <w:rPr>
          <w:position w:val="-12"/>
          <w:lang w:val="en-US"/>
        </w:rPr>
        <w:object w:dxaOrig="800" w:dyaOrig="360">
          <v:shape id="_x0000_i1206" type="#_x0000_t75" style="width:39.75pt;height:18pt" o:ole="">
            <v:imagedata r:id="rId314" o:title=""/>
          </v:shape>
          <o:OLEObject Type="Embed" ProgID="Equation.3" ShapeID="_x0000_i1206" DrawAspect="Content" ObjectID="_1397289291" r:id="rId315"/>
        </w:object>
      </w:r>
      <w:r w:rsidRPr="002F4A08">
        <w:rPr>
          <w:lang w:val="en-US"/>
        </w:rPr>
        <w:t xml:space="preserve">, local production is assumed to be inadequate to supply local needs – no exports can be made and imports are necessary. The regional production coefficient in row </w:t>
      </w:r>
      <w:r w:rsidRPr="002F4A08">
        <w:rPr>
          <w:i/>
          <w:lang w:val="en-US"/>
        </w:rPr>
        <w:t>i</w:t>
      </w:r>
      <w:r w:rsidRPr="002F4A08">
        <w:rPr>
          <w:lang w:val="en-US"/>
        </w:rPr>
        <w:t xml:space="preserve"> may now be computed as </w:t>
      </w:r>
      <w:r w:rsidRPr="002F4A08">
        <w:rPr>
          <w:position w:val="-14"/>
          <w:lang w:val="en-US"/>
        </w:rPr>
        <w:object w:dxaOrig="1320" w:dyaOrig="380">
          <v:shape id="_x0000_i1207" type="#_x0000_t75" style="width:66pt;height:18.75pt" o:ole="">
            <v:imagedata r:id="rId316" o:title=""/>
          </v:shape>
          <o:OLEObject Type="Embed" ProgID="Equation.3" ShapeID="_x0000_i1207" DrawAspect="Content" ObjectID="_1397289292" r:id="rId317"/>
        </w:object>
      </w:r>
      <w:r w:rsidRPr="002F4A08">
        <w:rPr>
          <w:lang w:val="en-US"/>
        </w:rPr>
        <w:t xml:space="preserve">” </w:t>
      </w:r>
      <w:r w:rsidR="00662E01" w:rsidRPr="002F4A08">
        <w:rPr>
          <w:lang w:val="en-US"/>
        </w:rPr>
        <w:fldChar w:fldCharType="begin"/>
      </w:r>
      <w:r w:rsidR="0005517B" w:rsidRPr="002F4A08">
        <w:rPr>
          <w:lang w:val="en-US"/>
        </w:rPr>
        <w:instrText xml:space="preserve"> ADDIN EN.CITE &lt;EndNote&gt;&lt;Cite&gt;&lt;Author&gt;Schaffer&lt;/Author&gt;&lt;Year&gt;1969&lt;/Year&gt;&lt;RecNum&gt;588&lt;/RecNum&gt;&lt;Suffix&gt;`, p. 86&lt;/Suffix&gt;&lt;DisplayText&gt;(Schaffer and Chu, 1969, p. 86)&lt;/DisplayText&gt;&lt;record&gt;&lt;rec-number&gt;588&lt;/rec-number&gt;&lt;foreign-keys&gt;&lt;key app="EN" db-id="fsxszs05u5f00setapvp9rzrpww0505fwf9v"&gt;588&lt;/key&gt;&lt;/foreign-keys&gt;&lt;ref-type name="Journal Article"&gt;17&lt;/ref-type&gt;&lt;contributors&gt;&lt;authors&gt;&lt;author&gt;Schaffer, W.A.&lt;/author&gt;&lt;author&gt;Chu, K.&lt;/author&gt;&lt;/authors&gt;&lt;/contributors&gt;&lt;titles&gt;&lt;title&gt;Nonsurvey Techniques for Constructing Regional Interindustry Models&lt;/title&gt;&lt;secondary-title&gt;Papers of the Regional Science Association&lt;/secondary-title&gt;&lt;/titles&gt;&lt;periodical&gt;&lt;full-title&gt;Papers of the Regional Science Association&lt;/full-title&gt;&lt;/periodical&gt;&lt;pages&gt;83-101&lt;/pages&gt;&lt;volume&gt;23&lt;/volume&gt;&lt;dates&gt;&lt;year&gt;1969&lt;/year&gt;&lt;/dates&gt;&lt;urls&gt;&lt;/urls&gt;&lt;/record&gt;&lt;/Cite&gt;&lt;/EndNote&gt;</w:instrText>
      </w:r>
      <w:r w:rsidR="00662E01" w:rsidRPr="002F4A08">
        <w:rPr>
          <w:lang w:val="en-US"/>
        </w:rPr>
        <w:fldChar w:fldCharType="separate"/>
      </w:r>
      <w:r w:rsidR="0005517B" w:rsidRPr="002F4A08">
        <w:rPr>
          <w:noProof/>
          <w:lang w:val="en-US"/>
        </w:rPr>
        <w:t>(</w:t>
      </w:r>
      <w:hyperlink w:anchor="_ENREF_12" w:tooltip="Schaffer, 1969 #588" w:history="1">
        <w:r w:rsidR="00B07F05" w:rsidRPr="002F4A08">
          <w:rPr>
            <w:noProof/>
            <w:lang w:val="en-US"/>
          </w:rPr>
          <w:t>Schaffer and Chu, 1969, p. 86</w:t>
        </w:r>
      </w:hyperlink>
      <w:r w:rsidR="0005517B" w:rsidRPr="002F4A08">
        <w:rPr>
          <w:noProof/>
          <w:lang w:val="en-US"/>
        </w:rPr>
        <w:t>)</w:t>
      </w:r>
      <w:r w:rsidR="00662E01" w:rsidRPr="002F4A08">
        <w:rPr>
          <w:lang w:val="en-US"/>
        </w:rPr>
        <w:fldChar w:fldCharType="end"/>
      </w:r>
      <w:r w:rsidRPr="002F4A08">
        <w:rPr>
          <w:lang w:val="en-US"/>
        </w:rPr>
        <w:t>. Thus, in this case the “regional production coefficient” will be smaller than its national counterpart.</w:t>
      </w:r>
    </w:p>
    <w:p w:rsidR="000775C7" w:rsidRPr="002F4A08" w:rsidRDefault="000775C7" w:rsidP="00E51779">
      <w:pPr>
        <w:rPr>
          <w:lang w:val="en-US"/>
        </w:rPr>
      </w:pPr>
      <w:r w:rsidRPr="002F4A08">
        <w:rPr>
          <w:lang w:val="en-US"/>
        </w:rPr>
        <w:t xml:space="preserve">This approach is called the “simple location quotient” (SLQ) method. Since it has a number shortcomings, various alternatives have been proposed. For a survey, see Miller and Blair </w:t>
      </w:r>
      <w:r w:rsidR="00662E01" w:rsidRPr="002F4A08">
        <w:rPr>
          <w:lang w:val="en-US"/>
        </w:rPr>
        <w:fldChar w:fldCharType="begin"/>
      </w:r>
      <w:r w:rsidR="0005517B" w:rsidRPr="002F4A08">
        <w:rPr>
          <w:lang w:val="en-US"/>
        </w:rPr>
        <w:instrText xml:space="preserve"> ADDIN EN.CITE &lt;EndNote&gt;&lt;Cite ExcludeAuth="1"&gt;&lt;Author&gt;Miller&lt;/Author&gt;&lt;Year&gt;2009&lt;/Year&gt;&lt;RecNum&gt;535&lt;/RecNum&gt;&lt;Suffix&gt;`, pp. 349-359&lt;/Suffix&gt;&lt;DisplayText&gt;(2009, pp. 349-359)&lt;/DisplayText&gt;&lt;record&gt;&lt;rec-number&gt;535&lt;/rec-number&gt;&lt;foreign-keys&gt;&lt;key app="EN" db-id="fsxszs05u5f00setapvp9rzrpww0505fwf9v"&gt;535&lt;/key&gt;&lt;/foreign-keys&gt;&lt;ref-type name="Book"&gt;6&lt;/ref-type&gt;&lt;contributors&gt;&lt;authors&gt;&lt;author&gt;Miller, R.E.&lt;/author&gt;&lt;author&gt;Blair, P.D.&lt;/author&gt;&lt;/authors&gt;&lt;/contributors&gt;&lt;titles&gt;&lt;title&gt;Input-Output Analysis: foundations and extensions&lt;/title&gt;&lt;/titles&gt;&lt;edition&gt;2nd&lt;/edition&gt;&lt;dates&gt;&lt;year&gt;2009&lt;/year&gt;&lt;/dates&gt;&lt;pub-location&gt;Cambridge&lt;/pub-location&gt;&lt;publisher&gt;Cambridge University Press&lt;/publisher&gt;&lt;orig-pub&gt;1985&lt;/orig-pub&gt;&lt;urls&gt;&lt;/urls&gt;&lt;/record&gt;&lt;/Cite&gt;&lt;/EndNote&gt;</w:instrText>
      </w:r>
      <w:r w:rsidR="00662E01" w:rsidRPr="002F4A08">
        <w:rPr>
          <w:lang w:val="en-US"/>
        </w:rPr>
        <w:fldChar w:fldCharType="separate"/>
      </w:r>
      <w:r w:rsidR="0005517B" w:rsidRPr="002F4A08">
        <w:rPr>
          <w:noProof/>
          <w:lang w:val="en-US"/>
        </w:rPr>
        <w:t>(</w:t>
      </w:r>
      <w:hyperlink w:anchor="_ENREF_8" w:tooltip="Miller, 2009 #535" w:history="1">
        <w:r w:rsidR="00B07F05" w:rsidRPr="002F4A08">
          <w:rPr>
            <w:noProof/>
            <w:lang w:val="en-US"/>
          </w:rPr>
          <w:t>2009, pp. 349-359</w:t>
        </w:r>
      </w:hyperlink>
      <w:r w:rsidR="0005517B" w:rsidRPr="002F4A08">
        <w:rPr>
          <w:noProof/>
          <w:lang w:val="en-US"/>
        </w:rPr>
        <w:t>)</w:t>
      </w:r>
      <w:r w:rsidR="00662E01" w:rsidRPr="002F4A08">
        <w:rPr>
          <w:lang w:val="en-US"/>
        </w:rPr>
        <w:fldChar w:fldCharType="end"/>
      </w:r>
      <w:r w:rsidRPr="002F4A08">
        <w:rPr>
          <w:lang w:val="en-US"/>
        </w:rPr>
        <w:t>. However, in this paper the focus is not on the particular shortcomings of the SLQ method; it is on the structure of the input-output table and the proper interpretation of the interindustry transactions matrix.</w:t>
      </w:r>
    </w:p>
    <w:p w:rsidR="000775C7" w:rsidRPr="002F4A08" w:rsidRDefault="000775C7" w:rsidP="00E51779">
      <w:pPr>
        <w:rPr>
          <w:lang w:val="en-US"/>
        </w:rPr>
      </w:pPr>
      <w:r w:rsidRPr="002F4A08">
        <w:rPr>
          <w:lang w:val="en-US"/>
        </w:rPr>
        <w:t>The input-output table used by Schaffer and Chu looks like this:</w:t>
      </w:r>
    </w:p>
    <w:p w:rsidR="000775C7" w:rsidRPr="002F4A08" w:rsidRDefault="000775C7" w:rsidP="000775C7">
      <w:pPr>
        <w:pStyle w:val="Tab"/>
        <w:keepNext/>
        <w:pBdr>
          <w:bottom w:val="single" w:sz="4" w:space="1" w:color="auto"/>
        </w:pBdr>
        <w:rPr>
          <w:rFonts w:asciiTheme="minorHAnsi" w:hAnsiTheme="minorHAnsi" w:cstheme="minorHAnsi"/>
          <w:sz w:val="22"/>
          <w:szCs w:val="22"/>
          <w:lang w:val="en-US"/>
        </w:rPr>
      </w:pPr>
      <w:r w:rsidRPr="002F4A08">
        <w:rPr>
          <w:rFonts w:asciiTheme="minorHAnsi" w:hAnsiTheme="minorHAnsi" w:cstheme="minorHAnsi"/>
          <w:sz w:val="22"/>
          <w:szCs w:val="22"/>
          <w:lang w:val="en-US"/>
        </w:rPr>
        <w:lastRenderedPageBreak/>
        <w:t>Table 5: the input-output table of Schaffer and Chu</w:t>
      </w:r>
    </w:p>
    <w:p w:rsidR="000775C7" w:rsidRPr="002F4A08" w:rsidRDefault="000775C7" w:rsidP="000775C7">
      <w:pPr>
        <w:pStyle w:val="Text"/>
        <w:keepNext/>
        <w:rPr>
          <w:lang w:val="en-US"/>
        </w:rPr>
      </w:pPr>
      <w:r w:rsidRPr="002F4A08">
        <w:rPr>
          <w:noProof/>
          <w:lang w:val="de-DE" w:eastAsia="de-DE"/>
        </w:rPr>
        <w:drawing>
          <wp:inline distT="0" distB="0" distL="0" distR="0" wp14:anchorId="4745483D" wp14:editId="47F1373C">
            <wp:extent cx="4457700" cy="2343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457700" cy="2343150"/>
                    </a:xfrm>
                    <a:prstGeom prst="rect">
                      <a:avLst/>
                    </a:prstGeom>
                    <a:noFill/>
                    <a:ln>
                      <a:noFill/>
                    </a:ln>
                  </pic:spPr>
                </pic:pic>
              </a:graphicData>
            </a:graphic>
          </wp:inline>
        </w:drawing>
      </w:r>
    </w:p>
    <w:p w:rsidR="000775C7" w:rsidRPr="002F4A08" w:rsidRDefault="000775C7" w:rsidP="000775C7">
      <w:pPr>
        <w:pStyle w:val="SourceSTEPreprint"/>
        <w:keepNext/>
        <w:rPr>
          <w:lang w:val="en-US"/>
        </w:rPr>
      </w:pPr>
      <w:r w:rsidRPr="002F4A08">
        <w:rPr>
          <w:lang w:val="en-US"/>
        </w:rPr>
        <w:t xml:space="preserve">Source: </w:t>
      </w:r>
      <w:r w:rsidR="00662E01" w:rsidRPr="002F4A08">
        <w:rPr>
          <w:lang w:val="en-US"/>
        </w:rPr>
        <w:fldChar w:fldCharType="begin"/>
      </w:r>
      <w:r w:rsidR="0005517B" w:rsidRPr="002F4A08">
        <w:rPr>
          <w:lang w:val="en-US"/>
        </w:rPr>
        <w:instrText xml:space="preserve"> ADDIN EN.CITE &lt;EndNote&gt;&lt;Cite&gt;&lt;Author&gt;Schaffer&lt;/Author&gt;&lt;Year&gt;1969&lt;/Year&gt;&lt;RecNum&gt;588&lt;/RecNum&gt;&lt;DisplayText&gt;(Schaffer and Chu, 1969)&lt;/DisplayText&gt;&lt;record&gt;&lt;rec-number&gt;588&lt;/rec-number&gt;&lt;foreign-keys&gt;&lt;key app="EN" db-id="fsxszs05u5f00setapvp9rzrpww0505fwf9v"&gt;588&lt;/key&gt;&lt;/foreign-keys&gt;&lt;ref-type name="Journal Article"&gt;17&lt;/ref-type&gt;&lt;contributors&gt;&lt;authors&gt;&lt;author&gt;Schaffer, W.A.&lt;/author&gt;&lt;author&gt;Chu, K.&lt;/author&gt;&lt;/authors&gt;&lt;/contributors&gt;&lt;titles&gt;&lt;title&gt;Nonsurvey Techniques for Constructing Regional Interindustry Models&lt;/title&gt;&lt;secondary-title&gt;Papers of the Regional Science Association&lt;/secondary-title&gt;&lt;/titles&gt;&lt;periodical&gt;&lt;full-title&gt;Papers of the Regional Science Association&lt;/full-title&gt;&lt;/periodical&gt;&lt;pages&gt;83-101&lt;/pages&gt;&lt;volume&gt;23&lt;/volume&gt;&lt;dates&gt;&lt;year&gt;1969&lt;/year&gt;&lt;/dates&gt;&lt;urls&gt;&lt;/urls&gt;&lt;/record&gt;&lt;/Cite&gt;&lt;/EndNote&gt;</w:instrText>
      </w:r>
      <w:r w:rsidR="00662E01" w:rsidRPr="002F4A08">
        <w:rPr>
          <w:lang w:val="en-US"/>
        </w:rPr>
        <w:fldChar w:fldCharType="separate"/>
      </w:r>
      <w:r w:rsidR="0005517B" w:rsidRPr="002F4A08">
        <w:rPr>
          <w:noProof/>
          <w:lang w:val="en-US"/>
        </w:rPr>
        <w:t>(</w:t>
      </w:r>
      <w:hyperlink w:anchor="_ENREF_12" w:tooltip="Schaffer, 1969 #588" w:history="1">
        <w:r w:rsidR="00B07F05" w:rsidRPr="002F4A08">
          <w:rPr>
            <w:noProof/>
            <w:lang w:val="en-US"/>
          </w:rPr>
          <w:t>Schaffer and Chu, 1969</w:t>
        </w:r>
      </w:hyperlink>
      <w:r w:rsidR="0005517B" w:rsidRPr="002F4A08">
        <w:rPr>
          <w:noProof/>
          <w:lang w:val="en-US"/>
        </w:rPr>
        <w:t>)</w:t>
      </w:r>
      <w:r w:rsidR="00662E01" w:rsidRPr="002F4A08">
        <w:rPr>
          <w:lang w:val="en-US"/>
        </w:rPr>
        <w:fldChar w:fldCharType="end"/>
      </w:r>
      <w:r w:rsidRPr="002F4A08">
        <w:rPr>
          <w:lang w:val="en-US"/>
        </w:rPr>
        <w:tab/>
      </w:r>
      <w:r w:rsidRPr="002F4A08">
        <w:rPr>
          <w:lang w:val="en-US"/>
        </w:rPr>
        <w:tab/>
      </w:r>
      <w:r w:rsidRPr="002F4A08">
        <w:rPr>
          <w:lang w:val="en-US"/>
        </w:rPr>
        <w:tab/>
      </w:r>
      <w:r w:rsidRPr="002F4A08">
        <w:rPr>
          <w:lang w:val="en-US"/>
        </w:rPr>
        <w:tab/>
      </w:r>
      <w:r w:rsidRPr="002F4A08">
        <w:rPr>
          <w:lang w:val="en-US"/>
        </w:rPr>
        <w:tab/>
      </w:r>
      <w:r w:rsidRPr="002F4A08">
        <w:rPr>
          <w:lang w:val="en-US"/>
        </w:rPr>
        <w:tab/>
      </w:r>
      <w:r w:rsidR="0003041A" w:rsidRPr="002F4A08">
        <w:rPr>
          <w:lang w:val="en-US"/>
        </w:rPr>
        <w:t xml:space="preserve">         IEK-STE 2012</w:t>
      </w:r>
    </w:p>
    <w:p w:rsidR="000775C7" w:rsidRPr="002F4A08" w:rsidRDefault="000775C7" w:rsidP="00E51779">
      <w:pPr>
        <w:rPr>
          <w:lang w:val="en-US"/>
        </w:rPr>
      </w:pPr>
      <w:r w:rsidRPr="002F4A08">
        <w:rPr>
          <w:lang w:val="en-US"/>
        </w:rPr>
        <w:t xml:space="preserve">Obviously, this table is of the SIOT Variant B format. This means that, for example, </w:t>
      </w:r>
      <w:r w:rsidRPr="002F4A08">
        <w:rPr>
          <w:position w:val="-10"/>
          <w:lang w:val="en-US"/>
        </w:rPr>
        <w:object w:dxaOrig="300" w:dyaOrig="340">
          <v:shape id="_x0000_i1208" type="#_x0000_t75" style="width:15pt;height:17.25pt" o:ole="">
            <v:imagedata r:id="rId319" o:title=""/>
          </v:shape>
          <o:OLEObject Type="Embed" ProgID="Equation.3" ShapeID="_x0000_i1208" DrawAspect="Content" ObjectID="_1397289293" r:id="rId320"/>
        </w:object>
      </w:r>
      <w:r w:rsidRPr="002F4A08">
        <w:rPr>
          <w:lang w:val="en-US"/>
        </w:rPr>
        <w:t xml:space="preserve"> must be interpreted as “intermediate products imported for use by industry 1”. It must </w:t>
      </w:r>
      <w:r w:rsidRPr="002F4A08">
        <w:rPr>
          <w:i/>
          <w:lang w:val="en-US"/>
        </w:rPr>
        <w:t>not</w:t>
      </w:r>
      <w:r w:rsidRPr="002F4A08">
        <w:rPr>
          <w:lang w:val="en-US"/>
        </w:rPr>
        <w:t xml:space="preserve"> be interpreted as “imported products of type 1” (that would be the correct interpretation for Variant E tables). Thus, the reasoning behind the SLQ method (and, as remains to be shown, that of all other LQ methods) is based on an input-output table of the SIOT Variant B layout. The purpose of the present paper is to convince you, the reader, that this has important implications for those who work with other variants of the SIOT.</w:t>
      </w:r>
    </w:p>
    <w:p w:rsidR="000775C7" w:rsidRPr="002F4A08" w:rsidRDefault="000775C7" w:rsidP="00E51779">
      <w:pPr>
        <w:rPr>
          <w:lang w:val="en-US"/>
        </w:rPr>
      </w:pPr>
      <w:r w:rsidRPr="002F4A08">
        <w:rPr>
          <w:lang w:val="en-US"/>
        </w:rPr>
        <w:t xml:space="preserve">In the context of a SIOT Variant B table, the reasoning behind the LQ methods is perfectly valid. Let us assume an extreme case: Industry 1 is coal, and the regional economy happens to have no coal mines at all. Consequently, </w:t>
      </w:r>
      <w:r w:rsidRPr="002F4A08">
        <w:rPr>
          <w:position w:val="-10"/>
          <w:lang w:val="en-US"/>
        </w:rPr>
        <w:object w:dxaOrig="840" w:dyaOrig="340">
          <v:shape id="_x0000_i1209" type="#_x0000_t75" style="width:42pt;height:17.25pt" o:ole="">
            <v:imagedata r:id="rId321" o:title=""/>
          </v:shape>
          <o:OLEObject Type="Embed" ProgID="Equation.3" ShapeID="_x0000_i1209" DrawAspect="Content" ObjectID="_1397289294" r:id="rId322"/>
        </w:object>
      </w:r>
      <w:r w:rsidRPr="002F4A08">
        <w:rPr>
          <w:lang w:val="en-US"/>
        </w:rPr>
        <w:t>. When equation (18) is applied, all entries in row 1 will be zero. If the other industries in the region need coal as an intermediate input, they will import coal, and these imports will be recorded in the row labelled “imports”, but not in the X matrix. Thus, the reasoning of Schaffer and Chu is perfectly valid.</w:t>
      </w:r>
    </w:p>
    <w:p w:rsidR="000775C7" w:rsidRPr="002F4A08" w:rsidRDefault="000775C7" w:rsidP="00E51779">
      <w:pPr>
        <w:rPr>
          <w:lang w:val="en-US"/>
        </w:rPr>
      </w:pPr>
      <w:r w:rsidRPr="002F4A08">
        <w:rPr>
          <w:lang w:val="en-US"/>
        </w:rPr>
        <w:t>However, in the context of a SIOT Variant A or E this is not the case. Let us consider again Table 5, the SIOT Variant E. The application of equation (18) would mean that the first row of the Z matrix contains only zeroes. But the Z matrix in Table 5, unlike the X matrix of Schaffer and Chu, refers not only to intraregional transactions; it refers to the intermediate use of products, including imported products. Setting the first row of the Z matrix equal to zero would mean that none of the regional industries use any coal whatsoever. What’s worse is that the SLQ procedure does not even ensure that the first column of the Z matrix contains only zeroes (but it should, for if industry 1 is not present in the region it does not use any inputs and consequently the first row of the Z matrix must contain only zeroes). This example shows that the SLQ method is not well-suited for regionalising SIOT of Variant A or E.</w:t>
      </w:r>
    </w:p>
    <w:p w:rsidR="000775C7" w:rsidRPr="002F4A08" w:rsidRDefault="000775C7" w:rsidP="00E51779">
      <w:pPr>
        <w:rPr>
          <w:lang w:val="en-US"/>
        </w:rPr>
      </w:pPr>
      <w:r w:rsidRPr="002F4A08">
        <w:rPr>
          <w:lang w:val="en-US"/>
        </w:rPr>
        <w:t>What about other LQ methods? Let us take the CILQ method, which is based on the following formula (again taken from Schaffer and Chu):</w:t>
      </w:r>
    </w:p>
    <w:p w:rsidR="000775C7" w:rsidRPr="002F4A08" w:rsidRDefault="000775C7" w:rsidP="00E51779">
      <w:pPr>
        <w:rPr>
          <w:lang w:val="en-US"/>
        </w:rPr>
      </w:pPr>
      <w:r w:rsidRPr="002F4A08">
        <w:rPr>
          <w:lang w:val="en-US"/>
        </w:rPr>
        <w:lastRenderedPageBreak/>
        <w:tab/>
      </w:r>
      <w:r w:rsidRPr="002F4A08">
        <w:rPr>
          <w:position w:val="-32"/>
          <w:lang w:val="en-US"/>
        </w:rPr>
        <w:object w:dxaOrig="1780" w:dyaOrig="700">
          <v:shape id="_x0000_i1210" type="#_x0000_t75" style="width:89.25pt;height:35.25pt" o:ole="">
            <v:imagedata r:id="rId323" o:title=""/>
          </v:shape>
          <o:OLEObject Type="Embed" ProgID="Equation.3" ShapeID="_x0000_i1210" DrawAspect="Content" ObjectID="_1397289295" r:id="rId324"/>
        </w:object>
      </w:r>
      <w:r w:rsidRPr="002F4A08">
        <w:rPr>
          <w:lang w:val="en-US"/>
        </w:rPr>
        <w:tab/>
        <w:t>(19)</w:t>
      </w:r>
    </w:p>
    <w:p w:rsidR="000775C7" w:rsidRPr="002F4A08" w:rsidRDefault="000775C7" w:rsidP="00E51779">
      <w:pPr>
        <w:rPr>
          <w:lang w:val="en-US"/>
        </w:rPr>
      </w:pPr>
      <w:r w:rsidRPr="002F4A08">
        <w:rPr>
          <w:lang w:val="en-US"/>
        </w:rPr>
        <w:t xml:space="preserve">The CILQ method has the advantage that it does not only consider the relative size of industry </w:t>
      </w:r>
      <w:r w:rsidRPr="002F4A08">
        <w:rPr>
          <w:i/>
          <w:lang w:val="en-US"/>
        </w:rPr>
        <w:t>i</w:t>
      </w:r>
      <w:r w:rsidRPr="002F4A08">
        <w:rPr>
          <w:lang w:val="en-US"/>
        </w:rPr>
        <w:t xml:space="preserve"> but also sets this in relation with industry </w:t>
      </w:r>
      <w:r w:rsidRPr="002F4A08">
        <w:rPr>
          <w:i/>
          <w:lang w:val="en-US"/>
        </w:rPr>
        <w:t>j</w:t>
      </w:r>
      <w:r w:rsidRPr="002F4A08">
        <w:rPr>
          <w:lang w:val="en-US"/>
        </w:rPr>
        <w:t xml:space="preserve">, However, this does not make it immune to the problem identified above. Once again, if industry </w:t>
      </w:r>
      <w:r w:rsidRPr="002F4A08">
        <w:rPr>
          <w:i/>
          <w:lang w:val="en-US"/>
        </w:rPr>
        <w:t>i</w:t>
      </w:r>
      <w:r w:rsidRPr="002F4A08">
        <w:rPr>
          <w:lang w:val="en-US"/>
        </w:rPr>
        <w:t xml:space="preserve"> is coal mining, and coal mining does not exist in the region to be studied, all cells in row </w:t>
      </w:r>
      <w:r w:rsidRPr="002F4A08">
        <w:rPr>
          <w:i/>
          <w:lang w:val="en-US"/>
        </w:rPr>
        <w:t>i</w:t>
      </w:r>
      <w:r w:rsidRPr="002F4A08">
        <w:rPr>
          <w:lang w:val="en-US"/>
        </w:rPr>
        <w:t xml:space="preserve"> will be equal to zero. This is perfectly reasonable for SIOT Variant B, but it does not make sense for SIOT Variant A or E. Thus, the CILQ method is subject to the same limitation as SLQ – it is not applicable for tables of SIOT Variant A or E.</w:t>
      </w:r>
      <w:r w:rsidR="00900E6C" w:rsidRPr="002F4A08">
        <w:rPr>
          <w:lang w:val="en-US"/>
        </w:rPr>
        <w:t xml:space="preserve"> The same is true for recent LQ vairants such as FLQ and AFLQ , as these methods are based on multiplicative adjustments CILQ (and SLQ for elements on the main diagonal)</w:t>
      </w:r>
      <w:r w:rsidR="00B44FD0" w:rsidRPr="002F4A08">
        <w:rPr>
          <w:lang w:val="en-US"/>
        </w:rPr>
        <w:t xml:space="preserve"> and, therefroe, do not solve the problem for variant A and E tables outlined above.</w:t>
      </w:r>
    </w:p>
    <w:p w:rsidR="000775C7" w:rsidRPr="002F4A08" w:rsidRDefault="000775C7" w:rsidP="00E51779">
      <w:pPr>
        <w:rPr>
          <w:lang w:val="en-US"/>
        </w:rPr>
      </w:pPr>
      <w:r w:rsidRPr="002F4A08">
        <w:rPr>
          <w:lang w:val="en-US"/>
        </w:rPr>
        <w:t>What, then, can be done if a regional SIOT of Variant A or E is required? The present paper argues that for these SIOT variants, the preferable regionalisation method should be based on the commodity balance (CB) approach (also known as supply-demand pool approach). This approach is based on the following equation, which is true by definition:</w:t>
      </w:r>
    </w:p>
    <w:p w:rsidR="000775C7" w:rsidRPr="002F4A08" w:rsidRDefault="000775C7" w:rsidP="00E51779">
      <w:pPr>
        <w:rPr>
          <w:lang w:val="en-US"/>
        </w:rPr>
      </w:pPr>
      <w:r w:rsidRPr="002F4A08">
        <w:rPr>
          <w:lang w:val="en-US"/>
        </w:rPr>
        <w:tab/>
      </w:r>
      <w:r w:rsidRPr="002F4A08">
        <w:rPr>
          <w:position w:val="-12"/>
          <w:lang w:val="en-US"/>
        </w:rPr>
        <w:object w:dxaOrig="1600" w:dyaOrig="380">
          <v:shape id="_x0000_i1211" type="#_x0000_t75" style="width:80.25pt;height:18.75pt" o:ole="">
            <v:imagedata r:id="rId325" o:title=""/>
          </v:shape>
          <o:OLEObject Type="Embed" ProgID="Equation.3" ShapeID="_x0000_i1211" DrawAspect="Content" ObjectID="_1397289296" r:id="rId326"/>
        </w:object>
      </w:r>
      <w:r w:rsidRPr="002F4A08">
        <w:rPr>
          <w:lang w:val="en-US"/>
        </w:rPr>
        <w:t>.</w:t>
      </w:r>
      <w:r w:rsidRPr="002F4A08">
        <w:rPr>
          <w:lang w:val="en-US"/>
        </w:rPr>
        <w:tab/>
        <w:t>(20)</w:t>
      </w:r>
    </w:p>
    <w:p w:rsidR="000775C7" w:rsidRPr="002F4A08" w:rsidRDefault="000775C7" w:rsidP="00E51779">
      <w:pPr>
        <w:rPr>
          <w:lang w:val="en-US"/>
        </w:rPr>
      </w:pPr>
      <w:r w:rsidRPr="002F4A08">
        <w:rPr>
          <w:lang w:val="en-US"/>
        </w:rPr>
        <w:t>In words, equation (20) states that the sum of regional production and imports (the supply pool) must be equal to the sum of intermediate use and final use (the demand pool). Final use in turn can be decomposed into regional final use (regional consumption and capital formation) and exports, which yields:</w:t>
      </w:r>
    </w:p>
    <w:p w:rsidR="000775C7" w:rsidRPr="002F4A08" w:rsidRDefault="000775C7" w:rsidP="00E51779">
      <w:pPr>
        <w:rPr>
          <w:lang w:val="en-US"/>
        </w:rPr>
      </w:pPr>
      <w:r w:rsidRPr="002F4A08">
        <w:rPr>
          <w:lang w:val="en-US"/>
        </w:rPr>
        <w:tab/>
      </w:r>
      <w:r w:rsidRPr="002F4A08">
        <w:rPr>
          <w:position w:val="-6"/>
          <w:lang w:val="en-US"/>
        </w:rPr>
        <w:object w:dxaOrig="1719" w:dyaOrig="260">
          <v:shape id="_x0000_i1212" type="#_x0000_t75" style="width:86.25pt;height:12.75pt" o:ole="">
            <v:imagedata r:id="rId327" o:title=""/>
          </v:shape>
          <o:OLEObject Type="Embed" ProgID="Equation.3" ShapeID="_x0000_i1212" DrawAspect="Content" ObjectID="_1397289297" r:id="rId328"/>
        </w:object>
      </w:r>
      <w:r w:rsidR="00911CA8" w:rsidRPr="002F4A08">
        <w:rPr>
          <w:lang w:val="en-US"/>
        </w:rPr>
        <w:t>.</w:t>
      </w:r>
      <w:r w:rsidR="00911CA8" w:rsidRPr="002F4A08">
        <w:rPr>
          <w:lang w:val="en-US"/>
        </w:rPr>
        <w:tab/>
        <w:t>(21</w:t>
      </w:r>
      <w:r w:rsidRPr="002F4A08">
        <w:rPr>
          <w:lang w:val="en-US"/>
        </w:rPr>
        <w:t>)</w:t>
      </w:r>
    </w:p>
    <w:p w:rsidR="000775C7" w:rsidRPr="002F4A08" w:rsidRDefault="000775C7" w:rsidP="00E51779">
      <w:pPr>
        <w:rPr>
          <w:lang w:val="en-US"/>
        </w:rPr>
      </w:pPr>
      <w:r w:rsidRPr="002F4A08">
        <w:rPr>
          <w:lang w:val="en-US"/>
        </w:rPr>
        <w:t xml:space="preserve">Note that the vector </w:t>
      </w:r>
      <w:r w:rsidRPr="002F4A08">
        <w:rPr>
          <w:b/>
          <w:lang w:val="en-US"/>
        </w:rPr>
        <w:t>m</w:t>
      </w:r>
      <w:r w:rsidRPr="002F4A08">
        <w:rPr>
          <w:lang w:val="en-US"/>
        </w:rPr>
        <w:t xml:space="preserve"> which appears in (2</w:t>
      </w:r>
      <w:r w:rsidR="00911CA8" w:rsidRPr="002F4A08">
        <w:rPr>
          <w:lang w:val="en-US"/>
        </w:rPr>
        <w:t>1</w:t>
      </w:r>
      <w:r w:rsidRPr="002F4A08">
        <w:rPr>
          <w:lang w:val="en-US"/>
        </w:rPr>
        <w:t xml:space="preserve">) is the column vector of imports by product as displayed in the SIOT Variant A (Table 3). Its transpose is the row vector </w:t>
      </w:r>
      <w:r w:rsidRPr="002F4A08">
        <w:rPr>
          <w:b/>
          <w:lang w:val="en-US"/>
        </w:rPr>
        <w:t>m</w:t>
      </w:r>
      <w:r w:rsidRPr="002F4A08">
        <w:rPr>
          <w:b/>
          <w:vertAlign w:val="superscript"/>
          <w:lang w:val="en-US"/>
        </w:rPr>
        <w:t>E</w:t>
      </w:r>
      <w:r w:rsidRPr="002F4A08">
        <w:rPr>
          <w:lang w:val="en-US"/>
        </w:rPr>
        <w:t xml:space="preserve"> as displayed in the SIOT Variant E (Table 5). It is very different from the vector of imported intermediate products </w:t>
      </w:r>
      <w:r w:rsidRPr="002F4A08">
        <w:rPr>
          <w:b/>
          <w:lang w:val="en-US"/>
        </w:rPr>
        <w:t>z</w:t>
      </w:r>
      <w:r w:rsidRPr="002F4A08">
        <w:rPr>
          <w:b/>
          <w:vertAlign w:val="superscript"/>
          <w:lang w:val="en-US"/>
        </w:rPr>
        <w:t>m</w:t>
      </w:r>
      <w:r w:rsidRPr="002F4A08">
        <w:rPr>
          <w:lang w:val="en-US"/>
        </w:rPr>
        <w:t xml:space="preserve"> as displayed in the SIOT Variant B (Table 4).</w:t>
      </w:r>
    </w:p>
    <w:p w:rsidR="000775C7" w:rsidRPr="002F4A08" w:rsidRDefault="000775C7" w:rsidP="00E51779">
      <w:pPr>
        <w:rPr>
          <w:lang w:val="en-US"/>
        </w:rPr>
      </w:pPr>
      <w:r w:rsidRPr="002F4A08">
        <w:rPr>
          <w:lang w:val="en-US"/>
        </w:rPr>
        <w:t xml:space="preserve">It is assumed that regional output </w:t>
      </w:r>
      <w:r w:rsidRPr="002F4A08">
        <w:rPr>
          <w:position w:val="-12"/>
          <w:lang w:val="en-US"/>
        </w:rPr>
        <w:object w:dxaOrig="240" w:dyaOrig="360">
          <v:shape id="_x0000_i1213" type="#_x0000_t75" style="width:12pt;height:18pt" o:ole="">
            <v:imagedata r:id="rId329" o:title=""/>
          </v:shape>
          <o:OLEObject Type="Embed" ProgID="Equation.3" ShapeID="_x0000_i1213" DrawAspect="Content" ObjectID="_1397289298" r:id="rId330"/>
        </w:object>
      </w:r>
      <w:r w:rsidRPr="002F4A08">
        <w:rPr>
          <w:lang w:val="en-US"/>
        </w:rPr>
        <w:t xml:space="preserve"> and regional final use </w:t>
      </w:r>
      <w:r w:rsidRPr="002F4A08">
        <w:rPr>
          <w:position w:val="-12"/>
          <w:lang w:val="en-US"/>
        </w:rPr>
        <w:object w:dxaOrig="260" w:dyaOrig="360">
          <v:shape id="_x0000_i1214" type="#_x0000_t75" style="width:12.75pt;height:18pt" o:ole="">
            <v:imagedata r:id="rId331" o:title=""/>
          </v:shape>
          <o:OLEObject Type="Embed" ProgID="Equation.3" ShapeID="_x0000_i1214" DrawAspect="Content" ObjectID="_1397289299" r:id="rId332"/>
        </w:object>
      </w:r>
      <w:r w:rsidRPr="002F4A08">
        <w:rPr>
          <w:lang w:val="en-US"/>
        </w:rPr>
        <w:t xml:space="preserve"> can somehow be estimated or measured. The next task is to estimate </w:t>
      </w:r>
      <w:r w:rsidRPr="002F4A08">
        <w:rPr>
          <w:position w:val="-12"/>
          <w:lang w:val="en-US"/>
        </w:rPr>
        <w:object w:dxaOrig="200" w:dyaOrig="360">
          <v:shape id="_x0000_i1215" type="#_x0000_t75" style="width:9.75pt;height:18pt" o:ole="">
            <v:imagedata r:id="rId333" o:title=""/>
          </v:shape>
          <o:OLEObject Type="Embed" ProgID="Equation.3" ShapeID="_x0000_i1215" DrawAspect="Content" ObjectID="_1397289300" r:id="rId334"/>
        </w:object>
      </w:r>
      <w:r w:rsidRPr="002F4A08">
        <w:rPr>
          <w:lang w:val="en-US"/>
        </w:rPr>
        <w:t>. In order to do this, the “equal technology assumption” is invoked. This means that each industry in the region is assumed to operate with the same technological coefficients as on the national level. The technological coefficients can be calculated from the national inp</w:t>
      </w:r>
      <w:r w:rsidR="00911CA8" w:rsidRPr="002F4A08">
        <w:rPr>
          <w:lang w:val="en-US"/>
        </w:rPr>
        <w:t>ut-output table according to (7</w:t>
      </w:r>
      <w:r w:rsidRPr="002F4A08">
        <w:rPr>
          <w:lang w:val="en-US"/>
        </w:rPr>
        <w:t>) or (1</w:t>
      </w:r>
      <w:r w:rsidR="00911CA8" w:rsidRPr="002F4A08">
        <w:rPr>
          <w:lang w:val="en-US"/>
        </w:rPr>
        <w:t>5</w:t>
      </w:r>
      <w:r w:rsidRPr="002F4A08">
        <w:rPr>
          <w:lang w:val="en-US"/>
        </w:rPr>
        <w:t>)</w:t>
      </w:r>
      <w:r w:rsidRPr="002F4A08">
        <w:rPr>
          <w:rStyle w:val="Funotenzeichen"/>
          <w:rFonts w:cstheme="minorHAnsi"/>
          <w:lang w:val="en-US"/>
        </w:rPr>
        <w:footnoteReference w:id="5"/>
      </w:r>
      <w:r w:rsidRPr="002F4A08">
        <w:rPr>
          <w:lang w:val="en-US"/>
        </w:rPr>
        <w:t xml:space="preserve">. Then, the same equations can be used to compute the Z matrix for the RIOT. Taking the row sum of </w:t>
      </w:r>
      <w:r w:rsidRPr="002F4A08">
        <w:rPr>
          <w:b/>
          <w:lang w:val="en-US"/>
        </w:rPr>
        <w:t>Z</w:t>
      </w:r>
      <w:r w:rsidRPr="002F4A08">
        <w:rPr>
          <w:lang w:val="en-US"/>
        </w:rPr>
        <w:t xml:space="preserve"> yields the vector of intermediate use </w:t>
      </w:r>
      <w:r w:rsidRPr="002F4A08">
        <w:rPr>
          <w:b/>
          <w:lang w:val="en-US"/>
        </w:rPr>
        <w:t>r</w:t>
      </w:r>
      <w:r w:rsidRPr="002F4A08">
        <w:rPr>
          <w:lang w:val="en-US"/>
        </w:rPr>
        <w:t xml:space="preserve">. Thus, the remaining task is to compute estimates for </w:t>
      </w:r>
      <w:r w:rsidRPr="002F4A08">
        <w:rPr>
          <w:position w:val="-12"/>
          <w:lang w:val="en-US"/>
        </w:rPr>
        <w:object w:dxaOrig="220" w:dyaOrig="360">
          <v:shape id="_x0000_i1216" type="#_x0000_t75" style="width:11.25pt;height:18pt" o:ole="">
            <v:imagedata r:id="rId335" o:title=""/>
          </v:shape>
          <o:OLEObject Type="Embed" ProgID="Equation.3" ShapeID="_x0000_i1216" DrawAspect="Content" ObjectID="_1397289301" r:id="rId336"/>
        </w:object>
      </w:r>
      <w:r w:rsidRPr="002F4A08">
        <w:rPr>
          <w:lang w:val="en-US"/>
        </w:rPr>
        <w:t xml:space="preserve"> and </w:t>
      </w:r>
      <w:r w:rsidRPr="002F4A08">
        <w:rPr>
          <w:position w:val="-12"/>
          <w:lang w:val="en-US"/>
        </w:rPr>
        <w:object w:dxaOrig="300" w:dyaOrig="360">
          <v:shape id="_x0000_i1217" type="#_x0000_t75" style="width:15pt;height:18pt" o:ole="">
            <v:imagedata r:id="rId337" o:title=""/>
          </v:shape>
          <o:OLEObject Type="Embed" ProgID="Equation.3" ShapeID="_x0000_i1217" DrawAspect="Content" ObjectID="_1397289302" r:id="rId338"/>
        </w:object>
      </w:r>
      <w:r w:rsidRPr="002F4A08">
        <w:rPr>
          <w:lang w:val="en-US"/>
        </w:rPr>
        <w:t xml:space="preserve">. To do this, the trade balance </w:t>
      </w:r>
      <w:r w:rsidRPr="002F4A08">
        <w:rPr>
          <w:position w:val="-12"/>
          <w:lang w:val="en-US"/>
        </w:rPr>
        <w:object w:dxaOrig="220" w:dyaOrig="360">
          <v:shape id="_x0000_i1218" type="#_x0000_t75" style="width:11.25pt;height:18pt" o:ole="">
            <v:imagedata r:id="rId339" o:title=""/>
          </v:shape>
          <o:OLEObject Type="Embed" ProgID="Equation.3" ShapeID="_x0000_i1218" DrawAspect="Content" ObjectID="_1397289303" r:id="rId340"/>
        </w:object>
      </w:r>
      <w:r w:rsidRPr="002F4A08">
        <w:rPr>
          <w:lang w:val="en-US"/>
        </w:rPr>
        <w:t xml:space="preserve"> has to computed. It is defined as:</w:t>
      </w:r>
    </w:p>
    <w:p w:rsidR="000775C7" w:rsidRPr="002F4A08" w:rsidRDefault="000775C7" w:rsidP="00E51779">
      <w:pPr>
        <w:rPr>
          <w:lang w:val="en-US"/>
        </w:rPr>
      </w:pPr>
      <w:r w:rsidRPr="002F4A08">
        <w:rPr>
          <w:lang w:val="en-US"/>
        </w:rPr>
        <w:tab/>
      </w:r>
      <w:r w:rsidRPr="002F4A08">
        <w:rPr>
          <w:position w:val="-6"/>
          <w:lang w:val="en-US"/>
        </w:rPr>
        <w:object w:dxaOrig="999" w:dyaOrig="260">
          <v:shape id="_x0000_i1219" type="#_x0000_t75" style="width:50.25pt;height:12.75pt" o:ole="">
            <v:imagedata r:id="rId341" o:title=""/>
          </v:shape>
          <o:OLEObject Type="Embed" ProgID="Equation.3" ShapeID="_x0000_i1219" DrawAspect="Content" ObjectID="_1397289304" r:id="rId342"/>
        </w:object>
      </w:r>
      <w:r w:rsidR="00911CA8" w:rsidRPr="002F4A08">
        <w:rPr>
          <w:lang w:val="en-US"/>
        </w:rPr>
        <w:tab/>
        <w:t>(22</w:t>
      </w:r>
      <w:r w:rsidRPr="002F4A08">
        <w:rPr>
          <w:lang w:val="en-US"/>
        </w:rPr>
        <w:t>)</w:t>
      </w:r>
    </w:p>
    <w:p w:rsidR="000775C7" w:rsidRPr="002F4A08" w:rsidRDefault="00911CA8" w:rsidP="00E51779">
      <w:pPr>
        <w:rPr>
          <w:lang w:val="en-US"/>
        </w:rPr>
      </w:pPr>
      <w:r w:rsidRPr="002F4A08">
        <w:rPr>
          <w:lang w:val="en-US"/>
        </w:rPr>
        <w:t>Solving (22</w:t>
      </w:r>
      <w:r w:rsidR="000775C7" w:rsidRPr="002F4A08">
        <w:rPr>
          <w:lang w:val="en-US"/>
        </w:rPr>
        <w:t xml:space="preserve">) for </w:t>
      </w:r>
      <w:r w:rsidR="000775C7" w:rsidRPr="002F4A08">
        <w:rPr>
          <w:b/>
          <w:lang w:val="en-US"/>
        </w:rPr>
        <w:t>e</w:t>
      </w:r>
      <w:r w:rsidR="000775C7" w:rsidRPr="002F4A08">
        <w:rPr>
          <w:lang w:val="en-US"/>
        </w:rPr>
        <w:t xml:space="preserve"> or </w:t>
      </w:r>
      <w:r w:rsidR="000775C7" w:rsidRPr="002F4A08">
        <w:rPr>
          <w:b/>
          <w:lang w:val="en-US"/>
        </w:rPr>
        <w:t>m</w:t>
      </w:r>
      <w:r w:rsidR="000775C7" w:rsidRPr="002F4A08">
        <w:rPr>
          <w:lang w:val="en-US"/>
        </w:rPr>
        <w:t xml:space="preserve"> and substituting it into (2</w:t>
      </w:r>
      <w:r w:rsidRPr="002F4A08">
        <w:rPr>
          <w:lang w:val="en-US"/>
        </w:rPr>
        <w:t>1</w:t>
      </w:r>
      <w:r w:rsidR="000775C7" w:rsidRPr="002F4A08">
        <w:rPr>
          <w:lang w:val="en-US"/>
        </w:rPr>
        <w:t>) yields:</w:t>
      </w:r>
    </w:p>
    <w:p w:rsidR="000775C7" w:rsidRPr="002F4A08" w:rsidRDefault="000775C7" w:rsidP="00E51779">
      <w:pPr>
        <w:rPr>
          <w:lang w:val="en-US"/>
        </w:rPr>
      </w:pPr>
      <w:r w:rsidRPr="002F4A08">
        <w:rPr>
          <w:lang w:val="en-US"/>
        </w:rPr>
        <w:lastRenderedPageBreak/>
        <w:tab/>
      </w:r>
      <w:r w:rsidRPr="002F4A08">
        <w:rPr>
          <w:position w:val="-6"/>
          <w:lang w:val="en-US"/>
        </w:rPr>
        <w:object w:dxaOrig="1300" w:dyaOrig="260">
          <v:shape id="_x0000_i1220" type="#_x0000_t75" style="width:65.25pt;height:12.75pt" o:ole="">
            <v:imagedata r:id="rId343" o:title=""/>
          </v:shape>
          <o:OLEObject Type="Embed" ProgID="Equation.3" ShapeID="_x0000_i1220" DrawAspect="Content" ObjectID="_1397289305" r:id="rId344"/>
        </w:object>
      </w:r>
      <w:r w:rsidR="00911CA8" w:rsidRPr="002F4A08">
        <w:rPr>
          <w:lang w:val="en-US"/>
        </w:rPr>
        <w:tab/>
        <w:t>(23</w:t>
      </w:r>
      <w:r w:rsidRPr="002F4A08">
        <w:rPr>
          <w:lang w:val="en-US"/>
        </w:rPr>
        <w:t>)</w:t>
      </w:r>
    </w:p>
    <w:p w:rsidR="000775C7" w:rsidRPr="002F4A08" w:rsidRDefault="000775C7" w:rsidP="00E51779">
      <w:pPr>
        <w:rPr>
          <w:lang w:val="en-US"/>
        </w:rPr>
      </w:pPr>
      <w:r w:rsidRPr="002F4A08">
        <w:rPr>
          <w:lang w:val="en-US"/>
        </w:rPr>
        <w:t xml:space="preserve">Since data or estimates of </w:t>
      </w:r>
      <w:r w:rsidRPr="002F4A08">
        <w:rPr>
          <w:b/>
          <w:lang w:val="en-US"/>
        </w:rPr>
        <w:t>x</w:t>
      </w:r>
      <w:r w:rsidRPr="002F4A08">
        <w:rPr>
          <w:lang w:val="en-US"/>
        </w:rPr>
        <w:t xml:space="preserve">, </w:t>
      </w:r>
      <w:r w:rsidRPr="002F4A08">
        <w:rPr>
          <w:b/>
          <w:lang w:val="en-US"/>
        </w:rPr>
        <w:t>r</w:t>
      </w:r>
      <w:r w:rsidRPr="002F4A08">
        <w:rPr>
          <w:lang w:val="en-US"/>
        </w:rPr>
        <w:t xml:space="preserve">, and </w:t>
      </w:r>
      <w:r w:rsidRPr="002F4A08">
        <w:rPr>
          <w:b/>
          <w:lang w:val="en-US"/>
        </w:rPr>
        <w:t>d</w:t>
      </w:r>
      <w:r w:rsidRPr="002F4A08">
        <w:rPr>
          <w:lang w:val="en-US"/>
        </w:rPr>
        <w:t xml:space="preserve"> are available, </w:t>
      </w:r>
      <w:r w:rsidRPr="002F4A08">
        <w:rPr>
          <w:b/>
          <w:lang w:val="en-US"/>
        </w:rPr>
        <w:t>b</w:t>
      </w:r>
      <w:r w:rsidR="00911CA8" w:rsidRPr="002F4A08">
        <w:rPr>
          <w:lang w:val="en-US"/>
        </w:rPr>
        <w:t xml:space="preserve"> can be computed from (23</w:t>
      </w:r>
      <w:r w:rsidRPr="002F4A08">
        <w:rPr>
          <w:lang w:val="en-US"/>
        </w:rPr>
        <w:t>). However, it is not possible to compute</w:t>
      </w:r>
      <w:r w:rsidR="00911CA8" w:rsidRPr="002F4A08">
        <w:rPr>
          <w:lang w:val="en-US"/>
        </w:rPr>
        <w:t xml:space="preserve"> actual exports and imports; (23</w:t>
      </w:r>
      <w:r w:rsidRPr="002F4A08">
        <w:rPr>
          <w:lang w:val="en-US"/>
        </w:rPr>
        <w:t>) allows us only to compute the eponymous commodity balance. If we want to compute actual exports and imports, additional assumptions are required. For SIOT Variant A this step is not very important, because the columns labelled “exports” and “imports” may simply be subsumed by a column labelled “net exports”. This is a way of evading the problem but not solving it. If the goal is to construct a SIOT Variant E, this problem cannot be circumvented.</w:t>
      </w:r>
    </w:p>
    <w:p w:rsidR="000775C7" w:rsidRPr="002F4A08" w:rsidRDefault="000775C7" w:rsidP="00E51779">
      <w:pPr>
        <w:rPr>
          <w:lang w:val="en-US"/>
        </w:rPr>
      </w:pPr>
      <w:r w:rsidRPr="002F4A08">
        <w:rPr>
          <w:lang w:val="en-US"/>
        </w:rPr>
        <w:t xml:space="preserve">A very simple solution that has often been applied relies on the assumption that for each product the region is either import-dependent or not. That is, whenever the trade balance is positive, imports are assumed to be zero, and if the trade balance is negative, exports are assumed to be zero. This assumption rules out the possibility of cross-hauling (the simultaneous exporting and importing of similar products) and has been heavily criticised </w:t>
      </w:r>
      <w:r w:rsidR="00662E01" w:rsidRPr="002F4A08">
        <w:rPr>
          <w:lang w:val="en-US"/>
        </w:rPr>
        <w:fldChar w:fldCharType="begin"/>
      </w:r>
      <w:r w:rsidR="0005517B" w:rsidRPr="002F4A08">
        <w:rPr>
          <w:lang w:val="en-US"/>
        </w:rPr>
        <w:instrText xml:space="preserve"> ADDIN EN.CITE &lt;EndNote&gt;&lt;Cite&gt;&lt;Author&gt;Richardson&lt;/Author&gt;&lt;Year&gt;1985&lt;/Year&gt;&lt;RecNum&gt;569&lt;/RecNum&gt;&lt;DisplayText&gt;(Richardson, 1985)&lt;/DisplayText&gt;&lt;record&gt;&lt;rec-number&gt;569&lt;/rec-number&gt;&lt;foreign-keys&gt;&lt;key app="EN" db-id="fsxszs05u5f00setapvp9rzrpww0505fwf9v"&gt;569&lt;/key&gt;&lt;/foreign-keys&gt;&lt;ref-type name="Journal Article"&gt;17&lt;/ref-type&gt;&lt;contributors&gt;&lt;authors&gt;&lt;author&gt;Richardson, H.W.&lt;/author&gt;&lt;/authors&gt;&lt;/contributors&gt;&lt;titles&gt;&lt;title&gt;Input-output and economic base multipliers: Looking backward and forward&lt;/title&gt;&lt;secondary-title&gt;Journal of Regional Science&lt;/secondary-title&gt;&lt;/titles&gt;&lt;periodical&gt;&lt;full-title&gt;Journal Of Regional Science&lt;/full-title&gt;&lt;/periodical&gt;&lt;pages&gt;607-661&lt;/pages&gt;&lt;volume&gt;25&lt;/volume&gt;&lt;dates&gt;&lt;year&gt;1985&lt;/year&gt;&lt;/dates&gt;&lt;urls&gt;&lt;/urls&gt;&lt;/record&gt;&lt;/Cite&gt;&lt;/EndNote&gt;</w:instrText>
      </w:r>
      <w:r w:rsidR="00662E01" w:rsidRPr="002F4A08">
        <w:rPr>
          <w:lang w:val="en-US"/>
        </w:rPr>
        <w:fldChar w:fldCharType="separate"/>
      </w:r>
      <w:r w:rsidR="0005517B" w:rsidRPr="002F4A08">
        <w:rPr>
          <w:noProof/>
          <w:lang w:val="en-US"/>
        </w:rPr>
        <w:t>(</w:t>
      </w:r>
      <w:hyperlink w:anchor="_ENREF_10" w:tooltip="Richardson, 1985 #569" w:history="1">
        <w:r w:rsidR="00B07F05" w:rsidRPr="002F4A08">
          <w:rPr>
            <w:noProof/>
            <w:lang w:val="en-US"/>
          </w:rPr>
          <w:t>Richardson, 1985</w:t>
        </w:r>
      </w:hyperlink>
      <w:r w:rsidR="0005517B" w:rsidRPr="002F4A08">
        <w:rPr>
          <w:noProof/>
          <w:lang w:val="en-US"/>
        </w:rPr>
        <w:t>)</w:t>
      </w:r>
      <w:r w:rsidR="00662E01" w:rsidRPr="002F4A08">
        <w:rPr>
          <w:lang w:val="en-US"/>
        </w:rPr>
        <w:fldChar w:fldCharType="end"/>
      </w:r>
      <w:r w:rsidR="00B44FD0" w:rsidRPr="002F4A08">
        <w:rPr>
          <w:lang w:val="en-US"/>
        </w:rPr>
        <w:t>)</w:t>
      </w:r>
      <w:r w:rsidRPr="002F4A08">
        <w:rPr>
          <w:lang w:val="en-US"/>
        </w:rPr>
        <w:t xml:space="preserve">. A more advanced treatment is possible with the Cross-Hauling Adjusted Regionalisation Method (CHARM), which estimates the amount of cross-hauling based on the heterogeneity of products </w:t>
      </w:r>
      <w:r w:rsidR="00662E01" w:rsidRPr="002F4A08">
        <w:rPr>
          <w:lang w:val="en-US"/>
        </w:rPr>
        <w:fldChar w:fldCharType="begin"/>
      </w:r>
      <w:r w:rsidR="0005517B" w:rsidRPr="002F4A08">
        <w:rPr>
          <w:lang w:val="en-US"/>
        </w:rPr>
        <w:instrText xml:space="preserve"> ADDIN EN.CITE &lt;EndNote&gt;&lt;Cite&gt;&lt;Author&gt;Kronenberg&lt;/Author&gt;&lt;Year&gt;2009&lt;/Year&gt;&lt;RecNum&gt;110&lt;/RecNum&gt;&lt;DisplayText&gt;(Kronenberg, 2009)&lt;/DisplayText&gt;&lt;record&gt;&lt;rec-number&gt;110&lt;/rec-number&gt;&lt;foreign-keys&gt;&lt;key app="EN" db-id="fsxszs05u5f00setapvp9rzrpww0505fwf9v"&gt;110&lt;/key&gt;&lt;/foreign-keys&gt;&lt;ref-type name="Journal Article"&gt;17&lt;/ref-type&gt;&lt;contributors&gt;&lt;authors&gt;&lt;author&gt;Kronenberg, Tobias&lt;/author&gt;&lt;/authors&gt;&lt;/contributors&gt;&lt;titles&gt;&lt;title&gt;Construction of Regional Input-Output Tables Using Nonsurvey Methods: The Role of Cross-Hauling&lt;/title&gt;&lt;secondary-title&gt;International Regional Science Review&lt;/secondary-title&gt;&lt;/titles&gt;&lt;periodical&gt;&lt;full-title&gt;International Regional Science Review&lt;/full-title&gt;&lt;/periodical&gt;&lt;pages&gt;40-64&lt;/pages&gt;&lt;volume&gt;32&lt;/volume&gt;&lt;number&gt;1&lt;/number&gt;&lt;dates&gt;&lt;year&gt;2009&lt;/year&gt;&lt;/dates&gt;&lt;urls&gt;&lt;/urls&gt;&lt;/record&gt;&lt;/Cite&gt;&lt;/EndNote&gt;</w:instrText>
      </w:r>
      <w:r w:rsidR="00662E01" w:rsidRPr="002F4A08">
        <w:rPr>
          <w:lang w:val="en-US"/>
        </w:rPr>
        <w:fldChar w:fldCharType="separate"/>
      </w:r>
      <w:r w:rsidR="0005517B" w:rsidRPr="002F4A08">
        <w:rPr>
          <w:noProof/>
          <w:lang w:val="en-US"/>
        </w:rPr>
        <w:t>(</w:t>
      </w:r>
      <w:hyperlink w:anchor="_ENREF_6" w:tooltip="Kronenberg, 2009 #110" w:history="1">
        <w:r w:rsidR="00B07F05" w:rsidRPr="002F4A08">
          <w:rPr>
            <w:noProof/>
            <w:lang w:val="en-US"/>
          </w:rPr>
          <w:t>Kronenberg, 2009</w:t>
        </w:r>
      </w:hyperlink>
      <w:r w:rsidR="0005517B" w:rsidRPr="002F4A08">
        <w:rPr>
          <w:noProof/>
          <w:lang w:val="en-US"/>
        </w:rPr>
        <w:t>)</w:t>
      </w:r>
      <w:r w:rsidR="00662E01" w:rsidRPr="002F4A08">
        <w:rPr>
          <w:lang w:val="en-US"/>
        </w:rPr>
        <w:fldChar w:fldCharType="end"/>
      </w:r>
      <w:r w:rsidR="00B44FD0" w:rsidRPr="002F4A08">
        <w:rPr>
          <w:lang w:val="en-US"/>
        </w:rPr>
        <w:t>)</w:t>
      </w:r>
      <w:r w:rsidRPr="002F4A08">
        <w:rPr>
          <w:lang w:val="en-US"/>
        </w:rPr>
        <w:t xml:space="preserve">. Either way, some estimate of </w:t>
      </w:r>
      <w:r w:rsidRPr="002F4A08">
        <w:rPr>
          <w:b/>
          <w:lang w:val="en-US"/>
        </w:rPr>
        <w:t>e</w:t>
      </w:r>
      <w:r w:rsidRPr="002F4A08">
        <w:rPr>
          <w:lang w:val="en-US"/>
        </w:rPr>
        <w:t xml:space="preserve"> and </w:t>
      </w:r>
      <w:r w:rsidRPr="002F4A08">
        <w:rPr>
          <w:b/>
          <w:lang w:val="en-US"/>
        </w:rPr>
        <w:t>m</w:t>
      </w:r>
      <w:r w:rsidRPr="002F4A08">
        <w:rPr>
          <w:lang w:val="en-US"/>
        </w:rPr>
        <w:t xml:space="preserve"> will be produced, and a SIOT Variant E can be constructed.</w:t>
      </w:r>
    </w:p>
    <w:p w:rsidR="000775C7" w:rsidRPr="002F4A08" w:rsidRDefault="000775C7" w:rsidP="00E51779">
      <w:pPr>
        <w:rPr>
          <w:lang w:val="en-US"/>
        </w:rPr>
      </w:pPr>
      <w:r w:rsidRPr="002F4A08">
        <w:rPr>
          <w:lang w:val="en-US"/>
        </w:rPr>
        <w:t xml:space="preserve">The CB method solves the problem outlined above, as can be seen with respect to the coal mining example. By multiplying the technological coefficients derived from the national IOT with the regional production vector, the matrix </w:t>
      </w:r>
      <w:r w:rsidRPr="002F4A08">
        <w:rPr>
          <w:b/>
          <w:lang w:val="en-US"/>
        </w:rPr>
        <w:t>Z</w:t>
      </w:r>
      <w:r w:rsidRPr="002F4A08">
        <w:rPr>
          <w:lang w:val="en-US"/>
        </w:rPr>
        <w:t xml:space="preserve"> will be correctly estimated (subject to the drawbacks of the “equal technology assumption”, of course). That is, column 1 of the matrix </w:t>
      </w:r>
      <w:r w:rsidRPr="002F4A08">
        <w:rPr>
          <w:b/>
          <w:lang w:val="en-US"/>
        </w:rPr>
        <w:t>Z</w:t>
      </w:r>
      <w:r w:rsidRPr="002F4A08">
        <w:rPr>
          <w:lang w:val="en-US"/>
        </w:rPr>
        <w:t xml:space="preserve"> will contain only zeroes, because industry 1 (coal mining) does not exist and hence does not use any intermediate inputs. The entries in row 1, by contrast, will not be forced to equal zero, so the coal use of other industries is correctly respected. Given that regional production of coa</w:t>
      </w:r>
      <w:r w:rsidR="00911CA8" w:rsidRPr="002F4A08">
        <w:rPr>
          <w:lang w:val="en-US"/>
        </w:rPr>
        <w:t>l is zero the application of (23</w:t>
      </w:r>
      <w:r w:rsidRPr="002F4A08">
        <w:rPr>
          <w:lang w:val="en-US"/>
        </w:rPr>
        <w:t xml:space="preserve">) will yield a negative trade balance for coal, and this will be reflected in the first element of the import vector </w:t>
      </w:r>
      <w:r w:rsidRPr="002F4A08">
        <w:rPr>
          <w:b/>
          <w:lang w:val="en-US"/>
        </w:rPr>
        <w:t>m</w:t>
      </w:r>
      <w:r w:rsidRPr="002F4A08">
        <w:rPr>
          <w:lang w:val="en-US"/>
        </w:rPr>
        <w:t>. In a Variant A table, the required imports of coal will be recorded in row 1, column “imports”, and in the Variant E table they will be recorded in row “imports”, column 1. All this is absolutely correct.</w:t>
      </w:r>
    </w:p>
    <w:p w:rsidR="000775C7" w:rsidRPr="002F4A08" w:rsidRDefault="000775C7" w:rsidP="00E51779">
      <w:pPr>
        <w:rPr>
          <w:lang w:val="en-US"/>
        </w:rPr>
      </w:pPr>
      <w:r w:rsidRPr="002F4A08">
        <w:rPr>
          <w:lang w:val="en-US"/>
        </w:rPr>
        <w:t xml:space="preserve">On the other hand, neither the CB method nor the CHARM extension should be applied to SIOT Variant B tables. Aside from producing false results, there is also a logical contradiction. Setting up a commodity balance is possible only if the vector </w:t>
      </w:r>
      <w:r w:rsidRPr="002F4A08">
        <w:rPr>
          <w:b/>
          <w:lang w:val="en-US"/>
        </w:rPr>
        <w:t>m</w:t>
      </w:r>
      <w:r w:rsidRPr="002F4A08">
        <w:rPr>
          <w:lang w:val="en-US"/>
        </w:rPr>
        <w:t xml:space="preserve"> is known. In a SIOT Variant B there is no such vector, therefore it is not possible to apply a CB method to such a table without using additional information.</w:t>
      </w:r>
    </w:p>
    <w:p w:rsidR="000507DF" w:rsidRPr="002F4A08" w:rsidRDefault="000775C7" w:rsidP="000775C7">
      <w:pPr>
        <w:pStyle w:val="berschrift1"/>
        <w:numPr>
          <w:ilvl w:val="0"/>
          <w:numId w:val="2"/>
        </w:numPr>
        <w:rPr>
          <w:lang w:val="en-US"/>
        </w:rPr>
      </w:pPr>
      <w:r w:rsidRPr="002F4A08">
        <w:rPr>
          <w:lang w:val="en-US"/>
        </w:rPr>
        <w:t>Empirical a</w:t>
      </w:r>
      <w:r w:rsidR="00F6570A" w:rsidRPr="002F4A08">
        <w:rPr>
          <w:lang w:val="en-US"/>
        </w:rPr>
        <w:t>p</w:t>
      </w:r>
      <w:r w:rsidRPr="002F4A08">
        <w:rPr>
          <w:lang w:val="en-US"/>
        </w:rPr>
        <w:t>plication to Baden-Württemberg</w:t>
      </w:r>
    </w:p>
    <w:p w:rsidR="001C0DBA" w:rsidRPr="002F4A08" w:rsidRDefault="00FC074B" w:rsidP="00E51779">
      <w:pPr>
        <w:rPr>
          <w:lang w:val="en-US"/>
        </w:rPr>
      </w:pPr>
      <w:r w:rsidRPr="002F4A08">
        <w:rPr>
          <w:lang w:val="en-US"/>
        </w:rPr>
        <w:t>The aim of this chapter is to compare the performance of various non-survey methods in constructing regional type B and type E tables for Baden-Württemberg. Regional type B tables are constructed by making use of several LQ-methods, namely SLQ, FLQ, AFLQ, and CB, whereas for type E tables CHARM is used instead of the ordinary CB</w:t>
      </w:r>
      <w:r w:rsidR="005A0D24" w:rsidRPr="002F4A08">
        <w:rPr>
          <w:lang w:val="en-US"/>
        </w:rPr>
        <w:t xml:space="preserve"> along with LQ-Methods</w:t>
      </w:r>
      <w:r w:rsidRPr="002F4A08">
        <w:rPr>
          <w:lang w:val="en-US"/>
        </w:rPr>
        <w:t xml:space="preserve">.  </w:t>
      </w:r>
      <w:r w:rsidR="005A0D24" w:rsidRPr="002F4A08">
        <w:rPr>
          <w:lang w:val="en-US"/>
        </w:rPr>
        <w:t xml:space="preserve">The performance is measured be comparing estimated coefficients and output multipliers with those that were calculated from benchmark tables provided by the statistical office of Baden-Württemberg. National type B and E SIOTs were provided by the federal statistical office. For the regionalization we </w:t>
      </w:r>
      <w:r w:rsidR="00AF6AA5" w:rsidRPr="002F4A08">
        <w:rPr>
          <w:lang w:val="en-US"/>
        </w:rPr>
        <w:t xml:space="preserve">use </w:t>
      </w:r>
      <w:r w:rsidR="005A0D24" w:rsidRPr="002F4A08">
        <w:rPr>
          <w:lang w:val="en-US"/>
        </w:rPr>
        <w:t>data o</w:t>
      </w:r>
      <w:r w:rsidR="00AF6AA5" w:rsidRPr="002F4A08">
        <w:rPr>
          <w:lang w:val="en-US"/>
        </w:rPr>
        <w:t>n</w:t>
      </w:r>
      <w:r w:rsidR="005A0D24" w:rsidRPr="002F4A08">
        <w:rPr>
          <w:lang w:val="en-US"/>
        </w:rPr>
        <w:t xml:space="preserve"> regional output by industry from the regional benchmark tables for all methods. </w:t>
      </w:r>
      <w:r w:rsidR="0074513D" w:rsidRPr="002F4A08">
        <w:rPr>
          <w:lang w:val="en-US"/>
        </w:rPr>
        <w:t xml:space="preserve">As the construction of variant E tables requires an estimation of gross imports by industry, we state the </w:t>
      </w:r>
      <w:r w:rsidR="0074513D" w:rsidRPr="002F4A08">
        <w:rPr>
          <w:lang w:val="en-US"/>
        </w:rPr>
        <w:lastRenderedPageBreak/>
        <w:t>common assumption of import-dependency for LQ methods as mentioned above. CHARM does not require stating such assumptions.</w:t>
      </w:r>
      <w:r w:rsidR="00AF6AA5" w:rsidRPr="002F4A08">
        <w:rPr>
          <w:lang w:val="en-US"/>
        </w:rPr>
        <w:t xml:space="preserve"> </w:t>
      </w:r>
      <w:r w:rsidR="001C0DBA" w:rsidRPr="002F4A08">
        <w:rPr>
          <w:lang w:val="en-US"/>
        </w:rPr>
        <w:t xml:space="preserve">The performance of non-survey methods to estimate coefficients is measured by </w:t>
      </w:r>
      <w:r w:rsidR="001C0DBA" w:rsidRPr="002F4A08">
        <w:rPr>
          <w:b/>
          <w:lang w:val="en-US"/>
        </w:rPr>
        <w:t>M</w:t>
      </w:r>
      <w:r w:rsidR="001C0DBA" w:rsidRPr="002F4A08">
        <w:rPr>
          <w:lang w:val="en-US"/>
        </w:rPr>
        <w:t xml:space="preserve">ean </w:t>
      </w:r>
      <w:r w:rsidR="001C0DBA" w:rsidRPr="002F4A08">
        <w:rPr>
          <w:b/>
          <w:lang w:val="en-US"/>
        </w:rPr>
        <w:t>P</w:t>
      </w:r>
      <w:r w:rsidR="001C0DBA" w:rsidRPr="002F4A08">
        <w:rPr>
          <w:lang w:val="en-US"/>
        </w:rPr>
        <w:t xml:space="preserve">ercentage </w:t>
      </w:r>
      <w:r w:rsidR="001C0DBA" w:rsidRPr="002F4A08">
        <w:rPr>
          <w:b/>
          <w:lang w:val="en-US"/>
        </w:rPr>
        <w:t>A</w:t>
      </w:r>
      <w:r w:rsidR="001C0DBA" w:rsidRPr="002F4A08">
        <w:rPr>
          <w:lang w:val="en-US"/>
        </w:rPr>
        <w:t xml:space="preserve">verage </w:t>
      </w:r>
      <w:r w:rsidR="001C0DBA" w:rsidRPr="002F4A08">
        <w:rPr>
          <w:b/>
          <w:lang w:val="en-US"/>
        </w:rPr>
        <w:t>D</w:t>
      </w:r>
      <w:r w:rsidR="001C0DBA" w:rsidRPr="002F4A08">
        <w:rPr>
          <w:lang w:val="en-US"/>
        </w:rPr>
        <w:t>eviation (MAPE), which is defined as:</w:t>
      </w:r>
    </w:p>
    <w:p w:rsidR="001C0DBA" w:rsidRPr="002F4A08" w:rsidRDefault="00E712CC" w:rsidP="00E51779">
      <w:pPr>
        <w:rPr>
          <w:lang w:val="en-US"/>
        </w:rPr>
      </w:pPr>
      <m:oMath>
        <m:sSub>
          <m:sSubPr>
            <m:ctrlPr>
              <w:rPr>
                <w:rFonts w:ascii="Cambria Math" w:hAnsi="Cambria Math"/>
                <w:i/>
                <w:lang w:val="en-US"/>
              </w:rPr>
            </m:ctrlPr>
          </m:sSubPr>
          <m:e>
            <m:r>
              <w:rPr>
                <w:rFonts w:ascii="Cambria Math" w:hAnsi="Cambria Math"/>
                <w:lang w:val="en-US"/>
              </w:rPr>
              <m:t>MAPE</m:t>
            </m:r>
          </m:e>
          <m:sub>
            <m:r>
              <w:rPr>
                <w:rFonts w:ascii="Cambria Math" w:hAnsi="Cambria Math"/>
                <w:lang w:val="en-US"/>
              </w:rPr>
              <m:t>j</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den>
        </m:f>
        <m:d>
          <m:dPr>
            <m:begChr m:val="["/>
            <m:endChr m:val="]"/>
            <m:ctrlPr>
              <w:rPr>
                <w:rFonts w:ascii="Cambria Math" w:hAnsi="Cambria Math"/>
                <w:i/>
                <w:lang w:val="en-US"/>
              </w:rPr>
            </m:ctrlPr>
          </m:dPr>
          <m:e>
            <m:nary>
              <m:naryPr>
                <m:chr m:val="∑"/>
                <m:limLoc m:val="undOvr"/>
                <m:supHide m:val="1"/>
                <m:ctrlPr>
                  <w:rPr>
                    <w:rFonts w:ascii="Cambria Math" w:hAnsi="Cambria Math"/>
                    <w:i/>
                    <w:lang w:val="en-US"/>
                  </w:rPr>
                </m:ctrlPr>
              </m:naryPr>
              <m:sub>
                <m:r>
                  <w:rPr>
                    <w:rFonts w:ascii="Cambria Math" w:hAnsi="Cambria Math"/>
                    <w:lang w:val="en-US"/>
                  </w:rPr>
                  <m:t>i</m:t>
                </m:r>
              </m:sub>
              <m:sup/>
              <m:e>
                <m:nary>
                  <m:naryPr>
                    <m:chr m:val="∑"/>
                    <m:limLoc m:val="undOvr"/>
                    <m:supHide m:val="1"/>
                    <m:ctrlPr>
                      <w:rPr>
                        <w:rFonts w:ascii="Cambria Math" w:hAnsi="Cambria Math"/>
                        <w:i/>
                        <w:lang w:val="en-US"/>
                      </w:rPr>
                    </m:ctrlPr>
                  </m:naryPr>
                  <m:sub>
                    <m:r>
                      <w:rPr>
                        <w:rFonts w:ascii="Cambria Math" w:hAnsi="Cambria Math"/>
                        <w:lang w:val="en-US"/>
                      </w:rPr>
                      <m:t>j</m:t>
                    </m:r>
                  </m:sub>
                  <m:sup/>
                  <m:e>
                    <m:f>
                      <m:fPr>
                        <m:ctrlPr>
                          <w:rPr>
                            <w:rFonts w:ascii="Cambria Math" w:hAnsi="Cambria Math"/>
                            <w:i/>
                            <w:lang w:val="en-US"/>
                          </w:rPr>
                        </m:ctrlPr>
                      </m:fPr>
                      <m:num>
                        <m:d>
                          <m:dPr>
                            <m:begChr m:val="|"/>
                            <m:endChr m:val="|"/>
                            <m:ctrlPr>
                              <w:rPr>
                                <w:rFonts w:ascii="Cambria Math" w:hAnsi="Cambria Math"/>
                                <w:i/>
                                <w:lang w:val="en-US"/>
                              </w:rPr>
                            </m:ctrlPr>
                          </m:dPr>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e>
                        </m:d>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den>
                    </m:f>
                  </m:e>
                </m:nary>
              </m:e>
            </m:nary>
          </m:e>
        </m:d>
      </m:oMath>
      <w:r w:rsidR="00333FA9" w:rsidRPr="002F4A08">
        <w:rPr>
          <w:lang w:val="en-US"/>
        </w:rPr>
        <w:tab/>
        <w:t>(24</w:t>
      </w:r>
      <w:r w:rsidR="001C0DBA" w:rsidRPr="002F4A08">
        <w:rPr>
          <w:lang w:val="en-US"/>
        </w:rPr>
        <w:t>)</w:t>
      </w:r>
    </w:p>
    <w:p w:rsidR="001C0DBA" w:rsidRPr="002F4A08" w:rsidRDefault="001C0DBA" w:rsidP="00E51779">
      <w:pPr>
        <w:rPr>
          <w:rFonts w:eastAsiaTheme="minorEastAsia"/>
          <w:lang w:val="en-US"/>
        </w:rPr>
      </w:pPr>
      <w:r w:rsidRPr="002F4A08">
        <w:rPr>
          <w:lang w:val="en-US"/>
        </w:rPr>
        <w:t xml:space="preserve">Where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e>
        </m:acc>
      </m:oMath>
      <w:r w:rsidRPr="002F4A08">
        <w:rPr>
          <w:rFonts w:eastAsiaTheme="minorEastAsia"/>
          <w:lang w:val="en-US"/>
        </w:rPr>
        <w:t xml:space="preserve"> denotes coefficients calculated from the estimated SIOT</w:t>
      </w:r>
      <w:r w:rsidR="00B5271F" w:rsidRPr="002F4A08">
        <w:rPr>
          <w:rFonts w:eastAsiaTheme="minorEastAsia"/>
          <w:lang w:val="en-US"/>
        </w:rPr>
        <w:t xml:space="preserve"> of variant B</w:t>
      </w:r>
      <w:r w:rsidR="009C7907" w:rsidRPr="002F4A08">
        <w:rPr>
          <w:rFonts w:eastAsiaTheme="minorEastAsia"/>
          <w:lang w:val="en-US"/>
        </w:rPr>
        <w:t xml:space="preserve"> (tilde generally indicates coefficients and multipliers calculated from benchmark tables)</w:t>
      </w:r>
      <w:r w:rsidRPr="002F4A08">
        <w:rPr>
          <w:rFonts w:eastAsiaTheme="minorEastAsia"/>
          <w:lang w:val="en-US"/>
        </w:rPr>
        <w:t xml:space="preserve">. </w:t>
      </w:r>
      <w:r w:rsidR="00B5271F" w:rsidRPr="002F4A08">
        <w:rPr>
          <w:rFonts w:eastAsiaTheme="minorEastAsia"/>
          <w:lang w:val="en-US"/>
        </w:rPr>
        <w:t xml:space="preserve">The next two statistics </w:t>
      </w:r>
      <w:r w:rsidR="009D5496" w:rsidRPr="002F4A08">
        <w:rPr>
          <w:rFonts w:eastAsiaTheme="minorEastAsia"/>
          <w:lang w:val="en-US"/>
        </w:rPr>
        <w:t>compare estimated total intermediate inputs by industry with those calculated from the benchmark tables</w:t>
      </w:r>
      <w:r w:rsidR="009C7907" w:rsidRPr="002F4A08">
        <w:rPr>
          <w:rFonts w:eastAsiaTheme="minorEastAsia"/>
          <w:lang w:val="en-US"/>
        </w:rPr>
        <w:t xml:space="preserve">. The first one is the </w:t>
      </w:r>
      <w:r w:rsidR="009C7907" w:rsidRPr="002F4A08">
        <w:rPr>
          <w:rFonts w:eastAsiaTheme="minorEastAsia"/>
          <w:b/>
          <w:lang w:val="en-US"/>
        </w:rPr>
        <w:t>W</w:t>
      </w:r>
      <w:r w:rsidR="009C7907" w:rsidRPr="002F4A08">
        <w:rPr>
          <w:rFonts w:eastAsiaTheme="minorEastAsia"/>
          <w:lang w:val="en-US"/>
        </w:rPr>
        <w:t xml:space="preserve">eighted </w:t>
      </w:r>
      <w:r w:rsidR="009C7907" w:rsidRPr="002F4A08">
        <w:rPr>
          <w:rFonts w:eastAsiaTheme="minorEastAsia"/>
          <w:b/>
          <w:lang w:val="en-US"/>
        </w:rPr>
        <w:t>D</w:t>
      </w:r>
      <w:r w:rsidR="009C7907" w:rsidRPr="002F4A08">
        <w:rPr>
          <w:rFonts w:eastAsiaTheme="minorEastAsia"/>
          <w:lang w:val="en-US"/>
        </w:rPr>
        <w:t xml:space="preserve">eviation (WD) and the second the </w:t>
      </w:r>
      <w:r w:rsidR="009C7907" w:rsidRPr="002F4A08">
        <w:rPr>
          <w:rFonts w:eastAsiaTheme="minorEastAsia"/>
          <w:b/>
          <w:lang w:val="en-US"/>
        </w:rPr>
        <w:t>W</w:t>
      </w:r>
      <w:r w:rsidR="009C7907" w:rsidRPr="002F4A08">
        <w:rPr>
          <w:rFonts w:eastAsiaTheme="minorEastAsia"/>
          <w:lang w:val="en-US"/>
        </w:rPr>
        <w:t xml:space="preserve">eighted </w:t>
      </w:r>
      <w:r w:rsidR="009C7907" w:rsidRPr="002F4A08">
        <w:rPr>
          <w:rFonts w:eastAsiaTheme="minorEastAsia"/>
          <w:b/>
          <w:lang w:val="en-US"/>
        </w:rPr>
        <w:t>A</w:t>
      </w:r>
      <w:r w:rsidR="009C7907" w:rsidRPr="002F4A08">
        <w:rPr>
          <w:rFonts w:eastAsiaTheme="minorEastAsia"/>
          <w:lang w:val="en-US"/>
        </w:rPr>
        <w:t xml:space="preserve">bsolut </w:t>
      </w:r>
      <w:r w:rsidR="009C7907" w:rsidRPr="002F4A08">
        <w:rPr>
          <w:rFonts w:eastAsiaTheme="minorEastAsia"/>
          <w:b/>
          <w:lang w:val="en-US"/>
        </w:rPr>
        <w:t>D</w:t>
      </w:r>
      <w:r w:rsidR="009C7907" w:rsidRPr="002F4A08">
        <w:rPr>
          <w:rFonts w:eastAsiaTheme="minorEastAsia"/>
          <w:lang w:val="en-US"/>
        </w:rPr>
        <w:t xml:space="preserve">eviation </w:t>
      </w:r>
      <w:r w:rsidR="00B92542" w:rsidRPr="002F4A08">
        <w:rPr>
          <w:rFonts w:eastAsiaTheme="minorEastAsia"/>
          <w:lang w:val="en-US"/>
        </w:rPr>
        <w:t xml:space="preserve">(WAD) </w:t>
      </w:r>
      <w:r w:rsidR="009C7907" w:rsidRPr="002F4A08">
        <w:rPr>
          <w:rFonts w:eastAsiaTheme="minorEastAsia"/>
          <w:lang w:val="en-US"/>
        </w:rPr>
        <w:t>with industry shares in output as weighting factor</w:t>
      </w:r>
      <w:r w:rsidR="009D5496" w:rsidRPr="002F4A08">
        <w:rPr>
          <w:rFonts w:eastAsiaTheme="minorEastAsia"/>
          <w:lang w:val="en-US"/>
        </w:rPr>
        <w:t>:</w:t>
      </w:r>
    </w:p>
    <w:p w:rsidR="009D5496" w:rsidRPr="002F4A08" w:rsidRDefault="00E712CC" w:rsidP="00E51779">
      <w:pPr>
        <w:rPr>
          <w:rFonts w:eastAsiaTheme="minorEastAsia"/>
          <w:lang w:val="en-US"/>
        </w:rPr>
      </w:pPr>
      <m:oMath>
        <m:sSub>
          <m:sSubPr>
            <m:ctrlPr>
              <w:rPr>
                <w:rFonts w:ascii="Cambria Math" w:hAnsi="Cambria Math"/>
                <w:i/>
                <w:lang w:val="en-US"/>
              </w:rPr>
            </m:ctrlPr>
          </m:sSubPr>
          <m:e>
            <m:r>
              <w:rPr>
                <w:rFonts w:ascii="Cambria Math" w:hAnsi="Cambria Math"/>
                <w:lang w:val="en-US"/>
              </w:rPr>
              <m:t>WD</m:t>
            </m:r>
          </m:e>
          <m:sub>
            <m:r>
              <w:rPr>
                <w:rFonts w:ascii="Cambria Math" w:hAnsi="Cambria Math"/>
                <w:lang w:val="en-US"/>
              </w:rPr>
              <m:t>j</m:t>
            </m:r>
          </m:sub>
        </m:sSub>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j</m:t>
            </m:r>
          </m:sub>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num>
              <m:den>
                <m:r>
                  <w:rPr>
                    <w:rFonts w:ascii="Cambria Math" w:hAnsi="Cambria Math"/>
                    <w:lang w:val="en-US"/>
                  </w:rPr>
                  <m:t>x</m:t>
                </m:r>
              </m:den>
            </m:f>
            <m:f>
              <m:fPr>
                <m:ctrlPr>
                  <w:rPr>
                    <w:rFonts w:ascii="Cambria Math" w:hAnsi="Cambria Math"/>
                    <w:i/>
                    <w:lang w:val="en-US"/>
                  </w:rPr>
                </m:ctrlPr>
              </m:fPr>
              <m:num>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den>
            </m:f>
          </m:e>
        </m:nary>
      </m:oMath>
      <w:r w:rsidR="00333FA9" w:rsidRPr="002F4A08">
        <w:rPr>
          <w:rFonts w:eastAsiaTheme="minorEastAsia"/>
          <w:lang w:val="en-US"/>
        </w:rPr>
        <w:tab/>
        <w:t>(25</w:t>
      </w:r>
      <w:r w:rsidR="009D5496" w:rsidRPr="002F4A08">
        <w:rPr>
          <w:rFonts w:eastAsiaTheme="minorEastAsia"/>
          <w:lang w:val="en-US"/>
        </w:rPr>
        <w:t>)</w:t>
      </w:r>
    </w:p>
    <w:p w:rsidR="009D5496" w:rsidRPr="002F4A08" w:rsidRDefault="00E712CC" w:rsidP="00E51779">
      <w:pPr>
        <w:rPr>
          <w:rFonts w:eastAsiaTheme="minorEastAsia"/>
          <w:lang w:val="en-US"/>
        </w:rPr>
      </w:pPr>
      <m:oMath>
        <m:sSub>
          <m:sSubPr>
            <m:ctrlPr>
              <w:rPr>
                <w:rFonts w:ascii="Cambria Math" w:hAnsi="Cambria Math"/>
                <w:i/>
                <w:lang w:val="en-US"/>
              </w:rPr>
            </m:ctrlPr>
          </m:sSubPr>
          <m:e>
            <m:r>
              <w:rPr>
                <w:rFonts w:ascii="Cambria Math" w:hAnsi="Cambria Math"/>
                <w:lang w:val="en-US"/>
              </w:rPr>
              <m:t>WAD</m:t>
            </m:r>
          </m:e>
          <m:sub>
            <m:r>
              <w:rPr>
                <w:rFonts w:ascii="Cambria Math" w:hAnsi="Cambria Math"/>
                <w:lang w:val="en-US"/>
              </w:rPr>
              <m:t>j</m:t>
            </m:r>
          </m:sub>
        </m:sSub>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j</m:t>
            </m:r>
          </m:sub>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j</m:t>
                    </m:r>
                  </m:sub>
                </m:sSub>
              </m:num>
              <m:den>
                <m:r>
                  <w:rPr>
                    <w:rFonts w:ascii="Cambria Math" w:hAnsi="Cambria Math"/>
                    <w:lang w:val="en-US"/>
                  </w:rPr>
                  <m:t>x</m:t>
                </m:r>
              </m:den>
            </m:f>
            <m:f>
              <m:fPr>
                <m:ctrlPr>
                  <w:rPr>
                    <w:rFonts w:ascii="Cambria Math" w:hAnsi="Cambria Math"/>
                    <w:i/>
                    <w:lang w:val="en-US"/>
                  </w:rPr>
                </m:ctrlPr>
              </m:fPr>
              <m:num>
                <m:d>
                  <m:dPr>
                    <m:begChr m:val="|"/>
                    <m:endChr m:val="|"/>
                    <m:ctrlPr>
                      <w:rPr>
                        <w:rFonts w:ascii="Cambria Math" w:hAnsi="Cambria Math"/>
                        <w:i/>
                        <w:lang w:val="en-US"/>
                      </w:rPr>
                    </m:ctrlPr>
                  </m:dPr>
                  <m:e>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e>
                </m:d>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j</m:t>
                    </m:r>
                  </m:sub>
                </m:sSub>
              </m:den>
            </m:f>
          </m:e>
        </m:nary>
      </m:oMath>
      <w:r w:rsidR="00333FA9" w:rsidRPr="002F4A08">
        <w:rPr>
          <w:rFonts w:eastAsiaTheme="minorEastAsia"/>
          <w:lang w:val="en-US"/>
        </w:rPr>
        <w:tab/>
        <w:t>(26</w:t>
      </w:r>
      <w:r w:rsidR="009D5496" w:rsidRPr="002F4A08">
        <w:rPr>
          <w:rFonts w:eastAsiaTheme="minorEastAsia"/>
          <w:lang w:val="en-US"/>
        </w:rPr>
        <w:t>)</w:t>
      </w:r>
    </w:p>
    <w:p w:rsidR="0074513D" w:rsidRPr="002F4A08" w:rsidRDefault="00333FA9" w:rsidP="00E51779">
      <w:pPr>
        <w:rPr>
          <w:rFonts w:eastAsiaTheme="minorEastAsia"/>
          <w:lang w:val="en-US"/>
        </w:rPr>
      </w:pPr>
      <w:r w:rsidRPr="002F4A08">
        <w:rPr>
          <w:lang w:val="en-US"/>
        </w:rPr>
        <w:t>The measurements (24), (25) and (26</w:t>
      </w:r>
      <w:r w:rsidR="009C7907" w:rsidRPr="002F4A08">
        <w:rPr>
          <w:lang w:val="en-US"/>
        </w:rPr>
        <w:t xml:space="preserve">) are also applied </w:t>
      </w:r>
      <w:r w:rsidR="0074513D" w:rsidRPr="002F4A08">
        <w:rPr>
          <w:lang w:val="en-US"/>
        </w:rPr>
        <w:t xml:space="preserve">to </w:t>
      </w:r>
      <w:r w:rsidR="009C7907" w:rsidRPr="002F4A08">
        <w:rPr>
          <w:lang w:val="en-US"/>
        </w:rPr>
        <w:t xml:space="preserve">the input-supply coefficients </w:t>
      </w: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ij</m:t>
            </m:r>
          </m:sub>
        </m:sSub>
      </m:oMath>
      <w:r w:rsidR="006C4645" w:rsidRPr="002F4A08">
        <w:rPr>
          <w:rFonts w:eastAsiaTheme="minorEastAsia"/>
          <w:lang w:val="en-US"/>
        </w:rPr>
        <w:t xml:space="preserve"> </w:t>
      </w:r>
      <w:r w:rsidR="0074513D" w:rsidRPr="002F4A08">
        <w:rPr>
          <w:rFonts w:eastAsiaTheme="minorEastAsia"/>
          <w:lang w:val="en-US"/>
        </w:rPr>
        <w:t>derived from type E tables. The measurement of deviations in output multipliers is also done by applying (25)</w:t>
      </w:r>
      <w:r w:rsidR="006C4645" w:rsidRPr="002F4A08">
        <w:rPr>
          <w:rFonts w:eastAsiaTheme="minorEastAsia"/>
          <w:lang w:val="en-US"/>
        </w:rPr>
        <w:t xml:space="preserve"> to column sums of the Leontief </w:t>
      </w:r>
      <w:r w:rsidR="0074513D" w:rsidRPr="002F4A08">
        <w:rPr>
          <w:rFonts w:eastAsiaTheme="minorEastAsia"/>
          <w:lang w:val="en-US"/>
        </w:rPr>
        <w:t xml:space="preserve">inverse </w:t>
      </w:r>
      <m:oMath>
        <m:sSub>
          <m:sSubPr>
            <m:ctrlPr>
              <w:rPr>
                <w:rFonts w:ascii="Cambria Math" w:eastAsiaTheme="minorEastAsia" w:hAnsi="Cambria Math"/>
                <w:i/>
                <w:lang w:val="en-US"/>
              </w:rPr>
            </m:ctrlPr>
          </m:sSubPr>
          <m:e>
            <m:r>
              <w:rPr>
                <w:rFonts w:ascii="Cambria Math" w:eastAsiaTheme="minorEastAsia" w:hAnsi="Cambria Math"/>
                <w:lang w:val="en-US"/>
              </w:rPr>
              <m:t>l</m:t>
            </m:r>
          </m:e>
          <m:sub>
            <m:r>
              <w:rPr>
                <w:rFonts w:ascii="Cambria Math" w:eastAsiaTheme="minorEastAsia" w:hAnsi="Cambria Math"/>
                <w:lang w:val="en-US"/>
              </w:rPr>
              <m:t>j</m:t>
            </m:r>
          </m:sub>
        </m:sSub>
      </m:oMath>
      <w:r w:rsidR="0074513D" w:rsidRPr="002F4A08">
        <w:rPr>
          <w:rFonts w:eastAsiaTheme="minorEastAsia"/>
          <w:lang w:val="en-US"/>
        </w:rPr>
        <w:t>.</w:t>
      </w:r>
    </w:p>
    <w:p w:rsidR="00764943" w:rsidRPr="002F4A08" w:rsidRDefault="006C4645" w:rsidP="00E51779">
      <w:pPr>
        <w:rPr>
          <w:lang w:val="en-US"/>
        </w:rPr>
      </w:pPr>
      <w:r w:rsidRPr="002F4A08">
        <w:rPr>
          <w:lang w:val="en-US"/>
        </w:rPr>
        <w:t xml:space="preserve">In the case of FLQ and AFLQ, </w:t>
      </w:r>
      <w:r w:rsidR="00764943" w:rsidRPr="002F4A08">
        <w:rPr>
          <w:lang w:val="en-US"/>
        </w:rPr>
        <w:t xml:space="preserve">performance crucially depends on the value of the parameter </w:t>
      </w:r>
      <m:oMath>
        <m:r>
          <w:rPr>
            <w:rFonts w:ascii="Cambria Math" w:hAnsi="Cambria Math"/>
            <w:lang w:val="en-US"/>
          </w:rPr>
          <m:t>0≤δ≤</m:t>
        </m:r>
        <m:r>
          <w:rPr>
            <w:rFonts w:ascii="Cambria Math" w:eastAsiaTheme="minorEastAsia" w:hAnsi="Cambria Math"/>
            <w:lang w:val="en-US"/>
          </w:rPr>
          <m:t>1</m:t>
        </m:r>
      </m:oMath>
      <w:r w:rsidR="00764943" w:rsidRPr="002F4A08">
        <w:rPr>
          <w:lang w:val="en-US"/>
        </w:rPr>
        <w:t xml:space="preserve">, which adjusts for for regional size and varies over regions. For this reason we distinguish two cases: </w:t>
      </w:r>
      <w:r w:rsidR="00B92542" w:rsidRPr="002F4A08">
        <w:rPr>
          <w:lang w:val="en-US"/>
        </w:rPr>
        <w:t>In the first case</w:t>
      </w:r>
      <w:r w:rsidR="00764943" w:rsidRPr="002F4A08">
        <w:rPr>
          <w:lang w:val="en-US"/>
        </w:rPr>
        <w:t xml:space="preserve"> we use</w:t>
      </w:r>
      <w:r w:rsidR="00B92542" w:rsidRPr="002F4A08">
        <w:rPr>
          <w:lang w:val="en-US"/>
        </w:rPr>
        <w:t xml:space="preserve"> values that were suggested in literature, namely </w:t>
      </w:r>
      <m:oMath>
        <m:r>
          <w:rPr>
            <w:rFonts w:ascii="Cambria Math" w:hAnsi="Cambria Math"/>
            <w:lang w:val="en-US"/>
          </w:rPr>
          <m:t>δ=0.3</m:t>
        </m:r>
      </m:oMath>
      <w:r w:rsidR="00764943" w:rsidRPr="002F4A08">
        <w:rPr>
          <w:rFonts w:eastAsiaTheme="minorEastAsia"/>
          <w:lang w:val="en-US"/>
        </w:rPr>
        <w:t xml:space="preserve"> for FLQ and </w:t>
      </w:r>
      <m:oMath>
        <m:r>
          <w:rPr>
            <w:rFonts w:ascii="Cambria Math" w:hAnsi="Cambria Math"/>
            <w:lang w:val="en-US"/>
          </w:rPr>
          <m:t>δ=0.4</m:t>
        </m:r>
      </m:oMath>
      <w:r w:rsidR="00764943" w:rsidRPr="002F4A08">
        <w:rPr>
          <w:rFonts w:eastAsiaTheme="minorEastAsia"/>
          <w:lang w:val="en-US"/>
        </w:rPr>
        <w:t xml:space="preserve"> for AFLQ</w:t>
      </w:r>
      <w:r w:rsidR="00B92542" w:rsidRPr="002F4A08">
        <w:rPr>
          <w:rFonts w:eastAsiaTheme="minorEastAsia"/>
          <w:lang w:val="en-US"/>
        </w:rPr>
        <w:t xml:space="preserve"> </w:t>
      </w:r>
      <w:r w:rsidRPr="002F4A08">
        <w:rPr>
          <w:rFonts w:eastAsiaTheme="minorEastAsia"/>
          <w:lang w:val="en-US"/>
        </w:rPr>
        <w:fldChar w:fldCharType="begin"/>
      </w:r>
      <w:r w:rsidRPr="002F4A08">
        <w:rPr>
          <w:rFonts w:eastAsiaTheme="minorEastAsia"/>
          <w:lang w:val="en-US"/>
        </w:rPr>
        <w:instrText xml:space="preserve"> ADDIN EN.CITE &lt;EndNote&gt;&lt;Cite&gt;&lt;Author&gt;Flegg&lt;/Author&gt;&lt;Year&gt;2000&lt;/Year&gt;&lt;RecNum&gt;422&lt;/RecNum&gt;&lt;DisplayText&gt;(Flegg and Webber, 2000; Tohmo, 2004)&lt;/DisplayText&gt;&lt;record&gt;&lt;rec-number&gt;422&lt;/rec-number&gt;&lt;foreign-keys&gt;&lt;key app="EN" db-id="fsxszs05u5f00setapvp9rzrpww0505fwf9v"&gt;422&lt;/key&gt;&lt;/foreign-keys&gt;&lt;ref-type name="Journal Article"&gt;17&lt;/ref-type&gt;&lt;contributors&gt;&lt;authors&gt;&lt;author&gt;Flegg, A.T.&lt;/author&gt;&lt;author&gt;Webber, C.D.&lt;/author&gt;&lt;/authors&gt;&lt;/contributors&gt;&lt;titles&gt;&lt;title&gt;Regional Size, Regional Specialization and the FLQ Formula&lt;/title&gt;&lt;secondary-title&gt;Regional Studies&lt;/secondary-title&gt;&lt;/titles&gt;&lt;periodical&gt;&lt;full-title&gt;Regional Studies&lt;/full-title&gt;&lt;/periodical&gt;&lt;pages&gt;563-569&lt;/pages&gt;&lt;volume&gt;34&lt;/volume&gt;&lt;dates&gt;&lt;year&gt;2000&lt;/year&gt;&lt;/dates&gt;&lt;urls&gt;&lt;/urls&gt;&lt;/record&gt;&lt;/Cite&gt;&lt;Cite&gt;&lt;Author&gt;Tohmo&lt;/Author&gt;&lt;Year&gt;2004&lt;/Year&gt;&lt;RecNum&gt;628&lt;/RecNum&gt;&lt;record&gt;&lt;rec-number&gt;628&lt;/rec-number&gt;&lt;foreign-keys&gt;&lt;key app="EN" db-id="fsxszs05u5f00setapvp9rzrpww0505fwf9v"&gt;628&lt;/key&gt;&lt;/foreign-keys&gt;&lt;ref-type name="Journal Article"&gt;17&lt;/ref-type&gt;&lt;contributors&gt;&lt;authors&gt;&lt;author&gt;Tohmo, Timo&lt;/author&gt;&lt;/authors&gt;&lt;/contributors&gt;&lt;titles&gt;&lt;title&gt;New Developments in the Use of Location Quotients to Estimate Regional Input-Output Coefficients and Multipliers&lt;/title&gt;&lt;secondary-title&gt;Regional Studies&lt;/secondary-title&gt;&lt;/titles&gt;&lt;periodical&gt;&lt;full-title&gt;Regional Studies&lt;/full-title&gt;&lt;/periodical&gt;&lt;pages&gt;43-54&lt;/pages&gt;&lt;volume&gt;38&lt;/volume&gt;&lt;number&gt;1&lt;/number&gt;&lt;dates&gt;&lt;year&gt;2004&lt;/year&gt;&lt;/dates&gt;&lt;urls&gt;&lt;/urls&gt;&lt;/record&gt;&lt;/Cite&gt;&lt;/EndNote&gt;</w:instrText>
      </w:r>
      <w:r w:rsidRPr="002F4A08">
        <w:rPr>
          <w:rFonts w:eastAsiaTheme="minorEastAsia"/>
          <w:lang w:val="en-US"/>
        </w:rPr>
        <w:fldChar w:fldCharType="separate"/>
      </w:r>
      <w:r w:rsidRPr="002F4A08">
        <w:rPr>
          <w:rFonts w:eastAsiaTheme="minorEastAsia"/>
          <w:noProof/>
          <w:lang w:val="en-US"/>
        </w:rPr>
        <w:t>(</w:t>
      </w:r>
      <w:hyperlink w:anchor="_ENREF_4" w:tooltip="Flegg, 2000 #422" w:history="1">
        <w:r w:rsidR="00B07F05" w:rsidRPr="002F4A08">
          <w:rPr>
            <w:rFonts w:eastAsiaTheme="minorEastAsia"/>
            <w:noProof/>
            <w:lang w:val="en-US"/>
          </w:rPr>
          <w:t>Flegg and Webber, 2000</w:t>
        </w:r>
      </w:hyperlink>
      <w:r w:rsidRPr="002F4A08">
        <w:rPr>
          <w:rFonts w:eastAsiaTheme="minorEastAsia"/>
          <w:noProof/>
          <w:lang w:val="en-US"/>
        </w:rPr>
        <w:t xml:space="preserve">; </w:t>
      </w:r>
      <w:hyperlink w:anchor="_ENREF_14" w:tooltip="Tohmo, 2004 #628" w:history="1">
        <w:r w:rsidR="00B07F05" w:rsidRPr="002F4A08">
          <w:rPr>
            <w:rFonts w:eastAsiaTheme="minorEastAsia"/>
            <w:noProof/>
            <w:lang w:val="en-US"/>
          </w:rPr>
          <w:t>Tohmo, 2004</w:t>
        </w:r>
      </w:hyperlink>
      <w:r w:rsidRPr="002F4A08">
        <w:rPr>
          <w:rFonts w:eastAsiaTheme="minorEastAsia"/>
          <w:noProof/>
          <w:lang w:val="en-US"/>
        </w:rPr>
        <w:t>)</w:t>
      </w:r>
      <w:r w:rsidRPr="002F4A08">
        <w:rPr>
          <w:rFonts w:eastAsiaTheme="minorEastAsia"/>
          <w:lang w:val="en-US"/>
        </w:rPr>
        <w:fldChar w:fldCharType="end"/>
      </w:r>
      <w:r w:rsidR="00B92542" w:rsidRPr="002F4A08">
        <w:rPr>
          <w:rFonts w:eastAsiaTheme="minorEastAsia"/>
          <w:lang w:val="en-US"/>
        </w:rPr>
        <w:t xml:space="preserve">. In the second case the value for  </w:t>
      </w:r>
      <m:oMath>
        <m:r>
          <w:rPr>
            <w:rFonts w:ascii="Cambria Math" w:hAnsi="Cambria Math"/>
            <w:lang w:val="en-US"/>
          </w:rPr>
          <m:t>δ</m:t>
        </m:r>
      </m:oMath>
      <w:r w:rsidR="00B92542" w:rsidRPr="002F4A08">
        <w:rPr>
          <w:rFonts w:eastAsiaTheme="minorEastAsia"/>
          <w:lang w:val="en-US"/>
        </w:rPr>
        <w:t xml:space="preserve"> is chosen such that the WAD of the output multipliers is minimized. </w:t>
      </w:r>
      <w:r w:rsidR="00125EDC" w:rsidRPr="002F4A08">
        <w:rPr>
          <w:rFonts w:eastAsiaTheme="minorEastAsia"/>
          <w:lang w:val="en-US"/>
        </w:rPr>
        <w:t xml:space="preserve">The results of FLQ and AFLQ as presented by the figures in the following subsection are based on an optimal </w:t>
      </w:r>
      <m:oMath>
        <m:r>
          <w:rPr>
            <w:rFonts w:ascii="Cambria Math" w:hAnsi="Cambria Math"/>
            <w:lang w:val="en-US"/>
          </w:rPr>
          <m:t>δ</m:t>
        </m:r>
      </m:oMath>
      <w:r w:rsidR="00125EDC" w:rsidRPr="002F4A08">
        <w:rPr>
          <w:rFonts w:eastAsiaTheme="minorEastAsia"/>
          <w:lang w:val="en-US"/>
        </w:rPr>
        <w:t>.</w:t>
      </w:r>
    </w:p>
    <w:p w:rsidR="0074513D" w:rsidRPr="002F4A08" w:rsidRDefault="0074513D" w:rsidP="0074513D">
      <w:pPr>
        <w:pStyle w:val="berschrift2"/>
        <w:numPr>
          <w:ilvl w:val="1"/>
          <w:numId w:val="2"/>
        </w:numPr>
        <w:rPr>
          <w:rFonts w:eastAsiaTheme="minorEastAsia"/>
          <w:lang w:val="en-US"/>
        </w:rPr>
      </w:pPr>
      <w:r w:rsidRPr="002F4A08">
        <w:rPr>
          <w:rFonts w:eastAsiaTheme="minorEastAsia"/>
          <w:lang w:val="en-US"/>
        </w:rPr>
        <w:t>Type B tables</w:t>
      </w:r>
    </w:p>
    <w:p w:rsidR="00B92542" w:rsidRPr="002F4A08" w:rsidRDefault="00662E01" w:rsidP="00E51779">
      <w:pPr>
        <w:rPr>
          <w:rFonts w:eastAsiaTheme="minorEastAsia"/>
          <w:lang w:val="en-US"/>
        </w:rPr>
      </w:pPr>
      <w:r w:rsidRPr="002F4A08">
        <w:rPr>
          <w:lang w:val="en-US"/>
        </w:rPr>
        <w:fldChar w:fldCharType="begin"/>
      </w:r>
      <w:r w:rsidR="00E32E48" w:rsidRPr="002F4A08">
        <w:rPr>
          <w:lang w:val="en-US"/>
        </w:rPr>
        <w:instrText xml:space="preserve"> REF _Ref323132924 \h </w:instrText>
      </w:r>
      <w:r w:rsidR="00E51779" w:rsidRPr="002F4A08">
        <w:rPr>
          <w:lang w:val="en-US"/>
        </w:rPr>
        <w:instrText xml:space="preserve"> \* MERGEFORMAT </w:instrText>
      </w:r>
      <w:r w:rsidRPr="002F4A08">
        <w:rPr>
          <w:lang w:val="en-US"/>
        </w:rPr>
      </w:r>
      <w:r w:rsidRPr="002F4A08">
        <w:rPr>
          <w:lang w:val="en-US"/>
        </w:rPr>
        <w:fldChar w:fldCharType="separate"/>
      </w:r>
      <w:r w:rsidR="001B1E67" w:rsidRPr="002F4A08">
        <w:rPr>
          <w:lang w:val="en-US"/>
        </w:rPr>
        <w:t xml:space="preserve">Table </w:t>
      </w:r>
      <w:r w:rsidR="001B1E67" w:rsidRPr="002F4A08">
        <w:rPr>
          <w:noProof/>
          <w:lang w:val="en-US"/>
        </w:rPr>
        <w:t>5</w:t>
      </w:r>
      <w:r w:rsidRPr="002F4A08">
        <w:rPr>
          <w:lang w:val="en-US"/>
        </w:rPr>
        <w:fldChar w:fldCharType="end"/>
      </w:r>
      <w:r w:rsidR="00E32E48" w:rsidRPr="002F4A08">
        <w:rPr>
          <w:lang w:val="en-US"/>
        </w:rPr>
        <w:t xml:space="preserve"> presents the result</w:t>
      </w:r>
      <w:r w:rsidR="002F4A08" w:rsidRPr="002F4A08">
        <w:rPr>
          <w:lang w:val="en-US"/>
        </w:rPr>
        <w:t>s</w:t>
      </w:r>
      <w:r w:rsidR="00E32E48" w:rsidRPr="002F4A08">
        <w:rPr>
          <w:lang w:val="en-US"/>
        </w:rPr>
        <w:t xml:space="preserve"> of the performance of non-survey methods in regionalizing a variant B SIOT for Baden-Württemberg. </w:t>
      </w:r>
      <w:r w:rsidR="000F7410" w:rsidRPr="002F4A08">
        <w:rPr>
          <w:lang w:val="en-US"/>
        </w:rPr>
        <w:t>It is observed</w:t>
      </w:r>
      <w:r w:rsidR="002F4A08" w:rsidRPr="002F4A08">
        <w:rPr>
          <w:lang w:val="en-US"/>
        </w:rPr>
        <w:t xml:space="preserve"> that </w:t>
      </w:r>
      <w:r w:rsidR="000F7410" w:rsidRPr="002F4A08">
        <w:rPr>
          <w:lang w:val="en-US"/>
        </w:rPr>
        <w:t xml:space="preserve">FLQ and AFLQ deliver the best result in terms of accuracy in the estimation of output multipliers, even if the value of </w:t>
      </w:r>
      <m:oMath>
        <m:r>
          <w:rPr>
            <w:rFonts w:ascii="Cambria Math" w:hAnsi="Cambria Math" w:cstheme="minorHAnsi"/>
            <w:lang w:val="en-US"/>
          </w:rPr>
          <m:t>δ</m:t>
        </m:r>
      </m:oMath>
      <w:r w:rsidR="000F7410" w:rsidRPr="002F4A08">
        <w:rPr>
          <w:rFonts w:eastAsiaTheme="minorEastAsia"/>
          <w:lang w:val="en-US"/>
        </w:rPr>
        <w:t xml:space="preserve"> is taken from the literature (in this case AFLQ performs slightly be</w:t>
      </w:r>
      <w:r w:rsidR="002F4A08">
        <w:rPr>
          <w:rFonts w:eastAsiaTheme="minorEastAsia"/>
          <w:lang w:val="en-US"/>
        </w:rPr>
        <w:t xml:space="preserve">tter </w:t>
      </w:r>
      <w:r w:rsidR="00F37DA0" w:rsidRPr="002F4A08">
        <w:rPr>
          <w:rFonts w:eastAsiaTheme="minorEastAsia"/>
          <w:lang w:val="en-US"/>
        </w:rPr>
        <w:t xml:space="preserve">than the original FLQ). The optimal values of </w:t>
      </w:r>
      <m:oMath>
        <m:r>
          <w:rPr>
            <w:rFonts w:ascii="Cambria Math" w:hAnsi="Cambria Math" w:cstheme="minorHAnsi"/>
            <w:lang w:val="en-US"/>
          </w:rPr>
          <m:t>δ</m:t>
        </m:r>
      </m:oMath>
      <w:r w:rsidR="00F37DA0" w:rsidRPr="002F4A08">
        <w:rPr>
          <w:rFonts w:eastAsiaTheme="minorEastAsia"/>
          <w:lang w:val="en-US"/>
        </w:rPr>
        <w:t xml:space="preserve"> in the case of Baden-Württemberg are 0.2 for FLQ and 0.28 for AFLQ respectively. </w:t>
      </w:r>
      <w:r w:rsidR="000D3000" w:rsidRPr="002F4A08">
        <w:rPr>
          <w:rFonts w:eastAsiaTheme="minorEastAsia"/>
          <w:lang w:val="en-US"/>
        </w:rPr>
        <w:t>With a WAD of 15.13% and 11.72% CB and SLQ perform clearly worse in estimati</w:t>
      </w:r>
      <w:r w:rsidR="002008B3">
        <w:rPr>
          <w:rFonts w:eastAsiaTheme="minorEastAsia"/>
          <w:lang w:val="en-US"/>
        </w:rPr>
        <w:t>ng regional output-multipliers.</w:t>
      </w:r>
    </w:p>
    <w:p w:rsidR="000D3000" w:rsidRPr="002F4A08" w:rsidRDefault="000D3000" w:rsidP="00E51779">
      <w:pPr>
        <w:rPr>
          <w:rFonts w:eastAsiaTheme="minorEastAsia"/>
          <w:lang w:val="en-US"/>
        </w:rPr>
      </w:pPr>
      <w:r w:rsidRPr="002F4A08">
        <w:rPr>
          <w:rFonts w:eastAsiaTheme="minorEastAsia"/>
          <w:lang w:val="en-US"/>
        </w:rPr>
        <w:t xml:space="preserve">On the level of individual cells (MAPE) FLQ and AFLQ also perform better than CB and SLQ. Considering the results for output multipliers it is </w:t>
      </w:r>
      <w:r w:rsidR="000F5E3E" w:rsidRPr="002F4A08">
        <w:rPr>
          <w:rFonts w:eastAsiaTheme="minorEastAsia"/>
          <w:lang w:val="en-US"/>
        </w:rPr>
        <w:t xml:space="preserve">on the first sight </w:t>
      </w:r>
      <w:r w:rsidRPr="002F4A08">
        <w:rPr>
          <w:rFonts w:eastAsiaTheme="minorEastAsia"/>
          <w:lang w:val="en-US"/>
        </w:rPr>
        <w:t>somewhat surprising that FLQ(opt) and AFLQ(opt) exhibit greater deviation</w:t>
      </w:r>
      <w:r w:rsidR="000F5E3E" w:rsidRPr="002F4A08">
        <w:rPr>
          <w:rFonts w:eastAsiaTheme="minorEastAsia"/>
          <w:lang w:val="en-US"/>
        </w:rPr>
        <w:t>s than the FLQ and AFLQ with the value of</w:t>
      </w:r>
      <w:r w:rsidR="002008B3">
        <w:rPr>
          <w:rFonts w:eastAsiaTheme="minorEastAsia"/>
          <w:lang w:val="en-US"/>
        </w:rPr>
        <w:t xml:space="preserve"> </w:t>
      </w:r>
      <m:oMath>
        <m:r>
          <w:rPr>
            <w:rFonts w:ascii="Cambria Math" w:hAnsi="Cambria Math" w:cstheme="minorHAnsi"/>
            <w:lang w:val="en-US"/>
          </w:rPr>
          <m:t>δ</m:t>
        </m:r>
      </m:oMath>
      <w:r w:rsidR="000F5E3E" w:rsidRPr="002F4A08">
        <w:rPr>
          <w:rFonts w:eastAsiaTheme="minorEastAsia"/>
          <w:lang w:val="en-US"/>
        </w:rPr>
        <w:t xml:space="preserve"> taken from the literature, but the corresponding WD indicates that the reason for it is </w:t>
      </w:r>
      <w:r w:rsidR="007E632F" w:rsidRPr="002F4A08">
        <w:rPr>
          <w:rFonts w:eastAsiaTheme="minorEastAsia"/>
          <w:lang w:val="en-US"/>
        </w:rPr>
        <w:t xml:space="preserve">a </w:t>
      </w:r>
      <w:r w:rsidR="000F5E3E" w:rsidRPr="002F4A08">
        <w:rPr>
          <w:rFonts w:eastAsiaTheme="minorEastAsia"/>
          <w:lang w:val="en-US"/>
        </w:rPr>
        <w:t xml:space="preserve">greater </w:t>
      </w:r>
      <w:r w:rsidR="007E632F" w:rsidRPr="002F4A08">
        <w:rPr>
          <w:rFonts w:eastAsiaTheme="minorEastAsia"/>
          <w:lang w:val="en-US"/>
        </w:rPr>
        <w:t>compensation of</w:t>
      </w:r>
      <w:r w:rsidR="002008B3">
        <w:rPr>
          <w:rFonts w:eastAsiaTheme="minorEastAsia"/>
          <w:lang w:val="en-US"/>
        </w:rPr>
        <w:t xml:space="preserve"> </w:t>
      </w:r>
      <w:r w:rsidR="007E632F" w:rsidRPr="002F4A08">
        <w:rPr>
          <w:rFonts w:eastAsiaTheme="minorEastAsia"/>
          <w:lang w:val="en-US"/>
        </w:rPr>
        <w:t>positive and negative errors on the level of individual cell and columns respectively. This effect also explains why FLQ generates the greatest errors in terms of estimating the share of total (</w:t>
      </w:r>
      <w:r w:rsidR="00E84C28" w:rsidRPr="002F4A08">
        <w:rPr>
          <w:rFonts w:eastAsiaTheme="minorEastAsia"/>
          <w:lang w:val="en-US"/>
        </w:rPr>
        <w:t>domestic</w:t>
      </w:r>
      <w:r w:rsidR="007E632F" w:rsidRPr="002F4A08">
        <w:rPr>
          <w:rFonts w:eastAsiaTheme="minorEastAsia"/>
          <w:lang w:val="en-US"/>
        </w:rPr>
        <w:t>) intermediate inputs in output by industry (WAD), although it estimates output multipliers properly.</w:t>
      </w:r>
    </w:p>
    <w:p w:rsidR="00E32E48" w:rsidRPr="002F4A08" w:rsidRDefault="00E32E48" w:rsidP="002008B3">
      <w:pPr>
        <w:pStyle w:val="Beschriftung"/>
        <w:keepNext/>
        <w:rPr>
          <w:sz w:val="22"/>
          <w:szCs w:val="22"/>
          <w:lang w:val="en-US"/>
        </w:rPr>
      </w:pPr>
      <w:bookmarkStart w:id="6" w:name="_Ref323132924"/>
      <w:r w:rsidRPr="002F4A08">
        <w:rPr>
          <w:sz w:val="22"/>
          <w:szCs w:val="22"/>
          <w:lang w:val="en-US"/>
        </w:rPr>
        <w:lastRenderedPageBreak/>
        <w:t xml:space="preserve">Table </w:t>
      </w:r>
      <w:r w:rsidR="00662E01" w:rsidRPr="002F4A08">
        <w:rPr>
          <w:sz w:val="22"/>
          <w:szCs w:val="22"/>
          <w:lang w:val="en-US"/>
        </w:rPr>
        <w:fldChar w:fldCharType="begin"/>
      </w:r>
      <w:r w:rsidR="00C76886" w:rsidRPr="002F4A08">
        <w:rPr>
          <w:sz w:val="22"/>
          <w:szCs w:val="22"/>
          <w:lang w:val="en-US"/>
        </w:rPr>
        <w:instrText xml:space="preserve"> SEQ Table \* ARABIC </w:instrText>
      </w:r>
      <w:r w:rsidR="00662E01" w:rsidRPr="002F4A08">
        <w:rPr>
          <w:sz w:val="22"/>
          <w:szCs w:val="22"/>
          <w:lang w:val="en-US"/>
        </w:rPr>
        <w:fldChar w:fldCharType="separate"/>
      </w:r>
      <w:r w:rsidR="001B1E67" w:rsidRPr="002F4A08">
        <w:rPr>
          <w:noProof/>
          <w:sz w:val="22"/>
          <w:szCs w:val="22"/>
          <w:lang w:val="en-US"/>
        </w:rPr>
        <w:t>5</w:t>
      </w:r>
      <w:r w:rsidR="00662E01" w:rsidRPr="002F4A08">
        <w:rPr>
          <w:sz w:val="22"/>
          <w:szCs w:val="22"/>
          <w:lang w:val="en-US"/>
        </w:rPr>
        <w:fldChar w:fldCharType="end"/>
      </w:r>
      <w:bookmarkEnd w:id="6"/>
      <w:r w:rsidRPr="002F4A08">
        <w:rPr>
          <w:sz w:val="22"/>
          <w:szCs w:val="22"/>
          <w:lang w:val="en-US"/>
        </w:rPr>
        <w:t>: Performance in regionalization of type B tables</w:t>
      </w:r>
    </w:p>
    <w:tbl>
      <w:tblPr>
        <w:tblW w:w="8960" w:type="dxa"/>
        <w:tblCellMar>
          <w:left w:w="0" w:type="dxa"/>
          <w:right w:w="0" w:type="dxa"/>
        </w:tblCellMar>
        <w:tblLook w:val="0420" w:firstRow="1" w:lastRow="0" w:firstColumn="0" w:lastColumn="0" w:noHBand="0" w:noVBand="1"/>
      </w:tblPr>
      <w:tblGrid>
        <w:gridCol w:w="1669"/>
        <w:gridCol w:w="1594"/>
        <w:gridCol w:w="1645"/>
        <w:gridCol w:w="1450"/>
        <w:gridCol w:w="2602"/>
      </w:tblGrid>
      <w:tr w:rsidR="00B92542" w:rsidRPr="002F4A08" w:rsidTr="00B92542">
        <w:trPr>
          <w:trHeight w:val="375"/>
        </w:trPr>
        <w:tc>
          <w:tcPr>
            <w:tcW w:w="1669"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p>
        </w:tc>
        <w:tc>
          <w:tcPr>
            <w:tcW w:w="4689" w:type="dxa"/>
            <w:gridSpan w:val="3"/>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rsidR="00B92542" w:rsidRPr="002F4A08" w:rsidRDefault="000D3000" w:rsidP="002008B3">
            <w:pPr>
              <w:keepNext/>
              <w:spacing w:after="0" w:line="240" w:lineRule="auto"/>
              <w:jc w:val="center"/>
              <w:rPr>
                <w:rFonts w:ascii="Arial" w:eastAsia="Times New Roman" w:hAnsi="Arial" w:cs="Arial"/>
                <w:sz w:val="36"/>
                <w:szCs w:val="36"/>
                <w:lang w:val="en-US"/>
              </w:rPr>
            </w:pPr>
            <w:r w:rsidRPr="002F4A08">
              <w:rPr>
                <w:rFonts w:ascii="Arial" w:eastAsia="Lucida Sans Unicode" w:hAnsi="Arial" w:cs="Lucida Sans Unicode"/>
                <w:b/>
                <w:bCs/>
                <w:color w:val="FFFFFF" w:themeColor="light1"/>
                <w:kern w:val="24"/>
                <w:sz w:val="24"/>
                <w:szCs w:val="24"/>
                <w:lang w:val="en-US"/>
              </w:rPr>
              <w:t>Coefficients</w:t>
            </w:r>
          </w:p>
        </w:tc>
        <w:tc>
          <w:tcPr>
            <w:tcW w:w="2602"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rsidR="00B92542" w:rsidRPr="002F4A08" w:rsidRDefault="00B92542" w:rsidP="002008B3">
            <w:pPr>
              <w:keepNext/>
              <w:spacing w:after="0" w:line="240" w:lineRule="auto"/>
              <w:jc w:val="center"/>
              <w:rPr>
                <w:rFonts w:ascii="Arial" w:eastAsia="Times New Roman" w:hAnsi="Arial" w:cs="Arial"/>
                <w:sz w:val="36"/>
                <w:szCs w:val="36"/>
                <w:lang w:val="en-US"/>
              </w:rPr>
            </w:pPr>
            <w:r w:rsidRPr="002F4A08">
              <w:rPr>
                <w:rFonts w:ascii="Arial" w:eastAsia="Lucida Sans Unicode" w:hAnsi="Arial" w:cs="Lucida Sans Unicode"/>
                <w:b/>
                <w:bCs/>
                <w:color w:val="FFFFFF" w:themeColor="light1"/>
                <w:kern w:val="24"/>
                <w:sz w:val="24"/>
                <w:szCs w:val="24"/>
                <w:lang w:val="en-US"/>
              </w:rPr>
              <w:t>Outputmultipl.</w:t>
            </w:r>
          </w:p>
        </w:tc>
      </w:tr>
      <w:tr w:rsidR="00B92542" w:rsidRPr="002F4A08" w:rsidTr="00E32E48">
        <w:trPr>
          <w:trHeight w:val="375"/>
        </w:trPr>
        <w:tc>
          <w:tcPr>
            <w:tcW w:w="1669"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B92542" w:rsidRPr="002F4A08" w:rsidRDefault="000F5E3E" w:rsidP="002008B3">
            <w:pPr>
              <w:keepNext/>
              <w:spacing w:after="0" w:line="240" w:lineRule="auto"/>
              <w:jc w:val="center"/>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Method</w:t>
            </w:r>
          </w:p>
        </w:tc>
        <w:tc>
          <w:tcPr>
            <w:tcW w:w="1594" w:type="dxa"/>
            <w:tcBorders>
              <w:top w:val="single" w:sz="24"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center"/>
            <w:hideMark/>
          </w:tcPr>
          <w:p w:rsidR="00B92542" w:rsidRPr="002F4A08" w:rsidRDefault="00B92542" w:rsidP="002008B3">
            <w:pPr>
              <w:keepNext/>
              <w:spacing w:after="0" w:line="240" w:lineRule="auto"/>
              <w:jc w:val="center"/>
              <w:textAlignment w:val="bottom"/>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WD</w:t>
            </w:r>
          </w:p>
        </w:tc>
        <w:tc>
          <w:tcPr>
            <w:tcW w:w="1645"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B92542" w:rsidRPr="002F4A08" w:rsidRDefault="00B92542" w:rsidP="002008B3">
            <w:pPr>
              <w:keepNext/>
              <w:spacing w:after="0" w:line="240" w:lineRule="auto"/>
              <w:jc w:val="center"/>
              <w:textAlignment w:val="bottom"/>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WAD</w:t>
            </w:r>
          </w:p>
        </w:tc>
        <w:tc>
          <w:tcPr>
            <w:tcW w:w="145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B92542" w:rsidRPr="002F4A08" w:rsidRDefault="00B92542" w:rsidP="002008B3">
            <w:pPr>
              <w:keepNext/>
              <w:spacing w:after="0" w:line="240" w:lineRule="auto"/>
              <w:jc w:val="center"/>
              <w:textAlignment w:val="bottom"/>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MAPE</w:t>
            </w:r>
          </w:p>
        </w:tc>
        <w:tc>
          <w:tcPr>
            <w:tcW w:w="2602"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B92542" w:rsidRPr="002F4A08" w:rsidRDefault="00B92542" w:rsidP="002008B3">
            <w:pPr>
              <w:keepNext/>
              <w:spacing w:after="0" w:line="240" w:lineRule="auto"/>
              <w:jc w:val="center"/>
              <w:textAlignment w:val="bottom"/>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WAD</w:t>
            </w:r>
          </w:p>
        </w:tc>
      </w:tr>
      <w:tr w:rsidR="00B92542" w:rsidRPr="002F4A08" w:rsidTr="00E32E48">
        <w:trPr>
          <w:trHeight w:val="375"/>
        </w:trPr>
        <w:tc>
          <w:tcPr>
            <w:tcW w:w="16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CB</w:t>
            </w:r>
          </w:p>
        </w:tc>
        <w:tc>
          <w:tcPr>
            <w:tcW w:w="1594"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-39.</w:t>
            </w:r>
            <w:r w:rsidR="00B92542" w:rsidRPr="002F4A08">
              <w:rPr>
                <w:rFonts w:ascii="Calibri" w:eastAsia="Lucida Sans Unicode" w:hAnsi="Calibri" w:cs="Calibri"/>
                <w:color w:val="000000" w:themeColor="dark1"/>
                <w:kern w:val="24"/>
                <w:sz w:val="24"/>
                <w:szCs w:val="24"/>
                <w:lang w:val="en-US"/>
              </w:rPr>
              <w:t>99%</w:t>
            </w:r>
          </w:p>
        </w:tc>
        <w:tc>
          <w:tcPr>
            <w:tcW w:w="1645"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40.</w:t>
            </w:r>
            <w:r w:rsidR="00B92542" w:rsidRPr="002F4A08">
              <w:rPr>
                <w:rFonts w:ascii="Calibri" w:eastAsia="Lucida Sans Unicode" w:hAnsi="Calibri" w:cs="Calibri"/>
                <w:color w:val="000000" w:themeColor="dark1"/>
                <w:kern w:val="24"/>
                <w:sz w:val="24"/>
                <w:szCs w:val="24"/>
                <w:lang w:val="en-US"/>
              </w:rPr>
              <w:t>11%</w:t>
            </w:r>
          </w:p>
        </w:tc>
        <w:tc>
          <w:tcPr>
            <w:tcW w:w="145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58.</w:t>
            </w:r>
            <w:r w:rsidR="00B92542" w:rsidRPr="002F4A08">
              <w:rPr>
                <w:rFonts w:ascii="Calibri" w:eastAsia="Lucida Sans Unicode" w:hAnsi="Calibri" w:cs="Calibri"/>
                <w:color w:val="000000" w:themeColor="dark1"/>
                <w:kern w:val="24"/>
                <w:sz w:val="24"/>
                <w:szCs w:val="24"/>
                <w:lang w:val="en-US"/>
              </w:rPr>
              <w:t>43%</w:t>
            </w:r>
          </w:p>
        </w:tc>
        <w:tc>
          <w:tcPr>
            <w:tcW w:w="260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15.</w:t>
            </w:r>
            <w:r w:rsidR="00B92542" w:rsidRPr="002F4A08">
              <w:rPr>
                <w:rFonts w:ascii="Calibri" w:eastAsia="Lucida Sans Unicode" w:hAnsi="Calibri" w:cs="Calibri"/>
                <w:color w:val="000000" w:themeColor="dark1"/>
                <w:kern w:val="24"/>
                <w:sz w:val="24"/>
                <w:szCs w:val="24"/>
                <w:lang w:val="en-US"/>
              </w:rPr>
              <w:t>13%</w:t>
            </w:r>
          </w:p>
        </w:tc>
      </w:tr>
      <w:tr w:rsidR="00B92542" w:rsidRPr="002F4A08" w:rsidTr="00E32E48">
        <w:trPr>
          <w:trHeight w:val="375"/>
        </w:trPr>
        <w:tc>
          <w:tcPr>
            <w:tcW w:w="1669"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SLQ</w:t>
            </w:r>
          </w:p>
        </w:tc>
        <w:tc>
          <w:tcPr>
            <w:tcW w:w="1594" w:type="dxa"/>
            <w:tcBorders>
              <w:top w:val="single" w:sz="8"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-29.</w:t>
            </w:r>
            <w:r w:rsidR="00B92542" w:rsidRPr="002F4A08">
              <w:rPr>
                <w:rFonts w:ascii="Calibri" w:eastAsia="Lucida Sans Unicode" w:hAnsi="Calibri" w:cs="Calibri"/>
                <w:color w:val="000000" w:themeColor="dark1"/>
                <w:kern w:val="24"/>
                <w:sz w:val="24"/>
                <w:szCs w:val="24"/>
                <w:lang w:val="en-US"/>
              </w:rPr>
              <w:t>37%</w:t>
            </w:r>
          </w:p>
        </w:tc>
        <w:tc>
          <w:tcPr>
            <w:tcW w:w="1645"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30.</w:t>
            </w:r>
            <w:r w:rsidR="00B92542" w:rsidRPr="002F4A08">
              <w:rPr>
                <w:rFonts w:ascii="Calibri" w:eastAsia="Lucida Sans Unicode" w:hAnsi="Calibri" w:cs="Calibri"/>
                <w:color w:val="000000" w:themeColor="dark1"/>
                <w:kern w:val="24"/>
                <w:sz w:val="24"/>
                <w:szCs w:val="24"/>
                <w:lang w:val="en-US"/>
              </w:rPr>
              <w:t>28%</w:t>
            </w:r>
          </w:p>
        </w:tc>
        <w:tc>
          <w:tcPr>
            <w:tcW w:w="145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46.</w:t>
            </w:r>
            <w:r w:rsidR="00B92542" w:rsidRPr="002F4A08">
              <w:rPr>
                <w:rFonts w:ascii="Calibri" w:eastAsia="Lucida Sans Unicode" w:hAnsi="Calibri" w:cs="Calibri"/>
                <w:color w:val="000000" w:themeColor="dark1"/>
                <w:kern w:val="24"/>
                <w:sz w:val="24"/>
                <w:szCs w:val="24"/>
                <w:lang w:val="en-US"/>
              </w:rPr>
              <w:t>95%</w:t>
            </w:r>
          </w:p>
        </w:tc>
        <w:tc>
          <w:tcPr>
            <w:tcW w:w="2602"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11.</w:t>
            </w:r>
            <w:r w:rsidR="00B92542" w:rsidRPr="002F4A08">
              <w:rPr>
                <w:rFonts w:ascii="Calibri" w:eastAsia="Lucida Sans Unicode" w:hAnsi="Calibri" w:cs="Calibri"/>
                <w:color w:val="000000" w:themeColor="dark1"/>
                <w:kern w:val="24"/>
                <w:sz w:val="24"/>
                <w:szCs w:val="24"/>
                <w:lang w:val="en-US"/>
              </w:rPr>
              <w:t>72%</w:t>
            </w:r>
          </w:p>
        </w:tc>
      </w:tr>
      <w:tr w:rsidR="00B92542" w:rsidRPr="002F4A08" w:rsidTr="00E32E48">
        <w:trPr>
          <w:trHeight w:val="375"/>
        </w:trPr>
        <w:tc>
          <w:tcPr>
            <w:tcW w:w="16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FLQ (opt.)</w:t>
            </w:r>
          </w:p>
        </w:tc>
        <w:tc>
          <w:tcPr>
            <w:tcW w:w="1594"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 xml:space="preserve">    1.</w:t>
            </w:r>
            <w:r w:rsidR="00B92542" w:rsidRPr="002F4A08">
              <w:rPr>
                <w:rFonts w:ascii="Calibri" w:eastAsia="Lucida Sans Unicode" w:hAnsi="Calibri" w:cs="Calibri"/>
                <w:color w:val="000000" w:themeColor="dark1"/>
                <w:kern w:val="24"/>
                <w:sz w:val="24"/>
                <w:szCs w:val="24"/>
                <w:lang w:val="en-US"/>
              </w:rPr>
              <w:t>39%</w:t>
            </w:r>
          </w:p>
        </w:tc>
        <w:tc>
          <w:tcPr>
            <w:tcW w:w="1645"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61.</w:t>
            </w:r>
            <w:r w:rsidR="00B92542" w:rsidRPr="002F4A08">
              <w:rPr>
                <w:rFonts w:ascii="Calibri" w:eastAsia="Lucida Sans Unicode" w:hAnsi="Calibri" w:cs="Calibri"/>
                <w:color w:val="000000" w:themeColor="dark1"/>
                <w:kern w:val="24"/>
                <w:sz w:val="24"/>
                <w:szCs w:val="24"/>
                <w:lang w:val="en-US"/>
              </w:rPr>
              <w:t>60%</w:t>
            </w:r>
          </w:p>
        </w:tc>
        <w:tc>
          <w:tcPr>
            <w:tcW w:w="145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39.</w:t>
            </w:r>
            <w:r w:rsidR="00B92542" w:rsidRPr="002F4A08">
              <w:rPr>
                <w:rFonts w:ascii="Calibri" w:eastAsia="Lucida Sans Unicode" w:hAnsi="Calibri" w:cs="Calibri"/>
                <w:color w:val="000000" w:themeColor="dark1"/>
                <w:kern w:val="24"/>
                <w:sz w:val="24"/>
                <w:szCs w:val="24"/>
                <w:lang w:val="en-US"/>
              </w:rPr>
              <w:t>88%</w:t>
            </w:r>
          </w:p>
        </w:tc>
        <w:tc>
          <w:tcPr>
            <w:tcW w:w="260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4.</w:t>
            </w:r>
            <w:r w:rsidR="00B92542" w:rsidRPr="002F4A08">
              <w:rPr>
                <w:rFonts w:ascii="Calibri" w:eastAsia="Lucida Sans Unicode" w:hAnsi="Calibri" w:cs="Calibri"/>
                <w:color w:val="000000" w:themeColor="dark1"/>
                <w:kern w:val="24"/>
                <w:sz w:val="24"/>
                <w:szCs w:val="24"/>
                <w:lang w:val="en-US"/>
              </w:rPr>
              <w:t>80%</w:t>
            </w:r>
          </w:p>
        </w:tc>
      </w:tr>
      <w:tr w:rsidR="00B92542" w:rsidRPr="002F4A08" w:rsidTr="00E32E48">
        <w:trPr>
          <w:trHeight w:val="375"/>
        </w:trPr>
        <w:tc>
          <w:tcPr>
            <w:tcW w:w="1669"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FLQ (0.3)</w:t>
            </w:r>
          </w:p>
        </w:tc>
        <w:tc>
          <w:tcPr>
            <w:tcW w:w="1594" w:type="dxa"/>
            <w:tcBorders>
              <w:top w:val="single" w:sz="8"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 xml:space="preserve"> 14.</w:t>
            </w:r>
            <w:r w:rsidR="00B92542" w:rsidRPr="002F4A08">
              <w:rPr>
                <w:rFonts w:ascii="Calibri" w:eastAsia="Lucida Sans Unicode" w:hAnsi="Calibri" w:cs="Calibri"/>
                <w:color w:val="000000" w:themeColor="dark1"/>
                <w:kern w:val="24"/>
                <w:sz w:val="24"/>
                <w:szCs w:val="24"/>
                <w:lang w:val="en-US"/>
              </w:rPr>
              <w:t>02%</w:t>
            </w:r>
          </w:p>
        </w:tc>
        <w:tc>
          <w:tcPr>
            <w:tcW w:w="1645"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80.</w:t>
            </w:r>
            <w:r w:rsidR="00B92542" w:rsidRPr="002F4A08">
              <w:rPr>
                <w:rFonts w:ascii="Calibri" w:eastAsia="Lucida Sans Unicode" w:hAnsi="Calibri" w:cs="Calibri"/>
                <w:color w:val="000000" w:themeColor="dark1"/>
                <w:kern w:val="24"/>
                <w:sz w:val="24"/>
                <w:szCs w:val="24"/>
                <w:lang w:val="en-US"/>
              </w:rPr>
              <w:t>28%</w:t>
            </w:r>
          </w:p>
        </w:tc>
        <w:tc>
          <w:tcPr>
            <w:tcW w:w="145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37.</w:t>
            </w:r>
            <w:r w:rsidR="00B92542" w:rsidRPr="002F4A08">
              <w:rPr>
                <w:rFonts w:ascii="Calibri" w:eastAsia="Lucida Sans Unicode" w:hAnsi="Calibri" w:cs="Calibri"/>
                <w:color w:val="000000" w:themeColor="dark1"/>
                <w:kern w:val="24"/>
                <w:sz w:val="24"/>
                <w:szCs w:val="24"/>
                <w:lang w:val="en-US"/>
              </w:rPr>
              <w:t>81%</w:t>
            </w:r>
          </w:p>
        </w:tc>
        <w:tc>
          <w:tcPr>
            <w:tcW w:w="2602"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8.</w:t>
            </w:r>
            <w:r w:rsidR="00B92542" w:rsidRPr="002F4A08">
              <w:rPr>
                <w:rFonts w:ascii="Calibri" w:eastAsia="Lucida Sans Unicode" w:hAnsi="Calibri" w:cs="Calibri"/>
                <w:color w:val="000000" w:themeColor="dark1"/>
                <w:kern w:val="24"/>
                <w:sz w:val="24"/>
                <w:szCs w:val="24"/>
                <w:lang w:val="en-US"/>
              </w:rPr>
              <w:t>72%</w:t>
            </w:r>
          </w:p>
        </w:tc>
      </w:tr>
      <w:tr w:rsidR="00B92542" w:rsidRPr="002F4A08" w:rsidTr="00E32E48">
        <w:trPr>
          <w:trHeight w:val="375"/>
        </w:trPr>
        <w:tc>
          <w:tcPr>
            <w:tcW w:w="1669"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AFLQ (opt.)</w:t>
            </w:r>
          </w:p>
        </w:tc>
        <w:tc>
          <w:tcPr>
            <w:tcW w:w="1594"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 xml:space="preserve">   1.</w:t>
            </w:r>
            <w:r w:rsidR="00B92542" w:rsidRPr="002F4A08">
              <w:rPr>
                <w:rFonts w:ascii="Calibri" w:eastAsia="Lucida Sans Unicode" w:hAnsi="Calibri" w:cs="Calibri"/>
                <w:color w:val="000000" w:themeColor="dark1"/>
                <w:kern w:val="24"/>
                <w:sz w:val="24"/>
                <w:szCs w:val="24"/>
                <w:lang w:val="en-US"/>
              </w:rPr>
              <w:t>53%</w:t>
            </w:r>
          </w:p>
        </w:tc>
        <w:tc>
          <w:tcPr>
            <w:tcW w:w="1645"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13.</w:t>
            </w:r>
            <w:r w:rsidR="00B92542" w:rsidRPr="002F4A08">
              <w:rPr>
                <w:rFonts w:ascii="Calibri" w:eastAsia="Lucida Sans Unicode" w:hAnsi="Calibri" w:cs="Calibri"/>
                <w:color w:val="000000" w:themeColor="dark1"/>
                <w:kern w:val="24"/>
                <w:sz w:val="24"/>
                <w:szCs w:val="24"/>
                <w:lang w:val="en-US"/>
              </w:rPr>
              <w:t>18%</w:t>
            </w:r>
          </w:p>
        </w:tc>
        <w:tc>
          <w:tcPr>
            <w:tcW w:w="145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40.</w:t>
            </w:r>
            <w:r w:rsidR="00B92542" w:rsidRPr="002F4A08">
              <w:rPr>
                <w:rFonts w:ascii="Calibri" w:eastAsia="Lucida Sans Unicode" w:hAnsi="Calibri" w:cs="Calibri"/>
                <w:color w:val="000000" w:themeColor="dark1"/>
                <w:kern w:val="24"/>
                <w:sz w:val="24"/>
                <w:szCs w:val="24"/>
                <w:lang w:val="en-US"/>
              </w:rPr>
              <w:t>49%</w:t>
            </w:r>
          </w:p>
        </w:tc>
        <w:tc>
          <w:tcPr>
            <w:tcW w:w="2602"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5.</w:t>
            </w:r>
            <w:r w:rsidR="00B92542" w:rsidRPr="002F4A08">
              <w:rPr>
                <w:rFonts w:ascii="Calibri" w:eastAsia="Lucida Sans Unicode" w:hAnsi="Calibri" w:cs="Calibri"/>
                <w:color w:val="000000" w:themeColor="dark1"/>
                <w:kern w:val="24"/>
                <w:sz w:val="24"/>
                <w:szCs w:val="24"/>
                <w:lang w:val="en-US"/>
              </w:rPr>
              <w:t>03%</w:t>
            </w:r>
          </w:p>
        </w:tc>
      </w:tr>
      <w:tr w:rsidR="00B92542" w:rsidRPr="002F4A08" w:rsidTr="00E32E48">
        <w:trPr>
          <w:trHeight w:val="375"/>
        </w:trPr>
        <w:tc>
          <w:tcPr>
            <w:tcW w:w="1669"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rsidR="00B92542" w:rsidRPr="002F4A08" w:rsidRDefault="00B92542" w:rsidP="002008B3">
            <w:pPr>
              <w:keepNext/>
              <w:spacing w:after="0" w:line="240" w:lineRule="auto"/>
              <w:jc w:val="left"/>
              <w:rPr>
                <w:rFonts w:ascii="Arial" w:eastAsia="Times New Roman" w:hAnsi="Arial" w:cs="Arial"/>
                <w:sz w:val="36"/>
                <w:szCs w:val="36"/>
                <w:lang w:val="en-US"/>
              </w:rPr>
            </w:pPr>
            <w:r w:rsidRPr="002F4A08">
              <w:rPr>
                <w:rFonts w:ascii="Calibri" w:eastAsia="Lucida Sans Unicode" w:hAnsi="Calibri" w:cs="Calibri"/>
                <w:b/>
                <w:bCs/>
                <w:color w:val="000000" w:themeColor="dark1"/>
                <w:kern w:val="24"/>
                <w:sz w:val="24"/>
                <w:szCs w:val="24"/>
                <w:lang w:val="en-US"/>
              </w:rPr>
              <w:t>AFLQ (0.4)</w:t>
            </w:r>
          </w:p>
        </w:tc>
        <w:tc>
          <w:tcPr>
            <w:tcW w:w="1594" w:type="dxa"/>
            <w:tcBorders>
              <w:top w:val="single" w:sz="8"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17.</w:t>
            </w:r>
            <w:r w:rsidR="00B92542" w:rsidRPr="002F4A08">
              <w:rPr>
                <w:rFonts w:ascii="Calibri" w:eastAsia="Lucida Sans Unicode" w:hAnsi="Calibri" w:cs="Calibri"/>
                <w:color w:val="000000" w:themeColor="dark1"/>
                <w:kern w:val="24"/>
                <w:sz w:val="24"/>
                <w:szCs w:val="24"/>
                <w:lang w:val="en-US"/>
              </w:rPr>
              <w:t>03%</w:t>
            </w:r>
          </w:p>
        </w:tc>
        <w:tc>
          <w:tcPr>
            <w:tcW w:w="1645"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20.</w:t>
            </w:r>
            <w:r w:rsidR="00B92542" w:rsidRPr="002F4A08">
              <w:rPr>
                <w:rFonts w:ascii="Calibri" w:eastAsia="Lucida Sans Unicode" w:hAnsi="Calibri" w:cs="Calibri"/>
                <w:color w:val="000000" w:themeColor="dark1"/>
                <w:kern w:val="24"/>
                <w:sz w:val="24"/>
                <w:szCs w:val="24"/>
                <w:lang w:val="en-US"/>
              </w:rPr>
              <w:t>05%</w:t>
            </w:r>
          </w:p>
        </w:tc>
        <w:tc>
          <w:tcPr>
            <w:tcW w:w="145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37.</w:t>
            </w:r>
            <w:r w:rsidR="00B92542" w:rsidRPr="002F4A08">
              <w:rPr>
                <w:rFonts w:ascii="Calibri" w:eastAsia="Lucida Sans Unicode" w:hAnsi="Calibri" w:cs="Calibri"/>
                <w:color w:val="000000" w:themeColor="dark1"/>
                <w:kern w:val="24"/>
                <w:sz w:val="24"/>
                <w:szCs w:val="24"/>
                <w:lang w:val="en-US"/>
              </w:rPr>
              <w:t>81%</w:t>
            </w:r>
          </w:p>
        </w:tc>
        <w:tc>
          <w:tcPr>
            <w:tcW w:w="2602"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B92542" w:rsidRPr="002F4A08" w:rsidRDefault="00E32E48" w:rsidP="002008B3">
            <w:pPr>
              <w:keepNext/>
              <w:spacing w:after="0" w:line="240" w:lineRule="auto"/>
              <w:jc w:val="right"/>
              <w:textAlignment w:val="bottom"/>
              <w:rPr>
                <w:rFonts w:ascii="Arial" w:eastAsia="Times New Roman" w:hAnsi="Arial" w:cs="Arial"/>
                <w:sz w:val="36"/>
                <w:szCs w:val="36"/>
                <w:lang w:val="en-US"/>
              </w:rPr>
            </w:pPr>
            <w:r w:rsidRPr="002F4A08">
              <w:rPr>
                <w:rFonts w:ascii="Calibri" w:eastAsia="Lucida Sans Unicode" w:hAnsi="Calibri" w:cs="Calibri"/>
                <w:color w:val="000000" w:themeColor="dark1"/>
                <w:kern w:val="24"/>
                <w:sz w:val="24"/>
                <w:szCs w:val="24"/>
                <w:lang w:val="en-US"/>
              </w:rPr>
              <w:t>8.</w:t>
            </w:r>
            <w:r w:rsidR="00B92542" w:rsidRPr="002F4A08">
              <w:rPr>
                <w:rFonts w:ascii="Calibri" w:eastAsia="Lucida Sans Unicode" w:hAnsi="Calibri" w:cs="Calibri"/>
                <w:color w:val="000000" w:themeColor="dark1"/>
                <w:kern w:val="24"/>
                <w:sz w:val="24"/>
                <w:szCs w:val="24"/>
                <w:lang w:val="en-US"/>
              </w:rPr>
              <w:t>12%</w:t>
            </w:r>
          </w:p>
        </w:tc>
      </w:tr>
    </w:tbl>
    <w:p w:rsidR="00E32E48" w:rsidRPr="002F4A08" w:rsidRDefault="0003041A" w:rsidP="002008B3">
      <w:pPr>
        <w:pStyle w:val="SourceSTEPreprint"/>
        <w:keepNext/>
        <w:rPr>
          <w:rFonts w:asciiTheme="minorHAnsi" w:hAnsiTheme="minorHAnsi"/>
          <w:lang w:val="en-US"/>
        </w:rPr>
      </w:pPr>
      <w:r w:rsidRPr="002F4A08">
        <w:rPr>
          <w:rFonts w:asciiTheme="minorHAnsi" w:hAnsiTheme="minorHAnsi"/>
          <w:lang w:val="en-US"/>
        </w:rPr>
        <w:t>Source: author</w:t>
      </w:r>
      <w:r w:rsidR="00E32E48" w:rsidRPr="002F4A08">
        <w:rPr>
          <w:rFonts w:asciiTheme="minorHAnsi" w:hAnsiTheme="minorHAnsi"/>
          <w:lang w:val="en-US"/>
        </w:rPr>
        <w:t>s</w:t>
      </w:r>
      <w:r w:rsidRPr="002F4A08">
        <w:rPr>
          <w:rFonts w:asciiTheme="minorHAnsi" w:hAnsiTheme="minorHAnsi"/>
          <w:lang w:val="en-US"/>
        </w:rPr>
        <w:t>’</w:t>
      </w:r>
      <w:r w:rsidR="00E32E48" w:rsidRPr="002F4A08">
        <w:rPr>
          <w:rFonts w:asciiTheme="minorHAnsi" w:hAnsiTheme="minorHAnsi"/>
          <w:lang w:val="en-US"/>
        </w:rPr>
        <w:t xml:space="preserve"> calculation</w:t>
      </w:r>
      <w:r w:rsidRPr="002F4A08">
        <w:rPr>
          <w:rFonts w:asciiTheme="minorHAnsi" w:hAnsiTheme="minorHAnsi"/>
          <w:lang w:val="en-US"/>
        </w:rPr>
        <w:t>s</w:t>
      </w:r>
      <w:r w:rsidR="00E32E48" w:rsidRPr="002F4A08">
        <w:rPr>
          <w:rFonts w:asciiTheme="minorHAnsi" w:hAnsiTheme="minorHAnsi"/>
          <w:lang w:val="en-US"/>
        </w:rPr>
        <w:tab/>
      </w:r>
      <w:r w:rsidR="00E32E48" w:rsidRPr="002F4A08">
        <w:rPr>
          <w:rFonts w:asciiTheme="minorHAnsi" w:hAnsiTheme="minorHAnsi"/>
          <w:lang w:val="en-US"/>
        </w:rPr>
        <w:tab/>
      </w:r>
      <w:r w:rsidR="00E32E48" w:rsidRPr="002F4A08">
        <w:rPr>
          <w:rFonts w:asciiTheme="minorHAnsi" w:hAnsiTheme="minorHAnsi"/>
          <w:lang w:val="en-US"/>
        </w:rPr>
        <w:tab/>
      </w:r>
      <w:r w:rsidR="00E32E48" w:rsidRPr="002F4A08">
        <w:rPr>
          <w:rFonts w:asciiTheme="minorHAnsi" w:hAnsiTheme="minorHAnsi"/>
          <w:lang w:val="en-US"/>
        </w:rPr>
        <w:tab/>
      </w:r>
      <w:r w:rsidR="00E32E48"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3C51A6" w:rsidRPr="002F4A08" w:rsidRDefault="00167F6D" w:rsidP="00E51779">
      <w:pPr>
        <w:rPr>
          <w:lang w:val="en-US"/>
        </w:rPr>
      </w:pPr>
      <w:r w:rsidRPr="002F4A08">
        <w:rPr>
          <w:lang w:val="en-US"/>
        </w:rPr>
        <w:fldChar w:fldCharType="begin"/>
      </w:r>
      <w:r w:rsidRPr="002F4A08">
        <w:rPr>
          <w:lang w:val="en-US"/>
        </w:rPr>
        <w:instrText xml:space="preserve"> REF _Ref323136593 \h  \* MERGEFORMAT </w:instrText>
      </w:r>
      <w:r w:rsidRPr="002F4A08">
        <w:rPr>
          <w:lang w:val="en-US"/>
        </w:rPr>
      </w:r>
      <w:r w:rsidRPr="002F4A08">
        <w:rPr>
          <w:lang w:val="en-US"/>
        </w:rPr>
        <w:fldChar w:fldCharType="separate"/>
      </w:r>
      <w:r w:rsidR="001B1E67" w:rsidRPr="002F4A08">
        <w:rPr>
          <w:lang w:val="en-US"/>
        </w:rPr>
        <w:t>Figure 1</w:t>
      </w:r>
      <w:r w:rsidRPr="002F4A08">
        <w:rPr>
          <w:lang w:val="en-US"/>
        </w:rPr>
        <w:fldChar w:fldCharType="end"/>
      </w:r>
      <w:r w:rsidR="009B6B9A" w:rsidRPr="002F4A08">
        <w:rPr>
          <w:lang w:val="en-US"/>
        </w:rPr>
        <w:t xml:space="preserve"> </w:t>
      </w:r>
      <w:r w:rsidR="00911EBF" w:rsidRPr="002F4A08">
        <w:rPr>
          <w:lang w:val="en-US"/>
        </w:rPr>
        <w:t>presents the shares of</w:t>
      </w:r>
      <w:r w:rsidR="00E84C28" w:rsidRPr="002F4A08">
        <w:rPr>
          <w:lang w:val="en-US"/>
        </w:rPr>
        <w:t xml:space="preserve"> (domestic) intermediate inputs in output by sector. AFLQ</w:t>
      </w:r>
      <w:r w:rsidR="009F6B94" w:rsidRPr="002F4A08">
        <w:rPr>
          <w:lang w:val="en-US"/>
        </w:rPr>
        <w:t>(opt</w:t>
      </w:r>
      <w:r w:rsidR="00E84C28" w:rsidRPr="002F4A08">
        <w:rPr>
          <w:lang w:val="en-US"/>
        </w:rPr>
        <w:t>) is excluded for sake of clearness, as there is no big difference to the result of FLQ</w:t>
      </w:r>
      <w:r w:rsidR="009F6B94" w:rsidRPr="002F4A08">
        <w:rPr>
          <w:lang w:val="en-US"/>
        </w:rPr>
        <w:t xml:space="preserve"> (opt)</w:t>
      </w:r>
      <w:r w:rsidR="00E84C28" w:rsidRPr="002F4A08">
        <w:rPr>
          <w:lang w:val="en-US"/>
        </w:rPr>
        <w:t xml:space="preserve">. </w:t>
      </w:r>
      <w:r w:rsidR="00911EBF" w:rsidRPr="002F4A08">
        <w:rPr>
          <w:lang w:val="en-US"/>
        </w:rPr>
        <w:t xml:space="preserve">It can generally be said that in contrast to SLQ and CB, FLQ, despite from being closer to the benchmark table for most industries, does not overestimate intermediate inputs uniformly, but rather underestimates intermediate inputs in many cases. </w:t>
      </w:r>
    </w:p>
    <w:p w:rsidR="007E632F" w:rsidRPr="002F4A08" w:rsidRDefault="007E632F" w:rsidP="007E632F">
      <w:pPr>
        <w:pStyle w:val="Beschriftung"/>
        <w:keepNext/>
        <w:rPr>
          <w:sz w:val="22"/>
          <w:szCs w:val="22"/>
          <w:lang w:val="en-US"/>
        </w:rPr>
      </w:pPr>
      <w:bookmarkStart w:id="7" w:name="_Ref323136593"/>
      <w:r w:rsidRPr="002F4A08">
        <w:rPr>
          <w:sz w:val="22"/>
          <w:szCs w:val="22"/>
          <w:lang w:val="en-US"/>
        </w:rPr>
        <w:lastRenderedPageBreak/>
        <w:t xml:space="preserve">Figure </w:t>
      </w:r>
      <w:r w:rsidR="00662E01" w:rsidRPr="002F4A08">
        <w:rPr>
          <w:sz w:val="22"/>
          <w:szCs w:val="22"/>
          <w:lang w:val="en-US"/>
        </w:rPr>
        <w:fldChar w:fldCharType="begin"/>
      </w:r>
      <w:r w:rsidR="008678F1" w:rsidRPr="002F4A08">
        <w:rPr>
          <w:sz w:val="22"/>
          <w:szCs w:val="22"/>
          <w:lang w:val="en-US"/>
        </w:rPr>
        <w:instrText xml:space="preserve"> SEQ Figure \* ARABIC </w:instrText>
      </w:r>
      <w:r w:rsidR="00662E01" w:rsidRPr="002F4A08">
        <w:rPr>
          <w:sz w:val="22"/>
          <w:szCs w:val="22"/>
          <w:lang w:val="en-US"/>
        </w:rPr>
        <w:fldChar w:fldCharType="separate"/>
      </w:r>
      <w:r w:rsidR="001B1E67" w:rsidRPr="002F4A08">
        <w:rPr>
          <w:noProof/>
          <w:sz w:val="22"/>
          <w:szCs w:val="22"/>
          <w:lang w:val="en-US"/>
        </w:rPr>
        <w:t>1</w:t>
      </w:r>
      <w:r w:rsidR="00662E01" w:rsidRPr="002F4A08">
        <w:rPr>
          <w:sz w:val="22"/>
          <w:szCs w:val="22"/>
          <w:lang w:val="en-US"/>
        </w:rPr>
        <w:fldChar w:fldCharType="end"/>
      </w:r>
      <w:bookmarkEnd w:id="7"/>
      <w:r w:rsidR="00C76886" w:rsidRPr="002F4A08">
        <w:rPr>
          <w:sz w:val="22"/>
          <w:szCs w:val="22"/>
          <w:lang w:val="en-US"/>
        </w:rPr>
        <w:t xml:space="preserve">: </w:t>
      </w:r>
      <w:r w:rsidR="00911EBF" w:rsidRPr="002F4A08">
        <w:rPr>
          <w:sz w:val="22"/>
          <w:szCs w:val="22"/>
          <w:lang w:val="en-US"/>
        </w:rPr>
        <w:t xml:space="preserve">Share of </w:t>
      </w:r>
      <w:r w:rsidRPr="002F4A08">
        <w:rPr>
          <w:sz w:val="22"/>
          <w:szCs w:val="22"/>
          <w:lang w:val="en-US"/>
        </w:rPr>
        <w:t>(</w:t>
      </w:r>
      <w:r w:rsidR="00E84C28" w:rsidRPr="002F4A08">
        <w:rPr>
          <w:sz w:val="22"/>
          <w:szCs w:val="22"/>
          <w:lang w:val="en-US"/>
        </w:rPr>
        <w:t>domestic</w:t>
      </w:r>
      <w:r w:rsidRPr="002F4A08">
        <w:rPr>
          <w:sz w:val="22"/>
          <w:szCs w:val="22"/>
          <w:lang w:val="en-US"/>
        </w:rPr>
        <w:t xml:space="preserve">) intermediate inputs in output by industry </w:t>
      </w:r>
      <w:r w:rsidR="00C76886" w:rsidRPr="002F4A08">
        <w:rPr>
          <w:sz w:val="22"/>
          <w:szCs w:val="22"/>
          <w:lang w:val="en-US"/>
        </w:rPr>
        <w:t>(%)</w:t>
      </w:r>
    </w:p>
    <w:p w:rsidR="003C51A6" w:rsidRPr="002F4A08" w:rsidRDefault="00E32E48" w:rsidP="007E632F">
      <w:pPr>
        <w:pStyle w:val="Default"/>
        <w:keepNext/>
        <w:spacing w:line="276" w:lineRule="auto"/>
        <w:jc w:val="both"/>
        <w:rPr>
          <w:lang w:val="en-US"/>
        </w:rPr>
      </w:pPr>
      <w:r w:rsidRPr="002F4A08">
        <w:rPr>
          <w:noProof/>
        </w:rPr>
        <w:drawing>
          <wp:inline distT="0" distB="0" distL="0" distR="0" wp14:anchorId="0BE0C1EE" wp14:editId="487C85BA">
            <wp:extent cx="5762625" cy="327660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5760720" cy="3275517"/>
                    </a:xfrm>
                    <a:prstGeom prst="rect">
                      <a:avLst/>
                    </a:prstGeom>
                  </pic:spPr>
                </pic:pic>
              </a:graphicData>
            </a:graphic>
          </wp:inline>
        </w:drawing>
      </w:r>
    </w:p>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E32E48" w:rsidRPr="002F4A08" w:rsidRDefault="002008B3" w:rsidP="00E51779">
      <w:pPr>
        <w:rPr>
          <w:lang w:val="en-US"/>
        </w:rPr>
      </w:pPr>
      <w:r>
        <w:rPr>
          <w:lang w:val="en-US"/>
        </w:rPr>
        <w:fldChar w:fldCharType="begin"/>
      </w:r>
      <w:r>
        <w:rPr>
          <w:lang w:val="en-US"/>
        </w:rPr>
        <w:instrText xml:space="preserve"> REF _Ref323303624 \h </w:instrText>
      </w:r>
      <w:r>
        <w:rPr>
          <w:lang w:val="en-US"/>
        </w:rPr>
      </w:r>
      <w:r>
        <w:rPr>
          <w:lang w:val="en-US"/>
        </w:rPr>
        <w:fldChar w:fldCharType="separate"/>
      </w:r>
      <w:r w:rsidRPr="002F4A08">
        <w:rPr>
          <w:lang w:val="en-US"/>
        </w:rPr>
        <w:t xml:space="preserve">Figure </w:t>
      </w:r>
      <w:r w:rsidRPr="002F4A08">
        <w:rPr>
          <w:noProof/>
          <w:lang w:val="en-US"/>
        </w:rPr>
        <w:t>2</w:t>
      </w:r>
      <w:r>
        <w:rPr>
          <w:lang w:val="en-US"/>
        </w:rPr>
        <w:fldChar w:fldCharType="end"/>
      </w:r>
      <w:r>
        <w:rPr>
          <w:lang w:val="en-US"/>
        </w:rPr>
        <w:t xml:space="preserve"> </w:t>
      </w:r>
      <w:r w:rsidR="00911EBF" w:rsidRPr="002F4A08">
        <w:rPr>
          <w:lang w:val="en-US"/>
        </w:rPr>
        <w:t xml:space="preserve">presents the deviations of estimated output multipliers from their benchmark counterparts on the level of industries. Whereas CB and SLQ generally overestimate </w:t>
      </w:r>
      <w:r w:rsidR="009F6B94" w:rsidRPr="002F4A08">
        <w:rPr>
          <w:lang w:val="en-US"/>
        </w:rPr>
        <w:t>output multipliers</w:t>
      </w:r>
      <w:r w:rsidR="009B6B9A" w:rsidRPr="002F4A08">
        <w:rPr>
          <w:lang w:val="en-US"/>
        </w:rPr>
        <w:t>, despite of few cases, deviations of FLQ and AFLQ estimates are considerably smaller and have positive as well as negative directions. The pattern of overestimation over several industries of CB and SLQ show that both methods delivers results that go in a similar direction indicating the both close theoretical relations</w:t>
      </w:r>
      <w:r w:rsidR="00F30C09" w:rsidRPr="002F4A08">
        <w:rPr>
          <w:lang w:val="en-US"/>
        </w:rPr>
        <w:t xml:space="preserve">hip of both methods </w:t>
      </w:r>
      <w:r>
        <w:rPr>
          <w:lang w:val="en-US"/>
        </w:rPr>
        <w:fldChar w:fldCharType="begin"/>
      </w:r>
      <w:r>
        <w:rPr>
          <w:lang w:val="en-US"/>
        </w:rPr>
        <w:instrText xml:space="preserve"> ADDIN EN.CITE &lt;EndNote&gt;&lt;Cite&gt;&lt;Author&gt;Round&lt;/Author&gt;&lt;Year&gt;1972&lt;/Year&gt;&lt;RecNum&gt;582&lt;/RecNum&gt;&lt;DisplayText&gt;(Round, 1972)&lt;/DisplayText&gt;&lt;record&gt;&lt;rec-number&gt;582&lt;/rec-number&gt;&lt;foreign-keys&gt;&lt;key app="EN" db-id="fsxszs05u5f00setapvp9rzrpww0505fwf9v"&gt;582&lt;/key&gt;&lt;/foreign-keys&gt;&lt;ref-type name="Journal Article"&gt;17&lt;/ref-type&gt;&lt;contributors&gt;&lt;authors&gt;&lt;author&gt;Round, J.L.&lt;/author&gt;&lt;/authors&gt;&lt;/contributors&gt;&lt;titles&gt;&lt;title&gt;Regional Input-Output Models in the U.K.: A Reappraisal of Some Techniques&lt;/title&gt;&lt;secondary-title&gt;Regional Studies&lt;/secondary-title&gt;&lt;/titles&gt;&lt;periodical&gt;&lt;full-title&gt;Regional Studies&lt;/full-title&gt;&lt;/periodical&gt;&lt;pages&gt;1-9&lt;/pages&gt;&lt;volume&gt;6&lt;/volume&gt;&lt;dates&gt;&lt;year&gt;1972&lt;/year&gt;&lt;/dates&gt;&lt;urls&gt;&lt;/urls&gt;&lt;/record&gt;&lt;/Cite&gt;&lt;/EndNote&gt;</w:instrText>
      </w:r>
      <w:r>
        <w:rPr>
          <w:lang w:val="en-US"/>
        </w:rPr>
        <w:fldChar w:fldCharType="separate"/>
      </w:r>
      <w:r>
        <w:rPr>
          <w:noProof/>
          <w:lang w:val="en-US"/>
        </w:rPr>
        <w:t>(</w:t>
      </w:r>
      <w:hyperlink w:anchor="_ENREF_11" w:tooltip="Round, 1972 #582" w:history="1">
        <w:r w:rsidR="00B07F05">
          <w:rPr>
            <w:noProof/>
            <w:lang w:val="en-US"/>
          </w:rPr>
          <w:t>Round, 1972</w:t>
        </w:r>
      </w:hyperlink>
      <w:r>
        <w:rPr>
          <w:noProof/>
          <w:lang w:val="en-US"/>
        </w:rPr>
        <w:t>)</w:t>
      </w:r>
      <w:r>
        <w:rPr>
          <w:lang w:val="en-US"/>
        </w:rPr>
        <w:fldChar w:fldCharType="end"/>
      </w:r>
      <w:r w:rsidR="009B6B9A" w:rsidRPr="002F4A08">
        <w:rPr>
          <w:lang w:val="en-US"/>
        </w:rPr>
        <w:t>, whereby the deviations of CB from the be</w:t>
      </w:r>
      <w:r w:rsidR="00E51779" w:rsidRPr="002F4A08">
        <w:rPr>
          <w:lang w:val="en-US"/>
        </w:rPr>
        <w:t>nchmark are generally greater.</w:t>
      </w:r>
    </w:p>
    <w:p w:rsidR="00911EBF" w:rsidRPr="002F4A08" w:rsidRDefault="00911EBF" w:rsidP="00911EBF">
      <w:pPr>
        <w:pStyle w:val="Beschriftung"/>
        <w:keepNext/>
        <w:rPr>
          <w:lang w:val="en-US"/>
        </w:rPr>
      </w:pPr>
      <w:bookmarkStart w:id="8" w:name="_Ref323303624"/>
      <w:r w:rsidRPr="002F4A08">
        <w:rPr>
          <w:lang w:val="en-US"/>
        </w:rPr>
        <w:lastRenderedPageBreak/>
        <w:t xml:space="preserve">Figure </w:t>
      </w:r>
      <w:r w:rsidR="00167F6D" w:rsidRPr="002F4A08">
        <w:rPr>
          <w:lang w:val="en-US"/>
        </w:rPr>
        <w:fldChar w:fldCharType="begin"/>
      </w:r>
      <w:r w:rsidR="00167F6D" w:rsidRPr="002F4A08">
        <w:rPr>
          <w:lang w:val="en-US"/>
        </w:rPr>
        <w:instrText xml:space="preserve"> SEQ Figure \* ARABIC </w:instrText>
      </w:r>
      <w:r w:rsidR="00167F6D" w:rsidRPr="002F4A08">
        <w:rPr>
          <w:lang w:val="en-US"/>
        </w:rPr>
        <w:fldChar w:fldCharType="separate"/>
      </w:r>
      <w:r w:rsidR="001B1E67" w:rsidRPr="002F4A08">
        <w:rPr>
          <w:noProof/>
          <w:lang w:val="en-US"/>
        </w:rPr>
        <w:t>2</w:t>
      </w:r>
      <w:r w:rsidR="00167F6D" w:rsidRPr="002F4A08">
        <w:rPr>
          <w:noProof/>
          <w:lang w:val="en-US"/>
        </w:rPr>
        <w:fldChar w:fldCharType="end"/>
      </w:r>
      <w:bookmarkEnd w:id="8"/>
      <w:r w:rsidRPr="002F4A08">
        <w:rPr>
          <w:lang w:val="en-US"/>
        </w:rPr>
        <w:t xml:space="preserve"> Deviation from benchmark multipliers by industry (%)</w:t>
      </w:r>
    </w:p>
    <w:p w:rsidR="008C1558" w:rsidRPr="002F4A08" w:rsidRDefault="00E32E48" w:rsidP="000775C7">
      <w:pPr>
        <w:rPr>
          <w:rFonts w:cstheme="minorHAnsi"/>
          <w:lang w:val="en-US"/>
        </w:rPr>
      </w:pPr>
      <w:r w:rsidRPr="002F4A08">
        <w:rPr>
          <w:noProof/>
          <w:lang w:val="de-DE"/>
        </w:rPr>
        <w:drawing>
          <wp:inline distT="0" distB="0" distL="0" distR="0" wp14:anchorId="6C23083C" wp14:editId="16FFD392">
            <wp:extent cx="5760720" cy="3442591"/>
            <wp:effectExtent l="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346">
                      <a:extLst>
                        <a:ext uri="{28A0092B-C50C-407E-A947-70E740481C1C}">
                          <a14:useLocalDpi xmlns:a14="http://schemas.microsoft.com/office/drawing/2010/main" val="0"/>
                        </a:ext>
                      </a:extLst>
                    </a:blip>
                    <a:stretch>
                      <a:fillRect/>
                    </a:stretch>
                  </pic:blipFill>
                  <pic:spPr>
                    <a:xfrm>
                      <a:off x="0" y="0"/>
                      <a:ext cx="5760720" cy="3442591"/>
                    </a:xfrm>
                    <a:prstGeom prst="rect">
                      <a:avLst/>
                    </a:prstGeom>
                  </pic:spPr>
                </pic:pic>
              </a:graphicData>
            </a:graphic>
          </wp:inline>
        </w:drawing>
      </w:r>
    </w:p>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506073" w:rsidRPr="002F4A08" w:rsidRDefault="00662E01" w:rsidP="00E51779">
      <w:pPr>
        <w:rPr>
          <w:lang w:val="en-US"/>
        </w:rPr>
      </w:pPr>
      <w:r w:rsidRPr="002F4A08">
        <w:rPr>
          <w:lang w:val="en-US"/>
        </w:rPr>
        <w:fldChar w:fldCharType="begin"/>
      </w:r>
      <w:r w:rsidR="008678F1" w:rsidRPr="002F4A08">
        <w:rPr>
          <w:lang w:val="en-US"/>
        </w:rPr>
        <w:instrText xml:space="preserve"> REF _Ref323219244 \h </w:instrText>
      </w:r>
      <w:r w:rsidR="00E51779" w:rsidRPr="002F4A08">
        <w:rPr>
          <w:lang w:val="en-US"/>
        </w:rPr>
        <w:instrText xml:space="preserve"> \* MERGEFORMAT </w:instrText>
      </w:r>
      <w:r w:rsidRPr="002F4A08">
        <w:rPr>
          <w:lang w:val="en-US"/>
        </w:rPr>
      </w:r>
      <w:r w:rsidRPr="002F4A08">
        <w:rPr>
          <w:lang w:val="en-US"/>
        </w:rPr>
        <w:fldChar w:fldCharType="separate"/>
      </w:r>
      <w:r w:rsidR="001B1E67" w:rsidRPr="002F4A08">
        <w:rPr>
          <w:lang w:val="en-US"/>
        </w:rPr>
        <w:t xml:space="preserve">Figure </w:t>
      </w:r>
      <w:r w:rsidR="001B1E67" w:rsidRPr="002F4A08">
        <w:rPr>
          <w:noProof/>
          <w:lang w:val="en-US"/>
        </w:rPr>
        <w:t>3</w:t>
      </w:r>
      <w:r w:rsidRPr="002F4A08">
        <w:rPr>
          <w:lang w:val="en-US"/>
        </w:rPr>
        <w:fldChar w:fldCharType="end"/>
      </w:r>
      <w:r w:rsidR="008678F1" w:rsidRPr="002F4A08">
        <w:rPr>
          <w:lang w:val="en-US"/>
        </w:rPr>
        <w:t xml:space="preserve"> presents the deviation of the elements of the Leontief-inverse estimated by non-survey methods from those of the benchmark table. </w:t>
      </w:r>
      <w:r w:rsidR="00AA121A" w:rsidRPr="002F4A08">
        <w:rPr>
          <w:lang w:val="en-US"/>
        </w:rPr>
        <w:t xml:space="preserve">These deviations are indicated by colors running from dark red indicating an element that underestimated by 100% or more, to dark blue indicating an element that is overestimated by 100% and more. </w:t>
      </w:r>
      <w:r w:rsidR="00450B33" w:rsidRPr="002F4A08">
        <w:rPr>
          <w:lang w:val="en-US"/>
        </w:rPr>
        <w:t>Whereas the commodity balance method strongly overestimates almost all elements</w:t>
      </w:r>
      <w:r w:rsidR="00544BF7" w:rsidRPr="002F4A08">
        <w:rPr>
          <w:lang w:val="en-US"/>
        </w:rPr>
        <w:t>, FLQ and AFLQ underestimate many elements at the bottom indicating purchases from service industries, which results in smaller deviations of output multipliers, due to compensation effects within a column. All of the methods have a tendency to overestimate especially the elements representing purchases from the manufacturing industry.</w:t>
      </w:r>
      <w:r w:rsidR="00506073" w:rsidRPr="002F4A08">
        <w:rPr>
          <w:lang w:val="en-US"/>
        </w:rPr>
        <w:t xml:space="preserve"> </w:t>
      </w:r>
      <w:r w:rsidR="00C208BD" w:rsidRPr="002F4A08">
        <w:rPr>
          <w:lang w:val="en-US"/>
        </w:rPr>
        <w:t>All of the</w:t>
      </w:r>
      <w:r w:rsidR="0029032F">
        <w:rPr>
          <w:lang w:val="en-US"/>
        </w:rPr>
        <w:t xml:space="preserve"> four methods estimated the non</w:t>
      </w:r>
      <w:r w:rsidR="00C208BD" w:rsidRPr="002F4A08">
        <w:rPr>
          <w:lang w:val="en-US"/>
        </w:rPr>
        <w:t>existence of coal mining and natural gas in Baden-Württemberg correctly indicated by the white stripes in left and at the top of the Leontief-</w:t>
      </w:r>
      <w:r w:rsidR="00450B33" w:rsidRPr="002F4A08">
        <w:rPr>
          <w:lang w:val="en-US"/>
        </w:rPr>
        <w:t>inverse. T</w:t>
      </w:r>
      <w:r w:rsidR="00C208BD" w:rsidRPr="002F4A08">
        <w:rPr>
          <w:lang w:val="en-US"/>
        </w:rPr>
        <w:t xml:space="preserve">he </w:t>
      </w:r>
      <w:r w:rsidR="00450B33" w:rsidRPr="002F4A08">
        <w:rPr>
          <w:lang w:val="en-US"/>
        </w:rPr>
        <w:t xml:space="preserve">reason for the </w:t>
      </w:r>
      <w:r w:rsidR="00C208BD" w:rsidRPr="002F4A08">
        <w:rPr>
          <w:lang w:val="en-US"/>
        </w:rPr>
        <w:t>relatively good performance of all fo</w:t>
      </w:r>
      <w:r w:rsidR="0029032F">
        <w:rPr>
          <w:lang w:val="en-US"/>
        </w:rPr>
        <w:t>u</w:t>
      </w:r>
      <w:r w:rsidR="00C208BD" w:rsidRPr="002F4A08">
        <w:rPr>
          <w:lang w:val="en-US"/>
        </w:rPr>
        <w:t xml:space="preserve">r methods </w:t>
      </w:r>
      <w:r w:rsidR="00450B33" w:rsidRPr="002F4A08">
        <w:rPr>
          <w:lang w:val="en-US"/>
        </w:rPr>
        <w:t xml:space="preserve">in estimating output multipliers considering the strong deviations on the level of individual cells is that the diagonal elements </w:t>
      </w:r>
      <w:r w:rsidR="0029032F">
        <w:rPr>
          <w:lang w:val="en-US"/>
        </w:rPr>
        <w:t xml:space="preserve">are </w:t>
      </w:r>
      <w:r w:rsidR="00450B33" w:rsidRPr="002F4A08">
        <w:rPr>
          <w:lang w:val="en-US"/>
        </w:rPr>
        <w:t>estimated properly.</w:t>
      </w:r>
    </w:p>
    <w:p w:rsidR="008678F1" w:rsidRPr="002F4A08" w:rsidRDefault="008678F1" w:rsidP="008678F1">
      <w:pPr>
        <w:pStyle w:val="Beschriftung"/>
        <w:keepNext/>
        <w:rPr>
          <w:sz w:val="22"/>
          <w:szCs w:val="22"/>
          <w:lang w:val="en-US"/>
        </w:rPr>
      </w:pPr>
      <w:bookmarkStart w:id="9" w:name="_Ref323219244"/>
      <w:r w:rsidRPr="002F4A08">
        <w:rPr>
          <w:sz w:val="22"/>
          <w:szCs w:val="22"/>
          <w:lang w:val="en-US"/>
        </w:rPr>
        <w:lastRenderedPageBreak/>
        <w:t xml:space="preserve">Figure </w:t>
      </w:r>
      <w:r w:rsidR="00662E01" w:rsidRPr="002F4A08">
        <w:rPr>
          <w:sz w:val="22"/>
          <w:szCs w:val="22"/>
          <w:lang w:val="en-US"/>
        </w:rPr>
        <w:fldChar w:fldCharType="begin"/>
      </w:r>
      <w:r w:rsidRPr="002F4A08">
        <w:rPr>
          <w:sz w:val="22"/>
          <w:szCs w:val="22"/>
          <w:lang w:val="en-US"/>
        </w:rPr>
        <w:instrText xml:space="preserve"> SEQ Figure \* ARABIC </w:instrText>
      </w:r>
      <w:r w:rsidR="00662E01" w:rsidRPr="002F4A08">
        <w:rPr>
          <w:sz w:val="22"/>
          <w:szCs w:val="22"/>
          <w:lang w:val="en-US"/>
        </w:rPr>
        <w:fldChar w:fldCharType="separate"/>
      </w:r>
      <w:r w:rsidR="001B1E67" w:rsidRPr="002F4A08">
        <w:rPr>
          <w:noProof/>
          <w:sz w:val="22"/>
          <w:szCs w:val="22"/>
          <w:lang w:val="en-US"/>
        </w:rPr>
        <w:t>3</w:t>
      </w:r>
      <w:r w:rsidR="00662E01" w:rsidRPr="002F4A08">
        <w:rPr>
          <w:sz w:val="22"/>
          <w:szCs w:val="22"/>
          <w:lang w:val="en-US"/>
        </w:rPr>
        <w:fldChar w:fldCharType="end"/>
      </w:r>
      <w:bookmarkEnd w:id="9"/>
      <w:r w:rsidRPr="002F4A08">
        <w:rPr>
          <w:sz w:val="22"/>
          <w:szCs w:val="22"/>
          <w:lang w:val="en-US"/>
        </w:rPr>
        <w:t xml:space="preserve"> </w:t>
      </w:r>
      <w:r w:rsidR="00AA121A" w:rsidRPr="002F4A08">
        <w:rPr>
          <w:sz w:val="22"/>
          <w:szCs w:val="22"/>
          <w:lang w:val="en-US"/>
        </w:rPr>
        <w:t>Relative d</w:t>
      </w:r>
      <w:r w:rsidRPr="002F4A08">
        <w:rPr>
          <w:sz w:val="22"/>
          <w:szCs w:val="22"/>
          <w:lang w:val="en-US"/>
        </w:rPr>
        <w:t>eviations of elements of the Leontief-Inverse</w:t>
      </w:r>
      <w:r w:rsidR="00AA121A" w:rsidRPr="002F4A08">
        <w:rPr>
          <w:sz w:val="22"/>
          <w:szCs w:val="22"/>
          <w:lang w:val="en-US"/>
        </w:rPr>
        <w:t xml:space="preserve"> </w:t>
      </w:r>
    </w:p>
    <w:p w:rsidR="00E32E48" w:rsidRPr="002F4A08" w:rsidRDefault="00E32E48" w:rsidP="008678F1">
      <w:pPr>
        <w:keepNext/>
        <w:rPr>
          <w:lang w:val="en-US"/>
        </w:rPr>
      </w:pPr>
      <w:r w:rsidRPr="002F4A08">
        <w:rPr>
          <w:noProof/>
          <w:lang w:val="de-DE"/>
        </w:rPr>
        <w:drawing>
          <wp:inline distT="0" distB="0" distL="0" distR="0" wp14:anchorId="6F643F8F" wp14:editId="73E741A3">
            <wp:extent cx="5753100" cy="3343275"/>
            <wp:effectExtent l="0" t="0" r="0" b="9525"/>
            <wp:docPr id="5" name="Grafik 5" descr="C:\Dokumente und Einstellungen\Toebben\Desktop\Publikationen\2012\IIOA Conference Bratislava 2012\Typ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Dokumente und Einstellungen\Toebben\Desktop\Publikationen\2012\IIOA Conference Bratislava 2012\Type B.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027D3A" w:rsidRPr="002F4A08" w:rsidRDefault="000F7410" w:rsidP="00027D3A">
      <w:pPr>
        <w:pStyle w:val="berschrift2"/>
        <w:numPr>
          <w:ilvl w:val="1"/>
          <w:numId w:val="2"/>
        </w:numPr>
        <w:rPr>
          <w:lang w:val="en-US"/>
        </w:rPr>
      </w:pPr>
      <w:r w:rsidRPr="002F4A08">
        <w:rPr>
          <w:lang w:val="en-US"/>
        </w:rPr>
        <w:t>Type E tables</w:t>
      </w:r>
    </w:p>
    <w:p w:rsidR="002B4103" w:rsidRPr="002F4A08" w:rsidRDefault="00662E01" w:rsidP="00E51779">
      <w:pPr>
        <w:rPr>
          <w:rFonts w:eastAsiaTheme="minorEastAsia"/>
          <w:lang w:val="en-US"/>
        </w:rPr>
      </w:pPr>
      <w:r w:rsidRPr="002F4A08">
        <w:rPr>
          <w:lang w:val="en-US"/>
        </w:rPr>
        <w:fldChar w:fldCharType="begin"/>
      </w:r>
      <w:r w:rsidR="00160A9F" w:rsidRPr="002F4A08">
        <w:rPr>
          <w:lang w:val="en-US"/>
        </w:rPr>
        <w:instrText xml:space="preserve"> REF _Ref323240874 \h </w:instrText>
      </w:r>
      <w:r w:rsidR="00E51779" w:rsidRPr="002F4A08">
        <w:rPr>
          <w:lang w:val="en-US"/>
        </w:rPr>
        <w:instrText xml:space="preserve"> \* MERGEFORMAT </w:instrText>
      </w:r>
      <w:r w:rsidRPr="002F4A08">
        <w:rPr>
          <w:lang w:val="en-US"/>
        </w:rPr>
      </w:r>
      <w:r w:rsidRPr="002F4A08">
        <w:rPr>
          <w:lang w:val="en-US"/>
        </w:rPr>
        <w:fldChar w:fldCharType="separate"/>
      </w:r>
      <w:r w:rsidR="001B1E67" w:rsidRPr="002F4A08">
        <w:rPr>
          <w:lang w:val="en-US"/>
        </w:rPr>
        <w:t xml:space="preserve">Table </w:t>
      </w:r>
      <w:r w:rsidR="001B1E67" w:rsidRPr="002F4A08">
        <w:rPr>
          <w:noProof/>
          <w:lang w:val="en-US"/>
        </w:rPr>
        <w:t>6</w:t>
      </w:r>
      <w:r w:rsidRPr="002F4A08">
        <w:rPr>
          <w:lang w:val="en-US"/>
        </w:rPr>
        <w:fldChar w:fldCharType="end"/>
      </w:r>
      <w:r w:rsidR="00160A9F" w:rsidRPr="002F4A08">
        <w:rPr>
          <w:lang w:val="en-US"/>
        </w:rPr>
        <w:t xml:space="preserve"> show</w:t>
      </w:r>
      <w:r w:rsidR="0058543A">
        <w:rPr>
          <w:lang w:val="en-US"/>
        </w:rPr>
        <w:t>s</w:t>
      </w:r>
      <w:r w:rsidR="00160A9F" w:rsidRPr="002F4A08">
        <w:rPr>
          <w:lang w:val="en-US"/>
        </w:rPr>
        <w:t xml:space="preserve"> </w:t>
      </w:r>
      <w:r w:rsidR="000C3C27" w:rsidRPr="002F4A08">
        <w:rPr>
          <w:lang w:val="en-US"/>
        </w:rPr>
        <w:t xml:space="preserve">the </w:t>
      </w:r>
      <w:r w:rsidR="00160A9F" w:rsidRPr="002F4A08">
        <w:rPr>
          <w:lang w:val="en-US"/>
        </w:rPr>
        <w:t xml:space="preserve">results </w:t>
      </w:r>
      <w:r w:rsidR="000C3C27" w:rsidRPr="002F4A08">
        <w:rPr>
          <w:lang w:val="en-US"/>
        </w:rPr>
        <w:t xml:space="preserve">for non-survey methods for the construction of type E RIOTS. According to the WD and MAPE statistics the results of CHARM show that this method delivers the best result in terms of estimating coefficients and output multipliers. On an aggregate level ALFQ delivers the second best results followed by FLQ. SLQ performs worst. It has to be noted that the optimal value of </w:t>
      </w:r>
      <m:oMath>
        <m:r>
          <w:rPr>
            <w:rFonts w:ascii="Cambria Math" w:hAnsi="Cambria Math" w:cstheme="minorHAnsi"/>
            <w:lang w:val="en-US"/>
          </w:rPr>
          <m:t>δ</m:t>
        </m:r>
      </m:oMath>
      <w:r w:rsidR="000C3C27" w:rsidRPr="002F4A08">
        <w:rPr>
          <w:rFonts w:eastAsiaTheme="minorEastAsia"/>
          <w:lang w:val="en-US"/>
        </w:rPr>
        <w:t xml:space="preserve"> for FLQ is -0,2, which is a clear contradiction, as the parameter is defined to </w:t>
      </w:r>
      <w:r w:rsidR="005E67F8">
        <w:rPr>
          <w:rFonts w:eastAsiaTheme="minorEastAsia"/>
          <w:lang w:val="en-US"/>
        </w:rPr>
        <w:t xml:space="preserve">have a </w:t>
      </w:r>
      <w:r w:rsidR="000C3C27" w:rsidRPr="002F4A08">
        <w:rPr>
          <w:rFonts w:eastAsiaTheme="minorEastAsia"/>
          <w:lang w:val="en-US"/>
        </w:rPr>
        <w:t xml:space="preserve">value between zero and one. The WD measurement for CHARM and SLQ shows that these methods overestimate coefficients in total, whereas the results for FLQ and AFLQ indicate a tendency to underestimate them. The reason for it might be the fact, that FLQ and AFLQ are designed to estimate </w:t>
      </w:r>
      <w:r w:rsidR="002B4103" w:rsidRPr="002F4A08">
        <w:rPr>
          <w:rFonts w:eastAsiaTheme="minorEastAsia"/>
          <w:lang w:val="en-US"/>
        </w:rPr>
        <w:t>inputs from regional production and scales most coefficients down. That would m</w:t>
      </w:r>
      <w:r w:rsidR="00223855" w:rsidRPr="002F4A08">
        <w:rPr>
          <w:rFonts w:eastAsiaTheme="minorEastAsia"/>
          <w:lang w:val="en-US"/>
        </w:rPr>
        <w:t>ean applied to a type E, that a</w:t>
      </w:r>
      <w:r w:rsidR="002B4103" w:rsidRPr="002F4A08">
        <w:rPr>
          <w:rFonts w:eastAsiaTheme="minorEastAsia"/>
          <w:lang w:val="en-US"/>
        </w:rPr>
        <w:t xml:space="preserve"> regional industry has a higher productivity, as these are technological coefficients.</w:t>
      </w:r>
    </w:p>
    <w:p w:rsidR="00C76886" w:rsidRPr="002F4A08" w:rsidRDefault="00C76886" w:rsidP="00E51779">
      <w:pPr>
        <w:pStyle w:val="Beschriftung"/>
        <w:keepNext/>
        <w:rPr>
          <w:lang w:val="en-US"/>
        </w:rPr>
      </w:pPr>
      <w:bookmarkStart w:id="10" w:name="_Ref323240874"/>
      <w:r w:rsidRPr="002F4A08">
        <w:rPr>
          <w:sz w:val="22"/>
          <w:szCs w:val="22"/>
          <w:lang w:val="en-US"/>
        </w:rPr>
        <w:lastRenderedPageBreak/>
        <w:t xml:space="preserve">Table </w:t>
      </w:r>
      <w:r w:rsidR="00662E01" w:rsidRPr="002F4A08">
        <w:rPr>
          <w:sz w:val="22"/>
          <w:szCs w:val="22"/>
          <w:lang w:val="en-US"/>
        </w:rPr>
        <w:fldChar w:fldCharType="begin"/>
      </w:r>
      <w:r w:rsidRPr="002F4A08">
        <w:rPr>
          <w:sz w:val="22"/>
          <w:szCs w:val="22"/>
          <w:lang w:val="en-US"/>
        </w:rPr>
        <w:instrText xml:space="preserve"> SEQ Table \* ARABIC </w:instrText>
      </w:r>
      <w:r w:rsidR="00662E01" w:rsidRPr="002F4A08">
        <w:rPr>
          <w:sz w:val="22"/>
          <w:szCs w:val="22"/>
          <w:lang w:val="en-US"/>
        </w:rPr>
        <w:fldChar w:fldCharType="separate"/>
      </w:r>
      <w:r w:rsidR="001B1E67" w:rsidRPr="002F4A08">
        <w:rPr>
          <w:noProof/>
          <w:sz w:val="22"/>
          <w:szCs w:val="22"/>
          <w:lang w:val="en-US"/>
        </w:rPr>
        <w:t>6</w:t>
      </w:r>
      <w:r w:rsidR="00662E01" w:rsidRPr="002F4A08">
        <w:rPr>
          <w:sz w:val="22"/>
          <w:szCs w:val="22"/>
          <w:lang w:val="en-US"/>
        </w:rPr>
        <w:fldChar w:fldCharType="end"/>
      </w:r>
      <w:bookmarkEnd w:id="10"/>
      <w:r w:rsidRPr="002F4A08">
        <w:rPr>
          <w:sz w:val="22"/>
          <w:szCs w:val="22"/>
          <w:lang w:val="en-US"/>
        </w:rPr>
        <w:t>:</w:t>
      </w:r>
      <w:r w:rsidRPr="002F4A08">
        <w:rPr>
          <w:lang w:val="en-US"/>
        </w:rPr>
        <w:t xml:space="preserve"> </w:t>
      </w:r>
      <w:r w:rsidRPr="002F4A08">
        <w:rPr>
          <w:sz w:val="22"/>
          <w:szCs w:val="22"/>
          <w:lang w:val="en-US"/>
        </w:rPr>
        <w:t>Performance of non-survey methods in construction of type E tables</w:t>
      </w:r>
    </w:p>
    <w:tbl>
      <w:tblPr>
        <w:tblW w:w="9500" w:type="dxa"/>
        <w:tblCellMar>
          <w:left w:w="0" w:type="dxa"/>
          <w:right w:w="0" w:type="dxa"/>
        </w:tblCellMar>
        <w:tblLook w:val="04A0" w:firstRow="1" w:lastRow="0" w:firstColumn="1" w:lastColumn="0" w:noHBand="0" w:noVBand="1"/>
      </w:tblPr>
      <w:tblGrid>
        <w:gridCol w:w="1960"/>
        <w:gridCol w:w="1520"/>
        <w:gridCol w:w="1740"/>
        <w:gridCol w:w="1520"/>
        <w:gridCol w:w="2760"/>
      </w:tblGrid>
      <w:tr w:rsidR="00B306D8" w:rsidRPr="002F4A08" w:rsidTr="00B306D8">
        <w:trPr>
          <w:trHeight w:val="328"/>
        </w:trPr>
        <w:tc>
          <w:tcPr>
            <w:tcW w:w="196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rsidR="00B306D8" w:rsidRPr="002F4A08" w:rsidRDefault="00B306D8" w:rsidP="00E51779">
            <w:pPr>
              <w:keepNext/>
              <w:jc w:val="center"/>
              <w:rPr>
                <w:sz w:val="24"/>
                <w:szCs w:val="24"/>
                <w:lang w:val="en-US"/>
              </w:rPr>
            </w:pPr>
          </w:p>
        </w:tc>
        <w:tc>
          <w:tcPr>
            <w:tcW w:w="4780" w:type="dxa"/>
            <w:gridSpan w:val="3"/>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rsidR="00662E01" w:rsidRPr="002F4A08" w:rsidRDefault="00B306D8" w:rsidP="00E51779">
            <w:pPr>
              <w:keepNext/>
              <w:jc w:val="center"/>
              <w:rPr>
                <w:sz w:val="24"/>
                <w:szCs w:val="24"/>
                <w:lang w:val="en-US"/>
              </w:rPr>
            </w:pPr>
            <w:r w:rsidRPr="002F4A08">
              <w:rPr>
                <w:b/>
                <w:bCs/>
                <w:sz w:val="24"/>
                <w:szCs w:val="24"/>
                <w:lang w:val="en-US"/>
              </w:rPr>
              <w:t>Coefficients</w:t>
            </w:r>
          </w:p>
        </w:tc>
        <w:tc>
          <w:tcPr>
            <w:tcW w:w="2760" w:type="dxa"/>
            <w:tcBorders>
              <w:top w:val="single" w:sz="8" w:space="0" w:color="FFFFFF"/>
              <w:left w:val="single" w:sz="8" w:space="0" w:color="FFFFFF"/>
              <w:bottom w:val="single" w:sz="24" w:space="0" w:color="FFFFFF"/>
              <w:right w:val="single" w:sz="8" w:space="0" w:color="FFFFFF"/>
            </w:tcBorders>
            <w:shd w:val="clear" w:color="auto" w:fill="3333CC"/>
            <w:tcMar>
              <w:top w:w="72" w:type="dxa"/>
              <w:left w:w="144" w:type="dxa"/>
              <w:bottom w:w="72" w:type="dxa"/>
              <w:right w:w="144" w:type="dxa"/>
            </w:tcMar>
            <w:hideMark/>
          </w:tcPr>
          <w:p w:rsidR="00662E01" w:rsidRPr="002F4A08" w:rsidRDefault="00B306D8" w:rsidP="00E51779">
            <w:pPr>
              <w:keepNext/>
              <w:jc w:val="center"/>
              <w:rPr>
                <w:sz w:val="24"/>
                <w:szCs w:val="24"/>
                <w:lang w:val="en-US"/>
              </w:rPr>
            </w:pPr>
            <w:r w:rsidRPr="002F4A08">
              <w:rPr>
                <w:b/>
                <w:bCs/>
                <w:sz w:val="24"/>
                <w:szCs w:val="24"/>
                <w:lang w:val="en-US"/>
              </w:rPr>
              <w:t>Outputmultipl.</w:t>
            </w:r>
          </w:p>
        </w:tc>
      </w:tr>
      <w:tr w:rsidR="00B306D8" w:rsidRPr="002F4A08" w:rsidTr="00B306D8">
        <w:trPr>
          <w:trHeight w:val="156"/>
        </w:trPr>
        <w:tc>
          <w:tcPr>
            <w:tcW w:w="196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662E01" w:rsidRPr="002F4A08" w:rsidRDefault="00B306D8" w:rsidP="00E51779">
            <w:pPr>
              <w:keepNext/>
              <w:rPr>
                <w:b/>
                <w:sz w:val="24"/>
                <w:szCs w:val="24"/>
                <w:lang w:val="en-US"/>
              </w:rPr>
            </w:pPr>
            <w:r w:rsidRPr="002F4A08">
              <w:rPr>
                <w:b/>
                <w:sz w:val="24"/>
                <w:szCs w:val="24"/>
                <w:lang w:val="en-US"/>
              </w:rPr>
              <w:t xml:space="preserve">Methode </w:t>
            </w:r>
          </w:p>
        </w:tc>
        <w:tc>
          <w:tcPr>
            <w:tcW w:w="1520" w:type="dxa"/>
            <w:tcBorders>
              <w:top w:val="single" w:sz="24"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center"/>
            <w:hideMark/>
          </w:tcPr>
          <w:p w:rsidR="00662E01" w:rsidRPr="002F4A08" w:rsidRDefault="00B306D8" w:rsidP="00E51779">
            <w:pPr>
              <w:keepNext/>
              <w:rPr>
                <w:b/>
                <w:sz w:val="24"/>
                <w:szCs w:val="24"/>
                <w:lang w:val="en-US"/>
              </w:rPr>
            </w:pPr>
            <w:r w:rsidRPr="002F4A08">
              <w:rPr>
                <w:b/>
                <w:sz w:val="24"/>
                <w:szCs w:val="24"/>
                <w:lang w:val="en-US"/>
              </w:rPr>
              <w:t xml:space="preserve">WD </w:t>
            </w:r>
          </w:p>
        </w:tc>
        <w:tc>
          <w:tcPr>
            <w:tcW w:w="174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662E01" w:rsidRPr="002F4A08" w:rsidRDefault="00B306D8" w:rsidP="00E51779">
            <w:pPr>
              <w:keepNext/>
              <w:rPr>
                <w:b/>
                <w:sz w:val="24"/>
                <w:szCs w:val="24"/>
                <w:lang w:val="en-US"/>
              </w:rPr>
            </w:pPr>
            <w:r w:rsidRPr="002F4A08">
              <w:rPr>
                <w:b/>
                <w:sz w:val="24"/>
                <w:szCs w:val="24"/>
                <w:lang w:val="en-US"/>
              </w:rPr>
              <w:t xml:space="preserve">WAD </w:t>
            </w:r>
          </w:p>
        </w:tc>
        <w:tc>
          <w:tcPr>
            <w:tcW w:w="152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662E01" w:rsidRPr="002F4A08" w:rsidRDefault="00B306D8" w:rsidP="00E51779">
            <w:pPr>
              <w:keepNext/>
              <w:rPr>
                <w:b/>
                <w:sz w:val="24"/>
                <w:szCs w:val="24"/>
                <w:lang w:val="en-US"/>
              </w:rPr>
            </w:pPr>
            <w:r w:rsidRPr="002F4A08">
              <w:rPr>
                <w:b/>
                <w:sz w:val="24"/>
                <w:szCs w:val="24"/>
                <w:lang w:val="en-US"/>
              </w:rPr>
              <w:t xml:space="preserve">MAPE </w:t>
            </w:r>
          </w:p>
        </w:tc>
        <w:tc>
          <w:tcPr>
            <w:tcW w:w="2760" w:type="dxa"/>
            <w:tcBorders>
              <w:top w:val="single" w:sz="24"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center"/>
            <w:hideMark/>
          </w:tcPr>
          <w:p w:rsidR="00662E01" w:rsidRPr="002F4A08" w:rsidRDefault="00B306D8" w:rsidP="00E51779">
            <w:pPr>
              <w:keepNext/>
              <w:rPr>
                <w:b/>
                <w:sz w:val="24"/>
                <w:szCs w:val="24"/>
                <w:lang w:val="en-US"/>
              </w:rPr>
            </w:pPr>
            <w:r w:rsidRPr="002F4A08">
              <w:rPr>
                <w:b/>
                <w:sz w:val="24"/>
                <w:szCs w:val="24"/>
                <w:lang w:val="en-US"/>
              </w:rPr>
              <w:t xml:space="preserve">WAD </w:t>
            </w:r>
          </w:p>
        </w:tc>
      </w:tr>
      <w:tr w:rsidR="00B306D8" w:rsidRPr="002F4A08" w:rsidTr="00B306D8">
        <w:trPr>
          <w:trHeight w:val="306"/>
        </w:trPr>
        <w:tc>
          <w:tcPr>
            <w:tcW w:w="196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rsidR="00662E01" w:rsidRPr="002F4A08" w:rsidRDefault="00B306D8" w:rsidP="00E51779">
            <w:pPr>
              <w:keepNext/>
              <w:rPr>
                <w:b/>
                <w:sz w:val="24"/>
                <w:szCs w:val="24"/>
                <w:lang w:val="en-US"/>
              </w:rPr>
            </w:pPr>
            <w:r w:rsidRPr="002F4A08">
              <w:rPr>
                <w:b/>
                <w:sz w:val="24"/>
                <w:szCs w:val="24"/>
                <w:lang w:val="en-US"/>
              </w:rPr>
              <w:t>CHARM</w:t>
            </w:r>
          </w:p>
        </w:tc>
        <w:tc>
          <w:tcPr>
            <w:tcW w:w="1520"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12,53% </w:t>
            </w:r>
          </w:p>
        </w:tc>
        <w:tc>
          <w:tcPr>
            <w:tcW w:w="174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12,87% </w:t>
            </w:r>
          </w:p>
        </w:tc>
        <w:tc>
          <w:tcPr>
            <w:tcW w:w="152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22,36%</w:t>
            </w:r>
          </w:p>
        </w:tc>
        <w:tc>
          <w:tcPr>
            <w:tcW w:w="276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8,21%</w:t>
            </w:r>
          </w:p>
        </w:tc>
      </w:tr>
      <w:tr w:rsidR="00B306D8" w:rsidRPr="002F4A08" w:rsidTr="00B306D8">
        <w:trPr>
          <w:trHeight w:val="174"/>
        </w:trPr>
        <w:tc>
          <w:tcPr>
            <w:tcW w:w="196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rsidR="00662E01" w:rsidRPr="002F4A08" w:rsidRDefault="00B306D8" w:rsidP="00E51779">
            <w:pPr>
              <w:keepNext/>
              <w:rPr>
                <w:b/>
                <w:sz w:val="24"/>
                <w:szCs w:val="24"/>
                <w:lang w:val="en-US"/>
              </w:rPr>
            </w:pPr>
            <w:r w:rsidRPr="002F4A08">
              <w:rPr>
                <w:b/>
                <w:sz w:val="24"/>
                <w:szCs w:val="24"/>
                <w:lang w:val="en-US"/>
              </w:rPr>
              <w:t xml:space="preserve">SLQ </w:t>
            </w:r>
          </w:p>
        </w:tc>
        <w:tc>
          <w:tcPr>
            <w:tcW w:w="1520" w:type="dxa"/>
            <w:tcBorders>
              <w:top w:val="single" w:sz="8"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11,92% </w:t>
            </w:r>
          </w:p>
        </w:tc>
        <w:tc>
          <w:tcPr>
            <w:tcW w:w="174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17,83% </w:t>
            </w:r>
          </w:p>
        </w:tc>
        <w:tc>
          <w:tcPr>
            <w:tcW w:w="152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35,33%</w:t>
            </w:r>
          </w:p>
        </w:tc>
        <w:tc>
          <w:tcPr>
            <w:tcW w:w="276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10,11%</w:t>
            </w:r>
          </w:p>
        </w:tc>
      </w:tr>
      <w:tr w:rsidR="00B306D8" w:rsidRPr="002F4A08" w:rsidTr="00B306D8">
        <w:trPr>
          <w:trHeight w:val="170"/>
        </w:trPr>
        <w:tc>
          <w:tcPr>
            <w:tcW w:w="196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rsidR="00662E01" w:rsidRPr="002F4A08" w:rsidRDefault="00B306D8" w:rsidP="00E51779">
            <w:pPr>
              <w:keepNext/>
              <w:rPr>
                <w:b/>
                <w:sz w:val="24"/>
                <w:szCs w:val="24"/>
                <w:lang w:val="en-US"/>
              </w:rPr>
            </w:pPr>
            <w:r w:rsidRPr="002F4A08">
              <w:rPr>
                <w:b/>
                <w:sz w:val="24"/>
                <w:szCs w:val="24"/>
                <w:lang w:val="en-US"/>
              </w:rPr>
              <w:t xml:space="preserve">FLQ (opt.) </w:t>
            </w:r>
          </w:p>
        </w:tc>
        <w:tc>
          <w:tcPr>
            <w:tcW w:w="1520"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-13,98% </w:t>
            </w:r>
          </w:p>
        </w:tc>
        <w:tc>
          <w:tcPr>
            <w:tcW w:w="174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22,94% </w:t>
            </w:r>
          </w:p>
        </w:tc>
        <w:tc>
          <w:tcPr>
            <w:tcW w:w="152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31,77%</w:t>
            </w:r>
          </w:p>
        </w:tc>
        <w:tc>
          <w:tcPr>
            <w:tcW w:w="276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10,57%</w:t>
            </w:r>
          </w:p>
        </w:tc>
      </w:tr>
      <w:tr w:rsidR="00B306D8" w:rsidRPr="002F4A08" w:rsidTr="00B306D8">
        <w:trPr>
          <w:trHeight w:val="194"/>
        </w:trPr>
        <w:tc>
          <w:tcPr>
            <w:tcW w:w="196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rsidR="00662E01" w:rsidRPr="002F4A08" w:rsidRDefault="00B306D8" w:rsidP="00E51779">
            <w:pPr>
              <w:keepNext/>
              <w:rPr>
                <w:b/>
                <w:sz w:val="24"/>
                <w:szCs w:val="24"/>
                <w:lang w:val="en-US"/>
              </w:rPr>
            </w:pPr>
            <w:r w:rsidRPr="002F4A08">
              <w:rPr>
                <w:b/>
                <w:sz w:val="24"/>
                <w:szCs w:val="24"/>
                <w:lang w:val="en-US"/>
              </w:rPr>
              <w:t xml:space="preserve">FLQ (0.3) </w:t>
            </w:r>
          </w:p>
        </w:tc>
        <w:tc>
          <w:tcPr>
            <w:tcW w:w="1520" w:type="dxa"/>
            <w:tcBorders>
              <w:top w:val="single" w:sz="8"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-11,19% </w:t>
            </w:r>
          </w:p>
        </w:tc>
        <w:tc>
          <w:tcPr>
            <w:tcW w:w="174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23,56% </w:t>
            </w:r>
          </w:p>
        </w:tc>
        <w:tc>
          <w:tcPr>
            <w:tcW w:w="152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36,67%</w:t>
            </w:r>
          </w:p>
        </w:tc>
        <w:tc>
          <w:tcPr>
            <w:tcW w:w="276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10,75%</w:t>
            </w:r>
          </w:p>
        </w:tc>
      </w:tr>
      <w:tr w:rsidR="00B306D8" w:rsidRPr="002F4A08" w:rsidTr="00B306D8">
        <w:trPr>
          <w:trHeight w:val="48"/>
        </w:trPr>
        <w:tc>
          <w:tcPr>
            <w:tcW w:w="196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hideMark/>
          </w:tcPr>
          <w:p w:rsidR="00662E01" w:rsidRPr="002F4A08" w:rsidRDefault="00B306D8" w:rsidP="00E51779">
            <w:pPr>
              <w:keepNext/>
              <w:rPr>
                <w:b/>
                <w:sz w:val="24"/>
                <w:szCs w:val="24"/>
                <w:lang w:val="en-US"/>
              </w:rPr>
            </w:pPr>
            <w:r w:rsidRPr="002F4A08">
              <w:rPr>
                <w:b/>
                <w:sz w:val="24"/>
                <w:szCs w:val="24"/>
                <w:lang w:val="en-US"/>
              </w:rPr>
              <w:t xml:space="preserve">AFLQ (opt.) </w:t>
            </w:r>
          </w:p>
        </w:tc>
        <w:tc>
          <w:tcPr>
            <w:tcW w:w="1520" w:type="dxa"/>
            <w:tcBorders>
              <w:top w:val="single" w:sz="8" w:space="0" w:color="FFFFFF"/>
              <w:left w:val="single" w:sz="8" w:space="0" w:color="FFFFFF"/>
              <w:bottom w:val="single" w:sz="8" w:space="0" w:color="FFFFFF"/>
              <w:right w:val="single" w:sz="8" w:space="0" w:color="FFFFFF"/>
            </w:tcBorders>
            <w:shd w:val="clear" w:color="auto" w:fill="E8E8F6"/>
            <w:tcMar>
              <w:top w:w="15" w:type="dxa"/>
              <w:left w:w="15" w:type="dxa"/>
              <w:bottom w:w="0" w:type="dxa"/>
              <w:right w:w="15"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-7,63% </w:t>
            </w:r>
          </w:p>
        </w:tc>
        <w:tc>
          <w:tcPr>
            <w:tcW w:w="174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19,17% </w:t>
            </w:r>
          </w:p>
        </w:tc>
        <w:tc>
          <w:tcPr>
            <w:tcW w:w="152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36,07%</w:t>
            </w:r>
          </w:p>
        </w:tc>
        <w:tc>
          <w:tcPr>
            <w:tcW w:w="2760" w:type="dxa"/>
            <w:tcBorders>
              <w:top w:val="single" w:sz="8" w:space="0" w:color="FFFFFF"/>
              <w:left w:val="single" w:sz="8" w:space="0" w:color="FFFFFF"/>
              <w:bottom w:val="single" w:sz="8" w:space="0" w:color="FFFFFF"/>
              <w:right w:val="single" w:sz="8" w:space="0" w:color="FFFFFF"/>
            </w:tcBorders>
            <w:shd w:val="clear" w:color="auto" w:fill="E8E8F6"/>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8,56%</w:t>
            </w:r>
          </w:p>
        </w:tc>
      </w:tr>
      <w:tr w:rsidR="00B306D8" w:rsidRPr="002F4A08" w:rsidTr="00B306D8">
        <w:trPr>
          <w:trHeight w:val="200"/>
        </w:trPr>
        <w:tc>
          <w:tcPr>
            <w:tcW w:w="196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hideMark/>
          </w:tcPr>
          <w:p w:rsidR="00662E01" w:rsidRPr="002F4A08" w:rsidRDefault="00B306D8" w:rsidP="00E51779">
            <w:pPr>
              <w:keepNext/>
              <w:rPr>
                <w:b/>
                <w:sz w:val="24"/>
                <w:szCs w:val="24"/>
                <w:lang w:val="en-US"/>
              </w:rPr>
            </w:pPr>
            <w:r w:rsidRPr="002F4A08">
              <w:rPr>
                <w:b/>
                <w:sz w:val="24"/>
                <w:szCs w:val="24"/>
                <w:lang w:val="en-US"/>
              </w:rPr>
              <w:t xml:space="preserve">AFLQ (0.4) </w:t>
            </w:r>
          </w:p>
        </w:tc>
        <w:tc>
          <w:tcPr>
            <w:tcW w:w="1520" w:type="dxa"/>
            <w:tcBorders>
              <w:top w:val="single" w:sz="8" w:space="0" w:color="FFFFFF"/>
              <w:left w:val="single" w:sz="8" w:space="0" w:color="FFFFFF"/>
              <w:bottom w:val="single" w:sz="8" w:space="0" w:color="FFFFFF"/>
              <w:right w:val="single" w:sz="8" w:space="0" w:color="FFFFFF"/>
            </w:tcBorders>
            <w:shd w:val="clear" w:color="auto" w:fill="CDCDEC"/>
            <w:tcMar>
              <w:top w:w="15" w:type="dxa"/>
              <w:left w:w="15" w:type="dxa"/>
              <w:bottom w:w="0" w:type="dxa"/>
              <w:right w:w="15"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-5,89% </w:t>
            </w:r>
          </w:p>
        </w:tc>
        <w:tc>
          <w:tcPr>
            <w:tcW w:w="174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 xml:space="preserve">19,58% </w:t>
            </w:r>
          </w:p>
        </w:tc>
        <w:tc>
          <w:tcPr>
            <w:tcW w:w="152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37,26%</w:t>
            </w:r>
          </w:p>
        </w:tc>
        <w:tc>
          <w:tcPr>
            <w:tcW w:w="2760" w:type="dxa"/>
            <w:tcBorders>
              <w:top w:val="single" w:sz="8" w:space="0" w:color="FFFFFF"/>
              <w:left w:val="single" w:sz="8" w:space="0" w:color="FFFFFF"/>
              <w:bottom w:val="single" w:sz="8" w:space="0" w:color="FFFFFF"/>
              <w:right w:val="single" w:sz="8" w:space="0" w:color="FFFFFF"/>
            </w:tcBorders>
            <w:shd w:val="clear" w:color="auto" w:fill="CDCDEC"/>
            <w:tcMar>
              <w:top w:w="72" w:type="dxa"/>
              <w:left w:w="144" w:type="dxa"/>
              <w:bottom w:w="72" w:type="dxa"/>
              <w:right w:w="144" w:type="dxa"/>
            </w:tcMar>
            <w:vAlign w:val="bottom"/>
            <w:hideMark/>
          </w:tcPr>
          <w:p w:rsidR="00662E01" w:rsidRPr="002F4A08" w:rsidRDefault="00B306D8" w:rsidP="00E51779">
            <w:pPr>
              <w:keepNext/>
              <w:rPr>
                <w:sz w:val="24"/>
                <w:szCs w:val="24"/>
                <w:lang w:val="en-US"/>
              </w:rPr>
            </w:pPr>
            <w:r w:rsidRPr="002F4A08">
              <w:rPr>
                <w:sz w:val="24"/>
                <w:szCs w:val="24"/>
                <w:lang w:val="en-US"/>
              </w:rPr>
              <w:t>8,71%</w:t>
            </w:r>
          </w:p>
        </w:tc>
      </w:tr>
    </w:tbl>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2B4103" w:rsidRPr="002F4A08" w:rsidRDefault="00027D3A" w:rsidP="00E51779">
      <w:pPr>
        <w:rPr>
          <w:lang w:val="en-US"/>
        </w:rPr>
      </w:pPr>
      <w:r w:rsidRPr="002F4A08">
        <w:rPr>
          <w:lang w:val="en-US"/>
        </w:rPr>
        <w:fldChar w:fldCharType="begin"/>
      </w:r>
      <w:r w:rsidRPr="002F4A08">
        <w:rPr>
          <w:lang w:val="en-US"/>
        </w:rPr>
        <w:instrText xml:space="preserve"> REF _Ref323245607 \h </w:instrText>
      </w:r>
      <w:r w:rsidR="00E51779" w:rsidRPr="002F4A08">
        <w:rPr>
          <w:lang w:val="en-US"/>
        </w:rPr>
        <w:instrText xml:space="preserve"> \* MERGEFORMAT </w:instrText>
      </w:r>
      <w:r w:rsidRPr="002F4A08">
        <w:rPr>
          <w:lang w:val="en-US"/>
        </w:rPr>
      </w:r>
      <w:r w:rsidRPr="002F4A08">
        <w:rPr>
          <w:lang w:val="en-US"/>
        </w:rPr>
        <w:fldChar w:fldCharType="separate"/>
      </w:r>
      <w:r w:rsidR="001B1E67" w:rsidRPr="002F4A08">
        <w:rPr>
          <w:lang w:val="en-US"/>
        </w:rPr>
        <w:t xml:space="preserve">Figure </w:t>
      </w:r>
      <w:r w:rsidR="001B1E67" w:rsidRPr="002F4A08">
        <w:rPr>
          <w:noProof/>
          <w:lang w:val="en-US"/>
        </w:rPr>
        <w:t>4</w:t>
      </w:r>
      <w:r w:rsidRPr="002F4A08">
        <w:rPr>
          <w:lang w:val="en-US"/>
        </w:rPr>
        <w:fldChar w:fldCharType="end"/>
      </w:r>
      <w:r w:rsidRPr="002F4A08">
        <w:rPr>
          <w:lang w:val="en-US"/>
        </w:rPr>
        <w:t xml:space="preserve"> presents the shares of total intermediate inputs in output by industries of non-survey and benchmark tables. </w:t>
      </w:r>
      <w:r w:rsidR="00DC669B" w:rsidRPr="002F4A08">
        <w:rPr>
          <w:lang w:val="en-US"/>
        </w:rPr>
        <w:t xml:space="preserve">CHARM and SLQ overestimate total intermediate inputs of most industries, whereas FLQ estimates are more strongly scattered </w:t>
      </w:r>
    </w:p>
    <w:p w:rsidR="00C76886" w:rsidRPr="002F4A08" w:rsidRDefault="00C76886" w:rsidP="00E51779">
      <w:pPr>
        <w:pStyle w:val="Beschriftung"/>
        <w:keepNext/>
        <w:rPr>
          <w:sz w:val="22"/>
          <w:szCs w:val="22"/>
          <w:lang w:val="en-US"/>
        </w:rPr>
      </w:pPr>
      <w:bookmarkStart w:id="11" w:name="_Ref323245607"/>
      <w:r w:rsidRPr="002F4A08">
        <w:rPr>
          <w:sz w:val="22"/>
          <w:szCs w:val="22"/>
          <w:lang w:val="en-US"/>
        </w:rPr>
        <w:lastRenderedPageBreak/>
        <w:t xml:space="preserve">Figure </w:t>
      </w:r>
      <w:r w:rsidR="00662E01" w:rsidRPr="002F4A08">
        <w:rPr>
          <w:sz w:val="22"/>
          <w:szCs w:val="22"/>
          <w:lang w:val="en-US"/>
        </w:rPr>
        <w:fldChar w:fldCharType="begin"/>
      </w:r>
      <w:r w:rsidRPr="002F4A08">
        <w:rPr>
          <w:sz w:val="22"/>
          <w:szCs w:val="22"/>
          <w:lang w:val="en-US"/>
        </w:rPr>
        <w:instrText xml:space="preserve"> SEQ Figure \* ARABIC </w:instrText>
      </w:r>
      <w:r w:rsidR="00662E01" w:rsidRPr="002F4A08">
        <w:rPr>
          <w:sz w:val="22"/>
          <w:szCs w:val="22"/>
          <w:lang w:val="en-US"/>
        </w:rPr>
        <w:fldChar w:fldCharType="separate"/>
      </w:r>
      <w:r w:rsidR="001B1E67" w:rsidRPr="002F4A08">
        <w:rPr>
          <w:noProof/>
          <w:sz w:val="22"/>
          <w:szCs w:val="22"/>
          <w:lang w:val="en-US"/>
        </w:rPr>
        <w:t>4</w:t>
      </w:r>
      <w:r w:rsidR="00662E01" w:rsidRPr="002F4A08">
        <w:rPr>
          <w:sz w:val="22"/>
          <w:szCs w:val="22"/>
          <w:lang w:val="en-US"/>
        </w:rPr>
        <w:fldChar w:fldCharType="end"/>
      </w:r>
      <w:bookmarkEnd w:id="11"/>
      <w:r w:rsidR="00223855" w:rsidRPr="002F4A08">
        <w:rPr>
          <w:sz w:val="22"/>
          <w:szCs w:val="22"/>
          <w:lang w:val="en-US"/>
        </w:rPr>
        <w:t xml:space="preserve">: Share of (total) </w:t>
      </w:r>
      <w:r w:rsidRPr="002F4A08">
        <w:rPr>
          <w:sz w:val="22"/>
          <w:szCs w:val="22"/>
          <w:lang w:val="en-US"/>
        </w:rPr>
        <w:t>intermediate inputs in output by industry (%)</w:t>
      </w:r>
    </w:p>
    <w:p w:rsidR="00B306D8" w:rsidRPr="002F4A08" w:rsidRDefault="00B306D8" w:rsidP="00E51779">
      <w:pPr>
        <w:keepNext/>
        <w:rPr>
          <w:lang w:val="en-US"/>
        </w:rPr>
      </w:pPr>
      <w:r w:rsidRPr="002F4A08">
        <w:rPr>
          <w:noProof/>
          <w:lang w:val="de-DE"/>
        </w:rPr>
        <w:drawing>
          <wp:inline distT="0" distB="0" distL="0" distR="0" wp14:anchorId="09CE119D" wp14:editId="41867034">
            <wp:extent cx="5762625" cy="3171825"/>
            <wp:effectExtent l="0" t="0" r="0" b="0"/>
            <wp:docPr id="197" name="Bild 197" descr="C:\Dokumente und Einstellungen\Leppi\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Dokumente und Einstellungen\Leppi\Desktop\Bild1.png"/>
                    <pic:cNvPicPr>
                      <a:picLocks noChangeAspect="1" noChangeArrowheads="1"/>
                    </pic:cNvPicPr>
                  </pic:nvPicPr>
                  <pic:blipFill>
                    <a:blip r:embed="rId348"/>
                    <a:srcRect/>
                    <a:stretch>
                      <a:fillRect/>
                    </a:stretch>
                  </pic:blipFill>
                  <pic:spPr bwMode="auto">
                    <a:xfrm>
                      <a:off x="0" y="0"/>
                      <a:ext cx="5762625" cy="3171825"/>
                    </a:xfrm>
                    <a:prstGeom prst="rect">
                      <a:avLst/>
                    </a:prstGeom>
                    <a:noFill/>
                    <a:ln w="9525">
                      <a:noFill/>
                      <a:miter lim="800000"/>
                      <a:headEnd/>
                      <a:tailEnd/>
                    </a:ln>
                  </pic:spPr>
                </pic:pic>
              </a:graphicData>
            </a:graphic>
          </wp:inline>
        </w:drawing>
      </w:r>
    </w:p>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B306D8" w:rsidRPr="002F4A08" w:rsidRDefault="00223855" w:rsidP="00E51779">
      <w:pPr>
        <w:rPr>
          <w:lang w:val="en-US"/>
        </w:rPr>
      </w:pPr>
      <w:r w:rsidRPr="002F4A08">
        <w:rPr>
          <w:lang w:val="en-US"/>
        </w:rPr>
        <w:fldChar w:fldCharType="begin"/>
      </w:r>
      <w:r w:rsidRPr="002F4A08">
        <w:rPr>
          <w:lang w:val="en-US"/>
        </w:rPr>
        <w:instrText xml:space="preserve"> REF _Ref323244357 \h </w:instrText>
      </w:r>
      <w:r w:rsidR="00E51779" w:rsidRPr="002F4A08">
        <w:rPr>
          <w:lang w:val="en-US"/>
        </w:rPr>
        <w:instrText xml:space="preserve"> \* MERGEFORMAT </w:instrText>
      </w:r>
      <w:r w:rsidRPr="002F4A08">
        <w:rPr>
          <w:lang w:val="en-US"/>
        </w:rPr>
      </w:r>
      <w:r w:rsidRPr="002F4A08">
        <w:rPr>
          <w:lang w:val="en-US"/>
        </w:rPr>
        <w:fldChar w:fldCharType="separate"/>
      </w:r>
      <w:r w:rsidR="001B1E67" w:rsidRPr="002F4A08">
        <w:rPr>
          <w:lang w:val="en-US"/>
        </w:rPr>
        <w:t xml:space="preserve">Figure </w:t>
      </w:r>
      <w:r w:rsidR="001B1E67" w:rsidRPr="002F4A08">
        <w:rPr>
          <w:noProof/>
          <w:lang w:val="en-US"/>
        </w:rPr>
        <w:t>5</w:t>
      </w:r>
      <w:r w:rsidRPr="002F4A08">
        <w:rPr>
          <w:lang w:val="en-US"/>
        </w:rPr>
        <w:fldChar w:fldCharType="end"/>
      </w:r>
      <w:r w:rsidRPr="002F4A08">
        <w:rPr>
          <w:lang w:val="en-US"/>
        </w:rPr>
        <w:t xml:space="preserve"> shows deviations of estimated output multipliers by industry from those derived from the benchmark RIOT</w:t>
      </w:r>
      <w:r w:rsidR="003C2A34" w:rsidRPr="002F4A08">
        <w:rPr>
          <w:lang w:val="en-US"/>
        </w:rPr>
        <w:t xml:space="preserve">. Despite water supply industry (5) and inland navigation (47), CHARM overestimates output multipliers of all industries. SLQ also overestimates most of the multipliers, whereas FLQ and AFLQ underestimate many multipliers. </w:t>
      </w:r>
      <w:r w:rsidR="00027D3A" w:rsidRPr="002F4A08">
        <w:rPr>
          <w:lang w:val="en-US"/>
        </w:rPr>
        <w:t>This concerns for example industries such as machinery (21) and manufacturing of motor vehicles (23), which are strongly overrepresented in</w:t>
      </w:r>
      <w:r w:rsidR="00E51779" w:rsidRPr="002F4A08">
        <w:rPr>
          <w:lang w:val="en-US"/>
        </w:rPr>
        <w:t>dustries in Baden-Württemberg.</w:t>
      </w:r>
    </w:p>
    <w:p w:rsidR="00C76886" w:rsidRPr="002F4A08" w:rsidRDefault="00C76886" w:rsidP="00E51779">
      <w:pPr>
        <w:pStyle w:val="Beschriftung"/>
        <w:keepNext/>
        <w:rPr>
          <w:sz w:val="22"/>
          <w:szCs w:val="22"/>
          <w:lang w:val="en-US"/>
        </w:rPr>
      </w:pPr>
      <w:bookmarkStart w:id="12" w:name="_Ref323244357"/>
      <w:r w:rsidRPr="002F4A08">
        <w:rPr>
          <w:sz w:val="22"/>
          <w:szCs w:val="22"/>
          <w:lang w:val="en-US"/>
        </w:rPr>
        <w:lastRenderedPageBreak/>
        <w:t xml:space="preserve">Figure </w:t>
      </w:r>
      <w:r w:rsidR="00662E01" w:rsidRPr="002F4A08">
        <w:rPr>
          <w:sz w:val="22"/>
          <w:szCs w:val="22"/>
          <w:lang w:val="en-US"/>
        </w:rPr>
        <w:fldChar w:fldCharType="begin"/>
      </w:r>
      <w:r w:rsidRPr="002F4A08">
        <w:rPr>
          <w:sz w:val="22"/>
          <w:szCs w:val="22"/>
          <w:lang w:val="en-US"/>
        </w:rPr>
        <w:instrText xml:space="preserve"> SEQ Figure \* ARABIC </w:instrText>
      </w:r>
      <w:r w:rsidR="00662E01" w:rsidRPr="002F4A08">
        <w:rPr>
          <w:sz w:val="22"/>
          <w:szCs w:val="22"/>
          <w:lang w:val="en-US"/>
        </w:rPr>
        <w:fldChar w:fldCharType="separate"/>
      </w:r>
      <w:r w:rsidR="001B1E67" w:rsidRPr="002F4A08">
        <w:rPr>
          <w:noProof/>
          <w:sz w:val="22"/>
          <w:szCs w:val="22"/>
          <w:lang w:val="en-US"/>
        </w:rPr>
        <w:t>5</w:t>
      </w:r>
      <w:r w:rsidR="00662E01" w:rsidRPr="002F4A08">
        <w:rPr>
          <w:sz w:val="22"/>
          <w:szCs w:val="22"/>
          <w:lang w:val="en-US"/>
        </w:rPr>
        <w:fldChar w:fldCharType="end"/>
      </w:r>
      <w:bookmarkEnd w:id="12"/>
      <w:r w:rsidRPr="002F4A08">
        <w:rPr>
          <w:sz w:val="22"/>
          <w:szCs w:val="22"/>
          <w:lang w:val="en-US"/>
        </w:rPr>
        <w:t>: Deviation from benchmark multipliers by industry (%)</w:t>
      </w:r>
    </w:p>
    <w:p w:rsidR="00B306D8" w:rsidRPr="002F4A08" w:rsidRDefault="00B306D8" w:rsidP="00E51779">
      <w:pPr>
        <w:keepNext/>
        <w:rPr>
          <w:lang w:val="en-US"/>
        </w:rPr>
      </w:pPr>
      <w:r w:rsidRPr="002F4A08">
        <w:rPr>
          <w:noProof/>
          <w:lang w:val="de-DE"/>
        </w:rPr>
        <w:drawing>
          <wp:inline distT="0" distB="0" distL="0" distR="0" wp14:anchorId="5D8B4F42" wp14:editId="446C850C">
            <wp:extent cx="5760720" cy="3339699"/>
            <wp:effectExtent l="0" t="0" r="0" b="0"/>
            <wp:docPr id="1" name="Bild 1" descr="Variante E Outputmultiplikatoren.png"/>
            <wp:cNvGraphicFramePr/>
            <a:graphic xmlns:a="http://schemas.openxmlformats.org/drawingml/2006/main">
              <a:graphicData uri="http://schemas.openxmlformats.org/drawingml/2006/picture">
                <pic:pic xmlns:pic="http://schemas.openxmlformats.org/drawingml/2006/picture">
                  <pic:nvPicPr>
                    <pic:cNvPr id="27651" name="Grafik 6" descr="Variante E Outputmultiplikatoren.png"/>
                    <pic:cNvPicPr>
                      <a:picLocks noChangeAspect="1"/>
                    </pic:cNvPicPr>
                  </pic:nvPicPr>
                  <pic:blipFill>
                    <a:blip r:embed="rId349"/>
                    <a:srcRect/>
                    <a:stretch>
                      <a:fillRect/>
                    </a:stretch>
                  </pic:blipFill>
                  <pic:spPr bwMode="auto">
                    <a:xfrm>
                      <a:off x="0" y="0"/>
                      <a:ext cx="5760720" cy="3339699"/>
                    </a:xfrm>
                    <a:prstGeom prst="rect">
                      <a:avLst/>
                    </a:prstGeom>
                    <a:noFill/>
                    <a:ln w="9525">
                      <a:noFill/>
                      <a:miter lim="800000"/>
                      <a:headEnd/>
                      <a:tailEnd/>
                    </a:ln>
                  </pic:spPr>
                </pic:pic>
              </a:graphicData>
            </a:graphic>
          </wp:inline>
        </w:drawing>
      </w:r>
    </w:p>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C76886" w:rsidRPr="002F4A08" w:rsidRDefault="00662E01" w:rsidP="00E51779">
      <w:pPr>
        <w:rPr>
          <w:lang w:val="en-US"/>
        </w:rPr>
      </w:pPr>
      <w:r w:rsidRPr="002F4A08">
        <w:rPr>
          <w:lang w:val="en-US"/>
        </w:rPr>
        <w:fldChar w:fldCharType="begin"/>
      </w:r>
      <w:r w:rsidR="00C76886" w:rsidRPr="002F4A08">
        <w:rPr>
          <w:lang w:val="en-US"/>
        </w:rPr>
        <w:instrText xml:space="preserve"> REF _Ref323238869 \h </w:instrText>
      </w:r>
      <w:r w:rsidR="00E51779" w:rsidRPr="002F4A08">
        <w:rPr>
          <w:lang w:val="en-US"/>
        </w:rPr>
        <w:instrText xml:space="preserve"> \* MERGEFORMAT </w:instrText>
      </w:r>
      <w:r w:rsidRPr="002F4A08">
        <w:rPr>
          <w:lang w:val="en-US"/>
        </w:rPr>
      </w:r>
      <w:r w:rsidRPr="002F4A08">
        <w:rPr>
          <w:lang w:val="en-US"/>
        </w:rPr>
        <w:fldChar w:fldCharType="separate"/>
      </w:r>
      <w:r w:rsidR="001B1E67" w:rsidRPr="002F4A08">
        <w:rPr>
          <w:lang w:val="en-US"/>
        </w:rPr>
        <w:t xml:space="preserve">Figure </w:t>
      </w:r>
      <w:r w:rsidR="001B1E67" w:rsidRPr="002F4A08">
        <w:rPr>
          <w:noProof/>
          <w:lang w:val="en-US"/>
        </w:rPr>
        <w:t>6</w:t>
      </w:r>
      <w:r w:rsidRPr="002F4A08">
        <w:rPr>
          <w:lang w:val="en-US"/>
        </w:rPr>
        <w:fldChar w:fldCharType="end"/>
      </w:r>
      <w:r w:rsidR="00C76886" w:rsidRPr="002F4A08">
        <w:rPr>
          <w:lang w:val="en-US"/>
        </w:rPr>
        <w:t xml:space="preserve"> show</w:t>
      </w:r>
      <w:r w:rsidR="005255C1">
        <w:rPr>
          <w:lang w:val="en-US"/>
        </w:rPr>
        <w:t xml:space="preserve">s estimated import shares </w:t>
      </w:r>
      <w:r w:rsidR="00C76886" w:rsidRPr="002F4A08">
        <w:rPr>
          <w:lang w:val="en-US"/>
        </w:rPr>
        <w:t xml:space="preserve">by </w:t>
      </w:r>
      <w:r w:rsidR="00125EDC" w:rsidRPr="002F4A08">
        <w:rPr>
          <w:lang w:val="en-US"/>
        </w:rPr>
        <w:t>industry</w:t>
      </w:r>
      <w:r w:rsidR="00C76886" w:rsidRPr="002F4A08">
        <w:rPr>
          <w:lang w:val="en-US"/>
        </w:rPr>
        <w:t xml:space="preserve"> in comparison to those of the benchmark RIOT</w:t>
      </w:r>
      <w:r w:rsidR="00125EDC" w:rsidRPr="002F4A08">
        <w:rPr>
          <w:lang w:val="en-US"/>
        </w:rPr>
        <w:t xml:space="preserve">. All of the methods underestimated imports of each industry. Whereas CHARM delivers relatively good estimates of imports, the results of </w:t>
      </w:r>
      <w:r w:rsidR="003B0A3B" w:rsidRPr="002F4A08">
        <w:rPr>
          <w:lang w:val="en-US"/>
        </w:rPr>
        <w:t>S</w:t>
      </w:r>
      <w:r w:rsidR="00125EDC" w:rsidRPr="002F4A08">
        <w:rPr>
          <w:lang w:val="en-US"/>
        </w:rPr>
        <w:t>LQ are much weaker</w:t>
      </w:r>
      <w:r w:rsidR="003B0A3B" w:rsidRPr="002F4A08">
        <w:rPr>
          <w:lang w:val="en-US"/>
        </w:rPr>
        <w:t xml:space="preserve"> and FLQ performs even worse</w:t>
      </w:r>
      <w:r w:rsidR="00125EDC" w:rsidRPr="002F4A08">
        <w:rPr>
          <w:lang w:val="en-US"/>
        </w:rPr>
        <w:t xml:space="preserve">, as </w:t>
      </w:r>
      <w:r w:rsidR="003B0A3B" w:rsidRPr="002F4A08">
        <w:rPr>
          <w:lang w:val="en-US"/>
        </w:rPr>
        <w:t>imports are set to zero, when a</w:t>
      </w:r>
      <w:r w:rsidR="00125EDC" w:rsidRPr="002F4A08">
        <w:rPr>
          <w:lang w:val="en-US"/>
        </w:rPr>
        <w:t xml:space="preserve"> secto</w:t>
      </w:r>
      <w:r w:rsidR="002B70F0">
        <w:rPr>
          <w:lang w:val="en-US"/>
        </w:rPr>
        <w:t xml:space="preserve">r has a positive trade </w:t>
      </w:r>
      <w:r w:rsidR="00E51779" w:rsidRPr="002F4A08">
        <w:rPr>
          <w:lang w:val="en-US"/>
        </w:rPr>
        <w:t>balance.</w:t>
      </w:r>
    </w:p>
    <w:p w:rsidR="00C76886" w:rsidRPr="002F4A08" w:rsidRDefault="00C76886" w:rsidP="00F6570A">
      <w:pPr>
        <w:pStyle w:val="Beschriftung"/>
        <w:keepNext/>
        <w:rPr>
          <w:sz w:val="22"/>
          <w:szCs w:val="22"/>
          <w:lang w:val="en-US"/>
        </w:rPr>
      </w:pPr>
      <w:bookmarkStart w:id="13" w:name="_Ref323238869"/>
      <w:r w:rsidRPr="002F4A08">
        <w:rPr>
          <w:sz w:val="22"/>
          <w:szCs w:val="22"/>
          <w:lang w:val="en-US"/>
        </w:rPr>
        <w:lastRenderedPageBreak/>
        <w:t xml:space="preserve">Figure </w:t>
      </w:r>
      <w:r w:rsidR="00662E01" w:rsidRPr="002F4A08">
        <w:rPr>
          <w:sz w:val="22"/>
          <w:szCs w:val="22"/>
          <w:lang w:val="en-US"/>
        </w:rPr>
        <w:fldChar w:fldCharType="begin"/>
      </w:r>
      <w:r w:rsidRPr="002F4A08">
        <w:rPr>
          <w:sz w:val="22"/>
          <w:szCs w:val="22"/>
          <w:lang w:val="en-US"/>
        </w:rPr>
        <w:instrText xml:space="preserve"> SEQ Figure \* ARABIC </w:instrText>
      </w:r>
      <w:r w:rsidR="00662E01" w:rsidRPr="002F4A08">
        <w:rPr>
          <w:sz w:val="22"/>
          <w:szCs w:val="22"/>
          <w:lang w:val="en-US"/>
        </w:rPr>
        <w:fldChar w:fldCharType="separate"/>
      </w:r>
      <w:r w:rsidR="001B1E67" w:rsidRPr="002F4A08">
        <w:rPr>
          <w:noProof/>
          <w:sz w:val="22"/>
          <w:szCs w:val="22"/>
          <w:lang w:val="en-US"/>
        </w:rPr>
        <w:t>6</w:t>
      </w:r>
      <w:r w:rsidR="00662E01" w:rsidRPr="002F4A08">
        <w:rPr>
          <w:sz w:val="22"/>
          <w:szCs w:val="22"/>
          <w:lang w:val="en-US"/>
        </w:rPr>
        <w:fldChar w:fldCharType="end"/>
      </w:r>
      <w:bookmarkEnd w:id="13"/>
      <w:r w:rsidRPr="002F4A08">
        <w:rPr>
          <w:sz w:val="22"/>
          <w:szCs w:val="22"/>
          <w:lang w:val="en-US"/>
        </w:rPr>
        <w:t>: Import-quotas by industry (%)</w:t>
      </w:r>
    </w:p>
    <w:p w:rsidR="00B306D8" w:rsidRPr="002F4A08" w:rsidRDefault="00B306D8" w:rsidP="00F6570A">
      <w:pPr>
        <w:keepNext/>
        <w:rPr>
          <w:lang w:val="en-US"/>
        </w:rPr>
      </w:pPr>
      <w:r w:rsidRPr="002F4A08">
        <w:rPr>
          <w:noProof/>
          <w:lang w:val="de-DE"/>
        </w:rPr>
        <w:drawing>
          <wp:inline distT="0" distB="0" distL="0" distR="0" wp14:anchorId="1238F0AF" wp14:editId="2D761C74">
            <wp:extent cx="5760720" cy="3050009"/>
            <wp:effectExtent l="0" t="0" r="0" b="0"/>
            <wp:docPr id="6" name="Bild 2" descr="E:\BaWü\Variante E Importquoten.png"/>
            <wp:cNvGraphicFramePr/>
            <a:graphic xmlns:a="http://schemas.openxmlformats.org/drawingml/2006/main">
              <a:graphicData uri="http://schemas.openxmlformats.org/drawingml/2006/picture">
                <pic:pic xmlns:pic="http://schemas.openxmlformats.org/drawingml/2006/picture">
                  <pic:nvPicPr>
                    <pic:cNvPr id="28675" name="Picture 2" descr="E:\BaWü\Variante E Importquoten.png"/>
                    <pic:cNvPicPr>
                      <a:picLocks noChangeAspect="1" noChangeArrowheads="1"/>
                    </pic:cNvPicPr>
                  </pic:nvPicPr>
                  <pic:blipFill>
                    <a:blip r:embed="rId350"/>
                    <a:srcRect/>
                    <a:stretch>
                      <a:fillRect/>
                    </a:stretch>
                  </pic:blipFill>
                  <pic:spPr bwMode="auto">
                    <a:xfrm>
                      <a:off x="0" y="0"/>
                      <a:ext cx="5760720" cy="3050009"/>
                    </a:xfrm>
                    <a:prstGeom prst="rect">
                      <a:avLst/>
                    </a:prstGeom>
                    <a:noFill/>
                    <a:ln w="9525">
                      <a:noFill/>
                      <a:miter lim="800000"/>
                      <a:headEnd/>
                      <a:tailEnd/>
                    </a:ln>
                  </pic:spPr>
                </pic:pic>
              </a:graphicData>
            </a:graphic>
          </wp:inline>
        </w:drawing>
      </w:r>
    </w:p>
    <w:p w:rsidR="0003041A" w:rsidRPr="002F4A08" w:rsidRDefault="0003041A" w:rsidP="0003041A">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F30C09" w:rsidRPr="002F4A08" w:rsidRDefault="00662E01" w:rsidP="00E32E48">
      <w:pPr>
        <w:rPr>
          <w:rFonts w:cstheme="minorHAnsi"/>
          <w:lang w:val="en-US"/>
        </w:rPr>
      </w:pPr>
      <w:r w:rsidRPr="002F4A08">
        <w:rPr>
          <w:rFonts w:cstheme="minorHAnsi"/>
          <w:lang w:val="en-US"/>
        </w:rPr>
        <w:fldChar w:fldCharType="begin"/>
      </w:r>
      <w:r w:rsidR="003B0A3B" w:rsidRPr="002F4A08">
        <w:rPr>
          <w:rFonts w:cstheme="minorHAnsi"/>
          <w:lang w:val="en-US"/>
        </w:rPr>
        <w:instrText xml:space="preserve"> REF _Ref323239911 \h </w:instrText>
      </w:r>
      <w:r w:rsidRPr="002F4A08">
        <w:rPr>
          <w:rFonts w:cstheme="minorHAnsi"/>
          <w:lang w:val="en-US"/>
        </w:rPr>
      </w:r>
      <w:r w:rsidRPr="002F4A08">
        <w:rPr>
          <w:rFonts w:cstheme="minorHAnsi"/>
          <w:lang w:val="en-US"/>
        </w:rPr>
        <w:fldChar w:fldCharType="separate"/>
      </w:r>
      <w:r w:rsidR="001B1E67" w:rsidRPr="002F4A08">
        <w:rPr>
          <w:lang w:val="en-US"/>
        </w:rPr>
        <w:t xml:space="preserve">Figure </w:t>
      </w:r>
      <w:r w:rsidR="001B1E67" w:rsidRPr="002F4A08">
        <w:rPr>
          <w:noProof/>
          <w:lang w:val="en-US"/>
        </w:rPr>
        <w:t>7</w:t>
      </w:r>
      <w:r w:rsidRPr="002F4A08">
        <w:rPr>
          <w:rFonts w:cstheme="minorHAnsi"/>
          <w:lang w:val="en-US"/>
        </w:rPr>
        <w:fldChar w:fldCharType="end"/>
      </w:r>
      <w:r w:rsidR="003B0A3B" w:rsidRPr="002F4A08">
        <w:rPr>
          <w:rFonts w:cstheme="minorHAnsi"/>
          <w:lang w:val="en-US"/>
        </w:rPr>
        <w:t xml:space="preserve"> shows the deviation </w:t>
      </w:r>
      <w:r w:rsidR="002B70F0">
        <w:rPr>
          <w:rFonts w:cstheme="minorHAnsi"/>
          <w:lang w:val="en-US"/>
        </w:rPr>
        <w:t xml:space="preserve">of the elements of the Leontief </w:t>
      </w:r>
      <w:r w:rsidR="003B0A3B" w:rsidRPr="002F4A08">
        <w:rPr>
          <w:rFonts w:cstheme="minorHAnsi"/>
          <w:lang w:val="en-US"/>
        </w:rPr>
        <w:t xml:space="preserve">inverse estimated by non-survey methods from those of the benchmark table using the same color scale as </w:t>
      </w:r>
      <w:r w:rsidRPr="002F4A08">
        <w:rPr>
          <w:rFonts w:cstheme="minorHAnsi"/>
          <w:lang w:val="en-US"/>
        </w:rPr>
        <w:fldChar w:fldCharType="begin"/>
      </w:r>
      <w:r w:rsidR="003B0A3B" w:rsidRPr="002F4A08">
        <w:rPr>
          <w:rFonts w:cstheme="minorHAnsi"/>
          <w:lang w:val="en-US"/>
        </w:rPr>
        <w:instrText xml:space="preserve"> REF _Ref323219244 \h </w:instrText>
      </w:r>
      <w:r w:rsidRPr="002F4A08">
        <w:rPr>
          <w:rFonts w:cstheme="minorHAnsi"/>
          <w:lang w:val="en-US"/>
        </w:rPr>
      </w:r>
      <w:r w:rsidRPr="002F4A08">
        <w:rPr>
          <w:rFonts w:cstheme="minorHAnsi"/>
          <w:lang w:val="en-US"/>
        </w:rPr>
        <w:fldChar w:fldCharType="separate"/>
      </w:r>
      <w:r w:rsidR="001B1E67" w:rsidRPr="002F4A08">
        <w:rPr>
          <w:lang w:val="en-US"/>
        </w:rPr>
        <w:t xml:space="preserve">Figure </w:t>
      </w:r>
      <w:r w:rsidR="001B1E67" w:rsidRPr="002F4A08">
        <w:rPr>
          <w:noProof/>
          <w:lang w:val="en-US"/>
        </w:rPr>
        <w:t>3</w:t>
      </w:r>
      <w:r w:rsidRPr="002F4A08">
        <w:rPr>
          <w:rFonts w:cstheme="minorHAnsi"/>
          <w:lang w:val="en-US"/>
        </w:rPr>
        <w:fldChar w:fldCharType="end"/>
      </w:r>
      <w:r w:rsidR="003B0A3B" w:rsidRPr="002F4A08">
        <w:rPr>
          <w:rFonts w:cstheme="minorHAnsi"/>
          <w:lang w:val="en-US"/>
        </w:rPr>
        <w:t xml:space="preserve">. CHARM overestimates almost all cells, but the deviations are in most cases smaller than those of other methods. </w:t>
      </w:r>
      <w:r w:rsidR="00160A9F" w:rsidRPr="002F4A08">
        <w:rPr>
          <w:rFonts w:cstheme="minorHAnsi"/>
          <w:lang w:val="en-US"/>
        </w:rPr>
        <w:t>FLQ and AFLQ seem to have a tendency of underestimating many elements of the Leontief-inverse, when applied to type E tables. Also all of the LQ methods fail in the estimation of elements associated with purchases of coal and natural gas as discussed in ch</w:t>
      </w:r>
      <w:r w:rsidR="00F6570A" w:rsidRPr="002F4A08">
        <w:rPr>
          <w:rFonts w:cstheme="minorHAnsi"/>
          <w:lang w:val="en-US"/>
        </w:rPr>
        <w:t>apter 3 (red lines at the top).</w:t>
      </w:r>
    </w:p>
    <w:p w:rsidR="00C76886" w:rsidRPr="002F4A08" w:rsidRDefault="00C76886" w:rsidP="005C20F5">
      <w:pPr>
        <w:pStyle w:val="Beschriftung"/>
        <w:keepNext/>
        <w:rPr>
          <w:sz w:val="22"/>
          <w:szCs w:val="22"/>
          <w:lang w:val="en-US"/>
        </w:rPr>
      </w:pPr>
      <w:bookmarkStart w:id="14" w:name="_Ref323239911"/>
      <w:r w:rsidRPr="002F4A08">
        <w:rPr>
          <w:sz w:val="22"/>
          <w:szCs w:val="22"/>
          <w:lang w:val="en-US"/>
        </w:rPr>
        <w:lastRenderedPageBreak/>
        <w:t xml:space="preserve">Figure </w:t>
      </w:r>
      <w:r w:rsidR="00662E01" w:rsidRPr="002F4A08">
        <w:rPr>
          <w:sz w:val="22"/>
          <w:szCs w:val="22"/>
          <w:lang w:val="en-US"/>
        </w:rPr>
        <w:fldChar w:fldCharType="begin"/>
      </w:r>
      <w:r w:rsidRPr="002F4A08">
        <w:rPr>
          <w:sz w:val="22"/>
          <w:szCs w:val="22"/>
          <w:lang w:val="en-US"/>
        </w:rPr>
        <w:instrText xml:space="preserve"> SEQ Figure \* ARABIC </w:instrText>
      </w:r>
      <w:r w:rsidR="00662E01" w:rsidRPr="002F4A08">
        <w:rPr>
          <w:sz w:val="22"/>
          <w:szCs w:val="22"/>
          <w:lang w:val="en-US"/>
        </w:rPr>
        <w:fldChar w:fldCharType="separate"/>
      </w:r>
      <w:r w:rsidR="001B1E67" w:rsidRPr="002F4A08">
        <w:rPr>
          <w:noProof/>
          <w:sz w:val="22"/>
          <w:szCs w:val="22"/>
          <w:lang w:val="en-US"/>
        </w:rPr>
        <w:t>7</w:t>
      </w:r>
      <w:r w:rsidR="00662E01" w:rsidRPr="002F4A08">
        <w:rPr>
          <w:sz w:val="22"/>
          <w:szCs w:val="22"/>
          <w:lang w:val="en-US"/>
        </w:rPr>
        <w:fldChar w:fldCharType="end"/>
      </w:r>
      <w:bookmarkEnd w:id="14"/>
      <w:r w:rsidRPr="002F4A08">
        <w:rPr>
          <w:sz w:val="22"/>
          <w:szCs w:val="22"/>
          <w:lang w:val="en-US"/>
        </w:rPr>
        <w:t>:</w:t>
      </w:r>
      <w:r w:rsidR="003B0A3B" w:rsidRPr="002F4A08">
        <w:rPr>
          <w:sz w:val="22"/>
          <w:szCs w:val="22"/>
          <w:lang w:val="en-US"/>
        </w:rPr>
        <w:t xml:space="preserve"> Relative deviations of elements of the Leontief-Inverse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6"/>
        <w:gridCol w:w="4522"/>
      </w:tblGrid>
      <w:tr w:rsidR="005C20F5" w:rsidTr="005C20F5">
        <w:tc>
          <w:tcPr>
            <w:tcW w:w="4644" w:type="dxa"/>
          </w:tcPr>
          <w:p w:rsidR="005C20F5" w:rsidRDefault="005C20F5" w:rsidP="005C20F5">
            <w:pPr>
              <w:keepNext/>
              <w:rPr>
                <w:lang w:val="en-US"/>
              </w:rPr>
            </w:pPr>
            <w:r>
              <w:rPr>
                <w:lang w:val="en-US"/>
              </w:rPr>
              <w:t>CHARM</w:t>
            </w:r>
          </w:p>
        </w:tc>
        <w:tc>
          <w:tcPr>
            <w:tcW w:w="4644" w:type="dxa"/>
          </w:tcPr>
          <w:p w:rsidR="005C20F5" w:rsidRDefault="005C20F5" w:rsidP="005C20F5">
            <w:pPr>
              <w:keepNext/>
              <w:rPr>
                <w:lang w:val="en-US"/>
              </w:rPr>
            </w:pPr>
            <w:r>
              <w:rPr>
                <w:lang w:val="en-US"/>
              </w:rPr>
              <w:t>SLQ</w:t>
            </w:r>
          </w:p>
        </w:tc>
      </w:tr>
      <w:tr w:rsidR="005C20F5" w:rsidTr="005C20F5">
        <w:tc>
          <w:tcPr>
            <w:tcW w:w="4644" w:type="dxa"/>
          </w:tcPr>
          <w:p w:rsidR="005C20F5" w:rsidRDefault="005C20F5" w:rsidP="005C20F5">
            <w:pPr>
              <w:keepNext/>
              <w:rPr>
                <w:lang w:val="en-US"/>
              </w:rPr>
            </w:pPr>
            <w:r>
              <w:rPr>
                <w:noProof/>
                <w:lang w:val="de-DE"/>
              </w:rPr>
              <w:drawing>
                <wp:inline distT="0" distB="0" distL="0" distR="0" wp14:anchorId="2D53EB79" wp14:editId="077D42D3">
                  <wp:extent cx="4071938" cy="2206550"/>
                  <wp:effectExtent l="0" t="0" r="5080" b="3810"/>
                  <wp:docPr id="14" name="Grafik 14" descr="Variante E CH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Variante E CHARM.jpg"/>
                          <pic:cNvPicPr>
                            <a:picLocks noChangeAspect="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71938" cy="2206550"/>
                          </a:xfrm>
                          <a:prstGeom prst="rect">
                            <a:avLst/>
                          </a:prstGeom>
                          <a:noFill/>
                          <a:ln w="9525">
                            <a:noFill/>
                            <a:miter lim="800000"/>
                            <a:headEnd/>
                            <a:tailEnd/>
                          </a:ln>
                        </pic:spPr>
                      </pic:pic>
                    </a:graphicData>
                  </a:graphic>
                </wp:inline>
              </w:drawing>
            </w:r>
          </w:p>
        </w:tc>
        <w:tc>
          <w:tcPr>
            <w:tcW w:w="4644" w:type="dxa"/>
          </w:tcPr>
          <w:p w:rsidR="005C20F5" w:rsidRDefault="005C20F5" w:rsidP="005C20F5">
            <w:pPr>
              <w:keepNext/>
              <w:rPr>
                <w:lang w:val="en-US"/>
              </w:rPr>
            </w:pPr>
            <w:r>
              <w:rPr>
                <w:noProof/>
                <w:lang w:val="de-DE"/>
              </w:rPr>
              <w:drawing>
                <wp:inline distT="0" distB="0" distL="0" distR="0" wp14:anchorId="6B793F2A" wp14:editId="25791609">
                  <wp:extent cx="3822552" cy="2069971"/>
                  <wp:effectExtent l="0" t="0" r="6985" b="698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822552" cy="2069971"/>
                          </a:xfrm>
                          <a:prstGeom prst="rect">
                            <a:avLst/>
                          </a:prstGeom>
                          <a:noFill/>
                          <a:ln w="9525">
                            <a:noFill/>
                            <a:miter lim="800000"/>
                            <a:headEnd/>
                            <a:tailEnd/>
                          </a:ln>
                          <a:effectLst/>
                        </pic:spPr>
                      </pic:pic>
                    </a:graphicData>
                  </a:graphic>
                </wp:inline>
              </w:drawing>
            </w:r>
          </w:p>
        </w:tc>
      </w:tr>
      <w:tr w:rsidR="005C20F5" w:rsidTr="005C20F5">
        <w:tc>
          <w:tcPr>
            <w:tcW w:w="4644" w:type="dxa"/>
          </w:tcPr>
          <w:p w:rsidR="005C20F5" w:rsidRDefault="005C20F5" w:rsidP="005C20F5">
            <w:pPr>
              <w:keepNext/>
              <w:rPr>
                <w:lang w:val="en-US"/>
              </w:rPr>
            </w:pPr>
            <w:r>
              <w:rPr>
                <w:lang w:val="en-US"/>
              </w:rPr>
              <w:t>FLQ</w:t>
            </w:r>
          </w:p>
        </w:tc>
        <w:tc>
          <w:tcPr>
            <w:tcW w:w="4644" w:type="dxa"/>
          </w:tcPr>
          <w:p w:rsidR="005C20F5" w:rsidRDefault="005C20F5" w:rsidP="005C20F5">
            <w:pPr>
              <w:keepNext/>
              <w:rPr>
                <w:lang w:val="en-US"/>
              </w:rPr>
            </w:pPr>
            <w:r>
              <w:rPr>
                <w:lang w:val="en-US"/>
              </w:rPr>
              <w:t>AFLQ</w:t>
            </w:r>
          </w:p>
        </w:tc>
      </w:tr>
      <w:tr w:rsidR="005C20F5" w:rsidTr="005C20F5">
        <w:tc>
          <w:tcPr>
            <w:tcW w:w="4644" w:type="dxa"/>
          </w:tcPr>
          <w:p w:rsidR="005C20F5" w:rsidRDefault="005C20F5" w:rsidP="005C20F5">
            <w:pPr>
              <w:keepNext/>
              <w:rPr>
                <w:lang w:val="en-US"/>
              </w:rPr>
            </w:pPr>
            <w:r>
              <w:rPr>
                <w:noProof/>
                <w:lang w:val="de-DE"/>
              </w:rPr>
              <w:drawing>
                <wp:inline distT="0" distB="0" distL="0" distR="0" wp14:anchorId="314F20C7" wp14:editId="43A92D09">
                  <wp:extent cx="3935260" cy="2084258"/>
                  <wp:effectExtent l="0" t="0" r="8255" b="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Grp="1"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935260" cy="2084258"/>
                          </a:xfrm>
                          <a:prstGeom prst="rect">
                            <a:avLst/>
                          </a:prstGeom>
                          <a:noFill/>
                          <a:ln w="9525">
                            <a:noFill/>
                            <a:round/>
                            <a:headEnd/>
                            <a:tailEnd/>
                          </a:ln>
                          <a:effectLst/>
                        </pic:spPr>
                      </pic:pic>
                    </a:graphicData>
                  </a:graphic>
                </wp:inline>
              </w:drawing>
            </w:r>
          </w:p>
        </w:tc>
        <w:tc>
          <w:tcPr>
            <w:tcW w:w="4644" w:type="dxa"/>
          </w:tcPr>
          <w:p w:rsidR="005C20F5" w:rsidRDefault="005C20F5" w:rsidP="005C20F5">
            <w:pPr>
              <w:keepNext/>
              <w:rPr>
                <w:lang w:val="en-US"/>
              </w:rPr>
            </w:pPr>
            <w:r>
              <w:rPr>
                <w:noProof/>
                <w:lang w:val="de-DE"/>
              </w:rPr>
              <w:drawing>
                <wp:inline distT="0" distB="0" distL="0" distR="0" wp14:anchorId="4C319BB1" wp14:editId="262EC4F2">
                  <wp:extent cx="3857625" cy="2084258"/>
                  <wp:effectExtent l="0" t="0" r="0" b="0"/>
                  <wp:docPr id="1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Grp="1"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857625" cy="2084258"/>
                          </a:xfrm>
                          <a:prstGeom prst="rect">
                            <a:avLst/>
                          </a:prstGeom>
                          <a:noFill/>
                          <a:ln w="9525">
                            <a:noFill/>
                            <a:round/>
                            <a:headEnd/>
                            <a:tailEnd/>
                          </a:ln>
                          <a:effectLst/>
                        </pic:spPr>
                      </pic:pic>
                    </a:graphicData>
                  </a:graphic>
                </wp:inline>
              </w:drawing>
            </w:r>
          </w:p>
        </w:tc>
      </w:tr>
    </w:tbl>
    <w:p w:rsidR="0003041A" w:rsidRPr="002F4A08" w:rsidRDefault="0003041A" w:rsidP="005C20F5">
      <w:pPr>
        <w:pStyle w:val="SourceSTEPreprint"/>
        <w:keepNext/>
        <w:rPr>
          <w:rFonts w:asciiTheme="minorHAnsi" w:hAnsiTheme="minorHAnsi"/>
          <w:lang w:val="en-US"/>
        </w:rPr>
      </w:pPr>
      <w:r w:rsidRPr="002F4A08">
        <w:rPr>
          <w:rFonts w:asciiTheme="minorHAnsi" w:hAnsiTheme="minorHAnsi"/>
          <w:lang w:val="en-US"/>
        </w:rPr>
        <w:t>Source: authors’ calculations</w:t>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r>
      <w:r w:rsidRPr="002F4A08">
        <w:rPr>
          <w:rFonts w:asciiTheme="minorHAnsi" w:hAnsiTheme="minorHAnsi"/>
          <w:lang w:val="en-US"/>
        </w:rPr>
        <w:tab/>
        <w:t xml:space="preserve">  IEK-STE 2012</w:t>
      </w:r>
    </w:p>
    <w:p w:rsidR="00911CA8" w:rsidRPr="002F4A08" w:rsidRDefault="00911CA8" w:rsidP="00911CA8">
      <w:pPr>
        <w:pStyle w:val="berschrift2"/>
        <w:numPr>
          <w:ilvl w:val="0"/>
          <w:numId w:val="2"/>
        </w:numPr>
        <w:rPr>
          <w:lang w:val="en-US"/>
        </w:rPr>
      </w:pPr>
      <w:r w:rsidRPr="002F4A08">
        <w:rPr>
          <w:lang w:val="en-US"/>
        </w:rPr>
        <w:t>Conclusion</w:t>
      </w:r>
    </w:p>
    <w:p w:rsidR="00B07F05" w:rsidRDefault="00B07F05" w:rsidP="00F6570A">
      <w:pPr>
        <w:rPr>
          <w:lang w:val="en-US"/>
        </w:rPr>
      </w:pPr>
      <w:r>
        <w:rPr>
          <w:lang w:val="en-US"/>
        </w:rPr>
        <w:t xml:space="preserve">To sum up, the present paper shows that the choice of the regionalization method should depend on the type of SIOT to be regionalized. For the construction of type B tables, LQ methods are the correct choice (preferably FLQ or perhaps AFLQ). For the construction of type E tables, it appears that CB methods like CHARM are the correct choice. These findings lend empirical support to the theoretical argument outlined in an earlier publication </w:t>
      </w:r>
      <w:r>
        <w:rPr>
          <w:lang w:val="en-US"/>
        </w:rPr>
        <w:fldChar w:fldCharType="begin"/>
      </w:r>
      <w:r>
        <w:rPr>
          <w:lang w:val="en-US"/>
        </w:rPr>
        <w:instrText xml:space="preserve"> ADDIN EN.CITE &lt;EndNote&gt;&lt;Cite&gt;&lt;Author&gt;Kronenberg&lt;/Author&gt;&lt;Year&gt;in press&lt;/Year&gt;&lt;RecNum&gt;726&lt;/RecNum&gt;&lt;DisplayText&gt;(Kronenberg, in press)&lt;/DisplayText&gt;&lt;record&gt;&lt;rec-number&gt;726&lt;/rec-number&gt;&lt;foreign-keys&gt;&lt;key app="EN" db-id="fsxszs05u5f00setapvp9rzrpww0505fwf9v"&gt;726&lt;/key&gt;&lt;/foreign-keys&gt;&lt;ref-type name="Journal Article"&gt;17&lt;/ref-type&gt;&lt;contributors&gt;&lt;authors&gt;&lt;author&gt;Kronenberg, Tobias&lt;/author&gt;&lt;/authors&gt;&lt;/contributors&gt;&lt;titles&gt;&lt;title&gt;Regional input-output models and the treatment of imports in the European System of Accounts (ESA)&lt;/title&gt;&lt;secondary-title&gt;Jahrbuch für Regionalwissenschaft&lt;/secondary-title&gt;&lt;/titles&gt;&lt;periodical&gt;&lt;full-title&gt;Jahrbuch für Regionalwissenschaft&lt;/full-title&gt;&lt;/periodical&gt;&lt;dates&gt;&lt;year&gt;in press&lt;/year&gt;&lt;/dates&gt;&lt;urls&gt;&lt;/urls&gt;&lt;/record&gt;&lt;/Cite&gt;&lt;/EndNote&gt;</w:instrText>
      </w:r>
      <w:r>
        <w:rPr>
          <w:lang w:val="en-US"/>
        </w:rPr>
        <w:fldChar w:fldCharType="separate"/>
      </w:r>
      <w:r>
        <w:rPr>
          <w:noProof/>
          <w:lang w:val="en-US"/>
        </w:rPr>
        <w:t>(</w:t>
      </w:r>
      <w:hyperlink w:anchor="_ENREF_7" w:tooltip="Kronenberg, in press #726" w:history="1">
        <w:r>
          <w:rPr>
            <w:noProof/>
            <w:lang w:val="en-US"/>
          </w:rPr>
          <w:t>Kronenberg, in press</w:t>
        </w:r>
      </w:hyperlink>
      <w:r>
        <w:rPr>
          <w:noProof/>
          <w:lang w:val="en-US"/>
        </w:rPr>
        <w:t>)</w:t>
      </w:r>
      <w:r>
        <w:rPr>
          <w:lang w:val="en-US"/>
        </w:rPr>
        <w:fldChar w:fldCharType="end"/>
      </w:r>
      <w:r>
        <w:rPr>
          <w:lang w:val="en-US"/>
        </w:rPr>
        <w:t>.</w:t>
      </w:r>
    </w:p>
    <w:p w:rsidR="0058267C" w:rsidRPr="002F4A08" w:rsidRDefault="00B07F05" w:rsidP="00B07F05">
      <w:pPr>
        <w:rPr>
          <w:lang w:val="en-US"/>
        </w:rPr>
      </w:pPr>
      <w:r>
        <w:rPr>
          <w:lang w:val="en-US"/>
        </w:rPr>
        <w:t xml:space="preserve">Nevertheless, we would argue that a pure nonsurvey approach is not sufficient for the construction of high-quality regional input-output tables. Even the more advanced methods may still lead to misleading results. For actual empirical work, perhaps for projects commissioned by public agencies or other relevant actors, it is important that the nonsurvey approach can provide only a first “draft” version of the RIOT. Additional data should be used to check the plausibility of the results, to ensure compatibility with official statistics, and to improve </w:t>
      </w:r>
      <w:r w:rsidR="006D6690">
        <w:rPr>
          <w:lang w:val="en-US"/>
        </w:rPr>
        <w:t>the accuracy of the implied multipliers.</w:t>
      </w:r>
    </w:p>
    <w:p w:rsidR="005C20F5" w:rsidRDefault="005C20F5">
      <w:pPr>
        <w:jc w:val="left"/>
        <w:rPr>
          <w:rFonts w:asciiTheme="majorHAnsi" w:eastAsiaTheme="majorEastAsia" w:hAnsiTheme="majorHAnsi" w:cstheme="majorBidi"/>
          <w:b/>
          <w:bCs/>
          <w:color w:val="365F91" w:themeColor="accent1" w:themeShade="BF"/>
          <w:sz w:val="28"/>
          <w:szCs w:val="28"/>
          <w:lang w:val="en-US"/>
        </w:rPr>
      </w:pPr>
      <w:r>
        <w:rPr>
          <w:lang w:val="en-US"/>
        </w:rPr>
        <w:br w:type="page"/>
      </w:r>
    </w:p>
    <w:p w:rsidR="0058267C" w:rsidRPr="002F4A08" w:rsidRDefault="0058267C" w:rsidP="0058267C">
      <w:pPr>
        <w:pStyle w:val="berschrift1"/>
        <w:rPr>
          <w:lang w:val="en-US"/>
        </w:rPr>
      </w:pPr>
      <w:r w:rsidRPr="002F4A08">
        <w:rPr>
          <w:lang w:val="en-US"/>
        </w:rPr>
        <w:lastRenderedPageBreak/>
        <w:t>References</w:t>
      </w:r>
    </w:p>
    <w:p w:rsidR="00B07F05" w:rsidRPr="00B07F05" w:rsidRDefault="0005517B" w:rsidP="00B07F05">
      <w:pPr>
        <w:spacing w:after="0" w:line="240" w:lineRule="auto"/>
        <w:ind w:left="720" w:hanging="720"/>
        <w:rPr>
          <w:rFonts w:ascii="Calibri" w:hAnsi="Calibri" w:cs="Calibri"/>
          <w:noProof/>
          <w:lang w:val="en-US"/>
        </w:rPr>
      </w:pPr>
      <w:r w:rsidRPr="002F4A08">
        <w:rPr>
          <w:lang w:val="en-US"/>
        </w:rPr>
        <w:fldChar w:fldCharType="begin"/>
      </w:r>
      <w:r w:rsidRPr="002F4A08">
        <w:rPr>
          <w:lang w:val="en-US"/>
        </w:rPr>
        <w:instrText xml:space="preserve"> ADDIN EN.REFLIST </w:instrText>
      </w:r>
      <w:r w:rsidRPr="002F4A08">
        <w:rPr>
          <w:lang w:val="en-US"/>
        </w:rPr>
        <w:fldChar w:fldCharType="separate"/>
      </w:r>
      <w:bookmarkStart w:id="15" w:name="_ENREF_1"/>
      <w:r w:rsidR="00B07F05" w:rsidRPr="00B07F05">
        <w:rPr>
          <w:rFonts w:ascii="Calibri" w:hAnsi="Calibri" w:cs="Calibri"/>
          <w:noProof/>
          <w:lang w:val="en-US"/>
        </w:rPr>
        <w:t xml:space="preserve">Bonfiglio, A. (2009). 'On the Parameterization of Techniques for Representing Regional Economic Structures', </w:t>
      </w:r>
      <w:r w:rsidR="00B07F05" w:rsidRPr="00B07F05">
        <w:rPr>
          <w:rFonts w:ascii="Calibri" w:hAnsi="Calibri" w:cs="Calibri"/>
          <w:i/>
          <w:noProof/>
          <w:lang w:val="en-US"/>
        </w:rPr>
        <w:t>Economic Systems Research</w:t>
      </w:r>
      <w:r w:rsidR="00B07F05" w:rsidRPr="00B07F05">
        <w:rPr>
          <w:rFonts w:ascii="Calibri" w:hAnsi="Calibri" w:cs="Calibri"/>
          <w:noProof/>
          <w:lang w:val="en-US"/>
        </w:rPr>
        <w:t>, vol. 21, pp. 115-127.</w:t>
      </w:r>
      <w:bookmarkEnd w:id="15"/>
    </w:p>
    <w:p w:rsidR="00B07F05" w:rsidRPr="00B07F05" w:rsidRDefault="00B07F05" w:rsidP="00B07F05">
      <w:pPr>
        <w:spacing w:after="0" w:line="240" w:lineRule="auto"/>
        <w:ind w:left="720" w:hanging="720"/>
        <w:rPr>
          <w:rFonts w:ascii="Calibri" w:hAnsi="Calibri" w:cs="Calibri"/>
          <w:noProof/>
          <w:lang w:val="en-US"/>
        </w:rPr>
      </w:pPr>
      <w:bookmarkStart w:id="16" w:name="_ENREF_2"/>
      <w:r w:rsidRPr="00B07F05">
        <w:rPr>
          <w:rFonts w:ascii="Calibri" w:hAnsi="Calibri" w:cs="Calibri"/>
          <w:noProof/>
          <w:lang w:val="it-IT"/>
        </w:rPr>
        <w:t xml:space="preserve">Bonfiglio, A. and F. Chelli (2008). </w:t>
      </w:r>
      <w:r w:rsidRPr="00B07F05">
        <w:rPr>
          <w:rFonts w:ascii="Calibri" w:hAnsi="Calibri" w:cs="Calibri"/>
          <w:noProof/>
          <w:lang w:val="en-US"/>
        </w:rPr>
        <w:t xml:space="preserve">'Assessing the Behaviour of Non-Survey Methods for Constructing Regional Input–Output Tables through a Monte Carlo Simulation', </w:t>
      </w:r>
      <w:r w:rsidRPr="00B07F05">
        <w:rPr>
          <w:rFonts w:ascii="Calibri" w:hAnsi="Calibri" w:cs="Calibri"/>
          <w:i/>
          <w:noProof/>
          <w:lang w:val="en-US"/>
        </w:rPr>
        <w:t>Economic Systems Research</w:t>
      </w:r>
      <w:r w:rsidRPr="00B07F05">
        <w:rPr>
          <w:rFonts w:ascii="Calibri" w:hAnsi="Calibri" w:cs="Calibri"/>
          <w:noProof/>
          <w:lang w:val="en-US"/>
        </w:rPr>
        <w:t>, vol. 20(3), pp. 243-258.</w:t>
      </w:r>
      <w:bookmarkEnd w:id="16"/>
    </w:p>
    <w:p w:rsidR="00B07F05" w:rsidRPr="00B07F05" w:rsidRDefault="00B07F05" w:rsidP="00B07F05">
      <w:pPr>
        <w:spacing w:after="0" w:line="240" w:lineRule="auto"/>
        <w:ind w:left="720" w:hanging="720"/>
        <w:rPr>
          <w:rFonts w:ascii="Calibri" w:hAnsi="Calibri" w:cs="Calibri"/>
          <w:noProof/>
          <w:lang w:val="en-US"/>
        </w:rPr>
      </w:pPr>
      <w:bookmarkStart w:id="17" w:name="_ENREF_3"/>
      <w:r w:rsidRPr="00B07F05">
        <w:rPr>
          <w:rFonts w:ascii="Calibri" w:hAnsi="Calibri" w:cs="Calibri"/>
          <w:noProof/>
          <w:lang w:val="en-US"/>
        </w:rPr>
        <w:t>Flegg, A. T. and T. Tohmo (2011). 'Regional Input–Output Tables and the FLQ Formula: A Case Study of Finland', Regional Studies, first published on 25 August 2011 (iFirst), doi: 10.1080/00343404.2011.592138.</w:t>
      </w:r>
      <w:bookmarkEnd w:id="17"/>
    </w:p>
    <w:p w:rsidR="00B07F05" w:rsidRPr="00B07F05" w:rsidRDefault="00B07F05" w:rsidP="00B07F05">
      <w:pPr>
        <w:spacing w:after="0" w:line="240" w:lineRule="auto"/>
        <w:ind w:left="720" w:hanging="720"/>
        <w:rPr>
          <w:rFonts w:ascii="Calibri" w:hAnsi="Calibri" w:cs="Calibri"/>
          <w:noProof/>
          <w:lang w:val="en-US"/>
        </w:rPr>
      </w:pPr>
      <w:bookmarkStart w:id="18" w:name="_ENREF_4"/>
      <w:r w:rsidRPr="00B07F05">
        <w:rPr>
          <w:rFonts w:ascii="Calibri" w:hAnsi="Calibri" w:cs="Calibri"/>
          <w:noProof/>
          <w:lang w:val="en-US"/>
        </w:rPr>
        <w:t xml:space="preserve">Flegg, A. T. and C. D. Webber (2000). 'Regional Size, Regional Specialization and the FLQ Formula', </w:t>
      </w:r>
      <w:r w:rsidRPr="00B07F05">
        <w:rPr>
          <w:rFonts w:ascii="Calibri" w:hAnsi="Calibri" w:cs="Calibri"/>
          <w:i/>
          <w:noProof/>
          <w:lang w:val="en-US"/>
        </w:rPr>
        <w:t>Regional Studies</w:t>
      </w:r>
      <w:r w:rsidRPr="00B07F05">
        <w:rPr>
          <w:rFonts w:ascii="Calibri" w:hAnsi="Calibri" w:cs="Calibri"/>
          <w:noProof/>
          <w:lang w:val="en-US"/>
        </w:rPr>
        <w:t>, vol. 34, pp. 563-569.</w:t>
      </w:r>
      <w:bookmarkEnd w:id="18"/>
    </w:p>
    <w:p w:rsidR="00B07F05" w:rsidRPr="00B07F05" w:rsidRDefault="00B07F05" w:rsidP="00B07F05">
      <w:pPr>
        <w:spacing w:after="0" w:line="240" w:lineRule="auto"/>
        <w:ind w:left="720" w:hanging="720"/>
        <w:rPr>
          <w:rFonts w:ascii="Calibri" w:hAnsi="Calibri" w:cs="Calibri"/>
          <w:noProof/>
          <w:lang w:val="de-DE"/>
        </w:rPr>
      </w:pPr>
      <w:bookmarkStart w:id="19" w:name="_ENREF_5"/>
      <w:r w:rsidRPr="00B07F05">
        <w:rPr>
          <w:rFonts w:ascii="Calibri" w:hAnsi="Calibri" w:cs="Calibri"/>
          <w:noProof/>
          <w:lang w:val="en-US"/>
        </w:rPr>
        <w:t xml:space="preserve">Holub, H. W. and H. Schnabl (1994). </w:t>
      </w:r>
      <w:r w:rsidRPr="00B07F05">
        <w:rPr>
          <w:rFonts w:ascii="Calibri" w:hAnsi="Calibri" w:cs="Calibri"/>
          <w:i/>
          <w:noProof/>
          <w:lang w:val="de-DE"/>
        </w:rPr>
        <w:t>Input-Output-Rechnung: Input-Output-Analyse</w:t>
      </w:r>
      <w:r w:rsidRPr="00B07F05">
        <w:rPr>
          <w:rFonts w:ascii="Calibri" w:hAnsi="Calibri" w:cs="Calibri"/>
          <w:noProof/>
          <w:lang w:val="de-DE"/>
        </w:rPr>
        <w:t>,  München, Wien: Oldenbourg.</w:t>
      </w:r>
      <w:bookmarkEnd w:id="19"/>
    </w:p>
    <w:p w:rsidR="00B07F05" w:rsidRPr="00B07F05" w:rsidRDefault="00B07F05" w:rsidP="00B07F05">
      <w:pPr>
        <w:spacing w:after="0" w:line="240" w:lineRule="auto"/>
        <w:ind w:left="720" w:hanging="720"/>
        <w:rPr>
          <w:rFonts w:ascii="Calibri" w:hAnsi="Calibri" w:cs="Calibri"/>
          <w:noProof/>
          <w:lang w:val="en-US"/>
        </w:rPr>
      </w:pPr>
      <w:bookmarkStart w:id="20" w:name="_ENREF_6"/>
      <w:r w:rsidRPr="00B07F05">
        <w:rPr>
          <w:rFonts w:ascii="Calibri" w:hAnsi="Calibri" w:cs="Calibri"/>
          <w:noProof/>
          <w:lang w:val="en-US"/>
        </w:rPr>
        <w:t xml:space="preserve">Kronenberg, T. (2009). 'Construction of Regional Input-Output Tables Using Nonsurvey Methods: The Role of Cross-Hauling', </w:t>
      </w:r>
      <w:r w:rsidRPr="00B07F05">
        <w:rPr>
          <w:rFonts w:ascii="Calibri" w:hAnsi="Calibri" w:cs="Calibri"/>
          <w:i/>
          <w:noProof/>
          <w:lang w:val="en-US"/>
        </w:rPr>
        <w:t>International Regional Science Review</w:t>
      </w:r>
      <w:r w:rsidRPr="00B07F05">
        <w:rPr>
          <w:rFonts w:ascii="Calibri" w:hAnsi="Calibri" w:cs="Calibri"/>
          <w:noProof/>
          <w:lang w:val="en-US"/>
        </w:rPr>
        <w:t>, vol. 32(1), pp. 40-64.</w:t>
      </w:r>
      <w:bookmarkEnd w:id="20"/>
    </w:p>
    <w:p w:rsidR="00B07F05" w:rsidRPr="00B07F05" w:rsidRDefault="00B07F05" w:rsidP="00B07F05">
      <w:pPr>
        <w:spacing w:after="0" w:line="240" w:lineRule="auto"/>
        <w:ind w:left="720" w:hanging="720"/>
        <w:rPr>
          <w:rFonts w:ascii="Calibri" w:hAnsi="Calibri" w:cs="Calibri"/>
          <w:noProof/>
          <w:lang w:val="en-US"/>
        </w:rPr>
      </w:pPr>
      <w:bookmarkStart w:id="21" w:name="_ENREF_7"/>
      <w:r w:rsidRPr="00B07F05">
        <w:rPr>
          <w:rFonts w:ascii="Calibri" w:hAnsi="Calibri" w:cs="Calibri"/>
          <w:noProof/>
          <w:lang w:val="en-US"/>
        </w:rPr>
        <w:t xml:space="preserve">Kronenberg, T. (in press). 'Regional input-output models and the treatment of imports in the European System of Accounts (ESA)', </w:t>
      </w:r>
      <w:r w:rsidRPr="00B07F05">
        <w:rPr>
          <w:rFonts w:ascii="Calibri" w:hAnsi="Calibri" w:cs="Calibri"/>
          <w:i/>
          <w:noProof/>
          <w:lang w:val="en-US"/>
        </w:rPr>
        <w:t>Jahrbuch für Regionalwissenschaft</w:t>
      </w:r>
      <w:r w:rsidRPr="00B07F05">
        <w:rPr>
          <w:rFonts w:ascii="Calibri" w:hAnsi="Calibri" w:cs="Calibri"/>
          <w:noProof/>
          <w:lang w:val="en-US"/>
        </w:rPr>
        <w:t>.</w:t>
      </w:r>
      <w:bookmarkEnd w:id="21"/>
    </w:p>
    <w:p w:rsidR="00B07F05" w:rsidRPr="00B07F05" w:rsidRDefault="00B07F05" w:rsidP="00B07F05">
      <w:pPr>
        <w:spacing w:after="0" w:line="240" w:lineRule="auto"/>
        <w:ind w:left="720" w:hanging="720"/>
        <w:rPr>
          <w:rFonts w:ascii="Calibri" w:hAnsi="Calibri" w:cs="Calibri"/>
          <w:noProof/>
          <w:lang w:val="en-US"/>
        </w:rPr>
      </w:pPr>
      <w:bookmarkStart w:id="22" w:name="_ENREF_8"/>
      <w:r w:rsidRPr="00B07F05">
        <w:rPr>
          <w:rFonts w:ascii="Calibri" w:hAnsi="Calibri" w:cs="Calibri"/>
          <w:noProof/>
          <w:lang w:val="en-US"/>
        </w:rPr>
        <w:t xml:space="preserve">Miller, R. E. and P. D. Blair (2009). </w:t>
      </w:r>
      <w:r w:rsidRPr="00B07F05">
        <w:rPr>
          <w:rFonts w:ascii="Calibri" w:hAnsi="Calibri" w:cs="Calibri"/>
          <w:i/>
          <w:noProof/>
          <w:lang w:val="en-US"/>
        </w:rPr>
        <w:t>Input-Output Analysis: foundations and extensions</w:t>
      </w:r>
      <w:r w:rsidRPr="00B07F05">
        <w:rPr>
          <w:rFonts w:ascii="Calibri" w:hAnsi="Calibri" w:cs="Calibri"/>
          <w:noProof/>
          <w:lang w:val="en-US"/>
        </w:rPr>
        <w:t>, 2nd ed. Cambridge: Cambridge University Press.</w:t>
      </w:r>
      <w:bookmarkEnd w:id="22"/>
    </w:p>
    <w:p w:rsidR="00B07F05" w:rsidRPr="00B07F05" w:rsidRDefault="00B07F05" w:rsidP="00B07F05">
      <w:pPr>
        <w:spacing w:after="0" w:line="240" w:lineRule="auto"/>
        <w:ind w:left="720" w:hanging="720"/>
        <w:rPr>
          <w:rFonts w:ascii="Calibri" w:hAnsi="Calibri" w:cs="Calibri"/>
          <w:noProof/>
          <w:lang w:val="en-US"/>
        </w:rPr>
      </w:pPr>
      <w:bookmarkStart w:id="23" w:name="_ENREF_9"/>
      <w:r w:rsidRPr="00B07F05">
        <w:rPr>
          <w:rFonts w:ascii="Calibri" w:hAnsi="Calibri" w:cs="Calibri"/>
          <w:noProof/>
          <w:lang w:val="en-US"/>
        </w:rPr>
        <w:t xml:space="preserve">Morrison, W. I. and P. Smith (1974). 'Nonsurvey Input-Output Techniques at the Small Area Level: An Evaluation', </w:t>
      </w:r>
      <w:r w:rsidRPr="00B07F05">
        <w:rPr>
          <w:rFonts w:ascii="Calibri" w:hAnsi="Calibri" w:cs="Calibri"/>
          <w:i/>
          <w:noProof/>
          <w:lang w:val="en-US"/>
        </w:rPr>
        <w:t>Journal Of Regional Science</w:t>
      </w:r>
      <w:r w:rsidRPr="00B07F05">
        <w:rPr>
          <w:rFonts w:ascii="Calibri" w:hAnsi="Calibri" w:cs="Calibri"/>
          <w:noProof/>
          <w:lang w:val="en-US"/>
        </w:rPr>
        <w:t>, vol. 14(1), pp. 1-14.</w:t>
      </w:r>
      <w:bookmarkEnd w:id="23"/>
    </w:p>
    <w:p w:rsidR="00B07F05" w:rsidRPr="00B07F05" w:rsidRDefault="00B07F05" w:rsidP="00B07F05">
      <w:pPr>
        <w:spacing w:after="0" w:line="240" w:lineRule="auto"/>
        <w:ind w:left="720" w:hanging="720"/>
        <w:rPr>
          <w:rFonts w:ascii="Calibri" w:hAnsi="Calibri" w:cs="Calibri"/>
          <w:noProof/>
          <w:lang w:val="en-US"/>
        </w:rPr>
      </w:pPr>
      <w:bookmarkStart w:id="24" w:name="_ENREF_10"/>
      <w:r w:rsidRPr="00B07F05">
        <w:rPr>
          <w:rFonts w:ascii="Calibri" w:hAnsi="Calibri" w:cs="Calibri"/>
          <w:noProof/>
          <w:lang w:val="en-US"/>
        </w:rPr>
        <w:t xml:space="preserve">Richardson, H. W. (1985). 'Input-output and economic base multipliers: Looking backward and forward', </w:t>
      </w:r>
      <w:r w:rsidRPr="00B07F05">
        <w:rPr>
          <w:rFonts w:ascii="Calibri" w:hAnsi="Calibri" w:cs="Calibri"/>
          <w:i/>
          <w:noProof/>
          <w:lang w:val="en-US"/>
        </w:rPr>
        <w:t>Journal Of Regional Science</w:t>
      </w:r>
      <w:r w:rsidRPr="00B07F05">
        <w:rPr>
          <w:rFonts w:ascii="Calibri" w:hAnsi="Calibri" w:cs="Calibri"/>
          <w:noProof/>
          <w:lang w:val="en-US"/>
        </w:rPr>
        <w:t>, vol. 25, pp. 607-661.</w:t>
      </w:r>
      <w:bookmarkEnd w:id="24"/>
    </w:p>
    <w:p w:rsidR="00B07F05" w:rsidRPr="00B07F05" w:rsidRDefault="00B07F05" w:rsidP="00B07F05">
      <w:pPr>
        <w:spacing w:after="0" w:line="240" w:lineRule="auto"/>
        <w:ind w:left="720" w:hanging="720"/>
        <w:rPr>
          <w:rFonts w:ascii="Calibri" w:hAnsi="Calibri" w:cs="Calibri"/>
          <w:noProof/>
          <w:lang w:val="en-US"/>
        </w:rPr>
      </w:pPr>
      <w:bookmarkStart w:id="25" w:name="_ENREF_11"/>
      <w:r w:rsidRPr="00B07F05">
        <w:rPr>
          <w:rFonts w:ascii="Calibri" w:hAnsi="Calibri" w:cs="Calibri"/>
          <w:noProof/>
          <w:lang w:val="en-US"/>
        </w:rPr>
        <w:t xml:space="preserve">Round, J. L. (1972). 'Regional Input-Output Models in the U.K.: A Reappraisal of Some Techniques', </w:t>
      </w:r>
      <w:r w:rsidRPr="00B07F05">
        <w:rPr>
          <w:rFonts w:ascii="Calibri" w:hAnsi="Calibri" w:cs="Calibri"/>
          <w:i/>
          <w:noProof/>
          <w:lang w:val="en-US"/>
        </w:rPr>
        <w:t>Regional Studies</w:t>
      </w:r>
      <w:r w:rsidRPr="00B07F05">
        <w:rPr>
          <w:rFonts w:ascii="Calibri" w:hAnsi="Calibri" w:cs="Calibri"/>
          <w:noProof/>
          <w:lang w:val="en-US"/>
        </w:rPr>
        <w:t>, vol. 6, pp. 1-9.</w:t>
      </w:r>
      <w:bookmarkEnd w:id="25"/>
    </w:p>
    <w:p w:rsidR="00B07F05" w:rsidRPr="00B07F05" w:rsidRDefault="00B07F05" w:rsidP="00B07F05">
      <w:pPr>
        <w:spacing w:after="0" w:line="240" w:lineRule="auto"/>
        <w:ind w:left="720" w:hanging="720"/>
        <w:rPr>
          <w:rFonts w:ascii="Calibri" w:hAnsi="Calibri" w:cs="Calibri"/>
          <w:noProof/>
          <w:lang w:val="en-US"/>
        </w:rPr>
      </w:pPr>
      <w:bookmarkStart w:id="26" w:name="_ENREF_12"/>
      <w:r w:rsidRPr="00B07F05">
        <w:rPr>
          <w:rFonts w:ascii="Calibri" w:hAnsi="Calibri" w:cs="Calibri"/>
          <w:noProof/>
          <w:lang w:val="en-US"/>
        </w:rPr>
        <w:t xml:space="preserve">Schaffer, W. A. and K. Chu (1969). 'Nonsurvey Techniques for Constructing Regional Interindustry Models', </w:t>
      </w:r>
      <w:r w:rsidRPr="00B07F05">
        <w:rPr>
          <w:rFonts w:ascii="Calibri" w:hAnsi="Calibri" w:cs="Calibri"/>
          <w:i/>
          <w:noProof/>
          <w:lang w:val="en-US"/>
        </w:rPr>
        <w:t>Papers of the Regional Science Association</w:t>
      </w:r>
      <w:r w:rsidRPr="00B07F05">
        <w:rPr>
          <w:rFonts w:ascii="Calibri" w:hAnsi="Calibri" w:cs="Calibri"/>
          <w:noProof/>
          <w:lang w:val="en-US"/>
        </w:rPr>
        <w:t>, vol. 23, pp. 83-101.</w:t>
      </w:r>
      <w:bookmarkEnd w:id="26"/>
    </w:p>
    <w:p w:rsidR="00B07F05" w:rsidRPr="00B07F05" w:rsidRDefault="00B07F05" w:rsidP="00B07F05">
      <w:pPr>
        <w:spacing w:after="0" w:line="240" w:lineRule="auto"/>
        <w:ind w:left="720" w:hanging="720"/>
        <w:rPr>
          <w:rFonts w:ascii="Calibri" w:hAnsi="Calibri" w:cs="Calibri"/>
          <w:noProof/>
          <w:lang w:val="de-DE"/>
        </w:rPr>
      </w:pPr>
      <w:bookmarkStart w:id="27" w:name="_ENREF_13"/>
      <w:r w:rsidRPr="00B07F05">
        <w:rPr>
          <w:rFonts w:ascii="Calibri" w:hAnsi="Calibri" w:cs="Calibri"/>
          <w:noProof/>
          <w:lang w:val="en-US"/>
        </w:rPr>
        <w:t xml:space="preserve">Stäglin, R. (2001) </w:t>
      </w:r>
      <w:r w:rsidRPr="00B07F05">
        <w:rPr>
          <w:rFonts w:ascii="Calibri" w:hAnsi="Calibri" w:cs="Calibri"/>
          <w:i/>
          <w:noProof/>
          <w:lang w:val="en-US"/>
        </w:rPr>
        <w:t>A step by step procedure to regionalized input-output analysis</w:t>
      </w:r>
      <w:r w:rsidRPr="00B07F05">
        <w:rPr>
          <w:rFonts w:ascii="Calibri" w:hAnsi="Calibri" w:cs="Calibri"/>
          <w:noProof/>
          <w:lang w:val="en-US"/>
        </w:rPr>
        <w:t xml:space="preserve">. </w:t>
      </w:r>
      <w:r w:rsidRPr="00B07F05">
        <w:rPr>
          <w:rFonts w:ascii="Calibri" w:hAnsi="Calibri" w:cs="Calibri"/>
          <w:noProof/>
          <w:lang w:val="de-DE"/>
        </w:rPr>
        <w:t xml:space="preserve">In Pfähler, W. (Ed.) </w:t>
      </w:r>
      <w:r w:rsidRPr="00B07F05">
        <w:rPr>
          <w:rFonts w:ascii="Calibri" w:hAnsi="Calibri" w:cs="Calibri"/>
          <w:i/>
          <w:noProof/>
          <w:lang w:val="de-DE"/>
        </w:rPr>
        <w:t>Regional Input-Output Analysis.</w:t>
      </w:r>
      <w:r w:rsidRPr="00B07F05">
        <w:rPr>
          <w:rFonts w:ascii="Calibri" w:hAnsi="Calibri" w:cs="Calibri"/>
          <w:noProof/>
          <w:lang w:val="de-DE"/>
        </w:rPr>
        <w:t xml:space="preserve"> Baden-Baden, Nomos.</w:t>
      </w:r>
      <w:bookmarkEnd w:id="27"/>
    </w:p>
    <w:p w:rsidR="00B07F05" w:rsidRPr="00B07F05" w:rsidRDefault="00B07F05" w:rsidP="00B07F05">
      <w:pPr>
        <w:spacing w:after="0" w:line="240" w:lineRule="auto"/>
        <w:ind w:left="720" w:hanging="720"/>
        <w:rPr>
          <w:rFonts w:ascii="Calibri" w:hAnsi="Calibri" w:cs="Calibri"/>
          <w:noProof/>
          <w:lang w:val="en-US"/>
        </w:rPr>
      </w:pPr>
      <w:bookmarkStart w:id="28" w:name="_ENREF_14"/>
      <w:r w:rsidRPr="00B07F05">
        <w:rPr>
          <w:rFonts w:ascii="Calibri" w:hAnsi="Calibri" w:cs="Calibri"/>
          <w:noProof/>
          <w:lang w:val="en-US"/>
        </w:rPr>
        <w:t xml:space="preserve">Tohmo, T. (2004). 'New Developments in the Use of Location Quotients to Estimate Regional Input-Output Coefficients and Multipliers', </w:t>
      </w:r>
      <w:r w:rsidRPr="00B07F05">
        <w:rPr>
          <w:rFonts w:ascii="Calibri" w:hAnsi="Calibri" w:cs="Calibri"/>
          <w:i/>
          <w:noProof/>
          <w:lang w:val="en-US"/>
        </w:rPr>
        <w:t>Regional Studies</w:t>
      </w:r>
      <w:r w:rsidRPr="00B07F05">
        <w:rPr>
          <w:rFonts w:ascii="Calibri" w:hAnsi="Calibri" w:cs="Calibri"/>
          <w:noProof/>
          <w:lang w:val="en-US"/>
        </w:rPr>
        <w:t>, vol. 38(1), pp. 43-54.</w:t>
      </w:r>
      <w:bookmarkEnd w:id="28"/>
    </w:p>
    <w:p w:rsidR="00B07F05" w:rsidRPr="00B07F05" w:rsidRDefault="00B07F05" w:rsidP="00B07F05">
      <w:pPr>
        <w:spacing w:line="240" w:lineRule="auto"/>
        <w:ind w:left="720" w:hanging="720"/>
        <w:rPr>
          <w:rFonts w:ascii="Calibri" w:hAnsi="Calibri" w:cs="Calibri"/>
          <w:noProof/>
          <w:lang w:val="en-US"/>
        </w:rPr>
      </w:pPr>
      <w:bookmarkStart w:id="29" w:name="_ENREF_15"/>
      <w:r w:rsidRPr="00B07F05">
        <w:rPr>
          <w:rFonts w:ascii="Calibri" w:hAnsi="Calibri" w:cs="Calibri"/>
          <w:noProof/>
          <w:lang w:val="en-US"/>
        </w:rPr>
        <w:t xml:space="preserve">United Nations (1973). </w:t>
      </w:r>
      <w:r w:rsidRPr="00B07F05">
        <w:rPr>
          <w:rFonts w:ascii="Calibri" w:hAnsi="Calibri" w:cs="Calibri"/>
          <w:i/>
          <w:noProof/>
          <w:lang w:val="en-US"/>
        </w:rPr>
        <w:t>Input-Output Tables and Analysis</w:t>
      </w:r>
      <w:r w:rsidRPr="00B07F05">
        <w:rPr>
          <w:rFonts w:ascii="Calibri" w:hAnsi="Calibri" w:cs="Calibri"/>
          <w:noProof/>
          <w:lang w:val="en-US"/>
        </w:rPr>
        <w:t>,  New York.</w:t>
      </w:r>
      <w:bookmarkEnd w:id="29"/>
    </w:p>
    <w:p w:rsidR="00B07F05" w:rsidRDefault="00B07F05" w:rsidP="00B07F05">
      <w:pPr>
        <w:spacing w:line="240" w:lineRule="auto"/>
        <w:rPr>
          <w:rFonts w:ascii="Calibri" w:hAnsi="Calibri" w:cs="Calibri"/>
          <w:noProof/>
          <w:lang w:val="en-US"/>
        </w:rPr>
      </w:pPr>
    </w:p>
    <w:p w:rsidR="0058267C" w:rsidRPr="002F4A08" w:rsidRDefault="0005517B" w:rsidP="00F6570A">
      <w:pPr>
        <w:rPr>
          <w:lang w:val="en-US"/>
        </w:rPr>
      </w:pPr>
      <w:r w:rsidRPr="002F4A08">
        <w:rPr>
          <w:lang w:val="en-US"/>
        </w:rPr>
        <w:fldChar w:fldCharType="end"/>
      </w:r>
    </w:p>
    <w:sectPr w:rsidR="0058267C" w:rsidRPr="002F4A08" w:rsidSect="00A15DD9">
      <w:footerReference w:type="default" r:id="rId355"/>
      <w:footnotePr>
        <w:numFmt w:val="chicago"/>
      </w:footnotePr>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2CC" w:rsidRDefault="00E712CC" w:rsidP="00E4346E">
      <w:pPr>
        <w:spacing w:after="0" w:line="240" w:lineRule="auto"/>
      </w:pPr>
      <w:r>
        <w:separator/>
      </w:r>
    </w:p>
  </w:endnote>
  <w:endnote w:type="continuationSeparator" w:id="0">
    <w:p w:rsidR="00E712CC" w:rsidRDefault="00E712CC" w:rsidP="00E43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779" w:rsidRDefault="00E51779">
    <w:pPr>
      <w:pStyle w:val="Fuzeile"/>
      <w:jc w:val="center"/>
    </w:pPr>
  </w:p>
  <w:p w:rsidR="00E51779" w:rsidRDefault="00E5177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529052"/>
      <w:docPartObj>
        <w:docPartGallery w:val="Page Numbers (Bottom of Page)"/>
        <w:docPartUnique/>
      </w:docPartObj>
    </w:sdtPr>
    <w:sdtEndPr/>
    <w:sdtContent>
      <w:p w:rsidR="00E51779" w:rsidRDefault="00E51779">
        <w:pPr>
          <w:pStyle w:val="Fuzeile"/>
          <w:jc w:val="center"/>
        </w:pPr>
        <w:r>
          <w:fldChar w:fldCharType="begin"/>
        </w:r>
        <w:r>
          <w:instrText>PAGE   \* MERGEFORMAT</w:instrText>
        </w:r>
        <w:r>
          <w:fldChar w:fldCharType="separate"/>
        </w:r>
        <w:r w:rsidR="00861710" w:rsidRPr="00861710">
          <w:rPr>
            <w:noProof/>
            <w:lang w:val="de-DE"/>
          </w:rPr>
          <w:t>24</w:t>
        </w:r>
        <w:r>
          <w:fldChar w:fldCharType="end"/>
        </w:r>
      </w:p>
    </w:sdtContent>
  </w:sdt>
  <w:p w:rsidR="00E51779" w:rsidRDefault="00E5177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2CC" w:rsidRDefault="00E712CC" w:rsidP="00E4346E">
      <w:pPr>
        <w:spacing w:after="0" w:line="240" w:lineRule="auto"/>
      </w:pPr>
      <w:r>
        <w:separator/>
      </w:r>
    </w:p>
  </w:footnote>
  <w:footnote w:type="continuationSeparator" w:id="0">
    <w:p w:rsidR="00E712CC" w:rsidRDefault="00E712CC" w:rsidP="00E4346E">
      <w:pPr>
        <w:spacing w:after="0" w:line="240" w:lineRule="auto"/>
      </w:pPr>
      <w:r>
        <w:continuationSeparator/>
      </w:r>
    </w:p>
  </w:footnote>
  <w:footnote w:id="1">
    <w:p w:rsidR="00223855" w:rsidRPr="00E4346E" w:rsidRDefault="00223855">
      <w:pPr>
        <w:pStyle w:val="Funotentext"/>
        <w:rPr>
          <w:lang w:val="en-US"/>
        </w:rPr>
      </w:pPr>
      <w:r>
        <w:rPr>
          <w:rStyle w:val="Funotenzeichen"/>
        </w:rPr>
        <w:footnoteRef/>
      </w:r>
      <w:r>
        <w:t xml:space="preserve">Corresponding author. E-Mail: </w:t>
      </w:r>
      <w:hyperlink r:id="rId1" w:history="1">
        <w:r w:rsidRPr="00245F96">
          <w:rPr>
            <w:rStyle w:val="Hyperlink"/>
          </w:rPr>
          <w:t>t.kronenberg@fz-juelich.de</w:t>
        </w:r>
      </w:hyperlink>
      <w:r>
        <w:t>. Phone: +49 2461 61 1721</w:t>
      </w:r>
    </w:p>
  </w:footnote>
  <w:footnote w:id="2">
    <w:p w:rsidR="00223855" w:rsidRPr="006237B4" w:rsidRDefault="00223855" w:rsidP="00BD3F35">
      <w:pPr>
        <w:pStyle w:val="Funotentext"/>
        <w:rPr>
          <w:lang w:val="en-US"/>
        </w:rPr>
      </w:pPr>
      <w:r>
        <w:rPr>
          <w:rStyle w:val="Funotenzeichen"/>
        </w:rPr>
        <w:footnoteRef/>
      </w:r>
      <w:r w:rsidRPr="006237B4">
        <w:rPr>
          <w:lang w:val="en-US"/>
        </w:rPr>
        <w:t xml:space="preserve"> This is what Holub and Schnabl </w:t>
      </w:r>
      <w:r>
        <w:fldChar w:fldCharType="begin"/>
      </w:r>
      <w:r w:rsidR="0005517B">
        <w:rPr>
          <w:lang w:val="en-US"/>
        </w:rPr>
        <w:instrText xml:space="preserve"> ADDIN EN.CITE &lt;EndNote&gt;&lt;Cite&gt;&lt;Author&gt;Holub&lt;/Author&gt;&lt;Year&gt;1994&lt;/Year&gt;&lt;RecNum&gt;451&lt;/RecNum&gt;&lt;DisplayText&gt;(Holub and Schnabl, 1994)&lt;/DisplayText&gt;&lt;record&gt;&lt;rec-number&gt;451&lt;/rec-number&gt;&lt;foreign-keys&gt;&lt;key app="EN" db-id="fsxszs05u5f00setapvp9rzrpww0505fwf9v"&gt;451&lt;/key&gt;&lt;/foreign-keys&gt;&lt;ref-type name="Book"&gt;6&lt;/ref-type&gt;&lt;contributors&gt;&lt;authors&gt;&lt;author&gt;Hans Werner Holub&lt;/author&gt;&lt;author&gt;Hermann Schnabl&lt;/author&gt;&lt;/authors&gt;&lt;/contributors&gt;&lt;titles&gt;&lt;title&gt;Input-Output-Rechnung: Input-Output-Analyse&lt;/title&gt;&lt;/titles&gt;&lt;dates&gt;&lt;year&gt;1994&lt;/year&gt;&lt;/dates&gt;&lt;pub-location&gt;München, Wien&lt;/pub-location&gt;&lt;publisher&gt;Oldenbourg&lt;/publisher&gt;&lt;urls&gt;&lt;/urls&gt;&lt;/record&gt;&lt;/Cite&gt;&lt;/EndNote&gt;</w:instrText>
      </w:r>
      <w:r>
        <w:fldChar w:fldCharType="separate"/>
      </w:r>
      <w:r w:rsidR="0005517B" w:rsidRPr="0005517B">
        <w:rPr>
          <w:noProof/>
          <w:lang w:val="en-US"/>
        </w:rPr>
        <w:t>(</w:t>
      </w:r>
      <w:hyperlink w:anchor="_ENREF_5" w:tooltip="Holub, 1994 #451" w:history="1">
        <w:r w:rsidR="00B07F05" w:rsidRPr="0005517B">
          <w:rPr>
            <w:noProof/>
            <w:lang w:val="en-US"/>
          </w:rPr>
          <w:t>Holub and Schnabl, 1994</w:t>
        </w:r>
      </w:hyperlink>
      <w:r w:rsidR="0005517B" w:rsidRPr="0005517B">
        <w:rPr>
          <w:noProof/>
          <w:lang w:val="en-US"/>
        </w:rPr>
        <w:t>)</w:t>
      </w:r>
      <w:r>
        <w:fldChar w:fldCharType="end"/>
      </w:r>
      <w:r w:rsidRPr="006237B4">
        <w:rPr>
          <w:lang w:val="en-US"/>
        </w:rPr>
        <w:t xml:space="preserve"> call „Variante A1“. At the regional level, it is closely related to what Stäglin</w:t>
      </w:r>
      <w:r>
        <w:fldChar w:fldCharType="begin"/>
      </w:r>
      <w:r w:rsidR="0005517B">
        <w:rPr>
          <w:lang w:val="en-US"/>
        </w:rPr>
        <w:instrText xml:space="preserve"> ADDIN EN.CITE &lt;EndNote&gt;&lt;Cite&gt;&lt;Author&gt;Stäglin&lt;/Author&gt;&lt;Year&gt;2001&lt;/Year&gt;&lt;RecNum&gt;648&lt;/RecNum&gt;&lt;DisplayText&gt;(Stäglin, 2001)&lt;/DisplayText&gt;&lt;record&gt;&lt;rec-number&gt;648&lt;/rec-number&gt;&lt;foreign-keys&gt;&lt;key app="EN" db-id="fsxszs05u5f00setapvp9rzrpww0505fwf9v"&gt;648&lt;/key&gt;&lt;/foreign-keys&gt;&lt;ref-type name="Book Section"&gt;5&lt;/ref-type&gt;&lt;contributors&gt;&lt;authors&gt;&lt;author&gt;Stäglin, R.&lt;/author&gt;&lt;/authors&gt;&lt;secondary-authors&gt;&lt;author&gt;Pfähler, W.&lt;/author&gt;&lt;/secondary-authors&gt;&lt;/contributors&gt;&lt;titles&gt;&lt;title&gt;A step by step procedure to regionalized input-output analysis&lt;/title&gt;&lt;secondary-title&gt;Regional Input-Output Analysis&lt;/secondary-title&gt;&lt;/titles&gt;&lt;dates&gt;&lt;year&gt;2001&lt;/year&gt;&lt;/dates&gt;&lt;pub-location&gt;Baden-Baden&lt;/pub-location&gt;&lt;publisher&gt;Nomos&lt;/publisher&gt;&lt;urls&gt;&lt;/urls&gt;&lt;/record&gt;&lt;/Cite&gt;&lt;/EndNote&gt;</w:instrText>
      </w:r>
      <w:r>
        <w:fldChar w:fldCharType="separate"/>
      </w:r>
      <w:r w:rsidR="0005517B" w:rsidRPr="0005517B">
        <w:rPr>
          <w:noProof/>
          <w:lang w:val="en-US"/>
        </w:rPr>
        <w:t>(</w:t>
      </w:r>
      <w:hyperlink w:anchor="_ENREF_13" w:tooltip="Stäglin, 2001 #648" w:history="1">
        <w:r w:rsidR="00B07F05" w:rsidRPr="0005517B">
          <w:rPr>
            <w:noProof/>
            <w:lang w:val="en-US"/>
          </w:rPr>
          <w:t>Stäglin, 2001</w:t>
        </w:r>
      </w:hyperlink>
      <w:r w:rsidR="0005517B" w:rsidRPr="0005517B">
        <w:rPr>
          <w:noProof/>
          <w:lang w:val="en-US"/>
        </w:rPr>
        <w:t>)</w:t>
      </w:r>
      <w:r>
        <w:fldChar w:fldCharType="end"/>
      </w:r>
      <w:r w:rsidRPr="006237B4">
        <w:rPr>
          <w:lang w:val="en-US"/>
        </w:rPr>
        <w:t xml:space="preserve"> calls the “technological version”.</w:t>
      </w:r>
    </w:p>
  </w:footnote>
  <w:footnote w:id="3">
    <w:p w:rsidR="00223855" w:rsidRPr="006237B4" w:rsidRDefault="00223855" w:rsidP="00BD3F35">
      <w:pPr>
        <w:pStyle w:val="Funotentext"/>
        <w:rPr>
          <w:lang w:val="en-US"/>
        </w:rPr>
      </w:pPr>
      <w:r>
        <w:rPr>
          <w:rStyle w:val="Funotenzeichen"/>
        </w:rPr>
        <w:footnoteRef/>
      </w:r>
      <w:r w:rsidRPr="006237B4">
        <w:rPr>
          <w:lang w:val="en-US"/>
        </w:rPr>
        <w:t xml:space="preserve"> This is what Holub and Schnabl </w:t>
      </w:r>
      <w:r>
        <w:fldChar w:fldCharType="begin"/>
      </w:r>
      <w:r w:rsidR="0005517B">
        <w:rPr>
          <w:lang w:val="en-US"/>
        </w:rPr>
        <w:instrText xml:space="preserve"> ADDIN EN.CITE &lt;EndNote&gt;&lt;Cite&gt;&lt;Author&gt;Holub&lt;/Author&gt;&lt;Year&gt;1994&lt;/Year&gt;&lt;RecNum&gt;451&lt;/RecNum&gt;&lt;DisplayText&gt;(Holub and Schnabl, 1994)&lt;/DisplayText&gt;&lt;record&gt;&lt;rec-number&gt;451&lt;/rec-number&gt;&lt;foreign-keys&gt;&lt;key app="EN" db-id="fsxszs05u5f00setapvp9rzrpww0505fwf9v"&gt;451&lt;/key&gt;&lt;/foreign-keys&gt;&lt;ref-type name="Book"&gt;6&lt;/ref-type&gt;&lt;contributors&gt;&lt;authors&gt;&lt;author&gt;Hans Werner Holub&lt;/author&gt;&lt;author&gt;Hermann Schnabl&lt;/author&gt;&lt;/authors&gt;&lt;/contributors&gt;&lt;titles&gt;&lt;title&gt;Input-Output-Rechnung: Input-Output-Analyse&lt;/title&gt;&lt;/titles&gt;&lt;dates&gt;&lt;year&gt;1994&lt;/year&gt;&lt;/dates&gt;&lt;pub-location&gt;München, Wien&lt;/pub-location&gt;&lt;publisher&gt;Oldenbourg&lt;/publisher&gt;&lt;urls&gt;&lt;/urls&gt;&lt;/record&gt;&lt;/Cite&gt;&lt;/EndNote&gt;</w:instrText>
      </w:r>
      <w:r>
        <w:fldChar w:fldCharType="separate"/>
      </w:r>
      <w:r w:rsidR="0005517B" w:rsidRPr="0005517B">
        <w:rPr>
          <w:noProof/>
          <w:lang w:val="en-US"/>
        </w:rPr>
        <w:t>(</w:t>
      </w:r>
      <w:hyperlink w:anchor="_ENREF_5" w:tooltip="Holub, 1994 #451" w:history="1">
        <w:r w:rsidR="00B07F05" w:rsidRPr="0005517B">
          <w:rPr>
            <w:noProof/>
            <w:lang w:val="en-US"/>
          </w:rPr>
          <w:t>Holub and Schnabl, 1994</w:t>
        </w:r>
      </w:hyperlink>
      <w:r w:rsidR="0005517B" w:rsidRPr="0005517B">
        <w:rPr>
          <w:noProof/>
          <w:lang w:val="en-US"/>
        </w:rPr>
        <w:t>)</w:t>
      </w:r>
      <w:r>
        <w:fldChar w:fldCharType="end"/>
      </w:r>
      <w:r w:rsidRPr="006237B4">
        <w:rPr>
          <w:lang w:val="en-US"/>
        </w:rPr>
        <w:t xml:space="preserve"> call „Variante B“ and Stäglin</w:t>
      </w:r>
      <w:r>
        <w:fldChar w:fldCharType="begin"/>
      </w:r>
      <w:r w:rsidR="0005517B">
        <w:rPr>
          <w:lang w:val="en-US"/>
        </w:rPr>
        <w:instrText xml:space="preserve"> ADDIN EN.CITE &lt;EndNote&gt;&lt;Cite&gt;&lt;Author&gt;Stäglin&lt;/Author&gt;&lt;Year&gt;2001&lt;/Year&gt;&lt;RecNum&gt;648&lt;/RecNum&gt;&lt;DisplayText&gt;(Stäglin, 2001)&lt;/DisplayText&gt;&lt;record&gt;&lt;rec-number&gt;648&lt;/rec-number&gt;&lt;foreign-keys&gt;&lt;key app="EN" db-id="fsxszs05u5f00setapvp9rzrpww0505fwf9v"&gt;648&lt;/key&gt;&lt;/foreign-keys&gt;&lt;ref-type name="Book Section"&gt;5&lt;/ref-type&gt;&lt;contributors&gt;&lt;authors&gt;&lt;author&gt;Stäglin, R.&lt;/author&gt;&lt;/authors&gt;&lt;secondary-authors&gt;&lt;author&gt;Pfähler, W.&lt;/author&gt;&lt;/secondary-authors&gt;&lt;/contributors&gt;&lt;titles&gt;&lt;title&gt;A step by step procedure to regionalized input-output analysis&lt;/title&gt;&lt;secondary-title&gt;Regional Input-Output Analysis&lt;/secondary-title&gt;&lt;/titles&gt;&lt;dates&gt;&lt;year&gt;2001&lt;/year&gt;&lt;/dates&gt;&lt;pub-location&gt;Baden-Baden&lt;/pub-location&gt;&lt;publisher&gt;Nomos&lt;/publisher&gt;&lt;urls&gt;&lt;/urls&gt;&lt;/record&gt;&lt;/Cite&gt;&lt;/EndNote&gt;</w:instrText>
      </w:r>
      <w:r>
        <w:fldChar w:fldCharType="separate"/>
      </w:r>
      <w:r w:rsidR="0005517B" w:rsidRPr="0005517B">
        <w:rPr>
          <w:noProof/>
          <w:lang w:val="en-US"/>
        </w:rPr>
        <w:t>(</w:t>
      </w:r>
      <w:hyperlink w:anchor="_ENREF_13" w:tooltip="Stäglin, 2001 #648" w:history="1">
        <w:r w:rsidR="00B07F05" w:rsidRPr="0005517B">
          <w:rPr>
            <w:noProof/>
            <w:lang w:val="en-US"/>
          </w:rPr>
          <w:t>Stäglin, 2001</w:t>
        </w:r>
      </w:hyperlink>
      <w:r w:rsidR="0005517B" w:rsidRPr="0005517B">
        <w:rPr>
          <w:noProof/>
          <w:lang w:val="en-US"/>
        </w:rPr>
        <w:t>)</w:t>
      </w:r>
      <w:r>
        <w:fldChar w:fldCharType="end"/>
      </w:r>
      <w:r w:rsidRPr="006237B4">
        <w:rPr>
          <w:lang w:val="en-US"/>
        </w:rPr>
        <w:t xml:space="preserve"> calls “regional version”.</w:t>
      </w:r>
    </w:p>
  </w:footnote>
  <w:footnote w:id="4">
    <w:p w:rsidR="00223855" w:rsidRPr="00B95111" w:rsidRDefault="00223855" w:rsidP="000775C7">
      <w:pPr>
        <w:pStyle w:val="Funotentext"/>
        <w:rPr>
          <w:lang w:val="en-US"/>
        </w:rPr>
      </w:pPr>
      <w:r>
        <w:rPr>
          <w:rStyle w:val="Funotenzeichen"/>
        </w:rPr>
        <w:footnoteRef/>
      </w:r>
      <w:r w:rsidRPr="00B95111">
        <w:rPr>
          <w:lang w:val="en-US"/>
        </w:rPr>
        <w:t xml:space="preserve">For a more extensive explanation of these methods, see Miller and Blair </w:t>
      </w:r>
      <w:r>
        <w:rPr>
          <w:lang w:val="en-US"/>
        </w:rPr>
        <w:fldChar w:fldCharType="begin"/>
      </w:r>
      <w:r w:rsidR="0005517B">
        <w:rPr>
          <w:lang w:val="en-US"/>
        </w:rPr>
        <w:instrText xml:space="preserve"> ADDIN EN.CITE &lt;EndNote&gt;&lt;Cite&gt;&lt;Author&gt;Miller&lt;/Author&gt;&lt;Year&gt;2009&lt;/Year&gt;&lt;RecNum&gt;535&lt;/RecNum&gt;&lt;Suffix&gt;`, pp. 349-359&lt;/Suffix&gt;&lt;DisplayText&gt;(Miller and Blair, 2009, pp. 349-359)&lt;/DisplayText&gt;&lt;record&gt;&lt;rec-number&gt;535&lt;/rec-number&gt;&lt;foreign-keys&gt;&lt;key app="EN" db-id="fsxszs05u5f00setapvp9rzrpww0505fwf9v"&gt;535&lt;/key&gt;&lt;/foreign-keys&gt;&lt;ref-type name="Book"&gt;6&lt;/ref-type&gt;&lt;contributors&gt;&lt;authors&gt;&lt;author&gt;Miller, R.E.&lt;/author&gt;&lt;author&gt;Blair, P.D.&lt;/author&gt;&lt;/authors&gt;&lt;/contributors&gt;&lt;titles&gt;&lt;title&gt;Input-Output Analysis: foundations and extensions&lt;/title&gt;&lt;/titles&gt;&lt;edition&gt;2nd&lt;/edition&gt;&lt;dates&gt;&lt;year&gt;2009&lt;/year&gt;&lt;/dates&gt;&lt;pub-location&gt;Cambridge&lt;/pub-location&gt;&lt;publisher&gt;Cambridge University Press&lt;/publisher&gt;&lt;orig-pub&gt;1985&lt;/orig-pub&gt;&lt;urls&gt;&lt;/urls&gt;&lt;/record&gt;&lt;/Cite&gt;&lt;/EndNote&gt;</w:instrText>
      </w:r>
      <w:r>
        <w:rPr>
          <w:lang w:val="en-US"/>
        </w:rPr>
        <w:fldChar w:fldCharType="separate"/>
      </w:r>
      <w:r w:rsidR="0005517B">
        <w:rPr>
          <w:noProof/>
          <w:lang w:val="en-US"/>
        </w:rPr>
        <w:t>(</w:t>
      </w:r>
      <w:hyperlink w:anchor="_ENREF_8" w:tooltip="Miller, 2009 #535" w:history="1">
        <w:r w:rsidR="00B07F05">
          <w:rPr>
            <w:noProof/>
            <w:lang w:val="en-US"/>
          </w:rPr>
          <w:t>Miller and Blair, 2009, pp. 349-359</w:t>
        </w:r>
      </w:hyperlink>
      <w:r w:rsidR="0005517B">
        <w:rPr>
          <w:noProof/>
          <w:lang w:val="en-US"/>
        </w:rPr>
        <w:t>)</w:t>
      </w:r>
      <w:r>
        <w:rPr>
          <w:lang w:val="en-US"/>
        </w:rPr>
        <w:fldChar w:fldCharType="end"/>
      </w:r>
      <w:r>
        <w:rPr>
          <w:lang w:val="en-US"/>
        </w:rPr>
        <w:t>.</w:t>
      </w:r>
    </w:p>
  </w:footnote>
  <w:footnote w:id="5">
    <w:p w:rsidR="00223855" w:rsidRPr="00BB1A2F" w:rsidRDefault="00223855" w:rsidP="000775C7">
      <w:pPr>
        <w:pStyle w:val="Funotentext"/>
        <w:rPr>
          <w:lang w:val="en-US"/>
        </w:rPr>
      </w:pPr>
      <w:r>
        <w:rPr>
          <w:rStyle w:val="Funotenzeichen"/>
        </w:rPr>
        <w:footnoteRef/>
      </w:r>
      <w:r w:rsidRPr="00BB1A2F">
        <w:rPr>
          <w:lang w:val="en-US"/>
        </w:rPr>
        <w:t>Note that technological coefficients as defined in the present paper cannot be computed from SIOT Variant B tables.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4311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A9360C9"/>
    <w:multiLevelType w:val="hybridMultilevel"/>
    <w:tmpl w:val="B17ECC36"/>
    <w:lvl w:ilvl="0" w:tplc="EB9EBB5E">
      <w:start w:val="1"/>
      <w:numFmt w:val="bullet"/>
      <w:lvlText w:val="•"/>
      <w:lvlJc w:val="left"/>
      <w:pPr>
        <w:tabs>
          <w:tab w:val="num" w:pos="720"/>
        </w:tabs>
        <w:ind w:left="720" w:hanging="360"/>
      </w:pPr>
      <w:rPr>
        <w:rFonts w:ascii="Arial" w:hAnsi="Arial" w:hint="default"/>
      </w:rPr>
    </w:lvl>
    <w:lvl w:ilvl="1" w:tplc="AFD40090" w:tentative="1">
      <w:start w:val="1"/>
      <w:numFmt w:val="bullet"/>
      <w:lvlText w:val="•"/>
      <w:lvlJc w:val="left"/>
      <w:pPr>
        <w:tabs>
          <w:tab w:val="num" w:pos="1440"/>
        </w:tabs>
        <w:ind w:left="1440" w:hanging="360"/>
      </w:pPr>
      <w:rPr>
        <w:rFonts w:ascii="Arial" w:hAnsi="Arial" w:hint="default"/>
      </w:rPr>
    </w:lvl>
    <w:lvl w:ilvl="2" w:tplc="DC88E178" w:tentative="1">
      <w:start w:val="1"/>
      <w:numFmt w:val="bullet"/>
      <w:lvlText w:val="•"/>
      <w:lvlJc w:val="left"/>
      <w:pPr>
        <w:tabs>
          <w:tab w:val="num" w:pos="2160"/>
        </w:tabs>
        <w:ind w:left="2160" w:hanging="360"/>
      </w:pPr>
      <w:rPr>
        <w:rFonts w:ascii="Arial" w:hAnsi="Arial" w:hint="default"/>
      </w:rPr>
    </w:lvl>
    <w:lvl w:ilvl="3" w:tplc="48240ED6" w:tentative="1">
      <w:start w:val="1"/>
      <w:numFmt w:val="bullet"/>
      <w:lvlText w:val="•"/>
      <w:lvlJc w:val="left"/>
      <w:pPr>
        <w:tabs>
          <w:tab w:val="num" w:pos="2880"/>
        </w:tabs>
        <w:ind w:left="2880" w:hanging="360"/>
      </w:pPr>
      <w:rPr>
        <w:rFonts w:ascii="Arial" w:hAnsi="Arial" w:hint="default"/>
      </w:rPr>
    </w:lvl>
    <w:lvl w:ilvl="4" w:tplc="A9DA889A" w:tentative="1">
      <w:start w:val="1"/>
      <w:numFmt w:val="bullet"/>
      <w:lvlText w:val="•"/>
      <w:lvlJc w:val="left"/>
      <w:pPr>
        <w:tabs>
          <w:tab w:val="num" w:pos="3600"/>
        </w:tabs>
        <w:ind w:left="3600" w:hanging="360"/>
      </w:pPr>
      <w:rPr>
        <w:rFonts w:ascii="Arial" w:hAnsi="Arial" w:hint="default"/>
      </w:rPr>
    </w:lvl>
    <w:lvl w:ilvl="5" w:tplc="01AA3704" w:tentative="1">
      <w:start w:val="1"/>
      <w:numFmt w:val="bullet"/>
      <w:lvlText w:val="•"/>
      <w:lvlJc w:val="left"/>
      <w:pPr>
        <w:tabs>
          <w:tab w:val="num" w:pos="4320"/>
        </w:tabs>
        <w:ind w:left="4320" w:hanging="360"/>
      </w:pPr>
      <w:rPr>
        <w:rFonts w:ascii="Arial" w:hAnsi="Arial" w:hint="default"/>
      </w:rPr>
    </w:lvl>
    <w:lvl w:ilvl="6" w:tplc="113A3E8A" w:tentative="1">
      <w:start w:val="1"/>
      <w:numFmt w:val="bullet"/>
      <w:lvlText w:val="•"/>
      <w:lvlJc w:val="left"/>
      <w:pPr>
        <w:tabs>
          <w:tab w:val="num" w:pos="5040"/>
        </w:tabs>
        <w:ind w:left="5040" w:hanging="360"/>
      </w:pPr>
      <w:rPr>
        <w:rFonts w:ascii="Arial" w:hAnsi="Arial" w:hint="default"/>
      </w:rPr>
    </w:lvl>
    <w:lvl w:ilvl="7" w:tplc="B51C6FBA" w:tentative="1">
      <w:start w:val="1"/>
      <w:numFmt w:val="bullet"/>
      <w:lvlText w:val="•"/>
      <w:lvlJc w:val="left"/>
      <w:pPr>
        <w:tabs>
          <w:tab w:val="num" w:pos="5760"/>
        </w:tabs>
        <w:ind w:left="5760" w:hanging="360"/>
      </w:pPr>
      <w:rPr>
        <w:rFonts w:ascii="Arial" w:hAnsi="Arial" w:hint="default"/>
      </w:rPr>
    </w:lvl>
    <w:lvl w:ilvl="8" w:tplc="910CFB84" w:tentative="1">
      <w:start w:val="1"/>
      <w:numFmt w:val="bullet"/>
      <w:lvlText w:val="•"/>
      <w:lvlJc w:val="left"/>
      <w:pPr>
        <w:tabs>
          <w:tab w:val="num" w:pos="6480"/>
        </w:tabs>
        <w:ind w:left="6480" w:hanging="360"/>
      </w:pPr>
      <w:rPr>
        <w:rFonts w:ascii="Arial" w:hAnsi="Arial" w:hint="default"/>
      </w:rPr>
    </w:lvl>
  </w:abstractNum>
  <w:abstractNum w:abstractNumId="2">
    <w:nsid w:val="3D3E39F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1AF687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1493EB3"/>
    <w:multiLevelType w:val="hybridMultilevel"/>
    <w:tmpl w:val="2968CA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Tobias 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xszs05u5f00setapvp9rzrpww0505fwf9v&quot;&gt;master library&lt;record-ids&gt;&lt;item&gt;110&lt;/item&gt;&lt;item&gt;373&lt;/item&gt;&lt;item&gt;422&lt;/item&gt;&lt;item&gt;451&lt;/item&gt;&lt;item&gt;535&lt;/item&gt;&lt;item&gt;540&lt;/item&gt;&lt;item&gt;569&lt;/item&gt;&lt;item&gt;582&lt;/item&gt;&lt;item&gt;588&lt;/item&gt;&lt;item&gt;628&lt;/item&gt;&lt;item&gt;648&lt;/item&gt;&lt;item&gt;649&lt;/item&gt;&lt;item&gt;650&lt;/item&gt;&lt;item&gt;674&lt;/item&gt;&lt;item&gt;726&lt;/item&gt;&lt;/record-ids&gt;&lt;/item&gt;&lt;/Libraries&gt;"/>
  </w:docVars>
  <w:rsids>
    <w:rsidRoot w:val="00FD3016"/>
    <w:rsid w:val="00027CA4"/>
    <w:rsid w:val="00027D3A"/>
    <w:rsid w:val="0003041A"/>
    <w:rsid w:val="000507DF"/>
    <w:rsid w:val="0005517B"/>
    <w:rsid w:val="00066786"/>
    <w:rsid w:val="0007682C"/>
    <w:rsid w:val="000775C7"/>
    <w:rsid w:val="000A32DC"/>
    <w:rsid w:val="000C3C27"/>
    <w:rsid w:val="000D3000"/>
    <w:rsid w:val="000E6C3C"/>
    <w:rsid w:val="000F5E3E"/>
    <w:rsid w:val="000F6794"/>
    <w:rsid w:val="000F7410"/>
    <w:rsid w:val="00125EDC"/>
    <w:rsid w:val="00160A9F"/>
    <w:rsid w:val="00165D4E"/>
    <w:rsid w:val="00167F6D"/>
    <w:rsid w:val="001A5032"/>
    <w:rsid w:val="001B1E67"/>
    <w:rsid w:val="001B7C02"/>
    <w:rsid w:val="001C0DBA"/>
    <w:rsid w:val="001E3B16"/>
    <w:rsid w:val="001F647B"/>
    <w:rsid w:val="002008B3"/>
    <w:rsid w:val="00206F00"/>
    <w:rsid w:val="00223855"/>
    <w:rsid w:val="002250B2"/>
    <w:rsid w:val="0029032F"/>
    <w:rsid w:val="002925C7"/>
    <w:rsid w:val="002B06D3"/>
    <w:rsid w:val="002B4103"/>
    <w:rsid w:val="002B70F0"/>
    <w:rsid w:val="002F4A08"/>
    <w:rsid w:val="00333FA9"/>
    <w:rsid w:val="003B0A3B"/>
    <w:rsid w:val="003C2A34"/>
    <w:rsid w:val="003C51A6"/>
    <w:rsid w:val="00450B33"/>
    <w:rsid w:val="00465A34"/>
    <w:rsid w:val="004F7DB0"/>
    <w:rsid w:val="00500EE5"/>
    <w:rsid w:val="00506073"/>
    <w:rsid w:val="0050774E"/>
    <w:rsid w:val="00524123"/>
    <w:rsid w:val="005255C1"/>
    <w:rsid w:val="0053408E"/>
    <w:rsid w:val="00544BF7"/>
    <w:rsid w:val="0058267C"/>
    <w:rsid w:val="0058543A"/>
    <w:rsid w:val="005A0D24"/>
    <w:rsid w:val="005C20F5"/>
    <w:rsid w:val="005E67F8"/>
    <w:rsid w:val="00613F5D"/>
    <w:rsid w:val="006218D2"/>
    <w:rsid w:val="00647183"/>
    <w:rsid w:val="00650380"/>
    <w:rsid w:val="00662E01"/>
    <w:rsid w:val="006B7611"/>
    <w:rsid w:val="006C4645"/>
    <w:rsid w:val="006D30A1"/>
    <w:rsid w:val="006D6690"/>
    <w:rsid w:val="0073191B"/>
    <w:rsid w:val="0074513D"/>
    <w:rsid w:val="00764943"/>
    <w:rsid w:val="007670AB"/>
    <w:rsid w:val="007673BB"/>
    <w:rsid w:val="007B77BD"/>
    <w:rsid w:val="007E632F"/>
    <w:rsid w:val="00855F7F"/>
    <w:rsid w:val="00857332"/>
    <w:rsid w:val="00861710"/>
    <w:rsid w:val="00866284"/>
    <w:rsid w:val="008678F1"/>
    <w:rsid w:val="00871000"/>
    <w:rsid w:val="008A35EE"/>
    <w:rsid w:val="008C1558"/>
    <w:rsid w:val="008E48E4"/>
    <w:rsid w:val="00900E6C"/>
    <w:rsid w:val="00911CA8"/>
    <w:rsid w:val="00911EBF"/>
    <w:rsid w:val="0092196A"/>
    <w:rsid w:val="00937854"/>
    <w:rsid w:val="0094737E"/>
    <w:rsid w:val="00950B63"/>
    <w:rsid w:val="00964D3D"/>
    <w:rsid w:val="00975685"/>
    <w:rsid w:val="00997676"/>
    <w:rsid w:val="009B3EBD"/>
    <w:rsid w:val="009B6B9A"/>
    <w:rsid w:val="009C03FB"/>
    <w:rsid w:val="009C1058"/>
    <w:rsid w:val="009C7907"/>
    <w:rsid w:val="009D5496"/>
    <w:rsid w:val="009F6B94"/>
    <w:rsid w:val="009F73BB"/>
    <w:rsid w:val="00A15DD9"/>
    <w:rsid w:val="00A633C3"/>
    <w:rsid w:val="00AA121A"/>
    <w:rsid w:val="00AC483B"/>
    <w:rsid w:val="00AF46DB"/>
    <w:rsid w:val="00AF6AA5"/>
    <w:rsid w:val="00B07A95"/>
    <w:rsid w:val="00B07F05"/>
    <w:rsid w:val="00B306D8"/>
    <w:rsid w:val="00B33968"/>
    <w:rsid w:val="00B43234"/>
    <w:rsid w:val="00B44FD0"/>
    <w:rsid w:val="00B5271F"/>
    <w:rsid w:val="00B64397"/>
    <w:rsid w:val="00B92542"/>
    <w:rsid w:val="00BD3F35"/>
    <w:rsid w:val="00C00EF1"/>
    <w:rsid w:val="00C208BD"/>
    <w:rsid w:val="00C65C95"/>
    <w:rsid w:val="00C76886"/>
    <w:rsid w:val="00CB0F64"/>
    <w:rsid w:val="00CD48D1"/>
    <w:rsid w:val="00CE4B6B"/>
    <w:rsid w:val="00D54D18"/>
    <w:rsid w:val="00DC669B"/>
    <w:rsid w:val="00E32E48"/>
    <w:rsid w:val="00E4346E"/>
    <w:rsid w:val="00E51779"/>
    <w:rsid w:val="00E712CC"/>
    <w:rsid w:val="00E84C28"/>
    <w:rsid w:val="00F30C09"/>
    <w:rsid w:val="00F37DA0"/>
    <w:rsid w:val="00F6570A"/>
    <w:rsid w:val="00FC074B"/>
    <w:rsid w:val="00FD3016"/>
    <w:rsid w:val="00FE0866"/>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7183"/>
    <w:pPr>
      <w:jc w:val="both"/>
    </w:pPr>
    <w:rPr>
      <w:lang w:val="en-GB"/>
    </w:rPr>
  </w:style>
  <w:style w:type="paragraph" w:styleId="berschrift1">
    <w:name w:val="heading 1"/>
    <w:basedOn w:val="Standard"/>
    <w:next w:val="Standard"/>
    <w:link w:val="berschrift1Zchn"/>
    <w:uiPriority w:val="9"/>
    <w:qFormat/>
    <w:rsid w:val="00767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507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D30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D3016"/>
    <w:rPr>
      <w:rFonts w:asciiTheme="majorHAnsi" w:eastAsiaTheme="majorEastAsia" w:hAnsiTheme="majorHAnsi" w:cstheme="majorBidi"/>
      <w:color w:val="17365D" w:themeColor="text2" w:themeShade="BF"/>
      <w:spacing w:val="5"/>
      <w:kern w:val="28"/>
      <w:sz w:val="52"/>
      <w:szCs w:val="52"/>
      <w:lang w:val="en-GB"/>
    </w:rPr>
  </w:style>
  <w:style w:type="paragraph" w:styleId="Funotentext">
    <w:name w:val="footnote text"/>
    <w:aliases w:val="WB-Fußnotentext,foot note,Footnote text"/>
    <w:basedOn w:val="Standard"/>
    <w:link w:val="FunotentextZchn"/>
    <w:semiHidden/>
    <w:unhideWhenUsed/>
    <w:rsid w:val="00E4346E"/>
    <w:pPr>
      <w:spacing w:after="0" w:line="240" w:lineRule="auto"/>
    </w:pPr>
    <w:rPr>
      <w:sz w:val="20"/>
      <w:szCs w:val="20"/>
    </w:rPr>
  </w:style>
  <w:style w:type="character" w:customStyle="1" w:styleId="FunotentextZchn">
    <w:name w:val="Fußnotentext Zchn"/>
    <w:aliases w:val="WB-Fußnotentext Zchn,foot note Zchn,Footnote text Zchn"/>
    <w:basedOn w:val="Absatz-Standardschriftart"/>
    <w:link w:val="Funotentext"/>
    <w:semiHidden/>
    <w:rsid w:val="00E4346E"/>
    <w:rPr>
      <w:sz w:val="20"/>
      <w:szCs w:val="20"/>
      <w:lang w:val="en-GB"/>
    </w:rPr>
  </w:style>
  <w:style w:type="character" w:styleId="Funotenzeichen">
    <w:name w:val="footnote reference"/>
    <w:aliases w:val="Footnotereference"/>
    <w:basedOn w:val="Absatz-Standardschriftart"/>
    <w:semiHidden/>
    <w:unhideWhenUsed/>
    <w:rsid w:val="00E4346E"/>
    <w:rPr>
      <w:vertAlign w:val="superscript"/>
    </w:rPr>
  </w:style>
  <w:style w:type="character" w:styleId="Hyperlink">
    <w:name w:val="Hyperlink"/>
    <w:basedOn w:val="Absatz-Standardschriftart"/>
    <w:uiPriority w:val="99"/>
    <w:unhideWhenUsed/>
    <w:rsid w:val="00E4346E"/>
    <w:rPr>
      <w:color w:val="0000FF" w:themeColor="hyperlink"/>
      <w:u w:val="single"/>
    </w:rPr>
  </w:style>
  <w:style w:type="character" w:customStyle="1" w:styleId="berschrift1Zchn">
    <w:name w:val="Überschrift 1 Zchn"/>
    <w:basedOn w:val="Absatz-Standardschriftart"/>
    <w:link w:val="berschrift1"/>
    <w:uiPriority w:val="9"/>
    <w:rsid w:val="007673BB"/>
    <w:rPr>
      <w:rFonts w:asciiTheme="majorHAnsi" w:eastAsiaTheme="majorEastAsia" w:hAnsiTheme="majorHAnsi" w:cstheme="majorBidi"/>
      <w:b/>
      <w:bCs/>
      <w:color w:val="365F91" w:themeColor="accent1" w:themeShade="BF"/>
      <w:sz w:val="28"/>
      <w:szCs w:val="28"/>
      <w:lang w:val="en-GB"/>
    </w:rPr>
  </w:style>
  <w:style w:type="paragraph" w:styleId="Listenabsatz">
    <w:name w:val="List Paragraph"/>
    <w:basedOn w:val="Standard"/>
    <w:uiPriority w:val="34"/>
    <w:qFormat/>
    <w:rsid w:val="008C1558"/>
    <w:pPr>
      <w:ind w:left="720"/>
      <w:contextualSpacing/>
    </w:pPr>
  </w:style>
  <w:style w:type="paragraph" w:customStyle="1" w:styleId="Default">
    <w:name w:val="Default"/>
    <w:rsid w:val="00066786"/>
    <w:pPr>
      <w:autoSpaceDE w:val="0"/>
      <w:autoSpaceDN w:val="0"/>
      <w:adjustRightInd w:val="0"/>
      <w:spacing w:after="0" w:line="240" w:lineRule="auto"/>
    </w:pPr>
    <w:rPr>
      <w:rFonts w:ascii="Arial" w:hAnsi="Arial" w:cs="Arial"/>
      <w:color w:val="000000"/>
      <w:sz w:val="24"/>
      <w:szCs w:val="24"/>
    </w:rPr>
  </w:style>
  <w:style w:type="character" w:customStyle="1" w:styleId="berschrift2Zchn">
    <w:name w:val="Überschrift 2 Zchn"/>
    <w:basedOn w:val="Absatz-Standardschriftart"/>
    <w:link w:val="berschrift2"/>
    <w:uiPriority w:val="9"/>
    <w:rsid w:val="000507DF"/>
    <w:rPr>
      <w:rFonts w:asciiTheme="majorHAnsi" w:eastAsiaTheme="majorEastAsia" w:hAnsiTheme="majorHAnsi" w:cstheme="majorBidi"/>
      <w:b/>
      <w:bCs/>
      <w:color w:val="4F81BD" w:themeColor="accent1"/>
      <w:sz w:val="26"/>
      <w:szCs w:val="26"/>
      <w:lang w:val="en-GB"/>
    </w:rPr>
  </w:style>
  <w:style w:type="paragraph" w:styleId="Textkrper">
    <w:name w:val="Body Text"/>
    <w:basedOn w:val="Standard"/>
    <w:link w:val="TextkrperZchn1"/>
    <w:rsid w:val="00BD3F35"/>
    <w:pPr>
      <w:spacing w:before="120" w:after="120" w:line="300" w:lineRule="auto"/>
    </w:pPr>
    <w:rPr>
      <w:rFonts w:ascii="Arial" w:eastAsia="Times New Roman" w:hAnsi="Arial" w:cs="Times New Roman"/>
      <w:sz w:val="24"/>
      <w:szCs w:val="20"/>
      <w:lang w:val="de-DE"/>
    </w:rPr>
  </w:style>
  <w:style w:type="character" w:customStyle="1" w:styleId="TextkrperZchn">
    <w:name w:val="Textkörper Zchn"/>
    <w:basedOn w:val="Absatz-Standardschriftart"/>
    <w:uiPriority w:val="99"/>
    <w:semiHidden/>
    <w:rsid w:val="00BD3F35"/>
    <w:rPr>
      <w:lang w:val="en-GB"/>
    </w:rPr>
  </w:style>
  <w:style w:type="character" w:customStyle="1" w:styleId="TextkrperZchn1">
    <w:name w:val="Textkörper Zchn1"/>
    <w:link w:val="Textkrper"/>
    <w:rsid w:val="00BD3F35"/>
    <w:rPr>
      <w:rFonts w:ascii="Arial" w:eastAsia="Times New Roman" w:hAnsi="Arial" w:cs="Times New Roman"/>
      <w:sz w:val="24"/>
      <w:szCs w:val="20"/>
    </w:rPr>
  </w:style>
  <w:style w:type="paragraph" w:customStyle="1" w:styleId="Tab">
    <w:name w:val="TabÜ"/>
    <w:basedOn w:val="Standard"/>
    <w:link w:val="TabZchn"/>
    <w:rsid w:val="00BD3F35"/>
    <w:pPr>
      <w:spacing w:after="240" w:line="240" w:lineRule="auto"/>
      <w:ind w:left="992" w:hanging="992"/>
    </w:pPr>
    <w:rPr>
      <w:rFonts w:ascii="Arial" w:eastAsia="Times New Roman" w:hAnsi="Arial" w:cs="Times New Roman"/>
      <w:b/>
      <w:i/>
      <w:sz w:val="24"/>
      <w:szCs w:val="20"/>
    </w:rPr>
  </w:style>
  <w:style w:type="character" w:customStyle="1" w:styleId="TabZchn">
    <w:name w:val="TabÜ Zchn"/>
    <w:link w:val="Tab"/>
    <w:rsid w:val="00BD3F35"/>
    <w:rPr>
      <w:rFonts w:ascii="Arial" w:eastAsia="Times New Roman" w:hAnsi="Arial" w:cs="Times New Roman"/>
      <w:b/>
      <w:i/>
      <w:sz w:val="24"/>
      <w:szCs w:val="20"/>
      <w:lang w:val="en-GB"/>
    </w:rPr>
  </w:style>
  <w:style w:type="paragraph" w:customStyle="1" w:styleId="SourceSTEPreprint">
    <w:name w:val="Source STE Preprint"/>
    <w:basedOn w:val="Standard"/>
    <w:rsid w:val="00BD3F35"/>
    <w:pPr>
      <w:pBdr>
        <w:top w:val="single" w:sz="4" w:space="1" w:color="auto"/>
        <w:bottom w:val="single" w:sz="4" w:space="1" w:color="auto"/>
      </w:pBdr>
      <w:spacing w:before="240" w:after="120" w:line="300" w:lineRule="auto"/>
      <w:jc w:val="left"/>
    </w:pPr>
    <w:rPr>
      <w:rFonts w:ascii="Arial" w:eastAsia="Times New Roman" w:hAnsi="Arial" w:cs="Times New Roman"/>
      <w:szCs w:val="20"/>
    </w:rPr>
  </w:style>
  <w:style w:type="paragraph" w:customStyle="1" w:styleId="Text">
    <w:name w:val="Text"/>
    <w:basedOn w:val="Standard"/>
    <w:rsid w:val="000775C7"/>
    <w:pPr>
      <w:autoSpaceDE w:val="0"/>
      <w:autoSpaceDN w:val="0"/>
      <w:adjustRightInd w:val="0"/>
      <w:spacing w:before="240" w:after="0" w:line="360" w:lineRule="auto"/>
      <w:ind w:firstLine="851"/>
    </w:pPr>
    <w:rPr>
      <w:rFonts w:ascii="Times New Roman" w:eastAsia="Times New Roman" w:hAnsi="Times New Roman" w:cs="Times New Roman"/>
      <w:sz w:val="24"/>
      <w:szCs w:val="20"/>
      <w:lang w:eastAsia="es-ES"/>
    </w:rPr>
  </w:style>
  <w:style w:type="paragraph" w:styleId="Sprechblasentext">
    <w:name w:val="Balloon Text"/>
    <w:basedOn w:val="Standard"/>
    <w:link w:val="SprechblasentextZchn"/>
    <w:uiPriority w:val="99"/>
    <w:semiHidden/>
    <w:unhideWhenUsed/>
    <w:rsid w:val="000775C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75C7"/>
    <w:rPr>
      <w:rFonts w:ascii="Tahoma" w:hAnsi="Tahoma" w:cs="Tahoma"/>
      <w:sz w:val="16"/>
      <w:szCs w:val="16"/>
      <w:lang w:val="en-GB"/>
    </w:rPr>
  </w:style>
  <w:style w:type="character" w:styleId="Platzhaltertext">
    <w:name w:val="Placeholder Text"/>
    <w:basedOn w:val="Absatz-Standardschriftart"/>
    <w:uiPriority w:val="99"/>
    <w:semiHidden/>
    <w:rsid w:val="001C0DBA"/>
    <w:rPr>
      <w:color w:val="808080"/>
    </w:rPr>
  </w:style>
  <w:style w:type="paragraph" w:styleId="StandardWeb">
    <w:name w:val="Normal (Web)"/>
    <w:basedOn w:val="Standard"/>
    <w:uiPriority w:val="99"/>
    <w:unhideWhenUsed/>
    <w:rsid w:val="00B92542"/>
    <w:pPr>
      <w:spacing w:before="100" w:beforeAutospacing="1" w:after="100" w:afterAutospacing="1" w:line="240" w:lineRule="auto"/>
      <w:jc w:val="left"/>
    </w:pPr>
    <w:rPr>
      <w:rFonts w:ascii="Times New Roman" w:eastAsia="Times New Roman" w:hAnsi="Times New Roman" w:cs="Times New Roman"/>
      <w:sz w:val="24"/>
      <w:szCs w:val="24"/>
      <w:lang w:val="de-DE"/>
    </w:rPr>
  </w:style>
  <w:style w:type="paragraph" w:styleId="Beschriftung">
    <w:name w:val="caption"/>
    <w:basedOn w:val="Standard"/>
    <w:next w:val="Standard"/>
    <w:uiPriority w:val="35"/>
    <w:unhideWhenUsed/>
    <w:qFormat/>
    <w:rsid w:val="00E32E48"/>
    <w:pPr>
      <w:spacing w:line="240" w:lineRule="auto"/>
    </w:pPr>
    <w:rPr>
      <w:b/>
      <w:bCs/>
      <w:color w:val="4F81BD" w:themeColor="accent1"/>
      <w:sz w:val="18"/>
      <w:szCs w:val="18"/>
    </w:rPr>
  </w:style>
  <w:style w:type="paragraph" w:styleId="Kopfzeile">
    <w:name w:val="header"/>
    <w:basedOn w:val="Standard"/>
    <w:link w:val="KopfzeileZchn"/>
    <w:uiPriority w:val="99"/>
    <w:unhideWhenUsed/>
    <w:rsid w:val="00E5177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51779"/>
    <w:rPr>
      <w:lang w:val="en-GB"/>
    </w:rPr>
  </w:style>
  <w:style w:type="paragraph" w:styleId="Fuzeile">
    <w:name w:val="footer"/>
    <w:basedOn w:val="Standard"/>
    <w:link w:val="FuzeileZchn"/>
    <w:uiPriority w:val="99"/>
    <w:unhideWhenUsed/>
    <w:rsid w:val="00E5177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51779"/>
    <w:rPr>
      <w:lang w:val="en-GB"/>
    </w:rPr>
  </w:style>
  <w:style w:type="table" w:styleId="Tabellenraster">
    <w:name w:val="Table Grid"/>
    <w:basedOn w:val="NormaleTabelle"/>
    <w:uiPriority w:val="59"/>
    <w:rsid w:val="005C2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7183"/>
    <w:pPr>
      <w:jc w:val="both"/>
    </w:pPr>
    <w:rPr>
      <w:lang w:val="en-GB"/>
    </w:rPr>
  </w:style>
  <w:style w:type="paragraph" w:styleId="berschrift1">
    <w:name w:val="heading 1"/>
    <w:basedOn w:val="Standard"/>
    <w:next w:val="Standard"/>
    <w:link w:val="berschrift1Zchn"/>
    <w:uiPriority w:val="9"/>
    <w:qFormat/>
    <w:rsid w:val="00767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507D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FD30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D3016"/>
    <w:rPr>
      <w:rFonts w:asciiTheme="majorHAnsi" w:eastAsiaTheme="majorEastAsia" w:hAnsiTheme="majorHAnsi" w:cstheme="majorBidi"/>
      <w:color w:val="17365D" w:themeColor="text2" w:themeShade="BF"/>
      <w:spacing w:val="5"/>
      <w:kern w:val="28"/>
      <w:sz w:val="52"/>
      <w:szCs w:val="52"/>
      <w:lang w:val="en-GB"/>
    </w:rPr>
  </w:style>
  <w:style w:type="paragraph" w:styleId="Funotentext">
    <w:name w:val="footnote text"/>
    <w:aliases w:val="WB-Fußnotentext,foot note,Footnote text"/>
    <w:basedOn w:val="Standard"/>
    <w:link w:val="FunotentextZchn"/>
    <w:semiHidden/>
    <w:unhideWhenUsed/>
    <w:rsid w:val="00E4346E"/>
    <w:pPr>
      <w:spacing w:after="0" w:line="240" w:lineRule="auto"/>
    </w:pPr>
    <w:rPr>
      <w:sz w:val="20"/>
      <w:szCs w:val="20"/>
    </w:rPr>
  </w:style>
  <w:style w:type="character" w:customStyle="1" w:styleId="FunotentextZchn">
    <w:name w:val="Fußnotentext Zchn"/>
    <w:aliases w:val="WB-Fußnotentext Zchn,foot note Zchn,Footnote text Zchn"/>
    <w:basedOn w:val="Absatz-Standardschriftart"/>
    <w:link w:val="Funotentext"/>
    <w:semiHidden/>
    <w:rsid w:val="00E4346E"/>
    <w:rPr>
      <w:sz w:val="20"/>
      <w:szCs w:val="20"/>
      <w:lang w:val="en-GB"/>
    </w:rPr>
  </w:style>
  <w:style w:type="character" w:styleId="Funotenzeichen">
    <w:name w:val="footnote reference"/>
    <w:aliases w:val="Footnotereference"/>
    <w:basedOn w:val="Absatz-Standardschriftart"/>
    <w:semiHidden/>
    <w:unhideWhenUsed/>
    <w:rsid w:val="00E4346E"/>
    <w:rPr>
      <w:vertAlign w:val="superscript"/>
    </w:rPr>
  </w:style>
  <w:style w:type="character" w:styleId="Hyperlink">
    <w:name w:val="Hyperlink"/>
    <w:basedOn w:val="Absatz-Standardschriftart"/>
    <w:uiPriority w:val="99"/>
    <w:unhideWhenUsed/>
    <w:rsid w:val="00E4346E"/>
    <w:rPr>
      <w:color w:val="0000FF" w:themeColor="hyperlink"/>
      <w:u w:val="single"/>
    </w:rPr>
  </w:style>
  <w:style w:type="character" w:customStyle="1" w:styleId="berschrift1Zchn">
    <w:name w:val="Überschrift 1 Zchn"/>
    <w:basedOn w:val="Absatz-Standardschriftart"/>
    <w:link w:val="berschrift1"/>
    <w:uiPriority w:val="9"/>
    <w:rsid w:val="007673BB"/>
    <w:rPr>
      <w:rFonts w:asciiTheme="majorHAnsi" w:eastAsiaTheme="majorEastAsia" w:hAnsiTheme="majorHAnsi" w:cstheme="majorBidi"/>
      <w:b/>
      <w:bCs/>
      <w:color w:val="365F91" w:themeColor="accent1" w:themeShade="BF"/>
      <w:sz w:val="28"/>
      <w:szCs w:val="28"/>
      <w:lang w:val="en-GB"/>
    </w:rPr>
  </w:style>
  <w:style w:type="paragraph" w:styleId="Listenabsatz">
    <w:name w:val="List Paragraph"/>
    <w:basedOn w:val="Standard"/>
    <w:uiPriority w:val="34"/>
    <w:qFormat/>
    <w:rsid w:val="008C1558"/>
    <w:pPr>
      <w:ind w:left="720"/>
      <w:contextualSpacing/>
    </w:pPr>
  </w:style>
  <w:style w:type="paragraph" w:customStyle="1" w:styleId="Default">
    <w:name w:val="Default"/>
    <w:rsid w:val="00066786"/>
    <w:pPr>
      <w:autoSpaceDE w:val="0"/>
      <w:autoSpaceDN w:val="0"/>
      <w:adjustRightInd w:val="0"/>
      <w:spacing w:after="0" w:line="240" w:lineRule="auto"/>
    </w:pPr>
    <w:rPr>
      <w:rFonts w:ascii="Arial" w:hAnsi="Arial" w:cs="Arial"/>
      <w:color w:val="000000"/>
      <w:sz w:val="24"/>
      <w:szCs w:val="24"/>
    </w:rPr>
  </w:style>
  <w:style w:type="character" w:customStyle="1" w:styleId="berschrift2Zchn">
    <w:name w:val="Überschrift 2 Zchn"/>
    <w:basedOn w:val="Absatz-Standardschriftart"/>
    <w:link w:val="berschrift2"/>
    <w:uiPriority w:val="9"/>
    <w:rsid w:val="000507DF"/>
    <w:rPr>
      <w:rFonts w:asciiTheme="majorHAnsi" w:eastAsiaTheme="majorEastAsia" w:hAnsiTheme="majorHAnsi" w:cstheme="majorBidi"/>
      <w:b/>
      <w:bCs/>
      <w:color w:val="4F81BD" w:themeColor="accent1"/>
      <w:sz w:val="26"/>
      <w:szCs w:val="26"/>
      <w:lang w:val="en-GB"/>
    </w:rPr>
  </w:style>
  <w:style w:type="paragraph" w:styleId="Textkrper">
    <w:name w:val="Body Text"/>
    <w:basedOn w:val="Standard"/>
    <w:link w:val="TextkrperZchn1"/>
    <w:rsid w:val="00BD3F35"/>
    <w:pPr>
      <w:spacing w:before="120" w:after="120" w:line="300" w:lineRule="auto"/>
    </w:pPr>
    <w:rPr>
      <w:rFonts w:ascii="Arial" w:eastAsia="Times New Roman" w:hAnsi="Arial" w:cs="Times New Roman"/>
      <w:sz w:val="24"/>
      <w:szCs w:val="20"/>
      <w:lang w:val="de-DE"/>
    </w:rPr>
  </w:style>
  <w:style w:type="character" w:customStyle="1" w:styleId="TextkrperZchn">
    <w:name w:val="Textkörper Zchn"/>
    <w:basedOn w:val="Absatz-Standardschriftart"/>
    <w:uiPriority w:val="99"/>
    <w:semiHidden/>
    <w:rsid w:val="00BD3F35"/>
    <w:rPr>
      <w:lang w:val="en-GB"/>
    </w:rPr>
  </w:style>
  <w:style w:type="character" w:customStyle="1" w:styleId="TextkrperZchn1">
    <w:name w:val="Textkörper Zchn1"/>
    <w:link w:val="Textkrper"/>
    <w:rsid w:val="00BD3F35"/>
    <w:rPr>
      <w:rFonts w:ascii="Arial" w:eastAsia="Times New Roman" w:hAnsi="Arial" w:cs="Times New Roman"/>
      <w:sz w:val="24"/>
      <w:szCs w:val="20"/>
    </w:rPr>
  </w:style>
  <w:style w:type="paragraph" w:customStyle="1" w:styleId="Tab">
    <w:name w:val="TabÜ"/>
    <w:basedOn w:val="Standard"/>
    <w:link w:val="TabZchn"/>
    <w:rsid w:val="00BD3F35"/>
    <w:pPr>
      <w:spacing w:after="240" w:line="240" w:lineRule="auto"/>
      <w:ind w:left="992" w:hanging="992"/>
    </w:pPr>
    <w:rPr>
      <w:rFonts w:ascii="Arial" w:eastAsia="Times New Roman" w:hAnsi="Arial" w:cs="Times New Roman"/>
      <w:b/>
      <w:i/>
      <w:sz w:val="24"/>
      <w:szCs w:val="20"/>
    </w:rPr>
  </w:style>
  <w:style w:type="character" w:customStyle="1" w:styleId="TabZchn">
    <w:name w:val="TabÜ Zchn"/>
    <w:link w:val="Tab"/>
    <w:rsid w:val="00BD3F35"/>
    <w:rPr>
      <w:rFonts w:ascii="Arial" w:eastAsia="Times New Roman" w:hAnsi="Arial" w:cs="Times New Roman"/>
      <w:b/>
      <w:i/>
      <w:sz w:val="24"/>
      <w:szCs w:val="20"/>
      <w:lang w:val="en-GB"/>
    </w:rPr>
  </w:style>
  <w:style w:type="paragraph" w:customStyle="1" w:styleId="SourceSTEPreprint">
    <w:name w:val="Source STE Preprint"/>
    <w:basedOn w:val="Standard"/>
    <w:rsid w:val="00BD3F35"/>
    <w:pPr>
      <w:pBdr>
        <w:top w:val="single" w:sz="4" w:space="1" w:color="auto"/>
        <w:bottom w:val="single" w:sz="4" w:space="1" w:color="auto"/>
      </w:pBdr>
      <w:spacing w:before="240" w:after="120" w:line="300" w:lineRule="auto"/>
      <w:jc w:val="left"/>
    </w:pPr>
    <w:rPr>
      <w:rFonts w:ascii="Arial" w:eastAsia="Times New Roman" w:hAnsi="Arial" w:cs="Times New Roman"/>
      <w:szCs w:val="20"/>
    </w:rPr>
  </w:style>
  <w:style w:type="paragraph" w:customStyle="1" w:styleId="Text">
    <w:name w:val="Text"/>
    <w:basedOn w:val="Standard"/>
    <w:rsid w:val="000775C7"/>
    <w:pPr>
      <w:autoSpaceDE w:val="0"/>
      <w:autoSpaceDN w:val="0"/>
      <w:adjustRightInd w:val="0"/>
      <w:spacing w:before="240" w:after="0" w:line="360" w:lineRule="auto"/>
      <w:ind w:firstLine="851"/>
    </w:pPr>
    <w:rPr>
      <w:rFonts w:ascii="Times New Roman" w:eastAsia="Times New Roman" w:hAnsi="Times New Roman" w:cs="Times New Roman"/>
      <w:sz w:val="24"/>
      <w:szCs w:val="20"/>
      <w:lang w:eastAsia="es-ES"/>
    </w:rPr>
  </w:style>
  <w:style w:type="paragraph" w:styleId="Sprechblasentext">
    <w:name w:val="Balloon Text"/>
    <w:basedOn w:val="Standard"/>
    <w:link w:val="SprechblasentextZchn"/>
    <w:uiPriority w:val="99"/>
    <w:semiHidden/>
    <w:unhideWhenUsed/>
    <w:rsid w:val="000775C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775C7"/>
    <w:rPr>
      <w:rFonts w:ascii="Tahoma" w:hAnsi="Tahoma" w:cs="Tahoma"/>
      <w:sz w:val="16"/>
      <w:szCs w:val="16"/>
      <w:lang w:val="en-GB"/>
    </w:rPr>
  </w:style>
  <w:style w:type="character" w:styleId="Platzhaltertext">
    <w:name w:val="Placeholder Text"/>
    <w:basedOn w:val="Absatz-Standardschriftart"/>
    <w:uiPriority w:val="99"/>
    <w:semiHidden/>
    <w:rsid w:val="001C0DBA"/>
    <w:rPr>
      <w:color w:val="808080"/>
    </w:rPr>
  </w:style>
  <w:style w:type="paragraph" w:styleId="StandardWeb">
    <w:name w:val="Normal (Web)"/>
    <w:basedOn w:val="Standard"/>
    <w:uiPriority w:val="99"/>
    <w:unhideWhenUsed/>
    <w:rsid w:val="00B92542"/>
    <w:pPr>
      <w:spacing w:before="100" w:beforeAutospacing="1" w:after="100" w:afterAutospacing="1" w:line="240" w:lineRule="auto"/>
      <w:jc w:val="left"/>
    </w:pPr>
    <w:rPr>
      <w:rFonts w:ascii="Times New Roman" w:eastAsia="Times New Roman" w:hAnsi="Times New Roman" w:cs="Times New Roman"/>
      <w:sz w:val="24"/>
      <w:szCs w:val="24"/>
      <w:lang w:val="de-DE"/>
    </w:rPr>
  </w:style>
  <w:style w:type="paragraph" w:styleId="Beschriftung">
    <w:name w:val="caption"/>
    <w:basedOn w:val="Standard"/>
    <w:next w:val="Standard"/>
    <w:uiPriority w:val="35"/>
    <w:unhideWhenUsed/>
    <w:qFormat/>
    <w:rsid w:val="00E32E48"/>
    <w:pPr>
      <w:spacing w:line="240" w:lineRule="auto"/>
    </w:pPr>
    <w:rPr>
      <w:b/>
      <w:bCs/>
      <w:color w:val="4F81BD" w:themeColor="accent1"/>
      <w:sz w:val="18"/>
      <w:szCs w:val="18"/>
    </w:rPr>
  </w:style>
  <w:style w:type="paragraph" w:styleId="Kopfzeile">
    <w:name w:val="header"/>
    <w:basedOn w:val="Standard"/>
    <w:link w:val="KopfzeileZchn"/>
    <w:uiPriority w:val="99"/>
    <w:unhideWhenUsed/>
    <w:rsid w:val="00E51779"/>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E51779"/>
    <w:rPr>
      <w:lang w:val="en-GB"/>
    </w:rPr>
  </w:style>
  <w:style w:type="paragraph" w:styleId="Fuzeile">
    <w:name w:val="footer"/>
    <w:basedOn w:val="Standard"/>
    <w:link w:val="FuzeileZchn"/>
    <w:uiPriority w:val="99"/>
    <w:unhideWhenUsed/>
    <w:rsid w:val="00E51779"/>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E51779"/>
    <w:rPr>
      <w:lang w:val="en-GB"/>
    </w:rPr>
  </w:style>
  <w:style w:type="table" w:styleId="Tabellenraster">
    <w:name w:val="Table Grid"/>
    <w:basedOn w:val="NormaleTabelle"/>
    <w:uiPriority w:val="59"/>
    <w:rsid w:val="005C2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6452">
      <w:bodyDiv w:val="1"/>
      <w:marLeft w:val="0"/>
      <w:marRight w:val="0"/>
      <w:marTop w:val="0"/>
      <w:marBottom w:val="0"/>
      <w:divBdr>
        <w:top w:val="none" w:sz="0" w:space="0" w:color="auto"/>
        <w:left w:val="none" w:sz="0" w:space="0" w:color="auto"/>
        <w:bottom w:val="none" w:sz="0" w:space="0" w:color="auto"/>
        <w:right w:val="none" w:sz="0" w:space="0" w:color="auto"/>
      </w:divBdr>
    </w:div>
    <w:div w:id="195507053">
      <w:bodyDiv w:val="1"/>
      <w:marLeft w:val="0"/>
      <w:marRight w:val="0"/>
      <w:marTop w:val="0"/>
      <w:marBottom w:val="0"/>
      <w:divBdr>
        <w:top w:val="none" w:sz="0" w:space="0" w:color="auto"/>
        <w:left w:val="none" w:sz="0" w:space="0" w:color="auto"/>
        <w:bottom w:val="none" w:sz="0" w:space="0" w:color="auto"/>
        <w:right w:val="none" w:sz="0" w:space="0" w:color="auto"/>
      </w:divBdr>
    </w:div>
    <w:div w:id="688264898">
      <w:bodyDiv w:val="1"/>
      <w:marLeft w:val="0"/>
      <w:marRight w:val="0"/>
      <w:marTop w:val="0"/>
      <w:marBottom w:val="0"/>
      <w:divBdr>
        <w:top w:val="none" w:sz="0" w:space="0" w:color="auto"/>
        <w:left w:val="none" w:sz="0" w:space="0" w:color="auto"/>
        <w:bottom w:val="none" w:sz="0" w:space="0" w:color="auto"/>
        <w:right w:val="none" w:sz="0" w:space="0" w:color="auto"/>
      </w:divBdr>
      <w:divsChild>
        <w:div w:id="1568419230">
          <w:marLeft w:val="533"/>
          <w:marRight w:val="0"/>
          <w:marTop w:val="110"/>
          <w:marBottom w:val="0"/>
          <w:divBdr>
            <w:top w:val="none" w:sz="0" w:space="0" w:color="auto"/>
            <w:left w:val="none" w:sz="0" w:space="0" w:color="auto"/>
            <w:bottom w:val="none" w:sz="0" w:space="0" w:color="auto"/>
            <w:right w:val="none" w:sz="0" w:space="0" w:color="auto"/>
          </w:divBdr>
        </w:div>
      </w:divsChild>
    </w:div>
    <w:div w:id="1145314465">
      <w:bodyDiv w:val="1"/>
      <w:marLeft w:val="0"/>
      <w:marRight w:val="0"/>
      <w:marTop w:val="0"/>
      <w:marBottom w:val="0"/>
      <w:divBdr>
        <w:top w:val="none" w:sz="0" w:space="0" w:color="auto"/>
        <w:left w:val="none" w:sz="0" w:space="0" w:color="auto"/>
        <w:bottom w:val="none" w:sz="0" w:space="0" w:color="auto"/>
        <w:right w:val="none" w:sz="0" w:space="0" w:color="auto"/>
      </w:divBdr>
      <w:divsChild>
        <w:div w:id="1104038452">
          <w:marLeft w:val="533"/>
          <w:marRight w:val="0"/>
          <w:marTop w:val="110"/>
          <w:marBottom w:val="0"/>
          <w:divBdr>
            <w:top w:val="none" w:sz="0" w:space="0" w:color="auto"/>
            <w:left w:val="none" w:sz="0" w:space="0" w:color="auto"/>
            <w:bottom w:val="none" w:sz="0" w:space="0" w:color="auto"/>
            <w:right w:val="none" w:sz="0" w:space="0" w:color="auto"/>
          </w:divBdr>
        </w:div>
      </w:divsChild>
    </w:div>
    <w:div w:id="172603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18.wmf"/><Relationship Id="rId303" Type="http://schemas.openxmlformats.org/officeDocument/2006/relationships/image" Target="media/image120.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image" Target="media/image23.wmf"/><Relationship Id="rId84" Type="http://schemas.openxmlformats.org/officeDocument/2006/relationships/oleObject" Target="embeddings/oleObject42.bin"/><Relationship Id="rId138" Type="http://schemas.openxmlformats.org/officeDocument/2006/relationships/oleObject" Target="embeddings/oleObject69.bin"/><Relationship Id="rId159" Type="http://schemas.openxmlformats.org/officeDocument/2006/relationships/image" Target="media/image70.wmf"/><Relationship Id="rId324" Type="http://schemas.openxmlformats.org/officeDocument/2006/relationships/oleObject" Target="embeddings/oleObject186.bin"/><Relationship Id="rId345" Type="http://schemas.openxmlformats.org/officeDocument/2006/relationships/image" Target="media/image140.png"/><Relationship Id="rId170" Type="http://schemas.openxmlformats.org/officeDocument/2006/relationships/oleObject" Target="embeddings/oleObject88.bin"/><Relationship Id="rId191" Type="http://schemas.openxmlformats.org/officeDocument/2006/relationships/oleObject" Target="embeddings/oleObject104.bin"/><Relationship Id="rId205" Type="http://schemas.openxmlformats.org/officeDocument/2006/relationships/oleObject" Target="embeddings/oleObject113.bin"/><Relationship Id="rId226" Type="http://schemas.openxmlformats.org/officeDocument/2006/relationships/oleObject" Target="embeddings/oleObject130.bin"/><Relationship Id="rId247" Type="http://schemas.openxmlformats.org/officeDocument/2006/relationships/image" Target="media/image94.wmf"/><Relationship Id="rId107" Type="http://schemas.openxmlformats.org/officeDocument/2006/relationships/image" Target="media/image45.wmf"/><Relationship Id="rId268" Type="http://schemas.openxmlformats.org/officeDocument/2006/relationships/oleObject" Target="embeddings/oleObject156.bin"/><Relationship Id="rId289" Type="http://schemas.openxmlformats.org/officeDocument/2006/relationships/image" Target="media/image113.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image" Target="media/image18.wmf"/><Relationship Id="rId74" Type="http://schemas.openxmlformats.org/officeDocument/2006/relationships/oleObject" Target="embeddings/oleObject37.bin"/><Relationship Id="rId128" Type="http://schemas.openxmlformats.org/officeDocument/2006/relationships/oleObject" Target="embeddings/oleObject64.bin"/><Relationship Id="rId149" Type="http://schemas.openxmlformats.org/officeDocument/2006/relationships/oleObject" Target="embeddings/oleObject75.bin"/><Relationship Id="rId314" Type="http://schemas.openxmlformats.org/officeDocument/2006/relationships/image" Target="media/image124.wmf"/><Relationship Id="rId335" Type="http://schemas.openxmlformats.org/officeDocument/2006/relationships/image" Target="media/image135.wmf"/><Relationship Id="rId356"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39.wmf"/><Relationship Id="rId160" Type="http://schemas.openxmlformats.org/officeDocument/2006/relationships/oleObject" Target="embeddings/oleObject81.bin"/><Relationship Id="rId181" Type="http://schemas.openxmlformats.org/officeDocument/2006/relationships/oleObject" Target="embeddings/oleObject97.bin"/><Relationship Id="rId216" Type="http://schemas.openxmlformats.org/officeDocument/2006/relationships/oleObject" Target="embeddings/oleObject122.bin"/><Relationship Id="rId237" Type="http://schemas.openxmlformats.org/officeDocument/2006/relationships/oleObject" Target="embeddings/oleObject139.bin"/><Relationship Id="rId258" Type="http://schemas.openxmlformats.org/officeDocument/2006/relationships/oleObject" Target="embeddings/oleObject151.bin"/><Relationship Id="rId279" Type="http://schemas.openxmlformats.org/officeDocument/2006/relationships/image" Target="media/image109.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oleObject" Target="embeddings/oleObject32.bin"/><Relationship Id="rId118" Type="http://schemas.openxmlformats.org/officeDocument/2006/relationships/oleObject" Target="embeddings/oleObject59.bin"/><Relationship Id="rId139" Type="http://schemas.openxmlformats.org/officeDocument/2006/relationships/image" Target="media/image61.wmf"/><Relationship Id="rId290" Type="http://schemas.openxmlformats.org/officeDocument/2006/relationships/oleObject" Target="embeddings/oleObject168.bin"/><Relationship Id="rId304" Type="http://schemas.openxmlformats.org/officeDocument/2006/relationships/oleObject" Target="embeddings/oleObject175.bin"/><Relationship Id="rId325" Type="http://schemas.openxmlformats.org/officeDocument/2006/relationships/image" Target="media/image130.wmf"/><Relationship Id="rId346" Type="http://schemas.openxmlformats.org/officeDocument/2006/relationships/image" Target="media/image141.png"/><Relationship Id="rId85" Type="http://schemas.openxmlformats.org/officeDocument/2006/relationships/image" Target="media/image34.wmf"/><Relationship Id="rId150" Type="http://schemas.openxmlformats.org/officeDocument/2006/relationships/image" Target="media/image66.wmf"/><Relationship Id="rId171" Type="http://schemas.openxmlformats.org/officeDocument/2006/relationships/oleObject" Target="embeddings/oleObject89.bin"/><Relationship Id="rId192" Type="http://schemas.openxmlformats.org/officeDocument/2006/relationships/image" Target="media/image79.wmf"/><Relationship Id="rId206" Type="http://schemas.openxmlformats.org/officeDocument/2006/relationships/oleObject" Target="embeddings/oleObject114.bin"/><Relationship Id="rId227" Type="http://schemas.openxmlformats.org/officeDocument/2006/relationships/oleObject" Target="embeddings/oleObject131.bin"/><Relationship Id="rId248" Type="http://schemas.openxmlformats.org/officeDocument/2006/relationships/oleObject" Target="embeddings/oleObject145.bin"/><Relationship Id="rId269" Type="http://schemas.openxmlformats.org/officeDocument/2006/relationships/image" Target="media/image104.wmf"/><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oleObject" Target="embeddings/oleObject54.bin"/><Relationship Id="rId129" Type="http://schemas.openxmlformats.org/officeDocument/2006/relationships/image" Target="media/image56.wmf"/><Relationship Id="rId280" Type="http://schemas.openxmlformats.org/officeDocument/2006/relationships/oleObject" Target="embeddings/oleObject162.bin"/><Relationship Id="rId315" Type="http://schemas.openxmlformats.org/officeDocument/2006/relationships/oleObject" Target="embeddings/oleObject182.bin"/><Relationship Id="rId336" Type="http://schemas.openxmlformats.org/officeDocument/2006/relationships/oleObject" Target="embeddings/oleObject192.bin"/><Relationship Id="rId357" Type="http://schemas.openxmlformats.org/officeDocument/2006/relationships/theme" Target="theme/theme1.xml"/><Relationship Id="rId54" Type="http://schemas.openxmlformats.org/officeDocument/2006/relationships/oleObject" Target="embeddings/oleObject27.bin"/><Relationship Id="rId75" Type="http://schemas.openxmlformats.org/officeDocument/2006/relationships/image" Target="media/image29.wmf"/><Relationship Id="rId96" Type="http://schemas.openxmlformats.org/officeDocument/2006/relationships/oleObject" Target="embeddings/oleObject48.bin"/><Relationship Id="rId140" Type="http://schemas.openxmlformats.org/officeDocument/2006/relationships/oleObject" Target="embeddings/oleObject70.bin"/><Relationship Id="rId161" Type="http://schemas.openxmlformats.org/officeDocument/2006/relationships/image" Target="media/image71.wmf"/><Relationship Id="rId182" Type="http://schemas.openxmlformats.org/officeDocument/2006/relationships/image" Target="media/image76.wmf"/><Relationship Id="rId217" Type="http://schemas.openxmlformats.org/officeDocument/2006/relationships/oleObject" Target="embeddings/oleObject123.bin"/><Relationship Id="rId6" Type="http://schemas.openxmlformats.org/officeDocument/2006/relationships/webSettings" Target="webSettings.xml"/><Relationship Id="rId238" Type="http://schemas.openxmlformats.org/officeDocument/2006/relationships/oleObject" Target="embeddings/oleObject140.bin"/><Relationship Id="rId259" Type="http://schemas.openxmlformats.org/officeDocument/2006/relationships/image" Target="media/image99.wmf"/><Relationship Id="rId23" Type="http://schemas.openxmlformats.org/officeDocument/2006/relationships/oleObject" Target="embeddings/oleObject7.bin"/><Relationship Id="rId119" Type="http://schemas.openxmlformats.org/officeDocument/2006/relationships/image" Target="media/image51.wmf"/><Relationship Id="rId270" Type="http://schemas.openxmlformats.org/officeDocument/2006/relationships/oleObject" Target="embeddings/oleObject157.bin"/><Relationship Id="rId291" Type="http://schemas.openxmlformats.org/officeDocument/2006/relationships/image" Target="media/image114.wmf"/><Relationship Id="rId305" Type="http://schemas.openxmlformats.org/officeDocument/2006/relationships/image" Target="media/image121.wmf"/><Relationship Id="rId326" Type="http://schemas.openxmlformats.org/officeDocument/2006/relationships/oleObject" Target="embeddings/oleObject187.bin"/><Relationship Id="rId347" Type="http://schemas.openxmlformats.org/officeDocument/2006/relationships/image" Target="media/image142.png"/><Relationship Id="rId44" Type="http://schemas.openxmlformats.org/officeDocument/2006/relationships/oleObject" Target="embeddings/oleObject18.bin"/><Relationship Id="rId65" Type="http://schemas.openxmlformats.org/officeDocument/2006/relationships/image" Target="media/image24.wmf"/><Relationship Id="rId86" Type="http://schemas.openxmlformats.org/officeDocument/2006/relationships/oleObject" Target="embeddings/oleObject43.bin"/><Relationship Id="rId130" Type="http://schemas.openxmlformats.org/officeDocument/2006/relationships/oleObject" Target="embeddings/oleObject65.bin"/><Relationship Id="rId151" Type="http://schemas.openxmlformats.org/officeDocument/2006/relationships/oleObject" Target="embeddings/oleObject76.bin"/><Relationship Id="rId172" Type="http://schemas.openxmlformats.org/officeDocument/2006/relationships/image" Target="media/image74.wmf"/><Relationship Id="rId193" Type="http://schemas.openxmlformats.org/officeDocument/2006/relationships/oleObject" Target="embeddings/oleObject105.bin"/><Relationship Id="rId207" Type="http://schemas.openxmlformats.org/officeDocument/2006/relationships/oleObject" Target="embeddings/oleObject115.bin"/><Relationship Id="rId228" Type="http://schemas.openxmlformats.org/officeDocument/2006/relationships/oleObject" Target="embeddings/oleObject132.bin"/><Relationship Id="rId249" Type="http://schemas.openxmlformats.org/officeDocument/2006/relationships/image" Target="media/image95.wmf"/><Relationship Id="rId13" Type="http://schemas.openxmlformats.org/officeDocument/2006/relationships/oleObject" Target="embeddings/oleObject2.bin"/><Relationship Id="rId109" Type="http://schemas.openxmlformats.org/officeDocument/2006/relationships/image" Target="media/image46.wmf"/><Relationship Id="rId260" Type="http://schemas.openxmlformats.org/officeDocument/2006/relationships/oleObject" Target="embeddings/oleObject152.bin"/><Relationship Id="rId281" Type="http://schemas.openxmlformats.org/officeDocument/2006/relationships/image" Target="media/image110.wmf"/><Relationship Id="rId316" Type="http://schemas.openxmlformats.org/officeDocument/2006/relationships/image" Target="media/image125.wmf"/><Relationship Id="rId337" Type="http://schemas.openxmlformats.org/officeDocument/2006/relationships/image" Target="media/image136.wmf"/><Relationship Id="rId34" Type="http://schemas.openxmlformats.org/officeDocument/2006/relationships/image" Target="media/image13.wmf"/><Relationship Id="rId55" Type="http://schemas.openxmlformats.org/officeDocument/2006/relationships/image" Target="media/image19.wmf"/><Relationship Id="rId76" Type="http://schemas.openxmlformats.org/officeDocument/2006/relationships/oleObject" Target="embeddings/oleObject38.bin"/><Relationship Id="rId97" Type="http://schemas.openxmlformats.org/officeDocument/2006/relationships/image" Target="media/image40.wmf"/><Relationship Id="rId120" Type="http://schemas.openxmlformats.org/officeDocument/2006/relationships/oleObject" Target="embeddings/oleObject60.bin"/><Relationship Id="rId141" Type="http://schemas.openxmlformats.org/officeDocument/2006/relationships/image" Target="media/image62.wmf"/><Relationship Id="rId7" Type="http://schemas.openxmlformats.org/officeDocument/2006/relationships/footnotes" Target="footnotes.xml"/><Relationship Id="rId162" Type="http://schemas.openxmlformats.org/officeDocument/2006/relationships/oleObject" Target="embeddings/oleObject82.bin"/><Relationship Id="rId183" Type="http://schemas.openxmlformats.org/officeDocument/2006/relationships/oleObject" Target="embeddings/oleObject98.bin"/><Relationship Id="rId218" Type="http://schemas.openxmlformats.org/officeDocument/2006/relationships/oleObject" Target="embeddings/oleObject124.bin"/><Relationship Id="rId239" Type="http://schemas.openxmlformats.org/officeDocument/2006/relationships/image" Target="media/image90.wmf"/><Relationship Id="rId250" Type="http://schemas.openxmlformats.org/officeDocument/2006/relationships/oleObject" Target="embeddings/oleObject146.bin"/><Relationship Id="rId271" Type="http://schemas.openxmlformats.org/officeDocument/2006/relationships/image" Target="media/image105.wmf"/><Relationship Id="rId292" Type="http://schemas.openxmlformats.org/officeDocument/2006/relationships/oleObject" Target="embeddings/oleObject169.bin"/><Relationship Id="rId306" Type="http://schemas.openxmlformats.org/officeDocument/2006/relationships/oleObject" Target="embeddings/oleObject176.bin"/><Relationship Id="rId24" Type="http://schemas.openxmlformats.org/officeDocument/2006/relationships/image" Target="media/image8.wmf"/><Relationship Id="rId45" Type="http://schemas.openxmlformats.org/officeDocument/2006/relationships/oleObject" Target="embeddings/oleObject19.bin"/><Relationship Id="rId66" Type="http://schemas.openxmlformats.org/officeDocument/2006/relationships/oleObject" Target="embeddings/oleObject33.bin"/><Relationship Id="rId87" Type="http://schemas.openxmlformats.org/officeDocument/2006/relationships/image" Target="media/image35.wmf"/><Relationship Id="rId110" Type="http://schemas.openxmlformats.org/officeDocument/2006/relationships/oleObject" Target="embeddings/oleObject55.bin"/><Relationship Id="rId131" Type="http://schemas.openxmlformats.org/officeDocument/2006/relationships/image" Target="media/image57.wmf"/><Relationship Id="rId327" Type="http://schemas.openxmlformats.org/officeDocument/2006/relationships/image" Target="media/image131.wmf"/><Relationship Id="rId348" Type="http://schemas.openxmlformats.org/officeDocument/2006/relationships/image" Target="media/image143.png"/><Relationship Id="rId152" Type="http://schemas.openxmlformats.org/officeDocument/2006/relationships/image" Target="media/image67.wmf"/><Relationship Id="rId173" Type="http://schemas.openxmlformats.org/officeDocument/2006/relationships/oleObject" Target="embeddings/oleObject90.bin"/><Relationship Id="rId194" Type="http://schemas.openxmlformats.org/officeDocument/2006/relationships/image" Target="media/image80.wmf"/><Relationship Id="rId208" Type="http://schemas.openxmlformats.org/officeDocument/2006/relationships/oleObject" Target="embeddings/oleObject116.bin"/><Relationship Id="rId229" Type="http://schemas.openxmlformats.org/officeDocument/2006/relationships/image" Target="media/image88.wmf"/><Relationship Id="rId240" Type="http://schemas.openxmlformats.org/officeDocument/2006/relationships/oleObject" Target="embeddings/oleObject141.bin"/><Relationship Id="rId261" Type="http://schemas.openxmlformats.org/officeDocument/2006/relationships/image" Target="media/image100.wmf"/><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oleObject" Target="embeddings/oleObject28.bin"/><Relationship Id="rId77" Type="http://schemas.openxmlformats.org/officeDocument/2006/relationships/image" Target="media/image30.wmf"/><Relationship Id="rId100" Type="http://schemas.openxmlformats.org/officeDocument/2006/relationships/oleObject" Target="embeddings/oleObject50.bin"/><Relationship Id="rId282" Type="http://schemas.openxmlformats.org/officeDocument/2006/relationships/oleObject" Target="embeddings/oleObject163.bin"/><Relationship Id="rId317" Type="http://schemas.openxmlformats.org/officeDocument/2006/relationships/oleObject" Target="embeddings/oleObject183.bin"/><Relationship Id="rId338" Type="http://schemas.openxmlformats.org/officeDocument/2006/relationships/oleObject" Target="embeddings/oleObject193.bin"/><Relationship Id="rId8" Type="http://schemas.openxmlformats.org/officeDocument/2006/relationships/endnotes" Target="endnotes.xml"/><Relationship Id="rId98" Type="http://schemas.openxmlformats.org/officeDocument/2006/relationships/oleObject" Target="embeddings/oleObject49.bin"/><Relationship Id="rId121" Type="http://schemas.openxmlformats.org/officeDocument/2006/relationships/image" Target="media/image52.wmf"/><Relationship Id="rId142" Type="http://schemas.openxmlformats.org/officeDocument/2006/relationships/oleObject" Target="embeddings/oleObject71.bin"/><Relationship Id="rId163" Type="http://schemas.openxmlformats.org/officeDocument/2006/relationships/image" Target="media/image72.wmf"/><Relationship Id="rId184" Type="http://schemas.openxmlformats.org/officeDocument/2006/relationships/oleObject" Target="embeddings/oleObject99.bin"/><Relationship Id="rId219" Type="http://schemas.openxmlformats.org/officeDocument/2006/relationships/oleObject" Target="embeddings/oleObject125.bin"/><Relationship Id="rId230" Type="http://schemas.openxmlformats.org/officeDocument/2006/relationships/oleObject" Target="embeddings/oleObject133.bin"/><Relationship Id="rId251" Type="http://schemas.openxmlformats.org/officeDocument/2006/relationships/image" Target="media/image96.wmf"/><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image" Target="media/image25.wmf"/><Relationship Id="rId272" Type="http://schemas.openxmlformats.org/officeDocument/2006/relationships/oleObject" Target="embeddings/oleObject158.bin"/><Relationship Id="rId293" Type="http://schemas.openxmlformats.org/officeDocument/2006/relationships/image" Target="media/image115.wmf"/><Relationship Id="rId307" Type="http://schemas.openxmlformats.org/officeDocument/2006/relationships/oleObject" Target="embeddings/oleObject177.bin"/><Relationship Id="rId328" Type="http://schemas.openxmlformats.org/officeDocument/2006/relationships/oleObject" Target="embeddings/oleObject188.bin"/><Relationship Id="rId349" Type="http://schemas.openxmlformats.org/officeDocument/2006/relationships/image" Target="media/image144.png"/><Relationship Id="rId88" Type="http://schemas.openxmlformats.org/officeDocument/2006/relationships/oleObject" Target="embeddings/oleObject44.bin"/><Relationship Id="rId111" Type="http://schemas.openxmlformats.org/officeDocument/2006/relationships/image" Target="media/image47.wmf"/><Relationship Id="rId132" Type="http://schemas.openxmlformats.org/officeDocument/2006/relationships/oleObject" Target="embeddings/oleObject66.bin"/><Relationship Id="rId153" Type="http://schemas.openxmlformats.org/officeDocument/2006/relationships/oleObject" Target="embeddings/oleObject77.bin"/><Relationship Id="rId174" Type="http://schemas.openxmlformats.org/officeDocument/2006/relationships/oleObject" Target="embeddings/oleObject91.bin"/><Relationship Id="rId195" Type="http://schemas.openxmlformats.org/officeDocument/2006/relationships/oleObject" Target="embeddings/oleObject106.bin"/><Relationship Id="rId209" Type="http://schemas.openxmlformats.org/officeDocument/2006/relationships/oleObject" Target="embeddings/oleObject117.bin"/><Relationship Id="rId190" Type="http://schemas.openxmlformats.org/officeDocument/2006/relationships/image" Target="media/image78.wmf"/><Relationship Id="rId204" Type="http://schemas.openxmlformats.org/officeDocument/2006/relationships/oleObject" Target="embeddings/oleObject112.bin"/><Relationship Id="rId220" Type="http://schemas.openxmlformats.org/officeDocument/2006/relationships/image" Target="media/image86.wmf"/><Relationship Id="rId225" Type="http://schemas.openxmlformats.org/officeDocument/2006/relationships/oleObject" Target="embeddings/oleObject129.bin"/><Relationship Id="rId241" Type="http://schemas.openxmlformats.org/officeDocument/2006/relationships/image" Target="media/image91.wmf"/><Relationship Id="rId246" Type="http://schemas.openxmlformats.org/officeDocument/2006/relationships/oleObject" Target="embeddings/oleObject144.bin"/><Relationship Id="rId267" Type="http://schemas.openxmlformats.org/officeDocument/2006/relationships/image" Target="media/image103.wmf"/><Relationship Id="rId288" Type="http://schemas.openxmlformats.org/officeDocument/2006/relationships/oleObject" Target="embeddings/oleObject167.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image" Target="media/image20.wmf"/><Relationship Id="rId106" Type="http://schemas.openxmlformats.org/officeDocument/2006/relationships/oleObject" Target="embeddings/oleObject53.bin"/><Relationship Id="rId127" Type="http://schemas.openxmlformats.org/officeDocument/2006/relationships/image" Target="media/image55.wmf"/><Relationship Id="rId262" Type="http://schemas.openxmlformats.org/officeDocument/2006/relationships/oleObject" Target="embeddings/oleObject153.bin"/><Relationship Id="rId283" Type="http://schemas.openxmlformats.org/officeDocument/2006/relationships/oleObject" Target="embeddings/oleObject164.bin"/><Relationship Id="rId313" Type="http://schemas.openxmlformats.org/officeDocument/2006/relationships/oleObject" Target="embeddings/oleObject181.bin"/><Relationship Id="rId318" Type="http://schemas.openxmlformats.org/officeDocument/2006/relationships/image" Target="media/image126.png"/><Relationship Id="rId339" Type="http://schemas.openxmlformats.org/officeDocument/2006/relationships/image" Target="media/image137.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oleObject" Target="embeddings/oleObject26.bin"/><Relationship Id="rId73" Type="http://schemas.openxmlformats.org/officeDocument/2006/relationships/image" Target="media/image28.wmf"/><Relationship Id="rId78" Type="http://schemas.openxmlformats.org/officeDocument/2006/relationships/oleObject" Target="embeddings/oleObject39.bin"/><Relationship Id="rId94" Type="http://schemas.openxmlformats.org/officeDocument/2006/relationships/oleObject" Target="embeddings/oleObject47.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1.bin"/><Relationship Id="rId143" Type="http://schemas.openxmlformats.org/officeDocument/2006/relationships/oleObject" Target="embeddings/oleObject72.bin"/><Relationship Id="rId148" Type="http://schemas.openxmlformats.org/officeDocument/2006/relationships/image" Target="media/image65.wmf"/><Relationship Id="rId164" Type="http://schemas.openxmlformats.org/officeDocument/2006/relationships/oleObject" Target="embeddings/oleObject83.bin"/><Relationship Id="rId169" Type="http://schemas.openxmlformats.org/officeDocument/2006/relationships/oleObject" Target="embeddings/oleObject87.bin"/><Relationship Id="rId185" Type="http://schemas.openxmlformats.org/officeDocument/2006/relationships/oleObject" Target="embeddings/oleObject100.bin"/><Relationship Id="rId334" Type="http://schemas.openxmlformats.org/officeDocument/2006/relationships/oleObject" Target="embeddings/oleObject191.bin"/><Relationship Id="rId350" Type="http://schemas.openxmlformats.org/officeDocument/2006/relationships/image" Target="media/image145.png"/><Relationship Id="rId35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75.wmf"/><Relationship Id="rId210" Type="http://schemas.openxmlformats.org/officeDocument/2006/relationships/oleObject" Target="embeddings/oleObject118.bin"/><Relationship Id="rId215" Type="http://schemas.openxmlformats.org/officeDocument/2006/relationships/oleObject" Target="embeddings/oleObject121.bin"/><Relationship Id="rId236" Type="http://schemas.openxmlformats.org/officeDocument/2006/relationships/oleObject" Target="embeddings/oleObject138.bin"/><Relationship Id="rId257" Type="http://schemas.openxmlformats.org/officeDocument/2006/relationships/image" Target="media/image98.wmf"/><Relationship Id="rId278" Type="http://schemas.openxmlformats.org/officeDocument/2006/relationships/oleObject" Target="embeddings/oleObject161.bin"/><Relationship Id="rId26" Type="http://schemas.openxmlformats.org/officeDocument/2006/relationships/image" Target="media/image9.wmf"/><Relationship Id="rId231" Type="http://schemas.openxmlformats.org/officeDocument/2006/relationships/image" Target="media/image89.wmf"/><Relationship Id="rId252" Type="http://schemas.openxmlformats.org/officeDocument/2006/relationships/oleObject" Target="embeddings/oleObject147.bin"/><Relationship Id="rId273" Type="http://schemas.openxmlformats.org/officeDocument/2006/relationships/image" Target="media/image106.wmf"/><Relationship Id="rId294" Type="http://schemas.openxmlformats.org/officeDocument/2006/relationships/oleObject" Target="embeddings/oleObject170.bin"/><Relationship Id="rId308" Type="http://schemas.openxmlformats.org/officeDocument/2006/relationships/image" Target="media/image122.wmf"/><Relationship Id="rId329" Type="http://schemas.openxmlformats.org/officeDocument/2006/relationships/image" Target="media/image132.wmf"/><Relationship Id="rId47" Type="http://schemas.openxmlformats.org/officeDocument/2006/relationships/oleObject" Target="embeddings/oleObject21.bin"/><Relationship Id="rId68" Type="http://schemas.openxmlformats.org/officeDocument/2006/relationships/oleObject" Target="embeddings/oleObject34.bin"/><Relationship Id="rId89" Type="http://schemas.openxmlformats.org/officeDocument/2006/relationships/image" Target="media/image36.wmf"/><Relationship Id="rId112" Type="http://schemas.openxmlformats.org/officeDocument/2006/relationships/oleObject" Target="embeddings/oleObject56.bin"/><Relationship Id="rId133" Type="http://schemas.openxmlformats.org/officeDocument/2006/relationships/image" Target="media/image58.wmf"/><Relationship Id="rId154" Type="http://schemas.openxmlformats.org/officeDocument/2006/relationships/oleObject" Target="embeddings/oleObject78.bin"/><Relationship Id="rId175" Type="http://schemas.openxmlformats.org/officeDocument/2006/relationships/oleObject" Target="embeddings/oleObject92.bin"/><Relationship Id="rId340" Type="http://schemas.openxmlformats.org/officeDocument/2006/relationships/oleObject" Target="embeddings/oleObject194.bin"/><Relationship Id="rId196" Type="http://schemas.openxmlformats.org/officeDocument/2006/relationships/image" Target="media/image81.wmf"/><Relationship Id="rId200" Type="http://schemas.openxmlformats.org/officeDocument/2006/relationships/image" Target="media/image83.wmf"/><Relationship Id="rId16" Type="http://schemas.openxmlformats.org/officeDocument/2006/relationships/image" Target="media/image4.wmf"/><Relationship Id="rId221" Type="http://schemas.openxmlformats.org/officeDocument/2006/relationships/oleObject" Target="embeddings/oleObject126.bin"/><Relationship Id="rId242" Type="http://schemas.openxmlformats.org/officeDocument/2006/relationships/oleObject" Target="embeddings/oleObject142.bin"/><Relationship Id="rId263" Type="http://schemas.openxmlformats.org/officeDocument/2006/relationships/image" Target="media/image101.wmf"/><Relationship Id="rId284" Type="http://schemas.openxmlformats.org/officeDocument/2006/relationships/image" Target="media/image111.wmf"/><Relationship Id="rId319" Type="http://schemas.openxmlformats.org/officeDocument/2006/relationships/image" Target="media/image127.wmf"/><Relationship Id="rId37" Type="http://schemas.openxmlformats.org/officeDocument/2006/relationships/oleObject" Target="embeddings/oleObject14.bin"/><Relationship Id="rId58" Type="http://schemas.openxmlformats.org/officeDocument/2006/relationships/oleObject" Target="embeddings/oleObject29.bin"/><Relationship Id="rId79" Type="http://schemas.openxmlformats.org/officeDocument/2006/relationships/image" Target="media/image31.wmf"/><Relationship Id="rId102" Type="http://schemas.openxmlformats.org/officeDocument/2006/relationships/oleObject" Target="embeddings/oleObject51.bin"/><Relationship Id="rId123" Type="http://schemas.openxmlformats.org/officeDocument/2006/relationships/image" Target="media/image53.wmf"/><Relationship Id="rId144" Type="http://schemas.openxmlformats.org/officeDocument/2006/relationships/image" Target="media/image63.wmf"/><Relationship Id="rId330" Type="http://schemas.openxmlformats.org/officeDocument/2006/relationships/oleObject" Target="embeddings/oleObject189.bin"/><Relationship Id="rId90" Type="http://schemas.openxmlformats.org/officeDocument/2006/relationships/oleObject" Target="embeddings/oleObject45.bin"/><Relationship Id="rId165" Type="http://schemas.openxmlformats.org/officeDocument/2006/relationships/image" Target="media/image73.wmf"/><Relationship Id="rId186" Type="http://schemas.openxmlformats.org/officeDocument/2006/relationships/oleObject" Target="embeddings/oleObject101.bin"/><Relationship Id="rId351" Type="http://schemas.openxmlformats.org/officeDocument/2006/relationships/image" Target="media/image146.jpeg"/><Relationship Id="rId211" Type="http://schemas.openxmlformats.org/officeDocument/2006/relationships/image" Target="media/image84.wmf"/><Relationship Id="rId232" Type="http://schemas.openxmlformats.org/officeDocument/2006/relationships/oleObject" Target="embeddings/oleObject134.bin"/><Relationship Id="rId253" Type="http://schemas.openxmlformats.org/officeDocument/2006/relationships/image" Target="media/image97.wmf"/><Relationship Id="rId274" Type="http://schemas.openxmlformats.org/officeDocument/2006/relationships/oleObject" Target="embeddings/oleObject159.bin"/><Relationship Id="rId295" Type="http://schemas.openxmlformats.org/officeDocument/2006/relationships/image" Target="media/image116.wmf"/><Relationship Id="rId309" Type="http://schemas.openxmlformats.org/officeDocument/2006/relationships/oleObject" Target="embeddings/oleObject178.bin"/><Relationship Id="rId27" Type="http://schemas.openxmlformats.org/officeDocument/2006/relationships/oleObject" Target="embeddings/oleObject9.bin"/><Relationship Id="rId48"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image" Target="media/image48.wmf"/><Relationship Id="rId134" Type="http://schemas.openxmlformats.org/officeDocument/2006/relationships/oleObject" Target="embeddings/oleObject67.bin"/><Relationship Id="rId320" Type="http://schemas.openxmlformats.org/officeDocument/2006/relationships/oleObject" Target="embeddings/oleObject184.bin"/><Relationship Id="rId80" Type="http://schemas.openxmlformats.org/officeDocument/2006/relationships/oleObject" Target="embeddings/oleObject40.bin"/><Relationship Id="rId155" Type="http://schemas.openxmlformats.org/officeDocument/2006/relationships/image" Target="media/image68.wmf"/><Relationship Id="rId176" Type="http://schemas.openxmlformats.org/officeDocument/2006/relationships/oleObject" Target="embeddings/oleObject93.bin"/><Relationship Id="rId197" Type="http://schemas.openxmlformats.org/officeDocument/2006/relationships/oleObject" Target="embeddings/oleObject107.bin"/><Relationship Id="rId341" Type="http://schemas.openxmlformats.org/officeDocument/2006/relationships/image" Target="media/image138.wmf"/><Relationship Id="rId201" Type="http://schemas.openxmlformats.org/officeDocument/2006/relationships/oleObject" Target="embeddings/oleObject109.bin"/><Relationship Id="rId222" Type="http://schemas.openxmlformats.org/officeDocument/2006/relationships/image" Target="media/image87.wmf"/><Relationship Id="rId243" Type="http://schemas.openxmlformats.org/officeDocument/2006/relationships/image" Target="media/image92.wmf"/><Relationship Id="rId264" Type="http://schemas.openxmlformats.org/officeDocument/2006/relationships/oleObject" Target="embeddings/oleObject154.bin"/><Relationship Id="rId285" Type="http://schemas.openxmlformats.org/officeDocument/2006/relationships/oleObject" Target="embeddings/oleObject165.bin"/><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1.wmf"/><Relationship Id="rId103" Type="http://schemas.openxmlformats.org/officeDocument/2006/relationships/image" Target="media/image43.wmf"/><Relationship Id="rId124" Type="http://schemas.openxmlformats.org/officeDocument/2006/relationships/oleObject" Target="embeddings/oleObject62.bin"/><Relationship Id="rId310" Type="http://schemas.openxmlformats.org/officeDocument/2006/relationships/image" Target="media/image123.wmf"/><Relationship Id="rId70" Type="http://schemas.openxmlformats.org/officeDocument/2006/relationships/oleObject" Target="embeddings/oleObject35.bin"/><Relationship Id="rId91" Type="http://schemas.openxmlformats.org/officeDocument/2006/relationships/image" Target="media/image37.wmf"/><Relationship Id="rId145" Type="http://schemas.openxmlformats.org/officeDocument/2006/relationships/oleObject" Target="embeddings/oleObject73.bin"/><Relationship Id="rId166" Type="http://schemas.openxmlformats.org/officeDocument/2006/relationships/oleObject" Target="embeddings/oleObject84.bin"/><Relationship Id="rId187" Type="http://schemas.openxmlformats.org/officeDocument/2006/relationships/oleObject" Target="embeddings/oleObject102.bin"/><Relationship Id="rId331" Type="http://schemas.openxmlformats.org/officeDocument/2006/relationships/image" Target="media/image133.wmf"/><Relationship Id="rId352" Type="http://schemas.openxmlformats.org/officeDocument/2006/relationships/image" Target="media/image147.emf"/><Relationship Id="rId1" Type="http://schemas.openxmlformats.org/officeDocument/2006/relationships/customXml" Target="../customXml/item1.xml"/><Relationship Id="rId212" Type="http://schemas.openxmlformats.org/officeDocument/2006/relationships/oleObject" Target="embeddings/oleObject119.bin"/><Relationship Id="rId233" Type="http://schemas.openxmlformats.org/officeDocument/2006/relationships/oleObject" Target="embeddings/oleObject135.bin"/><Relationship Id="rId254" Type="http://schemas.openxmlformats.org/officeDocument/2006/relationships/oleObject" Target="embeddings/oleObject148.bin"/><Relationship Id="rId28" Type="http://schemas.openxmlformats.org/officeDocument/2006/relationships/image" Target="media/image10.wmf"/><Relationship Id="rId49" Type="http://schemas.openxmlformats.org/officeDocument/2006/relationships/oleObject" Target="embeddings/oleObject23.bin"/><Relationship Id="rId114" Type="http://schemas.openxmlformats.org/officeDocument/2006/relationships/oleObject" Target="embeddings/oleObject57.bin"/><Relationship Id="rId275" Type="http://schemas.openxmlformats.org/officeDocument/2006/relationships/image" Target="media/image107.wmf"/><Relationship Id="rId296" Type="http://schemas.openxmlformats.org/officeDocument/2006/relationships/oleObject" Target="embeddings/oleObject171.bin"/><Relationship Id="rId300" Type="http://schemas.openxmlformats.org/officeDocument/2006/relationships/oleObject" Target="embeddings/oleObject173.bin"/><Relationship Id="rId60" Type="http://schemas.openxmlformats.org/officeDocument/2006/relationships/oleObject" Target="embeddings/oleObject30.bin"/><Relationship Id="rId81" Type="http://schemas.openxmlformats.org/officeDocument/2006/relationships/image" Target="media/image32.wmf"/><Relationship Id="rId135" Type="http://schemas.openxmlformats.org/officeDocument/2006/relationships/image" Target="media/image59.wmf"/><Relationship Id="rId156" Type="http://schemas.openxmlformats.org/officeDocument/2006/relationships/oleObject" Target="embeddings/oleObject79.bin"/><Relationship Id="rId177" Type="http://schemas.openxmlformats.org/officeDocument/2006/relationships/oleObject" Target="embeddings/oleObject94.bin"/><Relationship Id="rId198" Type="http://schemas.openxmlformats.org/officeDocument/2006/relationships/image" Target="media/image82.wmf"/><Relationship Id="rId321" Type="http://schemas.openxmlformats.org/officeDocument/2006/relationships/image" Target="media/image128.wmf"/><Relationship Id="rId342" Type="http://schemas.openxmlformats.org/officeDocument/2006/relationships/oleObject" Target="embeddings/oleObject195.bin"/><Relationship Id="rId202" Type="http://schemas.openxmlformats.org/officeDocument/2006/relationships/oleObject" Target="embeddings/oleObject110.bin"/><Relationship Id="rId223" Type="http://schemas.openxmlformats.org/officeDocument/2006/relationships/oleObject" Target="embeddings/oleObject127.bin"/><Relationship Id="rId244" Type="http://schemas.openxmlformats.org/officeDocument/2006/relationships/oleObject" Target="embeddings/oleObject143.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102.wmf"/><Relationship Id="rId286" Type="http://schemas.openxmlformats.org/officeDocument/2006/relationships/oleObject" Target="embeddings/oleObject166.bin"/><Relationship Id="rId50" Type="http://schemas.openxmlformats.org/officeDocument/2006/relationships/oleObject" Target="embeddings/oleObject24.bin"/><Relationship Id="rId104" Type="http://schemas.openxmlformats.org/officeDocument/2006/relationships/oleObject" Target="embeddings/oleObject52.bin"/><Relationship Id="rId125" Type="http://schemas.openxmlformats.org/officeDocument/2006/relationships/image" Target="media/image54.wmf"/><Relationship Id="rId146" Type="http://schemas.openxmlformats.org/officeDocument/2006/relationships/image" Target="media/image64.wmf"/><Relationship Id="rId167" Type="http://schemas.openxmlformats.org/officeDocument/2006/relationships/oleObject" Target="embeddings/oleObject85.bin"/><Relationship Id="rId188" Type="http://schemas.openxmlformats.org/officeDocument/2006/relationships/image" Target="media/image77.wmf"/><Relationship Id="rId311" Type="http://schemas.openxmlformats.org/officeDocument/2006/relationships/oleObject" Target="embeddings/oleObject179.bin"/><Relationship Id="rId332" Type="http://schemas.openxmlformats.org/officeDocument/2006/relationships/oleObject" Target="embeddings/oleObject190.bin"/><Relationship Id="rId353" Type="http://schemas.openxmlformats.org/officeDocument/2006/relationships/image" Target="media/image148.emf"/><Relationship Id="rId71" Type="http://schemas.openxmlformats.org/officeDocument/2006/relationships/image" Target="media/image27.wmf"/><Relationship Id="rId92" Type="http://schemas.openxmlformats.org/officeDocument/2006/relationships/oleObject" Target="embeddings/oleObject46.bin"/><Relationship Id="rId213" Type="http://schemas.openxmlformats.org/officeDocument/2006/relationships/image" Target="media/image85.wmf"/><Relationship Id="rId234" Type="http://schemas.openxmlformats.org/officeDocument/2006/relationships/oleObject" Target="embeddings/oleObject136.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49.bin"/><Relationship Id="rId276" Type="http://schemas.openxmlformats.org/officeDocument/2006/relationships/oleObject" Target="embeddings/oleObject160.bin"/><Relationship Id="rId297" Type="http://schemas.openxmlformats.org/officeDocument/2006/relationships/image" Target="media/image117.wmf"/><Relationship Id="rId40" Type="http://schemas.openxmlformats.org/officeDocument/2006/relationships/image" Target="media/image16.wmf"/><Relationship Id="rId115" Type="http://schemas.openxmlformats.org/officeDocument/2006/relationships/image" Target="media/image49.wmf"/><Relationship Id="rId136" Type="http://schemas.openxmlformats.org/officeDocument/2006/relationships/oleObject" Target="embeddings/oleObject68.bin"/><Relationship Id="rId157" Type="http://schemas.openxmlformats.org/officeDocument/2006/relationships/image" Target="media/image69.wmf"/><Relationship Id="rId178" Type="http://schemas.openxmlformats.org/officeDocument/2006/relationships/oleObject" Target="embeddings/oleObject95.bin"/><Relationship Id="rId301" Type="http://schemas.openxmlformats.org/officeDocument/2006/relationships/image" Target="media/image119.wmf"/><Relationship Id="rId322" Type="http://schemas.openxmlformats.org/officeDocument/2006/relationships/oleObject" Target="embeddings/oleObject185.bin"/><Relationship Id="rId343" Type="http://schemas.openxmlformats.org/officeDocument/2006/relationships/image" Target="media/image139.wmf"/><Relationship Id="rId61" Type="http://schemas.openxmlformats.org/officeDocument/2006/relationships/image" Target="media/image22.wmf"/><Relationship Id="rId82" Type="http://schemas.openxmlformats.org/officeDocument/2006/relationships/oleObject" Target="embeddings/oleObject41.bin"/><Relationship Id="rId199" Type="http://schemas.openxmlformats.org/officeDocument/2006/relationships/oleObject" Target="embeddings/oleObject108.bin"/><Relationship Id="rId203" Type="http://schemas.openxmlformats.org/officeDocument/2006/relationships/oleObject" Target="embeddings/oleObject111.bin"/><Relationship Id="rId19" Type="http://schemas.openxmlformats.org/officeDocument/2006/relationships/oleObject" Target="embeddings/oleObject5.bin"/><Relationship Id="rId224" Type="http://schemas.openxmlformats.org/officeDocument/2006/relationships/oleObject" Target="embeddings/oleObject128.bin"/><Relationship Id="rId245" Type="http://schemas.openxmlformats.org/officeDocument/2006/relationships/image" Target="media/image93.wmf"/><Relationship Id="rId266" Type="http://schemas.openxmlformats.org/officeDocument/2006/relationships/oleObject" Target="embeddings/oleObject155.bin"/><Relationship Id="rId287" Type="http://schemas.openxmlformats.org/officeDocument/2006/relationships/image" Target="media/image112.wmf"/><Relationship Id="rId30" Type="http://schemas.openxmlformats.org/officeDocument/2006/relationships/image" Target="media/image11.wmf"/><Relationship Id="rId105" Type="http://schemas.openxmlformats.org/officeDocument/2006/relationships/image" Target="media/image44.wmf"/><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6.bin"/><Relationship Id="rId312" Type="http://schemas.openxmlformats.org/officeDocument/2006/relationships/oleObject" Target="embeddings/oleObject180.bin"/><Relationship Id="rId333" Type="http://schemas.openxmlformats.org/officeDocument/2006/relationships/image" Target="media/image134.wmf"/><Relationship Id="rId354" Type="http://schemas.openxmlformats.org/officeDocument/2006/relationships/image" Target="media/image149.emf"/><Relationship Id="rId51" Type="http://schemas.openxmlformats.org/officeDocument/2006/relationships/oleObject" Target="embeddings/oleObject25.bin"/><Relationship Id="rId72" Type="http://schemas.openxmlformats.org/officeDocument/2006/relationships/oleObject" Target="embeddings/oleObject36.bin"/><Relationship Id="rId93" Type="http://schemas.openxmlformats.org/officeDocument/2006/relationships/image" Target="media/image38.wmf"/><Relationship Id="rId18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oleObject" Target="embeddings/oleObject120.bin"/><Relationship Id="rId235" Type="http://schemas.openxmlformats.org/officeDocument/2006/relationships/oleObject" Target="embeddings/oleObject137.bin"/><Relationship Id="rId256" Type="http://schemas.openxmlformats.org/officeDocument/2006/relationships/oleObject" Target="embeddings/oleObject150.bin"/><Relationship Id="rId277" Type="http://schemas.openxmlformats.org/officeDocument/2006/relationships/image" Target="media/image108.wmf"/><Relationship Id="rId298" Type="http://schemas.openxmlformats.org/officeDocument/2006/relationships/oleObject" Target="embeddings/oleObject172.bin"/><Relationship Id="rId116" Type="http://schemas.openxmlformats.org/officeDocument/2006/relationships/oleObject" Target="embeddings/oleObject58.bin"/><Relationship Id="rId137" Type="http://schemas.openxmlformats.org/officeDocument/2006/relationships/image" Target="media/image60.wmf"/><Relationship Id="rId158" Type="http://schemas.openxmlformats.org/officeDocument/2006/relationships/oleObject" Target="embeddings/oleObject80.bin"/><Relationship Id="rId302" Type="http://schemas.openxmlformats.org/officeDocument/2006/relationships/oleObject" Target="embeddings/oleObject174.bin"/><Relationship Id="rId323" Type="http://schemas.openxmlformats.org/officeDocument/2006/relationships/image" Target="media/image129.wmf"/><Relationship Id="rId344" Type="http://schemas.openxmlformats.org/officeDocument/2006/relationships/oleObject" Target="embeddings/oleObject196.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oleObject" Target="embeddings/oleObject31.bin"/><Relationship Id="rId83" Type="http://schemas.openxmlformats.org/officeDocument/2006/relationships/image" Target="media/image33.wmf"/><Relationship Id="rId179" Type="http://schemas.openxmlformats.org/officeDocument/2006/relationships/oleObject" Target="embeddings/oleObject96.bin"/></Relationships>
</file>

<file path=word/_rels/footnotes.xml.rels><?xml version="1.0" encoding="UTF-8" standalone="yes"?>
<Relationships xmlns="http://schemas.openxmlformats.org/package/2006/relationships"><Relationship Id="rId1" Type="http://schemas.openxmlformats.org/officeDocument/2006/relationships/hyperlink" Target="mailto:t.kronenberg@fz-juelich.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6BF12-E8F8-46B6-90BD-D77EEBD07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8461</Words>
  <Characters>53307</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
    </vt:vector>
  </TitlesOfParts>
  <Company>Forschungszentrum Jülich</Company>
  <LinksUpToDate>false</LinksUpToDate>
  <CharactersWithSpaces>61645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Kronenberg</dc:creator>
  <cp:lastModifiedBy>Tobias</cp:lastModifiedBy>
  <cp:revision>2</cp:revision>
  <cp:lastPrinted>2012-04-27T13:15:00Z</cp:lastPrinted>
  <dcterms:created xsi:type="dcterms:W3CDTF">2012-04-30T09:02:00Z</dcterms:created>
  <dcterms:modified xsi:type="dcterms:W3CDTF">2012-04-30T09:02:00Z</dcterms:modified>
</cp:coreProperties>
</file>