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9B" w:rsidRPr="004A4FBD" w:rsidRDefault="00754D61" w:rsidP="00E2269B">
      <w:pPr>
        <w:jc w:val="center"/>
        <w:rPr>
          <w:rFonts w:ascii="Times New Roman" w:hAnsi="Times New Roman" w:cs="Times New Roman"/>
          <w:sz w:val="28"/>
          <w:szCs w:val="28"/>
        </w:rPr>
      </w:pPr>
      <w:r w:rsidRPr="004A4FBD">
        <w:rPr>
          <w:rFonts w:ascii="Times New Roman" w:hAnsi="Times New Roman" w:cs="Times New Roman"/>
          <w:sz w:val="28"/>
          <w:szCs w:val="28"/>
        </w:rPr>
        <w:t>Impacts of controlling energy consumption quota on regional development in China-a simulation based on a multi-regional CGE model</w:t>
      </w:r>
    </w:p>
    <w:p w:rsidR="004A4FBD" w:rsidRPr="00E2269B" w:rsidRDefault="004A4FBD" w:rsidP="00E2269B">
      <w:pPr>
        <w:jc w:val="center"/>
        <w:rPr>
          <w:rFonts w:ascii="Times New Roman" w:hAnsi="Times New Roman" w:cs="Times New Roman"/>
          <w:sz w:val="28"/>
          <w:szCs w:val="28"/>
        </w:rPr>
      </w:pPr>
    </w:p>
    <w:p w:rsidR="007B20DB" w:rsidRPr="00E2269B" w:rsidRDefault="007B20DB" w:rsidP="007B20DB">
      <w:pPr>
        <w:jc w:val="center"/>
        <w:rPr>
          <w:rFonts w:ascii="Times New Roman" w:hAnsi="Times New Roman" w:cs="Times New Roman"/>
          <w:b/>
          <w:szCs w:val="21"/>
        </w:rPr>
      </w:pPr>
      <w:r w:rsidRPr="00E2269B">
        <w:rPr>
          <w:rFonts w:ascii="Times New Roman" w:hAnsi="Times New Roman" w:cs="Times New Roman"/>
          <w:b/>
          <w:szCs w:val="21"/>
        </w:rPr>
        <w:t>Shi Minjun</w:t>
      </w:r>
      <w:r w:rsidRPr="00E2269B">
        <w:rPr>
          <w:rFonts w:ascii="Times New Roman" w:hAnsi="Times New Roman" w:cs="Times New Roman"/>
          <w:szCs w:val="21"/>
          <w:vertAlign w:val="superscript"/>
        </w:rPr>
        <w:t>1</w:t>
      </w:r>
      <w:proofErr w:type="gramStart"/>
      <w:r w:rsidRPr="00E2269B">
        <w:rPr>
          <w:rFonts w:ascii="Times New Roman" w:hAnsi="Times New Roman" w:cs="Times New Roman"/>
          <w:szCs w:val="21"/>
          <w:vertAlign w:val="superscript"/>
        </w:rPr>
        <w:t>,2</w:t>
      </w:r>
      <w:proofErr w:type="gramEnd"/>
      <w:r w:rsidRPr="00E2269B">
        <w:rPr>
          <w:rFonts w:ascii="Times New Roman" w:hAnsi="Times New Roman" w:cs="Times New Roman"/>
          <w:b/>
          <w:szCs w:val="21"/>
        </w:rPr>
        <w:t>, Li Na</w:t>
      </w:r>
      <w:r w:rsidRPr="00E2269B">
        <w:rPr>
          <w:rFonts w:ascii="Times New Roman" w:hAnsi="Times New Roman" w:cs="Times New Roman"/>
          <w:szCs w:val="21"/>
          <w:vertAlign w:val="superscript"/>
        </w:rPr>
        <w:t>1,2</w:t>
      </w:r>
    </w:p>
    <w:p w:rsidR="007B20DB" w:rsidRPr="00E2269B" w:rsidRDefault="007B20DB" w:rsidP="007B20DB">
      <w:pPr>
        <w:ind w:left="360"/>
        <w:rPr>
          <w:rFonts w:ascii="Times New Roman" w:hAnsi="Times New Roman" w:cs="Times New Roman"/>
          <w:szCs w:val="21"/>
        </w:rPr>
      </w:pPr>
      <w:proofErr w:type="gramStart"/>
      <w:r w:rsidRPr="00E2269B">
        <w:rPr>
          <w:rFonts w:ascii="Times New Roman" w:hAnsi="Times New Roman" w:cs="Times New Roman"/>
          <w:szCs w:val="21"/>
        </w:rPr>
        <w:t>1.</w:t>
      </w:r>
      <w:smartTag w:uri="urn:schemas-microsoft-com:office:smarttags" w:element="PlaceName">
        <w:r w:rsidRPr="00E2269B">
          <w:rPr>
            <w:rFonts w:ascii="Times New Roman" w:hAnsi="Times New Roman" w:cs="Times New Roman"/>
            <w:szCs w:val="21"/>
          </w:rPr>
          <w:t>Graduate</w:t>
        </w:r>
      </w:smartTag>
      <w:proofErr w:type="gramEnd"/>
      <w:r w:rsidRPr="00E2269B">
        <w:rPr>
          <w:rFonts w:ascii="Times New Roman" w:hAnsi="Times New Roman" w:cs="Times New Roman"/>
          <w:szCs w:val="21"/>
        </w:rPr>
        <w:t xml:space="preserve"> </w:t>
      </w:r>
      <w:smartTag w:uri="urn:schemas-microsoft-com:office:smarttags" w:element="PlaceType">
        <w:r w:rsidRPr="00E2269B">
          <w:rPr>
            <w:rFonts w:ascii="Times New Roman" w:hAnsi="Times New Roman" w:cs="Times New Roman"/>
            <w:szCs w:val="21"/>
          </w:rPr>
          <w:t>University</w:t>
        </w:r>
      </w:smartTag>
      <w:r w:rsidRPr="00E2269B">
        <w:rPr>
          <w:rFonts w:ascii="Times New Roman" w:hAnsi="Times New Roman" w:cs="Times New Roman"/>
          <w:szCs w:val="21"/>
        </w:rPr>
        <w:t xml:space="preserve"> of </w:t>
      </w:r>
      <w:smartTag w:uri="urn:schemas-microsoft-com:office:smarttags" w:element="PlaceName">
        <w:r w:rsidRPr="00E2269B">
          <w:rPr>
            <w:rFonts w:ascii="Times New Roman" w:hAnsi="Times New Roman" w:cs="Times New Roman"/>
            <w:szCs w:val="21"/>
          </w:rPr>
          <w:t>Chinese</w:t>
        </w:r>
      </w:smartTag>
      <w:r w:rsidRPr="00E2269B">
        <w:rPr>
          <w:rFonts w:ascii="Times New Roman" w:hAnsi="Times New Roman" w:cs="Times New Roman"/>
          <w:szCs w:val="21"/>
        </w:rPr>
        <w:t xml:space="preserve"> </w:t>
      </w:r>
      <w:smartTag w:uri="urn:schemas-microsoft-com:office:smarttags" w:element="PlaceType">
        <w:r w:rsidRPr="00E2269B">
          <w:rPr>
            <w:rFonts w:ascii="Times New Roman" w:hAnsi="Times New Roman" w:cs="Times New Roman"/>
            <w:szCs w:val="21"/>
          </w:rPr>
          <w:t>Academy</w:t>
        </w:r>
      </w:smartTag>
      <w:r w:rsidRPr="00E2269B">
        <w:rPr>
          <w:rFonts w:ascii="Times New Roman" w:hAnsi="Times New Roman" w:cs="Times New Roman"/>
          <w:szCs w:val="21"/>
        </w:rPr>
        <w:t xml:space="preserve"> of Sciences, </w:t>
      </w:r>
      <w:smartTag w:uri="urn:schemas-microsoft-com:office:smarttags" w:element="City">
        <w:r w:rsidRPr="00E2269B">
          <w:rPr>
            <w:rFonts w:ascii="Times New Roman" w:hAnsi="Times New Roman" w:cs="Times New Roman"/>
            <w:szCs w:val="21"/>
          </w:rPr>
          <w:t>Beijing</w:t>
        </w:r>
      </w:smartTag>
      <w:r w:rsidRPr="00E2269B">
        <w:rPr>
          <w:rFonts w:ascii="Times New Roman" w:hAnsi="Times New Roman" w:cs="Times New Roman"/>
          <w:szCs w:val="21"/>
        </w:rPr>
        <w:t xml:space="preserve"> 100049, </w:t>
      </w:r>
      <w:smartTag w:uri="urn:schemas-microsoft-com:office:smarttags" w:element="place">
        <w:smartTag w:uri="urn:schemas-microsoft-com:office:smarttags" w:element="country-region">
          <w:r w:rsidRPr="00E2269B">
            <w:rPr>
              <w:rFonts w:ascii="Times New Roman" w:hAnsi="Times New Roman" w:cs="Times New Roman"/>
              <w:szCs w:val="21"/>
            </w:rPr>
            <w:t>China</w:t>
          </w:r>
        </w:smartTag>
      </w:smartTag>
    </w:p>
    <w:p w:rsidR="007B20DB" w:rsidRPr="00E2269B" w:rsidRDefault="00D16DAB" w:rsidP="007B20DB">
      <w:pPr>
        <w:ind w:left="360"/>
        <w:jc w:val="center"/>
        <w:rPr>
          <w:rFonts w:ascii="Times New Roman" w:hAnsi="Times New Roman" w:cs="Times New Roman"/>
          <w:szCs w:val="21"/>
        </w:rPr>
      </w:pPr>
      <w:r>
        <w:rPr>
          <w:rFonts w:ascii="Times New Roman" w:hAnsi="Times New Roman" w:cs="Times New Roman" w:hint="eastAsia"/>
          <w:szCs w:val="21"/>
        </w:rPr>
        <w:t>m</w:t>
      </w:r>
      <w:r w:rsidR="007B20DB" w:rsidRPr="00E2269B">
        <w:rPr>
          <w:rFonts w:ascii="Times New Roman" w:hAnsi="Times New Roman" w:cs="Times New Roman"/>
          <w:szCs w:val="21"/>
        </w:rPr>
        <w:t>jshi</w:t>
      </w:r>
      <w:r>
        <w:rPr>
          <w:rFonts w:ascii="Times New Roman" w:hAnsi="Times New Roman" w:cs="Times New Roman" w:hint="eastAsia"/>
          <w:szCs w:val="21"/>
        </w:rPr>
        <w:t>1964</w:t>
      </w:r>
      <w:r w:rsidR="007B20DB" w:rsidRPr="00E2269B">
        <w:rPr>
          <w:rFonts w:ascii="Times New Roman" w:hAnsi="Times New Roman" w:cs="Times New Roman"/>
          <w:szCs w:val="21"/>
        </w:rPr>
        <w:t>@g</w:t>
      </w:r>
      <w:r>
        <w:rPr>
          <w:rFonts w:ascii="Times New Roman" w:hAnsi="Times New Roman" w:cs="Times New Roman" w:hint="eastAsia"/>
          <w:szCs w:val="21"/>
        </w:rPr>
        <w:t>mail.com,</w:t>
      </w:r>
      <w:r w:rsidRPr="00D16DAB">
        <w:rPr>
          <w:rFonts w:ascii="Times New Roman" w:hAnsi="Times New Roman" w:cs="Times New Roman"/>
          <w:szCs w:val="21"/>
        </w:rPr>
        <w:t xml:space="preserve"> </w:t>
      </w:r>
      <w:r>
        <w:rPr>
          <w:rFonts w:ascii="Times New Roman" w:hAnsi="Times New Roman" w:cs="Times New Roman"/>
          <w:szCs w:val="21"/>
        </w:rPr>
        <w:t>lina@gucas.ac.cn</w:t>
      </w:r>
    </w:p>
    <w:p w:rsidR="007B20DB" w:rsidRPr="00E2269B" w:rsidRDefault="007B20DB" w:rsidP="007B20DB">
      <w:pPr>
        <w:jc w:val="center"/>
        <w:rPr>
          <w:rFonts w:ascii="Times New Roman" w:hAnsi="Times New Roman" w:cs="Times New Roman"/>
          <w:szCs w:val="21"/>
        </w:rPr>
      </w:pPr>
      <w:proofErr w:type="gramStart"/>
      <w:r w:rsidRPr="00E2269B">
        <w:rPr>
          <w:rFonts w:ascii="Times New Roman" w:hAnsi="Times New Roman" w:cs="Times New Roman"/>
          <w:szCs w:val="21"/>
        </w:rPr>
        <w:t>2.</w:t>
      </w:r>
      <w:r w:rsidRPr="00E2269B">
        <w:rPr>
          <w:rFonts w:ascii="Times New Roman" w:hAnsi="Times New Roman" w:cs="Times New Roman"/>
          <w:bCs/>
          <w:szCs w:val="21"/>
        </w:rPr>
        <w:t>Research</w:t>
      </w:r>
      <w:proofErr w:type="gramEnd"/>
      <w:r w:rsidRPr="00E2269B">
        <w:rPr>
          <w:rFonts w:ascii="Times New Roman" w:hAnsi="Times New Roman" w:cs="Times New Roman"/>
          <w:bCs/>
          <w:szCs w:val="21"/>
        </w:rPr>
        <w:t xml:space="preserve"> Center On Fictitious Economy &amp; Data Science, </w:t>
      </w:r>
      <w:r w:rsidRPr="00E2269B">
        <w:rPr>
          <w:rFonts w:ascii="Times New Roman" w:hAnsi="Times New Roman" w:cs="Times New Roman"/>
          <w:szCs w:val="21"/>
        </w:rPr>
        <w:t xml:space="preserve">Chinese Academy of Sciences, Beijing 100190, China </w:t>
      </w:r>
    </w:p>
    <w:p w:rsidR="007B20DB" w:rsidRPr="00E2269B" w:rsidRDefault="007B20DB" w:rsidP="007B20DB">
      <w:pPr>
        <w:jc w:val="center"/>
        <w:rPr>
          <w:rFonts w:ascii="Times New Roman" w:hAnsi="Times New Roman" w:cs="Times New Roman"/>
          <w:szCs w:val="21"/>
        </w:rPr>
      </w:pPr>
    </w:p>
    <w:p w:rsidR="000E3EB5" w:rsidRPr="00E2269B" w:rsidRDefault="007B20DB" w:rsidP="000E3EB5">
      <w:pPr>
        <w:rPr>
          <w:rFonts w:ascii="Times New Roman" w:hAnsi="Times New Roman" w:cs="Times New Roman"/>
        </w:rPr>
      </w:pPr>
      <w:r w:rsidRPr="00E2269B">
        <w:rPr>
          <w:rFonts w:ascii="Times New Roman" w:hAnsi="Times New Roman" w:cs="Times New Roman"/>
          <w:b/>
        </w:rPr>
        <w:t xml:space="preserve">Abstract: </w:t>
      </w:r>
      <w:r w:rsidR="000E3EB5" w:rsidRPr="00E2269B">
        <w:rPr>
          <w:rFonts w:ascii="Times New Roman" w:hAnsi="Times New Roman" w:cs="Times New Roman"/>
        </w:rPr>
        <w:t xml:space="preserve">Chinese government is considering a new policy to control energy consumption quota in order to promote economic transition of regional development pattern. However there is a </w:t>
      </w:r>
      <w:proofErr w:type="gramStart"/>
      <w:r w:rsidR="000E3EB5" w:rsidRPr="00E2269B">
        <w:rPr>
          <w:rFonts w:ascii="Times New Roman" w:hAnsi="Times New Roman" w:cs="Times New Roman"/>
        </w:rPr>
        <w:t>controversy</w:t>
      </w:r>
      <w:proofErr w:type="gramEnd"/>
      <w:r w:rsidR="000E3EB5" w:rsidRPr="00E2269B">
        <w:rPr>
          <w:rFonts w:ascii="Times New Roman" w:hAnsi="Times New Roman" w:cs="Times New Roman"/>
        </w:rPr>
        <w:t xml:space="preserve"> about the new policy because all provinces wish to get much more energy consumption quota. In addition, disaggregation of energy consumption quotas refers to the tradeoff between equity and efficiency. Authors developed a multi-regional CGE model to simulate the impacts of the policy to control energy consumption quotas on regional economy. The results indicate the policy to control energy consumption quota will slow down economic growth of most regions. Disaggregation of energy consumption quotas based on efficiency-first principle will enlarge regional disparity. If the disaggregation gives priority to equity, it has a greater negative impact on national economic growth. A balanced consideration of equity and efficiency is important for disaggregation of energy consumption quotas when the new policy to control energy consumption quota is implemented.</w:t>
      </w:r>
    </w:p>
    <w:p w:rsidR="007B20DB" w:rsidRPr="00E2269B" w:rsidRDefault="007B20DB" w:rsidP="007B20DB">
      <w:pPr>
        <w:rPr>
          <w:rFonts w:ascii="Times New Roman" w:hAnsi="Times New Roman" w:cs="Times New Roman"/>
        </w:rPr>
      </w:pPr>
      <w:r w:rsidRPr="00E2269B">
        <w:rPr>
          <w:rFonts w:ascii="Times New Roman" w:hAnsi="Times New Roman" w:cs="Times New Roman"/>
          <w:b/>
          <w:szCs w:val="21"/>
        </w:rPr>
        <w:t>Key Words</w:t>
      </w:r>
      <w:r w:rsidRPr="00E2269B">
        <w:rPr>
          <w:rFonts w:ascii="Times New Roman" w:hAnsi="Times New Roman" w:cs="Times New Roman"/>
          <w:b/>
          <w:szCs w:val="21"/>
        </w:rPr>
        <w:t>：</w:t>
      </w:r>
      <w:proofErr w:type="gramStart"/>
      <w:r w:rsidR="000E3EB5" w:rsidRPr="00E2269B">
        <w:rPr>
          <w:rFonts w:ascii="Times New Roman" w:hAnsi="Times New Roman" w:cs="Times New Roman"/>
        </w:rPr>
        <w:t>energy</w:t>
      </w:r>
      <w:proofErr w:type="gramEnd"/>
      <w:r w:rsidR="000E3EB5" w:rsidRPr="00E2269B">
        <w:rPr>
          <w:rFonts w:ascii="Times New Roman" w:hAnsi="Times New Roman" w:cs="Times New Roman"/>
        </w:rPr>
        <w:t xml:space="preserve"> consumption quota</w:t>
      </w:r>
      <w:r w:rsidR="006E0A88">
        <w:rPr>
          <w:rFonts w:ascii="Times New Roman" w:hAnsi="Times New Roman" w:cs="Times New Roman"/>
          <w:szCs w:val="21"/>
        </w:rPr>
        <w:t xml:space="preserve">; </w:t>
      </w:r>
      <w:r w:rsidRPr="00E2269B">
        <w:rPr>
          <w:rFonts w:ascii="Times New Roman" w:hAnsi="Times New Roman" w:cs="Times New Roman"/>
          <w:szCs w:val="21"/>
        </w:rPr>
        <w:t xml:space="preserve">multi-regional CGE model; </w:t>
      </w:r>
      <w:r w:rsidR="000E3EB5" w:rsidRPr="00E2269B">
        <w:rPr>
          <w:rFonts w:ascii="Times New Roman" w:hAnsi="Times New Roman" w:cs="Times New Roman"/>
        </w:rPr>
        <w:t>efficiency-first;</w:t>
      </w:r>
      <w:r w:rsidRPr="00E2269B">
        <w:rPr>
          <w:rFonts w:ascii="Times New Roman" w:hAnsi="Times New Roman" w:cs="Times New Roman"/>
          <w:szCs w:val="21"/>
        </w:rPr>
        <w:t xml:space="preserve"> </w:t>
      </w:r>
      <w:r w:rsidR="000E3EB5" w:rsidRPr="00E2269B">
        <w:rPr>
          <w:rFonts w:ascii="Times New Roman" w:hAnsi="Times New Roman" w:cs="Times New Roman"/>
        </w:rPr>
        <w:t>equity-first</w:t>
      </w:r>
    </w:p>
    <w:p w:rsidR="007B20DB" w:rsidRPr="006E0A88" w:rsidRDefault="007B20DB" w:rsidP="007B20DB">
      <w:pPr>
        <w:jc w:val="center"/>
        <w:rPr>
          <w:rFonts w:ascii="Times New Roman" w:hAnsi="Times New Roman" w:cs="Times New Roman"/>
          <w:szCs w:val="21"/>
        </w:rPr>
      </w:pPr>
    </w:p>
    <w:p w:rsidR="009B44AC" w:rsidRPr="00E2269B" w:rsidRDefault="009B44AC" w:rsidP="009B44AC">
      <w:pPr>
        <w:rPr>
          <w:rFonts w:ascii="Times New Roman" w:hAnsi="Times New Roman" w:cs="Times New Roman"/>
          <w:b/>
        </w:rPr>
      </w:pPr>
      <w:r w:rsidRPr="00E2269B">
        <w:rPr>
          <w:rFonts w:ascii="Times New Roman" w:hAnsi="Times New Roman" w:cs="Times New Roman"/>
          <w:b/>
        </w:rPr>
        <w:t>1. Introduction</w:t>
      </w:r>
    </w:p>
    <w:p w:rsidR="00D9195E" w:rsidRDefault="00D9195E" w:rsidP="005D03CB">
      <w:pPr>
        <w:rPr>
          <w:rFonts w:ascii="Times New Roman" w:hAnsi="Times New Roman" w:cs="Times New Roman"/>
        </w:rPr>
      </w:pPr>
    </w:p>
    <w:p w:rsidR="005C19F9" w:rsidRPr="00E2269B" w:rsidRDefault="00CA666C" w:rsidP="005D03CB">
      <w:pPr>
        <w:rPr>
          <w:rFonts w:ascii="Times New Roman" w:hAnsi="Times New Roman" w:cs="Times New Roman"/>
        </w:rPr>
      </w:pPr>
      <w:r w:rsidRPr="00E2269B">
        <w:rPr>
          <w:rFonts w:ascii="Times New Roman" w:hAnsi="Times New Roman" w:cs="Times New Roman"/>
        </w:rPr>
        <w:t xml:space="preserve">To change the way of economic development and reducing the energy waste, </w:t>
      </w:r>
      <w:r w:rsidR="00392149" w:rsidRPr="00E2269B">
        <w:rPr>
          <w:rFonts w:ascii="Times New Roman" w:hAnsi="Times New Roman" w:cs="Times New Roman"/>
        </w:rPr>
        <w:t>Chinese government has set target</w:t>
      </w:r>
      <w:r w:rsidR="00FD4497" w:rsidRPr="00E2269B">
        <w:rPr>
          <w:rFonts w:ascii="Times New Roman" w:hAnsi="Times New Roman" w:cs="Times New Roman"/>
        </w:rPr>
        <w:t>s</w:t>
      </w:r>
      <w:r w:rsidR="00392149" w:rsidRPr="00E2269B">
        <w:rPr>
          <w:rFonts w:ascii="Times New Roman" w:hAnsi="Times New Roman" w:cs="Times New Roman"/>
        </w:rPr>
        <w:t xml:space="preserve"> of a reduction of 16% of energy consumption per </w:t>
      </w:r>
      <w:r w:rsidR="003D4CC6" w:rsidRPr="00E2269B">
        <w:rPr>
          <w:rFonts w:ascii="Times New Roman" w:hAnsi="Times New Roman" w:cs="Times New Roman"/>
        </w:rPr>
        <w:t xml:space="preserve">unit </w:t>
      </w:r>
      <w:r w:rsidR="00392149" w:rsidRPr="00E2269B">
        <w:rPr>
          <w:rFonts w:ascii="Times New Roman" w:hAnsi="Times New Roman" w:cs="Times New Roman"/>
        </w:rPr>
        <w:t xml:space="preserve">GDP and non-fossil energy should </w:t>
      </w:r>
      <w:r w:rsidR="00FD4497" w:rsidRPr="00E2269B">
        <w:rPr>
          <w:rFonts w:ascii="Times New Roman" w:hAnsi="Times New Roman" w:cs="Times New Roman"/>
        </w:rPr>
        <w:t xml:space="preserve">account for </w:t>
      </w:r>
      <w:r w:rsidR="00DB4757" w:rsidRPr="00E2269B">
        <w:rPr>
          <w:rFonts w:ascii="Times New Roman" w:hAnsi="Times New Roman" w:cs="Times New Roman"/>
        </w:rPr>
        <w:t>11.4</w:t>
      </w:r>
      <w:r w:rsidR="00FD4497" w:rsidRPr="00E2269B">
        <w:rPr>
          <w:rFonts w:ascii="Times New Roman" w:hAnsi="Times New Roman" w:cs="Times New Roman"/>
        </w:rPr>
        <w:t xml:space="preserve">% of all </w:t>
      </w:r>
      <w:r w:rsidR="00392149" w:rsidRPr="00E2269B">
        <w:rPr>
          <w:rFonts w:ascii="Times New Roman" w:hAnsi="Times New Roman" w:cs="Times New Roman"/>
        </w:rPr>
        <w:t>primary energy sources</w:t>
      </w:r>
      <w:r w:rsidRPr="00E2269B">
        <w:rPr>
          <w:rFonts w:ascii="Times New Roman" w:hAnsi="Times New Roman" w:cs="Times New Roman"/>
        </w:rPr>
        <w:t xml:space="preserve"> in the</w:t>
      </w:r>
      <w:r w:rsidR="00630041" w:rsidRPr="00E2269B">
        <w:rPr>
          <w:rFonts w:ascii="Times New Roman" w:hAnsi="Times New Roman" w:cs="Times New Roman"/>
        </w:rPr>
        <w:t xml:space="preserve"> ‘</w:t>
      </w:r>
      <w:r w:rsidR="00A84DAE">
        <w:rPr>
          <w:rFonts w:ascii="Times New Roman" w:hAnsi="Times New Roman" w:cs="Times New Roman"/>
        </w:rPr>
        <w:t>twelfth</w:t>
      </w:r>
      <w:r w:rsidRPr="00E2269B">
        <w:rPr>
          <w:rFonts w:ascii="Times New Roman" w:hAnsi="Times New Roman" w:cs="Times New Roman"/>
        </w:rPr>
        <w:t xml:space="preserve"> five-year</w:t>
      </w:r>
      <w:r w:rsidR="00630041" w:rsidRPr="00E2269B">
        <w:rPr>
          <w:rFonts w:ascii="Times New Roman" w:hAnsi="Times New Roman" w:cs="Times New Roman"/>
        </w:rPr>
        <w:t xml:space="preserve">’ </w:t>
      </w:r>
      <w:r w:rsidRPr="00E2269B">
        <w:rPr>
          <w:rFonts w:ascii="Times New Roman" w:hAnsi="Times New Roman" w:cs="Times New Roman"/>
        </w:rPr>
        <w:t>plan.</w:t>
      </w:r>
      <w:r w:rsidR="003D4CC6" w:rsidRPr="00E2269B">
        <w:rPr>
          <w:rFonts w:ascii="Times New Roman" w:hAnsi="Times New Roman" w:cs="Times New Roman"/>
        </w:rPr>
        <w:t xml:space="preserve"> In order to</w:t>
      </w:r>
      <w:r w:rsidR="00FE4C01" w:rsidRPr="00E2269B">
        <w:rPr>
          <w:rFonts w:ascii="Times New Roman" w:hAnsi="Times New Roman" w:cs="Times New Roman"/>
        </w:rPr>
        <w:t xml:space="preserve"> restrain excessive increase of energy consumption and</w:t>
      </w:r>
      <w:r w:rsidR="003D4CC6" w:rsidRPr="00E2269B">
        <w:rPr>
          <w:rFonts w:ascii="Times New Roman" w:hAnsi="Times New Roman" w:cs="Times New Roman"/>
        </w:rPr>
        <w:t xml:space="preserve"> realize the target of energy-saving and emission-reduction, Chinese government has been </w:t>
      </w:r>
      <w:r w:rsidRPr="00E2269B">
        <w:rPr>
          <w:rFonts w:ascii="Times New Roman" w:hAnsi="Times New Roman" w:cs="Times New Roman"/>
        </w:rPr>
        <w:t>considering</w:t>
      </w:r>
      <w:r w:rsidR="00571DCB" w:rsidRPr="00E2269B">
        <w:rPr>
          <w:rFonts w:ascii="Times New Roman" w:hAnsi="Times New Roman" w:cs="Times New Roman"/>
        </w:rPr>
        <w:t xml:space="preserve"> a new</w:t>
      </w:r>
      <w:r w:rsidR="003D4CC6" w:rsidRPr="00E2269B">
        <w:rPr>
          <w:rFonts w:ascii="Times New Roman" w:hAnsi="Times New Roman" w:cs="Times New Roman"/>
        </w:rPr>
        <w:t xml:space="preserve"> energy </w:t>
      </w:r>
      <w:r w:rsidR="00571DCB" w:rsidRPr="00E2269B">
        <w:rPr>
          <w:rFonts w:ascii="Times New Roman" w:hAnsi="Times New Roman" w:cs="Times New Roman"/>
        </w:rPr>
        <w:t>policy</w:t>
      </w:r>
      <w:r w:rsidR="00487FC3" w:rsidRPr="00E2269B">
        <w:rPr>
          <w:rFonts w:ascii="Times New Roman" w:hAnsi="Times New Roman" w:cs="Times New Roman"/>
        </w:rPr>
        <w:t xml:space="preserve">, </w:t>
      </w:r>
      <w:r w:rsidR="00125186" w:rsidRPr="00E2269B">
        <w:rPr>
          <w:rFonts w:ascii="Times New Roman" w:hAnsi="Times New Roman" w:cs="Times New Roman"/>
        </w:rPr>
        <w:t xml:space="preserve">the </w:t>
      </w:r>
      <w:r w:rsidRPr="00E2269B">
        <w:rPr>
          <w:rFonts w:ascii="Times New Roman" w:hAnsi="Times New Roman" w:cs="Times New Roman"/>
        </w:rPr>
        <w:t>control</w:t>
      </w:r>
      <w:r w:rsidR="00125186" w:rsidRPr="00E2269B">
        <w:rPr>
          <w:rFonts w:ascii="Times New Roman" w:hAnsi="Times New Roman" w:cs="Times New Roman"/>
        </w:rPr>
        <w:t xml:space="preserve"> of </w:t>
      </w:r>
      <w:r w:rsidRPr="00E2269B">
        <w:rPr>
          <w:rFonts w:ascii="Times New Roman" w:hAnsi="Times New Roman" w:cs="Times New Roman"/>
        </w:rPr>
        <w:t>energy consumption</w:t>
      </w:r>
      <w:r w:rsidR="00487FC3" w:rsidRPr="00E2269B">
        <w:rPr>
          <w:rFonts w:ascii="Times New Roman" w:hAnsi="Times New Roman" w:cs="Times New Roman"/>
        </w:rPr>
        <w:t xml:space="preserve"> </w:t>
      </w:r>
      <w:r w:rsidRPr="00E2269B">
        <w:rPr>
          <w:rFonts w:ascii="Times New Roman" w:hAnsi="Times New Roman" w:cs="Times New Roman"/>
        </w:rPr>
        <w:t>quota</w:t>
      </w:r>
      <w:r w:rsidR="00207EB1" w:rsidRPr="00E2269B">
        <w:rPr>
          <w:rFonts w:ascii="Times New Roman" w:hAnsi="Times New Roman" w:cs="Times New Roman"/>
        </w:rPr>
        <w:t>s</w:t>
      </w:r>
      <w:r w:rsidR="00487FC3" w:rsidRPr="00E2269B">
        <w:rPr>
          <w:rFonts w:ascii="Times New Roman" w:hAnsi="Times New Roman" w:cs="Times New Roman"/>
        </w:rPr>
        <w:t xml:space="preserve">, </w:t>
      </w:r>
      <w:r w:rsidR="00571DCB" w:rsidRPr="00E2269B">
        <w:rPr>
          <w:rFonts w:ascii="Times New Roman" w:hAnsi="Times New Roman" w:cs="Times New Roman"/>
        </w:rPr>
        <w:t xml:space="preserve">in the hope of controlling the total energy consumption less than 4.1 billion </w:t>
      </w:r>
      <w:proofErr w:type="spellStart"/>
      <w:r w:rsidR="00571DCB" w:rsidRPr="00E2269B">
        <w:rPr>
          <w:rFonts w:ascii="Times New Roman" w:hAnsi="Times New Roman" w:cs="Times New Roman"/>
        </w:rPr>
        <w:t>t</w:t>
      </w:r>
      <w:r w:rsidR="00FE4C01" w:rsidRPr="00E2269B">
        <w:rPr>
          <w:rFonts w:ascii="Times New Roman" w:hAnsi="Times New Roman" w:cs="Times New Roman"/>
        </w:rPr>
        <w:t>ce</w:t>
      </w:r>
      <w:proofErr w:type="spellEnd"/>
      <w:r w:rsidR="00571DCB" w:rsidRPr="00E2269B">
        <w:rPr>
          <w:rFonts w:ascii="Times New Roman" w:hAnsi="Times New Roman" w:cs="Times New Roman"/>
        </w:rPr>
        <w:t xml:space="preserve"> in 2015.</w:t>
      </w:r>
      <w:r w:rsidR="00B21231" w:rsidRPr="00E2269B">
        <w:rPr>
          <w:rFonts w:ascii="Times New Roman" w:hAnsi="Times New Roman" w:cs="Times New Roman"/>
        </w:rPr>
        <w:t xml:space="preserve"> </w:t>
      </w:r>
      <w:r w:rsidR="00907C0A" w:rsidRPr="00E2269B">
        <w:rPr>
          <w:rFonts w:ascii="Times New Roman" w:hAnsi="Times New Roman" w:cs="Times New Roman"/>
        </w:rPr>
        <w:t>T</w:t>
      </w:r>
      <w:r w:rsidR="00B53A85" w:rsidRPr="00E2269B">
        <w:rPr>
          <w:rFonts w:ascii="Times New Roman" w:hAnsi="Times New Roman" w:cs="Times New Roman"/>
        </w:rPr>
        <w:t xml:space="preserve">otal energy consumption </w:t>
      </w:r>
      <w:r w:rsidR="00415C94" w:rsidRPr="00E2269B">
        <w:rPr>
          <w:rFonts w:ascii="Times New Roman" w:hAnsi="Times New Roman" w:cs="Times New Roman"/>
        </w:rPr>
        <w:t xml:space="preserve">quotas </w:t>
      </w:r>
      <w:r w:rsidR="00B21231" w:rsidRPr="00E2269B">
        <w:rPr>
          <w:rFonts w:ascii="Times New Roman" w:hAnsi="Times New Roman" w:cs="Times New Roman"/>
        </w:rPr>
        <w:t xml:space="preserve">will </w:t>
      </w:r>
      <w:r w:rsidR="00907C0A" w:rsidRPr="00E2269B">
        <w:rPr>
          <w:rFonts w:ascii="Times New Roman" w:hAnsi="Times New Roman" w:cs="Times New Roman"/>
        </w:rPr>
        <w:t>be allocated among provinces</w:t>
      </w:r>
      <w:r w:rsidR="00AD513E" w:rsidRPr="00E2269B">
        <w:rPr>
          <w:rFonts w:ascii="Times New Roman" w:hAnsi="Times New Roman" w:cs="Times New Roman"/>
        </w:rPr>
        <w:t xml:space="preserve"> and each province will have own energy consumption quota</w:t>
      </w:r>
      <w:r w:rsidR="00B21231" w:rsidRPr="00E2269B">
        <w:rPr>
          <w:rFonts w:ascii="Times New Roman" w:hAnsi="Times New Roman" w:cs="Times New Roman"/>
        </w:rPr>
        <w:t xml:space="preserve">. </w:t>
      </w:r>
      <w:r w:rsidR="005564B5" w:rsidRPr="00E2269B">
        <w:rPr>
          <w:rFonts w:ascii="Times New Roman" w:hAnsi="Times New Roman" w:cs="Times New Roman"/>
        </w:rPr>
        <w:t xml:space="preserve">However, as there </w:t>
      </w:r>
      <w:proofErr w:type="gramStart"/>
      <w:r w:rsidR="005564B5" w:rsidRPr="00E2269B">
        <w:rPr>
          <w:rFonts w:ascii="Times New Roman" w:hAnsi="Times New Roman" w:cs="Times New Roman"/>
        </w:rPr>
        <w:t>exist</w:t>
      </w:r>
      <w:proofErr w:type="gramEnd"/>
      <w:r w:rsidR="00B21231" w:rsidRPr="00E2269B">
        <w:rPr>
          <w:rFonts w:ascii="Times New Roman" w:hAnsi="Times New Roman" w:cs="Times New Roman"/>
        </w:rPr>
        <w:t xml:space="preserve"> obvious disparity of economic</w:t>
      </w:r>
      <w:r w:rsidR="00AD513E" w:rsidRPr="00E2269B">
        <w:rPr>
          <w:rFonts w:ascii="Times New Roman" w:hAnsi="Times New Roman" w:cs="Times New Roman"/>
        </w:rPr>
        <w:t xml:space="preserve"> development and</w:t>
      </w:r>
      <w:r w:rsidR="00B21231" w:rsidRPr="00E2269B">
        <w:rPr>
          <w:rFonts w:ascii="Times New Roman" w:hAnsi="Times New Roman" w:cs="Times New Roman"/>
        </w:rPr>
        <w:t xml:space="preserve"> energy efficiency among regions, </w:t>
      </w:r>
      <w:r w:rsidR="00AD513E" w:rsidRPr="00E2269B">
        <w:rPr>
          <w:rFonts w:ascii="Times New Roman" w:hAnsi="Times New Roman" w:cs="Times New Roman"/>
        </w:rPr>
        <w:t xml:space="preserve">how to allocate quotas </w:t>
      </w:r>
      <w:r w:rsidR="00207EB1" w:rsidRPr="00E2269B">
        <w:rPr>
          <w:rFonts w:ascii="Times New Roman" w:hAnsi="Times New Roman" w:cs="Times New Roman"/>
        </w:rPr>
        <w:t>among regions is very important to Chinese regional economic development in the future.</w:t>
      </w:r>
      <w:r w:rsidR="005C19F9" w:rsidRPr="00E2269B">
        <w:rPr>
          <w:rFonts w:ascii="Times New Roman" w:hAnsi="Times New Roman" w:cs="Times New Roman"/>
        </w:rPr>
        <w:t xml:space="preserve"> </w:t>
      </w:r>
      <w:r w:rsidR="001D6409" w:rsidRPr="00E2269B">
        <w:rPr>
          <w:rFonts w:ascii="Times New Roman" w:hAnsi="Times New Roman" w:cs="Times New Roman"/>
        </w:rPr>
        <w:t xml:space="preserve">Efficiency and equity are two principles for resource allocation. </w:t>
      </w:r>
      <w:r w:rsidR="00A52ABD">
        <w:rPr>
          <w:rFonts w:ascii="Times New Roman" w:hAnsi="Times New Roman" w:cs="Times New Roman"/>
        </w:rPr>
        <w:t>Equity</w:t>
      </w:r>
      <w:r w:rsidR="005C19F9" w:rsidRPr="00E2269B">
        <w:rPr>
          <w:rFonts w:ascii="Times New Roman" w:hAnsi="Times New Roman" w:cs="Times New Roman"/>
        </w:rPr>
        <w:t xml:space="preserve">-first </w:t>
      </w:r>
      <w:r w:rsidR="00487FC3" w:rsidRPr="00E2269B">
        <w:rPr>
          <w:rFonts w:ascii="Times New Roman" w:hAnsi="Times New Roman" w:cs="Times New Roman"/>
        </w:rPr>
        <w:t xml:space="preserve">allocation of </w:t>
      </w:r>
      <w:r w:rsidR="005C19F9" w:rsidRPr="00E2269B">
        <w:rPr>
          <w:rFonts w:ascii="Times New Roman" w:hAnsi="Times New Roman" w:cs="Times New Roman"/>
        </w:rPr>
        <w:t>energy consumption quota</w:t>
      </w:r>
      <w:r w:rsidR="00487FC3" w:rsidRPr="00E2269B">
        <w:rPr>
          <w:rFonts w:ascii="Times New Roman" w:hAnsi="Times New Roman" w:cs="Times New Roman"/>
        </w:rPr>
        <w:t>s</w:t>
      </w:r>
      <w:r w:rsidR="005C19F9" w:rsidRPr="00E2269B">
        <w:rPr>
          <w:rFonts w:ascii="Times New Roman" w:hAnsi="Times New Roman" w:cs="Times New Roman"/>
        </w:rPr>
        <w:t xml:space="preserve"> may be good for regional coordinated development while causing </w:t>
      </w:r>
      <w:r w:rsidR="00487FC3" w:rsidRPr="00E2269B">
        <w:rPr>
          <w:rFonts w:ascii="Times New Roman" w:hAnsi="Times New Roman" w:cs="Times New Roman"/>
        </w:rPr>
        <w:t>some</w:t>
      </w:r>
      <w:r w:rsidR="005C19F9" w:rsidRPr="00E2269B">
        <w:rPr>
          <w:rFonts w:ascii="Times New Roman" w:hAnsi="Times New Roman" w:cs="Times New Roman"/>
        </w:rPr>
        <w:t xml:space="preserve"> negative impacts on </w:t>
      </w:r>
      <w:r w:rsidR="00487FC3" w:rsidRPr="00E2269B">
        <w:rPr>
          <w:rFonts w:ascii="Times New Roman" w:hAnsi="Times New Roman" w:cs="Times New Roman"/>
        </w:rPr>
        <w:t>economic efficiency.</w:t>
      </w:r>
      <w:r w:rsidR="005C19F9" w:rsidRPr="00E2269B">
        <w:rPr>
          <w:rFonts w:ascii="Times New Roman" w:hAnsi="Times New Roman" w:cs="Times New Roman"/>
        </w:rPr>
        <w:t xml:space="preserve"> </w:t>
      </w:r>
      <w:r w:rsidR="00487FC3" w:rsidRPr="00E2269B">
        <w:rPr>
          <w:rFonts w:ascii="Times New Roman" w:hAnsi="Times New Roman" w:cs="Times New Roman"/>
        </w:rPr>
        <w:t>E</w:t>
      </w:r>
      <w:r w:rsidR="005C19F9" w:rsidRPr="00E2269B">
        <w:rPr>
          <w:rFonts w:ascii="Times New Roman" w:hAnsi="Times New Roman" w:cs="Times New Roman"/>
        </w:rPr>
        <w:t xml:space="preserve">fficiency-first </w:t>
      </w:r>
      <w:r w:rsidR="00487FC3" w:rsidRPr="00E2269B">
        <w:rPr>
          <w:rFonts w:ascii="Times New Roman" w:hAnsi="Times New Roman" w:cs="Times New Roman"/>
        </w:rPr>
        <w:t>allocation of energy consumption quotas</w:t>
      </w:r>
      <w:r w:rsidR="005C19F9" w:rsidRPr="00E2269B">
        <w:rPr>
          <w:rFonts w:ascii="Times New Roman" w:hAnsi="Times New Roman" w:cs="Times New Roman"/>
        </w:rPr>
        <w:t xml:space="preserve"> may cost less, but it would probably cause large negative </w:t>
      </w:r>
      <w:r w:rsidR="00487FC3" w:rsidRPr="00E2269B">
        <w:rPr>
          <w:rFonts w:ascii="Times New Roman" w:hAnsi="Times New Roman" w:cs="Times New Roman"/>
        </w:rPr>
        <w:t>impacts</w:t>
      </w:r>
      <w:r w:rsidR="005C19F9" w:rsidRPr="00E2269B">
        <w:rPr>
          <w:rFonts w:ascii="Times New Roman" w:hAnsi="Times New Roman" w:cs="Times New Roman"/>
        </w:rPr>
        <w:t xml:space="preserve"> on economic development of less developed regions. So, how to manage the trade-off between </w:t>
      </w:r>
      <w:r w:rsidR="00A52ABD">
        <w:rPr>
          <w:rFonts w:ascii="Times New Roman" w:hAnsi="Times New Roman" w:cs="Times New Roman"/>
        </w:rPr>
        <w:t>equity</w:t>
      </w:r>
      <w:r w:rsidR="005C19F9" w:rsidRPr="00E2269B">
        <w:rPr>
          <w:rFonts w:ascii="Times New Roman" w:hAnsi="Times New Roman" w:cs="Times New Roman"/>
        </w:rPr>
        <w:t xml:space="preserve"> and efficiency is </w:t>
      </w:r>
      <w:r w:rsidR="00487FC3" w:rsidRPr="00E2269B">
        <w:rPr>
          <w:rFonts w:ascii="Times New Roman" w:hAnsi="Times New Roman" w:cs="Times New Roman"/>
        </w:rPr>
        <w:t>a</w:t>
      </w:r>
      <w:r w:rsidR="005C19F9" w:rsidRPr="00E2269B">
        <w:rPr>
          <w:rFonts w:ascii="Times New Roman" w:hAnsi="Times New Roman" w:cs="Times New Roman"/>
        </w:rPr>
        <w:t xml:space="preserve"> key </w:t>
      </w:r>
      <w:r w:rsidR="00487FC3" w:rsidRPr="00E2269B">
        <w:rPr>
          <w:rFonts w:ascii="Times New Roman" w:hAnsi="Times New Roman" w:cs="Times New Roman"/>
        </w:rPr>
        <w:t xml:space="preserve">problem </w:t>
      </w:r>
      <w:r w:rsidR="005C19F9" w:rsidRPr="00E2269B">
        <w:rPr>
          <w:rFonts w:ascii="Times New Roman" w:hAnsi="Times New Roman" w:cs="Times New Roman"/>
        </w:rPr>
        <w:t>to allocate energy consumption quota</w:t>
      </w:r>
      <w:r w:rsidR="00487FC3" w:rsidRPr="00E2269B">
        <w:rPr>
          <w:rFonts w:ascii="Times New Roman" w:hAnsi="Times New Roman" w:cs="Times New Roman"/>
        </w:rPr>
        <w:t>s among regions</w:t>
      </w:r>
      <w:r w:rsidR="005C19F9" w:rsidRPr="00E2269B">
        <w:rPr>
          <w:rFonts w:ascii="Times New Roman" w:hAnsi="Times New Roman" w:cs="Times New Roman"/>
        </w:rPr>
        <w:t>.</w:t>
      </w:r>
    </w:p>
    <w:p w:rsidR="00D9195E" w:rsidRDefault="00D9195E" w:rsidP="005D03CB">
      <w:pPr>
        <w:rPr>
          <w:rFonts w:ascii="Times New Roman" w:hAnsi="Times New Roman" w:cs="Times New Roman"/>
        </w:rPr>
      </w:pPr>
    </w:p>
    <w:p w:rsidR="00256168" w:rsidRPr="00E2269B" w:rsidRDefault="00F8522E" w:rsidP="005D03CB">
      <w:pPr>
        <w:rPr>
          <w:rFonts w:ascii="Times New Roman" w:hAnsi="Times New Roman" w:cs="Times New Roman"/>
        </w:rPr>
      </w:pPr>
      <w:r w:rsidRPr="00E2269B">
        <w:rPr>
          <w:rFonts w:ascii="Times New Roman" w:hAnsi="Times New Roman" w:cs="Times New Roman"/>
        </w:rPr>
        <w:t>T</w:t>
      </w:r>
      <w:r w:rsidR="00125186" w:rsidRPr="00E2269B">
        <w:rPr>
          <w:rFonts w:ascii="Times New Roman" w:hAnsi="Times New Roman" w:cs="Times New Roman"/>
        </w:rPr>
        <w:t>he</w:t>
      </w:r>
      <w:r w:rsidRPr="00E2269B">
        <w:rPr>
          <w:rFonts w:ascii="Times New Roman" w:hAnsi="Times New Roman" w:cs="Times New Roman"/>
        </w:rPr>
        <w:t xml:space="preserve"> </w:t>
      </w:r>
      <w:r w:rsidR="00415C94" w:rsidRPr="00E2269B">
        <w:rPr>
          <w:rFonts w:ascii="Times New Roman" w:hAnsi="Times New Roman" w:cs="Times New Roman"/>
        </w:rPr>
        <w:t xml:space="preserve">policy </w:t>
      </w:r>
      <w:r w:rsidR="001D31CA">
        <w:rPr>
          <w:rFonts w:ascii="Times New Roman" w:hAnsi="Times New Roman" w:cs="Times New Roman" w:hint="eastAsia"/>
        </w:rPr>
        <w:t xml:space="preserve">to </w:t>
      </w:r>
      <w:r w:rsidR="001D31CA" w:rsidRPr="00E2269B">
        <w:rPr>
          <w:rFonts w:ascii="Times New Roman" w:hAnsi="Times New Roman" w:cs="Times New Roman"/>
        </w:rPr>
        <w:t xml:space="preserve">control </w:t>
      </w:r>
      <w:r w:rsidRPr="00E2269B">
        <w:rPr>
          <w:rFonts w:ascii="Times New Roman" w:hAnsi="Times New Roman" w:cs="Times New Roman"/>
        </w:rPr>
        <w:t>energy consumption</w:t>
      </w:r>
      <w:r w:rsidR="00125186" w:rsidRPr="00E2269B">
        <w:rPr>
          <w:rFonts w:ascii="Times New Roman" w:hAnsi="Times New Roman" w:cs="Times New Roman"/>
        </w:rPr>
        <w:t xml:space="preserve"> quotas</w:t>
      </w:r>
      <w:r w:rsidRPr="00E2269B">
        <w:rPr>
          <w:rFonts w:ascii="Times New Roman" w:hAnsi="Times New Roman" w:cs="Times New Roman"/>
        </w:rPr>
        <w:t xml:space="preserve"> has never been </w:t>
      </w:r>
      <w:r w:rsidR="00125186" w:rsidRPr="00E2269B">
        <w:rPr>
          <w:rFonts w:ascii="Times New Roman" w:hAnsi="Times New Roman" w:cs="Times New Roman"/>
        </w:rPr>
        <w:t>implemente</w:t>
      </w:r>
      <w:r w:rsidRPr="00E2269B">
        <w:rPr>
          <w:rFonts w:ascii="Times New Roman" w:hAnsi="Times New Roman" w:cs="Times New Roman"/>
        </w:rPr>
        <w:t xml:space="preserve">d </w:t>
      </w:r>
      <w:r w:rsidR="00125186" w:rsidRPr="00E2269B">
        <w:rPr>
          <w:rFonts w:ascii="Times New Roman" w:hAnsi="Times New Roman" w:cs="Times New Roman"/>
        </w:rPr>
        <w:t xml:space="preserve">anywhere </w:t>
      </w:r>
      <w:r w:rsidRPr="00E2269B">
        <w:rPr>
          <w:rFonts w:ascii="Times New Roman" w:hAnsi="Times New Roman" w:cs="Times New Roman"/>
        </w:rPr>
        <w:t xml:space="preserve">before. Its basic idea is very similar to the idea of </w:t>
      </w:r>
      <w:r w:rsidR="00125186" w:rsidRPr="00E2269B">
        <w:rPr>
          <w:rFonts w:ascii="Times New Roman" w:hAnsi="Times New Roman" w:cs="Times New Roman"/>
        </w:rPr>
        <w:t>cap-and-trade</w:t>
      </w:r>
      <w:r w:rsidRPr="00E2269B">
        <w:rPr>
          <w:rFonts w:ascii="Times New Roman" w:hAnsi="Times New Roman" w:cs="Times New Roman"/>
        </w:rPr>
        <w:t xml:space="preserve"> of greenhouse gases </w:t>
      </w:r>
      <w:r w:rsidR="0028160A" w:rsidRPr="00E2269B">
        <w:rPr>
          <w:rFonts w:ascii="Times New Roman" w:hAnsi="Times New Roman" w:cs="Times New Roman"/>
        </w:rPr>
        <w:t xml:space="preserve">emissions </w:t>
      </w:r>
      <w:r w:rsidRPr="00E2269B">
        <w:rPr>
          <w:rFonts w:ascii="Times New Roman" w:hAnsi="Times New Roman" w:cs="Times New Roman"/>
        </w:rPr>
        <w:t xml:space="preserve">in that by setting an upper limit for total energy consumption, energy consumption </w:t>
      </w:r>
      <w:r w:rsidR="00125186" w:rsidRPr="00E2269B">
        <w:rPr>
          <w:rFonts w:ascii="Times New Roman" w:hAnsi="Times New Roman" w:cs="Times New Roman"/>
        </w:rPr>
        <w:t>quota</w:t>
      </w:r>
      <w:r w:rsidRPr="00E2269B">
        <w:rPr>
          <w:rFonts w:ascii="Times New Roman" w:hAnsi="Times New Roman" w:cs="Times New Roman"/>
        </w:rPr>
        <w:t xml:space="preserve"> is made a scarce resource. At present, there is rather limited research on </w:t>
      </w:r>
      <w:r w:rsidR="00997274" w:rsidRPr="00E2269B">
        <w:rPr>
          <w:rFonts w:ascii="Times New Roman" w:hAnsi="Times New Roman" w:cs="Times New Roman"/>
        </w:rPr>
        <w:t>the proposals for allocating</w:t>
      </w:r>
      <w:r w:rsidRPr="00E2269B">
        <w:rPr>
          <w:rFonts w:ascii="Times New Roman" w:hAnsi="Times New Roman" w:cs="Times New Roman"/>
        </w:rPr>
        <w:t xml:space="preserve"> energy consumption </w:t>
      </w:r>
      <w:r w:rsidR="00997274" w:rsidRPr="00E2269B">
        <w:rPr>
          <w:rFonts w:ascii="Times New Roman" w:hAnsi="Times New Roman" w:cs="Times New Roman"/>
        </w:rPr>
        <w:t>quotas among</w:t>
      </w:r>
      <w:r w:rsidRPr="00E2269B">
        <w:rPr>
          <w:rFonts w:ascii="Times New Roman" w:hAnsi="Times New Roman" w:cs="Times New Roman"/>
        </w:rPr>
        <w:t xml:space="preserve"> different regions and the </w:t>
      </w:r>
      <w:r w:rsidR="00997274" w:rsidRPr="00E2269B">
        <w:rPr>
          <w:rFonts w:ascii="Times New Roman" w:hAnsi="Times New Roman" w:cs="Times New Roman"/>
        </w:rPr>
        <w:t>impac</w:t>
      </w:r>
      <w:r w:rsidRPr="00E2269B">
        <w:rPr>
          <w:rFonts w:ascii="Times New Roman" w:hAnsi="Times New Roman" w:cs="Times New Roman"/>
        </w:rPr>
        <w:t>ts of these proposals on econom</w:t>
      </w:r>
      <w:r w:rsidR="00997274" w:rsidRPr="00E2269B">
        <w:rPr>
          <w:rFonts w:ascii="Times New Roman" w:hAnsi="Times New Roman" w:cs="Times New Roman"/>
        </w:rPr>
        <w:t>y and</w:t>
      </w:r>
      <w:r w:rsidRPr="00E2269B">
        <w:rPr>
          <w:rFonts w:ascii="Times New Roman" w:hAnsi="Times New Roman" w:cs="Times New Roman"/>
        </w:rPr>
        <w:t xml:space="preserve"> environment. However, </w:t>
      </w:r>
      <w:r w:rsidR="0028160A" w:rsidRPr="00E2269B">
        <w:rPr>
          <w:rFonts w:ascii="Times New Roman" w:hAnsi="Times New Roman" w:cs="Times New Roman"/>
        </w:rPr>
        <w:t xml:space="preserve">the </w:t>
      </w:r>
      <w:r w:rsidR="00725144" w:rsidRPr="00E2269B">
        <w:rPr>
          <w:rFonts w:ascii="Times New Roman" w:hAnsi="Times New Roman" w:cs="Times New Roman"/>
        </w:rPr>
        <w:t xml:space="preserve">researches </w:t>
      </w:r>
      <w:r w:rsidR="0028160A" w:rsidRPr="00E2269B">
        <w:rPr>
          <w:rFonts w:ascii="Times New Roman" w:hAnsi="Times New Roman" w:cs="Times New Roman"/>
        </w:rPr>
        <w:t xml:space="preserve">on the allocation of </w:t>
      </w:r>
      <w:r w:rsidRPr="00E2269B">
        <w:rPr>
          <w:rFonts w:ascii="Times New Roman" w:hAnsi="Times New Roman" w:cs="Times New Roman"/>
        </w:rPr>
        <w:t>greenhouse gases emission can be used as source</w:t>
      </w:r>
      <w:r w:rsidR="00725144" w:rsidRPr="00E2269B">
        <w:rPr>
          <w:rFonts w:ascii="Times New Roman" w:hAnsi="Times New Roman" w:cs="Times New Roman"/>
        </w:rPr>
        <w:t>s</w:t>
      </w:r>
      <w:r w:rsidRPr="00E2269B">
        <w:rPr>
          <w:rFonts w:ascii="Times New Roman" w:hAnsi="Times New Roman" w:cs="Times New Roman"/>
        </w:rPr>
        <w:t xml:space="preserve"> of reference</w:t>
      </w:r>
      <w:r w:rsidR="00725144" w:rsidRPr="00E2269B">
        <w:rPr>
          <w:rFonts w:ascii="Times New Roman" w:hAnsi="Times New Roman" w:cs="Times New Roman"/>
        </w:rPr>
        <w:t>s</w:t>
      </w:r>
      <w:r w:rsidRPr="00E2269B">
        <w:rPr>
          <w:rFonts w:ascii="Times New Roman" w:hAnsi="Times New Roman" w:cs="Times New Roman"/>
        </w:rPr>
        <w:t xml:space="preserve"> for this subject. The researches relat</w:t>
      </w:r>
      <w:r w:rsidR="0028160A" w:rsidRPr="00E2269B">
        <w:rPr>
          <w:rFonts w:ascii="Times New Roman" w:hAnsi="Times New Roman" w:cs="Times New Roman"/>
        </w:rPr>
        <w:t>ed</w:t>
      </w:r>
      <w:r w:rsidRPr="00E2269B">
        <w:rPr>
          <w:rFonts w:ascii="Times New Roman" w:hAnsi="Times New Roman" w:cs="Times New Roman"/>
        </w:rPr>
        <w:t xml:space="preserve"> to </w:t>
      </w:r>
      <w:r w:rsidR="0028160A" w:rsidRPr="00E2269B">
        <w:rPr>
          <w:rFonts w:ascii="Times New Roman" w:hAnsi="Times New Roman" w:cs="Times New Roman"/>
        </w:rPr>
        <w:t>carbon permits allocation</w:t>
      </w:r>
      <w:r w:rsidRPr="00E2269B">
        <w:rPr>
          <w:rFonts w:ascii="Times New Roman" w:hAnsi="Times New Roman" w:cs="Times New Roman"/>
        </w:rPr>
        <w:t xml:space="preserve"> are massive, many of which applied not only to allocat</w:t>
      </w:r>
      <w:r w:rsidR="00A52ABD">
        <w:rPr>
          <w:rFonts w:ascii="Times New Roman" w:hAnsi="Times New Roman" w:cs="Times New Roman" w:hint="eastAsia"/>
        </w:rPr>
        <w:t>e</w:t>
      </w:r>
      <w:r w:rsidRPr="00E2269B">
        <w:rPr>
          <w:rFonts w:ascii="Times New Roman" w:hAnsi="Times New Roman" w:cs="Times New Roman"/>
        </w:rPr>
        <w:t xml:space="preserve"> among regions but also to allocat</w:t>
      </w:r>
      <w:r w:rsidR="00A52ABD">
        <w:rPr>
          <w:rFonts w:ascii="Times New Roman" w:hAnsi="Times New Roman" w:cs="Times New Roman" w:hint="eastAsia"/>
        </w:rPr>
        <w:t xml:space="preserve">e </w:t>
      </w:r>
      <w:r w:rsidRPr="00E2269B">
        <w:rPr>
          <w:rFonts w:ascii="Times New Roman" w:hAnsi="Times New Roman" w:cs="Times New Roman"/>
        </w:rPr>
        <w:t xml:space="preserve">among industries. Such </w:t>
      </w:r>
      <w:r w:rsidR="00CF748C" w:rsidRPr="00E2269B">
        <w:rPr>
          <w:rFonts w:ascii="Times New Roman" w:hAnsi="Times New Roman" w:cs="Times New Roman"/>
        </w:rPr>
        <w:t xml:space="preserve">as </w:t>
      </w:r>
      <w:r w:rsidR="00E562C1" w:rsidRPr="00E2269B">
        <w:rPr>
          <w:rFonts w:ascii="Times New Roman" w:hAnsi="Times New Roman" w:cs="Times New Roman"/>
        </w:rPr>
        <w:t>an</w:t>
      </w:r>
      <w:r w:rsidR="00CF748C" w:rsidRPr="00E2269B">
        <w:rPr>
          <w:rFonts w:ascii="Times New Roman" w:hAnsi="Times New Roman" w:cs="Times New Roman"/>
        </w:rPr>
        <w:t xml:space="preserve"> allocation of </w:t>
      </w:r>
      <w:r w:rsidRPr="00E2269B">
        <w:rPr>
          <w:rFonts w:ascii="Times New Roman" w:hAnsi="Times New Roman" w:cs="Times New Roman"/>
        </w:rPr>
        <w:t>identical emission</w:t>
      </w:r>
      <w:r w:rsidR="00CF748C" w:rsidRPr="00E2269B">
        <w:rPr>
          <w:rFonts w:ascii="Times New Roman" w:hAnsi="Times New Roman" w:cs="Times New Roman"/>
        </w:rPr>
        <w:t xml:space="preserve"> </w:t>
      </w:r>
      <w:r w:rsidRPr="00E2269B">
        <w:rPr>
          <w:rFonts w:ascii="Times New Roman" w:hAnsi="Times New Roman" w:cs="Times New Roman"/>
        </w:rPr>
        <w:t>reduction</w:t>
      </w:r>
      <w:r w:rsidR="00CF748C" w:rsidRPr="00E2269B">
        <w:rPr>
          <w:rFonts w:ascii="Times New Roman" w:hAnsi="Times New Roman" w:cs="Times New Roman"/>
        </w:rPr>
        <w:t xml:space="preserve"> rate </w:t>
      </w:r>
      <w:r w:rsidRPr="00E2269B">
        <w:rPr>
          <w:rFonts w:ascii="Times New Roman" w:hAnsi="Times New Roman" w:cs="Times New Roman"/>
        </w:rPr>
        <w:t>(</w:t>
      </w:r>
      <w:proofErr w:type="spellStart"/>
      <w:r w:rsidRPr="00E2269B">
        <w:rPr>
          <w:rFonts w:ascii="Times New Roman" w:hAnsi="Times New Roman" w:cs="Times New Roman"/>
        </w:rPr>
        <w:t>Grubler</w:t>
      </w:r>
      <w:proofErr w:type="spellEnd"/>
      <w:r w:rsidRPr="00E2269B">
        <w:rPr>
          <w:rFonts w:ascii="Times New Roman" w:hAnsi="Times New Roman" w:cs="Times New Roman"/>
        </w:rPr>
        <w:t xml:space="preserve"> et al., 1994), </w:t>
      </w:r>
      <w:r w:rsidR="00E562C1" w:rsidRPr="00E2269B">
        <w:rPr>
          <w:rFonts w:ascii="Times New Roman" w:hAnsi="Times New Roman" w:cs="Times New Roman"/>
        </w:rPr>
        <w:t xml:space="preserve">an </w:t>
      </w:r>
      <w:r w:rsidRPr="00E2269B">
        <w:rPr>
          <w:rFonts w:ascii="Times New Roman" w:hAnsi="Times New Roman" w:cs="Times New Roman"/>
        </w:rPr>
        <w:t>allocation based on emission per capita</w:t>
      </w:r>
      <w:r w:rsidR="00E562C1" w:rsidRPr="00E2269B">
        <w:rPr>
          <w:rFonts w:ascii="Times New Roman" w:hAnsi="Times New Roman" w:cs="Times New Roman"/>
        </w:rPr>
        <w:t xml:space="preserve"> </w:t>
      </w:r>
      <w:r w:rsidRPr="00E2269B">
        <w:rPr>
          <w:rFonts w:ascii="Times New Roman" w:hAnsi="Times New Roman" w:cs="Times New Roman"/>
        </w:rPr>
        <w:t>(Grubb</w:t>
      </w:r>
      <w:r w:rsidR="00540697" w:rsidRPr="00E2269B">
        <w:rPr>
          <w:rFonts w:ascii="Times New Roman" w:hAnsi="Times New Roman" w:cs="Times New Roman"/>
        </w:rPr>
        <w:t xml:space="preserve">, </w:t>
      </w:r>
      <w:r w:rsidRPr="00E2269B">
        <w:rPr>
          <w:rFonts w:ascii="Times New Roman" w:hAnsi="Times New Roman" w:cs="Times New Roman"/>
        </w:rPr>
        <w:t xml:space="preserve">1989), </w:t>
      </w:r>
      <w:r w:rsidR="00E562C1" w:rsidRPr="00E2269B">
        <w:rPr>
          <w:rFonts w:ascii="Times New Roman" w:hAnsi="Times New Roman" w:cs="Times New Roman"/>
        </w:rPr>
        <w:t xml:space="preserve">an </w:t>
      </w:r>
      <w:r w:rsidRPr="00E2269B">
        <w:rPr>
          <w:rFonts w:ascii="Times New Roman" w:hAnsi="Times New Roman" w:cs="Times New Roman"/>
        </w:rPr>
        <w:t>allocation based on GDP or output</w:t>
      </w:r>
      <w:r w:rsidR="00E562C1" w:rsidRPr="00E2269B">
        <w:rPr>
          <w:rFonts w:ascii="Times New Roman" w:hAnsi="Times New Roman" w:cs="Times New Roman"/>
        </w:rPr>
        <w:t xml:space="preserve"> </w:t>
      </w:r>
      <w:r w:rsidRPr="00E2269B">
        <w:rPr>
          <w:rFonts w:ascii="Times New Roman" w:hAnsi="Times New Roman" w:cs="Times New Roman"/>
        </w:rPr>
        <w:t>(</w:t>
      </w:r>
      <w:proofErr w:type="spellStart"/>
      <w:r w:rsidRPr="00E2269B">
        <w:rPr>
          <w:rFonts w:ascii="Times New Roman" w:hAnsi="Times New Roman" w:cs="Times New Roman"/>
        </w:rPr>
        <w:t>Phylipsen</w:t>
      </w:r>
      <w:proofErr w:type="spellEnd"/>
      <w:r w:rsidRPr="00E2269B">
        <w:rPr>
          <w:rFonts w:ascii="Times New Roman" w:hAnsi="Times New Roman" w:cs="Times New Roman"/>
        </w:rPr>
        <w:t xml:space="preserve"> et al., 1998), </w:t>
      </w:r>
      <w:r w:rsidR="00E562C1" w:rsidRPr="00E2269B">
        <w:rPr>
          <w:rFonts w:ascii="Times New Roman" w:hAnsi="Times New Roman" w:cs="Times New Roman"/>
        </w:rPr>
        <w:t xml:space="preserve">an </w:t>
      </w:r>
      <w:r w:rsidRPr="00E2269B">
        <w:rPr>
          <w:rFonts w:ascii="Times New Roman" w:hAnsi="Times New Roman" w:cs="Times New Roman"/>
        </w:rPr>
        <w:t>allocation based on weighted average value of multiple variables</w:t>
      </w:r>
      <w:r w:rsidR="00E562C1" w:rsidRPr="00E2269B">
        <w:rPr>
          <w:rFonts w:ascii="Times New Roman" w:hAnsi="Times New Roman" w:cs="Times New Roman"/>
        </w:rPr>
        <w:t xml:space="preserve"> </w:t>
      </w:r>
      <w:r w:rsidRPr="00E2269B">
        <w:rPr>
          <w:rFonts w:ascii="Times New Roman" w:hAnsi="Times New Roman" w:cs="Times New Roman"/>
        </w:rPr>
        <w:t>(CO</w:t>
      </w:r>
      <w:r w:rsidR="00E562C1" w:rsidRPr="00E2269B">
        <w:rPr>
          <w:rFonts w:ascii="Times New Roman" w:hAnsi="Times New Roman" w:cs="Times New Roman"/>
        </w:rPr>
        <w:t xml:space="preserve">2 </w:t>
      </w:r>
      <w:r w:rsidRPr="00E2269B">
        <w:rPr>
          <w:rFonts w:ascii="Times New Roman" w:hAnsi="Times New Roman" w:cs="Times New Roman"/>
        </w:rPr>
        <w:t xml:space="preserve">emission per capita, GDP, CO2/GDP and GDP per capita) </w:t>
      </w:r>
      <w:r w:rsidR="00E562C1" w:rsidRPr="00E2269B">
        <w:rPr>
          <w:rFonts w:ascii="Times New Roman" w:hAnsi="Times New Roman" w:cs="Times New Roman"/>
        </w:rPr>
        <w:t>(</w:t>
      </w:r>
      <w:proofErr w:type="spellStart"/>
      <w:r w:rsidR="00E562C1" w:rsidRPr="00E2269B">
        <w:rPr>
          <w:rFonts w:ascii="Times New Roman" w:hAnsi="Times New Roman" w:cs="Times New Roman"/>
        </w:rPr>
        <w:t>Phylipsen</w:t>
      </w:r>
      <w:proofErr w:type="spellEnd"/>
      <w:r w:rsidR="00E562C1" w:rsidRPr="00E2269B">
        <w:rPr>
          <w:rFonts w:ascii="Times New Roman" w:hAnsi="Times New Roman" w:cs="Times New Roman"/>
        </w:rPr>
        <w:t xml:space="preserve"> et al., 1998; Baer et al., 2008)</w:t>
      </w:r>
      <w:r w:rsidRPr="00E2269B">
        <w:rPr>
          <w:rFonts w:ascii="Times New Roman" w:hAnsi="Times New Roman" w:cs="Times New Roman"/>
        </w:rPr>
        <w:t xml:space="preserve">, </w:t>
      </w:r>
      <w:r w:rsidR="00E562C1" w:rsidRPr="00E2269B">
        <w:rPr>
          <w:rFonts w:ascii="Times New Roman" w:hAnsi="Times New Roman" w:cs="Times New Roman"/>
        </w:rPr>
        <w:t xml:space="preserve">an </w:t>
      </w:r>
      <w:r w:rsidRPr="00E2269B">
        <w:rPr>
          <w:rFonts w:ascii="Times New Roman" w:hAnsi="Times New Roman" w:cs="Times New Roman"/>
        </w:rPr>
        <w:t>allocation based on history emission trends</w:t>
      </w:r>
      <w:r w:rsidR="00E562C1" w:rsidRPr="00E2269B">
        <w:rPr>
          <w:rFonts w:ascii="Times New Roman" w:hAnsi="Times New Roman" w:cs="Times New Roman"/>
        </w:rPr>
        <w:t xml:space="preserve"> </w:t>
      </w:r>
      <w:r w:rsidRPr="00E2269B">
        <w:rPr>
          <w:rFonts w:ascii="Times New Roman" w:hAnsi="Times New Roman" w:cs="Times New Roman"/>
        </w:rPr>
        <w:t>(</w:t>
      </w:r>
      <w:proofErr w:type="spellStart"/>
      <w:r w:rsidRPr="00E2269B">
        <w:rPr>
          <w:rFonts w:ascii="Times New Roman" w:hAnsi="Times New Roman" w:cs="Times New Roman"/>
        </w:rPr>
        <w:t>Baumert</w:t>
      </w:r>
      <w:proofErr w:type="spellEnd"/>
      <w:r w:rsidRPr="00E2269B">
        <w:rPr>
          <w:rFonts w:ascii="Times New Roman" w:hAnsi="Times New Roman" w:cs="Times New Roman"/>
        </w:rPr>
        <w:t xml:space="preserve"> et al.</w:t>
      </w:r>
      <w:r w:rsidRPr="00E2269B">
        <w:rPr>
          <w:rFonts w:ascii="Times New Roman" w:hAnsi="Times New Roman" w:cs="Times New Roman"/>
        </w:rPr>
        <w:t>，</w:t>
      </w:r>
      <w:r w:rsidRPr="00E2269B">
        <w:rPr>
          <w:rFonts w:ascii="Times New Roman" w:hAnsi="Times New Roman" w:cs="Times New Roman"/>
        </w:rPr>
        <w:t xml:space="preserve">1999), </w:t>
      </w:r>
      <w:r w:rsidR="00E562C1" w:rsidRPr="00E2269B">
        <w:rPr>
          <w:rFonts w:ascii="Times New Roman" w:hAnsi="Times New Roman" w:cs="Times New Roman"/>
        </w:rPr>
        <w:t xml:space="preserve">an </w:t>
      </w:r>
      <w:r w:rsidRPr="00E2269B">
        <w:rPr>
          <w:rFonts w:ascii="Times New Roman" w:hAnsi="Times New Roman" w:cs="Times New Roman"/>
        </w:rPr>
        <w:t>allocation based on emission reduction cost</w:t>
      </w:r>
      <w:r w:rsidR="00E562C1" w:rsidRPr="00E2269B">
        <w:rPr>
          <w:rFonts w:ascii="Times New Roman" w:hAnsi="Times New Roman" w:cs="Times New Roman"/>
        </w:rPr>
        <w:t xml:space="preserve"> (</w:t>
      </w:r>
      <w:r w:rsidRPr="00E2269B">
        <w:rPr>
          <w:rFonts w:ascii="Times New Roman" w:hAnsi="Times New Roman" w:cs="Times New Roman"/>
        </w:rPr>
        <w:t xml:space="preserve">Den </w:t>
      </w:r>
      <w:proofErr w:type="spellStart"/>
      <w:r w:rsidRPr="00E2269B">
        <w:rPr>
          <w:rFonts w:ascii="Times New Roman" w:hAnsi="Times New Roman" w:cs="Times New Roman"/>
        </w:rPr>
        <w:t>Elzen</w:t>
      </w:r>
      <w:proofErr w:type="spellEnd"/>
      <w:r w:rsidRPr="00E2269B">
        <w:rPr>
          <w:rFonts w:ascii="Times New Roman" w:hAnsi="Times New Roman" w:cs="Times New Roman"/>
        </w:rPr>
        <w:t xml:space="preserve"> et al., 2005) and so on.</w:t>
      </w:r>
      <w:r w:rsidR="00E562C1" w:rsidRPr="00E2269B">
        <w:rPr>
          <w:rFonts w:ascii="Times New Roman" w:hAnsi="Times New Roman" w:cs="Times New Roman"/>
        </w:rPr>
        <w:t xml:space="preserve"> In the</w:t>
      </w:r>
      <w:r w:rsidRPr="00E2269B">
        <w:rPr>
          <w:rFonts w:ascii="Times New Roman" w:hAnsi="Times New Roman" w:cs="Times New Roman"/>
        </w:rPr>
        <w:t>se allocation proposals, industr</w:t>
      </w:r>
      <w:r w:rsidR="00E562C1" w:rsidRPr="00E2269B">
        <w:rPr>
          <w:rFonts w:ascii="Times New Roman" w:hAnsi="Times New Roman" w:cs="Times New Roman"/>
        </w:rPr>
        <w:t>ial</w:t>
      </w:r>
      <w:r w:rsidRPr="00E2269B">
        <w:rPr>
          <w:rFonts w:ascii="Times New Roman" w:hAnsi="Times New Roman" w:cs="Times New Roman"/>
        </w:rPr>
        <w:t xml:space="preserve"> energy utilizing efficiency</w:t>
      </w:r>
      <w:r w:rsidR="00E562C1" w:rsidRPr="00E2269B">
        <w:rPr>
          <w:rFonts w:ascii="Times New Roman" w:hAnsi="Times New Roman" w:cs="Times New Roman"/>
        </w:rPr>
        <w:t xml:space="preserve">, CO2 </w:t>
      </w:r>
      <w:r w:rsidRPr="00E2269B">
        <w:rPr>
          <w:rFonts w:ascii="Times New Roman" w:hAnsi="Times New Roman" w:cs="Times New Roman"/>
        </w:rPr>
        <w:t>emission per capita and GDP are several core factors</w:t>
      </w:r>
      <w:r w:rsidR="00E562C1" w:rsidRPr="00E2269B">
        <w:rPr>
          <w:rFonts w:ascii="Times New Roman" w:hAnsi="Times New Roman" w:cs="Times New Roman"/>
        </w:rPr>
        <w:t>. T</w:t>
      </w:r>
      <w:r w:rsidRPr="00E2269B">
        <w:rPr>
          <w:rFonts w:ascii="Times New Roman" w:hAnsi="Times New Roman" w:cs="Times New Roman"/>
        </w:rPr>
        <w:t xml:space="preserve">hey </w:t>
      </w:r>
      <w:r w:rsidR="00E562C1" w:rsidRPr="00E2269B">
        <w:rPr>
          <w:rFonts w:ascii="Times New Roman" w:hAnsi="Times New Roman" w:cs="Times New Roman"/>
        </w:rPr>
        <w:t>present</w:t>
      </w:r>
      <w:r w:rsidRPr="00E2269B">
        <w:rPr>
          <w:rFonts w:ascii="Times New Roman" w:hAnsi="Times New Roman" w:cs="Times New Roman"/>
        </w:rPr>
        <w:t xml:space="preserve"> basic </w:t>
      </w:r>
      <w:r w:rsidR="00A52ABD">
        <w:rPr>
          <w:rFonts w:ascii="Times New Roman" w:hAnsi="Times New Roman" w:cs="Times New Roman"/>
        </w:rPr>
        <w:t>equity</w:t>
      </w:r>
      <w:r w:rsidRPr="00E2269B">
        <w:rPr>
          <w:rFonts w:ascii="Times New Roman" w:hAnsi="Times New Roman" w:cs="Times New Roman"/>
        </w:rPr>
        <w:t xml:space="preserve"> or efficiency principle from different </w:t>
      </w:r>
      <w:r w:rsidR="00E562C1" w:rsidRPr="00E2269B">
        <w:rPr>
          <w:rFonts w:ascii="Times New Roman" w:hAnsi="Times New Roman" w:cs="Times New Roman"/>
        </w:rPr>
        <w:t>point of views</w:t>
      </w:r>
      <w:r w:rsidRPr="00E2269B">
        <w:rPr>
          <w:rFonts w:ascii="Times New Roman" w:hAnsi="Times New Roman" w:cs="Times New Roman"/>
        </w:rPr>
        <w:t xml:space="preserve">. Besides, </w:t>
      </w:r>
      <w:r w:rsidR="00092418" w:rsidRPr="00E2269B">
        <w:rPr>
          <w:rFonts w:ascii="Times New Roman" w:hAnsi="Times New Roman" w:cs="Times New Roman"/>
        </w:rPr>
        <w:t xml:space="preserve">there are </w:t>
      </w:r>
      <w:r w:rsidRPr="00E2269B">
        <w:rPr>
          <w:rFonts w:ascii="Times New Roman" w:hAnsi="Times New Roman" w:cs="Times New Roman"/>
        </w:rPr>
        <w:t xml:space="preserve">some comparative studies of different allocation proposals for carbon emission </w:t>
      </w:r>
      <w:r w:rsidR="00092418" w:rsidRPr="00E2269B">
        <w:rPr>
          <w:rFonts w:ascii="Times New Roman" w:hAnsi="Times New Roman" w:cs="Times New Roman"/>
        </w:rPr>
        <w:t>permits using quantitative methods</w:t>
      </w:r>
      <w:r w:rsidRPr="00E2269B">
        <w:rPr>
          <w:rFonts w:ascii="Times New Roman" w:hAnsi="Times New Roman" w:cs="Times New Roman"/>
        </w:rPr>
        <w:t xml:space="preserve">. Most </w:t>
      </w:r>
      <w:r w:rsidR="00092418" w:rsidRPr="00E2269B">
        <w:rPr>
          <w:rFonts w:ascii="Times New Roman" w:hAnsi="Times New Roman" w:cs="Times New Roman"/>
        </w:rPr>
        <w:t>are</w:t>
      </w:r>
      <w:r w:rsidRPr="00E2269B">
        <w:rPr>
          <w:rFonts w:ascii="Times New Roman" w:hAnsi="Times New Roman" w:cs="Times New Roman"/>
        </w:rPr>
        <w:t xml:space="preserve"> done from the </w:t>
      </w:r>
      <w:r w:rsidR="00E562C1" w:rsidRPr="00E2269B">
        <w:rPr>
          <w:rFonts w:ascii="Times New Roman" w:hAnsi="Times New Roman" w:cs="Times New Roman"/>
        </w:rPr>
        <w:t>view</w:t>
      </w:r>
      <w:r w:rsidRPr="00E2269B">
        <w:rPr>
          <w:rFonts w:ascii="Times New Roman" w:hAnsi="Times New Roman" w:cs="Times New Roman"/>
        </w:rPr>
        <w:t xml:space="preserve"> of industry, in which different standards and proposals were compared and </w:t>
      </w:r>
      <w:r w:rsidR="00DE1CAB" w:rsidRPr="00E2269B">
        <w:rPr>
          <w:rFonts w:ascii="Times New Roman" w:hAnsi="Times New Roman" w:cs="Times New Roman"/>
        </w:rPr>
        <w:t xml:space="preserve">allocation </w:t>
      </w:r>
      <w:r w:rsidRPr="00E2269B">
        <w:rPr>
          <w:rFonts w:ascii="Times New Roman" w:hAnsi="Times New Roman" w:cs="Times New Roman"/>
        </w:rPr>
        <w:t xml:space="preserve">issues </w:t>
      </w:r>
      <w:r w:rsidR="00DE1CAB" w:rsidRPr="00E2269B">
        <w:rPr>
          <w:rFonts w:ascii="Times New Roman" w:hAnsi="Times New Roman" w:cs="Times New Roman"/>
        </w:rPr>
        <w:t xml:space="preserve">about </w:t>
      </w:r>
      <w:r w:rsidR="00A52ABD">
        <w:rPr>
          <w:rFonts w:ascii="Times New Roman" w:hAnsi="Times New Roman" w:cs="Times New Roman"/>
        </w:rPr>
        <w:t>equity</w:t>
      </w:r>
      <w:r w:rsidRPr="00E2269B">
        <w:rPr>
          <w:rFonts w:ascii="Times New Roman" w:hAnsi="Times New Roman" w:cs="Times New Roman"/>
        </w:rPr>
        <w:t xml:space="preserve"> and efficiency among or within industries were addressed (</w:t>
      </w:r>
      <w:proofErr w:type="spellStart"/>
      <w:r w:rsidRPr="00E2269B">
        <w:rPr>
          <w:rFonts w:ascii="Times New Roman" w:eastAsia="宋体" w:hAnsi="Times New Roman" w:cs="Times New Roman"/>
          <w:bCs/>
          <w:szCs w:val="21"/>
        </w:rPr>
        <w:t>Demailly</w:t>
      </w:r>
      <w:proofErr w:type="spellEnd"/>
      <w:r w:rsidRPr="00E2269B">
        <w:rPr>
          <w:rFonts w:ascii="Times New Roman" w:hAnsi="Times New Roman" w:cs="Times New Roman"/>
        </w:rPr>
        <w:t xml:space="preserve"> et al., </w:t>
      </w:r>
      <w:r w:rsidRPr="00E2269B">
        <w:rPr>
          <w:rFonts w:ascii="Times New Roman" w:hAnsi="Times New Roman" w:cs="Times New Roman"/>
          <w:szCs w:val="21"/>
        </w:rPr>
        <w:t>2006;</w:t>
      </w:r>
      <w:r w:rsidRPr="00E2269B">
        <w:rPr>
          <w:rFonts w:ascii="Times New Roman" w:hAnsi="Times New Roman" w:cs="Times New Roman"/>
        </w:rPr>
        <w:t xml:space="preserve"> </w:t>
      </w:r>
      <w:r w:rsidRPr="00E2269B">
        <w:rPr>
          <w:rFonts w:ascii="Times New Roman" w:eastAsia="宋体" w:hAnsi="Times New Roman" w:cs="Times New Roman"/>
          <w:bCs/>
          <w:szCs w:val="21"/>
        </w:rPr>
        <w:t>Fischer</w:t>
      </w:r>
      <w:r w:rsidRPr="00E2269B">
        <w:rPr>
          <w:rFonts w:ascii="Times New Roman" w:hAnsi="Times New Roman" w:cs="Times New Roman"/>
        </w:rPr>
        <w:t xml:space="preserve"> et al., </w:t>
      </w:r>
      <w:r w:rsidRPr="00E2269B">
        <w:rPr>
          <w:rFonts w:ascii="Times New Roman" w:hAnsi="Times New Roman" w:cs="Times New Roman"/>
          <w:szCs w:val="21"/>
        </w:rPr>
        <w:t>2007</w:t>
      </w:r>
      <w:r w:rsidR="00DE1CAB" w:rsidRPr="00E2269B">
        <w:rPr>
          <w:rFonts w:ascii="Times New Roman" w:hAnsi="Times New Roman" w:cs="Times New Roman"/>
          <w:szCs w:val="21"/>
        </w:rPr>
        <w:t xml:space="preserve">; </w:t>
      </w:r>
      <w:r w:rsidRPr="00E2269B">
        <w:rPr>
          <w:rFonts w:ascii="Times New Roman" w:hAnsi="Times New Roman" w:cs="Times New Roman"/>
        </w:rPr>
        <w:t xml:space="preserve">Sue Wing and </w:t>
      </w:r>
      <w:proofErr w:type="spellStart"/>
      <w:r w:rsidRPr="00E2269B">
        <w:rPr>
          <w:rFonts w:ascii="Times New Roman" w:hAnsi="Times New Roman" w:cs="Times New Roman"/>
        </w:rPr>
        <w:t>Kolodziej</w:t>
      </w:r>
      <w:proofErr w:type="spellEnd"/>
      <w:r w:rsidRPr="00E2269B">
        <w:rPr>
          <w:rFonts w:ascii="Times New Roman" w:hAnsi="Times New Roman" w:cs="Times New Roman"/>
        </w:rPr>
        <w:t xml:space="preserve">, 2008; </w:t>
      </w:r>
      <w:proofErr w:type="spellStart"/>
      <w:r w:rsidRPr="00E2269B">
        <w:rPr>
          <w:rFonts w:ascii="Times New Roman" w:hAnsi="Times New Roman" w:cs="Times New Roman"/>
          <w:szCs w:val="21"/>
        </w:rPr>
        <w:t>Quirion</w:t>
      </w:r>
      <w:proofErr w:type="spellEnd"/>
      <w:r w:rsidRPr="00E2269B">
        <w:rPr>
          <w:rFonts w:ascii="Times New Roman" w:hAnsi="Times New Roman" w:cs="Times New Roman"/>
          <w:szCs w:val="21"/>
        </w:rPr>
        <w:t>, 2009</w:t>
      </w:r>
      <w:r w:rsidRPr="00E2269B">
        <w:rPr>
          <w:rFonts w:ascii="Times New Roman" w:hAnsi="Times New Roman" w:cs="Times New Roman"/>
        </w:rPr>
        <w:t>). However, rare research</w:t>
      </w:r>
      <w:r w:rsidR="00DE1CAB" w:rsidRPr="00E2269B">
        <w:rPr>
          <w:rFonts w:ascii="Times New Roman" w:hAnsi="Times New Roman" w:cs="Times New Roman"/>
        </w:rPr>
        <w:t>es</w:t>
      </w:r>
      <w:r w:rsidRPr="00E2269B">
        <w:rPr>
          <w:rFonts w:ascii="Times New Roman" w:hAnsi="Times New Roman" w:cs="Times New Roman"/>
        </w:rPr>
        <w:t xml:space="preserve"> </w:t>
      </w:r>
      <w:r w:rsidR="00DE1CAB" w:rsidRPr="00E2269B">
        <w:rPr>
          <w:rFonts w:ascii="Times New Roman" w:hAnsi="Times New Roman" w:cs="Times New Roman"/>
        </w:rPr>
        <w:t>are</w:t>
      </w:r>
      <w:r w:rsidRPr="00E2269B">
        <w:rPr>
          <w:rFonts w:ascii="Times New Roman" w:hAnsi="Times New Roman" w:cs="Times New Roman"/>
        </w:rPr>
        <w:t xml:space="preserve"> dedicated to the </w:t>
      </w:r>
      <w:r w:rsidR="00DE1CAB" w:rsidRPr="00E2269B">
        <w:rPr>
          <w:rFonts w:ascii="Times New Roman" w:hAnsi="Times New Roman" w:cs="Times New Roman"/>
        </w:rPr>
        <w:t>impac</w:t>
      </w:r>
      <w:r w:rsidRPr="00E2269B">
        <w:rPr>
          <w:rFonts w:ascii="Times New Roman" w:hAnsi="Times New Roman" w:cs="Times New Roman"/>
        </w:rPr>
        <w:t xml:space="preserve">ts of different allocation proposals </w:t>
      </w:r>
      <w:r w:rsidR="00DE1CAB" w:rsidRPr="00E2269B">
        <w:rPr>
          <w:rFonts w:ascii="Times New Roman" w:hAnsi="Times New Roman" w:cs="Times New Roman"/>
        </w:rPr>
        <w:t>on regional economy and regional coordinated development</w:t>
      </w:r>
      <w:r w:rsidRPr="00E2269B">
        <w:rPr>
          <w:rFonts w:ascii="Times New Roman" w:hAnsi="Times New Roman" w:cs="Times New Roman"/>
        </w:rPr>
        <w:t>.</w:t>
      </w:r>
      <w:r w:rsidR="005D03CB" w:rsidRPr="00E2269B">
        <w:rPr>
          <w:rFonts w:ascii="Times New Roman" w:hAnsi="Times New Roman" w:cs="Times New Roman"/>
        </w:rPr>
        <w:t xml:space="preserve"> </w:t>
      </w:r>
    </w:p>
    <w:p w:rsidR="00D9195E" w:rsidRDefault="00D9195E" w:rsidP="005D03CB">
      <w:pPr>
        <w:rPr>
          <w:rFonts w:ascii="Times New Roman" w:hAnsi="Times New Roman" w:cs="Times New Roman"/>
        </w:rPr>
      </w:pPr>
    </w:p>
    <w:p w:rsidR="009905A2" w:rsidRPr="00E2269B" w:rsidRDefault="009905A2" w:rsidP="005D03CB">
      <w:pPr>
        <w:rPr>
          <w:rFonts w:ascii="Times New Roman" w:hAnsi="Times New Roman" w:cs="Times New Roman"/>
        </w:rPr>
      </w:pPr>
      <w:r w:rsidRPr="00E2269B">
        <w:rPr>
          <w:rFonts w:ascii="Times New Roman" w:hAnsi="Times New Roman" w:cs="Times New Roman"/>
        </w:rPr>
        <w:t xml:space="preserve">This paper use scenario analysis method and multi-regional dynamic CGE model to study the </w:t>
      </w:r>
      <w:r w:rsidR="00415C94" w:rsidRPr="00E2269B">
        <w:rPr>
          <w:rFonts w:ascii="Times New Roman" w:hAnsi="Times New Roman" w:cs="Times New Roman"/>
        </w:rPr>
        <w:t xml:space="preserve">policy </w:t>
      </w:r>
      <w:r w:rsidR="001D31CA">
        <w:rPr>
          <w:rFonts w:ascii="Times New Roman" w:hAnsi="Times New Roman" w:cs="Times New Roman" w:hint="eastAsia"/>
        </w:rPr>
        <w:t xml:space="preserve">to </w:t>
      </w:r>
      <w:r w:rsidR="001D31CA" w:rsidRPr="00E2269B">
        <w:rPr>
          <w:rFonts w:ascii="Times New Roman" w:hAnsi="Times New Roman" w:cs="Times New Roman"/>
        </w:rPr>
        <w:t xml:space="preserve">control </w:t>
      </w:r>
      <w:r w:rsidRPr="00E2269B">
        <w:rPr>
          <w:rFonts w:ascii="Times New Roman" w:hAnsi="Times New Roman" w:cs="Times New Roman"/>
        </w:rPr>
        <w:t xml:space="preserve">energy consumption quotas. First, a base scenario is simulated to analyze energy consumption demands in separate regions of China and the necessity of implementation of the </w:t>
      </w:r>
      <w:r w:rsidR="001D31CA">
        <w:rPr>
          <w:rFonts w:ascii="Times New Roman" w:hAnsi="Times New Roman" w:cs="Times New Roman" w:hint="eastAsia"/>
        </w:rPr>
        <w:t xml:space="preserve">policy to </w:t>
      </w:r>
      <w:r w:rsidRPr="00E2269B">
        <w:rPr>
          <w:rFonts w:ascii="Times New Roman" w:hAnsi="Times New Roman" w:cs="Times New Roman"/>
        </w:rPr>
        <w:t>control energy consumption</w:t>
      </w:r>
      <w:r w:rsidR="00974CF4" w:rsidRPr="00E2269B">
        <w:rPr>
          <w:rFonts w:ascii="Times New Roman" w:hAnsi="Times New Roman" w:cs="Times New Roman"/>
        </w:rPr>
        <w:t xml:space="preserve"> quotas</w:t>
      </w:r>
      <w:r w:rsidRPr="00E2269B">
        <w:rPr>
          <w:rFonts w:ascii="Times New Roman" w:hAnsi="Times New Roman" w:cs="Times New Roman"/>
        </w:rPr>
        <w:t xml:space="preserve">. </w:t>
      </w:r>
      <w:r w:rsidR="00415C94" w:rsidRPr="00E2269B">
        <w:rPr>
          <w:rFonts w:ascii="Times New Roman" w:hAnsi="Times New Roman" w:cs="Times New Roman"/>
        </w:rPr>
        <w:t>Second, total energy consumption quotas</w:t>
      </w:r>
      <w:r w:rsidRPr="00E2269B">
        <w:rPr>
          <w:rFonts w:ascii="Times New Roman" w:hAnsi="Times New Roman" w:cs="Times New Roman"/>
        </w:rPr>
        <w:t xml:space="preserve"> </w:t>
      </w:r>
      <w:r w:rsidR="00415C94" w:rsidRPr="00E2269B">
        <w:rPr>
          <w:rFonts w:ascii="Times New Roman" w:hAnsi="Times New Roman" w:cs="Times New Roman"/>
        </w:rPr>
        <w:t>are</w:t>
      </w:r>
      <w:r w:rsidRPr="00E2269B">
        <w:rPr>
          <w:rFonts w:ascii="Times New Roman" w:hAnsi="Times New Roman" w:cs="Times New Roman"/>
        </w:rPr>
        <w:t xml:space="preserve"> allocated among regions applying different priority principle between efficiency and </w:t>
      </w:r>
      <w:r w:rsidR="00A52ABD">
        <w:rPr>
          <w:rFonts w:ascii="Times New Roman" w:hAnsi="Times New Roman" w:cs="Times New Roman"/>
        </w:rPr>
        <w:t>equity</w:t>
      </w:r>
      <w:r w:rsidR="00415C94" w:rsidRPr="00E2269B">
        <w:rPr>
          <w:rFonts w:ascii="Times New Roman" w:hAnsi="Times New Roman" w:cs="Times New Roman"/>
        </w:rPr>
        <w:t xml:space="preserve"> and these allocation proposals are simulated to analyze their impacts on regional development.</w:t>
      </w:r>
      <w:r w:rsidRPr="00E2269B">
        <w:rPr>
          <w:rFonts w:ascii="Times New Roman" w:hAnsi="Times New Roman" w:cs="Times New Roman"/>
        </w:rPr>
        <w:t xml:space="preserve"> </w:t>
      </w:r>
      <w:r w:rsidR="00415C94" w:rsidRPr="00E2269B">
        <w:rPr>
          <w:rFonts w:ascii="Times New Roman" w:hAnsi="Times New Roman" w:cs="Times New Roman"/>
        </w:rPr>
        <w:t>Last,</w:t>
      </w:r>
      <w:r w:rsidRPr="00E2269B">
        <w:rPr>
          <w:rFonts w:ascii="Times New Roman" w:hAnsi="Times New Roman" w:cs="Times New Roman"/>
        </w:rPr>
        <w:t xml:space="preserve"> a further discussion is done trying to find a feasible plan for easing negative effect caused by </w:t>
      </w:r>
      <w:r w:rsidR="00974CF4" w:rsidRPr="00E2269B">
        <w:rPr>
          <w:rFonts w:ascii="Times New Roman" w:hAnsi="Times New Roman" w:cs="Times New Roman"/>
        </w:rPr>
        <w:t xml:space="preserve">the </w:t>
      </w:r>
      <w:r w:rsidRPr="00E2269B">
        <w:rPr>
          <w:rFonts w:ascii="Times New Roman" w:hAnsi="Times New Roman" w:cs="Times New Roman"/>
        </w:rPr>
        <w:t>control policy in the hope of providing reference for policy makers.</w:t>
      </w:r>
    </w:p>
    <w:p w:rsidR="00974CF4" w:rsidRPr="00E2269B" w:rsidRDefault="00974CF4" w:rsidP="009905A2">
      <w:pPr>
        <w:ind w:firstLine="420"/>
        <w:rPr>
          <w:rFonts w:ascii="Times New Roman" w:hAnsi="Times New Roman" w:cs="Times New Roman"/>
        </w:rPr>
      </w:pPr>
    </w:p>
    <w:p w:rsidR="00256168" w:rsidRPr="00E2269B" w:rsidRDefault="00911B9C">
      <w:pPr>
        <w:rPr>
          <w:rFonts w:ascii="Times New Roman" w:hAnsi="Times New Roman" w:cs="Times New Roman"/>
          <w:b/>
        </w:rPr>
      </w:pPr>
      <w:r w:rsidRPr="00E2269B">
        <w:rPr>
          <w:rFonts w:ascii="Times New Roman" w:hAnsi="Times New Roman" w:cs="Times New Roman"/>
          <w:b/>
        </w:rPr>
        <w:t>2.</w:t>
      </w:r>
      <w:r w:rsidR="00E44DA2" w:rsidRPr="00E2269B">
        <w:rPr>
          <w:rFonts w:ascii="Times New Roman" w:hAnsi="Times New Roman" w:cs="Times New Roman"/>
          <w:b/>
        </w:rPr>
        <w:t xml:space="preserve"> </w:t>
      </w:r>
      <w:r w:rsidR="00BD1990" w:rsidRPr="00E2269B">
        <w:rPr>
          <w:rFonts w:ascii="Times New Roman" w:hAnsi="Times New Roman" w:cs="Times New Roman"/>
          <w:b/>
        </w:rPr>
        <w:t>Model and</w:t>
      </w:r>
      <w:r w:rsidR="00E44DA2" w:rsidRPr="00E2269B">
        <w:rPr>
          <w:rFonts w:ascii="Times New Roman" w:hAnsi="Times New Roman" w:cs="Times New Roman"/>
          <w:b/>
        </w:rPr>
        <w:t xml:space="preserve"> Data</w:t>
      </w:r>
    </w:p>
    <w:p w:rsidR="00D9195E" w:rsidRDefault="00D9195E" w:rsidP="00BD1990">
      <w:pPr>
        <w:tabs>
          <w:tab w:val="left" w:pos="2191"/>
        </w:tabs>
        <w:rPr>
          <w:rFonts w:ascii="Times New Roman" w:hAnsi="Times New Roman" w:cs="Times New Roman"/>
          <w:color w:val="000000"/>
          <w:szCs w:val="21"/>
        </w:rPr>
      </w:pPr>
    </w:p>
    <w:p w:rsidR="00BD1990" w:rsidRPr="00E2269B" w:rsidRDefault="00BD1990" w:rsidP="00BD1990">
      <w:pPr>
        <w:tabs>
          <w:tab w:val="left" w:pos="2191"/>
        </w:tabs>
        <w:rPr>
          <w:rFonts w:ascii="Times New Roman" w:hAnsi="Times New Roman" w:cs="Times New Roman"/>
          <w:color w:val="000000"/>
          <w:szCs w:val="21"/>
        </w:rPr>
      </w:pPr>
      <w:r w:rsidRPr="00E2269B">
        <w:rPr>
          <w:rFonts w:ascii="Times New Roman" w:hAnsi="Times New Roman" w:cs="Times New Roman"/>
          <w:color w:val="000000"/>
          <w:szCs w:val="21"/>
        </w:rPr>
        <w:t>2.1 Basic structure of dynamic multi-regional CGE model in China</w:t>
      </w:r>
    </w:p>
    <w:p w:rsidR="00BD1990" w:rsidRPr="00E2269B" w:rsidRDefault="00BD1990" w:rsidP="00361726">
      <w:pPr>
        <w:tabs>
          <w:tab w:val="left" w:pos="2191"/>
        </w:tabs>
        <w:rPr>
          <w:rFonts w:ascii="Times New Roman" w:hAnsi="Times New Roman" w:cs="Times New Roman"/>
          <w:color w:val="000000"/>
          <w:szCs w:val="21"/>
        </w:rPr>
      </w:pPr>
      <w:r w:rsidRPr="00E2269B">
        <w:rPr>
          <w:rFonts w:ascii="Times New Roman" w:hAnsi="Times New Roman" w:cs="Times New Roman"/>
          <w:color w:val="000000"/>
          <w:szCs w:val="21"/>
        </w:rPr>
        <w:t xml:space="preserve">The multi-regional CGE model for China in this paper is developed based on single region CGE model. </w:t>
      </w:r>
      <w:r w:rsidR="001F553A" w:rsidRPr="00E2269B">
        <w:rPr>
          <w:rFonts w:ascii="Times New Roman" w:hAnsi="Times New Roman" w:cs="Times New Roman"/>
          <w:color w:val="000000"/>
          <w:szCs w:val="21"/>
        </w:rPr>
        <w:t>Structures of production sectors</w:t>
      </w:r>
      <w:r w:rsidR="00361726" w:rsidRPr="00E2269B">
        <w:rPr>
          <w:rFonts w:ascii="Times New Roman" w:hAnsi="Times New Roman" w:cs="Times New Roman"/>
          <w:color w:val="000000"/>
          <w:szCs w:val="21"/>
        </w:rPr>
        <w:t xml:space="preserve"> </w:t>
      </w:r>
      <w:r w:rsidR="001F553A" w:rsidRPr="00E2269B">
        <w:rPr>
          <w:rFonts w:ascii="Times New Roman" w:hAnsi="Times New Roman" w:cs="Times New Roman"/>
          <w:color w:val="000000"/>
          <w:szCs w:val="21"/>
        </w:rPr>
        <w:t xml:space="preserve">are </w:t>
      </w:r>
      <w:r w:rsidR="00361726" w:rsidRPr="00E2269B">
        <w:rPr>
          <w:rFonts w:ascii="Times New Roman" w:hAnsi="Times New Roman" w:cs="Times New Roman"/>
          <w:color w:val="000000"/>
          <w:szCs w:val="21"/>
        </w:rPr>
        <w:t>displayed in figure 1</w:t>
      </w:r>
      <w:r w:rsidR="001F553A" w:rsidRPr="00E2269B">
        <w:rPr>
          <w:rFonts w:ascii="Times New Roman" w:hAnsi="Times New Roman" w:cs="Times New Roman"/>
          <w:color w:val="000000"/>
          <w:szCs w:val="21"/>
        </w:rPr>
        <w:t xml:space="preserve"> and</w:t>
      </w:r>
      <w:r w:rsidR="00C04115" w:rsidRPr="00E2269B">
        <w:rPr>
          <w:rFonts w:ascii="Times New Roman" w:hAnsi="Times New Roman" w:cs="Times New Roman"/>
          <w:color w:val="000000"/>
          <w:szCs w:val="21"/>
        </w:rPr>
        <w:t xml:space="preserve"> figure 2</w:t>
      </w:r>
      <w:r w:rsidR="00361726" w:rsidRPr="00E2269B">
        <w:rPr>
          <w:rFonts w:ascii="Times New Roman" w:hAnsi="Times New Roman" w:cs="Times New Roman"/>
          <w:color w:val="000000"/>
          <w:szCs w:val="21"/>
        </w:rPr>
        <w:t>.</w:t>
      </w:r>
      <w:r w:rsidR="00C04115" w:rsidRPr="00E2269B">
        <w:rPr>
          <w:rFonts w:ascii="Times New Roman" w:hAnsi="Times New Roman" w:cs="Times New Roman"/>
          <w:color w:val="000000"/>
          <w:szCs w:val="21"/>
        </w:rPr>
        <w:t xml:space="preserve"> </w:t>
      </w:r>
      <w:r w:rsidRPr="00E2269B">
        <w:rPr>
          <w:rFonts w:ascii="Times New Roman" w:hAnsi="Times New Roman" w:cs="Times New Roman"/>
          <w:color w:val="000000"/>
          <w:szCs w:val="21"/>
        </w:rPr>
        <w:t xml:space="preserve">Economic interactions among regions are added, including commodity transactions, investment flows and labor flows among regions. It is assumed in describing commodity transactions that goods from different regions are not fully replaceable, using CES (Constant Elasticity of Substitution) function to specify their relations. When describing investment flows, investment in different regions is decided by logistic function of return on capital and price of capital. Numbers of labor force in different regions, if total labor force of whole country is constant, are decided by average </w:t>
      </w:r>
      <w:r w:rsidRPr="00E2269B">
        <w:rPr>
          <w:rFonts w:ascii="Times New Roman" w:hAnsi="Times New Roman" w:cs="Times New Roman"/>
          <w:color w:val="000000"/>
          <w:szCs w:val="21"/>
        </w:rPr>
        <w:lastRenderedPageBreak/>
        <w:t>salary of entire country and regional salary distortion factor.</w:t>
      </w:r>
    </w:p>
    <w:p w:rsidR="00D9195E" w:rsidRDefault="00D9195E" w:rsidP="00C04115">
      <w:pPr>
        <w:tabs>
          <w:tab w:val="left" w:pos="2191"/>
        </w:tabs>
        <w:rPr>
          <w:rFonts w:ascii="Times New Roman" w:hAnsi="Times New Roman" w:cs="Times New Roman"/>
        </w:rPr>
      </w:pPr>
    </w:p>
    <w:p w:rsidR="00C04115" w:rsidRPr="00E2269B" w:rsidRDefault="00C04115" w:rsidP="00C04115">
      <w:pPr>
        <w:tabs>
          <w:tab w:val="left" w:pos="2191"/>
        </w:tabs>
        <w:rPr>
          <w:rFonts w:ascii="Times New Roman" w:hAnsi="Times New Roman" w:cs="Times New Roman"/>
          <w:szCs w:val="21"/>
        </w:rPr>
      </w:pPr>
      <w:r w:rsidRPr="00E2269B">
        <w:rPr>
          <w:rFonts w:ascii="Times New Roman" w:hAnsi="Times New Roman" w:cs="Times New Roman"/>
        </w:rPr>
        <w:t xml:space="preserve">In this multi-regional dynamic CGE model for China, economic growth is driven by endogenous consumption, investment and net export. Residents are categorized into urban and rural ones. Their purchase amounts of different goods are decided by </w:t>
      </w:r>
      <w:r w:rsidRPr="00E2269B">
        <w:rPr>
          <w:rFonts w:ascii="Times New Roman" w:hAnsi="Times New Roman" w:cs="Times New Roman"/>
          <w:szCs w:val="21"/>
        </w:rPr>
        <w:t xml:space="preserve">ELES (Extend Linear Expenditure System) consumption function. Tax rates of different regions are exogenous while government consumptions are </w:t>
      </w:r>
      <w:r w:rsidRPr="00E2269B">
        <w:rPr>
          <w:rFonts w:ascii="Times New Roman" w:hAnsi="Times New Roman" w:cs="Times New Roman"/>
        </w:rPr>
        <w:t xml:space="preserve">endogenous and their purchase amounts of different goods are described by </w:t>
      </w:r>
      <w:r w:rsidRPr="00E2269B">
        <w:rPr>
          <w:rFonts w:ascii="Times New Roman" w:hAnsi="Times New Roman" w:cs="Times New Roman"/>
          <w:szCs w:val="21"/>
        </w:rPr>
        <w:t xml:space="preserve">C-D (Cobb- Douglas) function. The demands for different investment goods of every industry are described by Leontief function. Inventory investments are set to be constant in the model. Both import and export are </w:t>
      </w:r>
      <w:r w:rsidRPr="00E2269B">
        <w:rPr>
          <w:rFonts w:ascii="Times New Roman" w:hAnsi="Times New Roman" w:cs="Times New Roman"/>
        </w:rPr>
        <w:t xml:space="preserve">endogenous. Exchange rates are </w:t>
      </w:r>
      <w:r w:rsidRPr="00E2269B">
        <w:rPr>
          <w:rFonts w:ascii="Times New Roman" w:hAnsi="Times New Roman" w:cs="Times New Roman"/>
          <w:szCs w:val="21"/>
        </w:rPr>
        <w:t xml:space="preserve">exogenous. The ratio of foreign savings in domestic GDP is </w:t>
      </w:r>
      <w:r w:rsidRPr="00E2269B">
        <w:rPr>
          <w:rFonts w:ascii="Times New Roman" w:hAnsi="Times New Roman" w:cs="Times New Roman"/>
        </w:rPr>
        <w:t xml:space="preserve">endogenous. This model is recursive dynamic model. The dynamic process is realized by capital accumulation, labor </w:t>
      </w:r>
      <w:r w:rsidR="008B4B8E" w:rsidRPr="00E2269B">
        <w:rPr>
          <w:rFonts w:ascii="Times New Roman" w:hAnsi="Times New Roman" w:cs="Times New Roman"/>
        </w:rPr>
        <w:t>force</w:t>
      </w:r>
      <w:r w:rsidRPr="00E2269B">
        <w:rPr>
          <w:rFonts w:ascii="Times New Roman" w:hAnsi="Times New Roman" w:cs="Times New Roman"/>
        </w:rPr>
        <w:t xml:space="preserve"> increase and technology </w:t>
      </w:r>
      <w:r w:rsidR="008B4B8E" w:rsidRPr="00E2269B">
        <w:rPr>
          <w:rFonts w:ascii="Times New Roman" w:hAnsi="Times New Roman" w:cs="Times New Roman"/>
        </w:rPr>
        <w:t>improve</w:t>
      </w:r>
      <w:r w:rsidRPr="00E2269B">
        <w:rPr>
          <w:rFonts w:ascii="Times New Roman" w:hAnsi="Times New Roman" w:cs="Times New Roman"/>
        </w:rPr>
        <w:t>ment.</w:t>
      </w:r>
    </w:p>
    <w:p w:rsidR="00D9195E" w:rsidRDefault="00D9195E" w:rsidP="005D03CB">
      <w:pPr>
        <w:spacing w:line="360" w:lineRule="exact"/>
        <w:jc w:val="left"/>
        <w:rPr>
          <w:rFonts w:ascii="Times New Roman" w:hAnsi="Times New Roman" w:cs="Times New Roman"/>
          <w:szCs w:val="21"/>
        </w:rPr>
      </w:pPr>
    </w:p>
    <w:p w:rsidR="00235CD8" w:rsidRPr="00E2269B" w:rsidRDefault="00235CD8" w:rsidP="005D03CB">
      <w:pPr>
        <w:spacing w:line="360" w:lineRule="exact"/>
        <w:jc w:val="left"/>
        <w:rPr>
          <w:rFonts w:ascii="Times New Roman" w:hAnsi="Times New Roman" w:cs="Times New Roman"/>
          <w:szCs w:val="21"/>
        </w:rPr>
      </w:pPr>
      <w:r w:rsidRPr="00E2269B">
        <w:rPr>
          <w:rFonts w:ascii="Times New Roman" w:hAnsi="Times New Roman" w:cs="Times New Roman"/>
          <w:szCs w:val="21"/>
        </w:rPr>
        <w:t>Energy consumption quotas are allocated among regions according to different scenarios. Similar to the treatment of carbon permit (</w:t>
      </w:r>
      <w:r w:rsidRPr="00E2269B">
        <w:rPr>
          <w:rFonts w:ascii="Times New Roman" w:hAnsi="Times New Roman" w:cs="Times New Roman"/>
        </w:rPr>
        <w:t xml:space="preserve">SEO, 1998; </w:t>
      </w:r>
      <w:proofErr w:type="spellStart"/>
      <w:r w:rsidRPr="00E2269B">
        <w:rPr>
          <w:rFonts w:ascii="Times New Roman" w:hAnsi="Times New Roman" w:cs="Times New Roman"/>
        </w:rPr>
        <w:t>Boehringer</w:t>
      </w:r>
      <w:proofErr w:type="spellEnd"/>
      <w:r w:rsidRPr="00E2269B">
        <w:rPr>
          <w:rFonts w:ascii="Times New Roman" w:hAnsi="Times New Roman" w:cs="Times New Roman"/>
        </w:rPr>
        <w:t xml:space="preserve"> et al., 1998</w:t>
      </w:r>
      <w:r w:rsidRPr="00E2269B">
        <w:rPr>
          <w:rFonts w:ascii="Times New Roman" w:hAnsi="Times New Roman" w:cs="Times New Roman"/>
          <w:szCs w:val="21"/>
        </w:rPr>
        <w:t>), unit energy consumption quota is taken as a kind of implicit energy tax and is then added to the price of product of every industrial sector.</w:t>
      </w:r>
    </w:p>
    <w:p w:rsidR="00924E0C" w:rsidRPr="00E2269B" w:rsidRDefault="00924E0C" w:rsidP="000876CC">
      <w:pPr>
        <w:tabs>
          <w:tab w:val="left" w:pos="2191"/>
        </w:tabs>
        <w:ind w:firstLineChars="196" w:firstLine="412"/>
        <w:rPr>
          <w:rFonts w:ascii="Times New Roman" w:hAnsi="Times New Roman" w:cs="Times New Roman"/>
          <w:color w:val="000000"/>
          <w:szCs w:val="21"/>
        </w:rPr>
      </w:pPr>
    </w:p>
    <w:p w:rsidR="00301237" w:rsidRPr="00E2269B" w:rsidRDefault="007A5055" w:rsidP="000876CC">
      <w:pPr>
        <w:tabs>
          <w:tab w:val="left" w:pos="2191"/>
        </w:tabs>
        <w:ind w:firstLineChars="196" w:firstLine="412"/>
        <w:rPr>
          <w:rFonts w:ascii="Times New Roman" w:hAnsi="Times New Roman" w:cs="Times New Roman"/>
        </w:rPr>
      </w:pPr>
      <w:r>
        <w:rPr>
          <w:rFonts w:ascii="Times New Roman" w:hAnsi="Times New Roman" w:cs="Times New Roman"/>
          <w:noProof/>
        </w:rPr>
        <w:pict>
          <v:group id="_x0000_s1203" style="position:absolute;left:0;text-align:left;margin-left:37.55pt;margin-top:2.6pt;width:344.15pt;height:327.55pt;z-index:251658240" coordorigin="1866,1194" coordsize="6883,7005">
            <v:shapetype id="_x0000_t202" coordsize="21600,21600" o:spt="202" path="m,l,21600r21600,l21600,xe">
              <v:stroke joinstyle="miter"/>
              <v:path gradientshapeok="t" o:connecttype="rect"/>
            </v:shapetype>
            <v:shape id="_x0000_s1204" type="#_x0000_t202" style="position:absolute;left:7054;top:3813;width:249;height:370;mso-height-percent:200;mso-height-percent:200;mso-width-relative:margin;mso-height-relative:margin" stroked="f">
              <v:textbox style="mso-next-textbox:#_x0000_s1204;mso-fit-shape-to-text:t" inset=".5mm,.3mm,.5mm,.3mm">
                <w:txbxContent>
                  <w:p w:rsidR="00A52ABD" w:rsidRDefault="00A52ABD" w:rsidP="00541A58">
                    <w:r>
                      <w:t>…</w:t>
                    </w:r>
                  </w:p>
                </w:txbxContent>
              </v:textbox>
            </v:shape>
            <v:group id="_x0000_s1205" style="position:absolute;left:1866;top:1194;width:6883;height:7005" coordorigin="1866,1194" coordsize="6883,7005">
              <v:shape id="_x0000_s1206" type="#_x0000_t202" style="position:absolute;left:5577;top:3814;width:1477;height:519">
                <v:textbox style="mso-next-textbox:#_x0000_s1206">
                  <w:txbxContent>
                    <w:p w:rsidR="00A52ABD" w:rsidRPr="005D4729" w:rsidRDefault="00A52ABD" w:rsidP="00541A58">
                      <w:pPr>
                        <w:spacing w:line="240" w:lineRule="exact"/>
                        <w:jc w:val="center"/>
                        <w:rPr>
                          <w:rFonts w:ascii="Times New Roman" w:hAnsi="Times New Roman"/>
                        </w:rPr>
                      </w:pPr>
                      <w:r>
                        <w:rPr>
                          <w:rFonts w:ascii="Times New Roman" w:hAnsi="Times New Roman"/>
                        </w:rPr>
                        <w:t>N</w:t>
                      </w:r>
                      <w:r>
                        <w:rPr>
                          <w:rFonts w:ascii="Times New Roman" w:hAnsi="Times New Roman" w:hint="eastAsia"/>
                        </w:rPr>
                        <w:t>on-energy 1</w:t>
                      </w:r>
                    </w:p>
                    <w:p w:rsidR="00A52ABD" w:rsidRPr="006B7719" w:rsidRDefault="00A52ABD" w:rsidP="00541A58">
                      <w:pPr>
                        <w:rPr>
                          <w:szCs w:val="21"/>
                        </w:rPr>
                      </w:pPr>
                    </w:p>
                  </w:txbxContent>
                </v:textbox>
              </v:shape>
              <v:shape id="_x0000_s1207" type="#_x0000_t202" style="position:absolute;left:7272;top:3814;width:1477;height:519">
                <v:textbox style="mso-next-textbox:#_x0000_s1207">
                  <w:txbxContent>
                    <w:p w:rsidR="00A52ABD" w:rsidRPr="005D4729" w:rsidRDefault="00A52ABD" w:rsidP="00541A58">
                      <w:pPr>
                        <w:spacing w:line="240" w:lineRule="exact"/>
                        <w:jc w:val="center"/>
                        <w:rPr>
                          <w:rFonts w:ascii="Times New Roman" w:hAnsi="Times New Roman"/>
                        </w:rPr>
                      </w:pPr>
                      <w:r>
                        <w:rPr>
                          <w:rFonts w:ascii="Times New Roman" w:hAnsi="Times New Roman"/>
                        </w:rPr>
                        <w:t>N</w:t>
                      </w:r>
                      <w:r>
                        <w:rPr>
                          <w:rFonts w:ascii="Times New Roman" w:hAnsi="Times New Roman" w:hint="eastAsia"/>
                        </w:rPr>
                        <w:t>on-energy n</w:t>
                      </w:r>
                    </w:p>
                    <w:p w:rsidR="00A52ABD" w:rsidRPr="006B7719" w:rsidRDefault="00A52ABD" w:rsidP="00541A58">
                      <w:pPr>
                        <w:rPr>
                          <w:szCs w:val="21"/>
                        </w:rPr>
                      </w:pPr>
                    </w:p>
                  </w:txbxContent>
                </v:textbox>
              </v:shape>
              <v:group id="_x0000_s1208" style="position:absolute;left:1866;top:1194;width:6372;height:7005" coordorigin="1866,1194" coordsize="6372,7005">
                <v:group id="_x0000_s1209" style="position:absolute;left:1866;top:1194;width:6372;height:3139" coordorigin="1866,1194" coordsize="6372,3139">
                  <v:shapetype id="_x0000_t32" coordsize="21600,21600" o:spt="32" o:oned="t" path="m,l21600,21600e" filled="f">
                    <v:path arrowok="t" fillok="f" o:connecttype="none"/>
                    <o:lock v:ext="edit" shapetype="t"/>
                  </v:shapetype>
                  <v:shape id="_x0000_s1210" type="#_x0000_t32" style="position:absolute;left:2477;top:3492;width:1816;height:0" o:connectortype="straight"/>
                  <v:shape id="_x0000_s1211" type="#_x0000_t32" style="position:absolute;left:3408;top:3045;width:0;height:447;flip:y" o:connectortype="straight">
                    <v:stroke endarrow="open"/>
                  </v:shape>
                  <v:shape id="_x0000_s1212" type="#_x0000_t32" style="position:absolute;left:7054;top:3048;width:0;height:447;flip:y" o:connectortype="straight">
                    <v:stroke endarrow="open"/>
                  </v:shape>
                  <v:group id="_x0000_s1213" style="position:absolute;left:2537;top:1194;width:5235;height:1851" coordorigin="2709,4174" coordsize="5235,1851">
                    <v:shape id="_x0000_s1214" type="#_x0000_t202" style="position:absolute;left:5565;top:4701;width:1068;height:447" stroked="f">
                      <v:textbox style="mso-next-textbox:#_x0000_s1214">
                        <w:txbxContent>
                          <w:p w:rsidR="00A52ABD" w:rsidRPr="005D4729" w:rsidRDefault="00A52ABD" w:rsidP="00541A58">
                            <w:pPr>
                              <w:ind w:left="180" w:hangingChars="100" w:hanging="180"/>
                              <w:rPr>
                                <w:rFonts w:ascii="Times New Roman" w:hAnsi="Times New Roman"/>
                                <w:sz w:val="18"/>
                                <w:szCs w:val="18"/>
                              </w:rPr>
                            </w:pPr>
                            <w:r w:rsidRPr="005D4729">
                              <w:rPr>
                                <w:rFonts w:ascii="Times New Roman" w:hAnsi="Times New Roman"/>
                                <w:sz w:val="18"/>
                                <w:szCs w:val="18"/>
                              </w:rPr>
                              <w:t>Leontief</w:t>
                            </w:r>
                          </w:p>
                          <w:p w:rsidR="00A52ABD" w:rsidRPr="005D4729" w:rsidRDefault="00A52ABD" w:rsidP="00541A58">
                            <w:pPr>
                              <w:rPr>
                                <w:rFonts w:ascii="Times New Roman" w:hAnsi="Times New Roman"/>
                              </w:rPr>
                            </w:pPr>
                          </w:p>
                        </w:txbxContent>
                      </v:textbox>
                    </v:shape>
                    <v:shape id="_x0000_s1215" type="#_x0000_t202" style="position:absolute;left:4755;top:4174;width:1297;height:519">
                      <v:textbox style="mso-next-textbox:#_x0000_s1215">
                        <w:txbxContent>
                          <w:p w:rsidR="00A52ABD" w:rsidRPr="005D4729" w:rsidRDefault="00A52ABD" w:rsidP="00541A58">
                            <w:pPr>
                              <w:jc w:val="center"/>
                              <w:rPr>
                                <w:rFonts w:ascii="Times New Roman" w:hAnsi="Times New Roman"/>
                                <w:szCs w:val="21"/>
                              </w:rPr>
                            </w:pPr>
                            <w:r>
                              <w:rPr>
                                <w:rFonts w:ascii="Times New Roman" w:hAnsi="Times New Roman" w:hint="eastAsia"/>
                                <w:szCs w:val="21"/>
                              </w:rPr>
                              <w:t>O</w:t>
                            </w:r>
                            <w:r w:rsidRPr="005D4729">
                              <w:rPr>
                                <w:rFonts w:ascii="Times New Roman" w:hAnsi="Times New Roman"/>
                                <w:szCs w:val="21"/>
                              </w:rPr>
                              <w:t>utput</w:t>
                            </w:r>
                          </w:p>
                        </w:txbxContent>
                      </v:textbox>
                    </v:shape>
                    <v:shape id="_x0000_s1216" type="#_x0000_t202" style="position:absolute;left:2709;top:5506;width:1664;height:519">
                      <v:textbox style="mso-next-textbox:#_x0000_s1216" inset="0,0,0,0">
                        <w:txbxContent>
                          <w:p w:rsidR="00A52ABD" w:rsidRPr="005D4729" w:rsidRDefault="00A52ABD" w:rsidP="00541A58">
                            <w:pPr>
                              <w:spacing w:line="240" w:lineRule="exact"/>
                              <w:jc w:val="center"/>
                              <w:rPr>
                                <w:rFonts w:ascii="Times New Roman" w:hAnsi="Times New Roman"/>
                              </w:rPr>
                            </w:pPr>
                            <w:r>
                              <w:rPr>
                                <w:rFonts w:ascii="Times New Roman" w:hAnsi="Times New Roman" w:hint="eastAsia"/>
                              </w:rPr>
                              <w:t>La</w:t>
                            </w:r>
                            <w:r w:rsidRPr="005D4729">
                              <w:rPr>
                                <w:rFonts w:ascii="Times New Roman" w:hAnsi="Times New Roman"/>
                              </w:rPr>
                              <w:t>bor-capital-</w:t>
                            </w:r>
                          </w:p>
                          <w:p w:rsidR="00A52ABD" w:rsidRPr="005D4729" w:rsidRDefault="00A52ABD" w:rsidP="00541A58">
                            <w:pPr>
                              <w:spacing w:line="240" w:lineRule="exact"/>
                              <w:jc w:val="center"/>
                              <w:rPr>
                                <w:rFonts w:ascii="Times New Roman" w:hAnsi="Times New Roman"/>
                              </w:rPr>
                            </w:pPr>
                            <w:proofErr w:type="gramStart"/>
                            <w:r w:rsidRPr="005D4729">
                              <w:rPr>
                                <w:rFonts w:ascii="Times New Roman" w:hAnsi="Times New Roman"/>
                              </w:rPr>
                              <w:t>energy</w:t>
                            </w:r>
                            <w:proofErr w:type="gramEnd"/>
                            <w:r w:rsidRPr="005D4729">
                              <w:rPr>
                                <w:rFonts w:ascii="Times New Roman" w:hAnsi="Times New Roman"/>
                              </w:rPr>
                              <w:t xml:space="preserve"> mix</w:t>
                            </w:r>
                          </w:p>
                        </w:txbxContent>
                      </v:textbox>
                    </v:shape>
                    <v:shape id="_x0000_s1217" type="#_x0000_t202" style="position:absolute;left:6509;top:5506;width:1435;height:519">
                      <v:textbox style="mso-next-textbox:#_x0000_s1217" inset="0,0,0,0">
                        <w:txbxContent>
                          <w:p w:rsidR="00A52ABD" w:rsidRPr="005D4729" w:rsidRDefault="00A52ABD" w:rsidP="00541A58">
                            <w:pPr>
                              <w:spacing w:line="240" w:lineRule="exact"/>
                              <w:jc w:val="center"/>
                              <w:rPr>
                                <w:rFonts w:ascii="Times New Roman" w:hAnsi="Times New Roman"/>
                                <w:szCs w:val="21"/>
                              </w:rPr>
                            </w:pPr>
                            <w:r>
                              <w:rPr>
                                <w:rFonts w:ascii="Times New Roman" w:hAnsi="Times New Roman" w:hint="eastAsia"/>
                                <w:szCs w:val="21"/>
                              </w:rPr>
                              <w:t>I</w:t>
                            </w:r>
                            <w:r w:rsidRPr="005D4729">
                              <w:rPr>
                                <w:rFonts w:ascii="Times New Roman" w:hAnsi="Times New Roman"/>
                                <w:szCs w:val="21"/>
                              </w:rPr>
                              <w:t>ntermediate input</w:t>
                            </w:r>
                          </w:p>
                          <w:p w:rsidR="00A52ABD" w:rsidRPr="005D4729" w:rsidRDefault="00A52ABD" w:rsidP="00541A58">
                            <w:pPr>
                              <w:rPr>
                                <w:rFonts w:ascii="Times New Roman" w:hAnsi="Times New Roman"/>
                                <w:sz w:val="18"/>
                                <w:szCs w:val="18"/>
                              </w:rPr>
                            </w:pPr>
                          </w:p>
                          <w:p w:rsidR="00A52ABD" w:rsidRPr="005D4729" w:rsidRDefault="00A52ABD" w:rsidP="00541A58">
                            <w:pPr>
                              <w:rPr>
                                <w:rFonts w:ascii="Times New Roman" w:hAnsi="Times New Roman"/>
                                <w:sz w:val="18"/>
                                <w:szCs w:val="18"/>
                              </w:rPr>
                            </w:pPr>
                          </w:p>
                          <w:p w:rsidR="00A52ABD" w:rsidRPr="005D4729" w:rsidRDefault="00A52ABD" w:rsidP="00541A58">
                            <w:pPr>
                              <w:rPr>
                                <w:rFonts w:ascii="Times New Roman" w:hAnsi="Times New Roman"/>
                              </w:rPr>
                            </w:pPr>
                          </w:p>
                        </w:txbxContent>
                      </v:textbox>
                    </v:shape>
                    <v:shape id="_x0000_s1218" type="#_x0000_t32" style="position:absolute;left:3442;top:5148;width:3785;height:0" o:connectortype="straight"/>
                    <v:shape id="_x0000_s1219" type="#_x0000_t32" style="position:absolute;left:3442;top:5148;width:0;height:358" o:connectortype="straight"/>
                    <v:shape id="_x0000_s1220" type="#_x0000_t32" style="position:absolute;left:7227;top:5148;width:0;height:358" o:connectortype="straight"/>
                  </v:group>
                  <v:shape id="_x0000_s1221" type="#_x0000_t32" style="position:absolute;left:5251;top:1721;width:0;height:447;flip:y" o:connectortype="straight">
                    <v:stroke endarrow="open"/>
                  </v:shape>
                  <v:group id="_x0000_s1222" style="position:absolute;left:6170;top:3163;width:2068;height:651" coordorigin="6170,3163" coordsize="2068,651">
                    <v:shape id="_x0000_s1223" type="#_x0000_t202" style="position:absolute;left:7169;top:3163;width:1069;height:298" stroked="f">
                      <v:textbox style="mso-next-textbox:#_x0000_s1223" inset=",.3mm,,.3mm">
                        <w:txbxContent>
                          <w:p w:rsidR="00A52ABD" w:rsidRPr="005D4729" w:rsidRDefault="00A52ABD" w:rsidP="00541A58">
                            <w:pPr>
                              <w:ind w:left="180" w:hangingChars="100" w:hanging="180"/>
                              <w:rPr>
                                <w:rFonts w:ascii="Times New Roman" w:hAnsi="Times New Roman"/>
                                <w:sz w:val="18"/>
                                <w:szCs w:val="18"/>
                              </w:rPr>
                            </w:pPr>
                            <w:r w:rsidRPr="005D4729">
                              <w:rPr>
                                <w:rFonts w:ascii="Times New Roman" w:hAnsi="Times New Roman"/>
                                <w:sz w:val="18"/>
                                <w:szCs w:val="18"/>
                              </w:rPr>
                              <w:t>Leontief</w:t>
                            </w:r>
                          </w:p>
                          <w:p w:rsidR="00A52ABD" w:rsidRPr="005D4729" w:rsidRDefault="00A52ABD" w:rsidP="00541A58">
                            <w:pPr>
                              <w:rPr>
                                <w:rFonts w:ascii="Times New Roman" w:hAnsi="Times New Roman"/>
                              </w:rPr>
                            </w:pPr>
                          </w:p>
                        </w:txbxContent>
                      </v:textbox>
                    </v:shape>
                    <v:shape id="_x0000_s1224" type="#_x0000_t32" style="position:absolute;left:6170;top:3492;width:1816;height:0" o:connectortype="straight"/>
                    <v:shape id="_x0000_s1225" type="#_x0000_t32" style="position:absolute;left:6170;top:3492;width:0;height:322" o:connectortype="straight"/>
                    <v:shape id="_x0000_s1226" type="#_x0000_t32" style="position:absolute;left:7986;top:3492;width:0;height:322" o:connectortype="straight"/>
                  </v:group>
                  <v:group id="_x0000_s1227" style="position:absolute;left:1866;top:3076;width:3247;height:1257" coordorigin="1866,3076" coordsize="3247,1257">
                    <v:shape id="_x0000_s1228" type="#_x0000_t202" style="position:absolute;left:3530;top:3076;width:671;height:385" stroked="f">
                      <v:textbox style="mso-next-textbox:#_x0000_s1228">
                        <w:txbxContent>
                          <w:p w:rsidR="00A52ABD" w:rsidRPr="005D4729" w:rsidRDefault="00A52ABD" w:rsidP="00541A58">
                            <w:pPr>
                              <w:ind w:left="180" w:hangingChars="100" w:hanging="180"/>
                              <w:rPr>
                                <w:rFonts w:ascii="Times New Roman" w:hAnsi="Times New Roman"/>
                              </w:rPr>
                            </w:pPr>
                            <w:r w:rsidRPr="005D4729">
                              <w:rPr>
                                <w:rFonts w:ascii="Times New Roman" w:hAnsi="Times New Roman"/>
                                <w:sz w:val="18"/>
                                <w:szCs w:val="18"/>
                              </w:rPr>
                              <w:t>CES</w:t>
                            </w:r>
                          </w:p>
                        </w:txbxContent>
                      </v:textbox>
                    </v:shape>
                    <v:shape id="_x0000_s1229" type="#_x0000_t32" style="position:absolute;left:2476;top:3492;width:0;height:322" o:connectortype="straight"/>
                    <v:shape id="_x0000_s1230" type="#_x0000_t32" style="position:absolute;left:4293;top:3492;width:0;height:322" o:connectortype="straight"/>
                    <v:shape id="_x0000_s1231" type="#_x0000_t202" style="position:absolute;left:1866;top:3814;width:1297;height:519">
                      <v:textbox style="mso-next-textbox:#_x0000_s1231">
                        <w:txbxContent>
                          <w:p w:rsidR="00A52ABD" w:rsidRPr="005D4729" w:rsidRDefault="00A52ABD" w:rsidP="00541A58">
                            <w:pPr>
                              <w:jc w:val="center"/>
                              <w:rPr>
                                <w:rFonts w:ascii="Times New Roman" w:hAnsi="Times New Roman"/>
                              </w:rPr>
                            </w:pPr>
                            <w:r>
                              <w:rPr>
                                <w:rFonts w:ascii="Times New Roman" w:hAnsi="Times New Roman" w:hint="eastAsia"/>
                              </w:rPr>
                              <w:t>L</w:t>
                            </w:r>
                            <w:r w:rsidRPr="005D4729">
                              <w:rPr>
                                <w:rFonts w:ascii="Times New Roman" w:hAnsi="Times New Roman"/>
                              </w:rPr>
                              <w:t>abor</w:t>
                            </w:r>
                          </w:p>
                        </w:txbxContent>
                      </v:textbox>
                    </v:shape>
                    <v:shape id="_x0000_s1232" type="#_x0000_t202" style="position:absolute;left:3358;top:3814;width:1755;height:519">
                      <v:textbox style="mso-next-textbox:#_x0000_s1232" inset="0,,0">
                        <w:txbxContent>
                          <w:p w:rsidR="00A52ABD" w:rsidRPr="006B7719" w:rsidRDefault="00A52ABD" w:rsidP="00541A58">
                            <w:pPr>
                              <w:jc w:val="center"/>
                              <w:rPr>
                                <w:rFonts w:ascii="Times New Roman" w:hAnsi="Times New Roman"/>
                                <w:szCs w:val="21"/>
                              </w:rPr>
                            </w:pPr>
                            <w:r w:rsidRPr="006B7719">
                              <w:rPr>
                                <w:rFonts w:ascii="Times New Roman" w:hAnsi="Times New Roman" w:hint="eastAsia"/>
                                <w:szCs w:val="21"/>
                              </w:rPr>
                              <w:t>C</w:t>
                            </w:r>
                            <w:r w:rsidRPr="006B7719">
                              <w:rPr>
                                <w:rFonts w:ascii="Times New Roman" w:hAnsi="Times New Roman"/>
                                <w:szCs w:val="21"/>
                              </w:rPr>
                              <w:t>apital energy mix</w:t>
                            </w:r>
                          </w:p>
                        </w:txbxContent>
                      </v:textbox>
                    </v:shape>
                  </v:group>
                </v:group>
                <v:group id="_x0000_s1233" style="position:absolute;left:2299;top:4333;width:5321;height:3866" coordorigin="2299,4333" coordsize="5321,3866">
                  <v:shape id="_x0000_s1234" type="#_x0000_t202" style="position:absolute;left:3163;top:7680;width:656;height:519">
                    <v:textbox style="mso-next-textbox:#_x0000_s1234" inset="1.5mm,,1.5mm">
                      <w:txbxContent>
                        <w:p w:rsidR="00A52ABD" w:rsidRPr="005D4729" w:rsidRDefault="00A52ABD" w:rsidP="00541A58">
                          <w:pPr>
                            <w:rPr>
                              <w:rFonts w:ascii="Times New Roman" w:hAnsi="Times New Roman"/>
                            </w:rPr>
                          </w:pPr>
                          <w:r>
                            <w:rPr>
                              <w:rFonts w:ascii="Times New Roman" w:hAnsi="Times New Roman" w:hint="eastAsia"/>
                            </w:rPr>
                            <w:t>Oil</w:t>
                          </w:r>
                        </w:p>
                      </w:txbxContent>
                    </v:textbox>
                  </v:shape>
                  <v:shape id="_x0000_s1235" type="#_x0000_t202" style="position:absolute;left:4033;top:7676;width:656;height:519">
                    <v:textbox style="mso-next-textbox:#_x0000_s1235" inset="1.5mm,,1.5mm">
                      <w:txbxContent>
                        <w:p w:rsidR="00A52ABD" w:rsidRPr="005D4729" w:rsidRDefault="00A52ABD" w:rsidP="00541A58">
                          <w:pPr>
                            <w:rPr>
                              <w:rFonts w:ascii="Times New Roman" w:hAnsi="Times New Roman"/>
                            </w:rPr>
                          </w:pPr>
                          <w:r>
                            <w:rPr>
                              <w:rFonts w:ascii="Times New Roman" w:hAnsi="Times New Roman" w:hint="eastAsia"/>
                            </w:rPr>
                            <w:t>Gas</w:t>
                          </w:r>
                        </w:p>
                      </w:txbxContent>
                    </v:textbox>
                  </v:shape>
                  <v:shape id="_x0000_s1236" type="#_x0000_t32" style="position:absolute;left:4276;top:6907;width:0;height:447;flip:y" o:connectortype="straight">
                    <v:stroke endarrow="open"/>
                  </v:shape>
                  <v:shape id="_x0000_s1237" type="#_x0000_t32" style="position:absolute;left:5361;top:5619;width:0;height:447;flip:y" o:connectortype="straight">
                    <v:stroke endarrow="open"/>
                  </v:shape>
                  <v:shape id="_x0000_s1238" type="#_x0000_t32" style="position:absolute;left:4201;top:4333;width:0;height:447;flip:y" o:connectortype="straight">
                    <v:stroke endarrow="open"/>
                  </v:shape>
                  <v:group id="_x0000_s1239" style="position:absolute;left:2299;top:4415;width:5321;height:3784" coordorigin="2299,4415" coordsize="5321,3784">
                    <v:group id="_x0000_s1240" style="position:absolute;left:2299;top:6907;width:5321;height:1292" coordorigin="2299,6907" coordsize="5321,1292">
                      <v:shape id="_x0000_s1241" type="#_x0000_t202" style="position:absolute;left:4913;top:7680;width:2707;height:519">
                        <v:textbox style="mso-next-textbox:#_x0000_s1241" inset="1.5mm,,1.5mm">
                          <w:txbxContent>
                            <w:p w:rsidR="00A52ABD" w:rsidRPr="005D4729" w:rsidRDefault="00A52ABD" w:rsidP="00541A58">
                              <w:pPr>
                                <w:rPr>
                                  <w:rFonts w:ascii="Times New Roman" w:hAnsi="Times New Roman"/>
                                </w:rPr>
                              </w:pPr>
                              <w:r>
                                <w:rPr>
                                  <w:rFonts w:ascii="Times New Roman" w:hAnsi="Times New Roman" w:hint="eastAsia"/>
                                </w:rPr>
                                <w:t>R</w:t>
                              </w:r>
                              <w:r w:rsidRPr="005D4729">
                                <w:rPr>
                                  <w:rFonts w:ascii="Times New Roman" w:hAnsi="Times New Roman"/>
                                </w:rPr>
                                <w:t>efined oil</w:t>
                              </w:r>
                              <w:r>
                                <w:rPr>
                                  <w:rFonts w:hint="eastAsia"/>
                                </w:rPr>
                                <w:t xml:space="preserve">, </w:t>
                              </w:r>
                              <w:r>
                                <w:rPr>
                                  <w:rFonts w:ascii="Times New Roman" w:hAnsi="Times New Roman" w:hint="eastAsia"/>
                                </w:rPr>
                                <w:t>c</w:t>
                              </w:r>
                              <w:r w:rsidRPr="0046206B">
                                <w:rPr>
                                  <w:rFonts w:ascii="Times New Roman" w:hAnsi="Times New Roman"/>
                                </w:rPr>
                                <w:t>oke</w:t>
                              </w:r>
                              <w:r>
                                <w:rPr>
                                  <w:rFonts w:ascii="Times New Roman" w:hAnsi="Times New Roman" w:hint="eastAsia"/>
                                </w:rPr>
                                <w:t xml:space="preserve"> and fuel gas</w:t>
                              </w:r>
                            </w:p>
                          </w:txbxContent>
                        </v:textbox>
                      </v:shape>
                      <v:shape id="_x0000_s1242" type="#_x0000_t32" style="position:absolute;left:3529;top:7354;width:1;height:322" o:connectortype="straight"/>
                      <v:shape id="_x0000_s1243" type="#_x0000_t32" style="position:absolute;left:4373;top:7358;width:1;height:322" o:connectortype="straight"/>
                      <v:shape id="_x0000_s1244" type="#_x0000_t32" style="position:absolute;left:2680;top:7354;width:1;height:322" o:connectortype="straight"/>
                      <v:shape id="_x0000_s1245" type="#_x0000_t32" style="position:absolute;left:6023;top:7358;width:0;height:322" o:connectortype="straight"/>
                      <v:shape id="_x0000_s1246" type="#_x0000_t202" style="position:absolute;left:4517;top:6907;width:596;height:390" stroked="f">
                        <v:textbox style="mso-next-textbox:#_x0000_s1246" inset="0,,0">
                          <w:txbxContent>
                            <w:p w:rsidR="00A52ABD" w:rsidRPr="005D4729" w:rsidRDefault="00A52ABD" w:rsidP="00541A58">
                              <w:pPr>
                                <w:ind w:left="180" w:hangingChars="100" w:hanging="180"/>
                                <w:rPr>
                                  <w:rFonts w:ascii="Times New Roman" w:hAnsi="Times New Roman"/>
                                </w:rPr>
                              </w:pPr>
                              <w:r w:rsidRPr="005D4729">
                                <w:rPr>
                                  <w:rFonts w:ascii="Times New Roman" w:hAnsi="Times New Roman"/>
                                  <w:sz w:val="18"/>
                                  <w:szCs w:val="18"/>
                                </w:rPr>
                                <w:t>CES</w:t>
                              </w:r>
                            </w:p>
                          </w:txbxContent>
                        </v:textbox>
                      </v:shape>
                      <v:shape id="_x0000_s1247" type="#_x0000_t32" style="position:absolute;left:2681;top:7354;width:3342;height:0" o:connectortype="straight"/>
                      <v:shape id="_x0000_s1248" type="#_x0000_t202" style="position:absolute;left:2299;top:7676;width:656;height:519">
                        <v:textbox style="mso-next-textbox:#_x0000_s1248" inset="1.5mm,,1.5mm">
                          <w:txbxContent>
                            <w:p w:rsidR="00A52ABD" w:rsidRPr="005D4729" w:rsidRDefault="00A52ABD" w:rsidP="00541A58">
                              <w:pPr>
                                <w:rPr>
                                  <w:rFonts w:ascii="Times New Roman" w:hAnsi="Times New Roman"/>
                                </w:rPr>
                              </w:pPr>
                              <w:r>
                                <w:rPr>
                                  <w:rFonts w:ascii="Times New Roman" w:hAnsi="Times New Roman" w:hint="eastAsia"/>
                                </w:rPr>
                                <w:t>Coal</w:t>
                              </w:r>
                            </w:p>
                          </w:txbxContent>
                        </v:textbox>
                      </v:shape>
                    </v:group>
                    <v:group id="_x0000_s1249" style="position:absolute;left:3530;top:5621;width:3907;height:1286" coordorigin="3530,5621" coordsize="3907,1286">
                      <v:shape id="_x0000_s1250" type="#_x0000_t32" style="position:absolute;left:4384;top:6067;width:1;height:322" o:connectortype="straight"/>
                      <v:shape id="_x0000_s1251" type="#_x0000_t32" style="position:absolute;left:6323;top:6066;width:0;height:322" o:connectortype="straight"/>
                      <v:shape id="_x0000_s1252" type="#_x0000_t202" style="position:absolute;left:5421;top:5621;width:672;height:446" stroked="f">
                        <v:textbox style="mso-next-textbox:#_x0000_s1252">
                          <w:txbxContent>
                            <w:p w:rsidR="00A52ABD" w:rsidRPr="005D4729" w:rsidRDefault="00A52ABD" w:rsidP="00541A58">
                              <w:pPr>
                                <w:ind w:left="180" w:hangingChars="100" w:hanging="180"/>
                                <w:rPr>
                                  <w:rFonts w:ascii="Times New Roman" w:hAnsi="Times New Roman"/>
                                </w:rPr>
                              </w:pPr>
                              <w:r w:rsidRPr="005D4729">
                                <w:rPr>
                                  <w:rFonts w:ascii="Times New Roman" w:hAnsi="Times New Roman"/>
                                  <w:sz w:val="18"/>
                                  <w:szCs w:val="18"/>
                                </w:rPr>
                                <w:t>CES</w:t>
                              </w:r>
                            </w:p>
                          </w:txbxContent>
                        </v:textbox>
                      </v:shape>
                      <v:shape id="_x0000_s1253" type="#_x0000_t202" style="position:absolute;left:5606;top:6388;width:1831;height:519">
                        <v:textbox style="mso-next-textbox:#_x0000_s1253">
                          <w:txbxContent>
                            <w:p w:rsidR="00A52ABD" w:rsidRPr="005D4729" w:rsidRDefault="00A52ABD" w:rsidP="00541A58">
                              <w:pPr>
                                <w:jc w:val="center"/>
                                <w:rPr>
                                  <w:rFonts w:ascii="Times New Roman" w:hAnsi="Times New Roman"/>
                                </w:rPr>
                              </w:pPr>
                              <w:r>
                                <w:rPr>
                                  <w:rFonts w:ascii="Times New Roman" w:hAnsi="Times New Roman" w:hint="eastAsia"/>
                                </w:rPr>
                                <w:t>E</w:t>
                              </w:r>
                              <w:r w:rsidRPr="005D4729">
                                <w:rPr>
                                  <w:rFonts w:ascii="Times New Roman" w:hAnsi="Times New Roman"/>
                                </w:rPr>
                                <w:t>lectricity</w:t>
                              </w:r>
                            </w:p>
                          </w:txbxContent>
                        </v:textbox>
                      </v:shape>
                      <v:shape id="_x0000_s1254" type="#_x0000_t202" style="position:absolute;left:3530;top:6388;width:1633;height:519">
                        <v:textbox style="mso-next-textbox:#_x0000_s1254">
                          <w:txbxContent>
                            <w:p w:rsidR="00A52ABD" w:rsidRPr="005D4729" w:rsidRDefault="00A52ABD" w:rsidP="00541A58">
                              <w:pPr>
                                <w:jc w:val="center"/>
                                <w:rPr>
                                  <w:rFonts w:ascii="Times New Roman" w:hAnsi="Times New Roman"/>
                                </w:rPr>
                              </w:pPr>
                              <w:r>
                                <w:rPr>
                                  <w:rFonts w:ascii="Times New Roman" w:hAnsi="Times New Roman" w:hint="eastAsia"/>
                                </w:rPr>
                                <w:t>F</w:t>
                              </w:r>
                              <w:r w:rsidRPr="005D4729">
                                <w:rPr>
                                  <w:rFonts w:ascii="Times New Roman" w:hAnsi="Times New Roman"/>
                                </w:rPr>
                                <w:t xml:space="preserve">ossil fuel </w:t>
                              </w:r>
                            </w:p>
                          </w:txbxContent>
                        </v:textbox>
                      </v:shape>
                      <v:shape id="_x0000_s1255" type="#_x0000_t32" style="position:absolute;left:4385;top:6066;width:1938;height:1" o:connectortype="straight"/>
                    </v:group>
                    <v:group id="_x0000_s1256" style="position:absolute;left:2736;top:4415;width:3434;height:1205" coordorigin="2736,4415" coordsize="3434,1205">
                      <v:shape id="_x0000_s1257" type="#_x0000_t32" style="position:absolute;left:3346;top:4779;width:0;height:322" o:connectortype="straight"/>
                      <v:shape id="_x0000_s1258" type="#_x0000_t32" style="position:absolute;left:5162;top:4779;width:0;height:322" o:connectortype="straight"/>
                      <v:group id="_x0000_s1259" style="position:absolute;left:2736;top:4415;width:3434;height:1205" coordorigin="2736,4415" coordsize="3434,1205">
                        <v:shape id="_x0000_s1260" type="#_x0000_t202" style="position:absolute;left:4374;top:4415;width:671;height:501" stroked="f">
                          <v:textbox style="mso-next-textbox:#_x0000_s1260">
                            <w:txbxContent>
                              <w:p w:rsidR="00A52ABD" w:rsidRPr="005D4729" w:rsidRDefault="00A52ABD" w:rsidP="00541A58">
                                <w:pPr>
                                  <w:ind w:left="180" w:hangingChars="100" w:hanging="180"/>
                                  <w:rPr>
                                    <w:rFonts w:ascii="Times New Roman" w:hAnsi="Times New Roman"/>
                                  </w:rPr>
                                </w:pPr>
                                <w:r w:rsidRPr="005D4729">
                                  <w:rPr>
                                    <w:rFonts w:ascii="Times New Roman" w:hAnsi="Times New Roman"/>
                                    <w:sz w:val="18"/>
                                    <w:szCs w:val="18"/>
                                  </w:rPr>
                                  <w:t>CES</w:t>
                                </w:r>
                              </w:p>
                            </w:txbxContent>
                          </v:textbox>
                        </v:shape>
                        <v:shape id="_x0000_s1261" type="#_x0000_t202" style="position:absolute;left:2736;top:5101;width:1297;height:519">
                          <v:textbox style="mso-next-textbox:#_x0000_s1261">
                            <w:txbxContent>
                              <w:p w:rsidR="00A52ABD" w:rsidRPr="005D4729" w:rsidRDefault="00A52ABD" w:rsidP="00541A58">
                                <w:pPr>
                                  <w:jc w:val="center"/>
                                  <w:rPr>
                                    <w:rFonts w:ascii="Times New Roman" w:hAnsi="Times New Roman"/>
                                    <w:szCs w:val="21"/>
                                  </w:rPr>
                                </w:pPr>
                                <w:r>
                                  <w:rPr>
                                    <w:rFonts w:ascii="Times New Roman" w:hAnsi="Times New Roman" w:hint="eastAsia"/>
                                    <w:szCs w:val="21"/>
                                  </w:rPr>
                                  <w:t>C</w:t>
                                </w:r>
                                <w:r w:rsidRPr="005D4729">
                                  <w:rPr>
                                    <w:rFonts w:ascii="Times New Roman" w:hAnsi="Times New Roman"/>
                                    <w:szCs w:val="21"/>
                                  </w:rPr>
                                  <w:t>apital</w:t>
                                </w:r>
                              </w:p>
                            </w:txbxContent>
                          </v:textbox>
                        </v:shape>
                        <v:shape id="_x0000_s1262" type="#_x0000_t202" style="position:absolute;left:4384;top:5101;width:1786;height:519">
                          <v:textbox style="mso-next-textbox:#_x0000_s1262">
                            <w:txbxContent>
                              <w:p w:rsidR="00A52ABD" w:rsidRPr="005D4729" w:rsidRDefault="00A52ABD" w:rsidP="00541A58">
                                <w:pPr>
                                  <w:jc w:val="center"/>
                                  <w:rPr>
                                    <w:rFonts w:ascii="Times New Roman" w:hAnsi="Times New Roman"/>
                                    <w:szCs w:val="21"/>
                                  </w:rPr>
                                </w:pPr>
                                <w:r>
                                  <w:rPr>
                                    <w:rFonts w:ascii="Times New Roman" w:hAnsi="Times New Roman" w:hint="eastAsia"/>
                                    <w:szCs w:val="21"/>
                                  </w:rPr>
                                  <w:t>E</w:t>
                                </w:r>
                                <w:r w:rsidRPr="005D4729">
                                  <w:rPr>
                                    <w:rFonts w:ascii="Times New Roman" w:hAnsi="Times New Roman"/>
                                    <w:szCs w:val="21"/>
                                  </w:rPr>
                                  <w:t>nergy mix</w:t>
                                </w:r>
                              </w:p>
                            </w:txbxContent>
                          </v:textbox>
                        </v:shape>
                      </v:group>
                    </v:group>
                  </v:group>
                  <v:shape id="_x0000_s1263" type="#_x0000_t32" style="position:absolute;left:3347;top:4778;width:1816;height:0" o:connectortype="straight"/>
                </v:group>
              </v:group>
            </v:group>
          </v:group>
        </w:pict>
      </w:r>
    </w:p>
    <w:p w:rsidR="00301237" w:rsidRPr="00E2269B" w:rsidRDefault="00301237" w:rsidP="000876CC">
      <w:pPr>
        <w:tabs>
          <w:tab w:val="left" w:pos="2191"/>
        </w:tabs>
        <w:ind w:firstLineChars="196" w:firstLine="412"/>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541A58">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0876CC" w:rsidRPr="00E2269B" w:rsidRDefault="000876CC" w:rsidP="000876CC">
      <w:pPr>
        <w:ind w:firstLineChars="200" w:firstLine="420"/>
        <w:jc w:val="left"/>
        <w:rPr>
          <w:rFonts w:ascii="Times New Roman" w:hAnsi="Times New Roman" w:cs="Times New Roman"/>
        </w:rPr>
      </w:pPr>
    </w:p>
    <w:p w:rsidR="001F553A" w:rsidRPr="00E2269B" w:rsidRDefault="001F553A" w:rsidP="000876CC">
      <w:pPr>
        <w:ind w:firstLineChars="200" w:firstLine="420"/>
        <w:jc w:val="left"/>
        <w:rPr>
          <w:rFonts w:ascii="Times New Roman" w:hAnsi="Times New Roman" w:cs="Times New Roman"/>
        </w:rPr>
      </w:pPr>
    </w:p>
    <w:p w:rsidR="001F553A" w:rsidRPr="00E2269B" w:rsidRDefault="001F553A" w:rsidP="000876CC">
      <w:pPr>
        <w:ind w:firstLineChars="200" w:firstLine="420"/>
        <w:jc w:val="left"/>
        <w:rPr>
          <w:rFonts w:ascii="Times New Roman" w:hAnsi="Times New Roman" w:cs="Times New Roman"/>
        </w:rPr>
      </w:pPr>
    </w:p>
    <w:p w:rsidR="001F553A" w:rsidRPr="00E2269B" w:rsidRDefault="001F553A" w:rsidP="000876CC">
      <w:pPr>
        <w:ind w:firstLineChars="200" w:firstLine="420"/>
        <w:jc w:val="left"/>
        <w:rPr>
          <w:rFonts w:ascii="Times New Roman" w:hAnsi="Times New Roman" w:cs="Times New Roman"/>
        </w:rPr>
      </w:pPr>
    </w:p>
    <w:p w:rsidR="001F553A" w:rsidRPr="00E2269B" w:rsidRDefault="001F553A" w:rsidP="000876CC">
      <w:pPr>
        <w:ind w:firstLineChars="200" w:firstLine="420"/>
        <w:jc w:val="left"/>
        <w:rPr>
          <w:rFonts w:ascii="Times New Roman" w:hAnsi="Times New Roman" w:cs="Times New Roman"/>
        </w:rPr>
      </w:pPr>
    </w:p>
    <w:p w:rsidR="001F553A" w:rsidRPr="00E2269B" w:rsidRDefault="001F553A" w:rsidP="000876CC">
      <w:pPr>
        <w:ind w:firstLineChars="200" w:firstLine="420"/>
        <w:jc w:val="left"/>
        <w:rPr>
          <w:rFonts w:ascii="Times New Roman" w:hAnsi="Times New Roman" w:cs="Times New Roman"/>
        </w:rPr>
      </w:pPr>
    </w:p>
    <w:p w:rsidR="000876CC" w:rsidRPr="00E2269B" w:rsidRDefault="000876CC" w:rsidP="000876CC">
      <w:pPr>
        <w:tabs>
          <w:tab w:val="left" w:pos="1860"/>
        </w:tabs>
        <w:jc w:val="center"/>
        <w:outlineLvl w:val="1"/>
        <w:rPr>
          <w:rFonts w:ascii="Times New Roman" w:hAnsi="Times New Roman" w:cs="Times New Roman"/>
          <w:color w:val="000000"/>
          <w:kern w:val="0"/>
          <w:sz w:val="18"/>
          <w:szCs w:val="18"/>
        </w:rPr>
      </w:pPr>
      <w:r w:rsidRPr="00E2269B">
        <w:rPr>
          <w:rFonts w:ascii="Times New Roman" w:hAnsi="Times New Roman" w:cs="Times New Roman"/>
          <w:sz w:val="18"/>
          <w:szCs w:val="18"/>
        </w:rPr>
        <w:t xml:space="preserve">Fig. 1 </w:t>
      </w:r>
      <w:r w:rsidR="003C67F5" w:rsidRPr="00E2269B">
        <w:rPr>
          <w:rFonts w:ascii="Times New Roman" w:hAnsi="Times New Roman" w:cs="Times New Roman"/>
          <w:color w:val="000000"/>
          <w:kern w:val="0"/>
          <w:sz w:val="18"/>
          <w:szCs w:val="18"/>
        </w:rPr>
        <w:t>S</w:t>
      </w:r>
      <w:r w:rsidRPr="00E2269B">
        <w:rPr>
          <w:rFonts w:ascii="Times New Roman" w:hAnsi="Times New Roman" w:cs="Times New Roman"/>
          <w:color w:val="000000"/>
          <w:kern w:val="0"/>
          <w:sz w:val="18"/>
          <w:szCs w:val="18"/>
        </w:rPr>
        <w:t>tructure of production</w:t>
      </w:r>
      <w:r w:rsidR="003C67F5" w:rsidRPr="00E2269B">
        <w:rPr>
          <w:rFonts w:ascii="Times New Roman" w:hAnsi="Times New Roman" w:cs="Times New Roman"/>
          <w:color w:val="000000"/>
          <w:kern w:val="0"/>
          <w:sz w:val="18"/>
          <w:szCs w:val="18"/>
        </w:rPr>
        <w:t xml:space="preserve"> sectors </w:t>
      </w:r>
      <w:r w:rsidR="006A7BDE" w:rsidRPr="00E2269B">
        <w:rPr>
          <w:rFonts w:ascii="Times New Roman" w:hAnsi="Times New Roman" w:cs="Times New Roman"/>
          <w:color w:val="000000"/>
          <w:kern w:val="0"/>
          <w:sz w:val="18"/>
          <w:szCs w:val="18"/>
        </w:rPr>
        <w:t>(</w:t>
      </w:r>
      <w:r w:rsidR="003C67F5" w:rsidRPr="00E2269B">
        <w:rPr>
          <w:rFonts w:ascii="Times New Roman" w:hAnsi="Times New Roman" w:cs="Times New Roman"/>
          <w:color w:val="000000"/>
          <w:kern w:val="0"/>
          <w:sz w:val="18"/>
          <w:szCs w:val="18"/>
        </w:rPr>
        <w:t>except e</w:t>
      </w:r>
      <w:r w:rsidR="006A7BDE" w:rsidRPr="00E2269B">
        <w:rPr>
          <w:rFonts w:ascii="Times New Roman" w:hAnsi="Times New Roman" w:cs="Times New Roman"/>
          <w:color w:val="000000"/>
          <w:kern w:val="0"/>
          <w:sz w:val="18"/>
          <w:szCs w:val="18"/>
        </w:rPr>
        <w:t>lectricity)</w:t>
      </w:r>
    </w:p>
    <w:p w:rsidR="00E2269B" w:rsidRDefault="00E2269B" w:rsidP="000876CC">
      <w:pPr>
        <w:tabs>
          <w:tab w:val="left" w:pos="1860"/>
        </w:tabs>
        <w:jc w:val="center"/>
        <w:outlineLvl w:val="1"/>
        <w:rPr>
          <w:rFonts w:ascii="Times New Roman" w:hAnsi="Times New Roman" w:cs="Times New Roman"/>
          <w:sz w:val="18"/>
          <w:szCs w:val="18"/>
        </w:rPr>
      </w:pPr>
    </w:p>
    <w:p w:rsidR="00E2269B" w:rsidRDefault="00E2269B" w:rsidP="000876CC">
      <w:pPr>
        <w:tabs>
          <w:tab w:val="left" w:pos="1860"/>
        </w:tabs>
        <w:jc w:val="center"/>
        <w:outlineLvl w:val="1"/>
        <w:rPr>
          <w:rFonts w:ascii="Times New Roman" w:hAnsi="Times New Roman" w:cs="Times New Roman"/>
          <w:sz w:val="18"/>
          <w:szCs w:val="18"/>
        </w:rPr>
      </w:pPr>
    </w:p>
    <w:p w:rsidR="00E2269B" w:rsidRDefault="00E2269B" w:rsidP="000876CC">
      <w:pPr>
        <w:tabs>
          <w:tab w:val="left" w:pos="1860"/>
        </w:tabs>
        <w:jc w:val="center"/>
        <w:outlineLvl w:val="1"/>
        <w:rPr>
          <w:rFonts w:ascii="Times New Roman" w:hAnsi="Times New Roman" w:cs="Times New Roman"/>
          <w:sz w:val="18"/>
          <w:szCs w:val="18"/>
        </w:rPr>
      </w:pPr>
    </w:p>
    <w:p w:rsidR="00541A58" w:rsidRPr="00E2269B" w:rsidRDefault="007A5055" w:rsidP="000876CC">
      <w:pPr>
        <w:tabs>
          <w:tab w:val="left" w:pos="1860"/>
        </w:tabs>
        <w:jc w:val="center"/>
        <w:outlineLvl w:val="1"/>
        <w:rPr>
          <w:rFonts w:ascii="Times New Roman" w:hAnsi="Times New Roman" w:cs="Times New Roman"/>
          <w:sz w:val="18"/>
          <w:szCs w:val="18"/>
        </w:rPr>
      </w:pPr>
      <w:r>
        <w:rPr>
          <w:rFonts w:ascii="Times New Roman" w:hAnsi="Times New Roman" w:cs="Times New Roman"/>
          <w:noProof/>
          <w:sz w:val="18"/>
          <w:szCs w:val="18"/>
        </w:rPr>
        <w:lastRenderedPageBreak/>
        <w:pict>
          <v:group id="_x0000_s1380" style="position:absolute;left:0;text-align:left;margin-left:-.45pt;margin-top:12.05pt;width:380.8pt;height:332.05pt;z-index:251659264" coordorigin="1791,1681" coordsize="7616,7076">
            <v:shape id="_x0000_s1381" type="#_x0000_t32" style="position:absolute;left:6262;top:2200;width:0;height:447;flip:y" o:connectortype="straight">
              <v:stroke endarrow="open"/>
            </v:shape>
            <v:group id="_x0000_s1382" style="position:absolute;left:1791;top:1681;width:7616;height:7076" coordorigin="1791,1681" coordsize="7616,7076">
              <v:shape id="_x0000_s1383" type="#_x0000_t202" style="position:absolute;left:6386;top:2262;width:671;height:385" stroked="f">
                <v:textbox style="mso-next-textbox:#_x0000_s1383">
                  <w:txbxContent>
                    <w:p w:rsidR="00A52ABD" w:rsidRPr="005D4729" w:rsidRDefault="00A52ABD" w:rsidP="00541A58">
                      <w:pPr>
                        <w:ind w:left="180" w:hangingChars="100" w:hanging="180"/>
                        <w:rPr>
                          <w:rFonts w:ascii="Times New Roman" w:hAnsi="Times New Roman"/>
                        </w:rPr>
                      </w:pPr>
                      <w:r w:rsidRPr="005D4729">
                        <w:rPr>
                          <w:rFonts w:ascii="Times New Roman" w:hAnsi="Times New Roman"/>
                          <w:sz w:val="18"/>
                          <w:szCs w:val="18"/>
                        </w:rPr>
                        <w:t>CES</w:t>
                      </w:r>
                    </w:p>
                  </w:txbxContent>
                </v:textbox>
              </v:shape>
              <v:shape id="_x0000_s1384" type="#_x0000_t32" style="position:absolute;left:5067;top:2651;width:3547;height:0" o:connectortype="straight"/>
              <v:shape id="_x0000_s1385" type="#_x0000_t202" style="position:absolute;left:7697;top:3050;width:1710;height:519">
                <v:textbox style="mso-next-textbox:#_x0000_s1385">
                  <w:txbxContent>
                    <w:p w:rsidR="00A52ABD" w:rsidRPr="005D4729" w:rsidRDefault="00A52ABD" w:rsidP="00541A58">
                      <w:pPr>
                        <w:jc w:val="center"/>
                        <w:rPr>
                          <w:rFonts w:ascii="Times New Roman" w:hAnsi="Times New Roman"/>
                          <w:szCs w:val="21"/>
                        </w:rPr>
                      </w:pPr>
                      <w:r>
                        <w:rPr>
                          <w:rFonts w:ascii="Times New Roman" w:hAnsi="Times New Roman" w:hint="eastAsia"/>
                          <w:szCs w:val="21"/>
                        </w:rPr>
                        <w:t>Other power</w:t>
                      </w:r>
                    </w:p>
                  </w:txbxContent>
                </v:textbox>
              </v:shape>
              <v:shape id="_x0000_s1386" type="#_x0000_t32" style="position:absolute;left:5067;top:2651;width:0;height:399" o:connectortype="straight"/>
              <v:shape id="_x0000_s1387" type="#_x0000_t32" style="position:absolute;left:8614;top:2651;width:0;height:399" o:connectortype="straight"/>
              <v:group id="_x0000_s1388" style="position:absolute;left:1791;top:1681;width:6938;height:7076" coordorigin="1791,1681" coordsize="6938,7076">
                <v:shape id="_x0000_s1389" type="#_x0000_t202" style="position:absolute;left:3455;top:5650;width:1297;height:519">
                  <v:textbox style="mso-next-textbox:#_x0000_s1389">
                    <w:txbxContent>
                      <w:p w:rsidR="00A52ABD" w:rsidRPr="005D4729" w:rsidRDefault="00A52ABD" w:rsidP="00541A58">
                        <w:pPr>
                          <w:jc w:val="center"/>
                          <w:rPr>
                            <w:rFonts w:ascii="Times New Roman" w:hAnsi="Times New Roman"/>
                            <w:szCs w:val="21"/>
                          </w:rPr>
                        </w:pPr>
                        <w:r>
                          <w:rPr>
                            <w:rFonts w:ascii="Times New Roman" w:hAnsi="Times New Roman" w:hint="eastAsia"/>
                            <w:szCs w:val="21"/>
                          </w:rPr>
                          <w:t>C</w:t>
                        </w:r>
                        <w:r w:rsidRPr="005D4729">
                          <w:rPr>
                            <w:rFonts w:ascii="Times New Roman" w:hAnsi="Times New Roman"/>
                            <w:szCs w:val="21"/>
                          </w:rPr>
                          <w:t>apital</w:t>
                        </w:r>
                      </w:p>
                    </w:txbxContent>
                  </v:textbox>
                </v:shape>
                <v:group id="_x0000_s1390" style="position:absolute;left:1791;top:1681;width:6938;height:4496" coordorigin="2837,1689" coordsize="6938,4496">
                  <v:shape id="_x0000_s1391" type="#_x0000_t202" style="position:absolute;left:8445;top:5658;width:1330;height:519">
                    <v:textbox style="mso-next-textbox:#_x0000_s1391" inset="1.5mm,1.3mm,1.5mm,1.3mm">
                      <w:txbxContent>
                        <w:p w:rsidR="00A52ABD" w:rsidRPr="006B7719" w:rsidRDefault="00A52ABD" w:rsidP="00541A58">
                          <w:pPr>
                            <w:rPr>
                              <w:szCs w:val="21"/>
                            </w:rPr>
                          </w:pPr>
                          <w:r>
                            <w:rPr>
                              <w:rFonts w:ascii="Times New Roman" w:hAnsi="Times New Roman"/>
                            </w:rPr>
                            <w:t>N</w:t>
                          </w:r>
                          <w:r>
                            <w:rPr>
                              <w:rFonts w:ascii="Times New Roman" w:hAnsi="Times New Roman" w:hint="eastAsia"/>
                            </w:rPr>
                            <w:t>on-energy</w:t>
                          </w:r>
                        </w:p>
                      </w:txbxContent>
                    </v:textbox>
                  </v:shape>
                  <v:group id="_x0000_s1392" style="position:absolute;left:2837;top:1689;width:6402;height:4496" coordorigin="2837,1689" coordsize="6402,4496">
                    <v:group id="_x0000_s1393" style="position:absolute;left:3508;top:1689;width:5235;height:3208" coordorigin="3508,1689" coordsize="5235,3208">
                      <v:shape id="_x0000_s1394" type="#_x0000_t202" style="position:absolute;left:6364;top:3573;width:1068;height:447" stroked="f">
                        <v:textbox style="mso-next-textbox:#_x0000_s1394">
                          <w:txbxContent>
                            <w:p w:rsidR="00A52ABD" w:rsidRPr="005D4729" w:rsidRDefault="00A52ABD" w:rsidP="00541A58">
                              <w:pPr>
                                <w:ind w:left="180" w:hangingChars="100" w:hanging="180"/>
                                <w:rPr>
                                  <w:rFonts w:ascii="Times New Roman" w:hAnsi="Times New Roman"/>
                                  <w:sz w:val="18"/>
                                  <w:szCs w:val="18"/>
                                </w:rPr>
                              </w:pPr>
                              <w:r w:rsidRPr="005D4729">
                                <w:rPr>
                                  <w:rFonts w:ascii="Times New Roman" w:hAnsi="Times New Roman"/>
                                  <w:sz w:val="18"/>
                                  <w:szCs w:val="18"/>
                                </w:rPr>
                                <w:t>Leontief</w:t>
                              </w:r>
                            </w:p>
                            <w:p w:rsidR="00A52ABD" w:rsidRPr="005D4729" w:rsidRDefault="00A52ABD" w:rsidP="00541A58">
                              <w:pPr>
                                <w:rPr>
                                  <w:rFonts w:ascii="Times New Roman" w:hAnsi="Times New Roman"/>
                                </w:rPr>
                              </w:pPr>
                            </w:p>
                          </w:txbxContent>
                        </v:textbox>
                      </v:shape>
                      <v:shape id="_x0000_s1395" type="#_x0000_t202" style="position:absolute;left:6628;top:1689;width:1297;height:519">
                        <v:textbox style="mso-next-textbox:#_x0000_s1395">
                          <w:txbxContent>
                            <w:p w:rsidR="00A52ABD" w:rsidRPr="005D4729" w:rsidRDefault="00A52ABD" w:rsidP="00541A58">
                              <w:pPr>
                                <w:jc w:val="center"/>
                                <w:rPr>
                                  <w:rFonts w:ascii="Times New Roman" w:hAnsi="Times New Roman"/>
                                  <w:szCs w:val="21"/>
                                </w:rPr>
                              </w:pPr>
                              <w:r>
                                <w:rPr>
                                  <w:rFonts w:ascii="Times New Roman" w:hAnsi="Times New Roman" w:hint="eastAsia"/>
                                  <w:szCs w:val="21"/>
                                </w:rPr>
                                <w:t>O</w:t>
                              </w:r>
                              <w:r w:rsidRPr="005D4729">
                                <w:rPr>
                                  <w:rFonts w:ascii="Times New Roman" w:hAnsi="Times New Roman"/>
                                  <w:szCs w:val="21"/>
                                </w:rPr>
                                <w:t>utput</w:t>
                              </w:r>
                            </w:p>
                          </w:txbxContent>
                        </v:textbox>
                      </v:shape>
                      <v:shape id="_x0000_s1396" type="#_x0000_t202" style="position:absolute;left:3508;top:4378;width:1664;height:519">
                        <v:textbox style="mso-next-textbox:#_x0000_s1396" inset="0,0,0,0">
                          <w:txbxContent>
                            <w:p w:rsidR="00A52ABD" w:rsidRPr="005D4729" w:rsidRDefault="00A52ABD" w:rsidP="00541A58">
                              <w:pPr>
                                <w:spacing w:line="240" w:lineRule="exact"/>
                                <w:jc w:val="center"/>
                                <w:rPr>
                                  <w:rFonts w:ascii="Times New Roman" w:hAnsi="Times New Roman"/>
                                </w:rPr>
                              </w:pPr>
                              <w:r>
                                <w:rPr>
                                  <w:rFonts w:ascii="Times New Roman" w:hAnsi="Times New Roman" w:hint="eastAsia"/>
                                </w:rPr>
                                <w:t>La</w:t>
                              </w:r>
                              <w:r w:rsidRPr="005D4729">
                                <w:rPr>
                                  <w:rFonts w:ascii="Times New Roman" w:hAnsi="Times New Roman"/>
                                </w:rPr>
                                <w:t>bor-capital</w:t>
                              </w:r>
                            </w:p>
                            <w:p w:rsidR="00A52ABD" w:rsidRPr="005D4729" w:rsidRDefault="00A52ABD" w:rsidP="00541A58">
                              <w:pPr>
                                <w:spacing w:line="240" w:lineRule="exact"/>
                                <w:jc w:val="center"/>
                                <w:rPr>
                                  <w:rFonts w:ascii="Times New Roman" w:hAnsi="Times New Roman"/>
                                </w:rPr>
                              </w:pPr>
                              <w:r w:rsidRPr="005D4729">
                                <w:rPr>
                                  <w:rFonts w:ascii="Times New Roman" w:hAnsi="Times New Roman"/>
                                </w:rPr>
                                <w:t xml:space="preserve"> </w:t>
                              </w:r>
                              <w:proofErr w:type="gramStart"/>
                              <w:r w:rsidRPr="005D4729">
                                <w:rPr>
                                  <w:rFonts w:ascii="Times New Roman" w:hAnsi="Times New Roman"/>
                                </w:rPr>
                                <w:t>mix</w:t>
                              </w:r>
                              <w:proofErr w:type="gramEnd"/>
                            </w:p>
                          </w:txbxContent>
                        </v:textbox>
                      </v:shape>
                      <v:shape id="_x0000_s1397" type="#_x0000_t202" style="position:absolute;left:7308;top:4378;width:1435;height:519">
                        <v:textbox style="mso-next-textbox:#_x0000_s1397" inset="0,0,0,0">
                          <w:txbxContent>
                            <w:p w:rsidR="00A52ABD" w:rsidRPr="005D4729" w:rsidRDefault="00A52ABD" w:rsidP="00541A58">
                              <w:pPr>
                                <w:spacing w:line="240" w:lineRule="exact"/>
                                <w:jc w:val="center"/>
                                <w:rPr>
                                  <w:rFonts w:ascii="Times New Roman" w:hAnsi="Times New Roman"/>
                                  <w:szCs w:val="21"/>
                                </w:rPr>
                              </w:pPr>
                              <w:r>
                                <w:rPr>
                                  <w:rFonts w:ascii="Times New Roman" w:hAnsi="Times New Roman" w:hint="eastAsia"/>
                                  <w:szCs w:val="21"/>
                                </w:rPr>
                                <w:t>I</w:t>
                              </w:r>
                              <w:r w:rsidRPr="005D4729">
                                <w:rPr>
                                  <w:rFonts w:ascii="Times New Roman" w:hAnsi="Times New Roman"/>
                                  <w:szCs w:val="21"/>
                                </w:rPr>
                                <w:t>ntermediate input</w:t>
                              </w:r>
                            </w:p>
                            <w:p w:rsidR="00A52ABD" w:rsidRPr="005D4729" w:rsidRDefault="00A52ABD" w:rsidP="00541A58">
                              <w:pPr>
                                <w:rPr>
                                  <w:rFonts w:ascii="Times New Roman" w:hAnsi="Times New Roman"/>
                                  <w:sz w:val="18"/>
                                  <w:szCs w:val="18"/>
                                </w:rPr>
                              </w:pPr>
                            </w:p>
                            <w:p w:rsidR="00A52ABD" w:rsidRPr="005D4729" w:rsidRDefault="00A52ABD" w:rsidP="00541A58">
                              <w:pPr>
                                <w:rPr>
                                  <w:rFonts w:ascii="Times New Roman" w:hAnsi="Times New Roman"/>
                                  <w:sz w:val="18"/>
                                  <w:szCs w:val="18"/>
                                </w:rPr>
                              </w:pPr>
                            </w:p>
                            <w:p w:rsidR="00A52ABD" w:rsidRPr="005D4729" w:rsidRDefault="00A52ABD" w:rsidP="00541A58">
                              <w:pPr>
                                <w:rPr>
                                  <w:rFonts w:ascii="Times New Roman" w:hAnsi="Times New Roman"/>
                                </w:rPr>
                              </w:pPr>
                            </w:p>
                          </w:txbxContent>
                        </v:textbox>
                      </v:shape>
                      <v:shape id="_x0000_s1398" type="#_x0000_t32" style="position:absolute;left:4241;top:4020;width:3785;height:0" o:connectortype="straight"/>
                      <v:shape id="_x0000_s1399" type="#_x0000_t32" style="position:absolute;left:4241;top:4020;width:0;height:358" o:connectortype="straight"/>
                      <v:shape id="_x0000_s1400" type="#_x0000_t32" style="position:absolute;left:8026;top:4020;width:0;height:358" o:connectortype="straight"/>
                    </v:group>
                    <v:shape id="_x0000_s1401" type="#_x0000_t32" style="position:absolute;left:3448;top:5344;width:1816;height:0" o:connectortype="straight"/>
                    <v:shape id="_x0000_s1402" type="#_x0000_t32" style="position:absolute;left:4379;top:4897;width:0;height:447;flip:y" o:connectortype="straight">
                      <v:stroke endarrow="open"/>
                    </v:shape>
                    <v:shape id="_x0000_s1403" type="#_x0000_t32" style="position:absolute;left:8025;top:4900;width:0;height:447;flip:y" o:connectortype="straight">
                      <v:stroke endarrow="open"/>
                    </v:shape>
                    <v:shape id="_x0000_s1404" type="#_x0000_t32" style="position:absolute;left:6222;top:3573;width:0;height:447;flip:y" o:connectortype="straight">
                      <v:stroke endarrow="open"/>
                    </v:shape>
                    <v:group id="_x0000_s1405" style="position:absolute;left:7141;top:4928;width:2098;height:738" coordorigin="6901,4376" coordsize="2098,738">
                      <v:shape id="_x0000_s1406" type="#_x0000_t202" style="position:absolute;left:7930;top:4376;width:1069;height:419" stroked="f">
                        <v:textbox style="mso-next-textbox:#_x0000_s1406">
                          <w:txbxContent>
                            <w:p w:rsidR="00A52ABD" w:rsidRPr="005D4729" w:rsidRDefault="00A52ABD" w:rsidP="00541A58">
                              <w:pPr>
                                <w:ind w:left="180" w:hangingChars="100" w:hanging="180"/>
                                <w:rPr>
                                  <w:rFonts w:ascii="Times New Roman" w:hAnsi="Times New Roman"/>
                                  <w:sz w:val="18"/>
                                  <w:szCs w:val="18"/>
                                </w:rPr>
                              </w:pPr>
                              <w:r w:rsidRPr="005D4729">
                                <w:rPr>
                                  <w:rFonts w:ascii="Times New Roman" w:hAnsi="Times New Roman"/>
                                  <w:sz w:val="18"/>
                                  <w:szCs w:val="18"/>
                                </w:rPr>
                                <w:t>Leontief</w:t>
                              </w:r>
                            </w:p>
                            <w:p w:rsidR="00A52ABD" w:rsidRPr="005D4729" w:rsidRDefault="00A52ABD" w:rsidP="00541A58">
                              <w:pPr>
                                <w:rPr>
                                  <w:rFonts w:ascii="Times New Roman" w:hAnsi="Times New Roman"/>
                                </w:rPr>
                              </w:pPr>
                            </w:p>
                          </w:txbxContent>
                        </v:textbox>
                      </v:shape>
                      <v:shape id="_x0000_s1407" type="#_x0000_t32" style="position:absolute;left:6901;top:4792;width:1816;height:0" o:connectortype="straight"/>
                      <v:shape id="_x0000_s1408" type="#_x0000_t32" style="position:absolute;left:6901;top:4792;width:0;height:322" o:connectortype="straight"/>
                      <v:shape id="_x0000_s1409" type="#_x0000_t32" style="position:absolute;left:8717;top:4792;width:0;height:322" o:connectortype="straight"/>
                    </v:group>
                    <v:group id="_x0000_s1410" style="position:absolute;left:2837;top:4928;width:2427;height:1257" coordorigin="2837,4928" coordsize="2427,1257">
                      <v:shape id="_x0000_s1411" type="#_x0000_t202" style="position:absolute;left:4501;top:4928;width:671;height:385" stroked="f">
                        <v:textbox style="mso-next-textbox:#_x0000_s1411">
                          <w:txbxContent>
                            <w:p w:rsidR="00A52ABD" w:rsidRPr="005D4729" w:rsidRDefault="00A52ABD" w:rsidP="00541A58">
                              <w:pPr>
                                <w:ind w:left="180" w:hangingChars="100" w:hanging="180"/>
                                <w:rPr>
                                  <w:rFonts w:ascii="Times New Roman" w:hAnsi="Times New Roman"/>
                                </w:rPr>
                              </w:pPr>
                              <w:r w:rsidRPr="005D4729">
                                <w:rPr>
                                  <w:rFonts w:ascii="Times New Roman" w:hAnsi="Times New Roman"/>
                                  <w:sz w:val="18"/>
                                  <w:szCs w:val="18"/>
                                </w:rPr>
                                <w:t>CES</w:t>
                              </w:r>
                            </w:p>
                          </w:txbxContent>
                        </v:textbox>
                      </v:shape>
                      <v:shape id="_x0000_s1412" type="#_x0000_t32" style="position:absolute;left:3447;top:5344;width:0;height:322" o:connectortype="straight"/>
                      <v:shape id="_x0000_s1413" type="#_x0000_t32" style="position:absolute;left:5264;top:5344;width:0;height:322" o:connectortype="straight"/>
                      <v:shape id="_x0000_s1414" type="#_x0000_t202" style="position:absolute;left:2837;top:5666;width:1297;height:519">
                        <v:textbox style="mso-next-textbox:#_x0000_s1414">
                          <w:txbxContent>
                            <w:p w:rsidR="00A52ABD" w:rsidRPr="005D4729" w:rsidRDefault="00A52ABD" w:rsidP="00541A58">
                              <w:pPr>
                                <w:jc w:val="center"/>
                                <w:rPr>
                                  <w:rFonts w:ascii="Times New Roman" w:hAnsi="Times New Roman"/>
                                </w:rPr>
                              </w:pPr>
                              <w:r>
                                <w:rPr>
                                  <w:rFonts w:ascii="Times New Roman" w:hAnsi="Times New Roman" w:hint="eastAsia"/>
                                </w:rPr>
                                <w:t>L</w:t>
                              </w:r>
                              <w:r w:rsidRPr="005D4729">
                                <w:rPr>
                                  <w:rFonts w:ascii="Times New Roman" w:hAnsi="Times New Roman"/>
                                </w:rPr>
                                <w:t>abor</w:t>
                              </w:r>
                            </w:p>
                          </w:txbxContent>
                        </v:textbox>
                      </v:shape>
                    </v:group>
                  </v:group>
                </v:group>
                <v:group id="_x0000_s1415" style="position:absolute;left:3074;top:5658;width:5341;height:3099" coordorigin="3074,5658" coordsize="5341,3099">
                  <v:shape id="_x0000_s1416" type="#_x0000_t32" style="position:absolute;left:6814;top:7912;width:0;height:322" o:connectortype="straight"/>
                  <v:shape id="_x0000_s1417" type="#_x0000_t32" style="position:absolute;left:3392;top:7912;width:1;height:322" o:connectortype="straight"/>
                  <v:group id="_x0000_s1418" style="position:absolute;left:3074;top:5658;width:5341;height:3099" coordorigin="3074,5658" coordsize="5341,3099">
                    <v:shape id="_x0000_s1419" type="#_x0000_t202" style="position:absolute;left:3954;top:8238;width:656;height:519">
                      <v:textbox style="mso-next-textbox:#_x0000_s1419" inset="1.5mm,,1.5mm">
                        <w:txbxContent>
                          <w:p w:rsidR="00A52ABD" w:rsidRPr="005D4729" w:rsidRDefault="00A52ABD" w:rsidP="00541A58">
                            <w:pPr>
                              <w:rPr>
                                <w:rFonts w:ascii="Times New Roman" w:hAnsi="Times New Roman"/>
                              </w:rPr>
                            </w:pPr>
                            <w:r>
                              <w:rPr>
                                <w:rFonts w:ascii="Times New Roman" w:hAnsi="Times New Roman" w:hint="eastAsia"/>
                              </w:rPr>
                              <w:t>Oil</w:t>
                            </w:r>
                          </w:p>
                        </w:txbxContent>
                      </v:textbox>
                    </v:shape>
                    <v:shape id="_x0000_s1420" type="#_x0000_t202" style="position:absolute;left:4824;top:8234;width:656;height:519">
                      <v:textbox style="mso-next-textbox:#_x0000_s1420" inset="1.5mm,,1.5mm">
                        <w:txbxContent>
                          <w:p w:rsidR="00A52ABD" w:rsidRPr="005D4729" w:rsidRDefault="00A52ABD" w:rsidP="00541A58">
                            <w:pPr>
                              <w:rPr>
                                <w:rFonts w:ascii="Times New Roman" w:hAnsi="Times New Roman"/>
                              </w:rPr>
                            </w:pPr>
                            <w:r>
                              <w:rPr>
                                <w:rFonts w:ascii="Times New Roman" w:hAnsi="Times New Roman" w:hint="eastAsia"/>
                              </w:rPr>
                              <w:t>Gas</w:t>
                            </w:r>
                          </w:p>
                        </w:txbxContent>
                      </v:textbox>
                    </v:shape>
                    <v:shape id="_x0000_s1421" type="#_x0000_t32" style="position:absolute;left:5067;top:7465;width:0;height:447;flip:y" o:connectortype="straight">
                      <v:stroke endarrow="open"/>
                    </v:shape>
                    <v:shape id="_x0000_s1422" type="#_x0000_t32" style="position:absolute;left:6152;top:6177;width:0;height:447;flip:y" o:connectortype="straight">
                      <v:stroke endarrow="open"/>
                    </v:shape>
                    <v:group id="_x0000_s1423" style="position:absolute;left:4321;top:6322;width:3907;height:1143" coordorigin="4261,7064" coordsize="3907,1143">
                      <v:shape id="_x0000_s1424" type="#_x0000_t32" style="position:absolute;left:5115;top:7367;width:1;height:322" o:connectortype="straight"/>
                      <v:shape id="_x0000_s1425" type="#_x0000_t32" style="position:absolute;left:7054;top:7366;width:0;height:322" o:connectortype="straight"/>
                      <v:shape id="_x0000_s1426" type="#_x0000_t202" style="position:absolute;left:6155;top:7064;width:672;height:302" stroked="f">
                        <v:textbox style="mso-next-textbox:#_x0000_s1426" inset=",.3mm,,.3mm">
                          <w:txbxContent>
                            <w:p w:rsidR="00A52ABD" w:rsidRPr="005D4729" w:rsidRDefault="00A52ABD" w:rsidP="00541A58">
                              <w:pPr>
                                <w:ind w:left="180" w:hangingChars="100" w:hanging="180"/>
                                <w:rPr>
                                  <w:rFonts w:ascii="Times New Roman" w:hAnsi="Times New Roman"/>
                                </w:rPr>
                              </w:pPr>
                              <w:r w:rsidRPr="005D4729">
                                <w:rPr>
                                  <w:rFonts w:ascii="Times New Roman" w:hAnsi="Times New Roman"/>
                                  <w:sz w:val="18"/>
                                  <w:szCs w:val="18"/>
                                </w:rPr>
                                <w:t>CES</w:t>
                              </w:r>
                            </w:p>
                          </w:txbxContent>
                        </v:textbox>
                      </v:shape>
                      <v:shape id="_x0000_s1427" type="#_x0000_t202" style="position:absolute;left:6337;top:7688;width:1831;height:519">
                        <v:textbox style="mso-next-textbox:#_x0000_s1427">
                          <w:txbxContent>
                            <w:p w:rsidR="00A52ABD" w:rsidRPr="005D4729" w:rsidRDefault="00A52ABD" w:rsidP="00541A58">
                              <w:pPr>
                                <w:jc w:val="center"/>
                                <w:rPr>
                                  <w:rFonts w:ascii="Times New Roman" w:hAnsi="Times New Roman"/>
                                </w:rPr>
                              </w:pPr>
                              <w:r>
                                <w:rPr>
                                  <w:rFonts w:ascii="Times New Roman" w:hAnsi="Times New Roman" w:hint="eastAsia"/>
                                </w:rPr>
                                <w:t>E</w:t>
                              </w:r>
                              <w:r w:rsidRPr="005D4729">
                                <w:rPr>
                                  <w:rFonts w:ascii="Times New Roman" w:hAnsi="Times New Roman"/>
                                </w:rPr>
                                <w:t>lectricity</w:t>
                              </w:r>
                            </w:p>
                          </w:txbxContent>
                        </v:textbox>
                      </v:shape>
                      <v:shape id="_x0000_s1428" type="#_x0000_t202" style="position:absolute;left:4261;top:7688;width:1633;height:519">
                        <v:textbox style="mso-next-textbox:#_x0000_s1428">
                          <w:txbxContent>
                            <w:p w:rsidR="00A52ABD" w:rsidRPr="005D4729" w:rsidRDefault="00A52ABD" w:rsidP="00541A58">
                              <w:pPr>
                                <w:jc w:val="center"/>
                                <w:rPr>
                                  <w:rFonts w:ascii="Times New Roman" w:hAnsi="Times New Roman"/>
                                </w:rPr>
                              </w:pPr>
                              <w:r>
                                <w:rPr>
                                  <w:rFonts w:ascii="Times New Roman" w:hAnsi="Times New Roman" w:hint="eastAsia"/>
                                </w:rPr>
                                <w:t>F</w:t>
                              </w:r>
                              <w:r w:rsidRPr="005D4729">
                                <w:rPr>
                                  <w:rFonts w:ascii="Times New Roman" w:hAnsi="Times New Roman"/>
                                </w:rPr>
                                <w:t xml:space="preserve">ossil fuel </w:t>
                              </w:r>
                            </w:p>
                          </w:txbxContent>
                        </v:textbox>
                      </v:shape>
                      <v:shape id="_x0000_s1429" type="#_x0000_t32" style="position:absolute;left:5116;top:7366;width:1938;height:1" o:connectortype="straight"/>
                    </v:group>
                    <v:shape id="_x0000_s1430" type="#_x0000_t202" style="position:absolute;left:5582;top:5658;width:1305;height:519">
                      <v:textbox style="mso-next-textbox:#_x0000_s1430">
                        <w:txbxContent>
                          <w:p w:rsidR="00A52ABD" w:rsidRPr="005D4729" w:rsidRDefault="00A52ABD" w:rsidP="00541A58">
                            <w:pPr>
                              <w:jc w:val="center"/>
                              <w:rPr>
                                <w:rFonts w:ascii="Times New Roman" w:hAnsi="Times New Roman"/>
                                <w:szCs w:val="21"/>
                              </w:rPr>
                            </w:pPr>
                            <w:r>
                              <w:rPr>
                                <w:rFonts w:ascii="Times New Roman" w:hAnsi="Times New Roman" w:hint="eastAsia"/>
                                <w:szCs w:val="21"/>
                              </w:rPr>
                              <w:t>E</w:t>
                            </w:r>
                            <w:r w:rsidRPr="005D4729">
                              <w:rPr>
                                <w:rFonts w:ascii="Times New Roman" w:hAnsi="Times New Roman"/>
                                <w:szCs w:val="21"/>
                              </w:rPr>
                              <w:t>nergy mix</w:t>
                            </w:r>
                          </w:p>
                        </w:txbxContent>
                      </v:textbox>
                    </v:shape>
                    <v:shape id="_x0000_s1431" type="#_x0000_t202" style="position:absolute;left:5704;top:8238;width:2711;height:515">
                      <v:textbox style="mso-next-textbox:#_x0000_s1431" inset="1.5mm,,1.5mm">
                        <w:txbxContent>
                          <w:p w:rsidR="00A52ABD" w:rsidRPr="005D4729" w:rsidRDefault="00A52ABD" w:rsidP="00541A58">
                            <w:pPr>
                              <w:rPr>
                                <w:rFonts w:ascii="Times New Roman" w:hAnsi="Times New Roman"/>
                              </w:rPr>
                            </w:pPr>
                            <w:r>
                              <w:rPr>
                                <w:rFonts w:ascii="Times New Roman" w:hAnsi="Times New Roman" w:hint="eastAsia"/>
                              </w:rPr>
                              <w:t>R</w:t>
                            </w:r>
                            <w:r w:rsidRPr="005D4729">
                              <w:rPr>
                                <w:rFonts w:ascii="Times New Roman" w:hAnsi="Times New Roman"/>
                              </w:rPr>
                              <w:t>efined oil</w:t>
                            </w:r>
                            <w:r>
                              <w:rPr>
                                <w:rFonts w:hint="eastAsia"/>
                              </w:rPr>
                              <w:t xml:space="preserve">, </w:t>
                            </w:r>
                            <w:r>
                              <w:rPr>
                                <w:rFonts w:ascii="Times New Roman" w:hAnsi="Times New Roman" w:hint="eastAsia"/>
                              </w:rPr>
                              <w:t>c</w:t>
                            </w:r>
                            <w:r w:rsidRPr="0046206B">
                              <w:rPr>
                                <w:rFonts w:ascii="Times New Roman" w:hAnsi="Times New Roman"/>
                              </w:rPr>
                              <w:t>oke</w:t>
                            </w:r>
                            <w:r>
                              <w:rPr>
                                <w:rFonts w:ascii="Times New Roman" w:hAnsi="Times New Roman" w:hint="eastAsia"/>
                              </w:rPr>
                              <w:t xml:space="preserve"> and fuel gas</w:t>
                            </w:r>
                          </w:p>
                        </w:txbxContent>
                      </v:textbox>
                    </v:shape>
                    <v:shape id="_x0000_s1432" type="#_x0000_t32" style="position:absolute;left:4320;top:7912;width:1;height:322" o:connectortype="straight"/>
                    <v:shape id="_x0000_s1433" type="#_x0000_t32" style="position:absolute;left:5164;top:7916;width:1;height:322" o:connectortype="straight"/>
                    <v:shape id="_x0000_s1434" type="#_x0000_t202" style="position:absolute;left:5308;top:7553;width:645;height:302" stroked="f">
                      <v:textbox style="mso-next-textbox:#_x0000_s1434" inset="0,.3mm,0,.3mm">
                        <w:txbxContent>
                          <w:p w:rsidR="00A52ABD" w:rsidRPr="005D4729" w:rsidRDefault="00A52ABD" w:rsidP="00541A58">
                            <w:pPr>
                              <w:ind w:left="180" w:hangingChars="100" w:hanging="180"/>
                              <w:rPr>
                                <w:rFonts w:ascii="Times New Roman" w:hAnsi="Times New Roman"/>
                              </w:rPr>
                            </w:pPr>
                            <w:r w:rsidRPr="005D4729">
                              <w:rPr>
                                <w:rFonts w:ascii="Times New Roman" w:hAnsi="Times New Roman"/>
                                <w:sz w:val="18"/>
                                <w:szCs w:val="18"/>
                              </w:rPr>
                              <w:t>CES</w:t>
                            </w:r>
                          </w:p>
                        </w:txbxContent>
                      </v:textbox>
                    </v:shape>
                    <v:shape id="_x0000_s1435" type="#_x0000_t32" style="position:absolute;left:3392;top:7912;width:3422;height:1" o:connectortype="straight"/>
                    <v:shape id="_x0000_s1436" type="#_x0000_t202" style="position:absolute;left:3074;top:8238;width:656;height:519">
                      <v:textbox style="mso-next-textbox:#_x0000_s1436" inset="1.5mm,,1.5mm">
                        <w:txbxContent>
                          <w:p w:rsidR="00A52ABD" w:rsidRPr="005D4729" w:rsidRDefault="00A52ABD" w:rsidP="00541A58">
                            <w:pPr>
                              <w:rPr>
                                <w:rFonts w:ascii="Times New Roman" w:hAnsi="Times New Roman"/>
                              </w:rPr>
                            </w:pPr>
                            <w:r>
                              <w:rPr>
                                <w:rFonts w:ascii="Times New Roman" w:hAnsi="Times New Roman" w:hint="eastAsia"/>
                              </w:rPr>
                              <w:t>Coal</w:t>
                            </w:r>
                          </w:p>
                        </w:txbxContent>
                      </v:textbox>
                    </v:shape>
                  </v:group>
                </v:group>
              </v:group>
              <v:shape id="_x0000_s1437" type="#_x0000_t202" style="position:absolute;left:4320;top:3050;width:1710;height:519">
                <v:textbox style="mso-next-textbox:#_x0000_s1437">
                  <w:txbxContent>
                    <w:p w:rsidR="00A52ABD" w:rsidRPr="005D4729" w:rsidRDefault="00A52ABD" w:rsidP="00541A58">
                      <w:pPr>
                        <w:jc w:val="center"/>
                        <w:rPr>
                          <w:rFonts w:ascii="Times New Roman" w:hAnsi="Times New Roman"/>
                          <w:szCs w:val="21"/>
                        </w:rPr>
                      </w:pPr>
                      <w:r>
                        <w:rPr>
                          <w:rFonts w:ascii="Times New Roman" w:hAnsi="Times New Roman" w:hint="eastAsia"/>
                          <w:szCs w:val="21"/>
                        </w:rPr>
                        <w:t>Thermal power</w:t>
                      </w:r>
                    </w:p>
                  </w:txbxContent>
                </v:textbox>
              </v:shape>
            </v:group>
          </v:group>
        </w:pict>
      </w: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541A58" w:rsidRPr="00E2269B" w:rsidRDefault="00541A58" w:rsidP="000876CC">
      <w:pPr>
        <w:tabs>
          <w:tab w:val="left" w:pos="1860"/>
        </w:tabs>
        <w:jc w:val="center"/>
        <w:outlineLvl w:val="1"/>
        <w:rPr>
          <w:rFonts w:ascii="Times New Roman" w:hAnsi="Times New Roman" w:cs="Times New Roman"/>
          <w:sz w:val="18"/>
          <w:szCs w:val="18"/>
        </w:rPr>
      </w:pPr>
    </w:p>
    <w:p w:rsidR="003C67F5" w:rsidRPr="00E2269B" w:rsidRDefault="003C67F5" w:rsidP="003C67F5">
      <w:pPr>
        <w:tabs>
          <w:tab w:val="left" w:pos="1860"/>
        </w:tabs>
        <w:jc w:val="center"/>
        <w:outlineLvl w:val="1"/>
        <w:rPr>
          <w:rFonts w:ascii="Times New Roman" w:hAnsi="Times New Roman" w:cs="Times New Roman"/>
          <w:color w:val="000000"/>
          <w:kern w:val="0"/>
          <w:sz w:val="18"/>
          <w:szCs w:val="18"/>
        </w:rPr>
      </w:pPr>
      <w:r w:rsidRPr="00E2269B">
        <w:rPr>
          <w:rFonts w:ascii="Times New Roman" w:hAnsi="Times New Roman" w:cs="Times New Roman"/>
          <w:sz w:val="18"/>
          <w:szCs w:val="18"/>
        </w:rPr>
        <w:t xml:space="preserve">Fig. 2 </w:t>
      </w:r>
      <w:r w:rsidRPr="00E2269B">
        <w:rPr>
          <w:rFonts w:ascii="Times New Roman" w:hAnsi="Times New Roman" w:cs="Times New Roman"/>
          <w:color w:val="000000"/>
          <w:kern w:val="0"/>
          <w:sz w:val="18"/>
          <w:szCs w:val="18"/>
        </w:rPr>
        <w:t xml:space="preserve">Structure of electricity sector </w:t>
      </w:r>
    </w:p>
    <w:p w:rsidR="000876CC" w:rsidRPr="00E2269B" w:rsidRDefault="000876CC" w:rsidP="000876CC">
      <w:pPr>
        <w:rPr>
          <w:rFonts w:ascii="Times New Roman" w:hAnsi="Times New Roman" w:cs="Times New Roman"/>
          <w:b/>
          <w:szCs w:val="21"/>
        </w:rPr>
      </w:pPr>
    </w:p>
    <w:p w:rsidR="00F074E4" w:rsidRPr="00E2269B" w:rsidRDefault="00F074E4" w:rsidP="000876CC">
      <w:pPr>
        <w:jc w:val="left"/>
        <w:rPr>
          <w:rFonts w:ascii="Times New Roman" w:hAnsi="Times New Roman" w:cs="Times New Roman"/>
        </w:rPr>
      </w:pPr>
      <w:r w:rsidRPr="00E2269B">
        <w:rPr>
          <w:rFonts w:ascii="Times New Roman" w:hAnsi="Times New Roman" w:cs="Times New Roman"/>
        </w:rPr>
        <w:t>2.2 data</w:t>
      </w:r>
    </w:p>
    <w:p w:rsidR="00540697" w:rsidRPr="00E2269B" w:rsidRDefault="00540697" w:rsidP="005D03CB">
      <w:pPr>
        <w:pStyle w:val="a9"/>
        <w:jc w:val="left"/>
        <w:rPr>
          <w:rFonts w:ascii="Times New Roman" w:hAnsi="Times New Roman"/>
          <w:color w:val="000000"/>
          <w:kern w:val="0"/>
          <w:szCs w:val="21"/>
        </w:rPr>
      </w:pPr>
      <w:r w:rsidRPr="00E2269B">
        <w:rPr>
          <w:rFonts w:ascii="Times New Roman" w:hAnsi="Times New Roman"/>
        </w:rPr>
        <w:t>R</w:t>
      </w:r>
      <w:r w:rsidR="00F074E4" w:rsidRPr="00E2269B">
        <w:rPr>
          <w:rFonts w:ascii="Times New Roman" w:hAnsi="Times New Roman"/>
        </w:rPr>
        <w:t>esearch center on fictitious economy and data science</w:t>
      </w:r>
      <w:r w:rsidRPr="00E2269B">
        <w:rPr>
          <w:rFonts w:ascii="Times New Roman" w:hAnsi="Times New Roman"/>
        </w:rPr>
        <w:t xml:space="preserve"> of Chinese Academy of Sciences</w:t>
      </w:r>
      <w:r w:rsidR="00F074E4" w:rsidRPr="00E2269B">
        <w:rPr>
          <w:rFonts w:ascii="Times New Roman" w:hAnsi="Times New Roman"/>
        </w:rPr>
        <w:t xml:space="preserve"> has established a</w:t>
      </w:r>
      <w:r w:rsidRPr="00E2269B">
        <w:rPr>
          <w:rFonts w:ascii="Times New Roman" w:hAnsi="Times New Roman"/>
        </w:rPr>
        <w:t>n</w:t>
      </w:r>
      <w:r w:rsidR="00F074E4" w:rsidRPr="00E2269B">
        <w:rPr>
          <w:rFonts w:ascii="Times New Roman" w:hAnsi="Times New Roman"/>
        </w:rPr>
        <w:t xml:space="preserve"> </w:t>
      </w:r>
      <w:r w:rsidRPr="00E2269B">
        <w:rPr>
          <w:rFonts w:ascii="Times New Roman" w:hAnsi="Times New Roman"/>
          <w:color w:val="000000"/>
          <w:kern w:val="0"/>
          <w:szCs w:val="21"/>
        </w:rPr>
        <w:t xml:space="preserve">Interregional Input-Output Table 2002 for </w:t>
      </w:r>
      <w:r w:rsidR="00F074E4" w:rsidRPr="00E2269B">
        <w:rPr>
          <w:rFonts w:ascii="Times New Roman" w:hAnsi="Times New Roman"/>
        </w:rPr>
        <w:t>China,</w:t>
      </w:r>
      <w:r w:rsidRPr="00E2269B">
        <w:rPr>
          <w:rFonts w:ascii="Times New Roman" w:hAnsi="Times New Roman"/>
          <w:color w:val="000000"/>
          <w:kern w:val="0"/>
          <w:szCs w:val="21"/>
        </w:rPr>
        <w:t xml:space="preserve"> including thirty provinces</w:t>
      </w:r>
      <w:r w:rsidRPr="00E2269B">
        <w:rPr>
          <w:rFonts w:ascii="Times New Roman" w:hAnsi="Times New Roman"/>
        </w:rPr>
        <w:t xml:space="preserve"> (exclude Tibet, Hong Kong and Taiwan) </w:t>
      </w:r>
      <w:r w:rsidRPr="00E2269B">
        <w:rPr>
          <w:rFonts w:ascii="Times New Roman" w:hAnsi="Times New Roman"/>
          <w:color w:val="000000"/>
          <w:kern w:val="0"/>
          <w:szCs w:val="21"/>
        </w:rPr>
        <w:t>and sixty sectors.</w:t>
      </w:r>
      <w:r w:rsidRPr="00E2269B">
        <w:rPr>
          <w:rFonts w:ascii="Times New Roman" w:hAnsi="Times New Roman"/>
        </w:rPr>
        <w:t xml:space="preserve"> </w:t>
      </w:r>
      <w:r w:rsidR="00E34358" w:rsidRPr="00E2269B">
        <w:rPr>
          <w:rFonts w:ascii="Times New Roman" w:hAnsi="Times New Roman"/>
        </w:rPr>
        <w:t>In this table, a</w:t>
      </w:r>
      <w:r w:rsidRPr="00E2269B">
        <w:rPr>
          <w:rFonts w:ascii="Times New Roman" w:hAnsi="Times New Roman"/>
        </w:rPr>
        <w:t xml:space="preserve"> 30×60×30×60 matrix of commodity transactions reflects regional commodity usage of intermediate inputs of industries of regions</w:t>
      </w:r>
      <w:r w:rsidR="00E34358" w:rsidRPr="00E2269B">
        <w:rPr>
          <w:rFonts w:ascii="Times New Roman" w:hAnsi="Times New Roman"/>
        </w:rPr>
        <w:t xml:space="preserve">, and a </w:t>
      </w:r>
      <w:r w:rsidRPr="00E2269B">
        <w:rPr>
          <w:rFonts w:ascii="Times New Roman" w:hAnsi="Times New Roman"/>
        </w:rPr>
        <w:t>5</w:t>
      </w:r>
      <w:r w:rsidR="00E34358" w:rsidRPr="00E2269B">
        <w:rPr>
          <w:rFonts w:ascii="Times New Roman" w:hAnsi="Times New Roman"/>
        </w:rPr>
        <w:t>×</w:t>
      </w:r>
      <w:r w:rsidRPr="00E2269B">
        <w:rPr>
          <w:rFonts w:ascii="Times New Roman" w:hAnsi="Times New Roman"/>
        </w:rPr>
        <w:t xml:space="preserve"> 30×30×60 matrix of commodity transactions reflect</w:t>
      </w:r>
      <w:r w:rsidR="00E34358" w:rsidRPr="00E2269B">
        <w:rPr>
          <w:rFonts w:ascii="Times New Roman" w:hAnsi="Times New Roman"/>
        </w:rPr>
        <w:t>s</w:t>
      </w:r>
      <w:r w:rsidRPr="00E2269B">
        <w:rPr>
          <w:rFonts w:ascii="Times New Roman" w:hAnsi="Times New Roman"/>
        </w:rPr>
        <w:t xml:space="preserve"> regional commodity usage of rural household consumption, urban household consumption, government’s consumption, gross fixed capital formation, and inventory investment. Th</w:t>
      </w:r>
      <w:r w:rsidR="00F074E4" w:rsidRPr="00E2269B">
        <w:rPr>
          <w:rFonts w:ascii="Times New Roman" w:hAnsi="Times New Roman"/>
        </w:rPr>
        <w:t xml:space="preserve">e model here uses </w:t>
      </w:r>
      <w:r w:rsidR="00E34358" w:rsidRPr="00E2269B">
        <w:rPr>
          <w:rFonts w:ascii="Times New Roman" w:hAnsi="Times New Roman"/>
        </w:rPr>
        <w:t xml:space="preserve">it </w:t>
      </w:r>
      <w:r w:rsidR="00F074E4" w:rsidRPr="00E2269B">
        <w:rPr>
          <w:rFonts w:ascii="Times New Roman" w:hAnsi="Times New Roman"/>
        </w:rPr>
        <w:t>as the basic database.</w:t>
      </w:r>
      <w:r w:rsidRPr="00E2269B">
        <w:rPr>
          <w:rFonts w:ascii="Times New Roman" w:hAnsi="Times New Roman"/>
          <w:color w:val="000000"/>
          <w:kern w:val="0"/>
          <w:szCs w:val="21"/>
        </w:rPr>
        <w:t xml:space="preserve"> </w:t>
      </w:r>
    </w:p>
    <w:p w:rsidR="005D03CB" w:rsidRPr="00E2269B" w:rsidRDefault="005D03CB" w:rsidP="00235CD8">
      <w:pPr>
        <w:jc w:val="left"/>
        <w:rPr>
          <w:rFonts w:ascii="Times New Roman" w:hAnsi="Times New Roman" w:cs="Times New Roman"/>
          <w:b/>
          <w:bCs/>
          <w:kern w:val="0"/>
          <w:sz w:val="24"/>
          <w:szCs w:val="24"/>
        </w:rPr>
      </w:pPr>
    </w:p>
    <w:p w:rsidR="00235CD8" w:rsidRPr="00E2269B" w:rsidRDefault="00235CD8" w:rsidP="00235CD8">
      <w:pPr>
        <w:jc w:val="left"/>
        <w:rPr>
          <w:rFonts w:ascii="Times New Roman" w:hAnsi="Times New Roman" w:cs="Times New Roman"/>
          <w:b/>
          <w:szCs w:val="21"/>
        </w:rPr>
      </w:pPr>
      <w:r w:rsidRPr="00E2269B">
        <w:rPr>
          <w:rFonts w:ascii="Times New Roman" w:hAnsi="Times New Roman" w:cs="Times New Roman"/>
          <w:b/>
          <w:bCs/>
          <w:kern w:val="0"/>
          <w:szCs w:val="21"/>
        </w:rPr>
        <w:t xml:space="preserve">3. Scenario </w:t>
      </w:r>
      <w:r w:rsidR="00A52ABD">
        <w:rPr>
          <w:rFonts w:ascii="Times New Roman" w:hAnsi="Times New Roman" w:cs="Times New Roman" w:hint="eastAsia"/>
          <w:b/>
          <w:bCs/>
          <w:kern w:val="0"/>
          <w:szCs w:val="21"/>
        </w:rPr>
        <w:t>d</w:t>
      </w:r>
      <w:r w:rsidRPr="00E2269B">
        <w:rPr>
          <w:rFonts w:ascii="Times New Roman" w:hAnsi="Times New Roman" w:cs="Times New Roman"/>
          <w:b/>
          <w:bCs/>
          <w:kern w:val="0"/>
          <w:szCs w:val="21"/>
        </w:rPr>
        <w:t xml:space="preserve">esign and </w:t>
      </w:r>
      <w:r w:rsidR="00A52ABD" w:rsidRPr="00A52ABD">
        <w:rPr>
          <w:rFonts w:ascii="Times New Roman" w:hAnsi="Times New Roman" w:cs="Times New Roman" w:hint="eastAsia"/>
          <w:b/>
        </w:rPr>
        <w:t>d</w:t>
      </w:r>
      <w:r w:rsidR="00A52ABD" w:rsidRPr="00A52ABD">
        <w:rPr>
          <w:rFonts w:ascii="Times New Roman" w:hAnsi="Times New Roman" w:cs="Times New Roman"/>
          <w:b/>
        </w:rPr>
        <w:t>isaggregation of energy consumption quotas</w:t>
      </w:r>
    </w:p>
    <w:p w:rsidR="00D9195E" w:rsidRDefault="00D9195E" w:rsidP="00235CD8">
      <w:pPr>
        <w:jc w:val="left"/>
        <w:rPr>
          <w:rFonts w:ascii="Times New Roman" w:hAnsi="Times New Roman" w:cs="Times New Roman"/>
          <w:szCs w:val="21"/>
        </w:rPr>
      </w:pPr>
    </w:p>
    <w:p w:rsidR="00235CD8" w:rsidRPr="00E2269B" w:rsidRDefault="00235CD8" w:rsidP="00235CD8">
      <w:pPr>
        <w:jc w:val="left"/>
        <w:rPr>
          <w:rFonts w:ascii="Times New Roman" w:hAnsi="Times New Roman" w:cs="Times New Roman"/>
          <w:szCs w:val="21"/>
        </w:rPr>
      </w:pPr>
      <w:r w:rsidRPr="00E2269B">
        <w:rPr>
          <w:rFonts w:ascii="Times New Roman" w:hAnsi="Times New Roman" w:cs="Times New Roman"/>
          <w:szCs w:val="21"/>
        </w:rPr>
        <w:t>3.1</w:t>
      </w:r>
      <w:r w:rsidRPr="00E2269B">
        <w:rPr>
          <w:rFonts w:ascii="Times New Roman" w:hAnsi="Times New Roman" w:cs="Times New Roman"/>
          <w:bCs/>
          <w:kern w:val="0"/>
          <w:szCs w:val="21"/>
        </w:rPr>
        <w:t xml:space="preserve"> Scenario Design </w:t>
      </w:r>
    </w:p>
    <w:p w:rsidR="00FF6679" w:rsidRPr="00E2269B" w:rsidRDefault="005D03CB" w:rsidP="00FF6679">
      <w:pPr>
        <w:rPr>
          <w:rFonts w:ascii="Times New Roman" w:hAnsi="Times New Roman" w:cs="Times New Roman"/>
          <w:szCs w:val="21"/>
        </w:rPr>
      </w:pPr>
      <w:r w:rsidRPr="00E2269B">
        <w:rPr>
          <w:rFonts w:ascii="Times New Roman" w:hAnsi="Times New Roman" w:cs="Times New Roman"/>
          <w:szCs w:val="21"/>
        </w:rPr>
        <w:t>3.1.1</w:t>
      </w:r>
      <w:r w:rsidR="00FF6679" w:rsidRPr="00E2269B">
        <w:rPr>
          <w:rFonts w:ascii="Times New Roman" w:hAnsi="Times New Roman" w:cs="Times New Roman"/>
          <w:szCs w:val="21"/>
        </w:rPr>
        <w:t>Baseline Scenario</w:t>
      </w:r>
    </w:p>
    <w:p w:rsidR="00235CD8" w:rsidRPr="00E2269B" w:rsidRDefault="00235CD8" w:rsidP="005D03CB">
      <w:pPr>
        <w:rPr>
          <w:rFonts w:ascii="Times New Roman" w:hAnsi="Times New Roman" w:cs="Times New Roman"/>
          <w:b/>
        </w:rPr>
      </w:pPr>
      <w:r w:rsidRPr="00E2269B">
        <w:rPr>
          <w:rFonts w:ascii="Times New Roman" w:hAnsi="Times New Roman" w:cs="Times New Roman"/>
        </w:rPr>
        <w:t>The baseline scenario (S0) discussed here represents the situation in which economics develop normally without constrain of any specific energy consumption control. It means the economic development and industrial structure changes from 2003 to 2015 are mainly driven by the improvement of TFP (</w:t>
      </w:r>
      <w:r w:rsidRPr="00E2269B">
        <w:rPr>
          <w:rFonts w:ascii="Times New Roman" w:hAnsi="Times New Roman" w:cs="Times New Roman"/>
          <w:szCs w:val="21"/>
        </w:rPr>
        <w:t>total factor productivity</w:t>
      </w:r>
      <w:r w:rsidRPr="00E2269B">
        <w:rPr>
          <w:rFonts w:ascii="Times New Roman" w:hAnsi="Times New Roman" w:cs="Times New Roman"/>
        </w:rPr>
        <w:t xml:space="preserve">), the increase of labor force and capital accumulation. The history values of each regions’ TFP from 2003-2010 are calibrated by the history values of GDPs of each region within that period. Future values of each regions’ TFP from </w:t>
      </w:r>
      <w:r w:rsidRPr="00E2269B">
        <w:rPr>
          <w:rFonts w:ascii="Times New Roman" w:hAnsi="Times New Roman" w:cs="Times New Roman"/>
        </w:rPr>
        <w:lastRenderedPageBreak/>
        <w:t>2011-2015 are calibrated by the</w:t>
      </w:r>
      <w:r w:rsidR="00A84DAE" w:rsidRPr="00A84DAE">
        <w:rPr>
          <w:rFonts w:ascii="Times New Roman" w:hAnsi="Times New Roman" w:cs="Times New Roman"/>
        </w:rPr>
        <w:t xml:space="preserve"> </w:t>
      </w:r>
      <w:r w:rsidR="00A84DAE">
        <w:rPr>
          <w:rFonts w:ascii="Times New Roman" w:hAnsi="Times New Roman" w:cs="Times New Roman"/>
        </w:rPr>
        <w:t>‘</w:t>
      </w:r>
      <w:r w:rsidR="00A84DAE" w:rsidRPr="00E2269B">
        <w:rPr>
          <w:rFonts w:ascii="Times New Roman" w:hAnsi="Times New Roman" w:cs="Times New Roman"/>
        </w:rPr>
        <w:t>twelfth</w:t>
      </w:r>
      <w:r w:rsidR="00A84DAE">
        <w:rPr>
          <w:rFonts w:ascii="Times New Roman" w:hAnsi="Times New Roman" w:cs="Times New Roman" w:hint="eastAsia"/>
        </w:rPr>
        <w:t xml:space="preserve"> </w:t>
      </w:r>
      <w:r w:rsidRPr="00E2269B">
        <w:rPr>
          <w:rFonts w:ascii="Times New Roman" w:hAnsi="Times New Roman" w:cs="Times New Roman"/>
        </w:rPr>
        <w:t xml:space="preserve">five-year’ planning values of GDPs of each region in that period. Besides TFP, the model also includes the energy efficient improvement, using a constant yearly-increase value of 0.2% of AEEI to represent it. The growth rates of regional labor force from 2003 to 2010 uses the recorded history values while the ones from 2011-2015 are estimated according to the increase trends of regional labor force. Capital accumulation is automatically calculated yearly by the model. </w:t>
      </w:r>
    </w:p>
    <w:p w:rsidR="00D9195E" w:rsidRDefault="00D9195E" w:rsidP="006E0F3B">
      <w:pPr>
        <w:jc w:val="left"/>
        <w:rPr>
          <w:rFonts w:ascii="Times New Roman" w:hAnsi="Times New Roman" w:cs="Times New Roman"/>
        </w:rPr>
      </w:pPr>
    </w:p>
    <w:p w:rsidR="003D6EBE" w:rsidRPr="00E2269B" w:rsidRDefault="005D03CB" w:rsidP="006E0F3B">
      <w:pPr>
        <w:jc w:val="left"/>
        <w:rPr>
          <w:rFonts w:ascii="Times New Roman" w:hAnsi="Times New Roman" w:cs="Times New Roman"/>
        </w:rPr>
      </w:pPr>
      <w:r w:rsidRPr="00E2269B">
        <w:rPr>
          <w:rFonts w:ascii="Times New Roman" w:hAnsi="Times New Roman" w:cs="Times New Roman"/>
        </w:rPr>
        <w:t>3.</w:t>
      </w:r>
      <w:r w:rsidR="00E2269B">
        <w:rPr>
          <w:rFonts w:ascii="Times New Roman" w:hAnsi="Times New Roman" w:cs="Times New Roman" w:hint="eastAsia"/>
        </w:rPr>
        <w:t>1.2</w:t>
      </w:r>
      <w:r w:rsidRPr="00E2269B">
        <w:rPr>
          <w:rFonts w:ascii="Times New Roman" w:hAnsi="Times New Roman" w:cs="Times New Roman"/>
        </w:rPr>
        <w:t xml:space="preserve"> </w:t>
      </w:r>
      <w:r w:rsidR="00FF6679" w:rsidRPr="00E2269B">
        <w:rPr>
          <w:rFonts w:ascii="Times New Roman" w:hAnsi="Times New Roman" w:cs="Times New Roman"/>
        </w:rPr>
        <w:t>Policy scenarios</w:t>
      </w:r>
    </w:p>
    <w:p w:rsidR="00235CD8" w:rsidRDefault="00235CD8" w:rsidP="00235CD8">
      <w:pPr>
        <w:ind w:firstLineChars="200" w:firstLine="420"/>
        <w:jc w:val="left"/>
        <w:rPr>
          <w:rFonts w:ascii="Times New Roman" w:hAnsi="Times New Roman" w:cs="Times New Roman"/>
        </w:rPr>
      </w:pPr>
      <w:r w:rsidRPr="00E2269B">
        <w:rPr>
          <w:rFonts w:ascii="Times New Roman" w:hAnsi="Times New Roman" w:cs="Times New Roman"/>
        </w:rPr>
        <w:t xml:space="preserve">Although policy scenarios are all related to the </w:t>
      </w:r>
      <w:r w:rsidR="001D31CA">
        <w:rPr>
          <w:rFonts w:ascii="Times New Roman" w:hAnsi="Times New Roman" w:cs="Times New Roman" w:hint="eastAsia"/>
        </w:rPr>
        <w:t xml:space="preserve">policy to </w:t>
      </w:r>
      <w:r w:rsidR="001D31CA" w:rsidRPr="00E2269B">
        <w:rPr>
          <w:rFonts w:ascii="Times New Roman" w:hAnsi="Times New Roman" w:cs="Times New Roman"/>
        </w:rPr>
        <w:t xml:space="preserve">control </w:t>
      </w:r>
      <w:r w:rsidRPr="00E2269B">
        <w:rPr>
          <w:rFonts w:ascii="Times New Roman" w:hAnsi="Times New Roman" w:cs="Times New Roman"/>
        </w:rPr>
        <w:t xml:space="preserve">energy consumption quotas, different scenarios can be designed by different implements of regional </w:t>
      </w:r>
      <w:r w:rsidR="00A52ABD">
        <w:rPr>
          <w:rFonts w:ascii="Times New Roman" w:hAnsi="Times New Roman" w:cs="Times New Roman" w:hint="eastAsia"/>
        </w:rPr>
        <w:t>d</w:t>
      </w:r>
      <w:r w:rsidR="00A52ABD">
        <w:rPr>
          <w:rFonts w:ascii="Times New Roman" w:hAnsi="Times New Roman" w:cs="Times New Roman"/>
        </w:rPr>
        <w:t>isaggregation</w:t>
      </w:r>
      <w:r w:rsidRPr="00E2269B">
        <w:rPr>
          <w:rFonts w:ascii="Times New Roman" w:hAnsi="Times New Roman" w:cs="Times New Roman"/>
        </w:rPr>
        <w:t xml:space="preserve"> (Table 1).</w:t>
      </w:r>
    </w:p>
    <w:p w:rsidR="00D9195E" w:rsidRPr="00E2269B" w:rsidRDefault="00D9195E" w:rsidP="00235CD8">
      <w:pPr>
        <w:ind w:firstLineChars="200" w:firstLine="420"/>
        <w:jc w:val="left"/>
        <w:rPr>
          <w:rFonts w:ascii="Times New Roman" w:hAnsi="Times New Roman" w:cs="Times New Roman"/>
        </w:rPr>
      </w:pPr>
    </w:p>
    <w:p w:rsidR="00235CD8" w:rsidRPr="00E2269B" w:rsidRDefault="00235CD8" w:rsidP="00235CD8">
      <w:pPr>
        <w:jc w:val="center"/>
        <w:rPr>
          <w:rFonts w:ascii="Times New Roman" w:hAnsi="Times New Roman" w:cs="Times New Roman"/>
          <w:b/>
        </w:rPr>
      </w:pPr>
      <w:r w:rsidRPr="00E2269B">
        <w:rPr>
          <w:rFonts w:ascii="Times New Roman" w:hAnsi="Times New Roman" w:cs="Times New Roman"/>
        </w:rPr>
        <w:t>Table.1 Policy scenarios design</w:t>
      </w:r>
    </w:p>
    <w:tbl>
      <w:tblPr>
        <w:tblW w:w="0" w:type="auto"/>
        <w:jc w:val="center"/>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9"/>
        <w:gridCol w:w="4784"/>
      </w:tblGrid>
      <w:tr w:rsidR="00235CD8" w:rsidRPr="00E2269B" w:rsidTr="002747A4">
        <w:trPr>
          <w:trHeight w:val="240"/>
          <w:jc w:val="center"/>
        </w:trPr>
        <w:tc>
          <w:tcPr>
            <w:tcW w:w="2239" w:type="dxa"/>
          </w:tcPr>
          <w:p w:rsidR="00235CD8" w:rsidRPr="00E2269B" w:rsidRDefault="00235CD8" w:rsidP="002747A4">
            <w:pPr>
              <w:jc w:val="center"/>
              <w:rPr>
                <w:rFonts w:ascii="Times New Roman" w:hAnsi="Times New Roman" w:cs="Times New Roman"/>
              </w:rPr>
            </w:pPr>
            <w:r w:rsidRPr="00E2269B">
              <w:rPr>
                <w:rFonts w:ascii="Times New Roman" w:hAnsi="Times New Roman" w:cs="Times New Roman"/>
              </w:rPr>
              <w:t>Scenarios</w:t>
            </w:r>
          </w:p>
        </w:tc>
        <w:tc>
          <w:tcPr>
            <w:tcW w:w="4784" w:type="dxa"/>
          </w:tcPr>
          <w:p w:rsidR="00235CD8" w:rsidRPr="00E2269B" w:rsidRDefault="00235CD8" w:rsidP="002747A4">
            <w:pPr>
              <w:jc w:val="center"/>
              <w:rPr>
                <w:rFonts w:ascii="Times New Roman" w:hAnsi="Times New Roman" w:cs="Times New Roman"/>
              </w:rPr>
            </w:pPr>
            <w:r w:rsidRPr="00E2269B">
              <w:rPr>
                <w:rFonts w:ascii="Times New Roman" w:hAnsi="Times New Roman" w:cs="Times New Roman"/>
              </w:rPr>
              <w:t>Description</w:t>
            </w:r>
          </w:p>
        </w:tc>
      </w:tr>
      <w:tr w:rsidR="00235CD8" w:rsidRPr="00E2269B" w:rsidTr="002747A4">
        <w:trPr>
          <w:trHeight w:val="480"/>
          <w:jc w:val="center"/>
        </w:trPr>
        <w:tc>
          <w:tcPr>
            <w:tcW w:w="2239" w:type="dxa"/>
          </w:tcPr>
          <w:p w:rsidR="00235CD8" w:rsidRPr="00E2269B" w:rsidRDefault="00235CD8" w:rsidP="002747A4">
            <w:pPr>
              <w:jc w:val="center"/>
              <w:rPr>
                <w:rFonts w:ascii="Times New Roman" w:hAnsi="Times New Roman" w:cs="Times New Roman"/>
              </w:rPr>
            </w:pPr>
            <w:r w:rsidRPr="00E2269B">
              <w:rPr>
                <w:rFonts w:ascii="Times New Roman" w:hAnsi="Times New Roman" w:cs="Times New Roman"/>
              </w:rPr>
              <w:t>Efficiency-first</w:t>
            </w:r>
          </w:p>
          <w:p w:rsidR="00235CD8" w:rsidRPr="00E2269B" w:rsidRDefault="00235CD8" w:rsidP="002747A4">
            <w:pPr>
              <w:jc w:val="center"/>
              <w:rPr>
                <w:rFonts w:ascii="Times New Roman" w:hAnsi="Times New Roman" w:cs="Times New Roman"/>
              </w:rPr>
            </w:pPr>
            <w:r w:rsidRPr="00E2269B">
              <w:rPr>
                <w:rFonts w:ascii="Times New Roman" w:hAnsi="Times New Roman" w:cs="Times New Roman"/>
              </w:rPr>
              <w:t>（</w:t>
            </w:r>
            <w:r w:rsidRPr="00E2269B">
              <w:rPr>
                <w:rFonts w:ascii="Times New Roman" w:hAnsi="Times New Roman" w:cs="Times New Roman"/>
              </w:rPr>
              <w:t>S1</w:t>
            </w:r>
            <w:r w:rsidRPr="00E2269B">
              <w:rPr>
                <w:rFonts w:ascii="Times New Roman" w:hAnsi="Times New Roman" w:cs="Times New Roman"/>
              </w:rPr>
              <w:t>）</w:t>
            </w:r>
          </w:p>
        </w:tc>
        <w:tc>
          <w:tcPr>
            <w:tcW w:w="4784" w:type="dxa"/>
          </w:tcPr>
          <w:p w:rsidR="00235CD8" w:rsidRPr="00E2269B" w:rsidRDefault="00235CD8" w:rsidP="002747A4">
            <w:pPr>
              <w:jc w:val="left"/>
              <w:rPr>
                <w:rFonts w:ascii="Times New Roman" w:hAnsi="Times New Roman" w:cs="Times New Roman"/>
              </w:rPr>
            </w:pPr>
            <w:r w:rsidRPr="00E2269B">
              <w:rPr>
                <w:rFonts w:ascii="Times New Roman" w:hAnsi="Times New Roman" w:cs="Times New Roman"/>
              </w:rPr>
              <w:t xml:space="preserve">The allocation indicator is comprised of efficiency and </w:t>
            </w:r>
            <w:r w:rsidR="00A52ABD">
              <w:rPr>
                <w:rFonts w:ascii="Times New Roman" w:hAnsi="Times New Roman" w:cs="Times New Roman"/>
              </w:rPr>
              <w:t>equity</w:t>
            </w:r>
            <w:r w:rsidRPr="00E2269B">
              <w:rPr>
                <w:rFonts w:ascii="Times New Roman" w:hAnsi="Times New Roman" w:cs="Times New Roman"/>
              </w:rPr>
              <w:t xml:space="preserve"> indicators, and the former kind account for 80%, and the latter kind account for 20%.</w:t>
            </w:r>
          </w:p>
        </w:tc>
      </w:tr>
      <w:tr w:rsidR="00235CD8" w:rsidRPr="00E2269B" w:rsidTr="002747A4">
        <w:trPr>
          <w:trHeight w:val="480"/>
          <w:jc w:val="center"/>
        </w:trPr>
        <w:tc>
          <w:tcPr>
            <w:tcW w:w="2239" w:type="dxa"/>
          </w:tcPr>
          <w:p w:rsidR="00235CD8" w:rsidRPr="00E2269B" w:rsidRDefault="00A52ABD" w:rsidP="002747A4">
            <w:pPr>
              <w:jc w:val="center"/>
              <w:rPr>
                <w:rFonts w:ascii="Times New Roman" w:hAnsi="Times New Roman" w:cs="Times New Roman"/>
              </w:rPr>
            </w:pPr>
            <w:r>
              <w:rPr>
                <w:rFonts w:ascii="Times New Roman" w:hAnsi="Times New Roman" w:cs="Times New Roman"/>
              </w:rPr>
              <w:t>Equity</w:t>
            </w:r>
            <w:r w:rsidR="00235CD8" w:rsidRPr="00E2269B">
              <w:rPr>
                <w:rFonts w:ascii="Times New Roman" w:hAnsi="Times New Roman" w:cs="Times New Roman"/>
              </w:rPr>
              <w:t>-first</w:t>
            </w:r>
          </w:p>
          <w:p w:rsidR="00235CD8" w:rsidRPr="00E2269B" w:rsidRDefault="00235CD8" w:rsidP="002747A4">
            <w:pPr>
              <w:jc w:val="center"/>
              <w:rPr>
                <w:rFonts w:ascii="Times New Roman" w:hAnsi="Times New Roman" w:cs="Times New Roman"/>
              </w:rPr>
            </w:pPr>
            <w:r w:rsidRPr="00E2269B">
              <w:rPr>
                <w:rFonts w:ascii="Times New Roman" w:hAnsi="Times New Roman" w:cs="Times New Roman"/>
              </w:rPr>
              <w:t>（</w:t>
            </w:r>
            <w:r w:rsidRPr="00E2269B">
              <w:rPr>
                <w:rFonts w:ascii="Times New Roman" w:hAnsi="Times New Roman" w:cs="Times New Roman"/>
              </w:rPr>
              <w:t>S2</w:t>
            </w:r>
            <w:r w:rsidRPr="00E2269B">
              <w:rPr>
                <w:rFonts w:ascii="Times New Roman" w:hAnsi="Times New Roman" w:cs="Times New Roman"/>
              </w:rPr>
              <w:t>）</w:t>
            </w:r>
          </w:p>
        </w:tc>
        <w:tc>
          <w:tcPr>
            <w:tcW w:w="4784" w:type="dxa"/>
          </w:tcPr>
          <w:p w:rsidR="00235CD8" w:rsidRPr="00E2269B" w:rsidRDefault="00235CD8" w:rsidP="002747A4">
            <w:pPr>
              <w:jc w:val="left"/>
              <w:rPr>
                <w:rFonts w:ascii="Times New Roman" w:hAnsi="Times New Roman" w:cs="Times New Roman"/>
              </w:rPr>
            </w:pPr>
            <w:r w:rsidRPr="00E2269B">
              <w:rPr>
                <w:rFonts w:ascii="Times New Roman" w:hAnsi="Times New Roman" w:cs="Times New Roman"/>
              </w:rPr>
              <w:t xml:space="preserve">Efficiency indicators account for 20%, and </w:t>
            </w:r>
            <w:r w:rsidR="00A52ABD">
              <w:rPr>
                <w:rFonts w:ascii="Times New Roman" w:hAnsi="Times New Roman" w:cs="Times New Roman"/>
              </w:rPr>
              <w:t>equity</w:t>
            </w:r>
            <w:r w:rsidRPr="00E2269B">
              <w:rPr>
                <w:rFonts w:ascii="Times New Roman" w:hAnsi="Times New Roman" w:cs="Times New Roman"/>
              </w:rPr>
              <w:t xml:space="preserve"> indicators account for 80%.</w:t>
            </w:r>
          </w:p>
        </w:tc>
      </w:tr>
      <w:tr w:rsidR="00235CD8" w:rsidRPr="00E2269B" w:rsidTr="002747A4">
        <w:trPr>
          <w:trHeight w:val="480"/>
          <w:jc w:val="center"/>
        </w:trPr>
        <w:tc>
          <w:tcPr>
            <w:tcW w:w="2239" w:type="dxa"/>
          </w:tcPr>
          <w:p w:rsidR="00235CD8" w:rsidRPr="00E2269B" w:rsidRDefault="00235CD8" w:rsidP="002747A4">
            <w:pPr>
              <w:jc w:val="center"/>
              <w:rPr>
                <w:rFonts w:ascii="Times New Roman" w:hAnsi="Times New Roman" w:cs="Times New Roman"/>
              </w:rPr>
            </w:pPr>
            <w:r w:rsidRPr="00E2269B">
              <w:rPr>
                <w:rFonts w:ascii="Times New Roman" w:hAnsi="Times New Roman" w:cs="Times New Roman"/>
              </w:rPr>
              <w:t xml:space="preserve">Efficiency and </w:t>
            </w:r>
            <w:r w:rsidR="00A52ABD">
              <w:rPr>
                <w:rFonts w:ascii="Times New Roman" w:hAnsi="Times New Roman" w:cs="Times New Roman"/>
              </w:rPr>
              <w:t>equity</w:t>
            </w:r>
            <w:r w:rsidRPr="00E2269B">
              <w:rPr>
                <w:rFonts w:ascii="Times New Roman" w:hAnsi="Times New Roman" w:cs="Times New Roman"/>
              </w:rPr>
              <w:t xml:space="preserve"> of same importance</w:t>
            </w:r>
          </w:p>
          <w:p w:rsidR="00235CD8" w:rsidRPr="00E2269B" w:rsidRDefault="00235CD8" w:rsidP="002747A4">
            <w:pPr>
              <w:jc w:val="center"/>
              <w:rPr>
                <w:rFonts w:ascii="Times New Roman" w:hAnsi="Times New Roman" w:cs="Times New Roman"/>
              </w:rPr>
            </w:pPr>
            <w:r w:rsidRPr="00E2269B">
              <w:rPr>
                <w:rFonts w:ascii="Times New Roman" w:hAnsi="Times New Roman" w:cs="Times New Roman"/>
              </w:rPr>
              <w:t>（</w:t>
            </w:r>
            <w:r w:rsidRPr="00E2269B">
              <w:rPr>
                <w:rFonts w:ascii="Times New Roman" w:hAnsi="Times New Roman" w:cs="Times New Roman"/>
              </w:rPr>
              <w:t>S3</w:t>
            </w:r>
            <w:r w:rsidRPr="00E2269B">
              <w:rPr>
                <w:rFonts w:ascii="Times New Roman" w:hAnsi="Times New Roman" w:cs="Times New Roman"/>
              </w:rPr>
              <w:t>）</w:t>
            </w:r>
          </w:p>
        </w:tc>
        <w:tc>
          <w:tcPr>
            <w:tcW w:w="4784" w:type="dxa"/>
          </w:tcPr>
          <w:p w:rsidR="00235CD8" w:rsidRPr="00E2269B" w:rsidRDefault="00235CD8" w:rsidP="002747A4">
            <w:pPr>
              <w:jc w:val="left"/>
              <w:rPr>
                <w:rFonts w:ascii="Times New Roman" w:hAnsi="Times New Roman" w:cs="Times New Roman"/>
              </w:rPr>
            </w:pPr>
            <w:r w:rsidRPr="00E2269B">
              <w:rPr>
                <w:rFonts w:ascii="Times New Roman" w:hAnsi="Times New Roman" w:cs="Times New Roman"/>
              </w:rPr>
              <w:t xml:space="preserve">Efficiency indicators account for 50%, and </w:t>
            </w:r>
            <w:r w:rsidR="00A52ABD">
              <w:rPr>
                <w:rFonts w:ascii="Times New Roman" w:hAnsi="Times New Roman" w:cs="Times New Roman"/>
              </w:rPr>
              <w:t>equity</w:t>
            </w:r>
            <w:r w:rsidRPr="00E2269B">
              <w:rPr>
                <w:rFonts w:ascii="Times New Roman" w:hAnsi="Times New Roman" w:cs="Times New Roman"/>
              </w:rPr>
              <w:t xml:space="preserve"> indicators account for 50%.</w:t>
            </w:r>
          </w:p>
        </w:tc>
      </w:tr>
    </w:tbl>
    <w:p w:rsidR="005D03CB" w:rsidRPr="00E2269B" w:rsidRDefault="005D03CB" w:rsidP="00BF1D83">
      <w:pPr>
        <w:jc w:val="left"/>
        <w:rPr>
          <w:rFonts w:ascii="Times New Roman" w:hAnsi="Times New Roman" w:cs="Times New Roman"/>
          <w:b/>
        </w:rPr>
      </w:pPr>
    </w:p>
    <w:p w:rsidR="00BF1D83" w:rsidRPr="00A52ABD" w:rsidRDefault="00BF1D83" w:rsidP="00BF1D83">
      <w:pPr>
        <w:jc w:val="left"/>
        <w:rPr>
          <w:rFonts w:ascii="Times New Roman" w:hAnsi="Times New Roman" w:cs="Times New Roman"/>
          <w:szCs w:val="21"/>
        </w:rPr>
      </w:pPr>
      <w:r w:rsidRPr="00A52ABD">
        <w:rPr>
          <w:rFonts w:ascii="Times New Roman" w:hAnsi="Times New Roman" w:cs="Times New Roman"/>
          <w:szCs w:val="21"/>
        </w:rPr>
        <w:t>3.2</w:t>
      </w:r>
      <w:r w:rsidR="00A52ABD" w:rsidRPr="00A52ABD">
        <w:rPr>
          <w:rFonts w:ascii="Times New Roman" w:hAnsi="Times New Roman" w:cs="Times New Roman"/>
          <w:bCs/>
          <w:kern w:val="0"/>
          <w:szCs w:val="21"/>
        </w:rPr>
        <w:t xml:space="preserve"> </w:t>
      </w:r>
      <w:r w:rsidR="00A52ABD">
        <w:rPr>
          <w:rFonts w:ascii="Times New Roman" w:hAnsi="Times New Roman" w:cs="Times New Roman" w:hint="eastAsia"/>
        </w:rPr>
        <w:t>D</w:t>
      </w:r>
      <w:r w:rsidR="00A52ABD" w:rsidRPr="00A52ABD">
        <w:rPr>
          <w:rFonts w:ascii="Times New Roman" w:hAnsi="Times New Roman" w:cs="Times New Roman"/>
        </w:rPr>
        <w:t>isaggregation of energy consumption quotas</w:t>
      </w:r>
    </w:p>
    <w:p w:rsidR="00235CD8" w:rsidRDefault="00235CD8" w:rsidP="005D03CB">
      <w:pPr>
        <w:jc w:val="left"/>
        <w:rPr>
          <w:rFonts w:ascii="Times New Roman" w:hAnsi="Times New Roman" w:cs="Times New Roman"/>
        </w:rPr>
      </w:pPr>
      <w:r w:rsidRPr="00E2269B">
        <w:rPr>
          <w:rFonts w:ascii="Times New Roman" w:hAnsi="Times New Roman" w:cs="Times New Roman"/>
        </w:rPr>
        <w:t xml:space="preserve">Due to the differences of converting coefficient, the sum of all individual regions’ energy consumption is not exact same as national energy consumption. Take the data of 2010 for </w:t>
      </w:r>
      <w:proofErr w:type="gramStart"/>
      <w:r w:rsidRPr="00E2269B">
        <w:rPr>
          <w:rFonts w:ascii="Times New Roman" w:hAnsi="Times New Roman" w:cs="Times New Roman"/>
        </w:rPr>
        <w:t>example,</w:t>
      </w:r>
      <w:proofErr w:type="gramEnd"/>
      <w:r w:rsidRPr="00E2269B">
        <w:rPr>
          <w:rFonts w:ascii="Times New Roman" w:hAnsi="Times New Roman" w:cs="Times New Roman"/>
        </w:rPr>
        <w:t xml:space="preserve"> the sum of all regions’ energy consumption is 3.89 billion </w:t>
      </w:r>
      <w:proofErr w:type="spellStart"/>
      <w:r w:rsidRPr="00E2269B">
        <w:rPr>
          <w:rFonts w:ascii="Times New Roman" w:hAnsi="Times New Roman" w:cs="Times New Roman"/>
        </w:rPr>
        <w:t>tce</w:t>
      </w:r>
      <w:proofErr w:type="spellEnd"/>
      <w:r w:rsidRPr="00E2269B">
        <w:rPr>
          <w:rFonts w:ascii="Times New Roman" w:hAnsi="Times New Roman" w:cs="Times New Roman"/>
        </w:rPr>
        <w:t xml:space="preserve">, which is 1.2 times as much as that of the country. Considering this factor, the sum target of all regions’ energy consumption quotas should be adjusted based on the target of national controlling quota. Using 1.2 as the multiply factor, the sum target of regions’ energy consumption quotas in 2015 is set to be 4.92 billion </w:t>
      </w:r>
      <w:proofErr w:type="spellStart"/>
      <w:r w:rsidRPr="00E2269B">
        <w:rPr>
          <w:rFonts w:ascii="Times New Roman" w:hAnsi="Times New Roman" w:cs="Times New Roman"/>
        </w:rPr>
        <w:t>tce</w:t>
      </w:r>
      <w:proofErr w:type="spellEnd"/>
      <w:r w:rsidRPr="00E2269B">
        <w:rPr>
          <w:rFonts w:ascii="Times New Roman" w:hAnsi="Times New Roman" w:cs="Times New Roman"/>
        </w:rPr>
        <w:t xml:space="preserve"> (national quota is 4.1 billion </w:t>
      </w:r>
      <w:proofErr w:type="spellStart"/>
      <w:r w:rsidRPr="00E2269B">
        <w:rPr>
          <w:rFonts w:ascii="Times New Roman" w:hAnsi="Times New Roman" w:cs="Times New Roman"/>
        </w:rPr>
        <w:t>tce</w:t>
      </w:r>
      <w:proofErr w:type="spellEnd"/>
      <w:r w:rsidRPr="00E2269B">
        <w:rPr>
          <w:rFonts w:ascii="Times New Roman" w:hAnsi="Times New Roman" w:cs="Times New Roman"/>
        </w:rPr>
        <w:t xml:space="preserve">), which is 1.02 billion </w:t>
      </w:r>
      <w:proofErr w:type="spellStart"/>
      <w:r w:rsidRPr="00E2269B">
        <w:rPr>
          <w:rFonts w:ascii="Times New Roman" w:hAnsi="Times New Roman" w:cs="Times New Roman"/>
        </w:rPr>
        <w:t>tce</w:t>
      </w:r>
      <w:proofErr w:type="spellEnd"/>
      <w:r w:rsidRPr="00E2269B">
        <w:rPr>
          <w:rFonts w:ascii="Times New Roman" w:hAnsi="Times New Roman" w:cs="Times New Roman"/>
        </w:rPr>
        <w:t xml:space="preserve"> larger than that of 2010.</w:t>
      </w:r>
    </w:p>
    <w:p w:rsidR="00B31665" w:rsidRPr="00E2269B" w:rsidRDefault="00B31665" w:rsidP="005D03CB">
      <w:pPr>
        <w:jc w:val="left"/>
        <w:rPr>
          <w:rFonts w:ascii="Times New Roman" w:hAnsi="Times New Roman" w:cs="Times New Roman"/>
        </w:rPr>
      </w:pPr>
    </w:p>
    <w:p w:rsidR="00BF1D83" w:rsidRPr="00E2269B" w:rsidRDefault="00BF1D83" w:rsidP="005D03CB">
      <w:pPr>
        <w:jc w:val="left"/>
        <w:rPr>
          <w:rFonts w:ascii="Times New Roman" w:hAnsi="Times New Roman" w:cs="Times New Roman"/>
        </w:rPr>
      </w:pPr>
      <w:r w:rsidRPr="00E2269B">
        <w:rPr>
          <w:rFonts w:ascii="Times New Roman" w:hAnsi="Times New Roman" w:cs="Times New Roman"/>
        </w:rPr>
        <w:t xml:space="preserve">The principle and indicators for </w:t>
      </w:r>
      <w:r w:rsidR="00A52ABD" w:rsidRPr="00A52ABD">
        <w:rPr>
          <w:rFonts w:ascii="Times New Roman" w:hAnsi="Times New Roman" w:cs="Times New Roman" w:hint="eastAsia"/>
        </w:rPr>
        <w:t>d</w:t>
      </w:r>
      <w:r w:rsidR="00A52ABD" w:rsidRPr="00A52ABD">
        <w:rPr>
          <w:rFonts w:ascii="Times New Roman" w:hAnsi="Times New Roman" w:cs="Times New Roman"/>
        </w:rPr>
        <w:t xml:space="preserve">isaggregation of energy consumption quotas </w:t>
      </w:r>
      <w:r w:rsidRPr="00E2269B">
        <w:rPr>
          <w:rFonts w:ascii="Times New Roman" w:hAnsi="Times New Roman" w:cs="Times New Roman"/>
        </w:rPr>
        <w:t xml:space="preserve">used in the paper can be summarized in table 2. The </w:t>
      </w:r>
      <w:r w:rsidR="00A52ABD">
        <w:rPr>
          <w:rFonts w:ascii="Times New Roman" w:hAnsi="Times New Roman" w:cs="Times New Roman"/>
        </w:rPr>
        <w:t>equity</w:t>
      </w:r>
      <w:r w:rsidRPr="00E2269B">
        <w:rPr>
          <w:rFonts w:ascii="Times New Roman" w:hAnsi="Times New Roman" w:cs="Times New Roman"/>
        </w:rPr>
        <w:t xml:space="preserve"> indicator is defined as the geometry average of reciprocals of energy consumption per capita and GDP per capita. The efficiency factor is defined as the geometry average of reciprocals of energy consumption per </w:t>
      </w:r>
      <w:r w:rsidR="00267D95" w:rsidRPr="00E2269B">
        <w:rPr>
          <w:rFonts w:ascii="Times New Roman" w:hAnsi="Times New Roman" w:cs="Times New Roman"/>
        </w:rPr>
        <w:t>industrial value added</w:t>
      </w:r>
      <w:r w:rsidRPr="00E2269B">
        <w:rPr>
          <w:rFonts w:ascii="Times New Roman" w:hAnsi="Times New Roman" w:cs="Times New Roman"/>
        </w:rPr>
        <w:t xml:space="preserve"> and its variation trend. </w:t>
      </w:r>
      <w:r w:rsidR="00267D95" w:rsidRPr="00E2269B">
        <w:rPr>
          <w:rFonts w:ascii="Times New Roman" w:hAnsi="Times New Roman" w:cs="Times New Roman"/>
        </w:rPr>
        <w:t>E</w:t>
      </w:r>
      <w:r w:rsidRPr="00E2269B">
        <w:rPr>
          <w:rFonts w:ascii="Times New Roman" w:hAnsi="Times New Roman" w:cs="Times New Roman"/>
        </w:rPr>
        <w:t>nergy consumption per capita,</w:t>
      </w:r>
      <w:r w:rsidR="00267D95" w:rsidRPr="00E2269B">
        <w:rPr>
          <w:rFonts w:ascii="Times New Roman" w:hAnsi="Times New Roman" w:cs="Times New Roman"/>
        </w:rPr>
        <w:t xml:space="preserve"> </w:t>
      </w:r>
      <w:r w:rsidRPr="00E2269B">
        <w:rPr>
          <w:rFonts w:ascii="Times New Roman" w:hAnsi="Times New Roman" w:cs="Times New Roman"/>
        </w:rPr>
        <w:t xml:space="preserve">GDP per </w:t>
      </w:r>
      <w:r w:rsidR="00267D95" w:rsidRPr="00E2269B">
        <w:rPr>
          <w:rFonts w:ascii="Times New Roman" w:hAnsi="Times New Roman" w:cs="Times New Roman"/>
        </w:rPr>
        <w:t>c</w:t>
      </w:r>
      <w:r w:rsidRPr="00E2269B">
        <w:rPr>
          <w:rFonts w:ascii="Times New Roman" w:hAnsi="Times New Roman" w:cs="Times New Roman"/>
        </w:rPr>
        <w:t xml:space="preserve">apita and energy consumption per </w:t>
      </w:r>
      <w:r w:rsidR="00267D95" w:rsidRPr="00E2269B">
        <w:rPr>
          <w:rFonts w:ascii="Times New Roman" w:hAnsi="Times New Roman" w:cs="Times New Roman"/>
        </w:rPr>
        <w:t>industrial value added</w:t>
      </w:r>
      <w:r w:rsidRPr="00E2269B">
        <w:rPr>
          <w:rFonts w:ascii="Times New Roman" w:hAnsi="Times New Roman" w:cs="Times New Roman"/>
        </w:rPr>
        <w:t xml:space="preserve"> of each region </w:t>
      </w:r>
      <w:r w:rsidR="00267D95" w:rsidRPr="00E2269B">
        <w:rPr>
          <w:rFonts w:ascii="Times New Roman" w:hAnsi="Times New Roman" w:cs="Times New Roman"/>
        </w:rPr>
        <w:t>are derived from statistic data in</w:t>
      </w:r>
      <w:r w:rsidRPr="00E2269B">
        <w:rPr>
          <w:rFonts w:ascii="Times New Roman" w:hAnsi="Times New Roman" w:cs="Times New Roman"/>
        </w:rPr>
        <w:t xml:space="preserve"> 2010</w:t>
      </w:r>
      <w:r w:rsidR="00267D95" w:rsidRPr="00E2269B">
        <w:rPr>
          <w:rFonts w:ascii="Times New Roman" w:hAnsi="Times New Roman" w:cs="Times New Roman"/>
        </w:rPr>
        <w:t>,</w:t>
      </w:r>
      <w:r w:rsidRPr="00E2269B">
        <w:rPr>
          <w:rFonts w:ascii="Times New Roman" w:hAnsi="Times New Roman" w:cs="Times New Roman"/>
        </w:rPr>
        <w:t xml:space="preserve"> while the </w:t>
      </w:r>
      <w:r w:rsidR="00BA15BD" w:rsidRPr="00E2269B">
        <w:rPr>
          <w:rFonts w:ascii="Times New Roman" w:hAnsi="Times New Roman" w:cs="Times New Roman"/>
        </w:rPr>
        <w:t xml:space="preserve">average change </w:t>
      </w:r>
      <w:r w:rsidRPr="00E2269B">
        <w:rPr>
          <w:rFonts w:ascii="Times New Roman" w:hAnsi="Times New Roman" w:cs="Times New Roman"/>
        </w:rPr>
        <w:t xml:space="preserve">trends of energy consumption per industry add-value of each region </w:t>
      </w:r>
      <w:r w:rsidR="00267D95" w:rsidRPr="00E2269B">
        <w:rPr>
          <w:rFonts w:ascii="Times New Roman" w:hAnsi="Times New Roman" w:cs="Times New Roman"/>
        </w:rPr>
        <w:t>is calculated by</w:t>
      </w:r>
      <w:r w:rsidR="00BA15BD" w:rsidRPr="00E2269B">
        <w:rPr>
          <w:rFonts w:ascii="Times New Roman" w:hAnsi="Times New Roman" w:cs="Times New Roman"/>
        </w:rPr>
        <w:t xml:space="preserve"> related</w:t>
      </w:r>
      <w:r w:rsidRPr="00E2269B">
        <w:rPr>
          <w:rFonts w:ascii="Times New Roman" w:hAnsi="Times New Roman" w:cs="Times New Roman"/>
        </w:rPr>
        <w:t xml:space="preserve"> </w:t>
      </w:r>
      <w:r w:rsidR="00267D95" w:rsidRPr="00E2269B">
        <w:rPr>
          <w:rFonts w:ascii="Times New Roman" w:hAnsi="Times New Roman" w:cs="Times New Roman"/>
        </w:rPr>
        <w:t xml:space="preserve">data </w:t>
      </w:r>
      <w:r w:rsidR="00BA15BD" w:rsidRPr="00E2269B">
        <w:rPr>
          <w:rFonts w:ascii="Times New Roman" w:hAnsi="Times New Roman" w:cs="Times New Roman"/>
        </w:rPr>
        <w:t>of</w:t>
      </w:r>
      <w:r w:rsidR="00267D95" w:rsidRPr="00E2269B">
        <w:rPr>
          <w:rFonts w:ascii="Times New Roman" w:hAnsi="Times New Roman" w:cs="Times New Roman"/>
        </w:rPr>
        <w:t xml:space="preserve"> </w:t>
      </w:r>
      <w:r w:rsidR="00BA15BD" w:rsidRPr="00E2269B">
        <w:rPr>
          <w:rFonts w:ascii="Times New Roman" w:hAnsi="Times New Roman" w:cs="Times New Roman"/>
        </w:rPr>
        <w:t xml:space="preserve">the </w:t>
      </w:r>
      <w:r w:rsidR="00267D95" w:rsidRPr="00E2269B">
        <w:rPr>
          <w:rFonts w:ascii="Times New Roman" w:hAnsi="Times New Roman" w:cs="Times New Roman"/>
        </w:rPr>
        <w:t>la</w:t>
      </w:r>
      <w:r w:rsidR="00BA15BD" w:rsidRPr="00E2269B">
        <w:rPr>
          <w:rFonts w:ascii="Times New Roman" w:hAnsi="Times New Roman" w:cs="Times New Roman"/>
        </w:rPr>
        <w:t>test</w:t>
      </w:r>
      <w:r w:rsidR="00267D95" w:rsidRPr="00E2269B">
        <w:rPr>
          <w:rFonts w:ascii="Times New Roman" w:hAnsi="Times New Roman" w:cs="Times New Roman"/>
        </w:rPr>
        <w:t xml:space="preserve"> 5 years. </w:t>
      </w:r>
      <w:r w:rsidRPr="00E2269B">
        <w:rPr>
          <w:rFonts w:ascii="Times New Roman" w:hAnsi="Times New Roman" w:cs="Times New Roman"/>
        </w:rPr>
        <w:t xml:space="preserve">All indicators are normalized to between 0 and 1. Based on the weight value for </w:t>
      </w:r>
      <w:r w:rsidR="00BA15BD" w:rsidRPr="00E2269B">
        <w:rPr>
          <w:rFonts w:ascii="Times New Roman" w:hAnsi="Times New Roman" w:cs="Times New Roman"/>
        </w:rPr>
        <w:t xml:space="preserve">efficiency and </w:t>
      </w:r>
      <w:r w:rsidR="00A52ABD">
        <w:rPr>
          <w:rFonts w:ascii="Times New Roman" w:hAnsi="Times New Roman" w:cs="Times New Roman"/>
        </w:rPr>
        <w:t>equity</w:t>
      </w:r>
      <w:r w:rsidR="00BA15BD" w:rsidRPr="00E2269B">
        <w:rPr>
          <w:rFonts w:ascii="Times New Roman" w:hAnsi="Times New Roman" w:cs="Times New Roman"/>
        </w:rPr>
        <w:t xml:space="preserve"> indicators </w:t>
      </w:r>
      <w:r w:rsidRPr="00E2269B">
        <w:rPr>
          <w:rFonts w:ascii="Times New Roman" w:hAnsi="Times New Roman" w:cs="Times New Roman"/>
        </w:rPr>
        <w:t xml:space="preserve">specified in table 1, energy quota allocation of different policy scenarios can be </w:t>
      </w:r>
      <w:r w:rsidR="0012567A" w:rsidRPr="00E2269B">
        <w:rPr>
          <w:rFonts w:ascii="Times New Roman" w:hAnsi="Times New Roman" w:cs="Times New Roman"/>
        </w:rPr>
        <w:t>calculated</w:t>
      </w:r>
      <w:r w:rsidRPr="00E2269B">
        <w:rPr>
          <w:rFonts w:ascii="Times New Roman" w:hAnsi="Times New Roman" w:cs="Times New Roman"/>
        </w:rPr>
        <w:t>.</w:t>
      </w:r>
    </w:p>
    <w:p w:rsidR="005D03CB" w:rsidRPr="00E2269B" w:rsidRDefault="005D03CB" w:rsidP="005D03CB">
      <w:pPr>
        <w:jc w:val="left"/>
        <w:rPr>
          <w:rFonts w:ascii="Times New Roman" w:hAnsi="Times New Roman" w:cs="Times New Roman"/>
        </w:rPr>
      </w:pPr>
    </w:p>
    <w:p w:rsidR="00BF1D83" w:rsidRPr="00E2269B" w:rsidRDefault="00BF1D83" w:rsidP="00BF1D83">
      <w:pPr>
        <w:jc w:val="center"/>
        <w:rPr>
          <w:rFonts w:ascii="Times New Roman" w:hAnsi="Times New Roman" w:cs="Times New Roman"/>
        </w:rPr>
      </w:pPr>
      <w:r w:rsidRPr="00E2269B">
        <w:rPr>
          <w:rFonts w:ascii="Times New Roman" w:hAnsi="Times New Roman" w:cs="Times New Roman"/>
        </w:rPr>
        <w:t xml:space="preserve"> Table.2 Principle and indicators for energy consumption quotas’ allocation</w:t>
      </w:r>
    </w:p>
    <w:tbl>
      <w:tblPr>
        <w:tblW w:w="0" w:type="auto"/>
        <w:tblLayout w:type="fixed"/>
        <w:tblLook w:val="04A0"/>
      </w:tblPr>
      <w:tblGrid>
        <w:gridCol w:w="1368"/>
        <w:gridCol w:w="1434"/>
        <w:gridCol w:w="1446"/>
        <w:gridCol w:w="4274"/>
      </w:tblGrid>
      <w:tr w:rsidR="00BF1D83" w:rsidRPr="00E2269B" w:rsidTr="002747A4">
        <w:trPr>
          <w:trHeight w:val="270"/>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D83" w:rsidRPr="00E2269B" w:rsidRDefault="00BF1D83" w:rsidP="002747A4">
            <w:pPr>
              <w:widowControl/>
              <w:jc w:val="center"/>
              <w:rPr>
                <w:rFonts w:ascii="Times New Roman" w:hAnsi="Times New Roman" w:cs="Times New Roman"/>
                <w:color w:val="000000"/>
                <w:kern w:val="0"/>
                <w:sz w:val="22"/>
              </w:rPr>
            </w:pPr>
            <w:r w:rsidRPr="00E2269B">
              <w:rPr>
                <w:rFonts w:ascii="Times New Roman" w:hAnsi="Times New Roman" w:cs="Times New Roman"/>
                <w:color w:val="000000"/>
                <w:kern w:val="0"/>
                <w:sz w:val="22"/>
              </w:rPr>
              <w:t>Principle</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BF1D83" w:rsidRPr="00E2269B" w:rsidRDefault="00BF1D83" w:rsidP="002747A4">
            <w:pPr>
              <w:widowControl/>
              <w:jc w:val="center"/>
              <w:rPr>
                <w:rFonts w:ascii="Times New Roman" w:hAnsi="Times New Roman" w:cs="Times New Roman"/>
                <w:color w:val="000000"/>
                <w:kern w:val="0"/>
                <w:sz w:val="22"/>
              </w:rPr>
            </w:pPr>
            <w:r w:rsidRPr="00E2269B">
              <w:rPr>
                <w:rFonts w:ascii="Times New Roman" w:hAnsi="Times New Roman" w:cs="Times New Roman"/>
                <w:color w:val="000000"/>
                <w:kern w:val="0"/>
                <w:sz w:val="22"/>
              </w:rPr>
              <w:t>Factors</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BF1D83" w:rsidRPr="00E2269B" w:rsidRDefault="00BF1D83" w:rsidP="002747A4">
            <w:pPr>
              <w:widowControl/>
              <w:jc w:val="center"/>
              <w:rPr>
                <w:rFonts w:ascii="Times New Roman" w:hAnsi="Times New Roman" w:cs="Times New Roman"/>
                <w:color w:val="000000"/>
                <w:kern w:val="0"/>
                <w:sz w:val="22"/>
              </w:rPr>
            </w:pPr>
            <w:r w:rsidRPr="00E2269B">
              <w:rPr>
                <w:rFonts w:ascii="Times New Roman" w:hAnsi="Times New Roman" w:cs="Times New Roman"/>
                <w:color w:val="000000"/>
                <w:kern w:val="0"/>
                <w:sz w:val="22"/>
              </w:rPr>
              <w:t>Indicators</w:t>
            </w:r>
          </w:p>
        </w:tc>
        <w:tc>
          <w:tcPr>
            <w:tcW w:w="4274" w:type="dxa"/>
            <w:tcBorders>
              <w:top w:val="single" w:sz="4" w:space="0" w:color="auto"/>
              <w:left w:val="nil"/>
              <w:bottom w:val="single" w:sz="4" w:space="0" w:color="auto"/>
              <w:right w:val="single" w:sz="4" w:space="0" w:color="auto"/>
            </w:tcBorders>
            <w:shd w:val="clear" w:color="auto" w:fill="auto"/>
            <w:noWrap/>
            <w:vAlign w:val="center"/>
          </w:tcPr>
          <w:p w:rsidR="00BF1D83" w:rsidRPr="00E2269B" w:rsidRDefault="00BF1D83" w:rsidP="002747A4">
            <w:pPr>
              <w:widowControl/>
              <w:jc w:val="center"/>
              <w:rPr>
                <w:rFonts w:ascii="Times New Roman" w:hAnsi="Times New Roman" w:cs="Times New Roman"/>
                <w:color w:val="000000"/>
                <w:kern w:val="0"/>
                <w:sz w:val="22"/>
              </w:rPr>
            </w:pPr>
            <w:r w:rsidRPr="00E2269B">
              <w:rPr>
                <w:rFonts w:ascii="Times New Roman" w:hAnsi="Times New Roman" w:cs="Times New Roman"/>
                <w:color w:val="000000"/>
                <w:kern w:val="0"/>
                <w:sz w:val="22"/>
              </w:rPr>
              <w:t>Explanation</w:t>
            </w:r>
          </w:p>
        </w:tc>
      </w:tr>
      <w:tr w:rsidR="00BF1D83" w:rsidRPr="00E2269B" w:rsidTr="002747A4">
        <w:trPr>
          <w:trHeight w:val="810"/>
        </w:trPr>
        <w:tc>
          <w:tcPr>
            <w:tcW w:w="1368" w:type="dxa"/>
            <w:tcBorders>
              <w:top w:val="nil"/>
              <w:left w:val="single" w:sz="4" w:space="0" w:color="auto"/>
              <w:bottom w:val="single" w:sz="4" w:space="0" w:color="auto"/>
              <w:right w:val="single" w:sz="4" w:space="0" w:color="auto"/>
            </w:tcBorders>
            <w:shd w:val="clear" w:color="auto" w:fill="auto"/>
            <w:noWrap/>
            <w:vAlign w:val="center"/>
          </w:tcPr>
          <w:p w:rsidR="00BF1D83" w:rsidRPr="00E2269B" w:rsidRDefault="00A52ABD" w:rsidP="00F01EB3">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lastRenderedPageBreak/>
              <w:t>Equity</w:t>
            </w:r>
          </w:p>
        </w:tc>
        <w:tc>
          <w:tcPr>
            <w:tcW w:w="1434" w:type="dxa"/>
            <w:tcBorders>
              <w:top w:val="nil"/>
              <w:left w:val="nil"/>
              <w:bottom w:val="single" w:sz="4" w:space="0" w:color="auto"/>
              <w:right w:val="single" w:sz="4" w:space="0" w:color="auto"/>
            </w:tcBorders>
            <w:shd w:val="clear" w:color="auto" w:fill="auto"/>
            <w:noWrap/>
            <w:vAlign w:val="center"/>
          </w:tcPr>
          <w:p w:rsidR="00BF1D83" w:rsidRPr="00E2269B" w:rsidRDefault="00BF1D83" w:rsidP="002747A4">
            <w:pPr>
              <w:widowControl/>
              <w:jc w:val="left"/>
              <w:rPr>
                <w:rFonts w:ascii="Times New Roman" w:hAnsi="Times New Roman" w:cs="Times New Roman"/>
                <w:color w:val="000000"/>
                <w:kern w:val="0"/>
                <w:sz w:val="22"/>
              </w:rPr>
            </w:pPr>
            <w:r w:rsidRPr="00E2269B">
              <w:rPr>
                <w:rFonts w:ascii="Times New Roman" w:hAnsi="Times New Roman" w:cs="Times New Roman"/>
                <w:color w:val="000000"/>
                <w:kern w:val="0"/>
                <w:sz w:val="22"/>
              </w:rPr>
              <w:t>Level of energy consumption and room for its future development</w:t>
            </w:r>
          </w:p>
        </w:tc>
        <w:tc>
          <w:tcPr>
            <w:tcW w:w="1446" w:type="dxa"/>
            <w:tcBorders>
              <w:top w:val="nil"/>
              <w:left w:val="nil"/>
              <w:bottom w:val="single" w:sz="4" w:space="0" w:color="auto"/>
              <w:right w:val="single" w:sz="4" w:space="0" w:color="auto"/>
            </w:tcBorders>
            <w:shd w:val="clear" w:color="auto" w:fill="auto"/>
            <w:noWrap/>
            <w:vAlign w:val="center"/>
          </w:tcPr>
          <w:p w:rsidR="00BF1D83" w:rsidRPr="00E2269B" w:rsidRDefault="00F01EB3" w:rsidP="002747A4">
            <w:pPr>
              <w:widowControl/>
              <w:jc w:val="left"/>
              <w:rPr>
                <w:rFonts w:ascii="Times New Roman" w:hAnsi="Times New Roman" w:cs="Times New Roman"/>
                <w:color w:val="000000"/>
                <w:kern w:val="0"/>
                <w:sz w:val="22"/>
              </w:rPr>
            </w:pPr>
            <w:r w:rsidRPr="00E2269B">
              <w:rPr>
                <w:rFonts w:ascii="Times New Roman" w:hAnsi="Times New Roman" w:cs="Times New Roman"/>
              </w:rPr>
              <w:t>E</w:t>
            </w:r>
            <w:r w:rsidR="00BF1D83" w:rsidRPr="00E2269B">
              <w:rPr>
                <w:rFonts w:ascii="Times New Roman" w:hAnsi="Times New Roman" w:cs="Times New Roman"/>
              </w:rPr>
              <w:t>nergy consumption per capita ,</w:t>
            </w:r>
            <w:r w:rsidRPr="00E2269B">
              <w:rPr>
                <w:rFonts w:ascii="Times New Roman" w:hAnsi="Times New Roman" w:cs="Times New Roman"/>
              </w:rPr>
              <w:t>and</w:t>
            </w:r>
            <w:r w:rsidR="00BF1D83" w:rsidRPr="00E2269B">
              <w:rPr>
                <w:rFonts w:ascii="Times New Roman" w:hAnsi="Times New Roman" w:cs="Times New Roman"/>
              </w:rPr>
              <w:t xml:space="preserve"> GDP per capita</w:t>
            </w:r>
          </w:p>
        </w:tc>
        <w:tc>
          <w:tcPr>
            <w:tcW w:w="4274" w:type="dxa"/>
            <w:tcBorders>
              <w:top w:val="nil"/>
              <w:left w:val="nil"/>
              <w:bottom w:val="single" w:sz="4" w:space="0" w:color="auto"/>
              <w:right w:val="single" w:sz="4" w:space="0" w:color="auto"/>
            </w:tcBorders>
            <w:shd w:val="clear" w:color="auto" w:fill="auto"/>
            <w:vAlign w:val="center"/>
          </w:tcPr>
          <w:p w:rsidR="00BF1D83" w:rsidRPr="00E2269B" w:rsidRDefault="00BF1D83" w:rsidP="002747A4">
            <w:pPr>
              <w:widowControl/>
              <w:jc w:val="left"/>
              <w:rPr>
                <w:rFonts w:ascii="Times New Roman" w:hAnsi="Times New Roman" w:cs="Times New Roman"/>
                <w:color w:val="000000"/>
                <w:kern w:val="0"/>
                <w:sz w:val="22"/>
              </w:rPr>
            </w:pPr>
            <w:r w:rsidRPr="00E2269B">
              <w:rPr>
                <w:rFonts w:ascii="Times New Roman" w:hAnsi="Times New Roman" w:cs="Times New Roman"/>
              </w:rPr>
              <w:t xml:space="preserve">More energy consumption per capita now means </w:t>
            </w:r>
            <w:r w:rsidRPr="00E2269B">
              <w:rPr>
                <w:rFonts w:ascii="Times New Roman" w:hAnsi="Times New Roman" w:cs="Times New Roman"/>
                <w:color w:val="000000"/>
                <w:kern w:val="0"/>
                <w:sz w:val="22"/>
              </w:rPr>
              <w:t xml:space="preserve">more responsibility for energy saving, so quota allocated will be less. More </w:t>
            </w:r>
            <w:r w:rsidRPr="00E2269B">
              <w:rPr>
                <w:rFonts w:ascii="Times New Roman" w:hAnsi="Times New Roman" w:cs="Times New Roman"/>
              </w:rPr>
              <w:t xml:space="preserve">GDP per capita now means more room for future development, so </w:t>
            </w:r>
            <w:r w:rsidRPr="00E2269B">
              <w:rPr>
                <w:rFonts w:ascii="Times New Roman" w:hAnsi="Times New Roman" w:cs="Times New Roman"/>
                <w:color w:val="000000"/>
                <w:kern w:val="0"/>
                <w:sz w:val="22"/>
              </w:rPr>
              <w:t>quota allocated will be more.</w:t>
            </w:r>
          </w:p>
        </w:tc>
      </w:tr>
      <w:tr w:rsidR="00BF1D83" w:rsidRPr="00E2269B" w:rsidTr="002747A4">
        <w:trPr>
          <w:trHeight w:val="810"/>
        </w:trPr>
        <w:tc>
          <w:tcPr>
            <w:tcW w:w="1368" w:type="dxa"/>
            <w:tcBorders>
              <w:top w:val="nil"/>
              <w:left w:val="single" w:sz="4" w:space="0" w:color="auto"/>
              <w:bottom w:val="single" w:sz="4" w:space="0" w:color="auto"/>
              <w:right w:val="single" w:sz="4" w:space="0" w:color="auto"/>
            </w:tcBorders>
            <w:shd w:val="clear" w:color="auto" w:fill="auto"/>
            <w:noWrap/>
            <w:vAlign w:val="center"/>
          </w:tcPr>
          <w:p w:rsidR="00BF1D83" w:rsidRPr="00E2269B" w:rsidRDefault="00BF1D83" w:rsidP="00F01EB3">
            <w:pPr>
              <w:widowControl/>
              <w:jc w:val="center"/>
              <w:rPr>
                <w:rFonts w:ascii="Times New Roman" w:hAnsi="Times New Roman" w:cs="Times New Roman"/>
                <w:color w:val="000000"/>
                <w:kern w:val="0"/>
                <w:sz w:val="22"/>
              </w:rPr>
            </w:pPr>
            <w:r w:rsidRPr="00E2269B">
              <w:rPr>
                <w:rFonts w:ascii="Times New Roman" w:hAnsi="Times New Roman" w:cs="Times New Roman"/>
                <w:color w:val="000000"/>
                <w:kern w:val="0"/>
                <w:sz w:val="22"/>
              </w:rPr>
              <w:t>Efficiency</w:t>
            </w:r>
          </w:p>
        </w:tc>
        <w:tc>
          <w:tcPr>
            <w:tcW w:w="1434" w:type="dxa"/>
            <w:tcBorders>
              <w:top w:val="nil"/>
              <w:left w:val="nil"/>
              <w:bottom w:val="single" w:sz="4" w:space="0" w:color="auto"/>
              <w:right w:val="single" w:sz="4" w:space="0" w:color="auto"/>
            </w:tcBorders>
            <w:shd w:val="clear" w:color="auto" w:fill="auto"/>
            <w:noWrap/>
            <w:vAlign w:val="center"/>
          </w:tcPr>
          <w:p w:rsidR="00BF1D83" w:rsidRPr="00E2269B" w:rsidRDefault="00BF1D83" w:rsidP="002747A4">
            <w:pPr>
              <w:widowControl/>
              <w:jc w:val="left"/>
              <w:rPr>
                <w:rFonts w:ascii="Times New Roman" w:hAnsi="Times New Roman" w:cs="Times New Roman"/>
                <w:color w:val="000000"/>
                <w:kern w:val="0"/>
                <w:sz w:val="22"/>
              </w:rPr>
            </w:pPr>
            <w:r w:rsidRPr="00E2269B">
              <w:rPr>
                <w:rFonts w:ascii="Times New Roman" w:hAnsi="Times New Roman" w:cs="Times New Roman"/>
                <w:color w:val="000000"/>
                <w:kern w:val="0"/>
                <w:sz w:val="22"/>
              </w:rPr>
              <w:t>Energy efficiency level and its potential</w:t>
            </w:r>
          </w:p>
        </w:tc>
        <w:tc>
          <w:tcPr>
            <w:tcW w:w="1446" w:type="dxa"/>
            <w:tcBorders>
              <w:top w:val="nil"/>
              <w:left w:val="nil"/>
              <w:bottom w:val="single" w:sz="4" w:space="0" w:color="auto"/>
              <w:right w:val="single" w:sz="4" w:space="0" w:color="auto"/>
            </w:tcBorders>
            <w:shd w:val="clear" w:color="auto" w:fill="auto"/>
            <w:noWrap/>
            <w:vAlign w:val="center"/>
          </w:tcPr>
          <w:p w:rsidR="00BF1D83" w:rsidRPr="00E2269B" w:rsidRDefault="00BF1D83" w:rsidP="002747A4">
            <w:pPr>
              <w:widowControl/>
              <w:jc w:val="left"/>
              <w:rPr>
                <w:rFonts w:ascii="Times New Roman" w:hAnsi="Times New Roman" w:cs="Times New Roman"/>
                <w:color w:val="000000"/>
                <w:kern w:val="0"/>
                <w:sz w:val="22"/>
              </w:rPr>
            </w:pPr>
            <w:r w:rsidRPr="00E2269B">
              <w:rPr>
                <w:rFonts w:ascii="Times New Roman" w:hAnsi="Times New Roman" w:cs="Times New Roman"/>
              </w:rPr>
              <w:t>energy consumption per industry add-value and its variation trend</w:t>
            </w:r>
          </w:p>
        </w:tc>
        <w:tc>
          <w:tcPr>
            <w:tcW w:w="4274" w:type="dxa"/>
            <w:tcBorders>
              <w:top w:val="nil"/>
              <w:left w:val="nil"/>
              <w:bottom w:val="single" w:sz="4" w:space="0" w:color="auto"/>
              <w:right w:val="single" w:sz="4" w:space="0" w:color="auto"/>
            </w:tcBorders>
            <w:shd w:val="clear" w:color="auto" w:fill="auto"/>
            <w:vAlign w:val="center"/>
          </w:tcPr>
          <w:p w:rsidR="00BF1D83" w:rsidRPr="00E2269B" w:rsidRDefault="00BF1D83" w:rsidP="00F01EB3">
            <w:pPr>
              <w:widowControl/>
              <w:jc w:val="left"/>
              <w:rPr>
                <w:rFonts w:ascii="Times New Roman" w:hAnsi="Times New Roman" w:cs="Times New Roman"/>
                <w:color w:val="000000"/>
                <w:kern w:val="0"/>
                <w:sz w:val="22"/>
              </w:rPr>
            </w:pPr>
            <w:r w:rsidRPr="00E2269B">
              <w:rPr>
                <w:rFonts w:ascii="Times New Roman" w:hAnsi="Times New Roman" w:cs="Times New Roman"/>
              </w:rPr>
              <w:t xml:space="preserve">Less </w:t>
            </w:r>
            <w:r w:rsidR="00F01EB3" w:rsidRPr="00E2269B">
              <w:rPr>
                <w:rFonts w:ascii="Times New Roman" w:hAnsi="Times New Roman" w:cs="Times New Roman"/>
              </w:rPr>
              <w:t>energy consumption per industrial</w:t>
            </w:r>
            <w:r w:rsidRPr="00E2269B">
              <w:rPr>
                <w:rFonts w:ascii="Times New Roman" w:hAnsi="Times New Roman" w:cs="Times New Roman"/>
              </w:rPr>
              <w:t xml:space="preserve"> value</w:t>
            </w:r>
            <w:r w:rsidR="00F01EB3" w:rsidRPr="00E2269B">
              <w:rPr>
                <w:rFonts w:ascii="Times New Roman" w:hAnsi="Times New Roman" w:cs="Times New Roman"/>
              </w:rPr>
              <w:t xml:space="preserve"> added</w:t>
            </w:r>
            <w:r w:rsidRPr="00E2269B">
              <w:rPr>
                <w:rFonts w:ascii="Times New Roman" w:hAnsi="Times New Roman" w:cs="Times New Roman"/>
              </w:rPr>
              <w:t xml:space="preserve"> now means high efficiency, so deserving more energy consumption quota.</w:t>
            </w:r>
            <w:r w:rsidRPr="00E2269B">
              <w:rPr>
                <w:rFonts w:ascii="Times New Roman" w:hAnsi="Times New Roman" w:cs="Times New Roman"/>
                <w:color w:val="000000"/>
                <w:kern w:val="0"/>
                <w:sz w:val="22"/>
              </w:rPr>
              <w:t xml:space="preserve"> High </w:t>
            </w:r>
            <w:r w:rsidR="00F01EB3" w:rsidRPr="00E2269B">
              <w:rPr>
                <w:rFonts w:ascii="Times New Roman" w:hAnsi="Times New Roman" w:cs="Times New Roman"/>
              </w:rPr>
              <w:t>speed of decrease</w:t>
            </w:r>
            <w:r w:rsidR="00F01EB3" w:rsidRPr="00E2269B">
              <w:rPr>
                <w:rFonts w:ascii="Times New Roman" w:hAnsi="Times New Roman" w:cs="Times New Roman"/>
                <w:color w:val="000000"/>
                <w:kern w:val="0"/>
                <w:sz w:val="22"/>
              </w:rPr>
              <w:t xml:space="preserve"> </w:t>
            </w:r>
            <w:r w:rsidRPr="00E2269B">
              <w:rPr>
                <w:rFonts w:ascii="Times New Roman" w:hAnsi="Times New Roman" w:cs="Times New Roman"/>
                <w:color w:val="000000"/>
                <w:kern w:val="0"/>
                <w:sz w:val="22"/>
              </w:rPr>
              <w:t xml:space="preserve">of </w:t>
            </w:r>
            <w:r w:rsidR="00F01EB3" w:rsidRPr="00E2269B">
              <w:rPr>
                <w:rFonts w:ascii="Times New Roman" w:hAnsi="Times New Roman" w:cs="Times New Roman"/>
              </w:rPr>
              <w:t>energy consumption per industrial</w:t>
            </w:r>
            <w:r w:rsidRPr="00E2269B">
              <w:rPr>
                <w:rFonts w:ascii="Times New Roman" w:hAnsi="Times New Roman" w:cs="Times New Roman"/>
              </w:rPr>
              <w:t xml:space="preserve"> </w:t>
            </w:r>
            <w:r w:rsidR="00F01EB3" w:rsidRPr="00E2269B">
              <w:rPr>
                <w:rFonts w:ascii="Times New Roman" w:hAnsi="Times New Roman" w:cs="Times New Roman"/>
              </w:rPr>
              <w:t xml:space="preserve">value added </w:t>
            </w:r>
            <w:r w:rsidRPr="00E2269B">
              <w:rPr>
                <w:rFonts w:ascii="Times New Roman" w:hAnsi="Times New Roman" w:cs="Times New Roman"/>
              </w:rPr>
              <w:t>means more potential in energy saving, so quota allocated will be less.</w:t>
            </w:r>
            <w:r w:rsidRPr="00E2269B">
              <w:rPr>
                <w:rFonts w:ascii="Times New Roman" w:hAnsi="Times New Roman" w:cs="Times New Roman"/>
                <w:color w:val="000000"/>
                <w:kern w:val="0"/>
                <w:sz w:val="22"/>
              </w:rPr>
              <w:t xml:space="preserve"> </w:t>
            </w:r>
          </w:p>
        </w:tc>
      </w:tr>
    </w:tbl>
    <w:p w:rsidR="00BF1D83" w:rsidRPr="00E2269B" w:rsidRDefault="00BF1D83" w:rsidP="006E0F3B">
      <w:pPr>
        <w:jc w:val="left"/>
        <w:rPr>
          <w:rFonts w:ascii="Times New Roman" w:hAnsi="Times New Roman" w:cs="Times New Roman"/>
        </w:rPr>
      </w:pPr>
    </w:p>
    <w:p w:rsidR="003D6EBE" w:rsidRDefault="00F01EB3" w:rsidP="006E0F3B">
      <w:pPr>
        <w:jc w:val="left"/>
        <w:rPr>
          <w:rFonts w:ascii="Times New Roman" w:hAnsi="Times New Roman" w:cs="Times New Roman"/>
          <w:b/>
        </w:rPr>
      </w:pPr>
      <w:r w:rsidRPr="00E2269B">
        <w:rPr>
          <w:rFonts w:ascii="Times New Roman" w:hAnsi="Times New Roman" w:cs="Times New Roman"/>
          <w:b/>
        </w:rPr>
        <w:t xml:space="preserve">4. </w:t>
      </w:r>
      <w:r w:rsidR="00924E0C" w:rsidRPr="00E2269B">
        <w:rPr>
          <w:rFonts w:ascii="Times New Roman" w:hAnsi="Times New Roman" w:cs="Times New Roman"/>
          <w:b/>
        </w:rPr>
        <w:t>Results</w:t>
      </w:r>
    </w:p>
    <w:p w:rsidR="00B31665" w:rsidRPr="00E2269B" w:rsidRDefault="00B31665" w:rsidP="006E0F3B">
      <w:pPr>
        <w:jc w:val="left"/>
        <w:rPr>
          <w:rFonts w:ascii="Times New Roman" w:hAnsi="Times New Roman" w:cs="Times New Roman"/>
          <w:b/>
        </w:rPr>
      </w:pPr>
    </w:p>
    <w:p w:rsidR="00CD286D" w:rsidRPr="00E2269B" w:rsidRDefault="00B37C4B" w:rsidP="006E0F3B">
      <w:pPr>
        <w:jc w:val="left"/>
        <w:rPr>
          <w:rFonts w:ascii="Times New Roman" w:hAnsi="Times New Roman" w:cs="Times New Roman"/>
        </w:rPr>
      </w:pPr>
      <w:r w:rsidRPr="00E2269B">
        <w:rPr>
          <w:rFonts w:ascii="Times New Roman" w:hAnsi="Times New Roman" w:cs="Times New Roman"/>
        </w:rPr>
        <w:t>4.1</w:t>
      </w:r>
      <w:r w:rsidR="00CD286D" w:rsidRPr="00E2269B">
        <w:rPr>
          <w:rFonts w:ascii="Times New Roman" w:hAnsi="Times New Roman" w:cs="Times New Roman"/>
        </w:rPr>
        <w:t xml:space="preserve"> Baseline Scenario results and </w:t>
      </w:r>
      <w:r w:rsidR="00423514" w:rsidRPr="00E2269B">
        <w:rPr>
          <w:rFonts w:ascii="Times New Roman" w:hAnsi="Times New Roman" w:cs="Times New Roman"/>
        </w:rPr>
        <w:t>necessity of controlling energy consumption</w:t>
      </w:r>
    </w:p>
    <w:p w:rsidR="003016D8" w:rsidRPr="00E2269B" w:rsidRDefault="003756C8" w:rsidP="003977FE">
      <w:pPr>
        <w:rPr>
          <w:rFonts w:ascii="Times New Roman" w:hAnsi="Times New Roman" w:cs="Times New Roman"/>
        </w:rPr>
      </w:pPr>
      <w:r w:rsidRPr="00E2269B">
        <w:rPr>
          <w:rFonts w:ascii="Times New Roman" w:hAnsi="Times New Roman" w:cs="Times New Roman"/>
        </w:rPr>
        <w:t xml:space="preserve">Total energy consumptions of all regions will increase fast and reach </w:t>
      </w:r>
      <w:r w:rsidR="00D774AE" w:rsidRPr="00E2269B">
        <w:rPr>
          <w:rFonts w:ascii="Times New Roman" w:hAnsi="Times New Roman" w:cs="Times New Roman"/>
        </w:rPr>
        <w:t xml:space="preserve">about </w:t>
      </w:r>
      <w:r w:rsidRPr="00E2269B">
        <w:rPr>
          <w:rFonts w:ascii="Times New Roman" w:hAnsi="Times New Roman" w:cs="Times New Roman"/>
        </w:rPr>
        <w:t xml:space="preserve">5.59 billion </w:t>
      </w:r>
      <w:proofErr w:type="spellStart"/>
      <w:r w:rsidRPr="00E2269B">
        <w:rPr>
          <w:rFonts w:ascii="Times New Roman" w:hAnsi="Times New Roman" w:cs="Times New Roman"/>
        </w:rPr>
        <w:t>tce</w:t>
      </w:r>
      <w:proofErr w:type="spellEnd"/>
      <w:r w:rsidRPr="00E2269B">
        <w:rPr>
          <w:rFonts w:ascii="Times New Roman" w:hAnsi="Times New Roman" w:cs="Times New Roman"/>
        </w:rPr>
        <w:t xml:space="preserve"> in 2015 in baseline scenario (S0). According to government’s controlling target, total energy consumptions of all regions</w:t>
      </w:r>
      <w:r w:rsidR="003E239D" w:rsidRPr="00E2269B">
        <w:rPr>
          <w:rFonts w:ascii="Times New Roman" w:hAnsi="Times New Roman" w:cs="Times New Roman"/>
        </w:rPr>
        <w:t xml:space="preserve"> will not exceed 4</w:t>
      </w:r>
      <w:r w:rsidR="003016D8" w:rsidRPr="00E2269B">
        <w:rPr>
          <w:rFonts w:ascii="Times New Roman" w:hAnsi="Times New Roman" w:cs="Times New Roman"/>
        </w:rPr>
        <w:t>.</w:t>
      </w:r>
      <w:r w:rsidR="003E239D" w:rsidRPr="00E2269B">
        <w:rPr>
          <w:rFonts w:ascii="Times New Roman" w:hAnsi="Times New Roman" w:cs="Times New Roman"/>
        </w:rPr>
        <w:t>92</w:t>
      </w:r>
      <w:r w:rsidR="003016D8" w:rsidRPr="00E2269B">
        <w:rPr>
          <w:rFonts w:ascii="Times New Roman" w:hAnsi="Times New Roman" w:cs="Times New Roman"/>
        </w:rPr>
        <w:t xml:space="preserve"> billion </w:t>
      </w:r>
      <w:proofErr w:type="spellStart"/>
      <w:r w:rsidR="003016D8" w:rsidRPr="00E2269B">
        <w:rPr>
          <w:rFonts w:ascii="Times New Roman" w:hAnsi="Times New Roman" w:cs="Times New Roman"/>
        </w:rPr>
        <w:t>tce</w:t>
      </w:r>
      <w:proofErr w:type="spellEnd"/>
      <w:r w:rsidR="003016D8" w:rsidRPr="00E2269B">
        <w:rPr>
          <w:rFonts w:ascii="Times New Roman" w:hAnsi="Times New Roman" w:cs="Times New Roman"/>
        </w:rPr>
        <w:t xml:space="preserve"> in 2015.</w:t>
      </w:r>
      <w:r w:rsidR="00E1528F" w:rsidRPr="00E2269B">
        <w:rPr>
          <w:rFonts w:ascii="Times New Roman" w:hAnsi="Times New Roman" w:cs="Times New Roman"/>
        </w:rPr>
        <w:t xml:space="preserve"> </w:t>
      </w:r>
      <w:r w:rsidR="003016D8" w:rsidRPr="00E2269B">
        <w:rPr>
          <w:rFonts w:ascii="Times New Roman" w:hAnsi="Times New Roman" w:cs="Times New Roman"/>
        </w:rPr>
        <w:t xml:space="preserve">So there will be a gap of 0.67 billion </w:t>
      </w:r>
      <w:proofErr w:type="spellStart"/>
      <w:r w:rsidR="003016D8" w:rsidRPr="00E2269B">
        <w:rPr>
          <w:rFonts w:ascii="Times New Roman" w:hAnsi="Times New Roman" w:cs="Times New Roman"/>
        </w:rPr>
        <w:t>tce</w:t>
      </w:r>
      <w:proofErr w:type="spellEnd"/>
      <w:r w:rsidR="003016D8" w:rsidRPr="00E2269B">
        <w:rPr>
          <w:rFonts w:ascii="Times New Roman" w:hAnsi="Times New Roman" w:cs="Times New Roman"/>
        </w:rPr>
        <w:t xml:space="preserve"> of energy consumption between</w:t>
      </w:r>
      <w:r w:rsidR="00E1528F" w:rsidRPr="00E2269B">
        <w:rPr>
          <w:rFonts w:ascii="Times New Roman" w:hAnsi="Times New Roman" w:cs="Times New Roman"/>
        </w:rPr>
        <w:t xml:space="preserve"> </w:t>
      </w:r>
      <w:r w:rsidR="002747A4" w:rsidRPr="00E2269B">
        <w:rPr>
          <w:rFonts w:ascii="Times New Roman" w:hAnsi="Times New Roman" w:cs="Times New Roman"/>
        </w:rPr>
        <w:t xml:space="preserve">that in </w:t>
      </w:r>
      <w:r w:rsidR="003016D8" w:rsidRPr="00E2269B">
        <w:rPr>
          <w:rFonts w:ascii="Times New Roman" w:hAnsi="Times New Roman" w:cs="Times New Roman"/>
        </w:rPr>
        <w:t>baseline and controlling target</w:t>
      </w:r>
      <w:r w:rsidR="003977FE" w:rsidRPr="00E2269B">
        <w:rPr>
          <w:rFonts w:ascii="Times New Roman" w:hAnsi="Times New Roman" w:cs="Times New Roman"/>
        </w:rPr>
        <w:t xml:space="preserve"> </w:t>
      </w:r>
      <w:r w:rsidR="003016D8" w:rsidRPr="00E2269B">
        <w:rPr>
          <w:rFonts w:ascii="Times New Roman" w:hAnsi="Times New Roman" w:cs="Times New Roman"/>
        </w:rPr>
        <w:t>(Figure 3).</w:t>
      </w:r>
      <w:r w:rsidR="003977FE" w:rsidRPr="00E2269B">
        <w:rPr>
          <w:rFonts w:ascii="Times New Roman" w:hAnsi="Times New Roman" w:cs="Times New Roman"/>
        </w:rPr>
        <w:t xml:space="preserve"> In baseline scenario, reduce rate of energy intensity will be 10.57% in 2015 compared with</w:t>
      </w:r>
      <w:r w:rsidR="00146F0F" w:rsidRPr="00E2269B">
        <w:rPr>
          <w:rFonts w:ascii="Times New Roman" w:hAnsi="Times New Roman" w:cs="Times New Roman"/>
        </w:rPr>
        <w:t xml:space="preserve"> in </w:t>
      </w:r>
      <w:r w:rsidR="003977FE" w:rsidRPr="00E2269B">
        <w:rPr>
          <w:rFonts w:ascii="Times New Roman" w:hAnsi="Times New Roman" w:cs="Times New Roman"/>
        </w:rPr>
        <w:t xml:space="preserve">2010, and non-fossil energy proportion will be 10.84% in 2015, which could not achieve 16% reduction of energy intensity target and 11.4% of non-fossil energy proportion target of the </w:t>
      </w:r>
      <w:r w:rsidR="00A84DAE">
        <w:rPr>
          <w:rFonts w:ascii="Times New Roman" w:hAnsi="Times New Roman" w:cs="Times New Roman"/>
        </w:rPr>
        <w:t>‘</w:t>
      </w:r>
      <w:r w:rsidR="003977FE" w:rsidRPr="00E2269B">
        <w:rPr>
          <w:rFonts w:ascii="Times New Roman" w:hAnsi="Times New Roman" w:cs="Times New Roman"/>
        </w:rPr>
        <w:t>twelfth five-year</w:t>
      </w:r>
      <w:r w:rsidR="00A84DAE">
        <w:rPr>
          <w:rFonts w:ascii="Times New Roman" w:hAnsi="Times New Roman" w:cs="Times New Roman"/>
        </w:rPr>
        <w:t>’</w:t>
      </w:r>
      <w:r w:rsidR="003977FE" w:rsidRPr="00E2269B">
        <w:rPr>
          <w:rFonts w:ascii="Times New Roman" w:hAnsi="Times New Roman" w:cs="Times New Roman"/>
        </w:rPr>
        <w:t xml:space="preserve"> energy plan (Figure 4). In order to change the way of economic development and achieve targets of the </w:t>
      </w:r>
      <w:r w:rsidR="00A84DAE">
        <w:rPr>
          <w:rFonts w:ascii="Times New Roman" w:hAnsi="Times New Roman" w:cs="Times New Roman"/>
        </w:rPr>
        <w:t>‘</w:t>
      </w:r>
      <w:r w:rsidR="003977FE" w:rsidRPr="00E2269B">
        <w:rPr>
          <w:rFonts w:ascii="Times New Roman" w:hAnsi="Times New Roman" w:cs="Times New Roman"/>
        </w:rPr>
        <w:t>twelfth five-year</w:t>
      </w:r>
      <w:r w:rsidR="00A84DAE">
        <w:rPr>
          <w:rFonts w:ascii="Times New Roman" w:hAnsi="Times New Roman" w:cs="Times New Roman"/>
        </w:rPr>
        <w:t>’</w:t>
      </w:r>
      <w:r w:rsidR="003977FE" w:rsidRPr="00E2269B">
        <w:rPr>
          <w:rFonts w:ascii="Times New Roman" w:hAnsi="Times New Roman" w:cs="Times New Roman"/>
        </w:rPr>
        <w:t xml:space="preserve"> energy plan, China need to control energy consumption quota to relieve the trend of swift growth of energy consumption.</w:t>
      </w:r>
    </w:p>
    <w:p w:rsidR="003016D8" w:rsidRPr="00E2269B" w:rsidRDefault="003016D8" w:rsidP="003756C8">
      <w:pPr>
        <w:jc w:val="left"/>
        <w:rPr>
          <w:rFonts w:ascii="Times New Roman" w:hAnsi="Times New Roman" w:cs="Times New Roman"/>
        </w:rPr>
      </w:pPr>
    </w:p>
    <w:p w:rsidR="00E14811" w:rsidRPr="00E2269B" w:rsidRDefault="00332E20" w:rsidP="003016D8">
      <w:pPr>
        <w:jc w:val="center"/>
        <w:rPr>
          <w:rFonts w:ascii="Times New Roman" w:hAnsi="Times New Roman" w:cs="Times New Roman"/>
        </w:rPr>
      </w:pPr>
      <w:r w:rsidRPr="00E2269B">
        <w:rPr>
          <w:rFonts w:ascii="Times New Roman" w:hAnsi="Times New Roman" w:cs="Times New Roman"/>
          <w:noProof/>
        </w:rPr>
        <w:drawing>
          <wp:inline distT="0" distB="0" distL="0" distR="0">
            <wp:extent cx="4610100" cy="274320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16D8" w:rsidRPr="00E2269B" w:rsidRDefault="003016D8" w:rsidP="003016D8">
      <w:pPr>
        <w:jc w:val="center"/>
        <w:rPr>
          <w:rFonts w:ascii="Times New Roman" w:hAnsi="Times New Roman" w:cs="Times New Roman"/>
        </w:rPr>
      </w:pPr>
      <w:proofErr w:type="gramStart"/>
      <w:r w:rsidRPr="00E2269B">
        <w:rPr>
          <w:rFonts w:ascii="Times New Roman" w:hAnsi="Times New Roman" w:cs="Times New Roman"/>
        </w:rPr>
        <w:t>Figure 3.</w:t>
      </w:r>
      <w:proofErr w:type="gramEnd"/>
      <w:r w:rsidRPr="00E2269B">
        <w:rPr>
          <w:rFonts w:ascii="Times New Roman" w:hAnsi="Times New Roman" w:cs="Times New Roman"/>
        </w:rPr>
        <w:t xml:space="preserve"> Energy consumption </w:t>
      </w:r>
      <w:r w:rsidR="00D774AE" w:rsidRPr="00E2269B">
        <w:rPr>
          <w:rFonts w:ascii="Times New Roman" w:hAnsi="Times New Roman" w:cs="Times New Roman"/>
        </w:rPr>
        <w:t xml:space="preserve">of all regions </w:t>
      </w:r>
      <w:r w:rsidRPr="00E2269B">
        <w:rPr>
          <w:rFonts w:ascii="Times New Roman" w:hAnsi="Times New Roman" w:cs="Times New Roman"/>
        </w:rPr>
        <w:t>in baseline scenario and in government’s controlling target</w:t>
      </w:r>
    </w:p>
    <w:p w:rsidR="00E27C29" w:rsidRPr="00E2269B" w:rsidRDefault="00E27C29" w:rsidP="00E27C29">
      <w:pPr>
        <w:ind w:firstLineChars="800" w:firstLine="1680"/>
        <w:rPr>
          <w:rFonts w:ascii="Times New Roman" w:hAnsi="Times New Roman" w:cs="Times New Roman"/>
        </w:rPr>
      </w:pPr>
    </w:p>
    <w:p w:rsidR="00E14811" w:rsidRPr="00E2269B" w:rsidRDefault="00A448DC" w:rsidP="001D19F3">
      <w:pPr>
        <w:jc w:val="center"/>
        <w:rPr>
          <w:rFonts w:ascii="Times New Roman" w:hAnsi="Times New Roman" w:cs="Times New Roman"/>
        </w:rPr>
      </w:pPr>
      <w:r w:rsidRPr="00E2269B">
        <w:rPr>
          <w:rFonts w:ascii="Times New Roman" w:hAnsi="Times New Roman" w:cs="Times New Roman"/>
          <w:noProof/>
        </w:rPr>
        <w:lastRenderedPageBreak/>
        <w:drawing>
          <wp:inline distT="0" distB="0" distL="0" distR="0">
            <wp:extent cx="4610100" cy="2743200"/>
            <wp:effectExtent l="19050" t="0" r="19050" b="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4811" w:rsidRPr="00E2269B" w:rsidRDefault="00E14811" w:rsidP="006E0F3B">
      <w:pPr>
        <w:jc w:val="left"/>
        <w:rPr>
          <w:rFonts w:ascii="Times New Roman" w:hAnsi="Times New Roman" w:cs="Times New Roman"/>
        </w:rPr>
      </w:pPr>
    </w:p>
    <w:p w:rsidR="001D19F3" w:rsidRPr="00E2269B" w:rsidRDefault="001D19F3" w:rsidP="001D19F3">
      <w:pPr>
        <w:rPr>
          <w:rFonts w:ascii="Times New Roman" w:hAnsi="Times New Roman" w:cs="Times New Roman"/>
        </w:rPr>
      </w:pPr>
      <w:proofErr w:type="gramStart"/>
      <w:r w:rsidRPr="00E2269B">
        <w:rPr>
          <w:rFonts w:ascii="Times New Roman" w:hAnsi="Times New Roman" w:cs="Times New Roman"/>
        </w:rPr>
        <w:t>Figure 4.</w:t>
      </w:r>
      <w:proofErr w:type="gramEnd"/>
      <w:r w:rsidRPr="00E2269B">
        <w:rPr>
          <w:rFonts w:ascii="Times New Roman" w:hAnsi="Times New Roman" w:cs="Times New Roman"/>
        </w:rPr>
        <w:t xml:space="preserve"> Reduce rate of energy intensity and non-fossil energy proportion in 2015 in baseline scenario and in </w:t>
      </w:r>
      <w:r w:rsidR="00E1528F" w:rsidRPr="00E2269B">
        <w:rPr>
          <w:rFonts w:ascii="Times New Roman" w:hAnsi="Times New Roman" w:cs="Times New Roman"/>
        </w:rPr>
        <w:t>government’s controlling target of the</w:t>
      </w:r>
      <w:r w:rsidRPr="00E2269B">
        <w:rPr>
          <w:rFonts w:ascii="Times New Roman" w:hAnsi="Times New Roman" w:cs="Times New Roman"/>
        </w:rPr>
        <w:t xml:space="preserve"> </w:t>
      </w:r>
      <w:r w:rsidR="00A84DAE">
        <w:rPr>
          <w:rFonts w:ascii="Times New Roman" w:hAnsi="Times New Roman" w:cs="Times New Roman"/>
        </w:rPr>
        <w:t>‘</w:t>
      </w:r>
      <w:r w:rsidRPr="00E2269B">
        <w:rPr>
          <w:rFonts w:ascii="Times New Roman" w:hAnsi="Times New Roman" w:cs="Times New Roman"/>
        </w:rPr>
        <w:t>twelfth five-year</w:t>
      </w:r>
      <w:r w:rsidR="00A84DAE">
        <w:rPr>
          <w:rFonts w:ascii="Times New Roman" w:hAnsi="Times New Roman" w:cs="Times New Roman"/>
        </w:rPr>
        <w:t>’</w:t>
      </w:r>
      <w:r w:rsidRPr="00E2269B">
        <w:rPr>
          <w:rFonts w:ascii="Times New Roman" w:hAnsi="Times New Roman" w:cs="Times New Roman"/>
        </w:rPr>
        <w:t xml:space="preserve"> plan </w:t>
      </w:r>
    </w:p>
    <w:p w:rsidR="00FC3B2A" w:rsidRPr="00E2269B" w:rsidRDefault="00FC3B2A" w:rsidP="006E0F3B">
      <w:pPr>
        <w:jc w:val="left"/>
        <w:rPr>
          <w:rFonts w:ascii="Times New Roman" w:hAnsi="Times New Roman" w:cs="Times New Roman"/>
        </w:rPr>
      </w:pPr>
    </w:p>
    <w:p w:rsidR="00E27C29" w:rsidRPr="00E2269B" w:rsidRDefault="00B37C4B" w:rsidP="006E0F3B">
      <w:pPr>
        <w:jc w:val="left"/>
        <w:rPr>
          <w:rFonts w:ascii="Times New Roman" w:hAnsi="Times New Roman" w:cs="Times New Roman"/>
        </w:rPr>
      </w:pPr>
      <w:r w:rsidRPr="00E2269B">
        <w:rPr>
          <w:rFonts w:ascii="Times New Roman" w:hAnsi="Times New Roman" w:cs="Times New Roman"/>
        </w:rPr>
        <w:t>4.2</w:t>
      </w:r>
      <w:r w:rsidR="003977FE" w:rsidRPr="00E2269B">
        <w:rPr>
          <w:rFonts w:ascii="Times New Roman" w:hAnsi="Times New Roman" w:cs="Times New Roman"/>
        </w:rPr>
        <w:t xml:space="preserve"> Policy scenarios results</w:t>
      </w:r>
    </w:p>
    <w:p w:rsidR="00D149A3" w:rsidRPr="00E2269B" w:rsidRDefault="00B37C4B" w:rsidP="006E0F3B">
      <w:pPr>
        <w:jc w:val="left"/>
        <w:rPr>
          <w:rFonts w:ascii="Times New Roman" w:hAnsi="Times New Roman" w:cs="Times New Roman"/>
        </w:rPr>
      </w:pPr>
      <w:r w:rsidRPr="00E2269B">
        <w:rPr>
          <w:rFonts w:ascii="Times New Roman" w:hAnsi="Times New Roman" w:cs="Times New Roman"/>
        </w:rPr>
        <w:t>4.2.1</w:t>
      </w:r>
      <w:r w:rsidR="003977FE" w:rsidRPr="00E2269B">
        <w:rPr>
          <w:rFonts w:ascii="Times New Roman" w:hAnsi="Times New Roman" w:cs="Times New Roman"/>
        </w:rPr>
        <w:t xml:space="preserve"> </w:t>
      </w:r>
      <w:r w:rsidR="00D149A3" w:rsidRPr="00E2269B">
        <w:rPr>
          <w:rFonts w:ascii="Times New Roman" w:hAnsi="Times New Roman" w:cs="Times New Roman"/>
        </w:rPr>
        <w:t>Effects on energy saving and CO2 emission reduction</w:t>
      </w:r>
    </w:p>
    <w:p w:rsidR="00461C02" w:rsidRPr="00E2269B" w:rsidRDefault="00A452AD" w:rsidP="00461C02">
      <w:pPr>
        <w:rPr>
          <w:rFonts w:ascii="Times New Roman" w:hAnsi="Times New Roman" w:cs="Times New Roman"/>
        </w:rPr>
      </w:pPr>
      <w:r w:rsidRPr="00E2269B">
        <w:rPr>
          <w:rFonts w:ascii="Times New Roman" w:hAnsi="Times New Roman" w:cs="Times New Roman"/>
        </w:rPr>
        <w:t>Under all policy scenarios</w:t>
      </w:r>
      <w:r w:rsidR="00A11D4F" w:rsidRPr="00E2269B">
        <w:rPr>
          <w:rFonts w:ascii="Times New Roman" w:hAnsi="Times New Roman" w:cs="Times New Roman"/>
        </w:rPr>
        <w:t xml:space="preserve"> (S1, S2 and S3)</w:t>
      </w:r>
      <w:r w:rsidRPr="00E2269B">
        <w:rPr>
          <w:rFonts w:ascii="Times New Roman" w:hAnsi="Times New Roman" w:cs="Times New Roman"/>
        </w:rPr>
        <w:t>, t</w:t>
      </w:r>
      <w:r w:rsidR="00F14BE6" w:rsidRPr="00E2269B">
        <w:rPr>
          <w:rFonts w:ascii="Times New Roman" w:hAnsi="Times New Roman" w:cs="Times New Roman"/>
        </w:rPr>
        <w:t xml:space="preserve">otal energy consumptions of all regions </w:t>
      </w:r>
      <w:r w:rsidR="007634BA" w:rsidRPr="00E2269B">
        <w:rPr>
          <w:rFonts w:ascii="Times New Roman" w:hAnsi="Times New Roman" w:cs="Times New Roman"/>
        </w:rPr>
        <w:t>are</w:t>
      </w:r>
      <w:r w:rsidR="00D774AE" w:rsidRPr="00E2269B">
        <w:rPr>
          <w:rFonts w:ascii="Times New Roman" w:hAnsi="Times New Roman" w:cs="Times New Roman"/>
        </w:rPr>
        <w:t xml:space="preserve"> all controlled </w:t>
      </w:r>
      <w:r w:rsidR="00506893" w:rsidRPr="00E2269B">
        <w:rPr>
          <w:rFonts w:ascii="Times New Roman" w:hAnsi="Times New Roman" w:cs="Times New Roman"/>
        </w:rPr>
        <w:t>at</w:t>
      </w:r>
      <w:r w:rsidR="00D774AE" w:rsidRPr="00E2269B">
        <w:rPr>
          <w:rFonts w:ascii="Times New Roman" w:hAnsi="Times New Roman" w:cs="Times New Roman"/>
        </w:rPr>
        <w:t xml:space="preserve"> </w:t>
      </w:r>
      <w:r w:rsidR="00506893" w:rsidRPr="00E2269B">
        <w:rPr>
          <w:rFonts w:ascii="Times New Roman" w:hAnsi="Times New Roman" w:cs="Times New Roman"/>
        </w:rPr>
        <w:t xml:space="preserve">4.92 billion </w:t>
      </w:r>
      <w:proofErr w:type="spellStart"/>
      <w:r w:rsidR="00506893" w:rsidRPr="00E2269B">
        <w:rPr>
          <w:rFonts w:ascii="Times New Roman" w:hAnsi="Times New Roman" w:cs="Times New Roman"/>
        </w:rPr>
        <w:t>tce</w:t>
      </w:r>
      <w:proofErr w:type="spellEnd"/>
      <w:r w:rsidR="00506893" w:rsidRPr="00E2269B">
        <w:rPr>
          <w:rFonts w:ascii="Times New Roman" w:hAnsi="Times New Roman" w:cs="Times New Roman"/>
        </w:rPr>
        <w:t xml:space="preserve"> in 2015</w:t>
      </w:r>
      <w:r w:rsidR="003A5DB9" w:rsidRPr="00E2269B">
        <w:rPr>
          <w:rFonts w:ascii="Times New Roman" w:hAnsi="Times New Roman" w:cs="Times New Roman"/>
        </w:rPr>
        <w:t>. But</w:t>
      </w:r>
      <w:r w:rsidR="007634BA" w:rsidRPr="00E2269B">
        <w:rPr>
          <w:rFonts w:ascii="Times New Roman" w:hAnsi="Times New Roman" w:cs="Times New Roman"/>
        </w:rPr>
        <w:t xml:space="preserve"> </w:t>
      </w:r>
      <w:r w:rsidR="003A5DB9" w:rsidRPr="00E2269B">
        <w:rPr>
          <w:rFonts w:ascii="Times New Roman" w:hAnsi="Times New Roman" w:cs="Times New Roman"/>
        </w:rPr>
        <w:t>t</w:t>
      </w:r>
      <w:r w:rsidR="007634BA" w:rsidRPr="00E2269B">
        <w:rPr>
          <w:rFonts w:ascii="Times New Roman" w:hAnsi="Times New Roman" w:cs="Times New Roman"/>
        </w:rPr>
        <w:t>otal CO2 emission</w:t>
      </w:r>
      <w:r w:rsidR="003A5DB9" w:rsidRPr="00E2269B">
        <w:rPr>
          <w:rFonts w:ascii="Times New Roman" w:hAnsi="Times New Roman" w:cs="Times New Roman"/>
        </w:rPr>
        <w:t>s</w:t>
      </w:r>
      <w:r w:rsidR="007634BA" w:rsidRPr="00E2269B">
        <w:rPr>
          <w:rFonts w:ascii="Times New Roman" w:hAnsi="Times New Roman" w:cs="Times New Roman"/>
        </w:rPr>
        <w:t xml:space="preserve"> of all regions </w:t>
      </w:r>
      <w:r w:rsidR="003A5DB9" w:rsidRPr="00E2269B">
        <w:rPr>
          <w:rFonts w:ascii="Times New Roman" w:hAnsi="Times New Roman" w:cs="Times New Roman"/>
        </w:rPr>
        <w:t>are not same</w:t>
      </w:r>
      <w:r w:rsidR="00D27CA8" w:rsidRPr="00E2269B">
        <w:rPr>
          <w:rFonts w:ascii="Times New Roman" w:hAnsi="Times New Roman" w:cs="Times New Roman"/>
        </w:rPr>
        <w:t xml:space="preserve"> </w:t>
      </w:r>
      <w:r w:rsidR="007634BA" w:rsidRPr="00E2269B">
        <w:rPr>
          <w:rFonts w:ascii="Times New Roman" w:hAnsi="Times New Roman" w:cs="Times New Roman"/>
        </w:rPr>
        <w:t xml:space="preserve">under </w:t>
      </w:r>
      <w:r w:rsidR="00A11D4F" w:rsidRPr="00E2269B">
        <w:rPr>
          <w:rFonts w:ascii="Times New Roman" w:hAnsi="Times New Roman" w:cs="Times New Roman"/>
        </w:rPr>
        <w:t xml:space="preserve">S1, S2 and S3 </w:t>
      </w:r>
      <w:r w:rsidR="007634BA" w:rsidRPr="00E2269B">
        <w:rPr>
          <w:rFonts w:ascii="Times New Roman" w:hAnsi="Times New Roman" w:cs="Times New Roman"/>
        </w:rPr>
        <w:t>scenarios</w:t>
      </w:r>
      <w:r w:rsidR="00D27CA8" w:rsidRPr="00E2269B">
        <w:rPr>
          <w:rFonts w:ascii="Times New Roman" w:hAnsi="Times New Roman" w:cs="Times New Roman"/>
        </w:rPr>
        <w:t xml:space="preserve">, from </w:t>
      </w:r>
      <w:r w:rsidR="00A11D4F" w:rsidRPr="00E2269B">
        <w:rPr>
          <w:rFonts w:ascii="Times New Roman" w:hAnsi="Times New Roman" w:cs="Times New Roman"/>
        </w:rPr>
        <w:t xml:space="preserve">about </w:t>
      </w:r>
      <w:r w:rsidR="00D27CA8" w:rsidRPr="00E2269B">
        <w:rPr>
          <w:rFonts w:ascii="Times New Roman" w:hAnsi="Times New Roman" w:cs="Times New Roman"/>
        </w:rPr>
        <w:t>10.3 to 10.5 billion tones, which</w:t>
      </w:r>
      <w:r w:rsidR="00A11D4F" w:rsidRPr="00E2269B">
        <w:rPr>
          <w:rFonts w:ascii="Times New Roman" w:hAnsi="Times New Roman" w:cs="Times New Roman"/>
        </w:rPr>
        <w:t xml:space="preserve"> are about 1.2-1.4 billion tones reductions compared with that in S0 scenario</w:t>
      </w:r>
      <w:r w:rsidR="0094398A" w:rsidRPr="00E2269B">
        <w:rPr>
          <w:rFonts w:ascii="Times New Roman" w:hAnsi="Times New Roman" w:cs="Times New Roman"/>
        </w:rPr>
        <w:t xml:space="preserve"> </w:t>
      </w:r>
      <w:r w:rsidR="00A11D4F" w:rsidRPr="00E2269B">
        <w:rPr>
          <w:rFonts w:ascii="Times New Roman" w:hAnsi="Times New Roman" w:cs="Times New Roman"/>
        </w:rPr>
        <w:t>(Figure 5).</w:t>
      </w:r>
      <w:r w:rsidR="00461C02" w:rsidRPr="00E2269B">
        <w:rPr>
          <w:rFonts w:ascii="Times New Roman" w:hAnsi="Times New Roman" w:cs="Times New Roman"/>
        </w:rPr>
        <w:t xml:space="preserve"> Reduce rate of energy intensity and CO2 emission intensity </w:t>
      </w:r>
      <w:r w:rsidR="00146F0F" w:rsidRPr="00E2269B">
        <w:rPr>
          <w:rFonts w:ascii="Times New Roman" w:hAnsi="Times New Roman" w:cs="Times New Roman"/>
        </w:rPr>
        <w:t>during 2010-2015 will greatly increase</w:t>
      </w:r>
      <w:r w:rsidR="00F55EBF" w:rsidRPr="00E2269B">
        <w:rPr>
          <w:rFonts w:ascii="Times New Roman" w:hAnsi="Times New Roman" w:cs="Times New Roman"/>
        </w:rPr>
        <w:t xml:space="preserve"> and non-fossil energy proportion in 2015 will exceed 11% under S1, S2 and S3 scenarios</w:t>
      </w:r>
      <w:r w:rsidR="006E0A88">
        <w:rPr>
          <w:rFonts w:ascii="Times New Roman" w:hAnsi="Times New Roman" w:cs="Times New Roman" w:hint="eastAsia"/>
        </w:rPr>
        <w:t xml:space="preserve"> </w:t>
      </w:r>
      <w:r w:rsidR="006E0A88" w:rsidRPr="00E2269B">
        <w:rPr>
          <w:rFonts w:ascii="Times New Roman" w:hAnsi="Times New Roman" w:cs="Times New Roman"/>
        </w:rPr>
        <w:t xml:space="preserve">(Figure </w:t>
      </w:r>
      <w:r w:rsidR="006E0A88">
        <w:rPr>
          <w:rFonts w:ascii="Times New Roman" w:hAnsi="Times New Roman" w:cs="Times New Roman" w:hint="eastAsia"/>
        </w:rPr>
        <w:t>6</w:t>
      </w:r>
      <w:r w:rsidR="006E0A88" w:rsidRPr="00E2269B">
        <w:rPr>
          <w:rFonts w:ascii="Times New Roman" w:hAnsi="Times New Roman" w:cs="Times New Roman"/>
        </w:rPr>
        <w:t>)</w:t>
      </w:r>
      <w:r w:rsidR="00F55EBF" w:rsidRPr="00E2269B">
        <w:rPr>
          <w:rFonts w:ascii="Times New Roman" w:hAnsi="Times New Roman" w:cs="Times New Roman"/>
        </w:rPr>
        <w:t xml:space="preserve">. So controlling energy consumption quota will on the whole achieve targets of the </w:t>
      </w:r>
      <w:r w:rsidR="00A84DAE">
        <w:rPr>
          <w:rFonts w:ascii="Times New Roman" w:hAnsi="Times New Roman" w:cs="Times New Roman"/>
        </w:rPr>
        <w:t>‘</w:t>
      </w:r>
      <w:r w:rsidR="00F55EBF" w:rsidRPr="00E2269B">
        <w:rPr>
          <w:rFonts w:ascii="Times New Roman" w:hAnsi="Times New Roman" w:cs="Times New Roman"/>
        </w:rPr>
        <w:t>twelfth five-year</w:t>
      </w:r>
      <w:r w:rsidR="00A84DAE">
        <w:rPr>
          <w:rFonts w:ascii="Times New Roman" w:hAnsi="Times New Roman" w:cs="Times New Roman"/>
        </w:rPr>
        <w:t>’</w:t>
      </w:r>
      <w:r w:rsidR="00A84DAE">
        <w:rPr>
          <w:rFonts w:ascii="Times New Roman" w:hAnsi="Times New Roman" w:cs="Times New Roman" w:hint="eastAsia"/>
        </w:rPr>
        <w:t xml:space="preserve"> </w:t>
      </w:r>
      <w:r w:rsidR="00F55EBF" w:rsidRPr="00E2269B">
        <w:rPr>
          <w:rFonts w:ascii="Times New Roman" w:hAnsi="Times New Roman" w:cs="Times New Roman"/>
        </w:rPr>
        <w:t>energy plan.</w:t>
      </w:r>
      <w:r w:rsidR="00096BC0" w:rsidRPr="00E2269B">
        <w:rPr>
          <w:rFonts w:ascii="Times New Roman" w:hAnsi="Times New Roman" w:cs="Times New Roman"/>
        </w:rPr>
        <w:t xml:space="preserve"> </w:t>
      </w:r>
    </w:p>
    <w:p w:rsidR="00A11D4F" w:rsidRPr="00A84DAE" w:rsidRDefault="00A11D4F" w:rsidP="00F14BE6">
      <w:pPr>
        <w:rPr>
          <w:rFonts w:ascii="Times New Roman" w:hAnsi="Times New Roman" w:cs="Times New Roman"/>
        </w:rPr>
      </w:pPr>
    </w:p>
    <w:p w:rsidR="00D736C2" w:rsidRPr="00E2269B" w:rsidRDefault="00F14BE6" w:rsidP="00716AB1">
      <w:pPr>
        <w:jc w:val="center"/>
        <w:rPr>
          <w:rFonts w:ascii="Times New Roman" w:hAnsi="Times New Roman" w:cs="Times New Roman"/>
        </w:rPr>
      </w:pPr>
      <w:r w:rsidRPr="00E2269B">
        <w:rPr>
          <w:rFonts w:ascii="Times New Roman" w:hAnsi="Times New Roman" w:cs="Times New Roman"/>
          <w:b/>
          <w:noProof/>
        </w:rPr>
        <w:drawing>
          <wp:inline distT="0" distB="0" distL="0" distR="0">
            <wp:extent cx="4924044" cy="2517648"/>
            <wp:effectExtent l="19050" t="0" r="9906" b="0"/>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398A" w:rsidRPr="00E2269B" w:rsidRDefault="0094398A" w:rsidP="0094398A">
      <w:pPr>
        <w:jc w:val="center"/>
        <w:rPr>
          <w:rFonts w:ascii="Times New Roman" w:hAnsi="Times New Roman" w:cs="Times New Roman"/>
        </w:rPr>
      </w:pPr>
      <w:proofErr w:type="gramStart"/>
      <w:r w:rsidRPr="00E2269B">
        <w:rPr>
          <w:rFonts w:ascii="Times New Roman" w:hAnsi="Times New Roman" w:cs="Times New Roman"/>
        </w:rPr>
        <w:t xml:space="preserve">Figure </w:t>
      </w:r>
      <w:r w:rsidR="00577EFA" w:rsidRPr="00E2269B">
        <w:rPr>
          <w:rFonts w:ascii="Times New Roman" w:hAnsi="Times New Roman" w:cs="Times New Roman"/>
        </w:rPr>
        <w:t>5</w:t>
      </w:r>
      <w:r w:rsidRPr="00E2269B">
        <w:rPr>
          <w:rFonts w:ascii="Times New Roman" w:hAnsi="Times New Roman" w:cs="Times New Roman"/>
        </w:rPr>
        <w:t>.</w:t>
      </w:r>
      <w:proofErr w:type="gramEnd"/>
      <w:r w:rsidRPr="00E2269B">
        <w:rPr>
          <w:rFonts w:ascii="Times New Roman" w:hAnsi="Times New Roman" w:cs="Times New Roman"/>
        </w:rPr>
        <w:t xml:space="preserve"> Energy consumption</w:t>
      </w:r>
      <w:r w:rsidR="00577EFA" w:rsidRPr="00E2269B">
        <w:rPr>
          <w:rFonts w:ascii="Times New Roman" w:hAnsi="Times New Roman" w:cs="Times New Roman"/>
        </w:rPr>
        <w:t>s</w:t>
      </w:r>
      <w:r w:rsidRPr="00E2269B">
        <w:rPr>
          <w:rFonts w:ascii="Times New Roman" w:hAnsi="Times New Roman" w:cs="Times New Roman"/>
        </w:rPr>
        <w:t xml:space="preserve"> and CO2 </w:t>
      </w:r>
      <w:r w:rsidR="00577EFA" w:rsidRPr="00E2269B">
        <w:rPr>
          <w:rFonts w:ascii="Times New Roman" w:hAnsi="Times New Roman" w:cs="Times New Roman"/>
        </w:rPr>
        <w:t xml:space="preserve">emissions </w:t>
      </w:r>
      <w:r w:rsidRPr="00E2269B">
        <w:rPr>
          <w:rFonts w:ascii="Times New Roman" w:hAnsi="Times New Roman" w:cs="Times New Roman"/>
        </w:rPr>
        <w:t>of all regions in 2015 in different scenarios</w:t>
      </w:r>
    </w:p>
    <w:p w:rsidR="0094398A" w:rsidRPr="00E2269B" w:rsidRDefault="0094398A" w:rsidP="006E0F3B">
      <w:pPr>
        <w:jc w:val="left"/>
        <w:rPr>
          <w:rFonts w:ascii="Times New Roman" w:hAnsi="Times New Roman" w:cs="Times New Roman"/>
        </w:rPr>
      </w:pPr>
    </w:p>
    <w:p w:rsidR="00E27C29" w:rsidRPr="00E2269B" w:rsidRDefault="00F14BE6" w:rsidP="00716AB1">
      <w:pPr>
        <w:jc w:val="center"/>
        <w:rPr>
          <w:rFonts w:ascii="Times New Roman" w:hAnsi="Times New Roman" w:cs="Times New Roman"/>
        </w:rPr>
      </w:pPr>
      <w:r w:rsidRPr="00E2269B">
        <w:rPr>
          <w:rFonts w:ascii="Times New Roman" w:hAnsi="Times New Roman" w:cs="Times New Roman"/>
          <w:noProof/>
        </w:rPr>
        <w:lastRenderedPageBreak/>
        <w:drawing>
          <wp:inline distT="0" distB="0" distL="0" distR="0">
            <wp:extent cx="4997958" cy="2529840"/>
            <wp:effectExtent l="19050" t="0" r="12192" b="3810"/>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398A" w:rsidRPr="00E2269B" w:rsidRDefault="0094398A" w:rsidP="0094398A">
      <w:pPr>
        <w:rPr>
          <w:rFonts w:ascii="Times New Roman" w:hAnsi="Times New Roman" w:cs="Times New Roman"/>
        </w:rPr>
      </w:pPr>
      <w:proofErr w:type="gramStart"/>
      <w:r w:rsidRPr="00E2269B">
        <w:rPr>
          <w:rFonts w:ascii="Times New Roman" w:hAnsi="Times New Roman" w:cs="Times New Roman"/>
        </w:rPr>
        <w:t>Figure</w:t>
      </w:r>
      <w:r w:rsidR="006E0A88">
        <w:rPr>
          <w:rFonts w:ascii="Times New Roman" w:hAnsi="Times New Roman" w:cs="Times New Roman" w:hint="eastAsia"/>
        </w:rPr>
        <w:t xml:space="preserve"> </w:t>
      </w:r>
      <w:r w:rsidRPr="00E2269B">
        <w:rPr>
          <w:rFonts w:ascii="Times New Roman" w:hAnsi="Times New Roman" w:cs="Times New Roman"/>
        </w:rPr>
        <w:t>6.</w:t>
      </w:r>
      <w:proofErr w:type="gramEnd"/>
      <w:r w:rsidRPr="00E2269B">
        <w:rPr>
          <w:rFonts w:ascii="Times New Roman" w:hAnsi="Times New Roman" w:cs="Times New Roman"/>
        </w:rPr>
        <w:t xml:space="preserve"> Reduce rate of energy intensity and CO2 emission intensity, and non-fossil energy proportion in 2015 in different scenarios</w:t>
      </w:r>
    </w:p>
    <w:p w:rsidR="00E27C29" w:rsidRPr="00E2269B" w:rsidRDefault="00E27C29" w:rsidP="006E0F3B">
      <w:pPr>
        <w:jc w:val="left"/>
        <w:rPr>
          <w:rFonts w:ascii="Times New Roman" w:hAnsi="Times New Roman" w:cs="Times New Roman"/>
        </w:rPr>
      </w:pPr>
    </w:p>
    <w:p w:rsidR="00E27C29" w:rsidRPr="00B31665" w:rsidRDefault="00B37C4B" w:rsidP="006E0F3B">
      <w:pPr>
        <w:jc w:val="left"/>
        <w:rPr>
          <w:rFonts w:ascii="Times New Roman" w:hAnsi="Times New Roman" w:cs="Times New Roman"/>
        </w:rPr>
      </w:pPr>
      <w:r w:rsidRPr="00B31665">
        <w:rPr>
          <w:rFonts w:ascii="Times New Roman" w:hAnsi="Times New Roman" w:cs="Times New Roman"/>
        </w:rPr>
        <w:t>4.2.2</w:t>
      </w:r>
      <w:r w:rsidR="002A5E7C" w:rsidRPr="00B31665">
        <w:rPr>
          <w:rFonts w:ascii="Times New Roman" w:hAnsi="Times New Roman" w:cs="Times New Roman"/>
        </w:rPr>
        <w:t xml:space="preserve"> Impacts on regional development </w:t>
      </w:r>
    </w:p>
    <w:p w:rsidR="002C71D2" w:rsidRPr="00E2269B" w:rsidRDefault="0026352C" w:rsidP="003B1BF2">
      <w:pPr>
        <w:rPr>
          <w:rFonts w:ascii="Times New Roman" w:hAnsi="Times New Roman" w:cs="Times New Roman"/>
        </w:rPr>
      </w:pPr>
      <w:r w:rsidRPr="00E2269B">
        <w:rPr>
          <w:rFonts w:ascii="Times New Roman" w:hAnsi="Times New Roman" w:cs="Times New Roman"/>
        </w:rPr>
        <w:t xml:space="preserve">Impacts of </w:t>
      </w:r>
      <w:r w:rsidR="002C71D2" w:rsidRPr="00E2269B">
        <w:rPr>
          <w:rFonts w:ascii="Times New Roman" w:hAnsi="Times New Roman" w:cs="Times New Roman"/>
        </w:rPr>
        <w:t xml:space="preserve">different </w:t>
      </w:r>
      <w:r w:rsidRPr="00E2269B">
        <w:rPr>
          <w:rFonts w:ascii="Times New Roman" w:hAnsi="Times New Roman" w:cs="Times New Roman"/>
        </w:rPr>
        <w:t xml:space="preserve">allocation of energy consumption on provincial economy are displayed in table 3. </w:t>
      </w:r>
      <w:r w:rsidR="00DC6E6C" w:rsidRPr="00E2269B">
        <w:rPr>
          <w:rFonts w:ascii="Times New Roman" w:hAnsi="Times New Roman" w:cs="Times New Roman"/>
        </w:rPr>
        <w:t>Simulation results show that</w:t>
      </w:r>
      <w:r w:rsidR="002747A4" w:rsidRPr="00E2269B">
        <w:rPr>
          <w:rFonts w:ascii="Times New Roman" w:hAnsi="Times New Roman" w:cs="Times New Roman"/>
        </w:rPr>
        <w:t xml:space="preserve">, </w:t>
      </w:r>
      <w:r w:rsidR="00DA201B" w:rsidRPr="00E2269B">
        <w:rPr>
          <w:rFonts w:ascii="Times New Roman" w:hAnsi="Times New Roman" w:cs="Times New Roman"/>
        </w:rPr>
        <w:t xml:space="preserve">in </w:t>
      </w:r>
      <w:r w:rsidR="00DA201B">
        <w:rPr>
          <w:rFonts w:ascii="Times New Roman" w:hAnsi="Times New Roman" w:cs="Times New Roman"/>
        </w:rPr>
        <w:t>equity</w:t>
      </w:r>
      <w:r w:rsidR="00DA201B" w:rsidRPr="00E2269B">
        <w:rPr>
          <w:rFonts w:ascii="Times New Roman" w:hAnsi="Times New Roman" w:cs="Times New Roman"/>
        </w:rPr>
        <w:t xml:space="preserve">-first scenario (S1) </w:t>
      </w:r>
      <w:r w:rsidR="00DA201B">
        <w:rPr>
          <w:rFonts w:ascii="Times New Roman" w:hAnsi="Times New Roman" w:cs="Times New Roman" w:hint="eastAsia"/>
        </w:rPr>
        <w:t>,</w:t>
      </w:r>
      <w:r w:rsidR="002747A4" w:rsidRPr="00E2269B">
        <w:rPr>
          <w:rFonts w:ascii="Times New Roman" w:hAnsi="Times New Roman" w:cs="Times New Roman"/>
        </w:rPr>
        <w:t xml:space="preserve">GDP growth rates of Beijing, Tianjin, </w:t>
      </w:r>
      <w:proofErr w:type="spellStart"/>
      <w:r w:rsidR="002747A4" w:rsidRPr="00E2269B">
        <w:rPr>
          <w:rFonts w:ascii="Times New Roman" w:hAnsi="Times New Roman" w:cs="Times New Roman"/>
        </w:rPr>
        <w:t>Hebei</w:t>
      </w:r>
      <w:proofErr w:type="spellEnd"/>
      <w:r w:rsidR="002747A4" w:rsidRPr="00E2269B">
        <w:rPr>
          <w:rFonts w:ascii="Times New Roman" w:hAnsi="Times New Roman" w:cs="Times New Roman"/>
        </w:rPr>
        <w:t xml:space="preserve">, Shanghai, Jiangsu, Zhejiang, Jiangxi, Henan, Guangdong, Guangxi and </w:t>
      </w:r>
      <w:proofErr w:type="spellStart"/>
      <w:r w:rsidR="002747A4" w:rsidRPr="00E2269B">
        <w:rPr>
          <w:rFonts w:ascii="Times New Roman" w:hAnsi="Times New Roman" w:cs="Times New Roman"/>
        </w:rPr>
        <w:t>Shannxi</w:t>
      </w:r>
      <w:proofErr w:type="spellEnd"/>
      <w:r w:rsidR="002747A4" w:rsidRPr="00E2269B">
        <w:rPr>
          <w:rFonts w:ascii="Times New Roman" w:hAnsi="Times New Roman" w:cs="Times New Roman"/>
        </w:rPr>
        <w:t xml:space="preserve"> are higher than those in S0 scenario</w:t>
      </w:r>
      <w:r w:rsidR="004A55D7" w:rsidRPr="00E2269B">
        <w:rPr>
          <w:rFonts w:ascii="Times New Roman" w:hAnsi="Times New Roman" w:cs="Times New Roman"/>
        </w:rPr>
        <w:t xml:space="preserve"> and </w:t>
      </w:r>
      <w:r w:rsidR="00A52ABD">
        <w:rPr>
          <w:rFonts w:ascii="Times New Roman" w:hAnsi="Times New Roman" w:cs="Times New Roman"/>
        </w:rPr>
        <w:t>equity</w:t>
      </w:r>
      <w:r w:rsidR="004A55D7" w:rsidRPr="00E2269B">
        <w:rPr>
          <w:rFonts w:ascii="Times New Roman" w:hAnsi="Times New Roman" w:cs="Times New Roman"/>
        </w:rPr>
        <w:t>-first allocation is benefit for these regions. E</w:t>
      </w:r>
      <w:r w:rsidR="00056875" w:rsidRPr="00E2269B">
        <w:rPr>
          <w:rFonts w:ascii="Times New Roman" w:hAnsi="Times New Roman" w:cs="Times New Roman"/>
        </w:rPr>
        <w:t>specially some east regions, for example Beijing, Tianjin, Shanghai, Jiangsu</w:t>
      </w:r>
      <w:r w:rsidR="00864AC9" w:rsidRPr="00E2269B">
        <w:rPr>
          <w:rFonts w:ascii="Times New Roman" w:hAnsi="Times New Roman" w:cs="Times New Roman"/>
        </w:rPr>
        <w:t xml:space="preserve"> and </w:t>
      </w:r>
      <w:r w:rsidR="00056875" w:rsidRPr="00E2269B">
        <w:rPr>
          <w:rFonts w:ascii="Times New Roman" w:hAnsi="Times New Roman" w:cs="Times New Roman"/>
        </w:rPr>
        <w:t xml:space="preserve">Zhejiang, </w:t>
      </w:r>
      <w:r w:rsidR="00591935" w:rsidRPr="00E2269B">
        <w:rPr>
          <w:rFonts w:ascii="Times New Roman" w:hAnsi="Times New Roman" w:cs="Times New Roman"/>
        </w:rPr>
        <w:t xml:space="preserve">with </w:t>
      </w:r>
      <w:r w:rsidR="00056875" w:rsidRPr="00E2269B">
        <w:rPr>
          <w:rFonts w:ascii="Times New Roman" w:hAnsi="Times New Roman" w:cs="Times New Roman"/>
        </w:rPr>
        <w:t>higher energy efficiency and economic strength</w:t>
      </w:r>
      <w:r w:rsidR="00D43898" w:rsidRPr="00E2269B">
        <w:rPr>
          <w:rFonts w:ascii="Times New Roman" w:hAnsi="Times New Roman" w:cs="Times New Roman"/>
        </w:rPr>
        <w:t>,</w:t>
      </w:r>
      <w:r w:rsidR="00591935" w:rsidRPr="00E2269B">
        <w:rPr>
          <w:rFonts w:ascii="Times New Roman" w:hAnsi="Times New Roman" w:cs="Times New Roman"/>
        </w:rPr>
        <w:t xml:space="preserve"> can get a little</w:t>
      </w:r>
      <w:r w:rsidR="00417191" w:rsidRPr="00E2269B">
        <w:rPr>
          <w:rFonts w:ascii="Times New Roman" w:hAnsi="Times New Roman" w:cs="Times New Roman"/>
        </w:rPr>
        <w:t xml:space="preserve"> </w:t>
      </w:r>
      <w:r w:rsidR="00591935" w:rsidRPr="00E2269B">
        <w:rPr>
          <w:rFonts w:ascii="Times New Roman" w:hAnsi="Times New Roman" w:cs="Times New Roman"/>
        </w:rPr>
        <w:t xml:space="preserve">GDP </w:t>
      </w:r>
      <w:r w:rsidR="00417191" w:rsidRPr="00E2269B">
        <w:rPr>
          <w:rFonts w:ascii="Times New Roman" w:hAnsi="Times New Roman" w:cs="Times New Roman"/>
        </w:rPr>
        <w:t xml:space="preserve">increase </w:t>
      </w:r>
      <w:r w:rsidR="00591935" w:rsidRPr="00E2269B">
        <w:rPr>
          <w:rFonts w:ascii="Times New Roman" w:hAnsi="Times New Roman" w:cs="Times New Roman"/>
        </w:rPr>
        <w:t>by resources restructure across regions</w:t>
      </w:r>
      <w:r w:rsidR="00080AE1" w:rsidRPr="00E2269B">
        <w:rPr>
          <w:rFonts w:ascii="Times New Roman" w:hAnsi="Times New Roman" w:cs="Times New Roman"/>
        </w:rPr>
        <w:t xml:space="preserve"> under the </w:t>
      </w:r>
      <w:r w:rsidR="001D31CA">
        <w:rPr>
          <w:rFonts w:ascii="Times New Roman" w:hAnsi="Times New Roman" w:cs="Times New Roman" w:hint="eastAsia"/>
        </w:rPr>
        <w:t xml:space="preserve">policy to </w:t>
      </w:r>
      <w:r w:rsidR="001D31CA" w:rsidRPr="00E2269B">
        <w:rPr>
          <w:rFonts w:ascii="Times New Roman" w:hAnsi="Times New Roman" w:cs="Times New Roman"/>
        </w:rPr>
        <w:t>control</w:t>
      </w:r>
      <w:r w:rsidR="00080AE1" w:rsidRPr="00E2269B">
        <w:rPr>
          <w:rFonts w:ascii="Times New Roman" w:hAnsi="Times New Roman" w:cs="Times New Roman"/>
        </w:rPr>
        <w:t xml:space="preserve"> of energy consumption quotas</w:t>
      </w:r>
      <w:r w:rsidR="00591935" w:rsidRPr="00E2269B">
        <w:rPr>
          <w:rFonts w:ascii="Times New Roman" w:hAnsi="Times New Roman" w:cs="Times New Roman"/>
        </w:rPr>
        <w:t>.</w:t>
      </w:r>
    </w:p>
    <w:p w:rsidR="00DA201B" w:rsidRDefault="00DA201B" w:rsidP="006E0A88">
      <w:pPr>
        <w:jc w:val="left"/>
        <w:rPr>
          <w:rFonts w:ascii="Times New Roman" w:hAnsi="Times New Roman" w:cs="Times New Roman"/>
        </w:rPr>
      </w:pPr>
    </w:p>
    <w:p w:rsidR="006E0A88" w:rsidRDefault="00080AE1" w:rsidP="003B1BF2">
      <w:pPr>
        <w:rPr>
          <w:rFonts w:ascii="Times New Roman" w:hAnsi="Times New Roman"/>
        </w:rPr>
      </w:pPr>
      <w:r w:rsidRPr="00E2269B">
        <w:rPr>
          <w:rFonts w:ascii="Times New Roman" w:hAnsi="Times New Roman" w:cs="Times New Roman"/>
        </w:rPr>
        <w:t>However, GDP growth rates of</w:t>
      </w:r>
      <w:r w:rsidR="00864AC9" w:rsidRPr="00E2269B">
        <w:rPr>
          <w:rFonts w:ascii="Times New Roman" w:hAnsi="Times New Roman" w:cs="Times New Roman"/>
        </w:rPr>
        <w:t xml:space="preserve"> </w:t>
      </w:r>
      <w:r w:rsidRPr="00E2269B">
        <w:rPr>
          <w:rFonts w:ascii="Times New Roman" w:hAnsi="Times New Roman" w:cs="Times New Roman"/>
        </w:rPr>
        <w:t xml:space="preserve">Chongqing, Sichuan, Yunnan, </w:t>
      </w:r>
      <w:proofErr w:type="spellStart"/>
      <w:r w:rsidRPr="00E2269B">
        <w:rPr>
          <w:rFonts w:ascii="Times New Roman" w:hAnsi="Times New Roman" w:cs="Times New Roman"/>
        </w:rPr>
        <w:t>Guizhou</w:t>
      </w:r>
      <w:proofErr w:type="spellEnd"/>
      <w:r w:rsidRPr="00E2269B">
        <w:rPr>
          <w:rFonts w:ascii="Times New Roman" w:hAnsi="Times New Roman" w:cs="Times New Roman"/>
        </w:rPr>
        <w:t>, Gansu, Qinghai, Ningxia, Xinjiang, Shanxi, Liaoning, Jilin, Shandong, Hubei, Hunan, Hainan</w:t>
      </w:r>
      <w:r w:rsidR="00864AC9" w:rsidRPr="00E2269B">
        <w:rPr>
          <w:rFonts w:ascii="Times New Roman" w:hAnsi="Times New Roman" w:cs="Times New Roman"/>
        </w:rPr>
        <w:t xml:space="preserve"> and</w:t>
      </w:r>
      <w:r w:rsidRPr="00E2269B">
        <w:rPr>
          <w:rFonts w:ascii="Times New Roman" w:hAnsi="Times New Roman" w:cs="Times New Roman"/>
        </w:rPr>
        <w:t xml:space="preserve"> Anhui</w:t>
      </w:r>
      <w:r w:rsidR="00864AC9" w:rsidRPr="00E2269B">
        <w:rPr>
          <w:rFonts w:ascii="Times New Roman" w:hAnsi="Times New Roman" w:cs="Times New Roman"/>
        </w:rPr>
        <w:t xml:space="preserve"> in </w:t>
      </w:r>
      <w:r w:rsidR="00A52ABD">
        <w:rPr>
          <w:rFonts w:ascii="Times New Roman" w:hAnsi="Times New Roman" w:cs="Times New Roman"/>
        </w:rPr>
        <w:t>equity</w:t>
      </w:r>
      <w:r w:rsidR="00864AC9" w:rsidRPr="00E2269B">
        <w:rPr>
          <w:rFonts w:ascii="Times New Roman" w:hAnsi="Times New Roman" w:cs="Times New Roman"/>
        </w:rPr>
        <w:t xml:space="preserve">-first scenario (S1) are lower than those in S0 scenario. Especially Sichuan, Yunnan, </w:t>
      </w:r>
      <w:proofErr w:type="spellStart"/>
      <w:r w:rsidR="00864AC9" w:rsidRPr="00E2269B">
        <w:rPr>
          <w:rFonts w:ascii="Times New Roman" w:hAnsi="Times New Roman" w:cs="Times New Roman"/>
        </w:rPr>
        <w:t>Guizhou</w:t>
      </w:r>
      <w:proofErr w:type="spellEnd"/>
      <w:r w:rsidR="00864AC9" w:rsidRPr="00E2269B">
        <w:rPr>
          <w:rFonts w:ascii="Times New Roman" w:hAnsi="Times New Roman" w:cs="Times New Roman"/>
        </w:rPr>
        <w:t xml:space="preserve">, Gansu, Qinghai, Ningxia, Xinjiang, with lower energy efficiency and economic strength, </w:t>
      </w:r>
      <w:r w:rsidR="00547356" w:rsidRPr="00E2269B">
        <w:rPr>
          <w:rFonts w:ascii="Times New Roman" w:hAnsi="Times New Roman" w:cs="Times New Roman"/>
        </w:rPr>
        <w:t>will suffer heavily</w:t>
      </w:r>
      <w:r w:rsidR="00864AC9" w:rsidRPr="00E2269B">
        <w:rPr>
          <w:rFonts w:ascii="Times New Roman" w:hAnsi="Times New Roman" w:cs="Times New Roman"/>
        </w:rPr>
        <w:t xml:space="preserve"> under the </w:t>
      </w:r>
      <w:r w:rsidR="001D31CA">
        <w:rPr>
          <w:rFonts w:ascii="Times New Roman" w:hAnsi="Times New Roman" w:cs="Times New Roman" w:hint="eastAsia"/>
        </w:rPr>
        <w:t xml:space="preserve">policy to </w:t>
      </w:r>
      <w:r w:rsidR="001D31CA" w:rsidRPr="00E2269B">
        <w:rPr>
          <w:rFonts w:ascii="Times New Roman" w:hAnsi="Times New Roman" w:cs="Times New Roman"/>
        </w:rPr>
        <w:t xml:space="preserve">control </w:t>
      </w:r>
      <w:r w:rsidR="00864AC9" w:rsidRPr="00E2269B">
        <w:rPr>
          <w:rFonts w:ascii="Times New Roman" w:hAnsi="Times New Roman" w:cs="Times New Roman"/>
        </w:rPr>
        <w:t>of energy consumption qu</w:t>
      </w:r>
      <w:r w:rsidR="00547356" w:rsidRPr="00E2269B">
        <w:rPr>
          <w:rFonts w:ascii="Times New Roman" w:hAnsi="Times New Roman" w:cs="Times New Roman"/>
        </w:rPr>
        <w:t>otas.</w:t>
      </w:r>
      <w:r w:rsidR="006E0A88" w:rsidRPr="006E0A88">
        <w:rPr>
          <w:rFonts w:ascii="Times New Roman" w:hAnsi="Times New Roman" w:hint="eastAsia"/>
        </w:rPr>
        <w:t xml:space="preserve"> </w:t>
      </w:r>
      <w:r w:rsidR="006E0A88">
        <w:rPr>
          <w:rFonts w:ascii="Times New Roman" w:hAnsi="Times New Roman" w:hint="eastAsia"/>
        </w:rPr>
        <w:t>That means although the loss of national GDP would be minimal, the negative impacts on central and west area will be most severe. This will lead to larger disparity in regional economy (</w:t>
      </w:r>
      <w:r w:rsidR="00DA201B">
        <w:rPr>
          <w:rFonts w:ascii="Times New Roman" w:hAnsi="Times New Roman" w:hint="eastAsia"/>
        </w:rPr>
        <w:t>T</w:t>
      </w:r>
      <w:r w:rsidR="006E0A88">
        <w:rPr>
          <w:rFonts w:ascii="Times New Roman" w:hAnsi="Times New Roman" w:hint="eastAsia"/>
        </w:rPr>
        <w:t xml:space="preserve">able 4). In equality-first </w:t>
      </w:r>
      <w:r w:rsidR="006E0A88">
        <w:rPr>
          <w:rFonts w:ascii="Times New Roman" w:hAnsi="Times New Roman"/>
        </w:rPr>
        <w:t>scenario</w:t>
      </w:r>
      <w:r w:rsidR="006E0A88">
        <w:rPr>
          <w:rFonts w:ascii="Times New Roman" w:hAnsi="Times New Roman" w:hint="eastAsia"/>
        </w:rPr>
        <w:t xml:space="preserve"> (S2), the loss of </w:t>
      </w:r>
      <w:r w:rsidR="00DA201B">
        <w:rPr>
          <w:rFonts w:ascii="Times New Roman" w:hAnsi="Times New Roman" w:hint="eastAsia"/>
        </w:rPr>
        <w:t xml:space="preserve">GDP </w:t>
      </w:r>
      <w:r w:rsidR="006E0A88">
        <w:rPr>
          <w:rFonts w:ascii="Times New Roman" w:hAnsi="Times New Roman" w:hint="eastAsia"/>
        </w:rPr>
        <w:t xml:space="preserve">growth rates of most central and west </w:t>
      </w:r>
      <w:r w:rsidR="00DA201B">
        <w:rPr>
          <w:rFonts w:ascii="Times New Roman" w:hAnsi="Times New Roman" w:hint="eastAsia"/>
        </w:rPr>
        <w:t>regions</w:t>
      </w:r>
      <w:r w:rsidR="006E0A88">
        <w:rPr>
          <w:rFonts w:ascii="Times New Roman" w:hAnsi="Times New Roman" w:hint="eastAsia"/>
        </w:rPr>
        <w:t xml:space="preserve"> will be </w:t>
      </w:r>
      <w:r w:rsidR="006E0A88">
        <w:rPr>
          <w:rFonts w:ascii="Times New Roman" w:hAnsi="Times New Roman"/>
        </w:rPr>
        <w:t>smaller</w:t>
      </w:r>
      <w:r w:rsidR="006E0A88">
        <w:rPr>
          <w:rFonts w:ascii="Times New Roman" w:hAnsi="Times New Roman" w:hint="eastAsia"/>
        </w:rPr>
        <w:t xml:space="preserve"> than ones in S1, except for Chongqing, Qinghai and Xinjiang. While the loss of growth rates of GDP in east developed area, such as Beijing, Tianjin, Shanghai, Jiangsu, Zhejiang and Guangdong, will be larger than those in S1. This means in S2 scenario, the disparity of regional economic development is eased to some extent, although the overall </w:t>
      </w:r>
      <w:r w:rsidR="006E0A88">
        <w:rPr>
          <w:rFonts w:ascii="Times New Roman" w:hAnsi="Times New Roman"/>
        </w:rPr>
        <w:t>national</w:t>
      </w:r>
      <w:r w:rsidR="006E0A88">
        <w:rPr>
          <w:rFonts w:ascii="Times New Roman" w:hAnsi="Times New Roman" w:hint="eastAsia"/>
        </w:rPr>
        <w:t xml:space="preserve"> GDP loss is a little larger than in S1. In S3</w:t>
      </w:r>
      <w:r w:rsidR="00DA201B" w:rsidRPr="00DA201B">
        <w:rPr>
          <w:rFonts w:ascii="Times New Roman" w:hAnsi="Times New Roman"/>
        </w:rPr>
        <w:t xml:space="preserve"> </w:t>
      </w:r>
      <w:r w:rsidR="00DA201B">
        <w:rPr>
          <w:rFonts w:ascii="Times New Roman" w:hAnsi="Times New Roman"/>
        </w:rPr>
        <w:t>scenario</w:t>
      </w:r>
      <w:r w:rsidR="006E0A88">
        <w:rPr>
          <w:rFonts w:ascii="Times New Roman" w:hAnsi="Times New Roman" w:hint="eastAsia"/>
        </w:rPr>
        <w:t>, the GDP variation of each region lies between the value in S1 and S2.</w:t>
      </w:r>
    </w:p>
    <w:p w:rsidR="00DA201B" w:rsidRDefault="00DA201B" w:rsidP="006E0A88">
      <w:pPr>
        <w:jc w:val="left"/>
      </w:pPr>
    </w:p>
    <w:p w:rsidR="00DA201B" w:rsidRPr="00DA201B" w:rsidRDefault="00DA201B" w:rsidP="003B1BF2">
      <w:pPr>
        <w:rPr>
          <w:rFonts w:ascii="Times New Roman" w:hAnsi="Times New Roman"/>
        </w:rPr>
      </w:pPr>
      <w:r w:rsidRPr="00DA201B">
        <w:rPr>
          <w:rFonts w:ascii="Times New Roman" w:hAnsi="Times New Roman" w:hint="eastAsia"/>
        </w:rPr>
        <w:t xml:space="preserve">Additionally, whether in S1, S2 or S3, the GDP losses of Chongqing, </w:t>
      </w:r>
      <w:proofErr w:type="spellStart"/>
      <w:r w:rsidRPr="00DA201B">
        <w:rPr>
          <w:rFonts w:ascii="Times New Roman" w:hAnsi="Times New Roman" w:hint="eastAsia"/>
        </w:rPr>
        <w:t>Guizhou</w:t>
      </w:r>
      <w:proofErr w:type="spellEnd"/>
      <w:r w:rsidRPr="00DA201B">
        <w:rPr>
          <w:rFonts w:ascii="Times New Roman" w:hAnsi="Times New Roman" w:hint="eastAsia"/>
        </w:rPr>
        <w:t>, Shanxi, Jilin, Qinghai and Ningxia provinces are fairly large. The</w:t>
      </w:r>
      <w:r>
        <w:rPr>
          <w:rFonts w:ascii="Times New Roman" w:hAnsi="Times New Roman" w:hint="eastAsia"/>
        </w:rPr>
        <w:t>ir</w:t>
      </w:r>
      <w:r w:rsidRPr="00DA201B">
        <w:rPr>
          <w:rFonts w:ascii="Times New Roman" w:hAnsi="Times New Roman" w:hint="eastAsia"/>
        </w:rPr>
        <w:t xml:space="preserve"> yearly GDP growth rates will drop as much as over 1% compared to the baseline scenario. </w:t>
      </w:r>
      <w:r>
        <w:rPr>
          <w:rFonts w:ascii="Times New Roman" w:hAnsi="Times New Roman" w:hint="eastAsia"/>
        </w:rPr>
        <w:t>T</w:t>
      </w:r>
      <w:r w:rsidRPr="00DA201B">
        <w:rPr>
          <w:rFonts w:ascii="Times New Roman" w:hAnsi="Times New Roman" w:hint="eastAsia"/>
        </w:rPr>
        <w:t>hese central and west provinces are either base of energy pro</w:t>
      </w:r>
      <w:r>
        <w:rPr>
          <w:rFonts w:ascii="Times New Roman" w:hAnsi="Times New Roman" w:hint="eastAsia"/>
        </w:rPr>
        <w:t xml:space="preserve">duction or less-developed area and they will face </w:t>
      </w:r>
      <w:r w:rsidRPr="00DA201B">
        <w:rPr>
          <w:rFonts w:ascii="Times New Roman" w:hAnsi="Times New Roman" w:hint="eastAsia"/>
        </w:rPr>
        <w:t xml:space="preserve">a big challenge to ease the negative </w:t>
      </w:r>
      <w:r>
        <w:rPr>
          <w:rFonts w:ascii="Times New Roman" w:hAnsi="Times New Roman" w:hint="eastAsia"/>
        </w:rPr>
        <w:t>impacts</w:t>
      </w:r>
      <w:r w:rsidRPr="00DA201B">
        <w:rPr>
          <w:rFonts w:ascii="Times New Roman" w:hAnsi="Times New Roman" w:hint="eastAsia"/>
        </w:rPr>
        <w:t xml:space="preserve"> caused by the </w:t>
      </w:r>
      <w:r w:rsidRPr="00DA201B">
        <w:rPr>
          <w:rFonts w:ascii="Times New Roman" w:hAnsi="Times New Roman"/>
        </w:rPr>
        <w:t>implementation</w:t>
      </w:r>
      <w:r w:rsidRPr="00DA201B">
        <w:rPr>
          <w:rFonts w:ascii="Times New Roman" w:hAnsi="Times New Roman" w:hint="eastAsia"/>
        </w:rPr>
        <w:t xml:space="preserve"> of </w:t>
      </w:r>
      <w:r>
        <w:rPr>
          <w:rFonts w:ascii="Times New Roman" w:hAnsi="Times New Roman" w:hint="eastAsia"/>
        </w:rPr>
        <w:t xml:space="preserve">the </w:t>
      </w:r>
      <w:r w:rsidRPr="00DA201B">
        <w:rPr>
          <w:rFonts w:ascii="Times New Roman" w:hAnsi="Times New Roman" w:hint="eastAsia"/>
        </w:rPr>
        <w:t>policy</w:t>
      </w:r>
      <w:r>
        <w:rPr>
          <w:rFonts w:ascii="Times New Roman" w:hAnsi="Times New Roman" w:hint="eastAsia"/>
        </w:rPr>
        <w:t xml:space="preserve"> to</w:t>
      </w:r>
      <w:r w:rsidRPr="00DA201B">
        <w:rPr>
          <w:rFonts w:ascii="Times New Roman" w:hAnsi="Times New Roman" w:hint="eastAsia"/>
        </w:rPr>
        <w:t xml:space="preserve"> control</w:t>
      </w:r>
      <w:r>
        <w:rPr>
          <w:rFonts w:ascii="Times New Roman" w:hAnsi="Times New Roman" w:hint="eastAsia"/>
        </w:rPr>
        <w:t xml:space="preserve"> </w:t>
      </w:r>
      <w:r w:rsidRPr="00DA201B">
        <w:rPr>
          <w:rFonts w:ascii="Times New Roman" w:hAnsi="Times New Roman" w:hint="eastAsia"/>
        </w:rPr>
        <w:t>energy consumption quota</w:t>
      </w:r>
      <w:r>
        <w:rPr>
          <w:rFonts w:ascii="Times New Roman" w:hAnsi="Times New Roman" w:hint="eastAsia"/>
        </w:rPr>
        <w:t>s.</w:t>
      </w:r>
      <w:r w:rsidRPr="00DA201B">
        <w:rPr>
          <w:rFonts w:ascii="Times New Roman" w:hAnsi="Times New Roman" w:hint="eastAsia"/>
        </w:rPr>
        <w:t xml:space="preserve"> </w:t>
      </w:r>
    </w:p>
    <w:p w:rsidR="00064AD8" w:rsidRPr="00E2269B" w:rsidRDefault="00064AD8" w:rsidP="00716AB1">
      <w:pPr>
        <w:jc w:val="left"/>
        <w:rPr>
          <w:rFonts w:ascii="Times New Roman" w:hAnsi="Times New Roman" w:cs="Times New Roman"/>
        </w:rPr>
      </w:pPr>
    </w:p>
    <w:p w:rsidR="008C62C5" w:rsidRPr="00E2269B" w:rsidRDefault="006913FA" w:rsidP="003258B8">
      <w:pPr>
        <w:jc w:val="center"/>
        <w:rPr>
          <w:rFonts w:ascii="Times New Roman" w:hAnsi="Times New Roman" w:cs="Times New Roman"/>
        </w:rPr>
      </w:pPr>
      <w:proofErr w:type="gramStart"/>
      <w:r w:rsidRPr="00E2269B">
        <w:rPr>
          <w:rFonts w:ascii="Times New Roman" w:eastAsia="宋体" w:hAnsi="Times New Roman" w:cs="Times New Roman"/>
          <w:color w:val="000000"/>
          <w:kern w:val="0"/>
          <w:szCs w:val="21"/>
        </w:rPr>
        <w:t>Table 3.</w:t>
      </w:r>
      <w:proofErr w:type="gramEnd"/>
      <w:r w:rsidRPr="00E2269B">
        <w:rPr>
          <w:rFonts w:ascii="Times New Roman" w:eastAsia="宋体" w:hAnsi="Times New Roman" w:cs="Times New Roman"/>
          <w:color w:val="000000"/>
          <w:kern w:val="0"/>
          <w:szCs w:val="21"/>
        </w:rPr>
        <w:t xml:space="preserve"> </w:t>
      </w:r>
      <w:r w:rsidR="004768C5" w:rsidRPr="00E2269B">
        <w:rPr>
          <w:rFonts w:ascii="Times New Roman" w:eastAsia="宋体" w:hAnsi="Times New Roman" w:cs="Times New Roman"/>
          <w:color w:val="000000"/>
          <w:kern w:val="0"/>
          <w:szCs w:val="21"/>
        </w:rPr>
        <w:t>Provincial</w:t>
      </w:r>
      <w:r w:rsidR="003258B8" w:rsidRPr="00E2269B">
        <w:rPr>
          <w:rFonts w:ascii="Times New Roman" w:eastAsia="宋体" w:hAnsi="Times New Roman" w:cs="Times New Roman"/>
          <w:color w:val="000000"/>
          <w:kern w:val="0"/>
          <w:szCs w:val="21"/>
        </w:rPr>
        <w:t xml:space="preserve"> GDP growth per average year in different scenarios</w:t>
      </w:r>
    </w:p>
    <w:tbl>
      <w:tblPr>
        <w:tblW w:w="5000" w:type="pct"/>
        <w:tblBorders>
          <w:top w:val="single" w:sz="12" w:space="0" w:color="auto"/>
          <w:bottom w:val="single" w:sz="12" w:space="0" w:color="auto"/>
        </w:tblBorders>
        <w:tblLook w:val="04A0"/>
      </w:tblPr>
      <w:tblGrid>
        <w:gridCol w:w="1529"/>
        <w:gridCol w:w="1003"/>
        <w:gridCol w:w="1002"/>
        <w:gridCol w:w="1002"/>
        <w:gridCol w:w="1000"/>
        <w:gridCol w:w="222"/>
        <w:gridCol w:w="878"/>
        <w:gridCol w:w="943"/>
        <w:gridCol w:w="943"/>
      </w:tblGrid>
      <w:tr w:rsidR="00D3210B" w:rsidRPr="00E2269B" w:rsidTr="005A20A1">
        <w:trPr>
          <w:trHeight w:val="285"/>
        </w:trPr>
        <w:tc>
          <w:tcPr>
            <w:tcW w:w="897" w:type="pct"/>
            <w:vMerge w:val="restart"/>
            <w:tcBorders>
              <w:top w:val="single" w:sz="12" w:space="0" w:color="auto"/>
              <w:bottom w:val="nil"/>
            </w:tcBorders>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Regions</w:t>
            </w:r>
          </w:p>
        </w:tc>
        <w:tc>
          <w:tcPr>
            <w:tcW w:w="2351" w:type="pct"/>
            <w:gridSpan w:val="4"/>
            <w:tcBorders>
              <w:top w:val="single" w:sz="12" w:space="0" w:color="auto"/>
              <w:bottom w:val="single" w:sz="4" w:space="0" w:color="auto"/>
            </w:tcBorders>
            <w:shd w:val="clear" w:color="auto" w:fill="auto"/>
            <w:noWrap/>
            <w:vAlign w:val="center"/>
            <w:hideMark/>
          </w:tcPr>
          <w:p w:rsidR="00D3210B" w:rsidRPr="00E2269B" w:rsidRDefault="004768C5" w:rsidP="00D3210B">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Cs w:val="21"/>
              </w:rPr>
              <w:t>Provincial</w:t>
            </w:r>
            <w:r w:rsidR="00D3210B" w:rsidRPr="00E2269B">
              <w:rPr>
                <w:rFonts w:ascii="Times New Roman" w:eastAsia="宋体" w:hAnsi="Times New Roman" w:cs="Times New Roman"/>
                <w:color w:val="000000"/>
                <w:kern w:val="0"/>
                <w:szCs w:val="21"/>
              </w:rPr>
              <w:t xml:space="preserve"> GDP growth per average year</w:t>
            </w:r>
            <w:r w:rsidR="003258B8" w:rsidRPr="00E2269B">
              <w:rPr>
                <w:rFonts w:ascii="Times New Roman" w:eastAsia="宋体" w:hAnsi="Times New Roman" w:cs="Times New Roman"/>
                <w:color w:val="000000"/>
                <w:kern w:val="0"/>
                <w:szCs w:val="21"/>
              </w:rPr>
              <w:t xml:space="preserve"> </w:t>
            </w:r>
            <w:r w:rsidR="00D3210B" w:rsidRPr="00E2269B">
              <w:rPr>
                <w:rFonts w:ascii="Times New Roman" w:eastAsia="宋体" w:hAnsi="Times New Roman" w:cs="Times New Roman"/>
                <w:color w:val="000000"/>
                <w:kern w:val="0"/>
                <w:szCs w:val="21"/>
              </w:rPr>
              <w:t>(%)</w:t>
            </w:r>
          </w:p>
        </w:tc>
        <w:tc>
          <w:tcPr>
            <w:tcW w:w="130" w:type="pct"/>
            <w:tcBorders>
              <w:top w:val="single" w:sz="12" w:space="0" w:color="auto"/>
              <w:bottom w:val="nil"/>
            </w:tcBorders>
            <w:shd w:val="clear" w:color="auto" w:fill="auto"/>
            <w:hideMark/>
          </w:tcPr>
          <w:p w:rsidR="00D3210B" w:rsidRPr="00E2269B" w:rsidRDefault="00D3210B" w:rsidP="00D3210B">
            <w:pPr>
              <w:widowControl/>
              <w:jc w:val="center"/>
              <w:rPr>
                <w:rFonts w:ascii="Times New Roman" w:eastAsia="宋体" w:hAnsi="Times New Roman" w:cs="Times New Roman"/>
                <w:color w:val="000000"/>
                <w:kern w:val="0"/>
                <w:sz w:val="22"/>
              </w:rPr>
            </w:pPr>
          </w:p>
        </w:tc>
        <w:tc>
          <w:tcPr>
            <w:tcW w:w="516" w:type="pct"/>
            <w:vMerge w:val="restart"/>
            <w:tcBorders>
              <w:top w:val="single" w:sz="12" w:space="0" w:color="auto"/>
              <w:bottom w:val="nil"/>
            </w:tcBorders>
            <w:shd w:val="clear" w:color="auto" w:fill="auto"/>
            <w:noWrap/>
            <w:vAlign w:val="center"/>
            <w:hideMark/>
          </w:tcPr>
          <w:p w:rsidR="00D3210B" w:rsidRPr="00E2269B" w:rsidRDefault="00D3210B" w:rsidP="00D3210B">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S1-S0</w:t>
            </w:r>
          </w:p>
        </w:tc>
        <w:tc>
          <w:tcPr>
            <w:tcW w:w="553" w:type="pct"/>
            <w:vMerge w:val="restart"/>
            <w:tcBorders>
              <w:top w:val="single" w:sz="12" w:space="0" w:color="auto"/>
              <w:bottom w:val="nil"/>
            </w:tcBorders>
            <w:shd w:val="clear" w:color="auto" w:fill="auto"/>
            <w:noWrap/>
            <w:vAlign w:val="center"/>
            <w:hideMark/>
          </w:tcPr>
          <w:p w:rsidR="00D3210B" w:rsidRPr="00E2269B" w:rsidRDefault="00D3210B" w:rsidP="00D3210B">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S2-S0</w:t>
            </w:r>
          </w:p>
        </w:tc>
        <w:tc>
          <w:tcPr>
            <w:tcW w:w="553" w:type="pct"/>
            <w:vMerge w:val="restart"/>
            <w:tcBorders>
              <w:top w:val="single" w:sz="12" w:space="0" w:color="auto"/>
              <w:bottom w:val="nil"/>
            </w:tcBorders>
            <w:shd w:val="clear" w:color="auto" w:fill="auto"/>
            <w:noWrap/>
            <w:vAlign w:val="center"/>
            <w:hideMark/>
          </w:tcPr>
          <w:p w:rsidR="00D3210B" w:rsidRPr="00E2269B" w:rsidRDefault="00D3210B" w:rsidP="00D3210B">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S3-S0</w:t>
            </w:r>
          </w:p>
        </w:tc>
      </w:tr>
      <w:tr w:rsidR="00D3210B" w:rsidRPr="00E2269B" w:rsidTr="005A20A1">
        <w:trPr>
          <w:trHeight w:val="285"/>
        </w:trPr>
        <w:tc>
          <w:tcPr>
            <w:tcW w:w="897" w:type="pct"/>
            <w:vMerge/>
            <w:tcBorders>
              <w:top w:val="nil"/>
              <w:bottom w:val="single" w:sz="4" w:space="0" w:color="auto"/>
            </w:tcBorders>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p>
        </w:tc>
        <w:tc>
          <w:tcPr>
            <w:tcW w:w="588" w:type="pct"/>
            <w:tcBorders>
              <w:top w:val="single" w:sz="4" w:space="0" w:color="auto"/>
              <w:bottom w:val="single" w:sz="4" w:space="0" w:color="auto"/>
            </w:tcBorders>
            <w:shd w:val="clear" w:color="auto" w:fill="auto"/>
            <w:noWrap/>
            <w:vAlign w:val="center"/>
            <w:hideMark/>
          </w:tcPr>
          <w:p w:rsidR="00D3210B" w:rsidRPr="00E2269B" w:rsidRDefault="00D3210B" w:rsidP="00D3210B">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S0</w:t>
            </w:r>
          </w:p>
        </w:tc>
        <w:tc>
          <w:tcPr>
            <w:tcW w:w="588" w:type="pct"/>
            <w:tcBorders>
              <w:top w:val="single" w:sz="4" w:space="0" w:color="auto"/>
              <w:bottom w:val="single" w:sz="4" w:space="0" w:color="auto"/>
            </w:tcBorders>
            <w:shd w:val="clear" w:color="auto" w:fill="auto"/>
            <w:noWrap/>
            <w:vAlign w:val="center"/>
            <w:hideMark/>
          </w:tcPr>
          <w:p w:rsidR="00D3210B" w:rsidRPr="00E2269B" w:rsidRDefault="00D3210B" w:rsidP="00D3210B">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S1</w:t>
            </w:r>
          </w:p>
        </w:tc>
        <w:tc>
          <w:tcPr>
            <w:tcW w:w="588" w:type="pct"/>
            <w:tcBorders>
              <w:top w:val="single" w:sz="4" w:space="0" w:color="auto"/>
              <w:bottom w:val="single" w:sz="4" w:space="0" w:color="auto"/>
            </w:tcBorders>
            <w:shd w:val="clear" w:color="auto" w:fill="auto"/>
            <w:noWrap/>
            <w:vAlign w:val="center"/>
            <w:hideMark/>
          </w:tcPr>
          <w:p w:rsidR="00D3210B" w:rsidRPr="00E2269B" w:rsidRDefault="00D3210B" w:rsidP="00D3210B">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S2</w:t>
            </w:r>
          </w:p>
        </w:tc>
        <w:tc>
          <w:tcPr>
            <w:tcW w:w="587" w:type="pct"/>
            <w:tcBorders>
              <w:top w:val="single" w:sz="4" w:space="0" w:color="auto"/>
              <w:bottom w:val="single" w:sz="4" w:space="0" w:color="auto"/>
            </w:tcBorders>
            <w:shd w:val="clear" w:color="auto" w:fill="auto"/>
            <w:noWrap/>
            <w:vAlign w:val="center"/>
            <w:hideMark/>
          </w:tcPr>
          <w:p w:rsidR="00D3210B" w:rsidRPr="00E2269B" w:rsidRDefault="00D3210B" w:rsidP="00D3210B">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S3</w:t>
            </w:r>
          </w:p>
        </w:tc>
        <w:tc>
          <w:tcPr>
            <w:tcW w:w="130" w:type="pct"/>
            <w:tcBorders>
              <w:top w:val="nil"/>
              <w:bottom w:val="single" w:sz="4" w:space="0" w:color="auto"/>
            </w:tcBorders>
            <w:shd w:val="clear" w:color="auto" w:fill="auto"/>
            <w:hideMark/>
          </w:tcPr>
          <w:p w:rsidR="00D3210B" w:rsidRPr="00E2269B" w:rsidRDefault="00D3210B" w:rsidP="00D3210B">
            <w:pPr>
              <w:widowControl/>
              <w:jc w:val="center"/>
              <w:rPr>
                <w:rFonts w:ascii="Times New Roman" w:eastAsia="宋体" w:hAnsi="Times New Roman" w:cs="Times New Roman"/>
                <w:color w:val="000000"/>
                <w:kern w:val="0"/>
                <w:sz w:val="22"/>
              </w:rPr>
            </w:pPr>
          </w:p>
        </w:tc>
        <w:tc>
          <w:tcPr>
            <w:tcW w:w="516" w:type="pct"/>
            <w:vMerge/>
            <w:tcBorders>
              <w:top w:val="nil"/>
              <w:bottom w:val="single" w:sz="4" w:space="0" w:color="auto"/>
            </w:tcBorders>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53" w:type="pct"/>
            <w:vMerge/>
            <w:tcBorders>
              <w:top w:val="nil"/>
              <w:bottom w:val="single" w:sz="4" w:space="0" w:color="auto"/>
            </w:tcBorders>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53" w:type="pct"/>
            <w:vMerge/>
            <w:tcBorders>
              <w:top w:val="nil"/>
              <w:bottom w:val="single" w:sz="4" w:space="0" w:color="auto"/>
            </w:tcBorders>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r>
      <w:tr w:rsidR="00D3210B" w:rsidRPr="00E2269B" w:rsidTr="005A20A1">
        <w:trPr>
          <w:trHeight w:val="285"/>
        </w:trPr>
        <w:tc>
          <w:tcPr>
            <w:tcW w:w="897" w:type="pct"/>
            <w:tcBorders>
              <w:top w:val="single" w:sz="4" w:space="0" w:color="auto"/>
            </w:tcBorders>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Beijing</w:t>
            </w:r>
          </w:p>
        </w:tc>
        <w:tc>
          <w:tcPr>
            <w:tcW w:w="588" w:type="pct"/>
            <w:tcBorders>
              <w:top w:val="single" w:sz="4" w:space="0" w:color="auto"/>
            </w:tcBorders>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8.00 </w:t>
            </w:r>
          </w:p>
        </w:tc>
        <w:tc>
          <w:tcPr>
            <w:tcW w:w="588" w:type="pct"/>
            <w:tcBorders>
              <w:top w:val="single" w:sz="4" w:space="0" w:color="auto"/>
            </w:tcBorders>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8.56 </w:t>
            </w:r>
          </w:p>
        </w:tc>
        <w:tc>
          <w:tcPr>
            <w:tcW w:w="588" w:type="pct"/>
            <w:tcBorders>
              <w:top w:val="single" w:sz="4" w:space="0" w:color="auto"/>
            </w:tcBorders>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8.33 </w:t>
            </w:r>
          </w:p>
        </w:tc>
        <w:tc>
          <w:tcPr>
            <w:tcW w:w="587" w:type="pct"/>
            <w:tcBorders>
              <w:top w:val="single" w:sz="4" w:space="0" w:color="auto"/>
            </w:tcBorders>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8.46 </w:t>
            </w:r>
          </w:p>
        </w:tc>
        <w:tc>
          <w:tcPr>
            <w:tcW w:w="130" w:type="pct"/>
            <w:tcBorders>
              <w:top w:val="single" w:sz="4" w:space="0" w:color="auto"/>
            </w:tcBorders>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tcBorders>
              <w:top w:val="single" w:sz="4" w:space="0" w:color="auto"/>
            </w:tcBorders>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0.56 </w:t>
            </w:r>
          </w:p>
        </w:tc>
        <w:tc>
          <w:tcPr>
            <w:tcW w:w="553" w:type="pct"/>
            <w:tcBorders>
              <w:top w:val="single" w:sz="4" w:space="0" w:color="auto"/>
            </w:tcBorders>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0.33 </w:t>
            </w:r>
          </w:p>
        </w:tc>
        <w:tc>
          <w:tcPr>
            <w:tcW w:w="553" w:type="pct"/>
            <w:tcBorders>
              <w:top w:val="single" w:sz="4" w:space="0" w:color="auto"/>
            </w:tcBorders>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0.46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Tianjin</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12.11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11.95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12.07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0.11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-0.05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0.07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proofErr w:type="spellStart"/>
            <w:r w:rsidRPr="00E2269B">
              <w:rPr>
                <w:rFonts w:ascii="Times New Roman" w:eastAsia="宋体" w:hAnsi="Times New Roman" w:cs="Times New Roman"/>
                <w:color w:val="000000"/>
                <w:kern w:val="0"/>
                <w:szCs w:val="21"/>
              </w:rPr>
              <w:t>Hebei</w:t>
            </w:r>
            <w:proofErr w:type="spellEnd"/>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8.50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8.55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8.52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8.54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0.05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0.02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0.04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Shanxi</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13.00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11.32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11.47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11.42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-1.68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-1.53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-1.58 </w:t>
            </w:r>
          </w:p>
        </w:tc>
      </w:tr>
      <w:tr w:rsidR="00D3210B" w:rsidRPr="00E2269B" w:rsidTr="005A20A1">
        <w:trPr>
          <w:trHeight w:val="270"/>
        </w:trPr>
        <w:tc>
          <w:tcPr>
            <w:tcW w:w="897" w:type="pct"/>
            <w:shd w:val="clear" w:color="auto" w:fill="auto"/>
            <w:noWrap/>
            <w:vAlign w:val="center"/>
            <w:hideMark/>
          </w:tcPr>
          <w:p w:rsidR="00D3210B" w:rsidRPr="00E2269B" w:rsidRDefault="00536688"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Inner Mongolia</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12.02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11.98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0.02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-0.02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0.00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Liaoning</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10.62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10.17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10.31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-0.38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-0.83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-0.69 </w:t>
            </w:r>
          </w:p>
        </w:tc>
      </w:tr>
      <w:tr w:rsidR="00D3210B" w:rsidRPr="00E2269B" w:rsidTr="005A20A1">
        <w:trPr>
          <w:trHeight w:val="270"/>
        </w:trPr>
        <w:tc>
          <w:tcPr>
            <w:tcW w:w="897" w:type="pct"/>
            <w:shd w:val="clear" w:color="auto" w:fill="auto"/>
            <w:noWrap/>
            <w:vAlign w:val="center"/>
            <w:hideMark/>
          </w:tcPr>
          <w:p w:rsidR="00D3210B" w:rsidRPr="00E2269B" w:rsidRDefault="005A20A1"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Ji</w:t>
            </w:r>
            <w:r w:rsidR="00D3210B" w:rsidRPr="00E2269B">
              <w:rPr>
                <w:rFonts w:ascii="Times New Roman" w:eastAsia="宋体" w:hAnsi="Times New Roman" w:cs="Times New Roman"/>
                <w:color w:val="000000"/>
                <w:kern w:val="0"/>
                <w:szCs w:val="21"/>
              </w:rPr>
              <w:t>lin</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10.82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11.09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10.96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-1.18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-0.91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-1.04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Heilongjiang</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12.05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11.91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11.95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0.05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-0.09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-0.05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Shan</w:t>
            </w:r>
            <w:r w:rsidR="00BB485E" w:rsidRPr="00E2269B">
              <w:rPr>
                <w:rFonts w:ascii="Times New Roman" w:eastAsia="宋体" w:hAnsi="Times New Roman" w:cs="Times New Roman"/>
                <w:color w:val="000000"/>
                <w:kern w:val="0"/>
                <w:szCs w:val="21"/>
              </w:rPr>
              <w:t>g</w:t>
            </w:r>
            <w:r w:rsidRPr="00E2269B">
              <w:rPr>
                <w:rFonts w:ascii="Times New Roman" w:eastAsia="宋体" w:hAnsi="Times New Roman" w:cs="Times New Roman"/>
                <w:color w:val="000000"/>
                <w:kern w:val="0"/>
                <w:szCs w:val="21"/>
              </w:rPr>
              <w:t>hai</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8.44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8.32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8.40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0.44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0.32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0.40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Jiangsu</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10.08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9.70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9.90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0.08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-0.30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-0.10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Zhejiang</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8.40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8.05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8.23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0.40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0.05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0.23 </w:t>
            </w:r>
          </w:p>
        </w:tc>
      </w:tr>
      <w:tr w:rsidR="00D3210B" w:rsidRPr="00E2269B" w:rsidTr="005A20A1">
        <w:trPr>
          <w:trHeight w:val="285"/>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Anhui</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10.50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10.46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10.62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10.52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-0.04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0.12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0.02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Fujian</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10.03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9.85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9.95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0.03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-0.15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-0.05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Jiangxi</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13.00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13.21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13.76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13.53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0.21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0.76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0.53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Shandong</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8.83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8.56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8.68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-0.17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-0.44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-0.32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Henan</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9.69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9.77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9.70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0.69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0.77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0.70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Hubei</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9.73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9.94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9.84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-0.27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-0.06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-0.16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Hunan</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9.81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9.92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9.87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-0.19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-0.08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-0.13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Guangdong</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8.39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8.18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8.33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0.39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0.18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0.33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Guangxi</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10.26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11.02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10.67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0.26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1.02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0.67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Hainan</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13.00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12.50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12.81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12.76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-0.50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-0.19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-0.24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Chongqing</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12.50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8.57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8.31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8.43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-3.93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-4.19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-4.07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Sichuan</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11.75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11.91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11.86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-0.25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-0.09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-0.14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proofErr w:type="spellStart"/>
            <w:r w:rsidRPr="00E2269B">
              <w:rPr>
                <w:rFonts w:ascii="Times New Roman" w:eastAsia="宋体" w:hAnsi="Times New Roman" w:cs="Times New Roman"/>
                <w:color w:val="000000"/>
                <w:kern w:val="0"/>
                <w:szCs w:val="21"/>
              </w:rPr>
              <w:t>Guizhou</w:t>
            </w:r>
            <w:proofErr w:type="spellEnd"/>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10.66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11.64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11.23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-1.34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-0.36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-0.77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Yunnan</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9.89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10.17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10.02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-0.11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0.17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0.02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proofErr w:type="spellStart"/>
            <w:r w:rsidRPr="00E2269B">
              <w:rPr>
                <w:rFonts w:ascii="Times New Roman" w:eastAsia="宋体" w:hAnsi="Times New Roman" w:cs="Times New Roman"/>
                <w:color w:val="000000"/>
                <w:kern w:val="0"/>
                <w:szCs w:val="21"/>
              </w:rPr>
              <w:t>Shannxi</w:t>
            </w:r>
            <w:proofErr w:type="spellEnd"/>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12.34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12.41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12.38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0.34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0.41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0.38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Gansu</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11.06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11.82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11.12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-0.94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-0.18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-0.88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Qinghai</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10.72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10.41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10.53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-1.28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-1.59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-1.47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Ningxia</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12.00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10.89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11.21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11.09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-1.11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-0.79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-0.91 </w:t>
            </w:r>
          </w:p>
        </w:tc>
      </w:tr>
      <w:tr w:rsidR="00D3210B" w:rsidRPr="00E2269B" w:rsidTr="005A20A1">
        <w:trPr>
          <w:trHeight w:val="270"/>
        </w:trPr>
        <w:tc>
          <w:tcPr>
            <w:tcW w:w="897"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Xinjiang</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10.00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9.68 </w:t>
            </w:r>
          </w:p>
        </w:tc>
        <w:tc>
          <w:tcPr>
            <w:tcW w:w="588"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9.48 </w:t>
            </w:r>
          </w:p>
        </w:tc>
        <w:tc>
          <w:tcPr>
            <w:tcW w:w="587"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9.62 </w:t>
            </w:r>
          </w:p>
        </w:tc>
        <w:tc>
          <w:tcPr>
            <w:tcW w:w="130" w:type="pct"/>
            <w:shd w:val="clear" w:color="auto" w:fill="auto"/>
            <w:noWrap/>
            <w:vAlign w:val="center"/>
            <w:hideMark/>
          </w:tcPr>
          <w:p w:rsidR="00D3210B" w:rsidRPr="00E2269B" w:rsidRDefault="00D3210B" w:rsidP="00D3210B">
            <w:pPr>
              <w:widowControl/>
              <w:jc w:val="left"/>
              <w:rPr>
                <w:rFonts w:ascii="Times New Roman" w:eastAsia="宋体" w:hAnsi="Times New Roman" w:cs="Times New Roman"/>
                <w:color w:val="000000"/>
                <w:kern w:val="0"/>
                <w:sz w:val="22"/>
              </w:rPr>
            </w:pPr>
          </w:p>
        </w:tc>
        <w:tc>
          <w:tcPr>
            <w:tcW w:w="516"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-0.32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-0.52 </w:t>
            </w:r>
          </w:p>
        </w:tc>
        <w:tc>
          <w:tcPr>
            <w:tcW w:w="553" w:type="pct"/>
            <w:shd w:val="clear" w:color="auto" w:fill="auto"/>
            <w:noWrap/>
            <w:vAlign w:val="center"/>
            <w:hideMark/>
          </w:tcPr>
          <w:p w:rsidR="00D3210B" w:rsidRPr="00E2269B" w:rsidRDefault="00D3210B" w:rsidP="00D3210B">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-0.38 </w:t>
            </w:r>
          </w:p>
        </w:tc>
      </w:tr>
    </w:tbl>
    <w:p w:rsidR="00FC3B2A" w:rsidRPr="00E2269B" w:rsidRDefault="00FC3B2A" w:rsidP="006E0F3B">
      <w:pPr>
        <w:jc w:val="left"/>
        <w:rPr>
          <w:rFonts w:ascii="Times New Roman" w:hAnsi="Times New Roman" w:cs="Times New Roman"/>
        </w:rPr>
      </w:pPr>
    </w:p>
    <w:p w:rsidR="00C3367F" w:rsidRPr="00E2269B" w:rsidRDefault="00950276" w:rsidP="00B5502A">
      <w:pPr>
        <w:jc w:val="center"/>
        <w:rPr>
          <w:rFonts w:ascii="Times New Roman" w:hAnsi="Times New Roman" w:cs="Times New Roman"/>
        </w:rPr>
      </w:pPr>
      <w:proofErr w:type="gramStart"/>
      <w:r w:rsidRPr="00E2269B">
        <w:rPr>
          <w:rFonts w:ascii="Times New Roman" w:eastAsia="宋体" w:hAnsi="Times New Roman" w:cs="Times New Roman"/>
          <w:color w:val="000000"/>
          <w:kern w:val="0"/>
          <w:szCs w:val="21"/>
        </w:rPr>
        <w:t>Table 4.</w:t>
      </w:r>
      <w:proofErr w:type="gramEnd"/>
      <w:r w:rsidRPr="00E2269B">
        <w:rPr>
          <w:rFonts w:ascii="Times New Roman" w:eastAsia="宋体" w:hAnsi="Times New Roman" w:cs="Times New Roman"/>
          <w:color w:val="000000"/>
          <w:kern w:val="0"/>
          <w:szCs w:val="21"/>
        </w:rPr>
        <w:t xml:space="preserve"> Regional GDP growth per average year in different scenarios</w:t>
      </w:r>
    </w:p>
    <w:tbl>
      <w:tblPr>
        <w:tblW w:w="5000" w:type="pct"/>
        <w:tblBorders>
          <w:top w:val="single" w:sz="12" w:space="0" w:color="auto"/>
          <w:bottom w:val="single" w:sz="12" w:space="0" w:color="auto"/>
        </w:tblBorders>
        <w:tblLook w:val="04A0"/>
      </w:tblPr>
      <w:tblGrid>
        <w:gridCol w:w="1086"/>
        <w:gridCol w:w="1181"/>
        <w:gridCol w:w="1181"/>
        <w:gridCol w:w="1181"/>
        <w:gridCol w:w="1183"/>
        <w:gridCol w:w="222"/>
        <w:gridCol w:w="830"/>
        <w:gridCol w:w="830"/>
        <w:gridCol w:w="828"/>
      </w:tblGrid>
      <w:tr w:rsidR="00C3367F" w:rsidRPr="00E2269B" w:rsidTr="00466706">
        <w:trPr>
          <w:trHeight w:val="270"/>
        </w:trPr>
        <w:tc>
          <w:tcPr>
            <w:tcW w:w="637" w:type="pct"/>
            <w:vMerge w:val="restart"/>
            <w:tcBorders>
              <w:top w:val="single" w:sz="12" w:space="0" w:color="auto"/>
              <w:bottom w:val="nil"/>
            </w:tcBorders>
            <w:shd w:val="clear" w:color="auto" w:fill="auto"/>
            <w:noWrap/>
            <w:vAlign w:val="center"/>
            <w:hideMark/>
          </w:tcPr>
          <w:p w:rsidR="00C3367F" w:rsidRPr="00E2269B" w:rsidRDefault="00C3367F" w:rsidP="00C3367F">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Regions</w:t>
            </w:r>
          </w:p>
        </w:tc>
        <w:tc>
          <w:tcPr>
            <w:tcW w:w="2773" w:type="pct"/>
            <w:gridSpan w:val="4"/>
            <w:tcBorders>
              <w:top w:val="single" w:sz="12" w:space="0" w:color="auto"/>
              <w:bottom w:val="single" w:sz="4" w:space="0" w:color="auto"/>
            </w:tcBorders>
            <w:shd w:val="clear" w:color="auto" w:fill="auto"/>
            <w:noWrap/>
            <w:vAlign w:val="center"/>
            <w:hideMark/>
          </w:tcPr>
          <w:p w:rsidR="00C3367F" w:rsidRPr="00E2269B" w:rsidRDefault="00C3367F" w:rsidP="00466706">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Cs w:val="21"/>
              </w:rPr>
              <w:t>Regional GDP growth per average year (%)</w:t>
            </w:r>
          </w:p>
        </w:tc>
        <w:tc>
          <w:tcPr>
            <w:tcW w:w="130" w:type="pct"/>
            <w:tcBorders>
              <w:top w:val="single" w:sz="12" w:space="0" w:color="auto"/>
              <w:bottom w:val="nil"/>
            </w:tcBorders>
            <w:shd w:val="clear" w:color="auto" w:fill="auto"/>
            <w:hideMark/>
          </w:tcPr>
          <w:p w:rsidR="00C3367F" w:rsidRPr="00E2269B" w:rsidRDefault="00C3367F" w:rsidP="00C3367F">
            <w:pPr>
              <w:widowControl/>
              <w:jc w:val="center"/>
              <w:rPr>
                <w:rFonts w:ascii="Times New Roman" w:eastAsia="宋体" w:hAnsi="Times New Roman" w:cs="Times New Roman"/>
                <w:color w:val="000000"/>
                <w:kern w:val="0"/>
                <w:sz w:val="22"/>
              </w:rPr>
            </w:pPr>
          </w:p>
        </w:tc>
        <w:tc>
          <w:tcPr>
            <w:tcW w:w="487" w:type="pct"/>
            <w:vMerge w:val="restart"/>
            <w:tcBorders>
              <w:top w:val="single" w:sz="12" w:space="0" w:color="auto"/>
              <w:bottom w:val="nil"/>
            </w:tcBorders>
            <w:shd w:val="clear" w:color="auto" w:fill="auto"/>
            <w:noWrap/>
            <w:vAlign w:val="center"/>
            <w:hideMark/>
          </w:tcPr>
          <w:p w:rsidR="00C3367F" w:rsidRPr="00E2269B" w:rsidRDefault="00C3367F" w:rsidP="00C3367F">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S1-S0</w:t>
            </w:r>
          </w:p>
        </w:tc>
        <w:tc>
          <w:tcPr>
            <w:tcW w:w="487" w:type="pct"/>
            <w:vMerge w:val="restart"/>
            <w:tcBorders>
              <w:top w:val="single" w:sz="12" w:space="0" w:color="auto"/>
              <w:bottom w:val="nil"/>
            </w:tcBorders>
            <w:shd w:val="clear" w:color="auto" w:fill="auto"/>
            <w:noWrap/>
            <w:vAlign w:val="center"/>
            <w:hideMark/>
          </w:tcPr>
          <w:p w:rsidR="00C3367F" w:rsidRPr="00E2269B" w:rsidRDefault="00C3367F" w:rsidP="00C3367F">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S2-S0</w:t>
            </w:r>
          </w:p>
        </w:tc>
        <w:tc>
          <w:tcPr>
            <w:tcW w:w="486" w:type="pct"/>
            <w:vMerge w:val="restart"/>
            <w:tcBorders>
              <w:top w:val="single" w:sz="12" w:space="0" w:color="auto"/>
              <w:bottom w:val="nil"/>
            </w:tcBorders>
            <w:shd w:val="clear" w:color="auto" w:fill="auto"/>
            <w:noWrap/>
            <w:vAlign w:val="center"/>
            <w:hideMark/>
          </w:tcPr>
          <w:p w:rsidR="00C3367F" w:rsidRPr="00E2269B" w:rsidRDefault="00C3367F" w:rsidP="00C3367F">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S3-S0</w:t>
            </w:r>
          </w:p>
        </w:tc>
      </w:tr>
      <w:tr w:rsidR="00C3367F" w:rsidRPr="00E2269B" w:rsidTr="00466706">
        <w:trPr>
          <w:trHeight w:val="270"/>
        </w:trPr>
        <w:tc>
          <w:tcPr>
            <w:tcW w:w="637" w:type="pct"/>
            <w:vMerge/>
            <w:tcBorders>
              <w:top w:val="nil"/>
              <w:bottom w:val="single" w:sz="4" w:space="0" w:color="auto"/>
            </w:tcBorders>
            <w:vAlign w:val="center"/>
            <w:hideMark/>
          </w:tcPr>
          <w:p w:rsidR="00C3367F" w:rsidRPr="00E2269B" w:rsidRDefault="00C3367F" w:rsidP="00C3367F">
            <w:pPr>
              <w:widowControl/>
              <w:jc w:val="left"/>
              <w:rPr>
                <w:rFonts w:ascii="Times New Roman" w:eastAsia="宋体" w:hAnsi="Times New Roman" w:cs="Times New Roman"/>
                <w:color w:val="000000"/>
                <w:kern w:val="0"/>
                <w:szCs w:val="21"/>
              </w:rPr>
            </w:pPr>
          </w:p>
        </w:tc>
        <w:tc>
          <w:tcPr>
            <w:tcW w:w="693" w:type="pct"/>
            <w:tcBorders>
              <w:top w:val="single" w:sz="4" w:space="0" w:color="auto"/>
              <w:bottom w:val="single" w:sz="4" w:space="0" w:color="auto"/>
            </w:tcBorders>
            <w:shd w:val="clear" w:color="auto" w:fill="auto"/>
            <w:noWrap/>
            <w:vAlign w:val="center"/>
            <w:hideMark/>
          </w:tcPr>
          <w:p w:rsidR="00C3367F" w:rsidRPr="00E2269B" w:rsidRDefault="00C3367F" w:rsidP="00C3367F">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S0</w:t>
            </w:r>
          </w:p>
        </w:tc>
        <w:tc>
          <w:tcPr>
            <w:tcW w:w="693" w:type="pct"/>
            <w:tcBorders>
              <w:top w:val="single" w:sz="4" w:space="0" w:color="auto"/>
              <w:bottom w:val="single" w:sz="4" w:space="0" w:color="auto"/>
            </w:tcBorders>
            <w:shd w:val="clear" w:color="auto" w:fill="auto"/>
            <w:noWrap/>
            <w:vAlign w:val="center"/>
            <w:hideMark/>
          </w:tcPr>
          <w:p w:rsidR="00C3367F" w:rsidRPr="00E2269B" w:rsidRDefault="00C3367F" w:rsidP="00C3367F">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S1</w:t>
            </w:r>
          </w:p>
        </w:tc>
        <w:tc>
          <w:tcPr>
            <w:tcW w:w="693" w:type="pct"/>
            <w:tcBorders>
              <w:top w:val="single" w:sz="4" w:space="0" w:color="auto"/>
              <w:bottom w:val="single" w:sz="4" w:space="0" w:color="auto"/>
            </w:tcBorders>
            <w:shd w:val="clear" w:color="auto" w:fill="auto"/>
            <w:noWrap/>
            <w:vAlign w:val="center"/>
            <w:hideMark/>
          </w:tcPr>
          <w:p w:rsidR="00C3367F" w:rsidRPr="00E2269B" w:rsidRDefault="00C3367F" w:rsidP="00C3367F">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S2</w:t>
            </w:r>
          </w:p>
        </w:tc>
        <w:tc>
          <w:tcPr>
            <w:tcW w:w="694" w:type="pct"/>
            <w:tcBorders>
              <w:top w:val="single" w:sz="4" w:space="0" w:color="auto"/>
              <w:bottom w:val="single" w:sz="4" w:space="0" w:color="auto"/>
            </w:tcBorders>
            <w:shd w:val="clear" w:color="auto" w:fill="auto"/>
            <w:noWrap/>
            <w:vAlign w:val="center"/>
            <w:hideMark/>
          </w:tcPr>
          <w:p w:rsidR="00C3367F" w:rsidRPr="00E2269B" w:rsidRDefault="00C3367F" w:rsidP="00C3367F">
            <w:pPr>
              <w:widowControl/>
              <w:jc w:val="center"/>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S3</w:t>
            </w:r>
          </w:p>
        </w:tc>
        <w:tc>
          <w:tcPr>
            <w:tcW w:w="130" w:type="pct"/>
            <w:tcBorders>
              <w:top w:val="nil"/>
              <w:bottom w:val="single" w:sz="4" w:space="0" w:color="auto"/>
            </w:tcBorders>
            <w:shd w:val="clear" w:color="auto" w:fill="auto"/>
            <w:hideMark/>
          </w:tcPr>
          <w:p w:rsidR="00C3367F" w:rsidRPr="00E2269B" w:rsidRDefault="00C3367F" w:rsidP="00C3367F">
            <w:pPr>
              <w:widowControl/>
              <w:jc w:val="center"/>
              <w:rPr>
                <w:rFonts w:ascii="Times New Roman" w:eastAsia="宋体" w:hAnsi="Times New Roman" w:cs="Times New Roman"/>
                <w:color w:val="000000"/>
                <w:kern w:val="0"/>
                <w:sz w:val="22"/>
              </w:rPr>
            </w:pPr>
          </w:p>
        </w:tc>
        <w:tc>
          <w:tcPr>
            <w:tcW w:w="487" w:type="pct"/>
            <w:vMerge/>
            <w:tcBorders>
              <w:top w:val="nil"/>
              <w:bottom w:val="single" w:sz="4" w:space="0" w:color="auto"/>
            </w:tcBorders>
            <w:vAlign w:val="center"/>
            <w:hideMark/>
          </w:tcPr>
          <w:p w:rsidR="00C3367F" w:rsidRPr="00E2269B" w:rsidRDefault="00C3367F" w:rsidP="00C3367F">
            <w:pPr>
              <w:widowControl/>
              <w:jc w:val="left"/>
              <w:rPr>
                <w:rFonts w:ascii="Times New Roman" w:eastAsia="宋体" w:hAnsi="Times New Roman" w:cs="Times New Roman"/>
                <w:color w:val="000000"/>
                <w:kern w:val="0"/>
                <w:sz w:val="22"/>
              </w:rPr>
            </w:pPr>
          </w:p>
        </w:tc>
        <w:tc>
          <w:tcPr>
            <w:tcW w:w="487" w:type="pct"/>
            <w:vMerge/>
            <w:tcBorders>
              <w:top w:val="nil"/>
              <w:bottom w:val="single" w:sz="4" w:space="0" w:color="auto"/>
            </w:tcBorders>
            <w:vAlign w:val="center"/>
            <w:hideMark/>
          </w:tcPr>
          <w:p w:rsidR="00C3367F" w:rsidRPr="00E2269B" w:rsidRDefault="00C3367F" w:rsidP="00C3367F">
            <w:pPr>
              <w:widowControl/>
              <w:jc w:val="left"/>
              <w:rPr>
                <w:rFonts w:ascii="Times New Roman" w:eastAsia="宋体" w:hAnsi="Times New Roman" w:cs="Times New Roman"/>
                <w:color w:val="000000"/>
                <w:kern w:val="0"/>
                <w:sz w:val="22"/>
              </w:rPr>
            </w:pPr>
          </w:p>
        </w:tc>
        <w:tc>
          <w:tcPr>
            <w:tcW w:w="486" w:type="pct"/>
            <w:vMerge/>
            <w:tcBorders>
              <w:top w:val="nil"/>
              <w:bottom w:val="single" w:sz="4" w:space="0" w:color="auto"/>
            </w:tcBorders>
            <w:vAlign w:val="center"/>
            <w:hideMark/>
          </w:tcPr>
          <w:p w:rsidR="00C3367F" w:rsidRPr="00E2269B" w:rsidRDefault="00C3367F" w:rsidP="00C3367F">
            <w:pPr>
              <w:widowControl/>
              <w:jc w:val="left"/>
              <w:rPr>
                <w:rFonts w:ascii="Times New Roman" w:eastAsia="宋体" w:hAnsi="Times New Roman" w:cs="Times New Roman"/>
                <w:color w:val="000000"/>
                <w:kern w:val="0"/>
                <w:sz w:val="22"/>
              </w:rPr>
            </w:pPr>
          </w:p>
        </w:tc>
      </w:tr>
      <w:tr w:rsidR="00C3367F" w:rsidRPr="00E2269B" w:rsidTr="00466706">
        <w:trPr>
          <w:trHeight w:val="270"/>
        </w:trPr>
        <w:tc>
          <w:tcPr>
            <w:tcW w:w="637" w:type="pct"/>
            <w:tcBorders>
              <w:top w:val="single" w:sz="4" w:space="0" w:color="auto"/>
            </w:tcBorders>
            <w:shd w:val="clear" w:color="auto" w:fill="auto"/>
            <w:noWrap/>
            <w:vAlign w:val="center"/>
            <w:hideMark/>
          </w:tcPr>
          <w:p w:rsidR="00C3367F" w:rsidRPr="00E2269B" w:rsidRDefault="00C3367F" w:rsidP="00C3367F">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East</w:t>
            </w:r>
          </w:p>
        </w:tc>
        <w:tc>
          <w:tcPr>
            <w:tcW w:w="693" w:type="pct"/>
            <w:tcBorders>
              <w:top w:val="single" w:sz="4" w:space="0" w:color="auto"/>
            </w:tcBorders>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8.94 </w:t>
            </w:r>
          </w:p>
        </w:tc>
        <w:tc>
          <w:tcPr>
            <w:tcW w:w="693" w:type="pct"/>
            <w:tcBorders>
              <w:top w:val="single" w:sz="4" w:space="0" w:color="auto"/>
            </w:tcBorders>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9.11 </w:t>
            </w:r>
          </w:p>
        </w:tc>
        <w:tc>
          <w:tcPr>
            <w:tcW w:w="693" w:type="pct"/>
            <w:tcBorders>
              <w:top w:val="single" w:sz="4" w:space="0" w:color="auto"/>
            </w:tcBorders>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8.88 </w:t>
            </w:r>
          </w:p>
        </w:tc>
        <w:tc>
          <w:tcPr>
            <w:tcW w:w="694" w:type="pct"/>
            <w:tcBorders>
              <w:top w:val="single" w:sz="4" w:space="0" w:color="auto"/>
            </w:tcBorders>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9.01 </w:t>
            </w:r>
          </w:p>
        </w:tc>
        <w:tc>
          <w:tcPr>
            <w:tcW w:w="130" w:type="pct"/>
            <w:tcBorders>
              <w:top w:val="single" w:sz="4" w:space="0" w:color="auto"/>
            </w:tcBorders>
            <w:shd w:val="clear" w:color="auto" w:fill="auto"/>
            <w:noWrap/>
            <w:vAlign w:val="center"/>
            <w:hideMark/>
          </w:tcPr>
          <w:p w:rsidR="00C3367F" w:rsidRPr="00E2269B" w:rsidRDefault="00C3367F" w:rsidP="00C3367F">
            <w:pPr>
              <w:widowControl/>
              <w:jc w:val="left"/>
              <w:rPr>
                <w:rFonts w:ascii="Times New Roman" w:eastAsia="宋体" w:hAnsi="Times New Roman" w:cs="Times New Roman"/>
                <w:color w:val="000000"/>
                <w:kern w:val="0"/>
                <w:sz w:val="22"/>
              </w:rPr>
            </w:pPr>
          </w:p>
        </w:tc>
        <w:tc>
          <w:tcPr>
            <w:tcW w:w="487" w:type="pct"/>
            <w:tcBorders>
              <w:top w:val="single" w:sz="4" w:space="0" w:color="auto"/>
            </w:tcBorders>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0.17 </w:t>
            </w:r>
          </w:p>
        </w:tc>
        <w:tc>
          <w:tcPr>
            <w:tcW w:w="487" w:type="pct"/>
            <w:tcBorders>
              <w:top w:val="single" w:sz="4" w:space="0" w:color="auto"/>
            </w:tcBorders>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-0.07 </w:t>
            </w:r>
          </w:p>
        </w:tc>
        <w:tc>
          <w:tcPr>
            <w:tcW w:w="486" w:type="pct"/>
            <w:tcBorders>
              <w:top w:val="single" w:sz="4" w:space="0" w:color="auto"/>
            </w:tcBorders>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0.07 </w:t>
            </w:r>
          </w:p>
        </w:tc>
      </w:tr>
      <w:tr w:rsidR="00C3367F" w:rsidRPr="00E2269B" w:rsidTr="00466706">
        <w:trPr>
          <w:trHeight w:val="270"/>
        </w:trPr>
        <w:tc>
          <w:tcPr>
            <w:tcW w:w="637" w:type="pct"/>
            <w:shd w:val="clear" w:color="auto" w:fill="auto"/>
            <w:noWrap/>
            <w:vAlign w:val="center"/>
            <w:hideMark/>
          </w:tcPr>
          <w:p w:rsidR="00C3367F" w:rsidRPr="00E2269B" w:rsidRDefault="00C3367F" w:rsidP="00C3367F">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Central</w:t>
            </w:r>
          </w:p>
        </w:tc>
        <w:tc>
          <w:tcPr>
            <w:tcW w:w="693"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10.69 </w:t>
            </w:r>
          </w:p>
        </w:tc>
        <w:tc>
          <w:tcPr>
            <w:tcW w:w="693"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10.67 </w:t>
            </w:r>
          </w:p>
        </w:tc>
        <w:tc>
          <w:tcPr>
            <w:tcW w:w="693"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10.82 </w:t>
            </w:r>
          </w:p>
        </w:tc>
        <w:tc>
          <w:tcPr>
            <w:tcW w:w="694"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10.74 </w:t>
            </w:r>
          </w:p>
        </w:tc>
        <w:tc>
          <w:tcPr>
            <w:tcW w:w="130" w:type="pct"/>
            <w:shd w:val="clear" w:color="auto" w:fill="auto"/>
            <w:noWrap/>
            <w:vAlign w:val="center"/>
            <w:hideMark/>
          </w:tcPr>
          <w:p w:rsidR="00C3367F" w:rsidRPr="00E2269B" w:rsidRDefault="00C3367F" w:rsidP="00C3367F">
            <w:pPr>
              <w:widowControl/>
              <w:jc w:val="left"/>
              <w:rPr>
                <w:rFonts w:ascii="Times New Roman" w:eastAsia="宋体" w:hAnsi="Times New Roman" w:cs="Times New Roman"/>
                <w:color w:val="000000"/>
                <w:kern w:val="0"/>
                <w:sz w:val="22"/>
              </w:rPr>
            </w:pPr>
          </w:p>
        </w:tc>
        <w:tc>
          <w:tcPr>
            <w:tcW w:w="487"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-0.02 </w:t>
            </w:r>
          </w:p>
        </w:tc>
        <w:tc>
          <w:tcPr>
            <w:tcW w:w="487"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0.13 </w:t>
            </w:r>
          </w:p>
        </w:tc>
        <w:tc>
          <w:tcPr>
            <w:tcW w:w="486"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0.06 </w:t>
            </w:r>
          </w:p>
        </w:tc>
      </w:tr>
      <w:tr w:rsidR="00C3367F" w:rsidRPr="00E2269B" w:rsidTr="00466706">
        <w:trPr>
          <w:trHeight w:val="270"/>
        </w:trPr>
        <w:tc>
          <w:tcPr>
            <w:tcW w:w="637" w:type="pct"/>
            <w:shd w:val="clear" w:color="auto" w:fill="auto"/>
            <w:noWrap/>
            <w:vAlign w:val="center"/>
            <w:hideMark/>
          </w:tcPr>
          <w:p w:rsidR="00C3367F" w:rsidRPr="00E2269B" w:rsidRDefault="00C3367F" w:rsidP="00C3367F">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West</w:t>
            </w:r>
          </w:p>
        </w:tc>
        <w:tc>
          <w:tcPr>
            <w:tcW w:w="693"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11.40 </w:t>
            </w:r>
          </w:p>
        </w:tc>
        <w:tc>
          <w:tcPr>
            <w:tcW w:w="693"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10.55 </w:t>
            </w:r>
          </w:p>
        </w:tc>
        <w:tc>
          <w:tcPr>
            <w:tcW w:w="693"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10.78 </w:t>
            </w:r>
          </w:p>
        </w:tc>
        <w:tc>
          <w:tcPr>
            <w:tcW w:w="694"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10.66 </w:t>
            </w:r>
          </w:p>
        </w:tc>
        <w:tc>
          <w:tcPr>
            <w:tcW w:w="130" w:type="pct"/>
            <w:shd w:val="clear" w:color="auto" w:fill="auto"/>
            <w:noWrap/>
            <w:vAlign w:val="center"/>
            <w:hideMark/>
          </w:tcPr>
          <w:p w:rsidR="00C3367F" w:rsidRPr="00E2269B" w:rsidRDefault="00C3367F" w:rsidP="00C3367F">
            <w:pPr>
              <w:widowControl/>
              <w:jc w:val="left"/>
              <w:rPr>
                <w:rFonts w:ascii="Times New Roman" w:eastAsia="宋体" w:hAnsi="Times New Roman" w:cs="Times New Roman"/>
                <w:color w:val="000000"/>
                <w:kern w:val="0"/>
                <w:sz w:val="22"/>
              </w:rPr>
            </w:pPr>
          </w:p>
        </w:tc>
        <w:tc>
          <w:tcPr>
            <w:tcW w:w="487"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-0.85 </w:t>
            </w:r>
          </w:p>
        </w:tc>
        <w:tc>
          <w:tcPr>
            <w:tcW w:w="487"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-0.62 </w:t>
            </w:r>
          </w:p>
        </w:tc>
        <w:tc>
          <w:tcPr>
            <w:tcW w:w="486"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-0.74 </w:t>
            </w:r>
          </w:p>
        </w:tc>
      </w:tr>
      <w:tr w:rsidR="00C3367F" w:rsidRPr="00E2269B" w:rsidTr="00466706">
        <w:trPr>
          <w:trHeight w:val="270"/>
        </w:trPr>
        <w:tc>
          <w:tcPr>
            <w:tcW w:w="637" w:type="pct"/>
            <w:shd w:val="clear" w:color="auto" w:fill="auto"/>
            <w:noWrap/>
            <w:vAlign w:val="center"/>
            <w:hideMark/>
          </w:tcPr>
          <w:p w:rsidR="00C3367F" w:rsidRPr="00E2269B" w:rsidRDefault="00C3367F" w:rsidP="00C3367F">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North east</w:t>
            </w:r>
          </w:p>
        </w:tc>
        <w:tc>
          <w:tcPr>
            <w:tcW w:w="693"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11.53 </w:t>
            </w:r>
          </w:p>
        </w:tc>
        <w:tc>
          <w:tcPr>
            <w:tcW w:w="693"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11.08 </w:t>
            </w:r>
          </w:p>
        </w:tc>
        <w:tc>
          <w:tcPr>
            <w:tcW w:w="693"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10.90 </w:t>
            </w:r>
          </w:p>
        </w:tc>
        <w:tc>
          <w:tcPr>
            <w:tcW w:w="694"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10.94 </w:t>
            </w:r>
          </w:p>
        </w:tc>
        <w:tc>
          <w:tcPr>
            <w:tcW w:w="130" w:type="pct"/>
            <w:shd w:val="clear" w:color="auto" w:fill="auto"/>
            <w:noWrap/>
            <w:vAlign w:val="center"/>
            <w:hideMark/>
          </w:tcPr>
          <w:p w:rsidR="00C3367F" w:rsidRPr="00E2269B" w:rsidRDefault="00C3367F" w:rsidP="00C3367F">
            <w:pPr>
              <w:widowControl/>
              <w:jc w:val="left"/>
              <w:rPr>
                <w:rFonts w:ascii="Times New Roman" w:eastAsia="宋体" w:hAnsi="Times New Roman" w:cs="Times New Roman"/>
                <w:color w:val="000000"/>
                <w:kern w:val="0"/>
                <w:sz w:val="22"/>
              </w:rPr>
            </w:pPr>
          </w:p>
        </w:tc>
        <w:tc>
          <w:tcPr>
            <w:tcW w:w="487"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-0.46 </w:t>
            </w:r>
          </w:p>
        </w:tc>
        <w:tc>
          <w:tcPr>
            <w:tcW w:w="487"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-0.64 </w:t>
            </w:r>
          </w:p>
        </w:tc>
        <w:tc>
          <w:tcPr>
            <w:tcW w:w="486" w:type="pct"/>
            <w:shd w:val="clear" w:color="auto" w:fill="auto"/>
            <w:noWrap/>
            <w:vAlign w:val="center"/>
            <w:hideMark/>
          </w:tcPr>
          <w:p w:rsidR="00C3367F" w:rsidRPr="00E2269B" w:rsidRDefault="00C3367F" w:rsidP="00C3367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-0.59 </w:t>
            </w:r>
          </w:p>
        </w:tc>
      </w:tr>
      <w:tr w:rsidR="005A20A1" w:rsidRPr="00E2269B" w:rsidTr="00466706">
        <w:trPr>
          <w:trHeight w:val="270"/>
        </w:trPr>
        <w:tc>
          <w:tcPr>
            <w:tcW w:w="637" w:type="pct"/>
            <w:shd w:val="clear" w:color="auto" w:fill="auto"/>
            <w:noWrap/>
            <w:vAlign w:val="center"/>
            <w:hideMark/>
          </w:tcPr>
          <w:p w:rsidR="005A20A1" w:rsidRPr="00E2269B" w:rsidRDefault="005A20A1" w:rsidP="003D1F6F">
            <w:pPr>
              <w:widowControl/>
              <w:jc w:val="left"/>
              <w:rPr>
                <w:rFonts w:ascii="Times New Roman" w:eastAsia="宋体" w:hAnsi="Times New Roman" w:cs="Times New Roman"/>
                <w:color w:val="000000"/>
                <w:kern w:val="0"/>
                <w:szCs w:val="21"/>
              </w:rPr>
            </w:pPr>
            <w:r w:rsidRPr="00E2269B">
              <w:rPr>
                <w:rFonts w:ascii="Times New Roman" w:eastAsia="宋体" w:hAnsi="Times New Roman" w:cs="Times New Roman"/>
                <w:color w:val="000000"/>
                <w:kern w:val="0"/>
                <w:szCs w:val="21"/>
              </w:rPr>
              <w:t>Average</w:t>
            </w:r>
          </w:p>
        </w:tc>
        <w:tc>
          <w:tcPr>
            <w:tcW w:w="693" w:type="pct"/>
            <w:shd w:val="clear" w:color="auto" w:fill="auto"/>
            <w:noWrap/>
            <w:vAlign w:val="center"/>
            <w:hideMark/>
          </w:tcPr>
          <w:p w:rsidR="005A20A1" w:rsidRPr="00E2269B" w:rsidRDefault="005A20A1" w:rsidP="003D1F6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9.93 </w:t>
            </w:r>
          </w:p>
        </w:tc>
        <w:tc>
          <w:tcPr>
            <w:tcW w:w="693" w:type="pct"/>
            <w:shd w:val="clear" w:color="auto" w:fill="auto"/>
            <w:noWrap/>
            <w:vAlign w:val="center"/>
            <w:hideMark/>
          </w:tcPr>
          <w:p w:rsidR="005A20A1" w:rsidRPr="00E2269B" w:rsidRDefault="005A20A1" w:rsidP="003D1F6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9.85 </w:t>
            </w:r>
          </w:p>
        </w:tc>
        <w:tc>
          <w:tcPr>
            <w:tcW w:w="693" w:type="pct"/>
            <w:shd w:val="clear" w:color="auto" w:fill="auto"/>
            <w:noWrap/>
            <w:vAlign w:val="center"/>
            <w:hideMark/>
          </w:tcPr>
          <w:p w:rsidR="005A20A1" w:rsidRPr="00E2269B" w:rsidRDefault="005A20A1" w:rsidP="003D1F6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9.77 </w:t>
            </w:r>
          </w:p>
        </w:tc>
        <w:tc>
          <w:tcPr>
            <w:tcW w:w="694" w:type="pct"/>
            <w:shd w:val="clear" w:color="auto" w:fill="auto"/>
            <w:noWrap/>
            <w:vAlign w:val="center"/>
            <w:hideMark/>
          </w:tcPr>
          <w:p w:rsidR="005A20A1" w:rsidRPr="00E2269B" w:rsidRDefault="005A20A1" w:rsidP="003D1F6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9.82 </w:t>
            </w:r>
          </w:p>
        </w:tc>
        <w:tc>
          <w:tcPr>
            <w:tcW w:w="130" w:type="pct"/>
            <w:shd w:val="clear" w:color="auto" w:fill="auto"/>
            <w:noWrap/>
            <w:vAlign w:val="center"/>
            <w:hideMark/>
          </w:tcPr>
          <w:p w:rsidR="005A20A1" w:rsidRPr="00E2269B" w:rsidRDefault="005A20A1" w:rsidP="003D1F6F">
            <w:pPr>
              <w:widowControl/>
              <w:jc w:val="left"/>
              <w:rPr>
                <w:rFonts w:ascii="Times New Roman" w:eastAsia="宋体" w:hAnsi="Times New Roman" w:cs="Times New Roman"/>
                <w:color w:val="000000"/>
                <w:kern w:val="0"/>
                <w:sz w:val="22"/>
              </w:rPr>
            </w:pPr>
          </w:p>
        </w:tc>
        <w:tc>
          <w:tcPr>
            <w:tcW w:w="487" w:type="pct"/>
            <w:shd w:val="clear" w:color="auto" w:fill="auto"/>
            <w:noWrap/>
            <w:vAlign w:val="center"/>
            <w:hideMark/>
          </w:tcPr>
          <w:p w:rsidR="005A20A1" w:rsidRPr="00E2269B" w:rsidRDefault="005A20A1" w:rsidP="003D1F6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-0.08 </w:t>
            </w:r>
          </w:p>
        </w:tc>
        <w:tc>
          <w:tcPr>
            <w:tcW w:w="487" w:type="pct"/>
            <w:shd w:val="clear" w:color="auto" w:fill="auto"/>
            <w:noWrap/>
            <w:vAlign w:val="center"/>
            <w:hideMark/>
          </w:tcPr>
          <w:p w:rsidR="005A20A1" w:rsidRPr="00E2269B" w:rsidRDefault="005A20A1" w:rsidP="003D1F6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-0.16 </w:t>
            </w:r>
          </w:p>
        </w:tc>
        <w:tc>
          <w:tcPr>
            <w:tcW w:w="486" w:type="pct"/>
            <w:shd w:val="clear" w:color="auto" w:fill="auto"/>
            <w:noWrap/>
            <w:vAlign w:val="center"/>
            <w:hideMark/>
          </w:tcPr>
          <w:p w:rsidR="005A20A1" w:rsidRPr="00E2269B" w:rsidRDefault="005A20A1" w:rsidP="003D1F6F">
            <w:pPr>
              <w:widowControl/>
              <w:jc w:val="right"/>
              <w:rPr>
                <w:rFonts w:ascii="Times New Roman" w:eastAsia="宋体" w:hAnsi="Times New Roman" w:cs="Times New Roman"/>
                <w:color w:val="000000"/>
                <w:kern w:val="0"/>
                <w:sz w:val="22"/>
              </w:rPr>
            </w:pPr>
            <w:r w:rsidRPr="00E2269B">
              <w:rPr>
                <w:rFonts w:ascii="Times New Roman" w:eastAsia="宋体" w:hAnsi="Times New Roman" w:cs="Times New Roman"/>
                <w:color w:val="000000"/>
                <w:kern w:val="0"/>
                <w:sz w:val="22"/>
              </w:rPr>
              <w:t xml:space="preserve">-0.12 </w:t>
            </w:r>
          </w:p>
        </w:tc>
      </w:tr>
    </w:tbl>
    <w:p w:rsidR="00B5502A" w:rsidRPr="00E2269B" w:rsidRDefault="00B5502A" w:rsidP="006E0F3B">
      <w:pPr>
        <w:jc w:val="left"/>
        <w:rPr>
          <w:rFonts w:ascii="Times New Roman" w:hAnsi="Times New Roman" w:cs="Times New Roman"/>
        </w:rPr>
      </w:pPr>
    </w:p>
    <w:p w:rsidR="002B17E5" w:rsidRDefault="009756D8" w:rsidP="005D03CB">
      <w:pPr>
        <w:jc w:val="left"/>
        <w:rPr>
          <w:rFonts w:ascii="Times New Roman" w:hAnsi="Times New Roman" w:cs="Times New Roman"/>
          <w:b/>
        </w:rPr>
      </w:pPr>
      <w:r w:rsidRPr="00E2269B">
        <w:rPr>
          <w:rFonts w:ascii="Times New Roman" w:hAnsi="Times New Roman" w:cs="Times New Roman"/>
          <w:b/>
        </w:rPr>
        <w:lastRenderedPageBreak/>
        <w:t>5</w:t>
      </w:r>
      <w:r w:rsidR="00E2269B">
        <w:rPr>
          <w:rFonts w:ascii="Times New Roman" w:hAnsi="Times New Roman" w:cs="Times New Roman" w:hint="eastAsia"/>
          <w:b/>
        </w:rPr>
        <w:t xml:space="preserve">. </w:t>
      </w:r>
      <w:r w:rsidRPr="00E2269B">
        <w:rPr>
          <w:rFonts w:ascii="Times New Roman" w:hAnsi="Times New Roman" w:cs="Times New Roman"/>
          <w:b/>
        </w:rPr>
        <w:t>Conclusions and implications</w:t>
      </w:r>
    </w:p>
    <w:p w:rsidR="00D9195E" w:rsidRPr="00E2269B" w:rsidRDefault="00D9195E" w:rsidP="005D03CB">
      <w:pPr>
        <w:jc w:val="left"/>
        <w:rPr>
          <w:rFonts w:ascii="Times New Roman" w:hAnsi="Times New Roman" w:cs="Times New Roman"/>
          <w:b/>
        </w:rPr>
      </w:pPr>
    </w:p>
    <w:p w:rsidR="00ED470A" w:rsidRDefault="00ED470A" w:rsidP="003B1BF2">
      <w:pPr>
        <w:rPr>
          <w:rFonts w:ascii="Times New Roman" w:hAnsi="Times New Roman" w:cs="Times New Roman"/>
        </w:rPr>
      </w:pPr>
      <w:r w:rsidRPr="00E2269B">
        <w:rPr>
          <w:rFonts w:ascii="Times New Roman" w:hAnsi="Times New Roman" w:cs="Times New Roman"/>
        </w:rPr>
        <w:t xml:space="preserve">According to the simulation results, </w:t>
      </w:r>
      <w:r w:rsidR="00630041" w:rsidRPr="00E2269B">
        <w:rPr>
          <w:rFonts w:ascii="Times New Roman" w:hAnsi="Times New Roman" w:cs="Times New Roman"/>
        </w:rPr>
        <w:t>if the present economic development trend continues, overall volume of energy consumption is growing too fast and by the year 2015 the energy saving goal of the ‘</w:t>
      </w:r>
      <w:r w:rsidR="00A84DAE" w:rsidRPr="00E2269B">
        <w:rPr>
          <w:rFonts w:ascii="Times New Roman" w:hAnsi="Times New Roman" w:cs="Times New Roman"/>
        </w:rPr>
        <w:t xml:space="preserve">twelfth </w:t>
      </w:r>
      <w:r w:rsidR="00630041" w:rsidRPr="00E2269B">
        <w:rPr>
          <w:rFonts w:ascii="Times New Roman" w:hAnsi="Times New Roman" w:cs="Times New Roman"/>
        </w:rPr>
        <w:t xml:space="preserve">five-year’ plan cannot be reached. There is necessity for implementation of </w:t>
      </w:r>
      <w:r w:rsidR="00A4550E" w:rsidRPr="00E2269B">
        <w:rPr>
          <w:rFonts w:ascii="Times New Roman" w:hAnsi="Times New Roman" w:cs="Times New Roman"/>
        </w:rPr>
        <w:t xml:space="preserve">the control of </w:t>
      </w:r>
      <w:r w:rsidR="005B0DCE" w:rsidRPr="00E2269B">
        <w:rPr>
          <w:rFonts w:ascii="Times New Roman" w:hAnsi="Times New Roman" w:cs="Times New Roman"/>
        </w:rPr>
        <w:t xml:space="preserve">overall </w:t>
      </w:r>
      <w:r w:rsidR="00A4550E" w:rsidRPr="00E2269B">
        <w:rPr>
          <w:rFonts w:ascii="Times New Roman" w:hAnsi="Times New Roman" w:cs="Times New Roman"/>
        </w:rPr>
        <w:t>energy consumption quota</w:t>
      </w:r>
      <w:r w:rsidR="00023C85" w:rsidRPr="00E2269B">
        <w:rPr>
          <w:rFonts w:ascii="Times New Roman" w:hAnsi="Times New Roman" w:cs="Times New Roman"/>
        </w:rPr>
        <w:t>s</w:t>
      </w:r>
      <w:r w:rsidR="00A4550E" w:rsidRPr="00E2269B">
        <w:rPr>
          <w:rFonts w:ascii="Times New Roman" w:hAnsi="Times New Roman" w:cs="Times New Roman"/>
        </w:rPr>
        <w:t>.</w:t>
      </w:r>
    </w:p>
    <w:p w:rsidR="00D9195E" w:rsidRPr="00E2269B" w:rsidRDefault="00D9195E" w:rsidP="005D03CB">
      <w:pPr>
        <w:jc w:val="left"/>
        <w:rPr>
          <w:rFonts w:ascii="Times New Roman" w:hAnsi="Times New Roman" w:cs="Times New Roman"/>
        </w:rPr>
      </w:pPr>
    </w:p>
    <w:p w:rsidR="00302AD5" w:rsidRDefault="00E96826" w:rsidP="003B1BF2">
      <w:pPr>
        <w:rPr>
          <w:rFonts w:ascii="Times New Roman" w:hAnsi="Times New Roman" w:cs="Times New Roman"/>
        </w:rPr>
      </w:pPr>
      <w:r w:rsidRPr="00E2269B">
        <w:rPr>
          <w:rFonts w:ascii="Times New Roman" w:hAnsi="Times New Roman" w:cs="Times New Roman"/>
        </w:rPr>
        <w:t xml:space="preserve">If efficiency-first </w:t>
      </w:r>
      <w:r w:rsidR="00023C85" w:rsidRPr="00E2269B">
        <w:rPr>
          <w:rFonts w:ascii="Times New Roman" w:hAnsi="Times New Roman" w:cs="Times New Roman"/>
        </w:rPr>
        <w:t>allocation</w:t>
      </w:r>
      <w:r w:rsidRPr="00E2269B">
        <w:rPr>
          <w:rFonts w:ascii="Times New Roman" w:hAnsi="Times New Roman" w:cs="Times New Roman"/>
        </w:rPr>
        <w:t xml:space="preserve"> </w:t>
      </w:r>
      <w:r w:rsidR="00023C85" w:rsidRPr="00E2269B">
        <w:rPr>
          <w:rFonts w:ascii="Times New Roman" w:hAnsi="Times New Roman" w:cs="Times New Roman"/>
        </w:rPr>
        <w:t xml:space="preserve">is </w:t>
      </w:r>
      <w:r w:rsidRPr="00E2269B">
        <w:rPr>
          <w:rFonts w:ascii="Times New Roman" w:hAnsi="Times New Roman" w:cs="Times New Roman"/>
        </w:rPr>
        <w:t>adopted, national economic loss will be minimized. But the central and west area</w:t>
      </w:r>
      <w:r w:rsidR="00023C85" w:rsidRPr="00E2269B">
        <w:rPr>
          <w:rFonts w:ascii="Times New Roman" w:hAnsi="Times New Roman" w:cs="Times New Roman"/>
        </w:rPr>
        <w:t xml:space="preserve"> </w:t>
      </w:r>
      <w:r w:rsidRPr="00E2269B">
        <w:rPr>
          <w:rFonts w:ascii="Times New Roman" w:hAnsi="Times New Roman" w:cs="Times New Roman"/>
        </w:rPr>
        <w:t>(less-developed region) will suffer</w:t>
      </w:r>
      <w:r w:rsidR="00D21D39" w:rsidRPr="00E2269B">
        <w:rPr>
          <w:rFonts w:ascii="Times New Roman" w:hAnsi="Times New Roman" w:cs="Times New Roman"/>
        </w:rPr>
        <w:t xml:space="preserve"> most</w:t>
      </w:r>
      <w:r w:rsidRPr="00E2269B">
        <w:rPr>
          <w:rFonts w:ascii="Times New Roman" w:hAnsi="Times New Roman" w:cs="Times New Roman"/>
        </w:rPr>
        <w:t>.</w:t>
      </w:r>
      <w:r w:rsidR="00D21D39" w:rsidRPr="00E2269B">
        <w:rPr>
          <w:rFonts w:ascii="Times New Roman" w:hAnsi="Times New Roman" w:cs="Times New Roman"/>
        </w:rPr>
        <w:t xml:space="preserve"> </w:t>
      </w:r>
      <w:r w:rsidR="00B23540" w:rsidRPr="00E2269B">
        <w:rPr>
          <w:rFonts w:ascii="Times New Roman" w:hAnsi="Times New Roman" w:cs="Times New Roman"/>
        </w:rPr>
        <w:t xml:space="preserve">If </w:t>
      </w:r>
      <w:r w:rsidR="00A52ABD">
        <w:rPr>
          <w:rFonts w:ascii="Times New Roman" w:hAnsi="Times New Roman" w:cs="Times New Roman"/>
        </w:rPr>
        <w:t>equity</w:t>
      </w:r>
      <w:r w:rsidR="00B23540" w:rsidRPr="00E2269B">
        <w:rPr>
          <w:rFonts w:ascii="Times New Roman" w:hAnsi="Times New Roman" w:cs="Times New Roman"/>
        </w:rPr>
        <w:t xml:space="preserve">-first </w:t>
      </w:r>
      <w:r w:rsidR="00023C85" w:rsidRPr="00E2269B">
        <w:rPr>
          <w:rFonts w:ascii="Times New Roman" w:hAnsi="Times New Roman" w:cs="Times New Roman"/>
        </w:rPr>
        <w:t>allocation is adopted, negative impacts</w:t>
      </w:r>
      <w:r w:rsidR="00B23540" w:rsidRPr="00E2269B">
        <w:rPr>
          <w:rFonts w:ascii="Times New Roman" w:hAnsi="Times New Roman" w:cs="Times New Roman"/>
        </w:rPr>
        <w:t xml:space="preserve"> </w:t>
      </w:r>
      <w:r w:rsidR="00023C85" w:rsidRPr="00E2269B">
        <w:rPr>
          <w:rFonts w:ascii="Times New Roman" w:hAnsi="Times New Roman" w:cs="Times New Roman"/>
        </w:rPr>
        <w:t>on</w:t>
      </w:r>
      <w:r w:rsidR="00B23540" w:rsidRPr="00E2269B">
        <w:rPr>
          <w:rFonts w:ascii="Times New Roman" w:hAnsi="Times New Roman" w:cs="Times New Roman"/>
        </w:rPr>
        <w:t xml:space="preserve"> the central and west area will be relatively low, although economic efficiency will be</w:t>
      </w:r>
      <w:r w:rsidR="00023C85" w:rsidRPr="00E2269B">
        <w:rPr>
          <w:rFonts w:ascii="Times New Roman" w:hAnsi="Times New Roman" w:cs="Times New Roman"/>
        </w:rPr>
        <w:t xml:space="preserve"> lose</w:t>
      </w:r>
      <w:r w:rsidR="00B23540" w:rsidRPr="00E2269B">
        <w:rPr>
          <w:rFonts w:ascii="Times New Roman" w:hAnsi="Times New Roman" w:cs="Times New Roman"/>
        </w:rPr>
        <w:t>.</w:t>
      </w:r>
      <w:r w:rsidR="00CA3A5C" w:rsidRPr="00E2269B">
        <w:rPr>
          <w:rFonts w:ascii="Times New Roman" w:hAnsi="Times New Roman" w:cs="Times New Roman"/>
        </w:rPr>
        <w:t xml:space="preserve"> If </w:t>
      </w:r>
      <w:r w:rsidR="00023C85" w:rsidRPr="00E2269B">
        <w:rPr>
          <w:rFonts w:ascii="Times New Roman" w:hAnsi="Times New Roman" w:cs="Times New Roman"/>
        </w:rPr>
        <w:t xml:space="preserve">government </w:t>
      </w:r>
      <w:r w:rsidR="007B5F90" w:rsidRPr="00E2269B">
        <w:rPr>
          <w:rFonts w:ascii="Times New Roman" w:hAnsi="Times New Roman" w:cs="Times New Roman"/>
        </w:rPr>
        <w:t>want</w:t>
      </w:r>
      <w:r w:rsidR="00023C85" w:rsidRPr="00E2269B">
        <w:rPr>
          <w:rFonts w:ascii="Times New Roman" w:hAnsi="Times New Roman" w:cs="Times New Roman"/>
        </w:rPr>
        <w:t>s</w:t>
      </w:r>
      <w:r w:rsidR="007B5F90" w:rsidRPr="00E2269B">
        <w:rPr>
          <w:rFonts w:ascii="Times New Roman" w:hAnsi="Times New Roman" w:cs="Times New Roman"/>
        </w:rPr>
        <w:t xml:space="preserve"> to control </w:t>
      </w:r>
      <w:r w:rsidR="002643CA" w:rsidRPr="00E2269B">
        <w:rPr>
          <w:rFonts w:ascii="Times New Roman" w:hAnsi="Times New Roman" w:cs="Times New Roman"/>
        </w:rPr>
        <w:t xml:space="preserve">both </w:t>
      </w:r>
      <w:r w:rsidR="007B5F90" w:rsidRPr="00E2269B">
        <w:rPr>
          <w:rFonts w:ascii="Times New Roman" w:hAnsi="Times New Roman" w:cs="Times New Roman"/>
        </w:rPr>
        <w:t xml:space="preserve">the </w:t>
      </w:r>
      <w:r w:rsidR="008D0F18" w:rsidRPr="00E2269B">
        <w:rPr>
          <w:rFonts w:ascii="Times New Roman" w:hAnsi="Times New Roman" w:cs="Times New Roman"/>
        </w:rPr>
        <w:t xml:space="preserve">overall </w:t>
      </w:r>
      <w:r w:rsidR="00CA3A5C" w:rsidRPr="00E2269B">
        <w:rPr>
          <w:rFonts w:ascii="Times New Roman" w:hAnsi="Times New Roman" w:cs="Times New Roman"/>
        </w:rPr>
        <w:t xml:space="preserve">economic loss </w:t>
      </w:r>
      <w:r w:rsidR="008D0F18" w:rsidRPr="00E2269B">
        <w:rPr>
          <w:rFonts w:ascii="Times New Roman" w:hAnsi="Times New Roman" w:cs="Times New Roman"/>
        </w:rPr>
        <w:t>and regional disparity</w:t>
      </w:r>
      <w:r w:rsidR="002643CA" w:rsidRPr="00E2269B">
        <w:rPr>
          <w:rFonts w:ascii="Times New Roman" w:hAnsi="Times New Roman" w:cs="Times New Roman"/>
        </w:rPr>
        <w:t>, the proper solution would be a</w:t>
      </w:r>
      <w:r w:rsidR="007B5F90" w:rsidRPr="00E2269B">
        <w:rPr>
          <w:rFonts w:ascii="Times New Roman" w:hAnsi="Times New Roman" w:cs="Times New Roman"/>
        </w:rPr>
        <w:t>n</w:t>
      </w:r>
      <w:r w:rsidR="002643CA" w:rsidRPr="00E2269B">
        <w:rPr>
          <w:rFonts w:ascii="Times New Roman" w:hAnsi="Times New Roman" w:cs="Times New Roman"/>
        </w:rPr>
        <w:t xml:space="preserve"> allocation plan in which efficiency and </w:t>
      </w:r>
      <w:r w:rsidR="00A52ABD">
        <w:rPr>
          <w:rFonts w:ascii="Times New Roman" w:hAnsi="Times New Roman" w:cs="Times New Roman"/>
        </w:rPr>
        <w:t>equity</w:t>
      </w:r>
      <w:r w:rsidR="002643CA" w:rsidRPr="00E2269B">
        <w:rPr>
          <w:rFonts w:ascii="Times New Roman" w:hAnsi="Times New Roman" w:cs="Times New Roman"/>
        </w:rPr>
        <w:t xml:space="preserve"> are of same importance.</w:t>
      </w:r>
    </w:p>
    <w:p w:rsidR="00D9195E" w:rsidRPr="00E2269B" w:rsidRDefault="00D9195E" w:rsidP="005D03CB">
      <w:pPr>
        <w:jc w:val="left"/>
        <w:rPr>
          <w:rFonts w:ascii="Times New Roman" w:hAnsi="Times New Roman" w:cs="Times New Roman"/>
        </w:rPr>
      </w:pPr>
    </w:p>
    <w:p w:rsidR="001A223B" w:rsidRDefault="00B174B1" w:rsidP="003B1BF2">
      <w:pPr>
        <w:rPr>
          <w:rFonts w:ascii="Times New Roman" w:hAnsi="Times New Roman" w:cs="Times New Roman"/>
        </w:rPr>
      </w:pPr>
      <w:r w:rsidRPr="00E2269B">
        <w:rPr>
          <w:rFonts w:ascii="Times New Roman" w:hAnsi="Times New Roman" w:cs="Times New Roman"/>
        </w:rPr>
        <w:t>How to reduce</w:t>
      </w:r>
      <w:r w:rsidR="001A223B" w:rsidRPr="00E2269B">
        <w:rPr>
          <w:rFonts w:ascii="Times New Roman" w:hAnsi="Times New Roman" w:cs="Times New Roman"/>
        </w:rPr>
        <w:t xml:space="preserve"> economic loss</w:t>
      </w:r>
      <w:r w:rsidRPr="00E2269B">
        <w:rPr>
          <w:rFonts w:ascii="Times New Roman" w:hAnsi="Times New Roman" w:cs="Times New Roman"/>
        </w:rPr>
        <w:t>es</w:t>
      </w:r>
      <w:r w:rsidR="001A223B" w:rsidRPr="00E2269B">
        <w:rPr>
          <w:rFonts w:ascii="Times New Roman" w:hAnsi="Times New Roman" w:cs="Times New Roman"/>
        </w:rPr>
        <w:t xml:space="preserve"> of the most affected region</w:t>
      </w:r>
      <w:r w:rsidRPr="00E2269B">
        <w:rPr>
          <w:rFonts w:ascii="Times New Roman" w:hAnsi="Times New Roman" w:cs="Times New Roman"/>
        </w:rPr>
        <w:t xml:space="preserve">s? </w:t>
      </w:r>
      <w:r w:rsidR="001A223B" w:rsidRPr="00E2269B">
        <w:rPr>
          <w:rFonts w:ascii="Times New Roman" w:hAnsi="Times New Roman" w:cs="Times New Roman"/>
        </w:rPr>
        <w:t>One way is to lower the expected GDP growth rate</w:t>
      </w:r>
      <w:r w:rsidR="000B44A1" w:rsidRPr="00E2269B">
        <w:rPr>
          <w:rFonts w:ascii="Times New Roman" w:hAnsi="Times New Roman" w:cs="Times New Roman"/>
        </w:rPr>
        <w:t xml:space="preserve"> of th</w:t>
      </w:r>
      <w:r w:rsidRPr="00E2269B">
        <w:rPr>
          <w:rFonts w:ascii="Times New Roman" w:hAnsi="Times New Roman" w:cs="Times New Roman"/>
        </w:rPr>
        <w:t xml:space="preserve">ese </w:t>
      </w:r>
      <w:r w:rsidR="000B44A1" w:rsidRPr="00E2269B">
        <w:rPr>
          <w:rFonts w:ascii="Times New Roman" w:hAnsi="Times New Roman" w:cs="Times New Roman"/>
        </w:rPr>
        <w:t>region</w:t>
      </w:r>
      <w:r w:rsidRPr="00E2269B">
        <w:rPr>
          <w:rFonts w:ascii="Times New Roman" w:hAnsi="Times New Roman" w:cs="Times New Roman"/>
        </w:rPr>
        <w:t>s to</w:t>
      </w:r>
      <w:r w:rsidR="000B44A1" w:rsidRPr="00E2269B">
        <w:rPr>
          <w:rFonts w:ascii="Times New Roman" w:hAnsi="Times New Roman" w:cs="Times New Roman"/>
        </w:rPr>
        <w:t xml:space="preserve"> </w:t>
      </w:r>
      <w:r w:rsidRPr="00E2269B">
        <w:rPr>
          <w:rFonts w:ascii="Times New Roman" w:hAnsi="Times New Roman" w:cs="Times New Roman"/>
        </w:rPr>
        <w:t xml:space="preserve">slow down </w:t>
      </w:r>
      <w:r w:rsidR="000B44A1" w:rsidRPr="00E2269B">
        <w:rPr>
          <w:rFonts w:ascii="Times New Roman" w:hAnsi="Times New Roman" w:cs="Times New Roman"/>
        </w:rPr>
        <w:t xml:space="preserve">the </w:t>
      </w:r>
      <w:r w:rsidRPr="00E2269B">
        <w:rPr>
          <w:rFonts w:ascii="Times New Roman" w:hAnsi="Times New Roman" w:cs="Times New Roman"/>
        </w:rPr>
        <w:t xml:space="preserve">demand of </w:t>
      </w:r>
      <w:r w:rsidR="000B44A1" w:rsidRPr="00E2269B">
        <w:rPr>
          <w:rFonts w:ascii="Times New Roman" w:hAnsi="Times New Roman" w:cs="Times New Roman"/>
        </w:rPr>
        <w:t>energy consumption</w:t>
      </w:r>
      <w:r w:rsidR="001A223B" w:rsidRPr="00E2269B">
        <w:rPr>
          <w:rFonts w:ascii="Times New Roman" w:hAnsi="Times New Roman" w:cs="Times New Roman"/>
        </w:rPr>
        <w:t>.</w:t>
      </w:r>
      <w:r w:rsidR="00072259" w:rsidRPr="00E2269B">
        <w:rPr>
          <w:rFonts w:ascii="Times New Roman" w:hAnsi="Times New Roman" w:cs="Times New Roman"/>
        </w:rPr>
        <w:t xml:space="preserve"> The </w:t>
      </w:r>
      <w:r w:rsidR="00A4616A" w:rsidRPr="00E2269B">
        <w:rPr>
          <w:rFonts w:ascii="Times New Roman" w:hAnsi="Times New Roman" w:cs="Times New Roman"/>
        </w:rPr>
        <w:t>target</w:t>
      </w:r>
      <w:r w:rsidR="007037AF" w:rsidRPr="00E2269B">
        <w:rPr>
          <w:rFonts w:ascii="Times New Roman" w:hAnsi="Times New Roman" w:cs="Times New Roman"/>
        </w:rPr>
        <w:t xml:space="preserve"> of</w:t>
      </w:r>
      <w:r w:rsidR="00A4616A" w:rsidRPr="00E2269B">
        <w:rPr>
          <w:rFonts w:ascii="Times New Roman" w:hAnsi="Times New Roman" w:cs="Times New Roman"/>
        </w:rPr>
        <w:t xml:space="preserve"> </w:t>
      </w:r>
      <w:r w:rsidR="00072259" w:rsidRPr="00E2269B">
        <w:rPr>
          <w:rFonts w:ascii="Times New Roman" w:hAnsi="Times New Roman" w:cs="Times New Roman"/>
        </w:rPr>
        <w:t>GDP growth rate of China in the ‘</w:t>
      </w:r>
      <w:r w:rsidR="00A84DAE" w:rsidRPr="00E2269B">
        <w:rPr>
          <w:rFonts w:ascii="Times New Roman" w:hAnsi="Times New Roman" w:cs="Times New Roman"/>
        </w:rPr>
        <w:t xml:space="preserve">twelfth </w:t>
      </w:r>
      <w:r w:rsidR="00072259" w:rsidRPr="00E2269B">
        <w:rPr>
          <w:rFonts w:ascii="Times New Roman" w:hAnsi="Times New Roman" w:cs="Times New Roman"/>
        </w:rPr>
        <w:t>five</w:t>
      </w:r>
      <w:r w:rsidR="00A84DAE">
        <w:rPr>
          <w:rFonts w:ascii="Times New Roman" w:hAnsi="Times New Roman" w:cs="Times New Roman" w:hint="eastAsia"/>
        </w:rPr>
        <w:t>-</w:t>
      </w:r>
      <w:r w:rsidR="00072259" w:rsidRPr="00E2269B">
        <w:rPr>
          <w:rFonts w:ascii="Times New Roman" w:hAnsi="Times New Roman" w:cs="Times New Roman"/>
        </w:rPr>
        <w:t>year’ period is 7%</w:t>
      </w:r>
      <w:r w:rsidR="00A4616A" w:rsidRPr="00E2269B">
        <w:rPr>
          <w:rFonts w:ascii="Times New Roman" w:hAnsi="Times New Roman" w:cs="Times New Roman"/>
        </w:rPr>
        <w:t>. However, several provinces ha</w:t>
      </w:r>
      <w:r w:rsidR="00BE232C" w:rsidRPr="00E2269B">
        <w:rPr>
          <w:rFonts w:ascii="Times New Roman" w:hAnsi="Times New Roman" w:cs="Times New Roman"/>
        </w:rPr>
        <w:t>ve</w:t>
      </w:r>
      <w:r w:rsidR="00A4616A" w:rsidRPr="00E2269B">
        <w:rPr>
          <w:rFonts w:ascii="Times New Roman" w:hAnsi="Times New Roman" w:cs="Times New Roman"/>
        </w:rPr>
        <w:t xml:space="preserve"> set their own rates to be higher than 12%.</w:t>
      </w:r>
      <w:r w:rsidR="00BE232C" w:rsidRPr="00E2269B">
        <w:rPr>
          <w:rFonts w:ascii="Times New Roman" w:hAnsi="Times New Roman" w:cs="Times New Roman"/>
        </w:rPr>
        <w:t xml:space="preserve"> There would be more room for future economic development if</w:t>
      </w:r>
      <w:r w:rsidR="007037AF" w:rsidRPr="00E2269B">
        <w:rPr>
          <w:rFonts w:ascii="Times New Roman" w:hAnsi="Times New Roman" w:cs="Times New Roman"/>
        </w:rPr>
        <w:t xml:space="preserve"> </w:t>
      </w:r>
      <w:r w:rsidR="00BE232C" w:rsidRPr="00E2269B">
        <w:rPr>
          <w:rFonts w:ascii="Times New Roman" w:hAnsi="Times New Roman" w:cs="Times New Roman"/>
        </w:rPr>
        <w:t>GDP growth rates adjusted a little lower.</w:t>
      </w:r>
      <w:r w:rsidR="007629AE" w:rsidRPr="00E2269B">
        <w:rPr>
          <w:rFonts w:ascii="Times New Roman" w:hAnsi="Times New Roman" w:cs="Times New Roman"/>
        </w:rPr>
        <w:t xml:space="preserve"> Another way is to change the way of economic development an</w:t>
      </w:r>
      <w:r w:rsidR="001F2958" w:rsidRPr="00E2269B">
        <w:rPr>
          <w:rFonts w:ascii="Times New Roman" w:hAnsi="Times New Roman" w:cs="Times New Roman"/>
        </w:rPr>
        <w:t xml:space="preserve">d </w:t>
      </w:r>
      <w:r w:rsidR="007629AE" w:rsidRPr="00E2269B">
        <w:rPr>
          <w:rFonts w:ascii="Times New Roman" w:hAnsi="Times New Roman" w:cs="Times New Roman"/>
        </w:rPr>
        <w:t>industri</w:t>
      </w:r>
      <w:r w:rsidR="001F2958" w:rsidRPr="00E2269B">
        <w:rPr>
          <w:rFonts w:ascii="Times New Roman" w:hAnsi="Times New Roman" w:cs="Times New Roman"/>
        </w:rPr>
        <w:t>al structure</w:t>
      </w:r>
      <w:r w:rsidR="007629AE" w:rsidRPr="00E2269B">
        <w:rPr>
          <w:rFonts w:ascii="Times New Roman" w:hAnsi="Times New Roman" w:cs="Times New Roman"/>
        </w:rPr>
        <w:t xml:space="preserve">, </w:t>
      </w:r>
      <w:r w:rsidR="00F34034" w:rsidRPr="00E2269B">
        <w:rPr>
          <w:rFonts w:ascii="Times New Roman" w:hAnsi="Times New Roman" w:cs="Times New Roman"/>
        </w:rPr>
        <w:t xml:space="preserve">transferring </w:t>
      </w:r>
      <w:r w:rsidR="001F2958" w:rsidRPr="00E2269B">
        <w:rPr>
          <w:rFonts w:ascii="Times New Roman" w:hAnsi="Times New Roman" w:cs="Times New Roman"/>
        </w:rPr>
        <w:t xml:space="preserve">high energy-intensity industries </w:t>
      </w:r>
      <w:r w:rsidR="00F34034" w:rsidRPr="00E2269B">
        <w:rPr>
          <w:rFonts w:ascii="Times New Roman" w:hAnsi="Times New Roman" w:cs="Times New Roman"/>
        </w:rPr>
        <w:t>to low-carbon industries. This transfer is hard for less-developed regio</w:t>
      </w:r>
      <w:r w:rsidR="001F2958" w:rsidRPr="00E2269B">
        <w:rPr>
          <w:rFonts w:ascii="Times New Roman" w:hAnsi="Times New Roman" w:cs="Times New Roman"/>
        </w:rPr>
        <w:t>n and it needs fiscal subsides support from government</w:t>
      </w:r>
      <w:r w:rsidR="00F34034" w:rsidRPr="00E2269B">
        <w:rPr>
          <w:rFonts w:ascii="Times New Roman" w:hAnsi="Times New Roman" w:cs="Times New Roman"/>
        </w:rPr>
        <w:t>. However, none of th</w:t>
      </w:r>
      <w:r w:rsidR="004B40C1" w:rsidRPr="00E2269B">
        <w:rPr>
          <w:rFonts w:ascii="Times New Roman" w:hAnsi="Times New Roman" w:cs="Times New Roman"/>
        </w:rPr>
        <w:t xml:space="preserve">ese </w:t>
      </w:r>
      <w:r w:rsidR="00251CA0" w:rsidRPr="00E2269B">
        <w:rPr>
          <w:rFonts w:ascii="Times New Roman" w:hAnsi="Times New Roman" w:cs="Times New Roman"/>
        </w:rPr>
        <w:t>allocation</w:t>
      </w:r>
      <w:r w:rsidR="004B40C1" w:rsidRPr="00E2269B">
        <w:rPr>
          <w:rFonts w:ascii="Times New Roman" w:hAnsi="Times New Roman" w:cs="Times New Roman"/>
        </w:rPr>
        <w:t>s can be perfect and some regions may suffer a lot under all these</w:t>
      </w:r>
      <w:r w:rsidR="00251CA0" w:rsidRPr="00E2269B">
        <w:rPr>
          <w:rFonts w:ascii="Times New Roman" w:hAnsi="Times New Roman" w:cs="Times New Roman"/>
        </w:rPr>
        <w:t xml:space="preserve"> allocations</w:t>
      </w:r>
      <w:r w:rsidR="004B40C1" w:rsidRPr="00E2269B">
        <w:rPr>
          <w:rFonts w:ascii="Times New Roman" w:hAnsi="Times New Roman" w:cs="Times New Roman"/>
        </w:rPr>
        <w:t xml:space="preserve">. Additional </w:t>
      </w:r>
      <w:r w:rsidR="00251CA0" w:rsidRPr="00E2269B">
        <w:rPr>
          <w:rFonts w:ascii="Times New Roman" w:hAnsi="Times New Roman" w:cs="Times New Roman"/>
        </w:rPr>
        <w:t>compensat</w:t>
      </w:r>
      <w:r w:rsidR="004B40C1" w:rsidRPr="00E2269B">
        <w:rPr>
          <w:rFonts w:ascii="Times New Roman" w:hAnsi="Times New Roman" w:cs="Times New Roman"/>
        </w:rPr>
        <w:t xml:space="preserve">ion measures should be </w:t>
      </w:r>
      <w:r w:rsidR="00251CA0" w:rsidRPr="00E2269B">
        <w:rPr>
          <w:rFonts w:ascii="Times New Roman" w:hAnsi="Times New Roman" w:cs="Times New Roman"/>
        </w:rPr>
        <w:t>considered to carry out</w:t>
      </w:r>
      <w:r w:rsidR="004B40C1" w:rsidRPr="00E2269B">
        <w:rPr>
          <w:rFonts w:ascii="Times New Roman" w:hAnsi="Times New Roman" w:cs="Times New Roman"/>
        </w:rPr>
        <w:t>.</w:t>
      </w:r>
    </w:p>
    <w:p w:rsidR="00D9195E" w:rsidRPr="00E2269B" w:rsidRDefault="00D9195E" w:rsidP="005D03CB">
      <w:pPr>
        <w:jc w:val="left"/>
        <w:rPr>
          <w:rFonts w:ascii="Times New Roman" w:hAnsi="Times New Roman" w:cs="Times New Roman"/>
        </w:rPr>
      </w:pPr>
    </w:p>
    <w:p w:rsidR="004B40C1" w:rsidRPr="00E2269B" w:rsidRDefault="004B40C1" w:rsidP="003B1BF2">
      <w:pPr>
        <w:rPr>
          <w:rFonts w:ascii="Times New Roman" w:hAnsi="Times New Roman" w:cs="Times New Roman"/>
        </w:rPr>
      </w:pPr>
      <w:r w:rsidRPr="00E2269B">
        <w:rPr>
          <w:rFonts w:ascii="Times New Roman" w:hAnsi="Times New Roman" w:cs="Times New Roman"/>
        </w:rPr>
        <w:t xml:space="preserve">As energy quota </w:t>
      </w:r>
      <w:r w:rsidR="00A21336" w:rsidRPr="00E2269B">
        <w:rPr>
          <w:rFonts w:ascii="Times New Roman" w:hAnsi="Times New Roman" w:cs="Times New Roman"/>
        </w:rPr>
        <w:t>is</w:t>
      </w:r>
      <w:r w:rsidRPr="00E2269B">
        <w:rPr>
          <w:rFonts w:ascii="Times New Roman" w:hAnsi="Times New Roman" w:cs="Times New Roman"/>
        </w:rPr>
        <w:t xml:space="preserve"> not tradable among regions, </w:t>
      </w:r>
      <w:r w:rsidR="008B3866" w:rsidRPr="00E2269B">
        <w:rPr>
          <w:rFonts w:ascii="Times New Roman" w:hAnsi="Times New Roman" w:cs="Times New Roman"/>
        </w:rPr>
        <w:t xml:space="preserve">the control of energy consumption quotas may be a policy instrument to explore green development for China in short run. But it is not the only and the best policy instrument. For </w:t>
      </w:r>
      <w:r w:rsidR="00A21336" w:rsidRPr="00E2269B">
        <w:rPr>
          <w:rFonts w:ascii="Times New Roman" w:hAnsi="Times New Roman" w:cs="Times New Roman"/>
        </w:rPr>
        <w:t xml:space="preserve">future green development of </w:t>
      </w:r>
      <w:r w:rsidR="008B3866" w:rsidRPr="00E2269B">
        <w:rPr>
          <w:rFonts w:ascii="Times New Roman" w:hAnsi="Times New Roman" w:cs="Times New Roman"/>
        </w:rPr>
        <w:t>China in the long run</w:t>
      </w:r>
      <w:r w:rsidR="00A21336" w:rsidRPr="00E2269B">
        <w:rPr>
          <w:rFonts w:ascii="Times New Roman" w:hAnsi="Times New Roman" w:cs="Times New Roman"/>
        </w:rPr>
        <w:t>, cap-and-trade for carbon emission</w:t>
      </w:r>
      <w:r w:rsidR="008B3866" w:rsidRPr="00E2269B">
        <w:rPr>
          <w:rFonts w:ascii="Times New Roman" w:hAnsi="Times New Roman" w:cs="Times New Roman"/>
        </w:rPr>
        <w:t xml:space="preserve"> </w:t>
      </w:r>
      <w:r w:rsidR="00A21336" w:rsidRPr="00E2269B">
        <w:rPr>
          <w:rFonts w:ascii="Times New Roman" w:hAnsi="Times New Roman" w:cs="Times New Roman"/>
        </w:rPr>
        <w:t>may be a better choice than the control of energy consumption quotas as it is benefit for technology improvement, energy substitution and low carbon development.</w:t>
      </w:r>
    </w:p>
    <w:p w:rsidR="00E914BE" w:rsidRDefault="00E914BE" w:rsidP="009756D8">
      <w:pPr>
        <w:ind w:firstLineChars="200" w:firstLine="420"/>
        <w:jc w:val="left"/>
        <w:rPr>
          <w:rFonts w:ascii="Times New Roman" w:hAnsi="Times New Roman" w:cs="Times New Roman"/>
        </w:rPr>
      </w:pPr>
    </w:p>
    <w:p w:rsidR="00B31665" w:rsidRPr="00E2269B" w:rsidRDefault="00B31665" w:rsidP="009756D8">
      <w:pPr>
        <w:ind w:firstLineChars="200" w:firstLine="420"/>
        <w:jc w:val="left"/>
        <w:rPr>
          <w:rFonts w:ascii="Times New Roman" w:hAnsi="Times New Roman" w:cs="Times New Roman"/>
        </w:rPr>
      </w:pPr>
    </w:p>
    <w:p w:rsidR="00E914BE" w:rsidRDefault="00E914BE" w:rsidP="00E2269B">
      <w:pPr>
        <w:jc w:val="left"/>
        <w:rPr>
          <w:rFonts w:ascii="Times New Roman" w:hAnsi="Times New Roman" w:cs="Times New Roman"/>
          <w:b/>
        </w:rPr>
      </w:pPr>
      <w:r w:rsidRPr="00E2269B">
        <w:rPr>
          <w:rFonts w:ascii="Times New Roman" w:hAnsi="Times New Roman" w:cs="Times New Roman"/>
          <w:b/>
        </w:rPr>
        <w:t>References</w:t>
      </w:r>
    </w:p>
    <w:p w:rsidR="00B31665" w:rsidRPr="00E2269B" w:rsidRDefault="00B31665" w:rsidP="00E2269B">
      <w:pPr>
        <w:jc w:val="left"/>
        <w:rPr>
          <w:rFonts w:ascii="Times New Roman" w:hAnsi="Times New Roman" w:cs="Times New Roman"/>
        </w:rPr>
      </w:pPr>
    </w:p>
    <w:p w:rsidR="00BE33CB" w:rsidRPr="00E2269B" w:rsidRDefault="00BE33CB" w:rsidP="003B1BF2">
      <w:pPr>
        <w:ind w:left="420" w:hangingChars="200" w:hanging="420"/>
        <w:jc w:val="left"/>
        <w:rPr>
          <w:rFonts w:ascii="Times New Roman" w:hAnsi="Times New Roman" w:cs="Times New Roman"/>
          <w:szCs w:val="21"/>
        </w:rPr>
      </w:pPr>
      <w:r w:rsidRPr="00E2269B">
        <w:rPr>
          <w:rFonts w:ascii="Times New Roman" w:hAnsi="Times New Roman" w:cs="Times New Roman"/>
          <w:szCs w:val="21"/>
        </w:rPr>
        <w:t xml:space="preserve">Baer P, </w:t>
      </w:r>
      <w:proofErr w:type="spellStart"/>
      <w:r w:rsidRPr="00E2269B">
        <w:rPr>
          <w:rFonts w:ascii="Times New Roman" w:hAnsi="Times New Roman" w:cs="Times New Roman"/>
          <w:szCs w:val="21"/>
        </w:rPr>
        <w:t>Athanasiou</w:t>
      </w:r>
      <w:proofErr w:type="spellEnd"/>
      <w:r w:rsidRPr="00E2269B">
        <w:rPr>
          <w:rFonts w:ascii="Times New Roman" w:hAnsi="Times New Roman" w:cs="Times New Roman"/>
          <w:szCs w:val="21"/>
        </w:rPr>
        <w:t xml:space="preserve"> T, </w:t>
      </w:r>
      <w:proofErr w:type="spellStart"/>
      <w:r w:rsidRPr="00E2269B">
        <w:rPr>
          <w:rFonts w:ascii="Times New Roman" w:hAnsi="Times New Roman" w:cs="Times New Roman"/>
          <w:szCs w:val="21"/>
        </w:rPr>
        <w:t>Kartha</w:t>
      </w:r>
      <w:proofErr w:type="spellEnd"/>
      <w:r w:rsidRPr="00E2269B">
        <w:rPr>
          <w:rFonts w:ascii="Times New Roman" w:hAnsi="Times New Roman" w:cs="Times New Roman"/>
          <w:szCs w:val="21"/>
        </w:rPr>
        <w:t xml:space="preserve"> S. 2008. The right to development in a climate constrained world. Berlin: Stockholm Environment Institute. 5-20</w:t>
      </w:r>
    </w:p>
    <w:p w:rsidR="00223F0A" w:rsidRPr="00E2269B" w:rsidRDefault="00223F0A" w:rsidP="003B1BF2">
      <w:pPr>
        <w:ind w:left="420" w:hangingChars="200" w:hanging="420"/>
        <w:jc w:val="left"/>
        <w:rPr>
          <w:rFonts w:ascii="Times New Roman" w:hAnsi="Times New Roman" w:cs="Times New Roman"/>
          <w:szCs w:val="21"/>
        </w:rPr>
      </w:pPr>
      <w:proofErr w:type="spellStart"/>
      <w:r w:rsidRPr="00E2269B">
        <w:rPr>
          <w:rFonts w:ascii="Times New Roman" w:hAnsi="Times New Roman" w:cs="Times New Roman"/>
          <w:szCs w:val="21"/>
        </w:rPr>
        <w:t>Baumert</w:t>
      </w:r>
      <w:proofErr w:type="spellEnd"/>
      <w:r w:rsidRPr="00E2269B">
        <w:rPr>
          <w:rFonts w:ascii="Times New Roman" w:hAnsi="Times New Roman" w:cs="Times New Roman"/>
          <w:szCs w:val="21"/>
        </w:rPr>
        <w:t xml:space="preserve"> K A</w:t>
      </w:r>
      <w:r w:rsidR="007B00A8" w:rsidRPr="00E2269B">
        <w:rPr>
          <w:rFonts w:ascii="Times New Roman" w:hAnsi="Times New Roman" w:cs="Times New Roman"/>
          <w:szCs w:val="21"/>
        </w:rPr>
        <w:t xml:space="preserve">, </w:t>
      </w:r>
      <w:proofErr w:type="spellStart"/>
      <w:r w:rsidRPr="00E2269B">
        <w:rPr>
          <w:rFonts w:ascii="Times New Roman" w:hAnsi="Times New Roman" w:cs="Times New Roman"/>
          <w:szCs w:val="21"/>
        </w:rPr>
        <w:t>Bhandari</w:t>
      </w:r>
      <w:proofErr w:type="spellEnd"/>
      <w:r w:rsidRPr="00E2269B">
        <w:rPr>
          <w:rFonts w:ascii="Times New Roman" w:hAnsi="Times New Roman" w:cs="Times New Roman"/>
          <w:szCs w:val="21"/>
        </w:rPr>
        <w:t xml:space="preserve"> R</w:t>
      </w:r>
      <w:r w:rsidR="007B00A8" w:rsidRPr="00E2269B">
        <w:rPr>
          <w:rFonts w:ascii="Times New Roman" w:hAnsi="Times New Roman" w:cs="Times New Roman"/>
          <w:szCs w:val="21"/>
        </w:rPr>
        <w:t xml:space="preserve">, </w:t>
      </w:r>
      <w:r w:rsidRPr="00E2269B">
        <w:rPr>
          <w:rFonts w:ascii="Times New Roman" w:hAnsi="Times New Roman" w:cs="Times New Roman"/>
          <w:szCs w:val="21"/>
        </w:rPr>
        <w:t>KETE N</w:t>
      </w:r>
      <w:r w:rsidR="007B00A8" w:rsidRPr="00E2269B">
        <w:rPr>
          <w:rFonts w:ascii="Times New Roman" w:hAnsi="Times New Roman" w:cs="Times New Roman"/>
          <w:szCs w:val="21"/>
        </w:rPr>
        <w:t xml:space="preserve">. </w:t>
      </w:r>
      <w:r w:rsidRPr="00E2269B">
        <w:rPr>
          <w:rFonts w:ascii="Times New Roman" w:hAnsi="Times New Roman" w:cs="Times New Roman"/>
          <w:szCs w:val="21"/>
        </w:rPr>
        <w:t>1999</w:t>
      </w:r>
      <w:r w:rsidR="007B00A8" w:rsidRPr="00E2269B">
        <w:rPr>
          <w:rFonts w:ascii="Times New Roman" w:hAnsi="Times New Roman" w:cs="Times New Roman"/>
          <w:szCs w:val="21"/>
        </w:rPr>
        <w:t>.</w:t>
      </w:r>
      <w:r w:rsidRPr="00E2269B">
        <w:rPr>
          <w:rFonts w:ascii="Times New Roman" w:hAnsi="Times New Roman" w:cs="Times New Roman"/>
          <w:szCs w:val="21"/>
        </w:rPr>
        <w:t xml:space="preserve"> What might a developing country climate commitment look like</w:t>
      </w:r>
      <w:r w:rsidR="007B00A8" w:rsidRPr="00E2269B">
        <w:rPr>
          <w:rFonts w:ascii="Times New Roman" w:hAnsi="Times New Roman" w:cs="Times New Roman"/>
          <w:szCs w:val="21"/>
        </w:rPr>
        <w:t xml:space="preserve">? </w:t>
      </w:r>
      <w:r w:rsidRPr="00E2269B">
        <w:rPr>
          <w:rFonts w:ascii="Times New Roman" w:hAnsi="Times New Roman" w:cs="Times New Roman"/>
          <w:szCs w:val="21"/>
        </w:rPr>
        <w:t>Washington: WRI</w:t>
      </w:r>
      <w:r w:rsidR="007B00A8" w:rsidRPr="00E2269B">
        <w:rPr>
          <w:rFonts w:ascii="Times New Roman" w:hAnsi="Times New Roman" w:cs="Times New Roman"/>
          <w:szCs w:val="21"/>
        </w:rPr>
        <w:t xml:space="preserve">. </w:t>
      </w:r>
      <w:r w:rsidRPr="00E2269B">
        <w:rPr>
          <w:rFonts w:ascii="Times New Roman" w:hAnsi="Times New Roman" w:cs="Times New Roman"/>
          <w:szCs w:val="21"/>
        </w:rPr>
        <w:t>1-20</w:t>
      </w:r>
    </w:p>
    <w:p w:rsidR="003B1BF2" w:rsidRPr="00E2269B" w:rsidRDefault="003B1BF2" w:rsidP="003B1BF2">
      <w:pPr>
        <w:ind w:left="420" w:hangingChars="200" w:hanging="420"/>
        <w:jc w:val="left"/>
        <w:rPr>
          <w:rFonts w:ascii="Times New Roman" w:hAnsi="Times New Roman" w:cs="Times New Roman"/>
        </w:rPr>
      </w:pPr>
      <w:proofErr w:type="spellStart"/>
      <w:proofErr w:type="gramStart"/>
      <w:r w:rsidRPr="00E2269B">
        <w:rPr>
          <w:rFonts w:ascii="Times New Roman" w:hAnsi="Times New Roman" w:cs="Times New Roman"/>
        </w:rPr>
        <w:t>Boehringer</w:t>
      </w:r>
      <w:proofErr w:type="spellEnd"/>
      <w:r w:rsidRPr="00E2269B">
        <w:rPr>
          <w:rFonts w:ascii="Times New Roman" w:hAnsi="Times New Roman" w:cs="Times New Roman"/>
        </w:rPr>
        <w:t>, C., Rutherford, T., Voss, A., 1998.</w:t>
      </w:r>
      <w:proofErr w:type="gramEnd"/>
      <w:r w:rsidRPr="00E2269B">
        <w:rPr>
          <w:rFonts w:ascii="Times New Roman" w:hAnsi="Times New Roman" w:cs="Times New Roman"/>
        </w:rPr>
        <w:t xml:space="preserve"> Global CO2 emissions and unilateral action: policy implications of induced trade effects. Int. J. Global Energy Issues, 11(1-4): 18-22.</w:t>
      </w:r>
    </w:p>
    <w:p w:rsidR="003B1BF2" w:rsidRPr="00E2269B" w:rsidRDefault="003B1BF2" w:rsidP="003B1BF2">
      <w:pPr>
        <w:ind w:left="420" w:hangingChars="200" w:hanging="420"/>
        <w:jc w:val="left"/>
        <w:rPr>
          <w:rFonts w:ascii="Times New Roman" w:hAnsi="Times New Roman" w:cs="Times New Roman"/>
          <w:szCs w:val="21"/>
        </w:rPr>
      </w:pPr>
      <w:proofErr w:type="spellStart"/>
      <w:r w:rsidRPr="00E2269B">
        <w:rPr>
          <w:rFonts w:ascii="Times New Roman" w:hAnsi="Times New Roman" w:cs="Times New Roman"/>
          <w:szCs w:val="21"/>
        </w:rPr>
        <w:t>Demailly</w:t>
      </w:r>
      <w:proofErr w:type="spellEnd"/>
      <w:r w:rsidRPr="00E2269B">
        <w:rPr>
          <w:rFonts w:ascii="Times New Roman" w:hAnsi="Times New Roman" w:cs="Times New Roman"/>
          <w:szCs w:val="21"/>
        </w:rPr>
        <w:t xml:space="preserve"> D, </w:t>
      </w:r>
      <w:proofErr w:type="spellStart"/>
      <w:r w:rsidRPr="00E2269B">
        <w:rPr>
          <w:rFonts w:ascii="Times New Roman" w:hAnsi="Times New Roman" w:cs="Times New Roman"/>
          <w:szCs w:val="21"/>
        </w:rPr>
        <w:t>Quirion</w:t>
      </w:r>
      <w:proofErr w:type="spellEnd"/>
      <w:r w:rsidRPr="00E2269B">
        <w:rPr>
          <w:rFonts w:ascii="Times New Roman" w:hAnsi="Times New Roman" w:cs="Times New Roman"/>
          <w:szCs w:val="21"/>
        </w:rPr>
        <w:t xml:space="preserve"> P. 2006. CO2 abatement, competitiveness and leakage in the European CEMENT INDUSTRY under the EU ETS: grandfathering versus output-based allocation. Climate Policy, 6: 93–113</w:t>
      </w:r>
    </w:p>
    <w:p w:rsidR="003B1BF2" w:rsidRPr="00E2269B" w:rsidRDefault="003B1BF2" w:rsidP="003B1BF2">
      <w:pPr>
        <w:ind w:left="420" w:hangingChars="200" w:hanging="420"/>
        <w:jc w:val="left"/>
        <w:rPr>
          <w:rFonts w:ascii="Times New Roman" w:hAnsi="Times New Roman" w:cs="Times New Roman"/>
          <w:szCs w:val="21"/>
        </w:rPr>
      </w:pPr>
      <w:r w:rsidRPr="00E2269B">
        <w:rPr>
          <w:rFonts w:ascii="Times New Roman" w:hAnsi="Times New Roman" w:cs="Times New Roman"/>
          <w:szCs w:val="21"/>
        </w:rPr>
        <w:t xml:space="preserve">Den </w:t>
      </w:r>
      <w:proofErr w:type="spellStart"/>
      <w:r w:rsidRPr="00E2269B">
        <w:rPr>
          <w:rFonts w:ascii="Times New Roman" w:hAnsi="Times New Roman" w:cs="Times New Roman"/>
          <w:szCs w:val="21"/>
        </w:rPr>
        <w:t>Elzen</w:t>
      </w:r>
      <w:proofErr w:type="spellEnd"/>
      <w:r w:rsidRPr="00E2269B">
        <w:rPr>
          <w:rFonts w:ascii="Times New Roman" w:hAnsi="Times New Roman" w:cs="Times New Roman"/>
          <w:szCs w:val="21"/>
        </w:rPr>
        <w:t xml:space="preserve"> M, Lucas P, </w:t>
      </w:r>
      <w:proofErr w:type="spellStart"/>
      <w:r w:rsidRPr="00E2269B">
        <w:rPr>
          <w:rFonts w:ascii="Times New Roman" w:hAnsi="Times New Roman" w:cs="Times New Roman"/>
          <w:szCs w:val="21"/>
        </w:rPr>
        <w:t>Vuuren</w:t>
      </w:r>
      <w:proofErr w:type="spellEnd"/>
      <w:r w:rsidRPr="00E2269B">
        <w:rPr>
          <w:rFonts w:ascii="Times New Roman" w:hAnsi="Times New Roman" w:cs="Times New Roman"/>
          <w:szCs w:val="21"/>
        </w:rPr>
        <w:t xml:space="preserve"> D. 2005. Abatement costs of post-Kyoto climate regimes. Energy </w:t>
      </w:r>
      <w:r w:rsidRPr="00E2269B">
        <w:rPr>
          <w:rFonts w:ascii="Times New Roman" w:hAnsi="Times New Roman" w:cs="Times New Roman"/>
          <w:szCs w:val="21"/>
        </w:rPr>
        <w:lastRenderedPageBreak/>
        <w:t>Policy, 33(16): 2138-2151</w:t>
      </w:r>
    </w:p>
    <w:p w:rsidR="003B1BF2" w:rsidRPr="00E2269B" w:rsidRDefault="003B1BF2" w:rsidP="003B1BF2">
      <w:pPr>
        <w:ind w:left="420" w:hangingChars="200" w:hanging="420"/>
        <w:jc w:val="left"/>
        <w:rPr>
          <w:rFonts w:ascii="Times New Roman" w:hAnsi="Times New Roman" w:cs="Times New Roman"/>
          <w:szCs w:val="21"/>
        </w:rPr>
      </w:pPr>
      <w:r w:rsidRPr="00E2269B">
        <w:rPr>
          <w:rFonts w:ascii="Times New Roman" w:hAnsi="Times New Roman" w:cs="Times New Roman"/>
          <w:szCs w:val="21"/>
        </w:rPr>
        <w:t>Fischer C, Alan K. 2007. Output-based allocation of emissions permits for mitigating tax and trade interactions. Land Economics, 83 (4): 575-599</w:t>
      </w:r>
    </w:p>
    <w:p w:rsidR="003B1BF2" w:rsidRPr="00E2269B" w:rsidRDefault="003B1BF2" w:rsidP="003B1BF2">
      <w:pPr>
        <w:ind w:left="420" w:hangingChars="200" w:hanging="420"/>
        <w:jc w:val="left"/>
        <w:rPr>
          <w:rFonts w:ascii="Times New Roman" w:hAnsi="Times New Roman" w:cs="Times New Roman"/>
          <w:szCs w:val="21"/>
        </w:rPr>
      </w:pPr>
      <w:r w:rsidRPr="00E2269B">
        <w:rPr>
          <w:rFonts w:ascii="Times New Roman" w:hAnsi="Times New Roman" w:cs="Times New Roman"/>
          <w:szCs w:val="21"/>
        </w:rPr>
        <w:t>Grubb M. 1989. The greenhouse effect: negotiating targets. London: Royal Institute of International Affairs. 7-34</w:t>
      </w:r>
    </w:p>
    <w:p w:rsidR="003B1BF2" w:rsidRPr="00E2269B" w:rsidRDefault="003B1BF2" w:rsidP="003B1BF2">
      <w:pPr>
        <w:ind w:left="420" w:hangingChars="200" w:hanging="420"/>
        <w:jc w:val="left"/>
        <w:rPr>
          <w:rFonts w:ascii="Times New Roman" w:hAnsi="Times New Roman" w:cs="Times New Roman"/>
          <w:szCs w:val="21"/>
        </w:rPr>
      </w:pPr>
      <w:proofErr w:type="spellStart"/>
      <w:r w:rsidRPr="00E2269B">
        <w:rPr>
          <w:rFonts w:ascii="Times New Roman" w:hAnsi="Times New Roman" w:cs="Times New Roman"/>
          <w:szCs w:val="21"/>
        </w:rPr>
        <w:t>Grubler</w:t>
      </w:r>
      <w:proofErr w:type="spellEnd"/>
      <w:r w:rsidRPr="00E2269B">
        <w:rPr>
          <w:rFonts w:ascii="Times New Roman" w:hAnsi="Times New Roman" w:cs="Times New Roman"/>
          <w:szCs w:val="21"/>
        </w:rPr>
        <w:t xml:space="preserve"> A, </w:t>
      </w:r>
      <w:proofErr w:type="spellStart"/>
      <w:r w:rsidRPr="00E2269B">
        <w:rPr>
          <w:rFonts w:ascii="Times New Roman" w:hAnsi="Times New Roman" w:cs="Times New Roman"/>
          <w:szCs w:val="21"/>
        </w:rPr>
        <w:t>Nakic'enovi</w:t>
      </w:r>
      <w:proofErr w:type="spellEnd"/>
      <w:r w:rsidRPr="00E2269B">
        <w:rPr>
          <w:rFonts w:ascii="Times New Roman" w:hAnsi="Times New Roman" w:cs="Times New Roman"/>
          <w:szCs w:val="21"/>
        </w:rPr>
        <w:t xml:space="preserve"> C N. 1994. International burden sharing in greenhouse gas reduction </w:t>
      </w:r>
      <w:proofErr w:type="gramStart"/>
      <w:r w:rsidRPr="00E2269B">
        <w:rPr>
          <w:rFonts w:ascii="Times New Roman" w:hAnsi="Times New Roman" w:cs="Times New Roman"/>
          <w:szCs w:val="21"/>
        </w:rPr>
        <w:t>( IIASA</w:t>
      </w:r>
      <w:proofErr w:type="gramEnd"/>
      <w:r w:rsidRPr="00E2269B">
        <w:rPr>
          <w:rFonts w:ascii="Times New Roman" w:hAnsi="Times New Roman" w:cs="Times New Roman"/>
          <w:szCs w:val="21"/>
        </w:rPr>
        <w:t xml:space="preserve">). </w:t>
      </w:r>
      <w:proofErr w:type="spellStart"/>
      <w:r w:rsidRPr="00E2269B">
        <w:rPr>
          <w:rFonts w:ascii="Times New Roman" w:hAnsi="Times New Roman" w:cs="Times New Roman"/>
          <w:szCs w:val="21"/>
        </w:rPr>
        <w:t>Laxenburg</w:t>
      </w:r>
      <w:proofErr w:type="spellEnd"/>
      <w:r w:rsidRPr="00E2269B">
        <w:rPr>
          <w:rFonts w:ascii="Times New Roman" w:hAnsi="Times New Roman" w:cs="Times New Roman"/>
          <w:szCs w:val="21"/>
        </w:rPr>
        <w:t>: International Institute for Applied Systems Analysis. 1-99</w:t>
      </w:r>
    </w:p>
    <w:p w:rsidR="007B00A8" w:rsidRPr="00E2269B" w:rsidRDefault="007B00A8" w:rsidP="003B1BF2">
      <w:pPr>
        <w:ind w:left="420" w:hangingChars="200" w:hanging="420"/>
        <w:jc w:val="left"/>
        <w:rPr>
          <w:rFonts w:ascii="Times New Roman" w:hAnsi="Times New Roman" w:cs="Times New Roman"/>
          <w:szCs w:val="21"/>
        </w:rPr>
      </w:pPr>
      <w:proofErr w:type="spellStart"/>
      <w:r w:rsidRPr="00E2269B">
        <w:rPr>
          <w:rFonts w:ascii="Times New Roman" w:hAnsi="Times New Roman" w:cs="Times New Roman"/>
          <w:szCs w:val="21"/>
        </w:rPr>
        <w:t>Phylipsen</w:t>
      </w:r>
      <w:proofErr w:type="spellEnd"/>
      <w:r w:rsidRPr="00E2269B">
        <w:rPr>
          <w:rFonts w:ascii="Times New Roman" w:hAnsi="Times New Roman" w:cs="Times New Roman"/>
          <w:szCs w:val="21"/>
        </w:rPr>
        <w:t xml:space="preserve"> G, Bode J, Blok K, et al. 1998. </w:t>
      </w:r>
      <w:proofErr w:type="gramStart"/>
      <w:r w:rsidRPr="00E2269B">
        <w:rPr>
          <w:rFonts w:ascii="Times New Roman" w:hAnsi="Times New Roman" w:cs="Times New Roman"/>
          <w:szCs w:val="21"/>
        </w:rPr>
        <w:t xml:space="preserve">A Triptych </w:t>
      </w:r>
      <w:proofErr w:type="spellStart"/>
      <w:r w:rsidRPr="00E2269B">
        <w:rPr>
          <w:rFonts w:ascii="Times New Roman" w:hAnsi="Times New Roman" w:cs="Times New Roman"/>
          <w:szCs w:val="21"/>
        </w:rPr>
        <w:t>sectoral</w:t>
      </w:r>
      <w:proofErr w:type="spellEnd"/>
      <w:r w:rsidRPr="00E2269B">
        <w:rPr>
          <w:rFonts w:ascii="Times New Roman" w:hAnsi="Times New Roman" w:cs="Times New Roman"/>
          <w:szCs w:val="21"/>
        </w:rPr>
        <w:t xml:space="preserve"> approach to burden differentiation; GHG emissions in the European bubble.</w:t>
      </w:r>
      <w:proofErr w:type="gramEnd"/>
      <w:r w:rsidRPr="00E2269B">
        <w:rPr>
          <w:rFonts w:ascii="Times New Roman" w:hAnsi="Times New Roman" w:cs="Times New Roman"/>
          <w:szCs w:val="21"/>
        </w:rPr>
        <w:t xml:space="preserve"> Energy Policy, 26(12): 929-943</w:t>
      </w:r>
    </w:p>
    <w:p w:rsidR="00B7400F" w:rsidRPr="00E2269B" w:rsidRDefault="00B7400F" w:rsidP="003B1BF2">
      <w:pPr>
        <w:ind w:left="420" w:hangingChars="200" w:hanging="420"/>
        <w:jc w:val="left"/>
        <w:rPr>
          <w:rFonts w:ascii="Times New Roman" w:hAnsi="Times New Roman" w:cs="Times New Roman"/>
          <w:szCs w:val="21"/>
        </w:rPr>
      </w:pPr>
      <w:proofErr w:type="spellStart"/>
      <w:proofErr w:type="gramStart"/>
      <w:r w:rsidRPr="00E2269B">
        <w:rPr>
          <w:rFonts w:ascii="Times New Roman" w:hAnsi="Times New Roman" w:cs="Times New Roman"/>
          <w:szCs w:val="21"/>
        </w:rPr>
        <w:t>Quirion</w:t>
      </w:r>
      <w:proofErr w:type="spellEnd"/>
      <w:r w:rsidRPr="00E2269B">
        <w:rPr>
          <w:rFonts w:ascii="Times New Roman" w:hAnsi="Times New Roman" w:cs="Times New Roman"/>
          <w:szCs w:val="21"/>
        </w:rPr>
        <w:t xml:space="preserve"> P. 2009.</w:t>
      </w:r>
      <w:proofErr w:type="gramEnd"/>
      <w:r w:rsidRPr="00E2269B">
        <w:rPr>
          <w:rFonts w:ascii="Times New Roman" w:hAnsi="Times New Roman" w:cs="Times New Roman"/>
          <w:szCs w:val="21"/>
        </w:rPr>
        <w:t xml:space="preserve"> Historic versus output-based allocation of GHG tradable allowances: a comparison. Climate Policy, 9 (6): 575-592</w:t>
      </w:r>
    </w:p>
    <w:p w:rsidR="003B1BF2" w:rsidRDefault="003B1BF2" w:rsidP="003B1BF2">
      <w:pPr>
        <w:ind w:left="420" w:hangingChars="200" w:hanging="420"/>
        <w:jc w:val="left"/>
        <w:rPr>
          <w:rFonts w:ascii="Times New Roman" w:hAnsi="Times New Roman" w:cs="Times New Roman" w:hint="eastAsia"/>
        </w:rPr>
      </w:pPr>
      <w:proofErr w:type="gramStart"/>
      <w:r w:rsidRPr="00E2269B">
        <w:rPr>
          <w:rFonts w:ascii="Times New Roman" w:hAnsi="Times New Roman" w:cs="Times New Roman"/>
        </w:rPr>
        <w:t>SEO.1998. Market performance and environmental policy.</w:t>
      </w:r>
      <w:proofErr w:type="gramEnd"/>
      <w:r w:rsidRPr="00E2269B">
        <w:rPr>
          <w:rFonts w:ascii="Times New Roman" w:hAnsi="Times New Roman" w:cs="Times New Roman"/>
        </w:rPr>
        <w:t xml:space="preserve"> Institute for Economic Research, University of Amsterdam.</w:t>
      </w:r>
    </w:p>
    <w:p w:rsidR="00D82D1D" w:rsidRPr="00E2269B" w:rsidRDefault="00D82D1D" w:rsidP="003B1BF2">
      <w:pPr>
        <w:ind w:left="420" w:hangingChars="200" w:hanging="420"/>
        <w:jc w:val="left"/>
        <w:rPr>
          <w:rFonts w:ascii="Times New Roman" w:hAnsi="Times New Roman" w:cs="Times New Roman"/>
          <w:szCs w:val="21"/>
        </w:rPr>
      </w:pPr>
      <w:r w:rsidRPr="00E2269B">
        <w:rPr>
          <w:rFonts w:ascii="Times New Roman" w:hAnsi="Times New Roman" w:cs="Times New Roman"/>
          <w:szCs w:val="21"/>
        </w:rPr>
        <w:t xml:space="preserve">Sue Wing, I, and </w:t>
      </w:r>
      <w:proofErr w:type="spellStart"/>
      <w:r w:rsidRPr="00E2269B">
        <w:rPr>
          <w:rFonts w:ascii="Times New Roman" w:hAnsi="Times New Roman" w:cs="Times New Roman"/>
          <w:szCs w:val="21"/>
        </w:rPr>
        <w:t>Kolodziej</w:t>
      </w:r>
      <w:proofErr w:type="spellEnd"/>
      <w:r w:rsidRPr="00E2269B">
        <w:rPr>
          <w:rFonts w:ascii="Times New Roman" w:hAnsi="Times New Roman" w:cs="Times New Roman"/>
          <w:szCs w:val="21"/>
        </w:rPr>
        <w:t xml:space="preserve">, M. 2008. The Regional Greenhouse Gas Initiative: Emission Leakage and the Effectiveness of Interstate Border Adjustments. </w:t>
      </w:r>
      <w:proofErr w:type="gramStart"/>
      <w:r w:rsidRPr="00E2269B">
        <w:rPr>
          <w:rFonts w:ascii="Times New Roman" w:hAnsi="Times New Roman" w:cs="Times New Roman"/>
          <w:szCs w:val="21"/>
        </w:rPr>
        <w:t>Working Paper.</w:t>
      </w:r>
      <w:proofErr w:type="gramEnd"/>
      <w:r w:rsidRPr="00E2269B">
        <w:rPr>
          <w:rFonts w:ascii="Times New Roman" w:hAnsi="Times New Roman" w:cs="Times New Roman"/>
          <w:szCs w:val="21"/>
        </w:rPr>
        <w:t xml:space="preserve"> </w:t>
      </w:r>
      <w:hyperlink r:id="rId11" w:history="1">
        <w:r w:rsidR="0008300C" w:rsidRPr="00E2269B">
          <w:rPr>
            <w:rStyle w:val="a8"/>
            <w:rFonts w:ascii="Times New Roman" w:hAnsi="Times New Roman" w:cs="Times New Roman"/>
            <w:szCs w:val="21"/>
          </w:rPr>
          <w:t>http://www.hks.harvard.edu/m-rcbg/rpp/Working%20papers/RPP_2008_03_SueWing.pdf</w:t>
        </w:r>
      </w:hyperlink>
    </w:p>
    <w:p w:rsidR="0008300C" w:rsidRPr="00E2269B" w:rsidRDefault="0008300C" w:rsidP="003B1BF2">
      <w:pPr>
        <w:ind w:left="420" w:hangingChars="200" w:hanging="420"/>
        <w:outlineLvl w:val="0"/>
        <w:rPr>
          <w:rFonts w:ascii="Times New Roman" w:eastAsia="宋体" w:hAnsi="Times New Roman" w:cs="Times New Roman"/>
          <w:szCs w:val="21"/>
        </w:rPr>
      </w:pPr>
      <w:proofErr w:type="gramStart"/>
      <w:r w:rsidRPr="00E2269B">
        <w:rPr>
          <w:rFonts w:ascii="Times New Roman" w:hAnsi="Times New Roman" w:cs="Times New Roman"/>
          <w:szCs w:val="21"/>
        </w:rPr>
        <w:t>Yuan Y</w:t>
      </w:r>
      <w:r w:rsidRPr="00E2269B">
        <w:rPr>
          <w:rFonts w:ascii="Times New Roman" w:eastAsia="宋体" w:hAnsi="Times New Roman" w:cs="Times New Roman"/>
          <w:szCs w:val="21"/>
        </w:rPr>
        <w:t xml:space="preserve">, </w:t>
      </w:r>
      <w:r w:rsidRPr="00E2269B">
        <w:rPr>
          <w:rFonts w:ascii="Times New Roman" w:hAnsi="Times New Roman" w:cs="Times New Roman"/>
          <w:szCs w:val="21"/>
        </w:rPr>
        <w:t>Shi M, Li</w:t>
      </w:r>
      <w:r w:rsidRPr="00E2269B">
        <w:rPr>
          <w:rFonts w:ascii="Times New Roman" w:eastAsia="宋体" w:hAnsi="Times New Roman" w:cs="Times New Roman"/>
          <w:szCs w:val="21"/>
        </w:rPr>
        <w:t xml:space="preserve"> </w:t>
      </w:r>
      <w:r w:rsidRPr="00E2269B">
        <w:rPr>
          <w:rFonts w:ascii="Times New Roman" w:hAnsi="Times New Roman" w:cs="Times New Roman"/>
          <w:szCs w:val="21"/>
        </w:rPr>
        <w:t>Na, Zhou S.</w:t>
      </w:r>
      <w:r w:rsidRPr="00E2269B">
        <w:rPr>
          <w:rFonts w:ascii="Times New Roman" w:eastAsia="宋体" w:hAnsi="Times New Roman" w:cs="Times New Roman"/>
          <w:szCs w:val="21"/>
        </w:rPr>
        <w:t xml:space="preserve"> </w:t>
      </w:r>
      <w:r w:rsidRPr="00E2269B">
        <w:rPr>
          <w:rFonts w:ascii="Times New Roman" w:hAnsi="Times New Roman" w:cs="Times New Roman"/>
          <w:szCs w:val="21"/>
        </w:rPr>
        <w:t>2012.</w:t>
      </w:r>
      <w:proofErr w:type="gramEnd"/>
      <w:r w:rsidRPr="00E2269B">
        <w:rPr>
          <w:rFonts w:ascii="Times New Roman" w:hAnsi="Times New Roman" w:cs="Times New Roman"/>
          <w:szCs w:val="21"/>
        </w:rPr>
        <w:t xml:space="preserve"> Intensity Allocation Criteria of Carbon Emission Permits and China’s Regional Development: Based on a 30-Province/Autonomous Region Computable Equilibrium Model Analysis</w:t>
      </w:r>
      <w:r w:rsidRPr="00E2269B">
        <w:rPr>
          <w:rFonts w:ascii="Times New Roman" w:eastAsia="宋体" w:hAnsi="Times New Roman" w:cs="Times New Roman"/>
          <w:szCs w:val="21"/>
        </w:rPr>
        <w:t xml:space="preserve">. </w:t>
      </w:r>
      <w:r w:rsidRPr="00E2269B">
        <w:rPr>
          <w:rStyle w:val="style9"/>
          <w:rFonts w:ascii="Times New Roman" w:hAnsi="Times New Roman" w:cs="Times New Roman"/>
          <w:szCs w:val="21"/>
        </w:rPr>
        <w:t>Advances in Climate Change Research</w:t>
      </w:r>
      <w:r w:rsidRPr="00E2269B">
        <w:rPr>
          <w:rFonts w:ascii="Times New Roman" w:eastAsia="宋体" w:hAnsi="Times New Roman" w:cs="Times New Roman"/>
          <w:szCs w:val="21"/>
        </w:rPr>
        <w:t>, 8(1):</w:t>
      </w:r>
      <w:r w:rsidR="00872D10" w:rsidRPr="00E2269B">
        <w:rPr>
          <w:rFonts w:ascii="Times New Roman" w:hAnsi="Times New Roman" w:cs="Times New Roman"/>
          <w:szCs w:val="21"/>
        </w:rPr>
        <w:t>60-67</w:t>
      </w:r>
    </w:p>
    <w:p w:rsidR="003B1BF2" w:rsidRPr="00E2269B" w:rsidRDefault="003B1BF2" w:rsidP="003B1BF2">
      <w:pPr>
        <w:ind w:left="420" w:hangingChars="200" w:hanging="420"/>
        <w:jc w:val="left"/>
        <w:rPr>
          <w:rFonts w:ascii="Times New Roman" w:hAnsi="Times New Roman" w:cs="Times New Roman"/>
        </w:rPr>
      </w:pPr>
    </w:p>
    <w:sectPr w:rsidR="003B1BF2" w:rsidRPr="00E2269B" w:rsidSect="00D677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12" w:rsidRDefault="004F1C12" w:rsidP="00301237">
      <w:r>
        <w:separator/>
      </w:r>
    </w:p>
  </w:endnote>
  <w:endnote w:type="continuationSeparator" w:id="0">
    <w:p w:rsidR="004F1C12" w:rsidRDefault="004F1C12" w:rsidP="003012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12" w:rsidRDefault="004F1C12" w:rsidP="00301237">
      <w:r>
        <w:separator/>
      </w:r>
    </w:p>
  </w:footnote>
  <w:footnote w:type="continuationSeparator" w:id="0">
    <w:p w:rsidR="004F1C12" w:rsidRDefault="004F1C12" w:rsidP="00301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D8C"/>
    <w:rsid w:val="00011FF2"/>
    <w:rsid w:val="00023C85"/>
    <w:rsid w:val="00025BD6"/>
    <w:rsid w:val="000429D5"/>
    <w:rsid w:val="00051584"/>
    <w:rsid w:val="00056875"/>
    <w:rsid w:val="00062029"/>
    <w:rsid w:val="00062416"/>
    <w:rsid w:val="00064AD8"/>
    <w:rsid w:val="00065A4C"/>
    <w:rsid w:val="00072259"/>
    <w:rsid w:val="00074EA2"/>
    <w:rsid w:val="000772A5"/>
    <w:rsid w:val="00080AE1"/>
    <w:rsid w:val="00082F7B"/>
    <w:rsid w:val="0008300C"/>
    <w:rsid w:val="000876CC"/>
    <w:rsid w:val="00092418"/>
    <w:rsid w:val="00096BC0"/>
    <w:rsid w:val="000A320D"/>
    <w:rsid w:val="000A7E14"/>
    <w:rsid w:val="000B44A1"/>
    <w:rsid w:val="000E3EB5"/>
    <w:rsid w:val="000E6982"/>
    <w:rsid w:val="000F6083"/>
    <w:rsid w:val="00103A7B"/>
    <w:rsid w:val="00124294"/>
    <w:rsid w:val="00125186"/>
    <w:rsid w:val="0012567A"/>
    <w:rsid w:val="00143158"/>
    <w:rsid w:val="001435DE"/>
    <w:rsid w:val="00146F0F"/>
    <w:rsid w:val="00160DA0"/>
    <w:rsid w:val="00165330"/>
    <w:rsid w:val="00185F80"/>
    <w:rsid w:val="00193AB1"/>
    <w:rsid w:val="001A223B"/>
    <w:rsid w:val="001B48C0"/>
    <w:rsid w:val="001D19F3"/>
    <w:rsid w:val="001D31CA"/>
    <w:rsid w:val="001D6409"/>
    <w:rsid w:val="001E2F98"/>
    <w:rsid w:val="001E44B5"/>
    <w:rsid w:val="001F2958"/>
    <w:rsid w:val="001F553A"/>
    <w:rsid w:val="002079CF"/>
    <w:rsid w:val="00207EB1"/>
    <w:rsid w:val="00213DC5"/>
    <w:rsid w:val="00214937"/>
    <w:rsid w:val="0021507D"/>
    <w:rsid w:val="00223F0A"/>
    <w:rsid w:val="00231EA4"/>
    <w:rsid w:val="00235CD8"/>
    <w:rsid w:val="00251CA0"/>
    <w:rsid w:val="00256168"/>
    <w:rsid w:val="00260A28"/>
    <w:rsid w:val="0026352C"/>
    <w:rsid w:val="002643CA"/>
    <w:rsid w:val="00267D95"/>
    <w:rsid w:val="002747A4"/>
    <w:rsid w:val="0028160A"/>
    <w:rsid w:val="0028664A"/>
    <w:rsid w:val="002A44EE"/>
    <w:rsid w:val="002A5E7C"/>
    <w:rsid w:val="002B17E5"/>
    <w:rsid w:val="002B6900"/>
    <w:rsid w:val="002C64C6"/>
    <w:rsid w:val="002C71D2"/>
    <w:rsid w:val="002D1F0C"/>
    <w:rsid w:val="002F0EBC"/>
    <w:rsid w:val="00301237"/>
    <w:rsid w:val="003016D8"/>
    <w:rsid w:val="00302AD5"/>
    <w:rsid w:val="00305F4D"/>
    <w:rsid w:val="00307246"/>
    <w:rsid w:val="0031527F"/>
    <w:rsid w:val="00316B79"/>
    <w:rsid w:val="003258B8"/>
    <w:rsid w:val="00332E20"/>
    <w:rsid w:val="00342596"/>
    <w:rsid w:val="00345352"/>
    <w:rsid w:val="00361120"/>
    <w:rsid w:val="00361726"/>
    <w:rsid w:val="00364BF9"/>
    <w:rsid w:val="00367449"/>
    <w:rsid w:val="00367EA8"/>
    <w:rsid w:val="00371C0F"/>
    <w:rsid w:val="003737F0"/>
    <w:rsid w:val="003756C8"/>
    <w:rsid w:val="00392149"/>
    <w:rsid w:val="003977FE"/>
    <w:rsid w:val="003A4117"/>
    <w:rsid w:val="003A5DB9"/>
    <w:rsid w:val="003B1BF2"/>
    <w:rsid w:val="003B417C"/>
    <w:rsid w:val="003C67F5"/>
    <w:rsid w:val="003D1F6F"/>
    <w:rsid w:val="003D3AE8"/>
    <w:rsid w:val="003D4CC6"/>
    <w:rsid w:val="003D6EBE"/>
    <w:rsid w:val="003E239D"/>
    <w:rsid w:val="003E4D8C"/>
    <w:rsid w:val="003F66B1"/>
    <w:rsid w:val="00415C94"/>
    <w:rsid w:val="00417191"/>
    <w:rsid w:val="00422D28"/>
    <w:rsid w:val="00423514"/>
    <w:rsid w:val="00447CA4"/>
    <w:rsid w:val="00461C02"/>
    <w:rsid w:val="00461E07"/>
    <w:rsid w:val="00466706"/>
    <w:rsid w:val="004768C5"/>
    <w:rsid w:val="00487FC3"/>
    <w:rsid w:val="004947E6"/>
    <w:rsid w:val="004A4FBD"/>
    <w:rsid w:val="004A55D7"/>
    <w:rsid w:val="004A6791"/>
    <w:rsid w:val="004A6DA0"/>
    <w:rsid w:val="004B40C1"/>
    <w:rsid w:val="004B513E"/>
    <w:rsid w:val="004C3F47"/>
    <w:rsid w:val="004E5D41"/>
    <w:rsid w:val="004E63B1"/>
    <w:rsid w:val="004F1C12"/>
    <w:rsid w:val="004F79EE"/>
    <w:rsid w:val="00506893"/>
    <w:rsid w:val="00510C9B"/>
    <w:rsid w:val="005302B4"/>
    <w:rsid w:val="005336B5"/>
    <w:rsid w:val="00536688"/>
    <w:rsid w:val="00540294"/>
    <w:rsid w:val="00540697"/>
    <w:rsid w:val="00541A58"/>
    <w:rsid w:val="00547222"/>
    <w:rsid w:val="00547356"/>
    <w:rsid w:val="00552589"/>
    <w:rsid w:val="005544B3"/>
    <w:rsid w:val="00555764"/>
    <w:rsid w:val="005564B5"/>
    <w:rsid w:val="005705A4"/>
    <w:rsid w:val="00571DCB"/>
    <w:rsid w:val="0057445D"/>
    <w:rsid w:val="00577EFA"/>
    <w:rsid w:val="00584FB9"/>
    <w:rsid w:val="00591935"/>
    <w:rsid w:val="005A20A1"/>
    <w:rsid w:val="005A2C2F"/>
    <w:rsid w:val="005A5462"/>
    <w:rsid w:val="005B0DCE"/>
    <w:rsid w:val="005B2A27"/>
    <w:rsid w:val="005C19F9"/>
    <w:rsid w:val="005C3ACF"/>
    <w:rsid w:val="005D03CB"/>
    <w:rsid w:val="005D5A23"/>
    <w:rsid w:val="005E4BE1"/>
    <w:rsid w:val="006169B9"/>
    <w:rsid w:val="006201DF"/>
    <w:rsid w:val="00630041"/>
    <w:rsid w:val="00666EF9"/>
    <w:rsid w:val="00676B20"/>
    <w:rsid w:val="006913FA"/>
    <w:rsid w:val="006917D4"/>
    <w:rsid w:val="006A7BDE"/>
    <w:rsid w:val="006B7314"/>
    <w:rsid w:val="006D21DB"/>
    <w:rsid w:val="006E006A"/>
    <w:rsid w:val="006E0A88"/>
    <w:rsid w:val="006E0F3B"/>
    <w:rsid w:val="006F0E76"/>
    <w:rsid w:val="007037AF"/>
    <w:rsid w:val="007149C4"/>
    <w:rsid w:val="00716AB1"/>
    <w:rsid w:val="00725144"/>
    <w:rsid w:val="00745BCF"/>
    <w:rsid w:val="00754D61"/>
    <w:rsid w:val="00756F37"/>
    <w:rsid w:val="007629AE"/>
    <w:rsid w:val="007634BA"/>
    <w:rsid w:val="00791769"/>
    <w:rsid w:val="007A4D28"/>
    <w:rsid w:val="007A5055"/>
    <w:rsid w:val="007B00A8"/>
    <w:rsid w:val="007B20DB"/>
    <w:rsid w:val="007B5F90"/>
    <w:rsid w:val="007E7F5F"/>
    <w:rsid w:val="00806439"/>
    <w:rsid w:val="008232AE"/>
    <w:rsid w:val="00864AC9"/>
    <w:rsid w:val="00872D10"/>
    <w:rsid w:val="008A4CD4"/>
    <w:rsid w:val="008A729A"/>
    <w:rsid w:val="008B3866"/>
    <w:rsid w:val="008B4B8E"/>
    <w:rsid w:val="008C29C1"/>
    <w:rsid w:val="008C2B08"/>
    <w:rsid w:val="008C469D"/>
    <w:rsid w:val="008C62C5"/>
    <w:rsid w:val="008D0F18"/>
    <w:rsid w:val="008D703A"/>
    <w:rsid w:val="008E41BD"/>
    <w:rsid w:val="008E60B3"/>
    <w:rsid w:val="008E77D5"/>
    <w:rsid w:val="00907C0A"/>
    <w:rsid w:val="00911B9C"/>
    <w:rsid w:val="009174E8"/>
    <w:rsid w:val="00924E0C"/>
    <w:rsid w:val="009355C6"/>
    <w:rsid w:val="0094398A"/>
    <w:rsid w:val="00950276"/>
    <w:rsid w:val="00953B5A"/>
    <w:rsid w:val="00974CF4"/>
    <w:rsid w:val="009756D8"/>
    <w:rsid w:val="00976C07"/>
    <w:rsid w:val="009773FB"/>
    <w:rsid w:val="009905A2"/>
    <w:rsid w:val="00995B62"/>
    <w:rsid w:val="00997274"/>
    <w:rsid w:val="00997AF4"/>
    <w:rsid w:val="009A4F9E"/>
    <w:rsid w:val="009A72E0"/>
    <w:rsid w:val="009B44AC"/>
    <w:rsid w:val="009E597A"/>
    <w:rsid w:val="009F71D3"/>
    <w:rsid w:val="009F7B0E"/>
    <w:rsid w:val="00A11D4F"/>
    <w:rsid w:val="00A170FC"/>
    <w:rsid w:val="00A21336"/>
    <w:rsid w:val="00A448DC"/>
    <w:rsid w:val="00A452AD"/>
    <w:rsid w:val="00A4550E"/>
    <w:rsid w:val="00A4616A"/>
    <w:rsid w:val="00A52ABD"/>
    <w:rsid w:val="00A6447F"/>
    <w:rsid w:val="00A737CF"/>
    <w:rsid w:val="00A84DAE"/>
    <w:rsid w:val="00A94484"/>
    <w:rsid w:val="00A96642"/>
    <w:rsid w:val="00AB1437"/>
    <w:rsid w:val="00AB3572"/>
    <w:rsid w:val="00AD513E"/>
    <w:rsid w:val="00AF471B"/>
    <w:rsid w:val="00B16D1C"/>
    <w:rsid w:val="00B174B1"/>
    <w:rsid w:val="00B21231"/>
    <w:rsid w:val="00B23540"/>
    <w:rsid w:val="00B25E31"/>
    <w:rsid w:val="00B31665"/>
    <w:rsid w:val="00B37C4B"/>
    <w:rsid w:val="00B404C7"/>
    <w:rsid w:val="00B45093"/>
    <w:rsid w:val="00B53A85"/>
    <w:rsid w:val="00B5502A"/>
    <w:rsid w:val="00B569B1"/>
    <w:rsid w:val="00B601D8"/>
    <w:rsid w:val="00B62F59"/>
    <w:rsid w:val="00B7400F"/>
    <w:rsid w:val="00B81985"/>
    <w:rsid w:val="00BA15BD"/>
    <w:rsid w:val="00BB485E"/>
    <w:rsid w:val="00BC21F3"/>
    <w:rsid w:val="00BD1990"/>
    <w:rsid w:val="00BE232C"/>
    <w:rsid w:val="00BE33CB"/>
    <w:rsid w:val="00BE4F13"/>
    <w:rsid w:val="00BF1D83"/>
    <w:rsid w:val="00C016D9"/>
    <w:rsid w:val="00C04115"/>
    <w:rsid w:val="00C128A0"/>
    <w:rsid w:val="00C1295B"/>
    <w:rsid w:val="00C22516"/>
    <w:rsid w:val="00C24720"/>
    <w:rsid w:val="00C3367F"/>
    <w:rsid w:val="00C34A36"/>
    <w:rsid w:val="00C4658B"/>
    <w:rsid w:val="00C4780C"/>
    <w:rsid w:val="00C56D8C"/>
    <w:rsid w:val="00C645CB"/>
    <w:rsid w:val="00C73CC0"/>
    <w:rsid w:val="00C81304"/>
    <w:rsid w:val="00C82184"/>
    <w:rsid w:val="00C8612D"/>
    <w:rsid w:val="00C929BB"/>
    <w:rsid w:val="00C948C0"/>
    <w:rsid w:val="00CA3A5C"/>
    <w:rsid w:val="00CA666C"/>
    <w:rsid w:val="00CC1377"/>
    <w:rsid w:val="00CC694A"/>
    <w:rsid w:val="00CD286D"/>
    <w:rsid w:val="00CD560D"/>
    <w:rsid w:val="00CE2C9F"/>
    <w:rsid w:val="00CF748C"/>
    <w:rsid w:val="00D149A3"/>
    <w:rsid w:val="00D16DAB"/>
    <w:rsid w:val="00D21D39"/>
    <w:rsid w:val="00D27CA8"/>
    <w:rsid w:val="00D3210B"/>
    <w:rsid w:val="00D43898"/>
    <w:rsid w:val="00D43D69"/>
    <w:rsid w:val="00D455B1"/>
    <w:rsid w:val="00D52148"/>
    <w:rsid w:val="00D53C1F"/>
    <w:rsid w:val="00D67717"/>
    <w:rsid w:val="00D736C2"/>
    <w:rsid w:val="00D774AE"/>
    <w:rsid w:val="00D82D1D"/>
    <w:rsid w:val="00D83FD0"/>
    <w:rsid w:val="00D9195E"/>
    <w:rsid w:val="00DA201B"/>
    <w:rsid w:val="00DA75E2"/>
    <w:rsid w:val="00DB00BB"/>
    <w:rsid w:val="00DB4757"/>
    <w:rsid w:val="00DC6E6C"/>
    <w:rsid w:val="00DE1CAB"/>
    <w:rsid w:val="00DF725E"/>
    <w:rsid w:val="00E14811"/>
    <w:rsid w:val="00E1528F"/>
    <w:rsid w:val="00E2269B"/>
    <w:rsid w:val="00E27C29"/>
    <w:rsid w:val="00E34358"/>
    <w:rsid w:val="00E433D5"/>
    <w:rsid w:val="00E44DA2"/>
    <w:rsid w:val="00E562C1"/>
    <w:rsid w:val="00E73B38"/>
    <w:rsid w:val="00E8336C"/>
    <w:rsid w:val="00E914BE"/>
    <w:rsid w:val="00E96826"/>
    <w:rsid w:val="00EC1D45"/>
    <w:rsid w:val="00ED470A"/>
    <w:rsid w:val="00ED6FBF"/>
    <w:rsid w:val="00EE65D9"/>
    <w:rsid w:val="00EE7075"/>
    <w:rsid w:val="00F01EB3"/>
    <w:rsid w:val="00F074E4"/>
    <w:rsid w:val="00F14BE6"/>
    <w:rsid w:val="00F24EAE"/>
    <w:rsid w:val="00F34034"/>
    <w:rsid w:val="00F340FE"/>
    <w:rsid w:val="00F44B6D"/>
    <w:rsid w:val="00F45328"/>
    <w:rsid w:val="00F517E1"/>
    <w:rsid w:val="00F55EBF"/>
    <w:rsid w:val="00F64D1A"/>
    <w:rsid w:val="00F654D3"/>
    <w:rsid w:val="00F8165A"/>
    <w:rsid w:val="00F8522E"/>
    <w:rsid w:val="00F95EE7"/>
    <w:rsid w:val="00FB0FFF"/>
    <w:rsid w:val="00FC0456"/>
    <w:rsid w:val="00FC1CB6"/>
    <w:rsid w:val="00FC31B2"/>
    <w:rsid w:val="00FC3B2A"/>
    <w:rsid w:val="00FD4497"/>
    <w:rsid w:val="00FD5422"/>
    <w:rsid w:val="00FE2E6C"/>
    <w:rsid w:val="00FE4C01"/>
    <w:rsid w:val="00FE636A"/>
    <w:rsid w:val="00FF1E72"/>
    <w:rsid w:val="00FF2D00"/>
    <w:rsid w:val="00FF6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8674"/>
    <o:shapelayout v:ext="edit">
      <o:idmap v:ext="edit" data="1"/>
      <o:rules v:ext="edit">
        <o:r id="V:Rule53" type="connector" idref="#_x0000_s1417"/>
        <o:r id="V:Rule54" type="connector" idref="#_x0000_s1381"/>
        <o:r id="V:Rule55" type="connector" idref="#_x0000_s1401"/>
        <o:r id="V:Rule56" type="connector" idref="#_x0000_s1226"/>
        <o:r id="V:Rule57" type="connector" idref="#_x0000_s1218"/>
        <o:r id="V:Rule58" type="connector" idref="#_x0000_s1386"/>
        <o:r id="V:Rule59" type="connector" idref="#_x0000_s1238"/>
        <o:r id="V:Rule60" type="connector" idref="#_x0000_s1244"/>
        <o:r id="V:Rule61" type="connector" idref="#_x0000_s1236"/>
        <o:r id="V:Rule62" type="connector" idref="#_x0000_s1398"/>
        <o:r id="V:Rule63" type="connector" idref="#_x0000_s1220"/>
        <o:r id="V:Rule64" type="connector" idref="#_x0000_s1245"/>
        <o:r id="V:Rule65" type="connector" idref="#_x0000_s1247"/>
        <o:r id="V:Rule66" type="connector" idref="#_x0000_s1242"/>
        <o:r id="V:Rule67" type="connector" idref="#_x0000_s1409"/>
        <o:r id="V:Rule68" type="connector" idref="#_x0000_s1432"/>
        <o:r id="V:Rule69" type="connector" idref="#_x0000_s1402"/>
        <o:r id="V:Rule70" type="connector" idref="#_x0000_s1429"/>
        <o:r id="V:Rule71" type="connector" idref="#_x0000_s1422"/>
        <o:r id="V:Rule72" type="connector" idref="#_x0000_s1435"/>
        <o:r id="V:Rule73" type="connector" idref="#_x0000_s1400"/>
        <o:r id="V:Rule74" type="connector" idref="#_x0000_s1407"/>
        <o:r id="V:Rule75" type="connector" idref="#_x0000_s1210"/>
        <o:r id="V:Rule76" type="connector" idref="#_x0000_s1424"/>
        <o:r id="V:Rule77" type="connector" idref="#_x0000_s1403"/>
        <o:r id="V:Rule78" type="connector" idref="#_x0000_s1412"/>
        <o:r id="V:Rule79" type="connector" idref="#_x0000_s1230"/>
        <o:r id="V:Rule80" type="connector" idref="#_x0000_s1219"/>
        <o:r id="V:Rule81" type="connector" idref="#_x0000_s1408"/>
        <o:r id="V:Rule82" type="connector" idref="#_x0000_s1212"/>
        <o:r id="V:Rule83" type="connector" idref="#_x0000_s1404"/>
        <o:r id="V:Rule84" type="connector" idref="#_x0000_s1225"/>
        <o:r id="V:Rule85" type="connector" idref="#_x0000_s1250"/>
        <o:r id="V:Rule86" type="connector" idref="#_x0000_s1229"/>
        <o:r id="V:Rule87" type="connector" idref="#_x0000_s1243"/>
        <o:r id="V:Rule88" type="connector" idref="#_x0000_s1258"/>
        <o:r id="V:Rule89" type="connector" idref="#_x0000_s1211"/>
        <o:r id="V:Rule90" type="connector" idref="#_x0000_s1413"/>
        <o:r id="V:Rule91" type="connector" idref="#_x0000_s1221"/>
        <o:r id="V:Rule92" type="connector" idref="#_x0000_s1425"/>
        <o:r id="V:Rule93" type="connector" idref="#_x0000_s1257"/>
        <o:r id="V:Rule94" type="connector" idref="#_x0000_s1237"/>
        <o:r id="V:Rule95" type="connector" idref="#_x0000_s1421"/>
        <o:r id="V:Rule96" type="connector" idref="#_x0000_s1251"/>
        <o:r id="V:Rule97" type="connector" idref="#_x0000_s1224"/>
        <o:r id="V:Rule98" type="connector" idref="#_x0000_s1433"/>
        <o:r id="V:Rule99" type="connector" idref="#_x0000_s1399"/>
        <o:r id="V:Rule100" type="connector" idref="#_x0000_s1416"/>
        <o:r id="V:Rule101" type="connector" idref="#_x0000_s1387"/>
        <o:r id="V:Rule102" type="connector" idref="#_x0000_s1255"/>
        <o:r id="V:Rule103" type="connector" idref="#_x0000_s1263"/>
        <o:r id="V:Rule104" type="connector" idref="#_x0000_s13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uiPriority w:val="99"/>
    <w:unhideWhenUsed/>
    <w:rsid w:val="000876CC"/>
    <w:pPr>
      <w:ind w:leftChars="200" w:left="200" w:hangingChars="200" w:hanging="200"/>
    </w:pPr>
    <w:rPr>
      <w:rFonts w:ascii="Calibri" w:eastAsia="宋体" w:hAnsi="Calibri" w:cs="Times New Roman"/>
    </w:rPr>
  </w:style>
  <w:style w:type="paragraph" w:styleId="a4">
    <w:name w:val="header"/>
    <w:basedOn w:val="a"/>
    <w:link w:val="Char"/>
    <w:uiPriority w:val="99"/>
    <w:semiHidden/>
    <w:unhideWhenUsed/>
    <w:rsid w:val="00301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01237"/>
    <w:rPr>
      <w:sz w:val="18"/>
      <w:szCs w:val="18"/>
    </w:rPr>
  </w:style>
  <w:style w:type="paragraph" w:styleId="a5">
    <w:name w:val="footer"/>
    <w:basedOn w:val="a"/>
    <w:link w:val="Char0"/>
    <w:uiPriority w:val="99"/>
    <w:semiHidden/>
    <w:unhideWhenUsed/>
    <w:rsid w:val="0030123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01237"/>
    <w:rPr>
      <w:sz w:val="18"/>
      <w:szCs w:val="18"/>
    </w:rPr>
  </w:style>
  <w:style w:type="table" w:styleId="a6">
    <w:name w:val="Table Grid"/>
    <w:basedOn w:val="a1"/>
    <w:uiPriority w:val="59"/>
    <w:rsid w:val="006D21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8664A"/>
    <w:rPr>
      <w:sz w:val="18"/>
      <w:szCs w:val="18"/>
    </w:rPr>
  </w:style>
  <w:style w:type="character" w:customStyle="1" w:styleId="Char1">
    <w:name w:val="批注框文本 Char"/>
    <w:basedOn w:val="a0"/>
    <w:link w:val="a7"/>
    <w:uiPriority w:val="99"/>
    <w:semiHidden/>
    <w:rsid w:val="0028664A"/>
    <w:rPr>
      <w:sz w:val="18"/>
      <w:szCs w:val="18"/>
    </w:rPr>
  </w:style>
  <w:style w:type="character" w:styleId="a8">
    <w:name w:val="Hyperlink"/>
    <w:basedOn w:val="a0"/>
    <w:uiPriority w:val="99"/>
    <w:unhideWhenUsed/>
    <w:rsid w:val="0008300C"/>
    <w:rPr>
      <w:color w:val="0000FF" w:themeColor="hyperlink"/>
      <w:u w:val="single"/>
    </w:rPr>
  </w:style>
  <w:style w:type="character" w:customStyle="1" w:styleId="style9">
    <w:name w:val="style9"/>
    <w:basedOn w:val="a0"/>
    <w:rsid w:val="0008300C"/>
  </w:style>
  <w:style w:type="paragraph" w:styleId="a9">
    <w:name w:val="No Spacing"/>
    <w:uiPriority w:val="1"/>
    <w:qFormat/>
    <w:rsid w:val="00540697"/>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59982539">
      <w:bodyDiv w:val="1"/>
      <w:marLeft w:val="0"/>
      <w:marRight w:val="0"/>
      <w:marTop w:val="0"/>
      <w:marBottom w:val="0"/>
      <w:divBdr>
        <w:top w:val="none" w:sz="0" w:space="0" w:color="auto"/>
        <w:left w:val="none" w:sz="0" w:space="0" w:color="auto"/>
        <w:bottom w:val="none" w:sz="0" w:space="0" w:color="auto"/>
        <w:right w:val="none" w:sz="0" w:space="0" w:color="auto"/>
      </w:divBdr>
      <w:divsChild>
        <w:div w:id="2125810770">
          <w:marLeft w:val="432"/>
          <w:marRight w:val="0"/>
          <w:marTop w:val="116"/>
          <w:marBottom w:val="0"/>
          <w:divBdr>
            <w:top w:val="none" w:sz="0" w:space="0" w:color="auto"/>
            <w:left w:val="none" w:sz="0" w:space="0" w:color="auto"/>
            <w:bottom w:val="none" w:sz="0" w:space="0" w:color="auto"/>
            <w:right w:val="none" w:sz="0" w:space="0" w:color="auto"/>
          </w:divBdr>
        </w:div>
        <w:div w:id="383990886">
          <w:marLeft w:val="432"/>
          <w:marRight w:val="0"/>
          <w:marTop w:val="116"/>
          <w:marBottom w:val="0"/>
          <w:divBdr>
            <w:top w:val="none" w:sz="0" w:space="0" w:color="auto"/>
            <w:left w:val="none" w:sz="0" w:space="0" w:color="auto"/>
            <w:bottom w:val="none" w:sz="0" w:space="0" w:color="auto"/>
            <w:right w:val="none" w:sz="0" w:space="0" w:color="auto"/>
          </w:divBdr>
        </w:div>
        <w:div w:id="617762488">
          <w:marLeft w:val="432"/>
          <w:marRight w:val="0"/>
          <w:marTop w:val="116"/>
          <w:marBottom w:val="0"/>
          <w:divBdr>
            <w:top w:val="none" w:sz="0" w:space="0" w:color="auto"/>
            <w:left w:val="none" w:sz="0" w:space="0" w:color="auto"/>
            <w:bottom w:val="none" w:sz="0" w:space="0" w:color="auto"/>
            <w:right w:val="none" w:sz="0" w:space="0" w:color="auto"/>
          </w:divBdr>
        </w:div>
      </w:divsChild>
    </w:div>
    <w:div w:id="116219490">
      <w:bodyDiv w:val="1"/>
      <w:marLeft w:val="0"/>
      <w:marRight w:val="0"/>
      <w:marTop w:val="0"/>
      <w:marBottom w:val="0"/>
      <w:divBdr>
        <w:top w:val="none" w:sz="0" w:space="0" w:color="auto"/>
        <w:left w:val="none" w:sz="0" w:space="0" w:color="auto"/>
        <w:bottom w:val="none" w:sz="0" w:space="0" w:color="auto"/>
        <w:right w:val="none" w:sz="0" w:space="0" w:color="auto"/>
      </w:divBdr>
    </w:div>
    <w:div w:id="154302988">
      <w:bodyDiv w:val="1"/>
      <w:marLeft w:val="0"/>
      <w:marRight w:val="0"/>
      <w:marTop w:val="0"/>
      <w:marBottom w:val="0"/>
      <w:divBdr>
        <w:top w:val="none" w:sz="0" w:space="0" w:color="auto"/>
        <w:left w:val="none" w:sz="0" w:space="0" w:color="auto"/>
        <w:bottom w:val="none" w:sz="0" w:space="0" w:color="auto"/>
        <w:right w:val="none" w:sz="0" w:space="0" w:color="auto"/>
      </w:divBdr>
    </w:div>
    <w:div w:id="194924722">
      <w:bodyDiv w:val="1"/>
      <w:marLeft w:val="0"/>
      <w:marRight w:val="0"/>
      <w:marTop w:val="0"/>
      <w:marBottom w:val="0"/>
      <w:divBdr>
        <w:top w:val="none" w:sz="0" w:space="0" w:color="auto"/>
        <w:left w:val="none" w:sz="0" w:space="0" w:color="auto"/>
        <w:bottom w:val="none" w:sz="0" w:space="0" w:color="auto"/>
        <w:right w:val="none" w:sz="0" w:space="0" w:color="auto"/>
      </w:divBdr>
    </w:div>
    <w:div w:id="196088569">
      <w:bodyDiv w:val="1"/>
      <w:marLeft w:val="0"/>
      <w:marRight w:val="0"/>
      <w:marTop w:val="0"/>
      <w:marBottom w:val="0"/>
      <w:divBdr>
        <w:top w:val="none" w:sz="0" w:space="0" w:color="auto"/>
        <w:left w:val="none" w:sz="0" w:space="0" w:color="auto"/>
        <w:bottom w:val="none" w:sz="0" w:space="0" w:color="auto"/>
        <w:right w:val="none" w:sz="0" w:space="0" w:color="auto"/>
      </w:divBdr>
    </w:div>
    <w:div w:id="261036536">
      <w:bodyDiv w:val="1"/>
      <w:marLeft w:val="0"/>
      <w:marRight w:val="0"/>
      <w:marTop w:val="0"/>
      <w:marBottom w:val="0"/>
      <w:divBdr>
        <w:top w:val="none" w:sz="0" w:space="0" w:color="auto"/>
        <w:left w:val="none" w:sz="0" w:space="0" w:color="auto"/>
        <w:bottom w:val="none" w:sz="0" w:space="0" w:color="auto"/>
        <w:right w:val="none" w:sz="0" w:space="0" w:color="auto"/>
      </w:divBdr>
    </w:div>
    <w:div w:id="326858550">
      <w:bodyDiv w:val="1"/>
      <w:marLeft w:val="0"/>
      <w:marRight w:val="0"/>
      <w:marTop w:val="0"/>
      <w:marBottom w:val="0"/>
      <w:divBdr>
        <w:top w:val="none" w:sz="0" w:space="0" w:color="auto"/>
        <w:left w:val="none" w:sz="0" w:space="0" w:color="auto"/>
        <w:bottom w:val="none" w:sz="0" w:space="0" w:color="auto"/>
        <w:right w:val="none" w:sz="0" w:space="0" w:color="auto"/>
      </w:divBdr>
    </w:div>
    <w:div w:id="432669265">
      <w:bodyDiv w:val="1"/>
      <w:marLeft w:val="0"/>
      <w:marRight w:val="0"/>
      <w:marTop w:val="0"/>
      <w:marBottom w:val="0"/>
      <w:divBdr>
        <w:top w:val="none" w:sz="0" w:space="0" w:color="auto"/>
        <w:left w:val="none" w:sz="0" w:space="0" w:color="auto"/>
        <w:bottom w:val="none" w:sz="0" w:space="0" w:color="auto"/>
        <w:right w:val="none" w:sz="0" w:space="0" w:color="auto"/>
      </w:divBdr>
    </w:div>
    <w:div w:id="525096882">
      <w:bodyDiv w:val="1"/>
      <w:marLeft w:val="0"/>
      <w:marRight w:val="0"/>
      <w:marTop w:val="0"/>
      <w:marBottom w:val="0"/>
      <w:divBdr>
        <w:top w:val="none" w:sz="0" w:space="0" w:color="auto"/>
        <w:left w:val="none" w:sz="0" w:space="0" w:color="auto"/>
        <w:bottom w:val="none" w:sz="0" w:space="0" w:color="auto"/>
        <w:right w:val="none" w:sz="0" w:space="0" w:color="auto"/>
      </w:divBdr>
    </w:div>
    <w:div w:id="552548463">
      <w:bodyDiv w:val="1"/>
      <w:marLeft w:val="0"/>
      <w:marRight w:val="0"/>
      <w:marTop w:val="0"/>
      <w:marBottom w:val="0"/>
      <w:divBdr>
        <w:top w:val="none" w:sz="0" w:space="0" w:color="auto"/>
        <w:left w:val="none" w:sz="0" w:space="0" w:color="auto"/>
        <w:bottom w:val="none" w:sz="0" w:space="0" w:color="auto"/>
        <w:right w:val="none" w:sz="0" w:space="0" w:color="auto"/>
      </w:divBdr>
    </w:div>
    <w:div w:id="555355268">
      <w:bodyDiv w:val="1"/>
      <w:marLeft w:val="0"/>
      <w:marRight w:val="0"/>
      <w:marTop w:val="0"/>
      <w:marBottom w:val="0"/>
      <w:divBdr>
        <w:top w:val="none" w:sz="0" w:space="0" w:color="auto"/>
        <w:left w:val="none" w:sz="0" w:space="0" w:color="auto"/>
        <w:bottom w:val="none" w:sz="0" w:space="0" w:color="auto"/>
        <w:right w:val="none" w:sz="0" w:space="0" w:color="auto"/>
      </w:divBdr>
    </w:div>
    <w:div w:id="923877951">
      <w:bodyDiv w:val="1"/>
      <w:marLeft w:val="0"/>
      <w:marRight w:val="0"/>
      <w:marTop w:val="0"/>
      <w:marBottom w:val="0"/>
      <w:divBdr>
        <w:top w:val="none" w:sz="0" w:space="0" w:color="auto"/>
        <w:left w:val="none" w:sz="0" w:space="0" w:color="auto"/>
        <w:bottom w:val="none" w:sz="0" w:space="0" w:color="auto"/>
        <w:right w:val="none" w:sz="0" w:space="0" w:color="auto"/>
      </w:divBdr>
    </w:div>
    <w:div w:id="1695762082">
      <w:bodyDiv w:val="1"/>
      <w:marLeft w:val="0"/>
      <w:marRight w:val="0"/>
      <w:marTop w:val="0"/>
      <w:marBottom w:val="0"/>
      <w:divBdr>
        <w:top w:val="none" w:sz="0" w:space="0" w:color="auto"/>
        <w:left w:val="none" w:sz="0" w:space="0" w:color="auto"/>
        <w:bottom w:val="none" w:sz="0" w:space="0" w:color="auto"/>
        <w:right w:val="none" w:sz="0" w:space="0" w:color="auto"/>
      </w:divBdr>
    </w:div>
    <w:div w:id="1709136234">
      <w:bodyDiv w:val="1"/>
      <w:marLeft w:val="0"/>
      <w:marRight w:val="0"/>
      <w:marTop w:val="0"/>
      <w:marBottom w:val="0"/>
      <w:divBdr>
        <w:top w:val="none" w:sz="0" w:space="0" w:color="auto"/>
        <w:left w:val="none" w:sz="0" w:space="0" w:color="auto"/>
        <w:bottom w:val="none" w:sz="0" w:space="0" w:color="auto"/>
        <w:right w:val="none" w:sz="0" w:space="0" w:color="auto"/>
      </w:divBdr>
    </w:div>
    <w:div w:id="1759517910">
      <w:bodyDiv w:val="1"/>
      <w:marLeft w:val="0"/>
      <w:marRight w:val="0"/>
      <w:marTop w:val="0"/>
      <w:marBottom w:val="0"/>
      <w:divBdr>
        <w:top w:val="none" w:sz="0" w:space="0" w:color="auto"/>
        <w:left w:val="none" w:sz="0" w:space="0" w:color="auto"/>
        <w:bottom w:val="none" w:sz="0" w:space="0" w:color="auto"/>
        <w:right w:val="none" w:sz="0" w:space="0" w:color="auto"/>
      </w:divBdr>
      <w:divsChild>
        <w:div w:id="991182020">
          <w:marLeft w:val="432"/>
          <w:marRight w:val="0"/>
          <w:marTop w:val="116"/>
          <w:marBottom w:val="0"/>
          <w:divBdr>
            <w:top w:val="none" w:sz="0" w:space="0" w:color="auto"/>
            <w:left w:val="none" w:sz="0" w:space="0" w:color="auto"/>
            <w:bottom w:val="none" w:sz="0" w:space="0" w:color="auto"/>
            <w:right w:val="none" w:sz="0" w:space="0" w:color="auto"/>
          </w:divBdr>
        </w:div>
        <w:div w:id="896672447">
          <w:marLeft w:val="432"/>
          <w:marRight w:val="0"/>
          <w:marTop w:val="116"/>
          <w:marBottom w:val="0"/>
          <w:divBdr>
            <w:top w:val="none" w:sz="0" w:space="0" w:color="auto"/>
            <w:left w:val="none" w:sz="0" w:space="0" w:color="auto"/>
            <w:bottom w:val="none" w:sz="0" w:space="0" w:color="auto"/>
            <w:right w:val="none" w:sz="0" w:space="0" w:color="auto"/>
          </w:divBdr>
        </w:div>
        <w:div w:id="329060969">
          <w:marLeft w:val="432"/>
          <w:marRight w:val="0"/>
          <w:marTop w:val="116"/>
          <w:marBottom w:val="0"/>
          <w:divBdr>
            <w:top w:val="none" w:sz="0" w:space="0" w:color="auto"/>
            <w:left w:val="none" w:sz="0" w:space="0" w:color="auto"/>
            <w:bottom w:val="none" w:sz="0" w:space="0" w:color="auto"/>
            <w:right w:val="none" w:sz="0" w:space="0" w:color="auto"/>
          </w:divBdr>
        </w:div>
        <w:div w:id="1471903972">
          <w:marLeft w:val="432"/>
          <w:marRight w:val="0"/>
          <w:marTop w:val="116"/>
          <w:marBottom w:val="0"/>
          <w:divBdr>
            <w:top w:val="none" w:sz="0" w:space="0" w:color="auto"/>
            <w:left w:val="none" w:sz="0" w:space="0" w:color="auto"/>
            <w:bottom w:val="none" w:sz="0" w:space="0" w:color="auto"/>
            <w:right w:val="none" w:sz="0" w:space="0" w:color="auto"/>
          </w:divBdr>
        </w:div>
        <w:div w:id="1629237382">
          <w:marLeft w:val="432"/>
          <w:marRight w:val="0"/>
          <w:marTop w:val="116"/>
          <w:marBottom w:val="0"/>
          <w:divBdr>
            <w:top w:val="none" w:sz="0" w:space="0" w:color="auto"/>
            <w:left w:val="none" w:sz="0" w:space="0" w:color="auto"/>
            <w:bottom w:val="none" w:sz="0" w:space="0" w:color="auto"/>
            <w:right w:val="none" w:sz="0" w:space="0" w:color="auto"/>
          </w:divBdr>
        </w:div>
        <w:div w:id="768233550">
          <w:marLeft w:val="432"/>
          <w:marRight w:val="0"/>
          <w:marTop w:val="116"/>
          <w:marBottom w:val="0"/>
          <w:divBdr>
            <w:top w:val="none" w:sz="0" w:space="0" w:color="auto"/>
            <w:left w:val="none" w:sz="0" w:space="0" w:color="auto"/>
            <w:bottom w:val="none" w:sz="0" w:space="0" w:color="auto"/>
            <w:right w:val="none" w:sz="0" w:space="0" w:color="auto"/>
          </w:divBdr>
        </w:div>
      </w:divsChild>
    </w:div>
    <w:div w:id="1851139324">
      <w:bodyDiv w:val="1"/>
      <w:marLeft w:val="0"/>
      <w:marRight w:val="0"/>
      <w:marTop w:val="0"/>
      <w:marBottom w:val="0"/>
      <w:divBdr>
        <w:top w:val="none" w:sz="0" w:space="0" w:color="auto"/>
        <w:left w:val="none" w:sz="0" w:space="0" w:color="auto"/>
        <w:bottom w:val="none" w:sz="0" w:space="0" w:color="auto"/>
        <w:right w:val="none" w:sz="0" w:space="0" w:color="auto"/>
      </w:divBdr>
      <w:divsChild>
        <w:div w:id="20790765">
          <w:marLeft w:val="432"/>
          <w:marRight w:val="0"/>
          <w:marTop w:val="116"/>
          <w:marBottom w:val="0"/>
          <w:divBdr>
            <w:top w:val="none" w:sz="0" w:space="0" w:color="auto"/>
            <w:left w:val="none" w:sz="0" w:space="0" w:color="auto"/>
            <w:bottom w:val="none" w:sz="0" w:space="0" w:color="auto"/>
            <w:right w:val="none" w:sz="0" w:space="0" w:color="auto"/>
          </w:divBdr>
        </w:div>
        <w:div w:id="1342243841">
          <w:marLeft w:val="432"/>
          <w:marRight w:val="0"/>
          <w:marTop w:val="116"/>
          <w:marBottom w:val="0"/>
          <w:divBdr>
            <w:top w:val="none" w:sz="0" w:space="0" w:color="auto"/>
            <w:left w:val="none" w:sz="0" w:space="0" w:color="auto"/>
            <w:bottom w:val="none" w:sz="0" w:space="0" w:color="auto"/>
            <w:right w:val="none" w:sz="0" w:space="0" w:color="auto"/>
          </w:divBdr>
        </w:div>
        <w:div w:id="674111106">
          <w:marLeft w:val="432"/>
          <w:marRight w:val="0"/>
          <w:marTop w:val="116"/>
          <w:marBottom w:val="0"/>
          <w:divBdr>
            <w:top w:val="none" w:sz="0" w:space="0" w:color="auto"/>
            <w:left w:val="none" w:sz="0" w:space="0" w:color="auto"/>
            <w:bottom w:val="none" w:sz="0" w:space="0" w:color="auto"/>
            <w:right w:val="none" w:sz="0" w:space="0" w:color="auto"/>
          </w:divBdr>
        </w:div>
      </w:divsChild>
    </w:div>
    <w:div w:id="2043703258">
      <w:bodyDiv w:val="1"/>
      <w:marLeft w:val="0"/>
      <w:marRight w:val="0"/>
      <w:marTop w:val="0"/>
      <w:marBottom w:val="0"/>
      <w:divBdr>
        <w:top w:val="none" w:sz="0" w:space="0" w:color="auto"/>
        <w:left w:val="none" w:sz="0" w:space="0" w:color="auto"/>
        <w:bottom w:val="none" w:sz="0" w:space="0" w:color="auto"/>
        <w:right w:val="none" w:sz="0" w:space="0" w:color="auto"/>
      </w:divBdr>
    </w:div>
    <w:div w:id="2147356217">
      <w:bodyDiv w:val="1"/>
      <w:marLeft w:val="0"/>
      <w:marRight w:val="0"/>
      <w:marTop w:val="0"/>
      <w:marBottom w:val="0"/>
      <w:divBdr>
        <w:top w:val="none" w:sz="0" w:space="0" w:color="auto"/>
        <w:left w:val="none" w:sz="0" w:space="0" w:color="auto"/>
        <w:bottom w:val="none" w:sz="0" w:space="0" w:color="auto"/>
        <w:right w:val="none" w:sz="0" w:space="0" w:color="auto"/>
      </w:divBdr>
      <w:divsChild>
        <w:div w:id="1362508727">
          <w:marLeft w:val="0"/>
          <w:marRight w:val="0"/>
          <w:marTop w:val="0"/>
          <w:marBottom w:val="0"/>
          <w:divBdr>
            <w:top w:val="none" w:sz="0" w:space="0" w:color="auto"/>
            <w:left w:val="none" w:sz="0" w:space="0" w:color="auto"/>
            <w:bottom w:val="none" w:sz="0" w:space="0" w:color="auto"/>
            <w:right w:val="none" w:sz="0" w:space="0" w:color="auto"/>
          </w:divBdr>
          <w:divsChild>
            <w:div w:id="427386012">
              <w:marLeft w:val="0"/>
              <w:marRight w:val="0"/>
              <w:marTop w:val="0"/>
              <w:marBottom w:val="0"/>
              <w:divBdr>
                <w:top w:val="none" w:sz="0" w:space="0" w:color="auto"/>
                <w:left w:val="none" w:sz="0" w:space="0" w:color="auto"/>
                <w:bottom w:val="none" w:sz="0" w:space="0" w:color="auto"/>
                <w:right w:val="none" w:sz="0" w:space="0" w:color="auto"/>
              </w:divBdr>
              <w:divsChild>
                <w:div w:id="1502430353">
                  <w:marLeft w:val="0"/>
                  <w:marRight w:val="0"/>
                  <w:marTop w:val="0"/>
                  <w:marBottom w:val="0"/>
                  <w:divBdr>
                    <w:top w:val="none" w:sz="0" w:space="0" w:color="auto"/>
                    <w:left w:val="none" w:sz="0" w:space="0" w:color="auto"/>
                    <w:bottom w:val="none" w:sz="0" w:space="0" w:color="auto"/>
                    <w:right w:val="none" w:sz="0" w:space="0" w:color="auto"/>
                  </w:divBdr>
                  <w:divsChild>
                    <w:div w:id="1584872938">
                      <w:marLeft w:val="0"/>
                      <w:marRight w:val="0"/>
                      <w:marTop w:val="0"/>
                      <w:marBottom w:val="0"/>
                      <w:divBdr>
                        <w:top w:val="single" w:sz="4" w:space="0" w:color="D9E2E9"/>
                        <w:left w:val="single" w:sz="4" w:space="4" w:color="D9E2E9"/>
                        <w:bottom w:val="single" w:sz="4" w:space="10" w:color="D9E2E9"/>
                        <w:right w:val="single" w:sz="4" w:space="4" w:color="D9E2E9"/>
                      </w:divBdr>
                      <w:divsChild>
                        <w:div w:id="305087071">
                          <w:marLeft w:val="0"/>
                          <w:marRight w:val="0"/>
                          <w:marTop w:val="0"/>
                          <w:marBottom w:val="0"/>
                          <w:divBdr>
                            <w:top w:val="none" w:sz="0" w:space="0" w:color="auto"/>
                            <w:left w:val="none" w:sz="0" w:space="0" w:color="auto"/>
                            <w:bottom w:val="none" w:sz="0" w:space="0" w:color="auto"/>
                            <w:right w:val="none" w:sz="0" w:space="0" w:color="auto"/>
                          </w:divBdr>
                          <w:divsChild>
                            <w:div w:id="1624654850">
                              <w:marLeft w:val="0"/>
                              <w:marRight w:val="0"/>
                              <w:marTop w:val="0"/>
                              <w:marBottom w:val="0"/>
                              <w:divBdr>
                                <w:top w:val="none" w:sz="0" w:space="0" w:color="auto"/>
                                <w:left w:val="none" w:sz="0" w:space="0" w:color="auto"/>
                                <w:bottom w:val="none" w:sz="0" w:space="0" w:color="auto"/>
                                <w:right w:val="none" w:sz="0" w:space="0" w:color="auto"/>
                              </w:divBdr>
                              <w:divsChild>
                                <w:div w:id="15971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ks.harvard.edu/m-rcbg/rpp/Working%20papers/RPP_2008_03_SueWing.pdf"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NY\Desktop\&#34920;&#22270;%20&#335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ONY\Desktop\&#34920;&#22270;%20&#3352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ONY\Desktop\&#34920;&#22270;%20&#3352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SONY\Desktop\&#34920;&#22270;%20&#335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5796360165723164"/>
          <c:y val="0.10232648002333063"/>
          <c:w val="0.72184356087720436"/>
          <c:h val="0.74729913969087547"/>
        </c:manualLayout>
      </c:layout>
      <c:lineChart>
        <c:grouping val="standard"/>
        <c:ser>
          <c:idx val="0"/>
          <c:order val="0"/>
          <c:tx>
            <c:strRef>
              <c:f>Sheet1!$O$2</c:f>
              <c:strCache>
                <c:ptCount val="1"/>
                <c:pt idx="0">
                  <c:v>baseline (S0)</c:v>
                </c:pt>
              </c:strCache>
            </c:strRef>
          </c:tx>
          <c:marker>
            <c:symbol val="none"/>
          </c:marker>
          <c:cat>
            <c:numRef>
              <c:f>Sheet1!$P$1:$U$1</c:f>
              <c:numCache>
                <c:formatCode>General</c:formatCode>
                <c:ptCount val="6"/>
                <c:pt idx="0">
                  <c:v>2010</c:v>
                </c:pt>
                <c:pt idx="1">
                  <c:v>2011</c:v>
                </c:pt>
                <c:pt idx="2">
                  <c:v>2012</c:v>
                </c:pt>
                <c:pt idx="3">
                  <c:v>2013</c:v>
                </c:pt>
                <c:pt idx="4">
                  <c:v>2014</c:v>
                </c:pt>
                <c:pt idx="5">
                  <c:v>2015</c:v>
                </c:pt>
              </c:numCache>
            </c:numRef>
          </c:cat>
          <c:val>
            <c:numRef>
              <c:f>Sheet1!$P$2:$U$2</c:f>
              <c:numCache>
                <c:formatCode>0.00_ </c:formatCode>
                <c:ptCount val="6"/>
                <c:pt idx="0">
                  <c:v>38.950949699999995</c:v>
                </c:pt>
                <c:pt idx="1">
                  <c:v>41.849879199999997</c:v>
                </c:pt>
                <c:pt idx="2">
                  <c:v>44.971426799999996</c:v>
                </c:pt>
                <c:pt idx="3">
                  <c:v>48.3391637</c:v>
                </c:pt>
                <c:pt idx="4">
                  <c:v>51.981108800000001</c:v>
                </c:pt>
                <c:pt idx="5">
                  <c:v>55.930749500000005</c:v>
                </c:pt>
              </c:numCache>
            </c:numRef>
          </c:val>
        </c:ser>
        <c:ser>
          <c:idx val="1"/>
          <c:order val="1"/>
          <c:tx>
            <c:strRef>
              <c:f>Sheet1!$O$3</c:f>
              <c:strCache>
                <c:ptCount val="1"/>
                <c:pt idx="0">
                  <c:v>controlling target</c:v>
                </c:pt>
              </c:strCache>
            </c:strRef>
          </c:tx>
          <c:marker>
            <c:symbol val="none"/>
          </c:marker>
          <c:cat>
            <c:numRef>
              <c:f>Sheet1!$P$1:$U$1</c:f>
              <c:numCache>
                <c:formatCode>General</c:formatCode>
                <c:ptCount val="6"/>
                <c:pt idx="0">
                  <c:v>2010</c:v>
                </c:pt>
                <c:pt idx="1">
                  <c:v>2011</c:v>
                </c:pt>
                <c:pt idx="2">
                  <c:v>2012</c:v>
                </c:pt>
                <c:pt idx="3">
                  <c:v>2013</c:v>
                </c:pt>
                <c:pt idx="4">
                  <c:v>2014</c:v>
                </c:pt>
                <c:pt idx="5">
                  <c:v>2015</c:v>
                </c:pt>
              </c:numCache>
            </c:numRef>
          </c:cat>
          <c:val>
            <c:numRef>
              <c:f>Sheet1!$P$3:$U$3</c:f>
              <c:numCache>
                <c:formatCode>0.00_ </c:formatCode>
                <c:ptCount val="6"/>
                <c:pt idx="0">
                  <c:v>38.950949699999995</c:v>
                </c:pt>
                <c:pt idx="1">
                  <c:v>40.808990400000006</c:v>
                </c:pt>
                <c:pt idx="2">
                  <c:v>42.927283700000004</c:v>
                </c:pt>
                <c:pt idx="3">
                  <c:v>44.803208000000005</c:v>
                </c:pt>
                <c:pt idx="4">
                  <c:v>46.9488013</c:v>
                </c:pt>
                <c:pt idx="5">
                  <c:v>49.200068000000002</c:v>
                </c:pt>
              </c:numCache>
            </c:numRef>
          </c:val>
        </c:ser>
        <c:marker val="1"/>
        <c:axId val="126376192"/>
        <c:axId val="126558208"/>
      </c:lineChart>
      <c:catAx>
        <c:axId val="126376192"/>
        <c:scaling>
          <c:orientation val="minMax"/>
        </c:scaling>
        <c:axPos val="b"/>
        <c:numFmt formatCode="General" sourceLinked="1"/>
        <c:tickLblPos val="nextTo"/>
        <c:crossAx val="126558208"/>
        <c:crosses val="autoZero"/>
        <c:auto val="1"/>
        <c:lblAlgn val="ctr"/>
        <c:lblOffset val="100"/>
      </c:catAx>
      <c:valAx>
        <c:axId val="126558208"/>
        <c:scaling>
          <c:orientation val="minMax"/>
        </c:scaling>
        <c:axPos val="l"/>
        <c:numFmt formatCode="0.00_ " sourceLinked="1"/>
        <c:tickLblPos val="nextTo"/>
        <c:crossAx val="126376192"/>
        <c:crosses val="autoZero"/>
        <c:crossBetween val="between"/>
      </c:valAx>
    </c:plotArea>
    <c:legend>
      <c:legendPos val="r"/>
      <c:layout>
        <c:manualLayout>
          <c:xMode val="edge"/>
          <c:yMode val="edge"/>
          <c:x val="0.59055096418732478"/>
          <c:y val="0.56443095654709863"/>
          <c:w val="0.27721763085399426"/>
          <c:h val="0.16743438320210044"/>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490575041756175"/>
          <c:y val="0.12547462817147856"/>
          <c:w val="0.58690006724366051"/>
          <c:h val="0.66764654418197877"/>
        </c:manualLayout>
      </c:layout>
      <c:barChart>
        <c:barDir val="col"/>
        <c:grouping val="clustered"/>
        <c:ser>
          <c:idx val="0"/>
          <c:order val="0"/>
          <c:tx>
            <c:strRef>
              <c:f>Sheet1!$O$13</c:f>
              <c:strCache>
                <c:ptCount val="1"/>
                <c:pt idx="0">
                  <c:v>baseline (S0)</c:v>
                </c:pt>
              </c:strCache>
            </c:strRef>
          </c:tx>
          <c:cat>
            <c:strRef>
              <c:f>Sheet1!$P$12:$Q$12</c:f>
              <c:strCache>
                <c:ptCount val="2"/>
                <c:pt idx="0">
                  <c:v>Reduce rate of energy intensity</c:v>
                </c:pt>
                <c:pt idx="1">
                  <c:v>Ratio of non-fossil energy</c:v>
                </c:pt>
              </c:strCache>
            </c:strRef>
          </c:cat>
          <c:val>
            <c:numRef>
              <c:f>Sheet1!$P$13:$Q$13</c:f>
              <c:numCache>
                <c:formatCode>0.00_ </c:formatCode>
                <c:ptCount val="2"/>
                <c:pt idx="0">
                  <c:v>10.57</c:v>
                </c:pt>
                <c:pt idx="1">
                  <c:v>10.84</c:v>
                </c:pt>
              </c:numCache>
            </c:numRef>
          </c:val>
        </c:ser>
        <c:ser>
          <c:idx val="1"/>
          <c:order val="1"/>
          <c:tx>
            <c:strRef>
              <c:f>Sheet1!$O$14</c:f>
              <c:strCache>
                <c:ptCount val="1"/>
                <c:pt idx="0">
                  <c:v>controlling target</c:v>
                </c:pt>
              </c:strCache>
            </c:strRef>
          </c:tx>
          <c:cat>
            <c:strRef>
              <c:f>Sheet1!$P$12:$Q$12</c:f>
              <c:strCache>
                <c:ptCount val="2"/>
                <c:pt idx="0">
                  <c:v>Reduce rate of energy intensity</c:v>
                </c:pt>
                <c:pt idx="1">
                  <c:v>Ratio of non-fossil energy</c:v>
                </c:pt>
              </c:strCache>
            </c:strRef>
          </c:cat>
          <c:val>
            <c:numRef>
              <c:f>Sheet1!$P$14:$Q$14</c:f>
              <c:numCache>
                <c:formatCode>0.00_ </c:formatCode>
                <c:ptCount val="2"/>
                <c:pt idx="0">
                  <c:v>16</c:v>
                </c:pt>
                <c:pt idx="1">
                  <c:v>11.4</c:v>
                </c:pt>
              </c:numCache>
            </c:numRef>
          </c:val>
        </c:ser>
        <c:axId val="126691584"/>
        <c:axId val="126706432"/>
      </c:barChart>
      <c:catAx>
        <c:axId val="126691584"/>
        <c:scaling>
          <c:orientation val="minMax"/>
        </c:scaling>
        <c:axPos val="b"/>
        <c:tickLblPos val="nextTo"/>
        <c:crossAx val="126706432"/>
        <c:crosses val="autoZero"/>
        <c:auto val="1"/>
        <c:lblAlgn val="ctr"/>
        <c:lblOffset val="100"/>
      </c:catAx>
      <c:valAx>
        <c:axId val="126706432"/>
        <c:scaling>
          <c:orientation val="minMax"/>
        </c:scaling>
        <c:axPos val="l"/>
        <c:numFmt formatCode="0.00_ " sourceLinked="1"/>
        <c:tickLblPos val="nextTo"/>
        <c:crossAx val="126691584"/>
        <c:crosses val="autoZero"/>
        <c:crossBetween val="between"/>
      </c:valAx>
      <c:spPr>
        <a:noFill/>
        <a:ln w="25400">
          <a:noFill/>
        </a:ln>
      </c:spPr>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6393285214348224"/>
          <c:y val="4.6770924467774859E-2"/>
          <c:w val="0.67823383422326888"/>
          <c:h val="0.6463984467694992"/>
        </c:manualLayout>
      </c:layout>
      <c:barChart>
        <c:barDir val="col"/>
        <c:grouping val="clustered"/>
        <c:ser>
          <c:idx val="0"/>
          <c:order val="0"/>
          <c:tx>
            <c:strRef>
              <c:f>Sheet1!$Z$5</c:f>
              <c:strCache>
                <c:ptCount val="1"/>
                <c:pt idx="0">
                  <c:v>Energy consumption/100 millon tce</c:v>
                </c:pt>
              </c:strCache>
            </c:strRef>
          </c:tx>
          <c:cat>
            <c:strRef>
              <c:f>Sheet1!$Y$6:$Y$9</c:f>
              <c:strCache>
                <c:ptCount val="4"/>
                <c:pt idx="0">
                  <c:v>S0</c:v>
                </c:pt>
                <c:pt idx="1">
                  <c:v>S1</c:v>
                </c:pt>
                <c:pt idx="2">
                  <c:v>S2</c:v>
                </c:pt>
                <c:pt idx="3">
                  <c:v>S3</c:v>
                </c:pt>
              </c:strCache>
            </c:strRef>
          </c:cat>
          <c:val>
            <c:numRef>
              <c:f>Sheet1!$Z$6:$Z$9</c:f>
              <c:numCache>
                <c:formatCode>0.00_ </c:formatCode>
                <c:ptCount val="4"/>
                <c:pt idx="0">
                  <c:v>55.930749500000005</c:v>
                </c:pt>
                <c:pt idx="1">
                  <c:v>49.200068000000002</c:v>
                </c:pt>
                <c:pt idx="2">
                  <c:v>49.200068000000002</c:v>
                </c:pt>
                <c:pt idx="3">
                  <c:v>49.200068000000002</c:v>
                </c:pt>
              </c:numCache>
            </c:numRef>
          </c:val>
        </c:ser>
        <c:ser>
          <c:idx val="1"/>
          <c:order val="1"/>
          <c:tx>
            <c:strRef>
              <c:f>Sheet1!$AA$5</c:f>
              <c:strCache>
                <c:ptCount val="1"/>
                <c:pt idx="0">
                  <c:v>CO2 emission/100 million tone</c:v>
                </c:pt>
              </c:strCache>
            </c:strRef>
          </c:tx>
          <c:cat>
            <c:strRef>
              <c:f>Sheet1!$Y$6:$Y$9</c:f>
              <c:strCache>
                <c:ptCount val="4"/>
                <c:pt idx="0">
                  <c:v>S0</c:v>
                </c:pt>
                <c:pt idx="1">
                  <c:v>S1</c:v>
                </c:pt>
                <c:pt idx="2">
                  <c:v>S2</c:v>
                </c:pt>
                <c:pt idx="3">
                  <c:v>S3</c:v>
                </c:pt>
              </c:strCache>
            </c:strRef>
          </c:cat>
          <c:val>
            <c:numRef>
              <c:f>Sheet1!$AA$6:$AA$9</c:f>
              <c:numCache>
                <c:formatCode>0.00_ </c:formatCode>
                <c:ptCount val="4"/>
                <c:pt idx="0">
                  <c:v>117.26612440000019</c:v>
                </c:pt>
                <c:pt idx="1">
                  <c:v>103.7166297000003</c:v>
                </c:pt>
                <c:pt idx="2">
                  <c:v>105.1277544</c:v>
                </c:pt>
                <c:pt idx="3">
                  <c:v>104.33564160000002</c:v>
                </c:pt>
              </c:numCache>
            </c:numRef>
          </c:val>
        </c:ser>
        <c:axId val="109872256"/>
        <c:axId val="109873792"/>
      </c:barChart>
      <c:catAx>
        <c:axId val="109872256"/>
        <c:scaling>
          <c:orientation val="minMax"/>
        </c:scaling>
        <c:axPos val="b"/>
        <c:tickLblPos val="nextTo"/>
        <c:crossAx val="109873792"/>
        <c:crosses val="autoZero"/>
        <c:auto val="1"/>
        <c:lblAlgn val="ctr"/>
        <c:lblOffset val="100"/>
      </c:catAx>
      <c:valAx>
        <c:axId val="109873792"/>
        <c:scaling>
          <c:orientation val="minMax"/>
        </c:scaling>
        <c:axPos val="l"/>
        <c:numFmt formatCode="0.00_ " sourceLinked="1"/>
        <c:tickLblPos val="nextTo"/>
        <c:crossAx val="109872256"/>
        <c:crosses val="autoZero"/>
        <c:crossBetween val="between"/>
      </c:valAx>
    </c:plotArea>
    <c:legend>
      <c:legendPos val="b"/>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873081028608514"/>
          <c:y val="0.11146061917300318"/>
          <c:w val="0.59392020242074062"/>
          <c:h val="0.71116024307832593"/>
        </c:manualLayout>
      </c:layout>
      <c:barChart>
        <c:barDir val="col"/>
        <c:grouping val="clustered"/>
        <c:ser>
          <c:idx val="0"/>
          <c:order val="0"/>
          <c:tx>
            <c:strRef>
              <c:f>Sheet1!$U$5</c:f>
              <c:strCache>
                <c:ptCount val="1"/>
                <c:pt idx="0">
                  <c:v>Reduce rate of energy intensity</c:v>
                </c:pt>
              </c:strCache>
            </c:strRef>
          </c:tx>
          <c:cat>
            <c:strRef>
              <c:f>Sheet1!$T$6:$T$9</c:f>
              <c:strCache>
                <c:ptCount val="4"/>
                <c:pt idx="0">
                  <c:v>S0</c:v>
                </c:pt>
                <c:pt idx="1">
                  <c:v>S1</c:v>
                </c:pt>
                <c:pt idx="2">
                  <c:v>S2</c:v>
                </c:pt>
                <c:pt idx="3">
                  <c:v>S3</c:v>
                </c:pt>
              </c:strCache>
            </c:strRef>
          </c:cat>
          <c:val>
            <c:numRef>
              <c:f>Sheet1!$U$6:$U$9</c:f>
              <c:numCache>
                <c:formatCode>0.00_ </c:formatCode>
                <c:ptCount val="4"/>
                <c:pt idx="0">
                  <c:v>10.567728807761799</c:v>
                </c:pt>
                <c:pt idx="1">
                  <c:v>21.041784214453532</c:v>
                </c:pt>
                <c:pt idx="2">
                  <c:v>20.761552051944619</c:v>
                </c:pt>
                <c:pt idx="3">
                  <c:v>20.910931990523519</c:v>
                </c:pt>
              </c:numCache>
            </c:numRef>
          </c:val>
        </c:ser>
        <c:ser>
          <c:idx val="1"/>
          <c:order val="1"/>
          <c:tx>
            <c:strRef>
              <c:f>Sheet1!$V$5</c:f>
              <c:strCache>
                <c:ptCount val="1"/>
                <c:pt idx="0">
                  <c:v>Reduce rate of CO2 emission intensity</c:v>
                </c:pt>
              </c:strCache>
            </c:strRef>
          </c:tx>
          <c:cat>
            <c:strRef>
              <c:f>Sheet1!$T$6:$T$9</c:f>
              <c:strCache>
                <c:ptCount val="4"/>
                <c:pt idx="0">
                  <c:v>S0</c:v>
                </c:pt>
                <c:pt idx="1">
                  <c:v>S1</c:v>
                </c:pt>
                <c:pt idx="2">
                  <c:v>S2</c:v>
                </c:pt>
                <c:pt idx="3">
                  <c:v>S3</c:v>
                </c:pt>
              </c:strCache>
            </c:strRef>
          </c:cat>
          <c:val>
            <c:numRef>
              <c:f>Sheet1!$V$6:$V$9</c:f>
              <c:numCache>
                <c:formatCode>0.00_ </c:formatCode>
                <c:ptCount val="4"/>
                <c:pt idx="0">
                  <c:v>9.3070269759866768</c:v>
                </c:pt>
                <c:pt idx="1">
                  <c:v>19.492291660379529</c:v>
                </c:pt>
                <c:pt idx="2">
                  <c:v>18.107286587455675</c:v>
                </c:pt>
                <c:pt idx="3">
                  <c:v>18.877488831199042</c:v>
                </c:pt>
              </c:numCache>
            </c:numRef>
          </c:val>
        </c:ser>
        <c:ser>
          <c:idx val="2"/>
          <c:order val="2"/>
          <c:tx>
            <c:strRef>
              <c:f>Sheet1!$W$5</c:f>
              <c:strCache>
                <c:ptCount val="1"/>
                <c:pt idx="0">
                  <c:v>Ratio of non-fossil energy</c:v>
                </c:pt>
              </c:strCache>
            </c:strRef>
          </c:tx>
          <c:cat>
            <c:strRef>
              <c:f>Sheet1!$T$6:$T$9</c:f>
              <c:strCache>
                <c:ptCount val="4"/>
                <c:pt idx="0">
                  <c:v>S0</c:v>
                </c:pt>
                <c:pt idx="1">
                  <c:v>S1</c:v>
                </c:pt>
                <c:pt idx="2">
                  <c:v>S2</c:v>
                </c:pt>
                <c:pt idx="3">
                  <c:v>S3</c:v>
                </c:pt>
              </c:strCache>
            </c:strRef>
          </c:cat>
          <c:val>
            <c:numRef>
              <c:f>Sheet1!$W$6:$W$9</c:f>
              <c:numCache>
                <c:formatCode>0.00_ </c:formatCode>
                <c:ptCount val="4"/>
                <c:pt idx="0">
                  <c:v>10.842203965592951</c:v>
                </c:pt>
                <c:pt idx="1">
                  <c:v>11.04078711104802</c:v>
                </c:pt>
                <c:pt idx="2">
                  <c:v>11.461088884287886</c:v>
                </c:pt>
                <c:pt idx="3">
                  <c:v>11.211830454349595</c:v>
                </c:pt>
              </c:numCache>
            </c:numRef>
          </c:val>
        </c:ser>
        <c:axId val="109927808"/>
        <c:axId val="109958272"/>
      </c:barChart>
      <c:catAx>
        <c:axId val="109927808"/>
        <c:scaling>
          <c:orientation val="minMax"/>
        </c:scaling>
        <c:axPos val="b"/>
        <c:tickLblPos val="nextTo"/>
        <c:crossAx val="109958272"/>
        <c:crosses val="autoZero"/>
        <c:auto val="1"/>
        <c:lblAlgn val="ctr"/>
        <c:lblOffset val="100"/>
      </c:catAx>
      <c:valAx>
        <c:axId val="109958272"/>
        <c:scaling>
          <c:orientation val="minMax"/>
        </c:scaling>
        <c:axPos val="l"/>
        <c:numFmt formatCode="0.00_ " sourceLinked="1"/>
        <c:tickLblPos val="nextTo"/>
        <c:crossAx val="109927808"/>
        <c:crosses val="autoZero"/>
        <c:crossBetween val="between"/>
      </c:valAx>
    </c:plotArea>
    <c:legend>
      <c:legendPos val="r"/>
      <c:layout>
        <c:manualLayout>
          <c:xMode val="edge"/>
          <c:yMode val="edge"/>
          <c:x val="0.73622424894729888"/>
          <c:y val="0.26817172074943918"/>
          <c:w val="0.22780452803111817"/>
          <c:h val="0.62836345381526071"/>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0.17562</cdr:x>
      <cdr:y>0.03125</cdr:y>
    </cdr:from>
    <cdr:to>
      <cdr:x>0.4876</cdr:x>
      <cdr:y>0.19444</cdr:y>
    </cdr:to>
    <cdr:sp macro="" textlink="">
      <cdr:nvSpPr>
        <cdr:cNvPr id="2" name="TextBox 6"/>
        <cdr:cNvSpPr txBox="1"/>
      </cdr:nvSpPr>
      <cdr:spPr>
        <a:xfrm xmlns:a="http://schemas.openxmlformats.org/drawingml/2006/main">
          <a:off x="809625" y="85725"/>
          <a:ext cx="1438275" cy="4476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solidFill>
                <a:sysClr val="windowText" lastClr="000000"/>
              </a:solidFill>
              <a:latin typeface="Calibri"/>
            </a:rPr>
            <a:t>Energy consumption (100</a:t>
          </a:r>
          <a:r>
            <a:rPr lang="en-US" sz="1100" baseline="0">
              <a:solidFill>
                <a:sysClr val="windowText" lastClr="000000"/>
              </a:solidFill>
              <a:latin typeface="Calibri"/>
            </a:rPr>
            <a:t> million tce</a:t>
          </a:r>
          <a:r>
            <a:rPr lang="en-US" sz="1100">
              <a:solidFill>
                <a:sysClr val="windowText" lastClr="000000"/>
              </a:solidFill>
              <a:latin typeface="Calibri"/>
            </a:rPr>
            <a:t>)</a:t>
          </a:r>
          <a:endParaRPr lang="zh-CN" altLang="en-US" sz="1100"/>
        </a:p>
      </cdr:txBody>
    </cdr:sp>
  </cdr:relSizeAnchor>
  <cdr:relSizeAnchor xmlns:cdr="http://schemas.openxmlformats.org/drawingml/2006/chartDrawing">
    <cdr:from>
      <cdr:x>0.8843</cdr:x>
      <cdr:y>0.82269</cdr:y>
    </cdr:from>
    <cdr:to>
      <cdr:x>1</cdr:x>
      <cdr:y>0.90603</cdr:y>
    </cdr:to>
    <cdr:sp macro="" textlink="">
      <cdr:nvSpPr>
        <cdr:cNvPr id="3" name="TextBox 8"/>
        <cdr:cNvSpPr txBox="1"/>
      </cdr:nvSpPr>
      <cdr:spPr>
        <a:xfrm xmlns:a="http://schemas.openxmlformats.org/drawingml/2006/main">
          <a:off x="4153710" y="2256816"/>
          <a:ext cx="533400" cy="22860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altLang="zh-CN" sz="1100"/>
            <a:t>year</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0.09495</cdr:x>
      <cdr:y>0.01773</cdr:y>
    </cdr:from>
    <cdr:to>
      <cdr:x>0.1528</cdr:x>
      <cdr:y>0.08717</cdr:y>
    </cdr:to>
    <cdr:sp macro="" textlink="">
      <cdr:nvSpPr>
        <cdr:cNvPr id="3" name="TextBox 8"/>
        <cdr:cNvSpPr txBox="1"/>
      </cdr:nvSpPr>
      <cdr:spPr>
        <a:xfrm xmlns:a="http://schemas.openxmlformats.org/drawingml/2006/main">
          <a:off x="437745" y="48638"/>
          <a:ext cx="266700" cy="19050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ltLang="zh-CN" sz="1100"/>
            <a:t>%</a:t>
          </a:r>
          <a:endParaRPr lang="zh-CN"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0.43943</cdr:x>
      <cdr:y>0.78249</cdr:y>
    </cdr:from>
    <cdr:to>
      <cdr:x>0.5847</cdr:x>
      <cdr:y>0.85959</cdr:y>
    </cdr:to>
    <cdr:sp macro="" textlink="">
      <cdr:nvSpPr>
        <cdr:cNvPr id="2" name="TextBox 8"/>
        <cdr:cNvSpPr txBox="1"/>
      </cdr:nvSpPr>
      <cdr:spPr>
        <a:xfrm xmlns:a="http://schemas.openxmlformats.org/drawingml/2006/main">
          <a:off x="2297887" y="2176331"/>
          <a:ext cx="759639" cy="214444"/>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ltLang="zh-CN" sz="1100"/>
            <a:t>scenarios</a:t>
          </a:r>
          <a:endParaRPr lang="zh-CN"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0.32707</cdr:x>
      <cdr:y>0.91807</cdr:y>
    </cdr:from>
    <cdr:to>
      <cdr:x>0.47553</cdr:x>
      <cdr:y>0.97828</cdr:y>
    </cdr:to>
    <cdr:sp macro="" textlink="">
      <cdr:nvSpPr>
        <cdr:cNvPr id="2" name="TextBox 8"/>
        <cdr:cNvSpPr txBox="1"/>
      </cdr:nvSpPr>
      <cdr:spPr>
        <a:xfrm xmlns:a="http://schemas.openxmlformats.org/drawingml/2006/main">
          <a:off x="1634699" y="2322576"/>
          <a:ext cx="741979" cy="152318"/>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CN" sz="1100"/>
            <a:t>scenarios</a:t>
          </a:r>
          <a:endParaRPr lang="zh-CN" altLang="en-US" sz="1100"/>
        </a:p>
      </cdr:txBody>
    </cdr:sp>
  </cdr:relSizeAnchor>
  <cdr:relSizeAnchor xmlns:cdr="http://schemas.openxmlformats.org/drawingml/2006/chartDrawing">
    <cdr:from>
      <cdr:x>0.08589</cdr:x>
      <cdr:y>0.01787</cdr:y>
    </cdr:from>
    <cdr:to>
      <cdr:x>0.13589</cdr:x>
      <cdr:y>0.08707</cdr:y>
    </cdr:to>
    <cdr:sp macro="" textlink="">
      <cdr:nvSpPr>
        <cdr:cNvPr id="4" name="TextBox 8"/>
        <cdr:cNvSpPr txBox="1"/>
      </cdr:nvSpPr>
      <cdr:spPr>
        <a:xfrm xmlns:a="http://schemas.openxmlformats.org/drawingml/2006/main">
          <a:off x="453027" y="48638"/>
          <a:ext cx="263715" cy="188357"/>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ltLang="zh-CN" sz="1100"/>
            <a:t>%</a:t>
          </a:r>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801D-919E-4322-9D31-8D028272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3652</Words>
  <Characters>20823</Characters>
  <Application>Microsoft Office Word</Application>
  <DocSecurity>0</DocSecurity>
  <Lines>173</Lines>
  <Paragraphs>48</Paragraphs>
  <ScaleCrop>false</ScaleCrop>
  <Company/>
  <LinksUpToDate>false</LinksUpToDate>
  <CharactersWithSpaces>24427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李娜</dc:creator>
  <cp:lastModifiedBy>MJShi</cp:lastModifiedBy>
  <cp:revision>2</cp:revision>
  <dcterms:created xsi:type="dcterms:W3CDTF">2012-04-30T14:29:00Z</dcterms:created>
  <dcterms:modified xsi:type="dcterms:W3CDTF">2012-04-30T14:29:00Z</dcterms:modified>
</cp:coreProperties>
</file>