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89" w:rsidRPr="00D060C6" w:rsidRDefault="00695389" w:rsidP="00695389">
      <w:pPr>
        <w:spacing w:line="288" w:lineRule="auto"/>
        <w:jc w:val="center"/>
        <w:rPr>
          <w:rStyle w:val="apple-style-span"/>
          <w:rFonts w:ascii="Book Antiqua" w:hAnsi="Book Antiqua"/>
          <w:b/>
          <w:caps/>
          <w:spacing w:val="10"/>
          <w:lang w:val="en-GB"/>
        </w:rPr>
      </w:pPr>
      <w:proofErr w:type="gramStart"/>
      <w:r w:rsidRPr="00D060C6">
        <w:rPr>
          <w:rStyle w:val="apple-style-span"/>
          <w:rFonts w:ascii="Book Antiqua" w:hAnsi="Book Antiqua"/>
          <w:b/>
          <w:caps/>
          <w:spacing w:val="10"/>
          <w:lang w:val="en-GB"/>
        </w:rPr>
        <w:t>Transaction</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 xml:space="preserve"> Costs</w:t>
      </w:r>
      <w:proofErr w:type="gramEnd"/>
      <w:r w:rsidRPr="00D060C6">
        <w:rPr>
          <w:rStyle w:val="apple-style-span"/>
          <w:rFonts w:ascii="Book Antiqua" w:hAnsi="Book Antiqua"/>
          <w:b/>
          <w:caps/>
          <w:spacing w:val="10"/>
          <w:lang w:val="en-GB"/>
        </w:rPr>
        <w:t xml:space="preserve"> </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 xml:space="preserve">as </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 xml:space="preserve">Measurement </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 xml:space="preserve">of </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 xml:space="preserve">Institutionally Led </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 xml:space="preserve">Structural </w:t>
      </w:r>
      <w:r w:rsidR="00040E8A" w:rsidRPr="00D060C6">
        <w:rPr>
          <w:rStyle w:val="apple-style-span"/>
          <w:rFonts w:ascii="Book Antiqua" w:hAnsi="Book Antiqua"/>
          <w:b/>
          <w:caps/>
          <w:spacing w:val="10"/>
          <w:lang w:val="en-GB"/>
        </w:rPr>
        <w:t xml:space="preserve"> </w:t>
      </w:r>
      <w:r w:rsidRPr="00D060C6">
        <w:rPr>
          <w:rStyle w:val="apple-style-span"/>
          <w:rFonts w:ascii="Book Antiqua" w:hAnsi="Book Antiqua"/>
          <w:b/>
          <w:caps/>
          <w:spacing w:val="10"/>
          <w:lang w:val="en-GB"/>
        </w:rPr>
        <w:t>Changes</w:t>
      </w:r>
    </w:p>
    <w:p w:rsidR="00695389" w:rsidRPr="00D060C6" w:rsidRDefault="00695389" w:rsidP="00695389">
      <w:pPr>
        <w:spacing w:line="288" w:lineRule="auto"/>
        <w:jc w:val="center"/>
        <w:rPr>
          <w:rStyle w:val="apple-style-span"/>
          <w:rFonts w:ascii="Book Antiqua" w:hAnsi="Book Antiqua"/>
          <w:caps/>
          <w:spacing w:val="20"/>
          <w:lang w:val="en-GB"/>
        </w:rPr>
      </w:pPr>
      <w:r w:rsidRPr="00D060C6">
        <w:rPr>
          <w:rStyle w:val="apple-style-span"/>
          <w:rFonts w:ascii="Book Antiqua" w:hAnsi="Book Antiqua"/>
          <w:caps/>
          <w:spacing w:val="20"/>
          <w:lang w:val="en-GB"/>
        </w:rPr>
        <w:t>Maria ivanova</w:t>
      </w:r>
    </w:p>
    <w:p w:rsidR="00695389" w:rsidRPr="00D060C6" w:rsidRDefault="00695389" w:rsidP="00695389">
      <w:pPr>
        <w:spacing w:line="288" w:lineRule="auto"/>
        <w:jc w:val="center"/>
        <w:rPr>
          <w:rStyle w:val="apple-style-span"/>
          <w:rFonts w:ascii="Book Antiqua" w:hAnsi="Book Antiqua"/>
          <w:i/>
          <w:lang w:val="en-GB"/>
        </w:rPr>
      </w:pPr>
      <w:r w:rsidRPr="00D060C6">
        <w:rPr>
          <w:rStyle w:val="apple-style-span"/>
          <w:rFonts w:ascii="Book Antiqua" w:hAnsi="Book Antiqua"/>
          <w:i/>
          <w:lang w:val="en-GB"/>
        </w:rPr>
        <w:t xml:space="preserve">Faculty of Economics and Business Administration, </w:t>
      </w:r>
    </w:p>
    <w:p w:rsidR="00695389" w:rsidRPr="00D060C6" w:rsidRDefault="00695389" w:rsidP="00695389">
      <w:pPr>
        <w:spacing w:line="288" w:lineRule="auto"/>
        <w:jc w:val="center"/>
        <w:rPr>
          <w:rStyle w:val="apple-style-span"/>
          <w:rFonts w:ascii="Book Antiqua" w:hAnsi="Book Antiqua"/>
          <w:i/>
          <w:lang w:val="en-GB"/>
        </w:rPr>
      </w:pPr>
      <w:r w:rsidRPr="00D060C6">
        <w:rPr>
          <w:rStyle w:val="apple-style-span"/>
          <w:rFonts w:ascii="Book Antiqua" w:hAnsi="Book Antiqua"/>
          <w:i/>
          <w:lang w:val="en-GB"/>
        </w:rPr>
        <w:t xml:space="preserve">Sofia University “St. </w:t>
      </w:r>
      <w:proofErr w:type="spellStart"/>
      <w:r w:rsidRPr="00D060C6">
        <w:rPr>
          <w:rStyle w:val="apple-style-span"/>
          <w:rFonts w:ascii="Book Antiqua" w:hAnsi="Book Antiqua"/>
          <w:i/>
          <w:lang w:val="en-GB"/>
        </w:rPr>
        <w:t>Kliment</w:t>
      </w:r>
      <w:proofErr w:type="spellEnd"/>
      <w:r w:rsidRPr="00D060C6">
        <w:rPr>
          <w:rStyle w:val="apple-style-span"/>
          <w:rFonts w:ascii="Book Antiqua" w:hAnsi="Book Antiqua"/>
          <w:i/>
          <w:lang w:val="en-GB"/>
        </w:rPr>
        <w:t xml:space="preserve"> </w:t>
      </w:r>
      <w:proofErr w:type="spellStart"/>
      <w:r w:rsidRPr="00D060C6">
        <w:rPr>
          <w:rStyle w:val="apple-style-span"/>
          <w:rFonts w:ascii="Book Antiqua" w:hAnsi="Book Antiqua"/>
          <w:i/>
          <w:lang w:val="en-GB"/>
        </w:rPr>
        <w:t>Ohridski</w:t>
      </w:r>
      <w:proofErr w:type="spellEnd"/>
      <w:r w:rsidRPr="00D060C6">
        <w:rPr>
          <w:rStyle w:val="apple-style-span"/>
          <w:rFonts w:ascii="Book Antiqua" w:hAnsi="Book Antiqua"/>
          <w:i/>
          <w:lang w:val="en-GB"/>
        </w:rPr>
        <w:t>”, Bulgaria</w:t>
      </w:r>
    </w:p>
    <w:p w:rsidR="00695389" w:rsidRPr="00D060C6" w:rsidRDefault="00695389" w:rsidP="00695389">
      <w:pPr>
        <w:spacing w:line="288" w:lineRule="auto"/>
        <w:jc w:val="both"/>
        <w:rPr>
          <w:rStyle w:val="apple-style-span"/>
          <w:rFonts w:ascii="Book Antiqua" w:hAnsi="Book Antiqua"/>
          <w:i/>
          <w:lang w:val="en-GB"/>
        </w:rPr>
      </w:pPr>
    </w:p>
    <w:p w:rsidR="00E20BD2" w:rsidRPr="00E20BD2" w:rsidRDefault="00E20BD2" w:rsidP="00E20BD2">
      <w:pPr>
        <w:spacing w:line="288" w:lineRule="auto"/>
        <w:ind w:firstLine="706"/>
        <w:jc w:val="both"/>
        <w:rPr>
          <w:rStyle w:val="apple-style-span"/>
          <w:rFonts w:ascii="Book Antiqua" w:hAnsi="Book Antiqua"/>
          <w:sz w:val="20"/>
          <w:szCs w:val="20"/>
          <w:lang w:val="en-US"/>
        </w:rPr>
      </w:pPr>
      <w:r w:rsidRPr="00E20BD2">
        <w:rPr>
          <w:rStyle w:val="apple-style-span"/>
          <w:rFonts w:ascii="Book Antiqua" w:hAnsi="Book Antiqua"/>
          <w:sz w:val="20"/>
          <w:szCs w:val="20"/>
          <w:lang w:val="en-GB"/>
        </w:rPr>
        <w:t xml:space="preserve">This paper </w:t>
      </w:r>
      <w:r w:rsidR="00953F86">
        <w:rPr>
          <w:rStyle w:val="apple-style-span"/>
          <w:rFonts w:ascii="Book Antiqua" w:hAnsi="Book Antiqua"/>
          <w:sz w:val="20"/>
          <w:szCs w:val="20"/>
          <w:lang w:val="en-GB"/>
        </w:rPr>
        <w:t>aims to bind</w:t>
      </w:r>
      <w:r w:rsidR="00E2236D">
        <w:rPr>
          <w:rStyle w:val="apple-style-span"/>
          <w:rFonts w:ascii="Book Antiqua" w:hAnsi="Book Antiqua"/>
          <w:sz w:val="20"/>
          <w:szCs w:val="20"/>
          <w:lang w:val="en-GB"/>
        </w:rPr>
        <w:t xml:space="preserve"> economic ideas outside of the mainstream </w:t>
      </w:r>
      <w:r w:rsidR="00953F86">
        <w:rPr>
          <w:rStyle w:val="apple-style-span"/>
          <w:rFonts w:ascii="Book Antiqua" w:hAnsi="Book Antiqua"/>
          <w:sz w:val="20"/>
          <w:szCs w:val="20"/>
          <w:lang w:val="en-GB"/>
        </w:rPr>
        <w:t xml:space="preserve">with the established techniques of input-output analysis. </w:t>
      </w:r>
      <w:r w:rsidRPr="00E20BD2">
        <w:rPr>
          <w:rStyle w:val="apple-style-span"/>
          <w:rFonts w:ascii="Book Antiqua" w:hAnsi="Book Antiqua"/>
          <w:sz w:val="20"/>
          <w:szCs w:val="20"/>
          <w:lang w:val="en-GB"/>
        </w:rPr>
        <w:t>New Institutional E</w:t>
      </w:r>
      <w:r w:rsidRPr="00E20BD2">
        <w:rPr>
          <w:rStyle w:val="apple-style-span"/>
          <w:rFonts w:ascii="Book Antiqua" w:hAnsi="Book Antiqua"/>
          <w:sz w:val="20"/>
          <w:szCs w:val="20"/>
          <w:lang w:val="en-GB"/>
        </w:rPr>
        <w:t xml:space="preserve">conomics brings out the concept of transaction costs as those costs that economic agents pay in order to exchange the results from their production and thus reap the benefits from the labour division. </w:t>
      </w:r>
      <w:r w:rsidR="009B38AF" w:rsidRPr="00E20BD2">
        <w:rPr>
          <w:rStyle w:val="apple-style-span"/>
          <w:rFonts w:ascii="Book Antiqua" w:hAnsi="Book Antiqua"/>
          <w:sz w:val="20"/>
          <w:szCs w:val="20"/>
          <w:lang w:val="en-GB"/>
        </w:rPr>
        <w:t xml:space="preserve">The process of economic exchange can be easier or more difficult, that is to say costly, depending on the rules for this activity. “Rules of the game” in a society are built in institutions. Therefore institutions and institutional change are as important as technologies and technological </w:t>
      </w:r>
      <w:r w:rsidR="009B38AF" w:rsidRPr="00E20BD2">
        <w:rPr>
          <w:rStyle w:val="apple-style-span"/>
          <w:rFonts w:ascii="Book Antiqua" w:hAnsi="Book Antiqua"/>
          <w:color w:val="000000"/>
          <w:sz w:val="20"/>
          <w:szCs w:val="20"/>
          <w:lang w:val="en-GB"/>
        </w:rPr>
        <w:t>change.</w:t>
      </w:r>
      <w:r w:rsidR="003D78B0" w:rsidRPr="00E20BD2">
        <w:rPr>
          <w:rStyle w:val="apple-style-span"/>
          <w:rFonts w:ascii="Book Antiqua" w:hAnsi="Book Antiqua"/>
          <w:color w:val="000000"/>
          <w:sz w:val="20"/>
          <w:szCs w:val="20"/>
          <w:lang w:val="en-GB"/>
        </w:rPr>
        <w:t xml:space="preserve"> </w:t>
      </w:r>
      <w:r w:rsidR="00F36D33">
        <w:rPr>
          <w:rStyle w:val="apple-style-span"/>
          <w:rFonts w:ascii="Book Antiqua" w:hAnsi="Book Antiqua"/>
          <w:color w:val="000000"/>
          <w:sz w:val="20"/>
          <w:szCs w:val="20"/>
          <w:lang w:val="en-GB"/>
        </w:rPr>
        <w:t>The</w:t>
      </w:r>
      <w:r w:rsidR="00953F86">
        <w:rPr>
          <w:rStyle w:val="apple-style-span"/>
          <w:rFonts w:ascii="Book Antiqua" w:hAnsi="Book Antiqua"/>
          <w:color w:val="000000"/>
          <w:sz w:val="20"/>
          <w:szCs w:val="20"/>
          <w:lang w:val="en-GB"/>
        </w:rPr>
        <w:t xml:space="preserve"> paper presents </w:t>
      </w:r>
      <w:r w:rsidR="003D78B0" w:rsidRPr="00E20BD2">
        <w:rPr>
          <w:rStyle w:val="apple-style-span"/>
          <w:rFonts w:ascii="Book Antiqua" w:hAnsi="Book Antiqua"/>
          <w:color w:val="000000"/>
          <w:sz w:val="20"/>
          <w:szCs w:val="20"/>
          <w:lang w:val="en-GB"/>
        </w:rPr>
        <w:t xml:space="preserve">a partial model for </w:t>
      </w:r>
      <w:proofErr w:type="spellStart"/>
      <w:r w:rsidR="003D78B0" w:rsidRPr="00E20BD2">
        <w:rPr>
          <w:rStyle w:val="apple-style-span"/>
          <w:rFonts w:ascii="Book Antiqua" w:hAnsi="Book Antiqua"/>
          <w:color w:val="000000"/>
          <w:sz w:val="20"/>
          <w:szCs w:val="20"/>
          <w:lang w:val="en-GB"/>
        </w:rPr>
        <w:t>analyzing</w:t>
      </w:r>
      <w:proofErr w:type="spellEnd"/>
      <w:r w:rsidR="003D78B0" w:rsidRPr="00E20BD2">
        <w:rPr>
          <w:rStyle w:val="apple-style-span"/>
          <w:rFonts w:ascii="Book Antiqua" w:hAnsi="Book Antiqua"/>
          <w:color w:val="000000"/>
          <w:sz w:val="20"/>
          <w:szCs w:val="20"/>
          <w:lang w:val="en-GB"/>
        </w:rPr>
        <w:t xml:space="preserve"> the results from the interactions between institutional and technological changes that happen at economy-wide level. It is </w:t>
      </w:r>
      <w:r w:rsidR="003D78B0" w:rsidRPr="00E20BD2">
        <w:rPr>
          <w:rFonts w:ascii="Book Antiqua" w:hAnsi="Book Antiqua" w:cs="Tahoma"/>
          <w:sz w:val="20"/>
          <w:szCs w:val="20"/>
          <w:lang w:val="en-US"/>
        </w:rPr>
        <w:t xml:space="preserve">is a modification </w:t>
      </w:r>
      <w:r w:rsidR="003D78B0" w:rsidRPr="00E20BD2">
        <w:rPr>
          <w:rFonts w:ascii="Book Antiqua" w:hAnsi="Book Antiqua" w:cs="Tahoma"/>
          <w:sz w:val="20"/>
          <w:szCs w:val="20"/>
          <w:lang w:val="en-US"/>
        </w:rPr>
        <w:t>of</w:t>
      </w:r>
      <w:r w:rsidR="003D78B0" w:rsidRPr="00E20BD2">
        <w:rPr>
          <w:rFonts w:ascii="Book Antiqua" w:hAnsi="Book Antiqua" w:cs="Tahoma"/>
          <w:sz w:val="20"/>
          <w:szCs w:val="20"/>
          <w:lang w:val="en-US"/>
        </w:rPr>
        <w:t xml:space="preserve"> the original framework of Wallis and North (1994)</w:t>
      </w:r>
      <w:r w:rsidR="00436FE4" w:rsidRPr="00E20BD2">
        <w:rPr>
          <w:rFonts w:ascii="Book Antiqua" w:hAnsi="Book Antiqua" w:cs="Tahoma"/>
          <w:sz w:val="20"/>
          <w:szCs w:val="20"/>
          <w:lang w:val="en-US"/>
        </w:rPr>
        <w:t xml:space="preserve"> because it uses nominal data</w:t>
      </w:r>
      <w:r w:rsidR="003D78B0" w:rsidRPr="00E20BD2">
        <w:rPr>
          <w:rFonts w:ascii="Book Antiqua" w:hAnsi="Book Antiqua" w:cs="Tahoma"/>
          <w:sz w:val="20"/>
          <w:szCs w:val="20"/>
          <w:lang w:val="en-US"/>
        </w:rPr>
        <w:t xml:space="preserve">. </w:t>
      </w:r>
      <w:r w:rsidR="003D78B0" w:rsidRPr="00E20BD2">
        <w:rPr>
          <w:rStyle w:val="apple-style-span"/>
          <w:rFonts w:ascii="Book Antiqua" w:hAnsi="Book Antiqua"/>
          <w:color w:val="000000"/>
          <w:sz w:val="20"/>
          <w:szCs w:val="20"/>
          <w:lang w:val="en-GB"/>
        </w:rPr>
        <w:t>The input data come from an international database and this allows reliable inter-country comparisons. The model is tested with 20 countries for two 5-years periods. Examples of successful and unsuccessfu</w:t>
      </w:r>
      <w:r w:rsidRPr="00E20BD2">
        <w:rPr>
          <w:rStyle w:val="apple-style-span"/>
          <w:rFonts w:ascii="Book Antiqua" w:hAnsi="Book Antiqua"/>
          <w:color w:val="000000"/>
          <w:sz w:val="20"/>
          <w:szCs w:val="20"/>
          <w:lang w:val="en-GB"/>
        </w:rPr>
        <w:t xml:space="preserve">l structural changes are given. </w:t>
      </w:r>
      <w:r w:rsidRPr="00E20BD2">
        <w:rPr>
          <w:rStyle w:val="apple-style-span"/>
          <w:rFonts w:ascii="Book Antiqua" w:hAnsi="Book Antiqua"/>
          <w:sz w:val="20"/>
          <w:szCs w:val="20"/>
          <w:lang w:val="en-US"/>
        </w:rPr>
        <w:t>The model</w:t>
      </w:r>
      <w:r w:rsidRPr="00E20BD2">
        <w:rPr>
          <w:rStyle w:val="apple-style-span"/>
          <w:rFonts w:ascii="Book Antiqua" w:hAnsi="Book Antiqua"/>
          <w:sz w:val="20"/>
          <w:szCs w:val="20"/>
          <w:lang w:val="en-US"/>
        </w:rPr>
        <w:t xml:space="preserve"> can identify if the consequences from these different impulses are synchronized and if this led to improvement in the overall efficiency of the economy. Also, it discerns economies with sluggish sectors that might fail the whole system in its future development. </w:t>
      </w:r>
    </w:p>
    <w:p w:rsidR="009B38AF" w:rsidRPr="00D6303E" w:rsidRDefault="009B38AF" w:rsidP="00695389">
      <w:pPr>
        <w:spacing w:line="288" w:lineRule="auto"/>
        <w:jc w:val="both"/>
        <w:rPr>
          <w:rStyle w:val="apple-style-span"/>
          <w:rFonts w:ascii="Book Antiqua" w:hAnsi="Book Antiqua"/>
          <w:sz w:val="20"/>
          <w:szCs w:val="20"/>
          <w:lang w:val="en-GB"/>
        </w:rPr>
      </w:pPr>
    </w:p>
    <w:p w:rsidR="00695389" w:rsidRPr="009B3790" w:rsidRDefault="00695389" w:rsidP="00695389">
      <w:pPr>
        <w:spacing w:line="288" w:lineRule="auto"/>
        <w:jc w:val="both"/>
        <w:rPr>
          <w:rStyle w:val="apple-style-span"/>
          <w:rFonts w:ascii="Book Antiqua" w:hAnsi="Book Antiqua"/>
          <w:sz w:val="20"/>
          <w:szCs w:val="20"/>
          <w:lang w:val="en-GB"/>
        </w:rPr>
      </w:pPr>
      <w:r w:rsidRPr="001A4417">
        <w:rPr>
          <w:rStyle w:val="apple-style-span"/>
          <w:rFonts w:ascii="Book Antiqua" w:hAnsi="Book Antiqua"/>
          <w:i/>
          <w:sz w:val="20"/>
          <w:szCs w:val="20"/>
          <w:lang w:val="en-GB"/>
        </w:rPr>
        <w:t xml:space="preserve">Keywords: </w:t>
      </w:r>
      <w:r w:rsidRPr="001A4417">
        <w:rPr>
          <w:rStyle w:val="apple-style-span"/>
          <w:rFonts w:ascii="Book Antiqua" w:hAnsi="Book Antiqua"/>
          <w:sz w:val="20"/>
          <w:szCs w:val="20"/>
          <w:lang w:val="en-GB"/>
        </w:rPr>
        <w:t xml:space="preserve">transaction costs, </w:t>
      </w:r>
      <w:r w:rsidR="009B3790" w:rsidRPr="001A4417">
        <w:rPr>
          <w:rStyle w:val="apple-style-span"/>
          <w:rFonts w:ascii="Book Antiqua" w:hAnsi="Book Antiqua"/>
          <w:sz w:val="20"/>
          <w:szCs w:val="20"/>
          <w:lang w:val="en-GB"/>
        </w:rPr>
        <w:t>institutional change, technological change, efficiency</w:t>
      </w:r>
      <w:r w:rsidR="009B3790">
        <w:rPr>
          <w:rStyle w:val="apple-style-span"/>
          <w:rFonts w:ascii="Book Antiqua" w:hAnsi="Book Antiqua"/>
          <w:sz w:val="20"/>
          <w:szCs w:val="20"/>
          <w:lang w:val="en-GB"/>
        </w:rPr>
        <w:t xml:space="preserve"> </w:t>
      </w:r>
    </w:p>
    <w:p w:rsidR="00695389" w:rsidRPr="00D060C6" w:rsidRDefault="00695389" w:rsidP="00695389">
      <w:pPr>
        <w:spacing w:line="288" w:lineRule="auto"/>
        <w:jc w:val="both"/>
        <w:rPr>
          <w:rStyle w:val="apple-style-span"/>
          <w:rFonts w:ascii="Book Antiqua" w:hAnsi="Book Antiqua"/>
          <w:lang w:val="en-GB"/>
        </w:rPr>
      </w:pPr>
    </w:p>
    <w:p w:rsidR="00695389" w:rsidRPr="00D060C6" w:rsidRDefault="00695389" w:rsidP="00695389">
      <w:pPr>
        <w:spacing w:line="288" w:lineRule="auto"/>
        <w:jc w:val="both"/>
        <w:rPr>
          <w:rStyle w:val="apple-style-span"/>
          <w:rFonts w:ascii="Book Antiqua" w:hAnsi="Book Antiqua"/>
          <w:b/>
          <w:spacing w:val="10"/>
          <w:lang w:val="en-GB"/>
        </w:rPr>
      </w:pPr>
      <w:r w:rsidRPr="00D060C6">
        <w:rPr>
          <w:rStyle w:val="apple-style-span"/>
          <w:rFonts w:ascii="Book Antiqua" w:hAnsi="Book Antiqua"/>
          <w:b/>
          <w:spacing w:val="10"/>
          <w:lang w:val="en-GB"/>
        </w:rPr>
        <w:t xml:space="preserve">1. INTRODUCTION </w:t>
      </w:r>
    </w:p>
    <w:p w:rsidR="00695389" w:rsidRPr="00D060C6" w:rsidRDefault="00695389" w:rsidP="00695389">
      <w:pPr>
        <w:spacing w:line="288" w:lineRule="auto"/>
        <w:ind w:firstLine="706"/>
        <w:jc w:val="both"/>
        <w:rPr>
          <w:rStyle w:val="apple-style-span"/>
          <w:rFonts w:ascii="Book Antiqua" w:hAnsi="Book Antiqua"/>
          <w:lang w:val="en-GB"/>
        </w:rPr>
      </w:pPr>
    </w:p>
    <w:p w:rsidR="00695389" w:rsidRPr="00D060C6" w:rsidRDefault="00695389" w:rsidP="00695389">
      <w:pPr>
        <w:spacing w:line="288" w:lineRule="auto"/>
        <w:ind w:firstLine="706"/>
        <w:jc w:val="both"/>
        <w:rPr>
          <w:rStyle w:val="apple-style-span"/>
          <w:rFonts w:ascii="Book Antiqua" w:hAnsi="Book Antiqua"/>
          <w:lang w:val="en-GB"/>
        </w:rPr>
      </w:pPr>
      <w:r w:rsidRPr="00D060C6">
        <w:rPr>
          <w:rStyle w:val="apple-style-span"/>
          <w:rFonts w:ascii="Book Antiqua" w:hAnsi="Book Antiqua"/>
          <w:lang w:val="en-GB"/>
        </w:rPr>
        <w:t xml:space="preserve">Neoclassical microeconomics examines the problems of efficient transformation of inputs (raw materials, capital, </w:t>
      </w:r>
      <w:r w:rsidR="00D060C6" w:rsidRPr="00D060C6">
        <w:rPr>
          <w:rStyle w:val="apple-style-span"/>
          <w:rFonts w:ascii="Book Antiqua" w:hAnsi="Book Antiqua"/>
          <w:lang w:val="en-GB"/>
        </w:rPr>
        <w:t>and labour</w:t>
      </w:r>
      <w:r w:rsidRPr="00D060C6">
        <w:rPr>
          <w:rStyle w:val="apple-style-span"/>
          <w:rFonts w:ascii="Book Antiqua" w:hAnsi="Book Antiqua"/>
          <w:lang w:val="en-GB"/>
        </w:rPr>
        <w:t xml:space="preserve">) into new products. The main postulate is that due to comparative advantages it is more productive if people and their economic organizations specialize in different businesses and afterwards exchange the fruits of their labour. The relevant phenomenon here is technological change and the consequent rise in the productivity of this transformational process. </w:t>
      </w:r>
    </w:p>
    <w:p w:rsidR="00695389" w:rsidRPr="00D060C6" w:rsidRDefault="00695389" w:rsidP="00695389">
      <w:pPr>
        <w:spacing w:line="288" w:lineRule="auto"/>
        <w:ind w:firstLine="706"/>
        <w:jc w:val="both"/>
        <w:rPr>
          <w:rStyle w:val="apple-style-span"/>
          <w:rFonts w:ascii="Book Antiqua" w:hAnsi="Book Antiqua"/>
          <w:color w:val="000000"/>
          <w:lang w:val="en-GB"/>
        </w:rPr>
      </w:pPr>
      <w:r w:rsidRPr="00D060C6">
        <w:rPr>
          <w:rStyle w:val="apple-style-span"/>
          <w:rFonts w:ascii="Book Antiqua" w:hAnsi="Book Antiqua"/>
          <w:lang w:val="en-GB"/>
        </w:rPr>
        <w:t xml:space="preserve">New institutional economics brings out the concept of transaction costs as those costs that economic agents pay in order to exchange the results from their production and thus reap the benefits from the labour division. The exchange process can be easier or more difficult, that is to say costly, depending on the rules for this activity. “Rules of the game” in a society are built in institutions. Therefore institutions and institutional change are as important as technologies and technological </w:t>
      </w:r>
      <w:r w:rsidRPr="00D060C6">
        <w:rPr>
          <w:rStyle w:val="apple-style-span"/>
          <w:rFonts w:ascii="Book Antiqua" w:hAnsi="Book Antiqua"/>
          <w:color w:val="000000"/>
          <w:lang w:val="en-GB"/>
        </w:rPr>
        <w:t xml:space="preserve">change. In </w:t>
      </w:r>
      <w:r w:rsidRPr="00D060C6">
        <w:rPr>
          <w:rStyle w:val="apple-style-span"/>
          <w:rFonts w:ascii="Book Antiqua" w:hAnsi="Book Antiqua"/>
          <w:color w:val="000000" w:themeColor="text1"/>
          <w:lang w:val="en-GB"/>
        </w:rPr>
        <w:t xml:space="preserve">successful societies </w:t>
      </w:r>
      <w:r w:rsidRPr="00D060C6">
        <w:rPr>
          <w:rStyle w:val="apple-style-span"/>
          <w:rFonts w:ascii="Book Antiqua" w:hAnsi="Book Antiqua"/>
          <w:color w:val="000000"/>
          <w:lang w:val="en-GB"/>
        </w:rPr>
        <w:t>institutional and technological changes lead to those structural changes in the economy that lower all kind of costs, transformational and transactional</w:t>
      </w:r>
      <w:r w:rsidR="00503EA9">
        <w:rPr>
          <w:rStyle w:val="apple-style-span"/>
          <w:rFonts w:ascii="Book Antiqua" w:hAnsi="Book Antiqua"/>
          <w:color w:val="000000"/>
          <w:lang w:val="en-GB"/>
        </w:rPr>
        <w:t xml:space="preserve"> (Wallis and North 1994)</w:t>
      </w:r>
      <w:r w:rsidRPr="00D060C6">
        <w:rPr>
          <w:rStyle w:val="apple-style-span"/>
          <w:rFonts w:ascii="Book Antiqua" w:hAnsi="Book Antiqua"/>
          <w:color w:val="000000"/>
          <w:lang w:val="en-GB"/>
        </w:rPr>
        <w:t xml:space="preserve">. </w:t>
      </w:r>
    </w:p>
    <w:p w:rsidR="00695389" w:rsidRPr="005216FE" w:rsidRDefault="00695389" w:rsidP="00695389">
      <w:pPr>
        <w:spacing w:line="288" w:lineRule="auto"/>
        <w:ind w:firstLine="706"/>
        <w:jc w:val="both"/>
        <w:rPr>
          <w:rStyle w:val="apple-style-span"/>
          <w:rFonts w:ascii="Book Antiqua" w:hAnsi="Book Antiqua"/>
          <w:color w:val="000000" w:themeColor="text1"/>
          <w:lang w:val="en-GB"/>
        </w:rPr>
      </w:pPr>
      <w:r w:rsidRPr="00D060C6">
        <w:rPr>
          <w:rStyle w:val="apple-style-span"/>
          <w:rFonts w:ascii="Book Antiqua" w:hAnsi="Book Antiqua"/>
          <w:lang w:val="en-GB"/>
        </w:rPr>
        <w:lastRenderedPageBreak/>
        <w:t>In 1986 Wallis and North, in their article “Measuring the transaction sector in the American economy, 1870-1970”, try to give shape to the concept of transaction costs estimating their size as a proportion of the total economic activity in an economy. They gain several followers</w:t>
      </w:r>
      <w:r w:rsidRPr="00D060C6">
        <w:rPr>
          <w:rStyle w:val="FootnoteReference"/>
          <w:rFonts w:ascii="Book Antiqua" w:hAnsi="Book Antiqua"/>
          <w:lang w:val="en-GB"/>
        </w:rPr>
        <w:footnoteReference w:id="1"/>
      </w:r>
      <w:r w:rsidRPr="00D060C6">
        <w:rPr>
          <w:rStyle w:val="apple-style-span"/>
          <w:rFonts w:ascii="Book Antiqua" w:hAnsi="Book Antiqua"/>
          <w:lang w:val="en-GB"/>
        </w:rPr>
        <w:t xml:space="preserve"> who replicate the measurement methodology using data for different countries, but little is achieved in the field of testing hypotheses or empirical approbation of </w:t>
      </w:r>
      <w:r w:rsidRPr="005216FE">
        <w:rPr>
          <w:rStyle w:val="apple-style-span"/>
          <w:rFonts w:ascii="Book Antiqua" w:hAnsi="Book Antiqua"/>
          <w:lang w:val="en-GB"/>
        </w:rPr>
        <w:t xml:space="preserve">models of the new institutional economics on </w:t>
      </w:r>
      <w:r w:rsidRPr="005216FE">
        <w:rPr>
          <w:rStyle w:val="apple-style-span"/>
          <w:rFonts w:ascii="Book Antiqua" w:hAnsi="Book Antiqua"/>
          <w:color w:val="000000" w:themeColor="text1"/>
          <w:lang w:val="en-GB"/>
        </w:rPr>
        <w:t xml:space="preserve">macroeconomic level. All efforts remain in the field of the descriptive comparison. </w:t>
      </w:r>
    </w:p>
    <w:p w:rsidR="00695389" w:rsidRPr="006B2FF7" w:rsidRDefault="00695389" w:rsidP="00695389">
      <w:pPr>
        <w:spacing w:line="288" w:lineRule="auto"/>
        <w:ind w:firstLine="706"/>
        <w:jc w:val="both"/>
        <w:rPr>
          <w:rStyle w:val="apple-style-span"/>
          <w:rFonts w:ascii="Book Antiqua" w:hAnsi="Book Antiqua"/>
          <w:lang w:val="en-GB"/>
        </w:rPr>
      </w:pPr>
      <w:r w:rsidRPr="005216FE">
        <w:rPr>
          <w:rStyle w:val="apple-style-span"/>
          <w:rFonts w:ascii="Book Antiqua" w:hAnsi="Book Antiqua"/>
          <w:color w:val="000000" w:themeColor="text1"/>
          <w:lang w:val="en-GB"/>
        </w:rPr>
        <w:t xml:space="preserve">The </w:t>
      </w:r>
      <w:r w:rsidR="002D7033">
        <w:rPr>
          <w:rStyle w:val="apple-style-span"/>
          <w:rFonts w:ascii="Book Antiqua" w:hAnsi="Book Antiqua"/>
          <w:color w:val="000000" w:themeColor="text1"/>
          <w:lang w:val="en-GB"/>
        </w:rPr>
        <w:t>objectives</w:t>
      </w:r>
      <w:r w:rsidR="00FD6961" w:rsidRPr="005216FE">
        <w:rPr>
          <w:rStyle w:val="apple-style-span"/>
          <w:rFonts w:ascii="Book Antiqua" w:hAnsi="Book Antiqua"/>
          <w:color w:val="000000" w:themeColor="text1"/>
          <w:lang w:val="en-GB"/>
        </w:rPr>
        <w:t xml:space="preserve"> of this paper are three. The first objective is </w:t>
      </w:r>
      <w:r w:rsidRPr="005216FE">
        <w:rPr>
          <w:rStyle w:val="apple-style-span"/>
          <w:rFonts w:ascii="Book Antiqua" w:hAnsi="Book Antiqua"/>
          <w:color w:val="000000" w:themeColor="text1"/>
          <w:lang w:val="en-GB"/>
        </w:rPr>
        <w:t xml:space="preserve">to adapt a part of a </w:t>
      </w:r>
      <w:r w:rsidR="005A11F5">
        <w:rPr>
          <w:rStyle w:val="apple-style-span"/>
          <w:rFonts w:ascii="Book Antiqua" w:hAnsi="Book Antiqua"/>
          <w:color w:val="000000" w:themeColor="text1"/>
          <w:lang w:val="en-GB"/>
        </w:rPr>
        <w:t>framework</w:t>
      </w:r>
      <w:r w:rsidRPr="005216FE">
        <w:rPr>
          <w:rStyle w:val="apple-style-span"/>
          <w:rFonts w:ascii="Book Antiqua" w:hAnsi="Book Antiqua"/>
          <w:color w:val="000000" w:themeColor="text1"/>
          <w:lang w:val="en-GB"/>
        </w:rPr>
        <w:t xml:space="preserve"> for integration of institutional and technological changes (Wallis and North, </w:t>
      </w:r>
      <w:r w:rsidRPr="006B2FF7">
        <w:rPr>
          <w:rStyle w:val="apple-style-span"/>
          <w:rFonts w:ascii="Book Antiqua" w:hAnsi="Book Antiqua"/>
          <w:lang w:val="en-GB"/>
        </w:rPr>
        <w:t xml:space="preserve">1994) so it can be used with easily accessible </w:t>
      </w:r>
      <w:r w:rsidR="003A00F6" w:rsidRPr="006B2FF7">
        <w:rPr>
          <w:rStyle w:val="apple-style-span"/>
          <w:rFonts w:ascii="Book Antiqua" w:hAnsi="Book Antiqua"/>
          <w:lang w:val="en-GB"/>
        </w:rPr>
        <w:t xml:space="preserve">and standardized </w:t>
      </w:r>
      <w:r w:rsidRPr="006B2FF7">
        <w:rPr>
          <w:rStyle w:val="apple-style-span"/>
          <w:rFonts w:ascii="Book Antiqua" w:hAnsi="Book Antiqua"/>
          <w:lang w:val="en-GB"/>
        </w:rPr>
        <w:t xml:space="preserve">nominal data. </w:t>
      </w:r>
      <w:r w:rsidR="00FD6961" w:rsidRPr="006B2FF7">
        <w:rPr>
          <w:rStyle w:val="apple-style-span"/>
          <w:rFonts w:ascii="Book Antiqua" w:hAnsi="Book Antiqua"/>
          <w:lang w:val="en-GB"/>
        </w:rPr>
        <w:t xml:space="preserve">The second objective is </w:t>
      </w:r>
      <w:r w:rsidRPr="006B2FF7">
        <w:rPr>
          <w:rStyle w:val="apple-style-span"/>
          <w:rFonts w:ascii="Book Antiqua" w:hAnsi="Book Antiqua"/>
          <w:lang w:val="en-GB"/>
        </w:rPr>
        <w:t>to process international data according to this adapted model and see if they re</w:t>
      </w:r>
      <w:r w:rsidR="00FD6961" w:rsidRPr="006B2FF7">
        <w:rPr>
          <w:rStyle w:val="apple-style-span"/>
          <w:rFonts w:ascii="Book Antiqua" w:hAnsi="Book Antiqua"/>
          <w:lang w:val="en-GB"/>
        </w:rPr>
        <w:t xml:space="preserve">veal different patterns. The third objective is </w:t>
      </w:r>
      <w:r w:rsidR="00121590" w:rsidRPr="006B2FF7">
        <w:rPr>
          <w:rStyle w:val="apple-style-span"/>
          <w:rFonts w:ascii="Book Antiqua" w:hAnsi="Book Antiqua"/>
          <w:lang w:val="en-GB"/>
        </w:rPr>
        <w:t xml:space="preserve">to </w:t>
      </w:r>
      <w:r w:rsidRPr="006B2FF7">
        <w:rPr>
          <w:rStyle w:val="apple-style-span"/>
          <w:rFonts w:ascii="Book Antiqua" w:hAnsi="Book Antiqua"/>
          <w:lang w:val="en-GB"/>
        </w:rPr>
        <w:t xml:space="preserve">define and find examples of successful structural changes in the economy using these data and this model. </w:t>
      </w:r>
    </w:p>
    <w:p w:rsidR="00695389" w:rsidRPr="006B2FF7" w:rsidRDefault="00695389" w:rsidP="00695389">
      <w:pPr>
        <w:spacing w:line="288" w:lineRule="auto"/>
        <w:ind w:firstLine="706"/>
        <w:jc w:val="both"/>
        <w:rPr>
          <w:rStyle w:val="apple-style-span"/>
          <w:rFonts w:ascii="Book Antiqua" w:hAnsi="Book Antiqua"/>
          <w:lang w:val="en-GB"/>
        </w:rPr>
      </w:pPr>
      <w:r w:rsidRPr="006B2FF7">
        <w:rPr>
          <w:rStyle w:val="apple-style-span"/>
          <w:rFonts w:ascii="Book Antiqua" w:hAnsi="Book Antiqua"/>
          <w:lang w:val="en-GB"/>
        </w:rPr>
        <w:t xml:space="preserve">The remainder of the paper is structured as follows. Section 2 explains the concept of transaction costs, their connection with institutions, and presents shortly a model of interplay between institutional and technological changes in the economy, as North and Wallis (1994) propose it. Section 3 gives reasons for the used data set, and describes it. Section 4 links this particular data set with </w:t>
      </w:r>
      <w:r w:rsidR="00113E19">
        <w:rPr>
          <w:rStyle w:val="apple-style-span"/>
          <w:rFonts w:ascii="Book Antiqua" w:hAnsi="Book Antiqua"/>
          <w:lang w:val="en-GB"/>
        </w:rPr>
        <w:t xml:space="preserve">part of </w:t>
      </w:r>
      <w:r w:rsidRPr="006B2FF7">
        <w:rPr>
          <w:rStyle w:val="apple-style-span"/>
          <w:rFonts w:ascii="Book Antiqua" w:hAnsi="Book Antiqua"/>
          <w:lang w:val="en-GB"/>
        </w:rPr>
        <w:t xml:space="preserve">the aforementioned but now adapted model. Section 5 reports the calculation methodology, and Section 6 discusses the results. Section 7 concludes and summarizes. </w:t>
      </w:r>
    </w:p>
    <w:p w:rsidR="00695389" w:rsidRPr="006B2FF7" w:rsidRDefault="00695389" w:rsidP="00695389">
      <w:pPr>
        <w:spacing w:line="288" w:lineRule="auto"/>
        <w:jc w:val="both"/>
        <w:rPr>
          <w:rStyle w:val="apple-style-span"/>
          <w:rFonts w:ascii="Book Antiqua" w:hAnsi="Book Antiqua"/>
          <w:lang w:val="en-GB"/>
        </w:rPr>
      </w:pPr>
    </w:p>
    <w:p w:rsidR="00695389" w:rsidRPr="00D060C6" w:rsidRDefault="00695389" w:rsidP="00695389">
      <w:pPr>
        <w:spacing w:line="288" w:lineRule="auto"/>
        <w:jc w:val="both"/>
        <w:rPr>
          <w:rStyle w:val="apple-style-span"/>
          <w:rFonts w:ascii="Book Antiqua" w:hAnsi="Book Antiqua"/>
          <w:b/>
          <w:spacing w:val="10"/>
          <w:lang w:val="en-GB"/>
        </w:rPr>
      </w:pPr>
      <w:r w:rsidRPr="00D060C6">
        <w:rPr>
          <w:rStyle w:val="apple-style-span"/>
          <w:rFonts w:ascii="Book Antiqua" w:hAnsi="Book Antiqua"/>
          <w:b/>
          <w:spacing w:val="10"/>
          <w:lang w:val="en-GB"/>
        </w:rPr>
        <w:t xml:space="preserve">2. TRANSACTION COSTS, INSTITUTIONS, INTERACTIONS </w:t>
      </w:r>
    </w:p>
    <w:p w:rsidR="00695389" w:rsidRPr="00D060C6" w:rsidRDefault="00695389" w:rsidP="00695389">
      <w:pPr>
        <w:spacing w:line="288" w:lineRule="auto"/>
        <w:jc w:val="both"/>
        <w:rPr>
          <w:rFonts w:cs="Tahoma"/>
          <w:lang w:val="en-GB"/>
        </w:rPr>
      </w:pPr>
    </w:p>
    <w:p w:rsidR="00695389" w:rsidRPr="00D060C6" w:rsidRDefault="0091741F" w:rsidP="00695389">
      <w:pPr>
        <w:spacing w:line="288" w:lineRule="auto"/>
        <w:ind w:firstLine="706"/>
        <w:jc w:val="both"/>
        <w:rPr>
          <w:rFonts w:ascii="Book Antiqua" w:hAnsi="Book Antiqua" w:cs="Tahoma"/>
          <w:b/>
          <w:lang w:val="en-GB"/>
        </w:rPr>
      </w:pPr>
      <w:r w:rsidRPr="00D060C6">
        <w:rPr>
          <w:rFonts w:ascii="Book Antiqua" w:hAnsi="Book Antiqua" w:cs="Tahoma"/>
          <w:b/>
          <w:lang w:val="en-GB"/>
        </w:rPr>
        <w:t xml:space="preserve">2.1. </w:t>
      </w:r>
      <w:r w:rsidR="00695389" w:rsidRPr="00D060C6">
        <w:rPr>
          <w:rFonts w:ascii="Book Antiqua" w:hAnsi="Book Antiqua" w:cs="Tahoma"/>
          <w:b/>
          <w:lang w:val="en-GB"/>
        </w:rPr>
        <w:t xml:space="preserve">Transaction costs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On the macroeconomic level transaction costs are vaguely defined. This does not mean they are unimportant. When something sounds vague, it is hard to be measured. When it is not measured, it is not possible to test it and the theories and the models connected with it. When a theory is not clashed with the empirics, it cannot develop, and it cannot prove as an important theory and enter the mainstream of economics. In this section I give a simple example of what transaction costs are, how they are influenced by institutions, and why institutional changes are worth keeping an eye on them.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In economy-wide aspect transaction costs are cited as “costs of running the economic system” (Arrow, 1969) and then every researcher plunge into their own </w:t>
      </w:r>
      <w:r w:rsidRPr="00D060C6">
        <w:rPr>
          <w:rFonts w:ascii="Book Antiqua" w:hAnsi="Book Antiqua" w:cs="Tahoma"/>
          <w:lang w:val="en-GB"/>
        </w:rPr>
        <w:lastRenderedPageBreak/>
        <w:t>comprehension of the matter. I prefer to take my stand from the words of Steven Cheung for whom transaction costs are “all those costs that cannot be conceived to exist in a Robinson Crusoe economy where neither property rights, no transactions, nor any kind of economic organization can be founded” (Wang, 2007).</w:t>
      </w:r>
      <w:r w:rsidR="00F17203">
        <w:rPr>
          <w:rFonts w:ascii="Book Antiqua" w:hAnsi="Book Antiqua" w:cs="Tahoma"/>
          <w:lang w:val="en-GB"/>
        </w:rPr>
        <w:t xml:space="preserve"> In microeconomics textbooks we</w:t>
      </w:r>
      <w:r w:rsidRPr="00D060C6">
        <w:rPr>
          <w:rFonts w:ascii="Book Antiqua" w:hAnsi="Book Antiqua" w:cs="Tahoma"/>
          <w:lang w:val="en-GB"/>
        </w:rPr>
        <w:t xml:space="preserve"> can find the Robinson Crusoe economy as an example of how the production possibilities frontier can expand after Crusoe starts to trade with Friday. If Crusoe is better at doing one thing, say picking nuts, and Friday is better at doing another thing, say fishing, then for both of them it is a better solution to specialize in one activity and exchange the surpluses. And that is how the benefits from division of labour due to comparative and absolute advantages are introduced to students.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Now imagine that Crusoe and Friday do not trust each other while making business together. A situation that is typical for big markets with infinite possible contractors with never repeating contacts. Being only two on a desolate island almost precludes any idea for cheating and opportunistic behaviour but imagine that a ship of H. M. the Queen of Britain has discovered Crusoe and Friday and the two islanders have started trade with the British Empire. This is the only way to increase the consumption of the nuts and fish but it also imposes unpleasant consequences like a representative of the Empire being sent on the island. He, or nowadays she, will play the role of a law maker, a judge, a policeman, a soldier, a fireman, a builder of public infrastructure, a public clerk and a producer of all other public services that a developed economy needs in order to regulate the infinite number of transactions between agents that may not have good reasons to behave honestly, or perfectly rationally.</w:t>
      </w:r>
    </w:p>
    <w:p w:rsidR="00695389" w:rsidRPr="00D060C6" w:rsidRDefault="00695389" w:rsidP="00695389">
      <w:pPr>
        <w:spacing w:line="288" w:lineRule="auto"/>
        <w:ind w:firstLine="706"/>
        <w:jc w:val="both"/>
        <w:rPr>
          <w:rFonts w:ascii="Book Antiqua" w:hAnsi="Book Antiqua" w:cs="Tahoma"/>
          <w:lang w:val="en-GB"/>
        </w:rPr>
      </w:pPr>
    </w:p>
    <w:p w:rsidR="00695389" w:rsidRPr="00D060C6" w:rsidRDefault="00A903FF" w:rsidP="00695389">
      <w:pPr>
        <w:spacing w:line="288" w:lineRule="auto"/>
        <w:ind w:firstLine="706"/>
        <w:jc w:val="both"/>
        <w:rPr>
          <w:rFonts w:ascii="Book Antiqua" w:hAnsi="Book Antiqua" w:cs="Tahoma"/>
          <w:b/>
          <w:lang w:val="en-GB"/>
        </w:rPr>
      </w:pPr>
      <w:r w:rsidRPr="00D060C6">
        <w:rPr>
          <w:rFonts w:ascii="Book Antiqua" w:hAnsi="Book Antiqua" w:cs="Tahoma"/>
          <w:b/>
          <w:lang w:val="en-GB"/>
        </w:rPr>
        <w:t xml:space="preserve">2.2. </w:t>
      </w:r>
      <w:r w:rsidR="00695389" w:rsidRPr="00D060C6">
        <w:rPr>
          <w:rFonts w:ascii="Book Antiqua" w:hAnsi="Book Antiqua" w:cs="Tahoma"/>
          <w:b/>
          <w:lang w:val="en-GB"/>
        </w:rPr>
        <w:t xml:space="preserve">Institutions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The presence of this judge-policeman-clerk can actually be “pleasant” or “unpleasant”, that is to say in economic terms “efficient” or “inefficient”. If his presence increases the production of nuts and fish well enough to satisfy at higher level the needs of now three people in the insular economy, then the institutions that rule this economy are efficient. In the New Institutional Economics institutions encompass a wide range of rules that guide the economic behaviour of the agents. Starting from inner believes and values to legally set norms. If agents tend to cheat, or if laws are made equivocal, the Crusoe-Friday economy will need more representatives from the Empire to punish the cheaters and to explain the laws, and this will have no direct effect on the ability of Crusoe to pick nuts and the ability of Friday to catch fish. There will be no technological change in the economy, no change in the resources needed for production. There will be more transaction costs – the reward for the judge-policeman-clerks – because of this nature of the institutions. </w:t>
      </w:r>
      <w:r w:rsidRPr="00D060C6">
        <w:rPr>
          <w:rFonts w:ascii="Book Antiqua" w:hAnsi="Book Antiqua" w:cs="Tahoma"/>
          <w:lang w:val="en-GB"/>
        </w:rPr>
        <w:lastRenderedPageBreak/>
        <w:t>More costs to perform the economic transactions and same costs to transform the resources (fish in the sea) into products (fish in the pan)</w:t>
      </w:r>
      <w:proofErr w:type="gramStart"/>
      <w:r w:rsidRPr="00D060C6">
        <w:rPr>
          <w:rFonts w:ascii="Book Antiqua" w:hAnsi="Book Antiqua" w:cs="Tahoma"/>
          <w:lang w:val="en-GB"/>
        </w:rPr>
        <w:t>,</w:t>
      </w:r>
      <w:proofErr w:type="gramEnd"/>
      <w:r w:rsidR="00FE76E9">
        <w:rPr>
          <w:rFonts w:ascii="Book Antiqua" w:hAnsi="Book Antiqua" w:cs="Tahoma"/>
          <w:lang w:val="en-GB"/>
        </w:rPr>
        <w:t xml:space="preserve"> </w:t>
      </w:r>
      <w:r w:rsidRPr="00D060C6">
        <w:rPr>
          <w:rFonts w:ascii="Book Antiqua" w:hAnsi="Book Antiqua" w:cs="Tahoma"/>
          <w:lang w:val="en-GB"/>
        </w:rPr>
        <w:t xml:space="preserve">this is not a successful development of the economy. More transaction costs, combined with bigger drop in the transformation costs, would be another story. </w:t>
      </w:r>
    </w:p>
    <w:p w:rsidR="00D6303E" w:rsidRDefault="00D6303E" w:rsidP="00695389">
      <w:pPr>
        <w:spacing w:line="288" w:lineRule="auto"/>
        <w:ind w:firstLine="706"/>
        <w:jc w:val="both"/>
        <w:rPr>
          <w:rFonts w:ascii="Book Antiqua" w:hAnsi="Book Antiqua" w:cs="Tahoma"/>
          <w:b/>
          <w:lang w:val="en-GB"/>
        </w:rPr>
      </w:pPr>
    </w:p>
    <w:p w:rsidR="00695389" w:rsidRPr="00D060C6" w:rsidRDefault="00A903FF" w:rsidP="00695389">
      <w:pPr>
        <w:spacing w:line="288" w:lineRule="auto"/>
        <w:ind w:firstLine="706"/>
        <w:jc w:val="both"/>
        <w:rPr>
          <w:rFonts w:ascii="Book Antiqua" w:hAnsi="Book Antiqua" w:cs="Tahoma"/>
          <w:b/>
          <w:lang w:val="en-GB"/>
        </w:rPr>
      </w:pPr>
      <w:r w:rsidRPr="00D060C6">
        <w:rPr>
          <w:rFonts w:ascii="Book Antiqua" w:hAnsi="Book Antiqua" w:cs="Tahoma"/>
          <w:b/>
          <w:lang w:val="en-GB"/>
        </w:rPr>
        <w:t xml:space="preserve">2.3. </w:t>
      </w:r>
      <w:r w:rsidR="00695389" w:rsidRPr="00D060C6">
        <w:rPr>
          <w:rFonts w:ascii="Book Antiqua" w:hAnsi="Book Antiqua" w:cs="Tahoma"/>
          <w:b/>
          <w:lang w:val="en-GB"/>
        </w:rPr>
        <w:t>Interactions</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In their paper “Integrating Institutional Change and Technical Change in Economic History: A Transaction Cost Approach” (1994) Wallis and North develop a framework for analysing the relationship between technical and institutional changes. Technical change, which I call here technological, is any change in the composition of inputs that are transformed to products for final use or for intermediate use in further stages of the production process. In my example Crusoe and Friday perform such transformation function in the economy and all resources used for it are transformation costs. Their labour, the capital they may use, the raw inputs like bait for the fish. Institutions set the level of transaction costs – labour, capital, raw materials for the work of the judge-policeman-clerk, who has a transaction function in the economy. Institutional change may increase or decrease the transaction costs but more important is how these changes interact with the changes from the technological innovations. Altogether they may lead to increase in productivity, and then bigger costs will be compensated with even bigger output.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Second point in the paper is that both types of changes can give impulse in the economy. For example the legal construct of the corporate business, once invented, allowed for the collection of huge financial resources from multitude of capital owners with limited responsibility who do not need to know each other or to run directly the company. The financial securing of a production on large scale made reasonable the invention and implementation of technologies for mass production. Of course, it is vain to think we can undoubtfully separate the two processes and put one of them in the beginning: is that first engineers invented the new technologies or that first institutional phenomena took place in the society. It is good enough if the two types of changes happen synchronously with a reasonably small lag in time so that potential benefits from new production technology are not suffocated by inappropriate exchange mechanisms. It is more about the flexibility of the institutions and the rates with which transaction costs change, not their absolute levels. In fact, we cannot judge the efficiency of transaction costs when institutions are at rest because we cannot measure an alternative “what if” state. We can only assess the efficiency of the direction in which they change. Do they lead to bigger productivity or not.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Third point in the paper is that because innovations in one industry spill over the economy through the intermediate consumption, thus technological and </w:t>
      </w:r>
      <w:r w:rsidRPr="00D060C6">
        <w:rPr>
          <w:rFonts w:ascii="Book Antiqua" w:hAnsi="Book Antiqua" w:cs="Tahoma"/>
          <w:lang w:val="en-GB"/>
        </w:rPr>
        <w:lastRenderedPageBreak/>
        <w:t>institutional changes interact. For example when Alexander Bell invented the telephone, this was a technological change in its own industry. The industry of telecommunications has a transformation function in the economy. It combines raw inputs in such a way that we can transmit information over long distances in order to communicate. The invention of the telephone is called by Wallis and North “a transformation augmenting technical change”. It augmented the transformation function of the telecommunication industry. With the same resources, combined in a new way, we can transmit more quantity of information, and at a better quality. For the other industries, which use the telephone to coordinate the complex net of the modern production process, the invention of the telephone is a transaction augmenting technical change. It supports the increase of productivity of the transaction function in the companies. Now</w:t>
      </w:r>
      <w:r w:rsidR="001E091D">
        <w:rPr>
          <w:rFonts w:ascii="Book Antiqua" w:hAnsi="Book Antiqua" w:cs="Tahoma"/>
          <w:lang w:val="en-GB"/>
        </w:rPr>
        <w:t>,</w:t>
      </w:r>
      <w:r w:rsidRPr="00D060C6">
        <w:rPr>
          <w:rFonts w:ascii="Book Antiqua" w:hAnsi="Book Antiqua" w:cs="Tahoma"/>
          <w:lang w:val="en-GB"/>
        </w:rPr>
        <w:t xml:space="preserve"> we have to distinguish types of transaction costs.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In brief, Wallis and North (1986) discern three parts of the transaction function in the economy. There is one that is performed by specialized intermediaries, like financial industry, insurance industry, real estate industry, wholesalers and retailers. The companies in these industries help other industries sell their products. The essential feature of the value added of these industries is the change in the property rights, the change in the legal status of the exchanged products. Second place to find such a function is within the companies from the transformation industries. There is a multitude of professions which single purpose is to sustain the transformation of inputs from the entrance of the firm to its exit. If Robinson Crusoe was to set up the company Crusoe Inc. in order to reach economies of scale, he would have to deal with secretaries, foremen, managers, clerks, accountants, marketing specialists, etc. – all of them people with no direct link to the process of </w:t>
      </w:r>
      <w:r w:rsidR="00F17203">
        <w:rPr>
          <w:rFonts w:ascii="Book Antiqua" w:hAnsi="Book Antiqua" w:cs="Tahoma"/>
          <w:lang w:val="en-GB"/>
        </w:rPr>
        <w:t>picking nuts from the palms. We</w:t>
      </w:r>
      <w:r w:rsidR="00534B1F">
        <w:rPr>
          <w:rFonts w:ascii="Book Antiqua" w:hAnsi="Book Antiqua" w:cs="Tahoma"/>
          <w:lang w:val="en-GB"/>
        </w:rPr>
        <w:t xml:space="preserve"> canno</w:t>
      </w:r>
      <w:r w:rsidRPr="00D060C6">
        <w:rPr>
          <w:rFonts w:ascii="Book Antiqua" w:hAnsi="Book Antiqua" w:cs="Tahoma"/>
          <w:lang w:val="en-GB"/>
        </w:rPr>
        <w:t xml:space="preserve">t say outright that they are all useless. Third, here comes the Government like a big traffic policeman. It is supposed to relieve all tensions that occur in the process of exchange of products where specialized intermediaries (because of market failure) or specialized professions (because of principal-agent conflict) cannot cope with. </w:t>
      </w:r>
    </w:p>
    <w:p w:rsidR="006E248C"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The ambition in this paper is only the first type of transaction function to be modelled w</w:t>
      </w:r>
      <w:r w:rsidR="000D7C4F" w:rsidRPr="00D060C6">
        <w:rPr>
          <w:rFonts w:ascii="Book Antiqua" w:hAnsi="Book Antiqua" w:cs="Tahoma"/>
          <w:lang w:val="en-GB"/>
        </w:rPr>
        <w:t>ith input-output tables. It is the type that</w:t>
      </w:r>
      <w:r w:rsidRPr="00D060C6">
        <w:rPr>
          <w:rFonts w:ascii="Book Antiqua" w:hAnsi="Book Antiqua" w:cs="Tahoma"/>
          <w:lang w:val="en-GB"/>
        </w:rPr>
        <w:t xml:space="preserve"> concerns </w:t>
      </w:r>
      <w:proofErr w:type="spellStart"/>
      <w:r w:rsidRPr="00D060C6">
        <w:rPr>
          <w:rFonts w:ascii="Book Antiqua" w:hAnsi="Book Antiqua" w:cs="Tahoma"/>
          <w:lang w:val="en-GB"/>
        </w:rPr>
        <w:t>spillovers</w:t>
      </w:r>
      <w:proofErr w:type="spellEnd"/>
      <w:r w:rsidRPr="00D060C6">
        <w:rPr>
          <w:rFonts w:ascii="Book Antiqua" w:hAnsi="Book Antiqua" w:cs="Tahoma"/>
          <w:lang w:val="en-GB"/>
        </w:rPr>
        <w:t xml:space="preserve"> from institutional or technologi</w:t>
      </w:r>
      <w:r w:rsidR="000D7C4F" w:rsidRPr="00D060C6">
        <w:rPr>
          <w:rFonts w:ascii="Book Antiqua" w:hAnsi="Book Antiqua" w:cs="Tahoma"/>
          <w:lang w:val="en-GB"/>
        </w:rPr>
        <w:t xml:space="preserve">cal changes through the economy </w:t>
      </w:r>
      <w:r w:rsidRPr="00D060C6">
        <w:rPr>
          <w:rFonts w:ascii="Book Antiqua" w:hAnsi="Book Antiqua" w:cs="Tahoma"/>
          <w:lang w:val="en-GB"/>
        </w:rPr>
        <w:t xml:space="preserve">using the linkage of intermediary consumption. Wallis and North (1994) </w:t>
      </w:r>
      <w:r w:rsidR="00E2775C">
        <w:rPr>
          <w:rFonts w:ascii="Book Antiqua" w:hAnsi="Book Antiqua" w:cs="Tahoma"/>
          <w:lang w:val="en-GB"/>
        </w:rPr>
        <w:t>imply</w:t>
      </w:r>
      <w:r w:rsidRPr="00D060C6">
        <w:rPr>
          <w:rFonts w:ascii="Book Antiqua" w:hAnsi="Book Antiqua" w:cs="Tahoma"/>
          <w:lang w:val="en-GB"/>
        </w:rPr>
        <w:t xml:space="preserve"> </w:t>
      </w:r>
      <w:r w:rsidR="00A46C78">
        <w:rPr>
          <w:rFonts w:ascii="Book Antiqua" w:hAnsi="Book Antiqua" w:cs="Tahoma"/>
          <w:lang w:val="en-GB"/>
        </w:rPr>
        <w:t>eight</w:t>
      </w:r>
      <w:r w:rsidRPr="00D060C6">
        <w:rPr>
          <w:rFonts w:ascii="Book Antiqua" w:hAnsi="Book Antiqua" w:cs="Tahoma"/>
          <w:lang w:val="en-GB"/>
        </w:rPr>
        <w:t xml:space="preserve"> types of changes</w:t>
      </w:r>
      <w:r w:rsidR="00993BF8">
        <w:rPr>
          <w:rFonts w:ascii="Book Antiqua" w:hAnsi="Book Antiqua" w:cs="Tahoma"/>
          <w:lang w:val="en-GB"/>
        </w:rPr>
        <w:t>, though they do not give historical examples for all of them</w:t>
      </w:r>
      <w:r w:rsidRPr="00D060C6">
        <w:rPr>
          <w:rFonts w:ascii="Book Antiqua" w:hAnsi="Book Antiqua" w:cs="Tahoma"/>
          <w:lang w:val="en-GB"/>
        </w:rPr>
        <w:t xml:space="preserve">. </w:t>
      </w:r>
      <w:r w:rsidR="00A46C78">
        <w:rPr>
          <w:rFonts w:ascii="Book Antiqua" w:hAnsi="Book Antiqua" w:cs="Tahoma"/>
          <w:lang w:val="en-GB"/>
        </w:rPr>
        <w:t>First pair, b</w:t>
      </w:r>
      <w:r w:rsidRPr="00D060C6">
        <w:rPr>
          <w:rFonts w:ascii="Book Antiqua" w:hAnsi="Book Antiqua" w:cs="Tahoma"/>
          <w:lang w:val="en-GB"/>
        </w:rPr>
        <w:t>y type of the impulse</w:t>
      </w:r>
      <w:r w:rsidR="00150DC2">
        <w:rPr>
          <w:rFonts w:ascii="Book Antiqua" w:hAnsi="Book Antiqua" w:cs="Tahoma"/>
          <w:lang w:val="en-GB"/>
        </w:rPr>
        <w:t>,</w:t>
      </w:r>
      <w:r w:rsidRPr="00D060C6">
        <w:rPr>
          <w:rFonts w:ascii="Book Antiqua" w:hAnsi="Book Antiqua" w:cs="Tahoma"/>
          <w:lang w:val="en-GB"/>
        </w:rPr>
        <w:t xml:space="preserve"> they are a technical or an institutional change. If it occurs in the industries with transformation function, it is a technological </w:t>
      </w:r>
      <w:r w:rsidR="000C7963" w:rsidRPr="00D060C6">
        <w:rPr>
          <w:rFonts w:ascii="Book Antiqua" w:hAnsi="Book Antiqua" w:cs="Tahoma"/>
          <w:lang w:val="en-GB"/>
        </w:rPr>
        <w:t>change;</w:t>
      </w:r>
      <w:r w:rsidRPr="00D060C6">
        <w:rPr>
          <w:rFonts w:ascii="Book Antiqua" w:hAnsi="Book Antiqua" w:cs="Tahoma"/>
          <w:lang w:val="en-GB"/>
        </w:rPr>
        <w:t xml:space="preserve"> otherwise it is an institutional change. For example the development of investment banking in the financial sector is an institutional change. </w:t>
      </w:r>
      <w:r w:rsidR="00A46C78">
        <w:rPr>
          <w:rFonts w:ascii="Book Antiqua" w:hAnsi="Book Antiqua" w:cs="Tahoma"/>
          <w:lang w:val="en-GB"/>
        </w:rPr>
        <w:t xml:space="preserve">Second pair </w:t>
      </w:r>
      <w:r w:rsidR="00F85F8E">
        <w:rPr>
          <w:rFonts w:ascii="Book Antiqua" w:hAnsi="Book Antiqua" w:cs="Tahoma"/>
          <w:lang w:val="en-GB"/>
        </w:rPr>
        <w:t>of possibilities</w:t>
      </w:r>
      <w:r w:rsidR="00150DC2">
        <w:rPr>
          <w:rFonts w:ascii="Book Antiqua" w:hAnsi="Book Antiqua" w:cs="Tahoma"/>
          <w:lang w:val="en-GB"/>
        </w:rPr>
        <w:t>,</w:t>
      </w:r>
      <w:r w:rsidR="00F85F8E">
        <w:rPr>
          <w:rFonts w:ascii="Book Antiqua" w:hAnsi="Book Antiqua" w:cs="Tahoma"/>
          <w:lang w:val="en-GB"/>
        </w:rPr>
        <w:t xml:space="preserve"> </w:t>
      </w:r>
      <w:r w:rsidR="00A46C78">
        <w:rPr>
          <w:rFonts w:ascii="Book Antiqua" w:hAnsi="Book Antiqua" w:cs="Tahoma"/>
          <w:lang w:val="en-GB"/>
        </w:rPr>
        <w:t xml:space="preserve">is by type of </w:t>
      </w:r>
      <w:r w:rsidR="00A46C78">
        <w:rPr>
          <w:rFonts w:ascii="Book Antiqua" w:hAnsi="Book Antiqua" w:cs="Tahoma"/>
          <w:lang w:val="en-GB"/>
        </w:rPr>
        <w:lastRenderedPageBreak/>
        <w:t xml:space="preserve">the influenced economic function. </w:t>
      </w:r>
      <w:r w:rsidRPr="00D060C6">
        <w:rPr>
          <w:rFonts w:ascii="Book Antiqua" w:hAnsi="Book Antiqua" w:cs="Tahoma"/>
          <w:lang w:val="en-GB"/>
        </w:rPr>
        <w:t xml:space="preserve">If the change influences the transformation function in the economy – this is the ability to transform inputs into outputs – this is </w:t>
      </w:r>
      <w:r w:rsidR="00E2775C">
        <w:rPr>
          <w:rFonts w:ascii="Book Antiqua" w:hAnsi="Book Antiqua" w:cs="Tahoma"/>
          <w:lang w:val="en-GB"/>
        </w:rPr>
        <w:t xml:space="preserve">a </w:t>
      </w:r>
      <w:r w:rsidRPr="00D060C6">
        <w:rPr>
          <w:rFonts w:ascii="Book Antiqua" w:hAnsi="Book Antiqua" w:cs="Tahoma"/>
          <w:lang w:val="en-GB"/>
        </w:rPr>
        <w:t xml:space="preserve">transformation changing innovation. Otherwise it is transaction changing innovation. The third </w:t>
      </w:r>
      <w:r w:rsidR="006B7862">
        <w:rPr>
          <w:rFonts w:ascii="Book Antiqua" w:hAnsi="Book Antiqua" w:cs="Tahoma"/>
          <w:lang w:val="en-GB"/>
        </w:rPr>
        <w:t>pair</w:t>
      </w:r>
      <w:r w:rsidRPr="00D060C6">
        <w:rPr>
          <w:rFonts w:ascii="Book Antiqua" w:hAnsi="Book Antiqua" w:cs="Tahoma"/>
          <w:lang w:val="en-GB"/>
        </w:rPr>
        <w:t xml:space="preserve"> is whether the change augments or attenuates the results from the economic performance. </w:t>
      </w:r>
      <w:r w:rsidR="000F7C8C">
        <w:rPr>
          <w:rFonts w:ascii="Book Antiqua" w:hAnsi="Book Antiqua" w:cs="Tahoma"/>
          <w:lang w:val="en-GB"/>
        </w:rPr>
        <w:t xml:space="preserve">The eight possible types of changes, following from the interactions between institutional and technological development, result from these 2 x 2 x 2 </w:t>
      </w:r>
      <w:r w:rsidR="004D73A7">
        <w:rPr>
          <w:rFonts w:ascii="Book Antiqua" w:hAnsi="Book Antiqua" w:cs="Tahoma"/>
          <w:lang w:val="en-GB"/>
        </w:rPr>
        <w:t xml:space="preserve">permutations. </w:t>
      </w:r>
    </w:p>
    <w:p w:rsidR="00695389" w:rsidRPr="00D060C6" w:rsidRDefault="00167832" w:rsidP="00695389">
      <w:pPr>
        <w:spacing w:line="288" w:lineRule="auto"/>
        <w:ind w:firstLine="706"/>
        <w:jc w:val="both"/>
        <w:rPr>
          <w:rFonts w:ascii="Book Antiqua" w:hAnsi="Book Antiqua" w:cs="Tahoma"/>
          <w:lang w:val="en-GB"/>
        </w:rPr>
      </w:pPr>
      <w:r>
        <w:rPr>
          <w:rFonts w:ascii="Book Antiqua" w:hAnsi="Book Antiqua" w:cs="Tahoma"/>
          <w:lang w:val="en-GB"/>
        </w:rPr>
        <w:t>Last</w:t>
      </w:r>
      <w:r w:rsidR="00695389" w:rsidRPr="00D060C6">
        <w:rPr>
          <w:rFonts w:ascii="Book Antiqua" w:hAnsi="Book Antiqua" w:cs="Tahoma"/>
          <w:lang w:val="en-GB"/>
        </w:rPr>
        <w:t xml:space="preserve"> but not the least to mark off, Wallis and North (1994) speak of productivity which presumes data in constant prices while more practical from empirical standpoint it would be to formulate a model in nominal terms. </w:t>
      </w:r>
    </w:p>
    <w:p w:rsidR="00695389" w:rsidRPr="00D060C6" w:rsidRDefault="00695389" w:rsidP="00695389">
      <w:pPr>
        <w:spacing w:line="288" w:lineRule="auto"/>
        <w:ind w:firstLine="706"/>
        <w:jc w:val="both"/>
        <w:rPr>
          <w:rFonts w:ascii="Book Antiqua" w:hAnsi="Book Antiqua" w:cs="Tahoma"/>
          <w:lang w:val="en-GB"/>
        </w:rPr>
      </w:pPr>
    </w:p>
    <w:p w:rsidR="00695389" w:rsidRPr="00D060C6" w:rsidRDefault="00695389" w:rsidP="00695389">
      <w:pPr>
        <w:spacing w:line="288" w:lineRule="auto"/>
        <w:jc w:val="both"/>
        <w:rPr>
          <w:rStyle w:val="apple-style-span"/>
          <w:b/>
          <w:spacing w:val="10"/>
          <w:lang w:val="en-GB"/>
        </w:rPr>
      </w:pPr>
      <w:r w:rsidRPr="00D060C6">
        <w:rPr>
          <w:rStyle w:val="apple-style-span"/>
          <w:b/>
          <w:spacing w:val="10"/>
          <w:lang w:val="en-GB"/>
        </w:rPr>
        <w:t>3. DATA SET</w:t>
      </w:r>
    </w:p>
    <w:p w:rsidR="00695389" w:rsidRPr="00D060C6" w:rsidRDefault="00695389" w:rsidP="00695389">
      <w:pPr>
        <w:spacing w:line="288" w:lineRule="auto"/>
        <w:jc w:val="both"/>
        <w:rPr>
          <w:rFonts w:ascii="Book Antiqua" w:hAnsi="Book Antiqua" w:cs="Tahoma"/>
          <w:lang w:val="en-GB"/>
        </w:rPr>
      </w:pP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It is one thing to model in constant prices</w:t>
      </w:r>
      <w:r w:rsidR="00274641">
        <w:rPr>
          <w:rFonts w:ascii="Book Antiqua" w:hAnsi="Book Antiqua" w:cs="Tahoma"/>
          <w:lang w:val="en-GB"/>
        </w:rPr>
        <w:t>,</w:t>
      </w:r>
      <w:r w:rsidRPr="00D060C6">
        <w:rPr>
          <w:rFonts w:ascii="Book Antiqua" w:hAnsi="Book Antiqua" w:cs="Tahoma"/>
          <w:lang w:val="en-GB"/>
        </w:rPr>
        <w:t xml:space="preserve"> and anoth</w:t>
      </w:r>
      <w:r w:rsidR="00F17203">
        <w:rPr>
          <w:rFonts w:ascii="Book Antiqua" w:hAnsi="Book Antiqua" w:cs="Tahoma"/>
          <w:lang w:val="en-GB"/>
        </w:rPr>
        <w:t>er to use what life can give us</w:t>
      </w:r>
      <w:r w:rsidRPr="00D060C6">
        <w:rPr>
          <w:rFonts w:ascii="Book Antiqua" w:hAnsi="Book Antiqua" w:cs="Tahoma"/>
          <w:lang w:val="en-GB"/>
        </w:rPr>
        <w:t xml:space="preserve">. The concept of productivity requires use of data at constant prices. But input-output tables at constant prices are not often met, and especially for free in internet. Nominal data would enormously relieve the comparisons in time and space.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The original paper from which the entire endeavour to quantify the transaction costs at macro level started is Wallis and North’s “Measuring the transaction sector in the American economy, 1870-1970”. It uses USA specific statistical data sets and ever after that, when replicated, there </w:t>
      </w:r>
      <w:r w:rsidR="00274641">
        <w:rPr>
          <w:rFonts w:ascii="Book Antiqua" w:hAnsi="Book Antiqua" w:cs="Tahoma"/>
          <w:lang w:val="en-GB"/>
        </w:rPr>
        <w:t>are</w:t>
      </w:r>
      <w:r w:rsidRPr="00D060C6">
        <w:rPr>
          <w:rFonts w:ascii="Book Antiqua" w:hAnsi="Book Antiqua" w:cs="Tahoma"/>
          <w:lang w:val="en-GB"/>
        </w:rPr>
        <w:t xml:space="preserve"> doubts that differences in the results might be explained with differences in the statistical methodologies for creating the data sets. On the other hand, the in</w:t>
      </w:r>
      <w:r w:rsidR="00F83809" w:rsidRPr="00D060C6">
        <w:rPr>
          <w:rFonts w:ascii="Book Antiqua" w:hAnsi="Book Antiqua" w:cs="Tahoma"/>
          <w:lang w:val="en-GB"/>
        </w:rPr>
        <w:t>stitutionalist</w:t>
      </w:r>
      <w:r w:rsidRPr="00D060C6">
        <w:rPr>
          <w:rFonts w:ascii="Book Antiqua" w:hAnsi="Book Antiqua" w:cs="Tahoma"/>
          <w:lang w:val="en-GB"/>
        </w:rPr>
        <w:t xml:space="preserve"> theory for </w:t>
      </w:r>
      <w:r w:rsidR="005324B4">
        <w:rPr>
          <w:rFonts w:ascii="Book Antiqua" w:hAnsi="Book Antiqua" w:cs="Tahoma"/>
          <w:lang w:val="en-GB"/>
        </w:rPr>
        <w:t>transaction</w:t>
      </w:r>
      <w:r w:rsidRPr="00D060C6">
        <w:rPr>
          <w:rFonts w:ascii="Book Antiqua" w:hAnsi="Book Antiqua" w:cs="Tahoma"/>
          <w:lang w:val="en-GB"/>
        </w:rPr>
        <w:t xml:space="preserve"> </w:t>
      </w:r>
      <w:proofErr w:type="gramStart"/>
      <w:r w:rsidRPr="00D060C6">
        <w:rPr>
          <w:rFonts w:ascii="Book Antiqua" w:hAnsi="Book Antiqua" w:cs="Tahoma"/>
          <w:lang w:val="en-GB"/>
        </w:rPr>
        <w:t>costs needs</w:t>
      </w:r>
      <w:proofErr w:type="gramEnd"/>
      <w:r w:rsidRPr="00D060C6">
        <w:rPr>
          <w:rFonts w:ascii="Book Antiqua" w:hAnsi="Book Antiqua" w:cs="Tahoma"/>
          <w:lang w:val="en-GB"/>
        </w:rPr>
        <w:t xml:space="preserve"> testing in different contexts and international comparisons are </w:t>
      </w:r>
      <w:r w:rsidR="00F83809" w:rsidRPr="00D060C6">
        <w:rPr>
          <w:rFonts w:ascii="Book Antiqua" w:hAnsi="Book Antiqua" w:cs="Tahoma"/>
          <w:lang w:val="en-GB"/>
        </w:rPr>
        <w:t>desired</w:t>
      </w:r>
      <w:r w:rsidR="0036432A" w:rsidRPr="00D060C6">
        <w:rPr>
          <w:rFonts w:ascii="Book Antiqua" w:hAnsi="Book Antiqua" w:cs="Tahoma"/>
          <w:lang w:val="en-GB"/>
        </w:rPr>
        <w:t>. That is why I look</w:t>
      </w:r>
      <w:r w:rsidRPr="00D060C6">
        <w:rPr>
          <w:rFonts w:ascii="Book Antiqua" w:hAnsi="Book Antiqua" w:cs="Tahoma"/>
          <w:lang w:val="en-GB"/>
        </w:rPr>
        <w:t xml:space="preserve"> for </w:t>
      </w:r>
      <w:r w:rsidR="0036432A" w:rsidRPr="00D060C6">
        <w:rPr>
          <w:rFonts w:ascii="Book Antiqua" w:hAnsi="Book Antiqua" w:cs="Tahoma"/>
          <w:lang w:val="en-GB"/>
        </w:rPr>
        <w:t xml:space="preserve">an </w:t>
      </w:r>
      <w:r w:rsidRPr="00D060C6">
        <w:rPr>
          <w:rFonts w:ascii="Book Antiqua" w:hAnsi="Book Antiqua" w:cs="Tahoma"/>
          <w:lang w:val="en-GB"/>
        </w:rPr>
        <w:t>international database</w:t>
      </w:r>
      <w:r w:rsidR="00A259AC">
        <w:rPr>
          <w:rFonts w:ascii="Book Antiqua" w:hAnsi="Book Antiqua" w:cs="Tahoma"/>
          <w:lang w:val="en-GB"/>
        </w:rPr>
        <w:t xml:space="preserve"> with uniformly created data</w:t>
      </w:r>
      <w:r w:rsidRPr="00D060C6">
        <w:rPr>
          <w:rFonts w:ascii="Book Antiqua" w:hAnsi="Book Antiqua" w:cs="Tahoma"/>
          <w:lang w:val="en-GB"/>
        </w:rPr>
        <w:t xml:space="preserve">.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 xml:space="preserve">Third, institutions evolve, on general, slowly. A timespan of a century is the most comfortable background for institutional analysis, like in Wallis and North (1986). But this means, on the current stage of history, to compare only developed economies with long statistical records. This disadvantage of </w:t>
      </w:r>
      <w:r w:rsidR="00A142A0">
        <w:rPr>
          <w:rFonts w:ascii="Book Antiqua" w:hAnsi="Book Antiqua" w:cs="Tahoma"/>
          <w:lang w:val="en-GB"/>
        </w:rPr>
        <w:t>less developed</w:t>
      </w:r>
      <w:r w:rsidRPr="00D060C6">
        <w:rPr>
          <w:rFonts w:ascii="Book Antiqua" w:hAnsi="Book Antiqua" w:cs="Tahoma"/>
          <w:lang w:val="en-GB"/>
        </w:rPr>
        <w:t xml:space="preserve"> or transitional economies may be offset by the fact that, stimulated by globalization, they evolve more rapidly than </w:t>
      </w:r>
      <w:r w:rsidR="00B4262A" w:rsidRPr="00D060C6">
        <w:rPr>
          <w:rFonts w:ascii="Book Antiqua" w:hAnsi="Book Antiqua" w:cs="Tahoma"/>
          <w:lang w:val="en-GB"/>
        </w:rPr>
        <w:t>established market economies. Therefore</w:t>
      </w:r>
      <w:r w:rsidRPr="00D060C6">
        <w:rPr>
          <w:rFonts w:ascii="Book Antiqua" w:hAnsi="Book Antiqua" w:cs="Tahoma"/>
          <w:lang w:val="en-GB"/>
        </w:rPr>
        <w:t xml:space="preserve"> institutional and technological changes may show up in changing transaction and transformation costs in shorter periods. </w:t>
      </w:r>
    </w:p>
    <w:p w:rsidR="00695389" w:rsidRPr="00D060C6" w:rsidRDefault="00695389" w:rsidP="00695389">
      <w:pPr>
        <w:spacing w:line="288" w:lineRule="auto"/>
        <w:ind w:firstLine="706"/>
        <w:jc w:val="both"/>
        <w:rPr>
          <w:rFonts w:ascii="Book Antiqua" w:hAnsi="Book Antiqua" w:cs="Tahoma"/>
          <w:lang w:val="en-GB"/>
        </w:rPr>
      </w:pPr>
      <w:r w:rsidRPr="00D060C6">
        <w:rPr>
          <w:rFonts w:ascii="Book Antiqua" w:hAnsi="Book Antiqua" w:cs="Tahoma"/>
          <w:lang w:val="en-GB"/>
        </w:rPr>
        <w:t>The data for this research is from the Organization for Economic Co-operation and Devel</w:t>
      </w:r>
      <w:r w:rsidR="003C569D">
        <w:rPr>
          <w:rFonts w:ascii="Book Antiqua" w:hAnsi="Book Antiqua" w:cs="Tahoma"/>
          <w:lang w:val="en-GB"/>
        </w:rPr>
        <w:t xml:space="preserve">opment. STAN </w:t>
      </w:r>
      <w:r w:rsidR="00117B5D">
        <w:rPr>
          <w:rFonts w:ascii="Book Antiqua" w:hAnsi="Book Antiqua" w:cs="Tahoma"/>
          <w:lang w:val="en-GB"/>
        </w:rPr>
        <w:t xml:space="preserve">benchmark year, </w:t>
      </w:r>
      <w:r w:rsidR="003C569D">
        <w:rPr>
          <w:rFonts w:ascii="Book Antiqua" w:hAnsi="Book Antiqua" w:cs="Tahoma"/>
          <w:lang w:val="en-GB"/>
        </w:rPr>
        <w:t>industry-by-industry</w:t>
      </w:r>
      <w:r w:rsidR="00117B5D">
        <w:rPr>
          <w:rFonts w:ascii="Book Antiqua" w:hAnsi="Book Antiqua" w:cs="Tahoma"/>
          <w:lang w:val="en-GB"/>
        </w:rPr>
        <w:t>,</w:t>
      </w:r>
      <w:r w:rsidR="003C569D">
        <w:rPr>
          <w:rFonts w:ascii="Book Antiqua" w:hAnsi="Book Antiqua" w:cs="Tahoma"/>
          <w:lang w:val="en-GB"/>
        </w:rPr>
        <w:t xml:space="preserve"> input-output total t</w:t>
      </w:r>
      <w:r w:rsidR="003C569D" w:rsidRPr="00D060C6">
        <w:rPr>
          <w:rFonts w:ascii="Book Antiqua" w:hAnsi="Book Antiqua" w:cs="Tahoma"/>
          <w:lang w:val="en-GB"/>
        </w:rPr>
        <w:t xml:space="preserve">ables </w:t>
      </w:r>
      <w:r w:rsidRPr="00D060C6">
        <w:rPr>
          <w:rFonts w:ascii="Book Antiqua" w:hAnsi="Book Antiqua" w:cs="Tahoma"/>
          <w:lang w:val="en-GB"/>
        </w:rPr>
        <w:t xml:space="preserve">for </w:t>
      </w:r>
      <w:r w:rsidR="0091741F" w:rsidRPr="00D060C6">
        <w:rPr>
          <w:rFonts w:ascii="Book Antiqua" w:hAnsi="Book Antiqua" w:cs="Tahoma"/>
          <w:lang w:val="en-GB"/>
        </w:rPr>
        <w:t>20</w:t>
      </w:r>
      <w:r w:rsidRPr="00D060C6">
        <w:rPr>
          <w:rFonts w:ascii="Book Antiqua" w:hAnsi="Book Antiqua" w:cs="Tahoma"/>
          <w:lang w:val="en-GB"/>
        </w:rPr>
        <w:t xml:space="preserve"> counties from mid-1990s to mid-2000s are used. I could have used tables for more countries if I have limited the search only to two points in time but I want to have three dates so that to be able to check the path of development from one 5-years </w:t>
      </w:r>
      <w:r w:rsidRPr="00D060C6">
        <w:rPr>
          <w:rFonts w:ascii="Book Antiqua" w:hAnsi="Book Antiqua" w:cs="Tahoma"/>
          <w:lang w:val="en-GB"/>
        </w:rPr>
        <w:lastRenderedPageBreak/>
        <w:t xml:space="preserve">period to another 5-years period. </w:t>
      </w:r>
      <w:r w:rsidR="00C45518" w:rsidRPr="00D060C6">
        <w:rPr>
          <w:rFonts w:ascii="Book Antiqua" w:hAnsi="Book Antiqua" w:cs="Tahoma"/>
          <w:lang w:val="en-GB"/>
        </w:rPr>
        <w:t>I also</w:t>
      </w:r>
      <w:r w:rsidR="00A903FF" w:rsidRPr="00D060C6">
        <w:rPr>
          <w:rFonts w:ascii="Book Antiqua" w:hAnsi="Book Antiqua" w:cs="Tahoma"/>
          <w:lang w:val="en-GB"/>
        </w:rPr>
        <w:t xml:space="preserve"> exclude countries that have different number of industries in different points in time. </w:t>
      </w:r>
      <w:r w:rsidRPr="00D060C6">
        <w:rPr>
          <w:rFonts w:ascii="Book Antiqua" w:hAnsi="Book Antiqua" w:cs="Tahoma"/>
          <w:lang w:val="en-GB"/>
        </w:rPr>
        <w:t xml:space="preserve">That is why I </w:t>
      </w:r>
      <w:r w:rsidR="0091741F" w:rsidRPr="00D060C6">
        <w:rPr>
          <w:rFonts w:ascii="Book Antiqua" w:hAnsi="Book Antiqua" w:cs="Tahoma"/>
          <w:lang w:val="en-GB"/>
        </w:rPr>
        <w:t>use only the tables for those 20</w:t>
      </w:r>
      <w:r w:rsidRPr="00D060C6">
        <w:rPr>
          <w:rFonts w:ascii="Book Antiqua" w:hAnsi="Book Antiqua" w:cs="Tahoma"/>
          <w:lang w:val="en-GB"/>
        </w:rPr>
        <w:t xml:space="preserve"> counties which have information for mid-1990s, early 2000s and mid-2000s</w:t>
      </w:r>
      <w:r w:rsidR="00A903FF" w:rsidRPr="00D060C6">
        <w:rPr>
          <w:rFonts w:ascii="Book Antiqua" w:hAnsi="Book Antiqua" w:cs="Tahoma"/>
          <w:lang w:val="en-GB"/>
        </w:rPr>
        <w:t xml:space="preserve"> and keep the number and types of industries unchanged.</w:t>
      </w:r>
      <w:r w:rsidRPr="00D060C6">
        <w:rPr>
          <w:rFonts w:ascii="Book Antiqua" w:hAnsi="Book Antiqua" w:cs="Tahoma"/>
          <w:lang w:val="en-GB"/>
        </w:rPr>
        <w:t xml:space="preserve"> </w:t>
      </w:r>
    </w:p>
    <w:p w:rsidR="00695389" w:rsidRPr="00D060C6" w:rsidRDefault="00695389" w:rsidP="00695389">
      <w:pPr>
        <w:spacing w:line="288" w:lineRule="auto"/>
        <w:jc w:val="both"/>
        <w:rPr>
          <w:rFonts w:ascii="Book Antiqua" w:hAnsi="Book Antiqua" w:cs="Tahoma"/>
          <w:lang w:val="en-GB"/>
        </w:rPr>
      </w:pPr>
    </w:p>
    <w:p w:rsidR="00695389" w:rsidRPr="00A812F8" w:rsidRDefault="00695389" w:rsidP="00695389">
      <w:pPr>
        <w:spacing w:line="288" w:lineRule="auto"/>
        <w:jc w:val="both"/>
        <w:rPr>
          <w:rStyle w:val="apple-style-span"/>
          <w:b/>
          <w:spacing w:val="10"/>
          <w:lang w:val="en-GB"/>
        </w:rPr>
      </w:pPr>
      <w:r w:rsidRPr="00A812F8">
        <w:rPr>
          <w:rStyle w:val="apple-style-span"/>
          <w:b/>
          <w:spacing w:val="10"/>
          <w:lang w:val="en-GB"/>
        </w:rPr>
        <w:t>4. MODEL</w:t>
      </w:r>
      <w:r w:rsidR="00967ED9" w:rsidRPr="00A812F8">
        <w:rPr>
          <w:rStyle w:val="apple-style-span"/>
          <w:b/>
          <w:spacing w:val="10"/>
          <w:lang w:val="en-GB"/>
        </w:rPr>
        <w:t xml:space="preserve"> FOR INTERACTIONS BETWEEN INSTITUTIONAL AND TECHNOLOGICAL CHANGES</w:t>
      </w:r>
    </w:p>
    <w:p w:rsidR="00695389" w:rsidRPr="00D060C6" w:rsidRDefault="00695389" w:rsidP="00695389">
      <w:pPr>
        <w:spacing w:line="288" w:lineRule="auto"/>
        <w:jc w:val="both"/>
        <w:rPr>
          <w:rFonts w:ascii="Book Antiqua" w:hAnsi="Book Antiqua" w:cs="Tahoma"/>
          <w:lang w:val="en-GB"/>
        </w:rPr>
      </w:pPr>
    </w:p>
    <w:p w:rsidR="00F42F5C" w:rsidRDefault="00F42F5C" w:rsidP="00695389">
      <w:pPr>
        <w:spacing w:line="288" w:lineRule="auto"/>
        <w:ind w:firstLine="706"/>
        <w:jc w:val="both"/>
        <w:rPr>
          <w:rFonts w:ascii="Book Antiqua" w:hAnsi="Book Antiqua" w:cs="Tahoma"/>
          <w:lang w:val="en-GB"/>
        </w:rPr>
      </w:pPr>
      <w:r>
        <w:rPr>
          <w:rFonts w:ascii="Book Antiqua" w:hAnsi="Book Antiqua" w:cs="Tahoma"/>
          <w:lang w:val="en-GB"/>
        </w:rPr>
        <w:t xml:space="preserve">How can we adapt the example of Alexander Bell’s telephone into a model that uses nominal data? </w:t>
      </w:r>
    </w:p>
    <w:p w:rsidR="00947BBA" w:rsidRDefault="0040095A" w:rsidP="00695389">
      <w:pPr>
        <w:spacing w:line="288" w:lineRule="auto"/>
        <w:ind w:firstLine="706"/>
        <w:jc w:val="both"/>
        <w:rPr>
          <w:rFonts w:ascii="Book Antiqua" w:hAnsi="Book Antiqua" w:cs="Tahoma"/>
          <w:lang w:val="en-GB"/>
        </w:rPr>
      </w:pPr>
      <w:r>
        <w:rPr>
          <w:rFonts w:ascii="Book Antiqua" w:hAnsi="Book Antiqua" w:cs="Tahoma"/>
          <w:lang w:val="en-GB"/>
        </w:rPr>
        <w:t xml:space="preserve">First, I introduce several notations borrowed from Miller and Blair’s textbook (2009). </w:t>
      </w:r>
    </w:p>
    <w:p w:rsidR="008671AC" w:rsidRDefault="008671AC" w:rsidP="00695389">
      <w:pPr>
        <w:spacing w:line="288" w:lineRule="auto"/>
        <w:ind w:firstLine="706"/>
        <w:jc w:val="both"/>
        <w:rPr>
          <w:rFonts w:ascii="Book Antiqua" w:hAnsi="Book Antiqua" w:cs="Tahoma"/>
          <w:lang w:val="en-GB"/>
        </w:rPr>
      </w:pPr>
      <w:proofErr w:type="spellStart"/>
      <w:r w:rsidRPr="006162D6">
        <w:rPr>
          <w:rFonts w:ascii="Book Antiqua" w:hAnsi="Book Antiqua" w:cs="Tahoma"/>
          <w:i/>
          <w:lang w:val="en-GB"/>
        </w:rPr>
        <w:t>Zij</w:t>
      </w:r>
      <w:proofErr w:type="spellEnd"/>
      <w:r w:rsidRPr="006162D6">
        <w:rPr>
          <w:rFonts w:ascii="Book Antiqua" w:hAnsi="Book Antiqua" w:cs="Tahoma"/>
          <w:i/>
          <w:lang w:val="en-GB"/>
        </w:rPr>
        <w:t>:</w:t>
      </w:r>
      <w:r>
        <w:rPr>
          <w:rFonts w:ascii="Book Antiqua" w:hAnsi="Book Antiqua" w:cs="Tahoma"/>
          <w:lang w:val="en-GB"/>
        </w:rPr>
        <w:t xml:space="preserve"> </w:t>
      </w:r>
      <w:r w:rsidR="000D6856">
        <w:rPr>
          <w:rFonts w:ascii="Book Antiqua" w:hAnsi="Book Antiqua" w:cs="Tahoma"/>
          <w:lang w:val="en-GB"/>
        </w:rPr>
        <w:tab/>
      </w:r>
      <w:r w:rsidR="000D6856">
        <w:rPr>
          <w:rFonts w:ascii="Book Antiqua" w:hAnsi="Book Antiqua" w:cs="Tahoma"/>
          <w:lang w:val="en-GB"/>
        </w:rPr>
        <w:tab/>
      </w:r>
      <w:r w:rsidRPr="008671AC">
        <w:rPr>
          <w:rFonts w:ascii="Book Antiqua" w:hAnsi="Book Antiqua" w:cs="Tahoma"/>
          <w:lang w:val="en-GB"/>
        </w:rPr>
        <w:t>monetary values of the transactions between</w:t>
      </w:r>
      <w:r>
        <w:rPr>
          <w:rFonts w:ascii="Book Antiqua" w:hAnsi="Book Antiqua" w:cs="Tahoma"/>
          <w:lang w:val="en-GB"/>
        </w:rPr>
        <w:t xml:space="preserve"> pairs of industries, from each </w:t>
      </w:r>
      <w:r w:rsidRPr="008671AC">
        <w:rPr>
          <w:rFonts w:ascii="Book Antiqua" w:hAnsi="Book Antiqua" w:cs="Tahoma"/>
          <w:lang w:val="en-GB"/>
        </w:rPr>
        <w:t xml:space="preserve">industry </w:t>
      </w:r>
      <w:proofErr w:type="spellStart"/>
      <w:r w:rsidRPr="008671AC">
        <w:rPr>
          <w:rFonts w:ascii="Book Antiqua" w:hAnsi="Book Antiqua" w:cs="Tahoma"/>
          <w:lang w:val="en-GB"/>
        </w:rPr>
        <w:t>i</w:t>
      </w:r>
      <w:proofErr w:type="spellEnd"/>
      <w:r w:rsidRPr="008671AC">
        <w:rPr>
          <w:rFonts w:ascii="Book Antiqua" w:hAnsi="Book Antiqua" w:cs="Tahoma"/>
          <w:lang w:val="en-GB"/>
        </w:rPr>
        <w:t xml:space="preserve"> to each industry j</w:t>
      </w:r>
    </w:p>
    <w:p w:rsidR="00E12D4C" w:rsidRDefault="00E12D4C" w:rsidP="00695389">
      <w:pPr>
        <w:spacing w:line="288" w:lineRule="auto"/>
        <w:ind w:firstLine="706"/>
        <w:jc w:val="both"/>
        <w:rPr>
          <w:rFonts w:ascii="Book Antiqua" w:hAnsi="Book Antiqua" w:cs="Tahoma"/>
          <w:lang w:val="en-GB"/>
        </w:rPr>
      </w:pPr>
      <w:proofErr w:type="spellStart"/>
      <w:r w:rsidRPr="00E12D4C">
        <w:rPr>
          <w:rFonts w:ascii="Book Antiqua" w:hAnsi="Book Antiqua" w:cs="Tahoma"/>
          <w:i/>
          <w:lang w:val="en-GB"/>
        </w:rPr>
        <w:t>Xj</w:t>
      </w:r>
      <w:proofErr w:type="spellEnd"/>
      <w:r w:rsidRPr="00E12D4C">
        <w:rPr>
          <w:rFonts w:ascii="Book Antiqua" w:hAnsi="Book Antiqua" w:cs="Tahoma"/>
          <w:i/>
          <w:lang w:val="en-GB"/>
        </w:rPr>
        <w:t>:</w:t>
      </w:r>
      <w:r w:rsidR="00B249ED">
        <w:rPr>
          <w:rFonts w:ascii="Book Antiqua" w:hAnsi="Book Antiqua" w:cs="Tahoma"/>
          <w:lang w:val="en-GB"/>
        </w:rPr>
        <w:t xml:space="preserve"> </w:t>
      </w:r>
      <w:r w:rsidR="000D6856">
        <w:rPr>
          <w:rFonts w:ascii="Book Antiqua" w:hAnsi="Book Antiqua" w:cs="Tahoma"/>
          <w:lang w:val="en-GB"/>
        </w:rPr>
        <w:tab/>
      </w:r>
      <w:r w:rsidR="000D6856">
        <w:rPr>
          <w:rFonts w:ascii="Book Antiqua" w:hAnsi="Book Antiqua" w:cs="Tahoma"/>
          <w:lang w:val="en-GB"/>
        </w:rPr>
        <w:tab/>
      </w:r>
      <w:r w:rsidR="00B249ED">
        <w:rPr>
          <w:rFonts w:ascii="Book Antiqua" w:hAnsi="Book Antiqua" w:cs="Tahoma"/>
          <w:lang w:val="en-GB"/>
        </w:rPr>
        <w:t>monetary value</w:t>
      </w:r>
      <w:r>
        <w:rPr>
          <w:rFonts w:ascii="Book Antiqua" w:hAnsi="Book Antiqua" w:cs="Tahoma"/>
          <w:lang w:val="en-GB"/>
        </w:rPr>
        <w:t xml:space="preserve"> of output of each industry j</w:t>
      </w:r>
    </w:p>
    <w:p w:rsidR="00B249ED" w:rsidRDefault="00B249ED" w:rsidP="00695389">
      <w:pPr>
        <w:spacing w:line="288" w:lineRule="auto"/>
        <w:ind w:firstLine="706"/>
        <w:jc w:val="both"/>
        <w:rPr>
          <w:rFonts w:ascii="Book Antiqua" w:hAnsi="Book Antiqua" w:cs="Tahoma"/>
          <w:lang w:val="en-GB"/>
        </w:rPr>
      </w:pPr>
      <w:proofErr w:type="spellStart"/>
      <w:r w:rsidRPr="00B249ED">
        <w:rPr>
          <w:rFonts w:ascii="Book Antiqua" w:hAnsi="Book Antiqua" w:cs="Tahoma"/>
          <w:i/>
          <w:lang w:val="en-GB"/>
        </w:rPr>
        <w:t>Aij</w:t>
      </w:r>
      <w:proofErr w:type="spellEnd"/>
      <w:r w:rsidRPr="00B249ED">
        <w:rPr>
          <w:rFonts w:ascii="Book Antiqua" w:hAnsi="Book Antiqua" w:cs="Tahoma"/>
          <w:i/>
          <w:lang w:val="en-GB"/>
        </w:rPr>
        <w:t xml:space="preserve"> = </w:t>
      </w:r>
      <w:proofErr w:type="spellStart"/>
      <w:r w:rsidRPr="00B249ED">
        <w:rPr>
          <w:rFonts w:ascii="Book Antiqua" w:hAnsi="Book Antiqua" w:cs="Tahoma"/>
          <w:i/>
          <w:lang w:val="en-GB"/>
        </w:rPr>
        <w:t>Zij</w:t>
      </w:r>
      <w:proofErr w:type="spellEnd"/>
      <w:r w:rsidRPr="00B249ED">
        <w:rPr>
          <w:rFonts w:ascii="Book Antiqua" w:hAnsi="Book Antiqua" w:cs="Tahoma"/>
          <w:i/>
          <w:lang w:val="en-GB"/>
        </w:rPr>
        <w:t>/</w:t>
      </w:r>
      <w:proofErr w:type="spellStart"/>
      <w:r w:rsidRPr="00B249ED">
        <w:rPr>
          <w:rFonts w:ascii="Book Antiqua" w:hAnsi="Book Antiqua" w:cs="Tahoma"/>
          <w:i/>
          <w:lang w:val="en-GB"/>
        </w:rPr>
        <w:t>Xj</w:t>
      </w:r>
      <w:proofErr w:type="spellEnd"/>
      <w:r w:rsidRPr="00B249ED">
        <w:rPr>
          <w:rFonts w:ascii="Book Antiqua" w:hAnsi="Book Antiqua" w:cs="Tahoma"/>
          <w:i/>
          <w:lang w:val="en-GB"/>
        </w:rPr>
        <w:t>:</w:t>
      </w:r>
      <w:r>
        <w:rPr>
          <w:rFonts w:ascii="Book Antiqua" w:hAnsi="Book Antiqua" w:cs="Tahoma"/>
          <w:lang w:val="en-GB"/>
        </w:rPr>
        <w:t xml:space="preserve"> </w:t>
      </w:r>
      <w:r w:rsidR="000D6856">
        <w:rPr>
          <w:rFonts w:ascii="Book Antiqua" w:hAnsi="Book Antiqua" w:cs="Tahoma"/>
          <w:lang w:val="en-GB"/>
        </w:rPr>
        <w:tab/>
      </w:r>
      <w:r w:rsidRPr="00B249ED">
        <w:rPr>
          <w:rFonts w:ascii="Book Antiqua" w:hAnsi="Book Antiqua" w:cs="Tahoma"/>
          <w:lang w:val="en-GB"/>
        </w:rPr>
        <w:t>technical coefficient, or direct input coefficient</w:t>
      </w:r>
    </w:p>
    <w:p w:rsidR="00E12D4C" w:rsidRDefault="00137C1E" w:rsidP="00695389">
      <w:pPr>
        <w:spacing w:line="288" w:lineRule="auto"/>
        <w:ind w:firstLine="706"/>
        <w:jc w:val="both"/>
        <w:rPr>
          <w:rFonts w:ascii="Book Antiqua" w:hAnsi="Book Antiqua" w:cs="Tahoma"/>
          <w:lang w:val="en-GB"/>
        </w:rPr>
      </w:pPr>
      <w:r w:rsidRPr="009B745D">
        <w:rPr>
          <w:rFonts w:ascii="Book Antiqua" w:hAnsi="Book Antiqua" w:cs="Tahoma"/>
          <w:i/>
          <w:lang w:val="en-GB"/>
        </w:rPr>
        <w:t xml:space="preserve">TF </w:t>
      </w:r>
      <w:proofErr w:type="spellStart"/>
      <w:proofErr w:type="gramStart"/>
      <w:r w:rsidRPr="009B745D">
        <w:rPr>
          <w:rFonts w:ascii="Book Antiqua" w:hAnsi="Book Antiqua" w:cs="Tahoma"/>
          <w:i/>
          <w:lang w:val="en-GB"/>
        </w:rPr>
        <w:t>ind</w:t>
      </w:r>
      <w:proofErr w:type="spellEnd"/>
      <w:proofErr w:type="gramEnd"/>
      <w:r w:rsidRPr="009B745D">
        <w:rPr>
          <w:rFonts w:ascii="Book Antiqua" w:hAnsi="Book Antiqua" w:cs="Tahoma"/>
          <w:i/>
          <w:lang w:val="en-GB"/>
        </w:rPr>
        <w:t>:</w:t>
      </w:r>
      <w:r>
        <w:rPr>
          <w:rFonts w:ascii="Book Antiqua" w:hAnsi="Book Antiqua" w:cs="Tahoma"/>
          <w:lang w:val="en-GB"/>
        </w:rPr>
        <w:t xml:space="preserve"> </w:t>
      </w:r>
      <w:r w:rsidR="000D6856">
        <w:rPr>
          <w:rFonts w:ascii="Book Antiqua" w:hAnsi="Book Antiqua" w:cs="Tahoma"/>
          <w:lang w:val="en-GB"/>
        </w:rPr>
        <w:tab/>
      </w:r>
      <w:r>
        <w:rPr>
          <w:rFonts w:ascii="Book Antiqua" w:hAnsi="Book Antiqua" w:cs="Tahoma"/>
          <w:lang w:val="en-GB"/>
        </w:rPr>
        <w:t>industry with mainly transformation function</w:t>
      </w:r>
      <w:r w:rsidR="009B745D">
        <w:rPr>
          <w:rFonts w:ascii="Book Antiqua" w:hAnsi="Book Antiqua" w:cs="Tahoma"/>
          <w:lang w:val="en-GB"/>
        </w:rPr>
        <w:t xml:space="preserve"> (TF)</w:t>
      </w:r>
      <w:r>
        <w:rPr>
          <w:rFonts w:ascii="Book Antiqua" w:hAnsi="Book Antiqua" w:cs="Tahoma"/>
          <w:lang w:val="en-GB"/>
        </w:rPr>
        <w:t xml:space="preserve"> in the economy </w:t>
      </w:r>
    </w:p>
    <w:p w:rsidR="009B745D" w:rsidRDefault="000D6856" w:rsidP="00695389">
      <w:pPr>
        <w:spacing w:line="288" w:lineRule="auto"/>
        <w:ind w:firstLine="706"/>
        <w:jc w:val="both"/>
        <w:rPr>
          <w:rFonts w:ascii="Book Antiqua" w:hAnsi="Book Antiqua" w:cs="Tahoma"/>
          <w:lang w:val="en-GB"/>
        </w:rPr>
      </w:pPr>
      <w:r>
        <w:rPr>
          <w:rFonts w:ascii="Book Antiqua" w:hAnsi="Book Antiqua" w:cs="Tahoma"/>
          <w:i/>
          <w:lang w:val="en-GB"/>
        </w:rPr>
        <w:t xml:space="preserve">TA </w:t>
      </w:r>
      <w:proofErr w:type="spellStart"/>
      <w:proofErr w:type="gramStart"/>
      <w:r>
        <w:rPr>
          <w:rFonts w:ascii="Book Antiqua" w:hAnsi="Book Antiqua" w:cs="Tahoma"/>
          <w:i/>
          <w:lang w:val="en-GB"/>
        </w:rPr>
        <w:t>ind</w:t>
      </w:r>
      <w:proofErr w:type="spellEnd"/>
      <w:proofErr w:type="gramEnd"/>
      <w:r w:rsidR="009B745D" w:rsidRPr="009B745D">
        <w:rPr>
          <w:rFonts w:ascii="Book Antiqua" w:hAnsi="Book Antiqua" w:cs="Tahoma"/>
          <w:i/>
          <w:lang w:val="en-GB"/>
        </w:rPr>
        <w:t>:</w:t>
      </w:r>
      <w:r w:rsidR="009B745D">
        <w:rPr>
          <w:rFonts w:ascii="Book Antiqua" w:hAnsi="Book Antiqua" w:cs="Tahoma"/>
          <w:lang w:val="en-GB"/>
        </w:rPr>
        <w:t xml:space="preserve"> </w:t>
      </w:r>
      <w:r>
        <w:rPr>
          <w:rFonts w:ascii="Book Antiqua" w:hAnsi="Book Antiqua" w:cs="Tahoma"/>
          <w:lang w:val="en-GB"/>
        </w:rPr>
        <w:tab/>
      </w:r>
      <w:r w:rsidR="009B745D">
        <w:rPr>
          <w:rFonts w:ascii="Book Antiqua" w:hAnsi="Book Antiqua" w:cs="Tahoma"/>
          <w:lang w:val="en-GB"/>
        </w:rPr>
        <w:t xml:space="preserve">industry with mainly transaction function (TA) in the economy </w:t>
      </w:r>
    </w:p>
    <w:p w:rsidR="00947BBA" w:rsidRDefault="00C0140E" w:rsidP="00695389">
      <w:pPr>
        <w:spacing w:line="288" w:lineRule="auto"/>
        <w:ind w:firstLine="706"/>
        <w:jc w:val="both"/>
        <w:rPr>
          <w:rFonts w:ascii="Book Antiqua" w:hAnsi="Book Antiqua" w:cs="Tahoma"/>
          <w:lang w:val="en-GB"/>
        </w:rPr>
      </w:pPr>
      <w:r w:rsidRPr="00C0140E">
        <w:rPr>
          <w:rFonts w:ascii="Book Antiqua" w:hAnsi="Book Antiqua" w:cs="Tahoma"/>
          <w:i/>
          <w:lang w:val="en-GB"/>
        </w:rPr>
        <w:t xml:space="preserve">BL: </w:t>
      </w:r>
      <w:r w:rsidRPr="00C0140E">
        <w:rPr>
          <w:rFonts w:ascii="Book Antiqua" w:hAnsi="Book Antiqua" w:cs="Tahoma"/>
          <w:i/>
          <w:lang w:val="en-GB"/>
        </w:rPr>
        <w:tab/>
      </w:r>
      <w:r>
        <w:rPr>
          <w:rFonts w:ascii="Book Antiqua" w:hAnsi="Book Antiqua" w:cs="Tahoma"/>
          <w:lang w:val="en-GB"/>
        </w:rPr>
        <w:tab/>
        <w:t>backward linkages</w:t>
      </w:r>
    </w:p>
    <w:p w:rsidR="00C0140E" w:rsidRDefault="00C0140E" w:rsidP="00D65AB7">
      <w:pPr>
        <w:spacing w:line="288" w:lineRule="auto"/>
        <w:ind w:firstLine="706"/>
        <w:jc w:val="both"/>
        <w:rPr>
          <w:rFonts w:ascii="Book Antiqua" w:hAnsi="Book Antiqua" w:cs="Tahoma"/>
          <w:lang w:val="en-GB"/>
        </w:rPr>
      </w:pPr>
    </w:p>
    <w:p w:rsidR="00F42F5C" w:rsidRDefault="00947BBA" w:rsidP="00D65AB7">
      <w:pPr>
        <w:spacing w:line="288" w:lineRule="auto"/>
        <w:ind w:firstLine="706"/>
        <w:jc w:val="both"/>
        <w:rPr>
          <w:rFonts w:ascii="Book Antiqua" w:hAnsi="Book Antiqua" w:cs="Tahoma"/>
          <w:lang w:val="en-GB"/>
        </w:rPr>
      </w:pPr>
      <w:r>
        <w:rPr>
          <w:rFonts w:ascii="Book Antiqua" w:hAnsi="Book Antiqua" w:cs="Tahoma"/>
          <w:lang w:val="en-GB"/>
        </w:rPr>
        <w:t xml:space="preserve">Here I present two possible </w:t>
      </w:r>
      <w:r w:rsidR="00013108">
        <w:rPr>
          <w:rFonts w:ascii="Book Antiqua" w:hAnsi="Book Antiqua" w:cs="Tahoma"/>
          <w:lang w:val="en-GB"/>
        </w:rPr>
        <w:t xml:space="preserve">scenarios for the economy-wide results </w:t>
      </w:r>
      <w:r w:rsidR="00400057">
        <w:rPr>
          <w:rFonts w:ascii="Book Antiqua" w:hAnsi="Book Antiqua" w:cs="Tahoma"/>
          <w:lang w:val="en-GB"/>
        </w:rPr>
        <w:t xml:space="preserve">from the invention and the introduction of the telephone in </w:t>
      </w:r>
      <w:r w:rsidR="00250DCA">
        <w:rPr>
          <w:rFonts w:ascii="Book Antiqua" w:hAnsi="Book Antiqua" w:cs="Tahoma"/>
          <w:lang w:val="en-GB"/>
        </w:rPr>
        <w:t xml:space="preserve">the </w:t>
      </w:r>
      <w:r w:rsidR="00400057">
        <w:rPr>
          <w:rFonts w:ascii="Book Antiqua" w:hAnsi="Book Antiqua" w:cs="Tahoma"/>
          <w:lang w:val="en-GB"/>
        </w:rPr>
        <w:t xml:space="preserve">production process. </w:t>
      </w:r>
      <w:r w:rsidR="00250DCA">
        <w:rPr>
          <w:rFonts w:ascii="Book Antiqua" w:hAnsi="Book Antiqua" w:cs="Tahoma"/>
          <w:lang w:val="en-GB"/>
        </w:rPr>
        <w:t xml:space="preserve">The first case is presented in Table 1. </w:t>
      </w:r>
      <w:r w:rsidR="00AE1A2D">
        <w:rPr>
          <w:rFonts w:ascii="Book Antiqua" w:hAnsi="Book Antiqua" w:cs="Tahoma"/>
          <w:lang w:val="en-GB"/>
        </w:rPr>
        <w:t xml:space="preserve">The telecommunication industry is the first TF industry in the Z table. We recognize the presence of an adopted </w:t>
      </w:r>
      <w:r w:rsidR="003052AA">
        <w:rPr>
          <w:rFonts w:ascii="Book Antiqua" w:hAnsi="Book Antiqua" w:cs="Tahoma"/>
          <w:lang w:val="en-GB"/>
        </w:rPr>
        <w:t xml:space="preserve">innovation </w:t>
      </w:r>
      <w:r w:rsidR="00AE1A2D">
        <w:rPr>
          <w:rFonts w:ascii="Book Antiqua" w:hAnsi="Book Antiqua" w:cs="Tahoma"/>
          <w:lang w:val="en-GB"/>
        </w:rPr>
        <w:t>by the fact that it is expensive and</w:t>
      </w:r>
      <w:r w:rsidR="000E573F">
        <w:rPr>
          <w:rFonts w:ascii="Book Antiqua" w:hAnsi="Book Antiqua" w:cs="Tahoma"/>
          <w:lang w:val="en-GB"/>
        </w:rPr>
        <w:t xml:space="preserve"> </w:t>
      </w:r>
      <w:r w:rsidR="00DA523B">
        <w:rPr>
          <w:rFonts w:ascii="Book Antiqua" w:hAnsi="Book Antiqua" w:cs="Tahoma"/>
          <w:lang w:val="en-GB"/>
        </w:rPr>
        <w:t xml:space="preserve">demanded and that is why its </w:t>
      </w:r>
      <w:proofErr w:type="spellStart"/>
      <w:r w:rsidR="00DA523B">
        <w:rPr>
          <w:rFonts w:ascii="Book Antiqua" w:hAnsi="Book Antiqua" w:cs="Tahoma"/>
          <w:lang w:val="en-GB"/>
        </w:rPr>
        <w:t>Zi</w:t>
      </w:r>
      <w:r w:rsidR="00AE1A2D">
        <w:rPr>
          <w:rFonts w:ascii="Book Antiqua" w:hAnsi="Book Antiqua" w:cs="Tahoma"/>
          <w:lang w:val="en-GB"/>
        </w:rPr>
        <w:t>j</w:t>
      </w:r>
      <w:proofErr w:type="spellEnd"/>
      <w:r w:rsidR="00AE1A2D">
        <w:rPr>
          <w:rFonts w:ascii="Book Antiqua" w:hAnsi="Book Antiqua" w:cs="Tahoma"/>
          <w:lang w:val="en-GB"/>
        </w:rPr>
        <w:t xml:space="preserve"> increases in relation to previous period. </w:t>
      </w:r>
      <w:r w:rsidR="00E7417B">
        <w:rPr>
          <w:rFonts w:ascii="Book Antiqua" w:hAnsi="Book Antiqua" w:cs="Tahoma"/>
          <w:lang w:val="en-GB"/>
        </w:rPr>
        <w:t xml:space="preserve">The output of the telecommunication industry increases too. </w:t>
      </w:r>
      <w:r w:rsidR="00501E18">
        <w:rPr>
          <w:rFonts w:ascii="Book Antiqua" w:hAnsi="Book Antiqua" w:cs="Tahoma"/>
          <w:lang w:val="en-GB"/>
        </w:rPr>
        <w:t xml:space="preserve">The telephone is adopted in the production process but first, this does not lead to equal increase in the output of other industries, and second, the transformation and transaction functions do not change. This means that to serve 10 % increase in the output of any industry, 10 % increase in the </w:t>
      </w:r>
      <w:proofErr w:type="spellStart"/>
      <w:r w:rsidR="00501E18">
        <w:rPr>
          <w:rFonts w:ascii="Book Antiqua" w:hAnsi="Book Antiqua" w:cs="Tahoma"/>
          <w:lang w:val="en-GB"/>
        </w:rPr>
        <w:t>Zij’</w:t>
      </w:r>
      <w:r w:rsidR="00D65AB7">
        <w:rPr>
          <w:rFonts w:ascii="Book Antiqua" w:hAnsi="Book Antiqua" w:cs="Tahoma"/>
          <w:lang w:val="en-GB"/>
        </w:rPr>
        <w:t>s</w:t>
      </w:r>
      <w:proofErr w:type="spellEnd"/>
      <w:r w:rsidR="00D65AB7">
        <w:rPr>
          <w:rFonts w:ascii="Book Antiqua" w:hAnsi="Book Antiqua" w:cs="Tahoma"/>
          <w:lang w:val="en-GB"/>
        </w:rPr>
        <w:t xml:space="preserve"> is needed both from</w:t>
      </w:r>
      <w:r w:rsidR="00501E18">
        <w:rPr>
          <w:rFonts w:ascii="Book Antiqua" w:hAnsi="Book Antiqua" w:cs="Tahoma"/>
          <w:lang w:val="en-GB"/>
        </w:rPr>
        <w:t xml:space="preserve"> supplying TF industries, other tha</w:t>
      </w:r>
      <w:r w:rsidR="00D65AB7">
        <w:rPr>
          <w:rFonts w:ascii="Book Antiqua" w:hAnsi="Book Antiqua" w:cs="Tahoma"/>
          <w:lang w:val="en-GB"/>
        </w:rPr>
        <w:t>n the telecommunication, and from</w:t>
      </w:r>
      <w:r w:rsidR="00501E18">
        <w:rPr>
          <w:rFonts w:ascii="Book Antiqua" w:hAnsi="Book Antiqua" w:cs="Tahoma"/>
          <w:lang w:val="en-GB"/>
        </w:rPr>
        <w:t xml:space="preserve"> supplying TA industries. </w:t>
      </w:r>
      <w:r w:rsidR="00362125">
        <w:rPr>
          <w:rFonts w:ascii="Book Antiqua" w:hAnsi="Book Antiqua" w:cs="Tahoma"/>
          <w:lang w:val="en-GB"/>
        </w:rPr>
        <w:t xml:space="preserve">The sum of the technical coefficients “from TF </w:t>
      </w:r>
      <w:proofErr w:type="spellStart"/>
      <w:r w:rsidR="00362125">
        <w:rPr>
          <w:rFonts w:ascii="Book Antiqua" w:hAnsi="Book Antiqua" w:cs="Tahoma"/>
          <w:lang w:val="en-GB"/>
        </w:rPr>
        <w:t>ind</w:t>
      </w:r>
      <w:proofErr w:type="spellEnd"/>
      <w:r w:rsidR="00362125">
        <w:rPr>
          <w:rFonts w:ascii="Book Antiqua" w:hAnsi="Book Antiqua" w:cs="Tahoma"/>
          <w:lang w:val="en-GB"/>
        </w:rPr>
        <w:t xml:space="preserve"> to TF </w:t>
      </w:r>
      <w:proofErr w:type="spellStart"/>
      <w:proofErr w:type="gramStart"/>
      <w:r w:rsidR="00362125">
        <w:rPr>
          <w:rFonts w:ascii="Book Antiqua" w:hAnsi="Book Antiqua" w:cs="Tahoma"/>
          <w:lang w:val="en-GB"/>
        </w:rPr>
        <w:t>ind</w:t>
      </w:r>
      <w:proofErr w:type="spellEnd"/>
      <w:proofErr w:type="gramEnd"/>
      <w:r w:rsidR="00362125">
        <w:rPr>
          <w:rFonts w:ascii="Book Antiqua" w:hAnsi="Book Antiqua" w:cs="Tahoma"/>
          <w:lang w:val="en-GB"/>
        </w:rPr>
        <w:t xml:space="preserve">” and “from TF </w:t>
      </w:r>
      <w:proofErr w:type="spellStart"/>
      <w:r w:rsidR="00362125">
        <w:rPr>
          <w:rFonts w:ascii="Book Antiqua" w:hAnsi="Book Antiqua" w:cs="Tahoma"/>
          <w:lang w:val="en-GB"/>
        </w:rPr>
        <w:t>ind</w:t>
      </w:r>
      <w:proofErr w:type="spellEnd"/>
      <w:r w:rsidR="00362125">
        <w:rPr>
          <w:rFonts w:ascii="Book Antiqua" w:hAnsi="Book Antiqua" w:cs="Tahoma"/>
          <w:lang w:val="en-GB"/>
        </w:rPr>
        <w:t xml:space="preserve"> to TA </w:t>
      </w:r>
      <w:proofErr w:type="spellStart"/>
      <w:r w:rsidR="00362125">
        <w:rPr>
          <w:rFonts w:ascii="Book Antiqua" w:hAnsi="Book Antiqua" w:cs="Tahoma"/>
          <w:lang w:val="en-GB"/>
        </w:rPr>
        <w:t>ind</w:t>
      </w:r>
      <w:proofErr w:type="spellEnd"/>
      <w:r w:rsidR="00362125">
        <w:rPr>
          <w:rFonts w:ascii="Book Antiqua" w:hAnsi="Book Antiqua" w:cs="Tahoma"/>
          <w:lang w:val="en-GB"/>
        </w:rPr>
        <w:t>” will,</w:t>
      </w:r>
      <w:r w:rsidR="00C0140E">
        <w:rPr>
          <w:rFonts w:ascii="Book Antiqua" w:hAnsi="Book Antiqua" w:cs="Tahoma"/>
          <w:lang w:val="en-GB"/>
        </w:rPr>
        <w:t xml:space="preserve"> i</w:t>
      </w:r>
      <w:r w:rsidR="00362125">
        <w:rPr>
          <w:rFonts w:ascii="Book Antiqua" w:hAnsi="Book Antiqua" w:cs="Tahoma"/>
          <w:lang w:val="en-GB"/>
        </w:rPr>
        <w:t xml:space="preserve">n general, rise. </w:t>
      </w:r>
      <w:r w:rsidR="00C0140E">
        <w:rPr>
          <w:rFonts w:ascii="Book Antiqua" w:hAnsi="Book Antiqua" w:cs="Tahoma"/>
          <w:lang w:val="en-GB"/>
        </w:rPr>
        <w:t xml:space="preserve">The sum of the technical coefficients “from TA </w:t>
      </w:r>
      <w:proofErr w:type="spellStart"/>
      <w:r w:rsidR="00C0140E">
        <w:rPr>
          <w:rFonts w:ascii="Book Antiqua" w:hAnsi="Book Antiqua" w:cs="Tahoma"/>
          <w:lang w:val="en-GB"/>
        </w:rPr>
        <w:t>ind</w:t>
      </w:r>
      <w:proofErr w:type="spellEnd"/>
      <w:r w:rsidR="00C0140E">
        <w:rPr>
          <w:rFonts w:ascii="Book Antiqua" w:hAnsi="Book Antiqua" w:cs="Tahoma"/>
          <w:lang w:val="en-GB"/>
        </w:rPr>
        <w:t xml:space="preserve"> to TF </w:t>
      </w:r>
      <w:proofErr w:type="spellStart"/>
      <w:proofErr w:type="gramStart"/>
      <w:r w:rsidR="00C0140E">
        <w:rPr>
          <w:rFonts w:ascii="Book Antiqua" w:hAnsi="Book Antiqua" w:cs="Tahoma"/>
          <w:lang w:val="en-GB"/>
        </w:rPr>
        <w:t>ind</w:t>
      </w:r>
      <w:proofErr w:type="spellEnd"/>
      <w:proofErr w:type="gramEnd"/>
      <w:r w:rsidR="00C0140E">
        <w:rPr>
          <w:rFonts w:ascii="Book Antiqua" w:hAnsi="Book Antiqua" w:cs="Tahoma"/>
          <w:lang w:val="en-GB"/>
        </w:rPr>
        <w:t xml:space="preserve">” and “from TA to TA </w:t>
      </w:r>
      <w:proofErr w:type="spellStart"/>
      <w:r w:rsidR="00C0140E">
        <w:rPr>
          <w:rFonts w:ascii="Book Antiqua" w:hAnsi="Book Antiqua" w:cs="Tahoma"/>
          <w:lang w:val="en-GB"/>
        </w:rPr>
        <w:t>ind</w:t>
      </w:r>
      <w:proofErr w:type="spellEnd"/>
      <w:r w:rsidR="00C0140E">
        <w:rPr>
          <w:rFonts w:ascii="Book Antiqua" w:hAnsi="Book Antiqua" w:cs="Tahoma"/>
          <w:lang w:val="en-GB"/>
        </w:rPr>
        <w:t>” will stay the same. The b</w:t>
      </w:r>
      <w:r w:rsidR="0073029A">
        <w:rPr>
          <w:rFonts w:ascii="Book Antiqua" w:hAnsi="Book Antiqua" w:cs="Tahoma"/>
          <w:lang w:val="en-GB"/>
        </w:rPr>
        <w:t xml:space="preserve">ackward linkages in the economy will rise. </w:t>
      </w:r>
      <w:r w:rsidR="00E966A7">
        <w:rPr>
          <w:rFonts w:ascii="Book Antiqua" w:hAnsi="Book Antiqua" w:cs="Tahoma"/>
          <w:lang w:val="en-GB"/>
        </w:rPr>
        <w:t xml:space="preserve">In the terms of nominal data, this is what we can define as an unsuccessful change. </w:t>
      </w:r>
      <w:r w:rsidR="00F609AA">
        <w:rPr>
          <w:rFonts w:ascii="Book Antiqua" w:hAnsi="Book Antiqua" w:cs="Tahoma"/>
          <w:lang w:val="en-GB"/>
        </w:rPr>
        <w:t xml:space="preserve">The economy has become more inefficient. It may produce more output but for it the economy uses even more intermediate resources. </w:t>
      </w:r>
    </w:p>
    <w:p w:rsidR="00021080" w:rsidRDefault="00DF5EBD" w:rsidP="00021080">
      <w:pPr>
        <w:spacing w:line="288" w:lineRule="auto"/>
        <w:ind w:firstLine="706"/>
        <w:jc w:val="both"/>
        <w:rPr>
          <w:rFonts w:ascii="Book Antiqua" w:hAnsi="Book Antiqua" w:cs="Tahoma"/>
          <w:lang w:val="en-GB"/>
        </w:rPr>
      </w:pPr>
      <w:r>
        <w:rPr>
          <w:rFonts w:ascii="Book Antiqua" w:hAnsi="Book Antiqua" w:cs="Tahoma"/>
          <w:lang w:val="en-GB"/>
        </w:rPr>
        <w:lastRenderedPageBreak/>
        <w:t xml:space="preserve">Table 2 presents the second case </w:t>
      </w:r>
      <w:r w:rsidR="00403F98">
        <w:rPr>
          <w:rFonts w:ascii="Book Antiqua" w:hAnsi="Book Antiqua" w:cs="Tahoma"/>
          <w:lang w:val="en-GB"/>
        </w:rPr>
        <w:t xml:space="preserve">when because of the technical change Alexander Bell’s telephone there will be augmentation in the transaction function of the economy. </w:t>
      </w:r>
      <w:r w:rsidR="0087246B">
        <w:rPr>
          <w:rFonts w:ascii="Book Antiqua" w:hAnsi="Book Antiqua" w:cs="Tahoma"/>
          <w:lang w:val="en-GB"/>
        </w:rPr>
        <w:t xml:space="preserve">All those </w:t>
      </w:r>
      <w:r w:rsidR="006A6F9C">
        <w:rPr>
          <w:rFonts w:ascii="Book Antiqua" w:hAnsi="Book Antiqua" w:cs="Tahoma"/>
          <w:lang w:val="en-GB"/>
        </w:rPr>
        <w:t xml:space="preserve">intermediaries – </w:t>
      </w:r>
      <w:r w:rsidR="0087246B">
        <w:rPr>
          <w:rFonts w:ascii="Book Antiqua" w:hAnsi="Book Antiqua" w:cs="Tahoma"/>
          <w:lang w:val="en-GB"/>
        </w:rPr>
        <w:t xml:space="preserve">specialized in </w:t>
      </w:r>
      <w:r w:rsidR="006A6F9C">
        <w:rPr>
          <w:rFonts w:ascii="Book Antiqua" w:hAnsi="Book Antiqua" w:cs="Tahoma"/>
          <w:lang w:val="en-GB"/>
        </w:rPr>
        <w:t>controlling the cost of purchasing inputs, monitoring the production process, selling outputs, and securing the exchange of property rights in the presence of opportunistic behaviour and bounded rationality – will be able to supply their</w:t>
      </w:r>
      <w:r w:rsidR="00193688">
        <w:rPr>
          <w:rFonts w:ascii="Book Antiqua" w:hAnsi="Book Antiqua" w:cs="Tahoma"/>
          <w:lang w:val="en-GB"/>
        </w:rPr>
        <w:t xml:space="preserve"> output with greater efficiency.</w:t>
      </w:r>
      <w:r w:rsidR="005C32BB">
        <w:rPr>
          <w:rFonts w:ascii="Book Antiqua" w:hAnsi="Book Antiqua" w:cs="Tahoma"/>
          <w:lang w:val="en-GB"/>
        </w:rPr>
        <w:t xml:space="preserve"> </w:t>
      </w:r>
    </w:p>
    <w:p w:rsidR="00A01266" w:rsidRDefault="00A01266" w:rsidP="0065724B">
      <w:pPr>
        <w:ind w:firstLine="706"/>
        <w:jc w:val="both"/>
        <w:rPr>
          <w:rFonts w:ascii="Book Antiqua" w:hAnsi="Book Antiqua" w:cs="Tahoma"/>
          <w:b/>
          <w:szCs w:val="20"/>
          <w:lang w:val="en-GB"/>
        </w:rPr>
      </w:pPr>
    </w:p>
    <w:p w:rsidR="00D949FC" w:rsidRDefault="00D949FC" w:rsidP="0065724B">
      <w:pPr>
        <w:ind w:firstLine="706"/>
        <w:jc w:val="both"/>
        <w:rPr>
          <w:rFonts w:ascii="Book Antiqua" w:hAnsi="Book Antiqua" w:cs="Tahoma"/>
          <w:szCs w:val="20"/>
          <w:lang w:val="en-GB"/>
        </w:rPr>
      </w:pPr>
      <w:proofErr w:type="gramStart"/>
      <w:r w:rsidRPr="0065724B">
        <w:rPr>
          <w:rFonts w:ascii="Book Antiqua" w:hAnsi="Book Antiqua" w:cs="Tahoma"/>
          <w:b/>
          <w:szCs w:val="20"/>
          <w:lang w:val="en-GB"/>
        </w:rPr>
        <w:t>Table 1.</w:t>
      </w:r>
      <w:proofErr w:type="gramEnd"/>
      <w:r w:rsidRPr="0065724B">
        <w:rPr>
          <w:rFonts w:ascii="Book Antiqua" w:hAnsi="Book Antiqua" w:cs="Tahoma"/>
          <w:b/>
          <w:szCs w:val="20"/>
          <w:lang w:val="en-GB"/>
        </w:rPr>
        <w:t xml:space="preserve"> </w:t>
      </w:r>
      <w:r w:rsidR="00D43D7B" w:rsidRPr="0065724B">
        <w:rPr>
          <w:rFonts w:ascii="Book Antiqua" w:hAnsi="Book Antiqua" w:cs="Tahoma"/>
          <w:szCs w:val="20"/>
          <w:lang w:val="en-GB"/>
        </w:rPr>
        <w:t>Links between transaction matrix (Z table) and technical coefficients matrix (A table)</w:t>
      </w:r>
      <w:r w:rsidR="00250DCA" w:rsidRPr="0065724B">
        <w:rPr>
          <w:rFonts w:ascii="Book Antiqua" w:hAnsi="Book Antiqua" w:cs="Tahoma"/>
          <w:szCs w:val="20"/>
          <w:lang w:val="en-GB"/>
        </w:rPr>
        <w:t>: technical innovation with no effect on economic functions</w:t>
      </w:r>
    </w:p>
    <w:p w:rsidR="00AF59AD" w:rsidRPr="0065724B" w:rsidRDefault="00AF59AD" w:rsidP="0065724B">
      <w:pPr>
        <w:ind w:firstLine="706"/>
        <w:jc w:val="both"/>
        <w:rPr>
          <w:rFonts w:ascii="Book Antiqua" w:hAnsi="Book Antiqua" w:cs="Tahoma"/>
          <w:szCs w:val="20"/>
          <w:lang w:val="en-GB"/>
        </w:rPr>
      </w:pPr>
    </w:p>
    <w:tbl>
      <w:tblPr>
        <w:tblW w:w="5000" w:type="pct"/>
        <w:tblCellMar>
          <w:left w:w="70" w:type="dxa"/>
          <w:right w:w="70" w:type="dxa"/>
        </w:tblCellMar>
        <w:tblLook w:val="04A0" w:firstRow="1" w:lastRow="0" w:firstColumn="1" w:lastColumn="0" w:noHBand="0" w:noVBand="1"/>
      </w:tblPr>
      <w:tblGrid>
        <w:gridCol w:w="1541"/>
        <w:gridCol w:w="1161"/>
        <w:gridCol w:w="1302"/>
        <w:gridCol w:w="1302"/>
        <w:gridCol w:w="1302"/>
        <w:gridCol w:w="1302"/>
        <w:gridCol w:w="1300"/>
      </w:tblGrid>
      <w:tr w:rsidR="003052AA" w:rsidRPr="00691295" w:rsidTr="003052AA">
        <w:trPr>
          <w:trHeight w:val="315"/>
        </w:trPr>
        <w:tc>
          <w:tcPr>
            <w:tcW w:w="5000" w:type="pct"/>
            <w:gridSpan w:val="7"/>
            <w:tcBorders>
              <w:top w:val="nil"/>
              <w:left w:val="nil"/>
              <w:bottom w:val="nil"/>
              <w:right w:val="nil"/>
            </w:tcBorders>
            <w:shd w:val="clear" w:color="auto" w:fill="auto"/>
            <w:noWrap/>
            <w:vAlign w:val="bottom"/>
            <w:hideMark/>
          </w:tcPr>
          <w:p w:rsidR="003052AA" w:rsidRPr="00691295" w:rsidRDefault="003052AA">
            <w:pPr>
              <w:rPr>
                <w:rFonts w:ascii="Book Antiqua" w:hAnsi="Book Antiqua" w:cs="Calibri"/>
                <w:color w:val="000000"/>
              </w:rPr>
            </w:pPr>
            <w:r w:rsidRPr="00691295">
              <w:rPr>
                <w:rFonts w:ascii="Book Antiqua" w:hAnsi="Book Antiqua" w:cs="Calibri"/>
                <w:color w:val="000000"/>
              </w:rPr>
              <w:t>Z</w:t>
            </w:r>
            <w:r w:rsidRPr="00691295">
              <w:rPr>
                <w:rFonts w:ascii="Book Antiqua" w:hAnsi="Book Antiqua" w:cs="Calibri"/>
                <w:color w:val="000000"/>
                <w:lang w:val="en-US"/>
              </w:rPr>
              <w:t>-</w:t>
            </w:r>
            <w:proofErr w:type="spellStart"/>
            <w:r w:rsidRPr="00691295">
              <w:rPr>
                <w:rFonts w:ascii="Book Antiqua" w:hAnsi="Book Antiqua" w:cs="Calibri"/>
                <w:color w:val="000000"/>
              </w:rPr>
              <w:t>table</w:t>
            </w:r>
            <w:proofErr w:type="spellEnd"/>
            <w:r w:rsidRPr="00691295">
              <w:rPr>
                <w:rFonts w:ascii="Book Antiqua" w:hAnsi="Book Antiqua" w:cs="Calibri"/>
                <w:color w:val="000000"/>
                <w:lang w:val="en-US"/>
              </w:rPr>
              <w:t xml:space="preserve"> change</w:t>
            </w:r>
          </w:p>
        </w:tc>
      </w:tr>
      <w:tr w:rsidR="003052AA" w:rsidRPr="00691295" w:rsidTr="003052AA">
        <w:trPr>
          <w:trHeight w:val="330"/>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630"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single" w:sz="4" w:space="0" w:color="auto"/>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single" w:sz="4" w:space="0" w:color="auto"/>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single" w:sz="4" w:space="0" w:color="auto"/>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single" w:sz="4" w:space="0" w:color="auto"/>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single" w:sz="4" w:space="0" w:color="auto"/>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single" w:sz="4" w:space="0" w:color="auto"/>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r>
      <w:tr w:rsidR="003052AA" w:rsidRPr="00691295" w:rsidTr="003052AA">
        <w:trPr>
          <w:trHeight w:val="315"/>
        </w:trPr>
        <w:tc>
          <w:tcPr>
            <w:tcW w:w="836"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X</w:t>
            </w:r>
          </w:p>
        </w:tc>
        <w:tc>
          <w:tcPr>
            <w:tcW w:w="630"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1.5</w:t>
            </w:r>
          </w:p>
        </w:tc>
        <w:tc>
          <w:tcPr>
            <w:tcW w:w="707"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c>
          <w:tcPr>
            <w:tcW w:w="707" w:type="pct"/>
            <w:tcBorders>
              <w:top w:val="nil"/>
              <w:left w:val="nil"/>
              <w:bottom w:val="single" w:sz="4" w:space="0" w:color="auto"/>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1.1</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630"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707"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707"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p>
        </w:tc>
        <w:tc>
          <w:tcPr>
            <w:tcW w:w="707"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707" w:type="pct"/>
            <w:tcBorders>
              <w:top w:val="nil"/>
              <w:left w:val="nil"/>
              <w:bottom w:val="nil"/>
              <w:right w:val="nil"/>
            </w:tcBorders>
            <w:shd w:val="clear" w:color="auto" w:fill="auto"/>
            <w:noWrap/>
            <w:vAlign w:val="bottom"/>
          </w:tcPr>
          <w:p w:rsidR="00F067B6" w:rsidRPr="00691295" w:rsidRDefault="00F067B6">
            <w:pPr>
              <w:jc w:val="right"/>
              <w:rPr>
                <w:rFonts w:ascii="Book Antiqua" w:hAnsi="Book Antiqua" w:cs="Calibri"/>
                <w:color w:val="000000"/>
              </w:rPr>
            </w:pPr>
          </w:p>
        </w:tc>
      </w:tr>
      <w:tr w:rsidR="003052AA" w:rsidRPr="00691295" w:rsidTr="003052AA">
        <w:trPr>
          <w:trHeight w:val="285"/>
        </w:trPr>
        <w:tc>
          <w:tcPr>
            <w:tcW w:w="5000" w:type="pct"/>
            <w:gridSpan w:val="7"/>
            <w:tcBorders>
              <w:top w:val="nil"/>
              <w:left w:val="nil"/>
              <w:bottom w:val="nil"/>
              <w:right w:val="nil"/>
            </w:tcBorders>
            <w:shd w:val="clear" w:color="auto" w:fill="auto"/>
            <w:noWrap/>
            <w:vAlign w:val="bottom"/>
            <w:hideMark/>
          </w:tcPr>
          <w:p w:rsidR="003052AA" w:rsidRPr="00691295" w:rsidRDefault="003052AA">
            <w:pPr>
              <w:rPr>
                <w:rFonts w:ascii="Book Antiqua" w:hAnsi="Book Antiqua" w:cs="Calibri"/>
                <w:color w:val="000000"/>
              </w:rPr>
            </w:pPr>
            <w:r w:rsidRPr="00691295">
              <w:rPr>
                <w:rFonts w:ascii="Book Antiqua" w:hAnsi="Book Antiqua" w:cs="Calibri"/>
                <w:color w:val="000000"/>
              </w:rPr>
              <w:t>A</w:t>
            </w:r>
            <w:r w:rsidRPr="00691295">
              <w:rPr>
                <w:rFonts w:ascii="Book Antiqua" w:hAnsi="Book Antiqua" w:cs="Calibri"/>
                <w:color w:val="000000"/>
                <w:lang w:val="en-US"/>
              </w:rPr>
              <w:t>-</w:t>
            </w:r>
            <w:proofErr w:type="spellStart"/>
            <w:r w:rsidRPr="00691295">
              <w:rPr>
                <w:rFonts w:ascii="Book Antiqua" w:hAnsi="Book Antiqua" w:cs="Calibri"/>
                <w:color w:val="000000"/>
              </w:rPr>
              <w:t>table</w:t>
            </w:r>
            <w:proofErr w:type="spellEnd"/>
            <w:r w:rsidRPr="00691295">
              <w:rPr>
                <w:rFonts w:ascii="Book Antiqua" w:hAnsi="Book Antiqua" w:cs="Calibri"/>
                <w:color w:val="000000"/>
                <w:lang w:val="en-US"/>
              </w:rPr>
              <w:t xml:space="preserve"> change</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p>
        </w:tc>
        <w:tc>
          <w:tcPr>
            <w:tcW w:w="630"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707" w:type="pct"/>
            <w:tcBorders>
              <w:top w:val="nil"/>
              <w:left w:val="nil"/>
              <w:bottom w:val="nil"/>
              <w:right w:val="nil"/>
            </w:tcBorders>
            <w:shd w:val="clear" w:color="auto" w:fill="auto"/>
            <w:noWrap/>
            <w:vAlign w:val="bottom"/>
            <w:hideMark/>
          </w:tcPr>
          <w:p w:rsidR="00F067B6" w:rsidRPr="00691295" w:rsidRDefault="00F067B6">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r>
      <w:tr w:rsidR="003052AA" w:rsidRPr="00691295" w:rsidTr="003052AA">
        <w:trPr>
          <w:trHeight w:val="300"/>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single" w:sz="4" w:space="0" w:color="auto"/>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1.36</w:t>
            </w:r>
          </w:p>
        </w:tc>
        <w:tc>
          <w:tcPr>
            <w:tcW w:w="707" w:type="pct"/>
            <w:tcBorders>
              <w:top w:val="single" w:sz="4" w:space="0" w:color="auto"/>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1.36</w:t>
            </w:r>
          </w:p>
        </w:tc>
        <w:tc>
          <w:tcPr>
            <w:tcW w:w="707" w:type="pct"/>
            <w:tcBorders>
              <w:top w:val="single" w:sz="4" w:space="0" w:color="auto"/>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1.36</w:t>
            </w:r>
          </w:p>
        </w:tc>
        <w:tc>
          <w:tcPr>
            <w:tcW w:w="707" w:type="pct"/>
            <w:tcBorders>
              <w:top w:val="single" w:sz="4" w:space="0" w:color="auto"/>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single" w:sz="4" w:space="0" w:color="auto"/>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1.36</w:t>
            </w:r>
          </w:p>
        </w:tc>
        <w:tc>
          <w:tcPr>
            <w:tcW w:w="707" w:type="pct"/>
            <w:tcBorders>
              <w:top w:val="single" w:sz="4" w:space="0" w:color="auto"/>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1.36</w:t>
            </w:r>
          </w:p>
        </w:tc>
      </w:tr>
      <w:tr w:rsidR="003052AA" w:rsidRPr="00691295" w:rsidTr="003052AA">
        <w:trPr>
          <w:trHeight w:val="630"/>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r>
      <w:tr w:rsidR="003052AA" w:rsidRPr="00691295" w:rsidTr="003052AA">
        <w:trPr>
          <w:trHeight w:val="31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single" w:sz="4" w:space="0" w:color="auto"/>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30"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single" w:sz="4" w:space="0" w:color="auto"/>
              <w:bottom w:val="nil"/>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nil"/>
              <w:left w:val="nil"/>
              <w:bottom w:val="nil"/>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r>
      <w:tr w:rsidR="003052AA" w:rsidRPr="00691295" w:rsidTr="003052AA">
        <w:trPr>
          <w:trHeight w:val="285"/>
        </w:trPr>
        <w:tc>
          <w:tcPr>
            <w:tcW w:w="836" w:type="pct"/>
            <w:tcBorders>
              <w:top w:val="nil"/>
              <w:left w:val="nil"/>
              <w:bottom w:val="nil"/>
              <w:right w:val="nil"/>
            </w:tcBorders>
            <w:shd w:val="clear" w:color="auto" w:fill="auto"/>
            <w:noWrap/>
            <w:vAlign w:val="bottom"/>
            <w:hideMark/>
          </w:tcPr>
          <w:p w:rsidR="00F067B6" w:rsidRPr="00691295" w:rsidRDefault="00F067B6">
            <w:pPr>
              <w:rPr>
                <w:rFonts w:ascii="Book Antiqua" w:hAnsi="Book Antiqua" w:cs="Calibri"/>
                <w:color w:val="000000"/>
              </w:rPr>
            </w:pPr>
            <w:r w:rsidRPr="00691295">
              <w:rPr>
                <w:rFonts w:ascii="Book Antiqua" w:hAnsi="Book Antiqua" w:cs="Calibri"/>
                <w:color w:val="000000"/>
              </w:rPr>
              <w:t>BL</w:t>
            </w:r>
          </w:p>
        </w:tc>
        <w:tc>
          <w:tcPr>
            <w:tcW w:w="630" w:type="pct"/>
            <w:tcBorders>
              <w:top w:val="single" w:sz="4" w:space="0" w:color="auto"/>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1.06</w:t>
            </w:r>
          </w:p>
        </w:tc>
        <w:tc>
          <w:tcPr>
            <w:tcW w:w="707" w:type="pct"/>
            <w:tcBorders>
              <w:top w:val="single" w:sz="4" w:space="0" w:color="auto"/>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1.06</w:t>
            </w:r>
          </w:p>
        </w:tc>
        <w:tc>
          <w:tcPr>
            <w:tcW w:w="707" w:type="pct"/>
            <w:tcBorders>
              <w:top w:val="single" w:sz="4" w:space="0" w:color="auto"/>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1.06</w:t>
            </w:r>
          </w:p>
        </w:tc>
        <w:tc>
          <w:tcPr>
            <w:tcW w:w="707" w:type="pct"/>
            <w:tcBorders>
              <w:top w:val="single" w:sz="4" w:space="0" w:color="auto"/>
              <w:left w:val="nil"/>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1.00</w:t>
            </w:r>
          </w:p>
        </w:tc>
        <w:tc>
          <w:tcPr>
            <w:tcW w:w="707" w:type="pct"/>
            <w:tcBorders>
              <w:top w:val="single" w:sz="4" w:space="0" w:color="auto"/>
              <w:left w:val="single" w:sz="4" w:space="0" w:color="auto"/>
              <w:bottom w:val="single" w:sz="4" w:space="0" w:color="auto"/>
              <w:right w:val="nil"/>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1.06</w:t>
            </w:r>
          </w:p>
        </w:tc>
        <w:tc>
          <w:tcPr>
            <w:tcW w:w="707" w:type="pct"/>
            <w:tcBorders>
              <w:top w:val="single" w:sz="4" w:space="0" w:color="auto"/>
              <w:left w:val="nil"/>
              <w:bottom w:val="single" w:sz="4" w:space="0" w:color="auto"/>
              <w:right w:val="single" w:sz="4" w:space="0" w:color="auto"/>
            </w:tcBorders>
            <w:shd w:val="clear" w:color="auto" w:fill="auto"/>
            <w:noWrap/>
            <w:vAlign w:val="bottom"/>
            <w:hideMark/>
          </w:tcPr>
          <w:p w:rsidR="00F067B6" w:rsidRPr="00691295" w:rsidRDefault="00F067B6">
            <w:pPr>
              <w:jc w:val="right"/>
              <w:rPr>
                <w:rFonts w:ascii="Book Antiqua" w:hAnsi="Book Antiqua" w:cs="Calibri"/>
                <w:color w:val="000000"/>
              </w:rPr>
            </w:pPr>
            <w:r w:rsidRPr="00691295">
              <w:rPr>
                <w:rFonts w:ascii="Book Antiqua" w:hAnsi="Book Antiqua" w:cs="Calibri"/>
                <w:color w:val="000000"/>
              </w:rPr>
              <w:t>1.06</w:t>
            </w:r>
          </w:p>
        </w:tc>
      </w:tr>
    </w:tbl>
    <w:p w:rsidR="00FF464F" w:rsidRPr="004303C3" w:rsidRDefault="00FF464F" w:rsidP="00256750">
      <w:pPr>
        <w:spacing w:line="288" w:lineRule="auto"/>
        <w:ind w:firstLine="706"/>
        <w:rPr>
          <w:rFonts w:ascii="Book Antiqua" w:hAnsi="Book Antiqua" w:cs="Tahoma"/>
          <w:sz w:val="20"/>
          <w:szCs w:val="20"/>
          <w:lang w:val="en-GB"/>
        </w:rPr>
      </w:pPr>
    </w:p>
    <w:p w:rsidR="00691295" w:rsidRDefault="00691295" w:rsidP="0065724B">
      <w:pPr>
        <w:ind w:firstLine="706"/>
        <w:jc w:val="both"/>
        <w:rPr>
          <w:rFonts w:ascii="Book Antiqua" w:hAnsi="Book Antiqua" w:cs="Tahoma"/>
          <w:b/>
          <w:szCs w:val="20"/>
          <w:lang w:val="en-GB"/>
        </w:rPr>
      </w:pPr>
    </w:p>
    <w:p w:rsidR="00FF464F" w:rsidRPr="0065724B" w:rsidRDefault="00FF464F" w:rsidP="0065724B">
      <w:pPr>
        <w:ind w:firstLine="706"/>
        <w:jc w:val="both"/>
        <w:rPr>
          <w:rFonts w:ascii="Book Antiqua" w:hAnsi="Book Antiqua" w:cs="Tahoma"/>
          <w:szCs w:val="20"/>
          <w:lang w:val="en-GB"/>
        </w:rPr>
      </w:pPr>
      <w:proofErr w:type="gramStart"/>
      <w:r w:rsidRPr="0065724B">
        <w:rPr>
          <w:rFonts w:ascii="Book Antiqua" w:hAnsi="Book Antiqua" w:cs="Tahoma"/>
          <w:b/>
          <w:szCs w:val="20"/>
          <w:lang w:val="en-GB"/>
        </w:rPr>
        <w:t>Table 2</w:t>
      </w:r>
      <w:r w:rsidR="00DF5EBD" w:rsidRPr="0065724B">
        <w:rPr>
          <w:rFonts w:ascii="Book Antiqua" w:hAnsi="Book Antiqua" w:cs="Tahoma"/>
          <w:b/>
          <w:szCs w:val="20"/>
          <w:lang w:val="en-GB"/>
        </w:rPr>
        <w:t>.</w:t>
      </w:r>
      <w:proofErr w:type="gramEnd"/>
      <w:r w:rsidRPr="0065724B">
        <w:rPr>
          <w:rFonts w:ascii="Book Antiqua" w:hAnsi="Book Antiqua" w:cs="Tahoma"/>
          <w:szCs w:val="20"/>
          <w:lang w:val="en-GB"/>
        </w:rPr>
        <w:t xml:space="preserve"> </w:t>
      </w:r>
      <w:r w:rsidR="00DF5EBD" w:rsidRPr="0065724B">
        <w:rPr>
          <w:rFonts w:ascii="Book Antiqua" w:hAnsi="Book Antiqua" w:cs="Tahoma"/>
          <w:szCs w:val="20"/>
          <w:lang w:val="en-GB"/>
        </w:rPr>
        <w:t>Links between transaction matrix (Z table) and technical coefficients matrix (A table): technical innovation with positive effect on transaction function</w:t>
      </w:r>
    </w:p>
    <w:tbl>
      <w:tblPr>
        <w:tblW w:w="5000" w:type="pct"/>
        <w:tblCellMar>
          <w:left w:w="70" w:type="dxa"/>
          <w:right w:w="70" w:type="dxa"/>
        </w:tblCellMar>
        <w:tblLook w:val="04A0" w:firstRow="1" w:lastRow="0" w:firstColumn="1" w:lastColumn="0" w:noHBand="0" w:noVBand="1"/>
      </w:tblPr>
      <w:tblGrid>
        <w:gridCol w:w="1381"/>
        <w:gridCol w:w="1272"/>
        <w:gridCol w:w="1273"/>
        <w:gridCol w:w="1273"/>
        <w:gridCol w:w="1273"/>
        <w:gridCol w:w="1369"/>
        <w:gridCol w:w="1369"/>
      </w:tblGrid>
      <w:tr w:rsidR="004303C3" w:rsidRPr="00691295" w:rsidTr="004303C3">
        <w:trPr>
          <w:trHeight w:val="285"/>
        </w:trPr>
        <w:tc>
          <w:tcPr>
            <w:tcW w:w="5000" w:type="pct"/>
            <w:gridSpan w:val="7"/>
            <w:tcBorders>
              <w:top w:val="nil"/>
              <w:left w:val="nil"/>
              <w:bottom w:val="nil"/>
              <w:right w:val="nil"/>
            </w:tcBorders>
            <w:shd w:val="clear" w:color="auto" w:fill="auto"/>
            <w:noWrap/>
            <w:vAlign w:val="bottom"/>
            <w:hideMark/>
          </w:tcPr>
          <w:p w:rsidR="004303C3" w:rsidRDefault="004303C3">
            <w:pPr>
              <w:rPr>
                <w:rFonts w:ascii="Book Antiqua" w:hAnsi="Book Antiqua" w:cs="Calibri"/>
                <w:color w:val="000000"/>
                <w:lang w:val="en-US"/>
              </w:rPr>
            </w:pPr>
            <w:proofErr w:type="spellStart"/>
            <w:r w:rsidRPr="00691295">
              <w:rPr>
                <w:rFonts w:ascii="Book Antiqua" w:hAnsi="Book Antiqua" w:cs="Calibri"/>
                <w:color w:val="000000"/>
              </w:rPr>
              <w:t>Z-table</w:t>
            </w:r>
            <w:proofErr w:type="spellEnd"/>
            <w:r w:rsidRPr="00691295">
              <w:rPr>
                <w:rFonts w:ascii="Book Antiqua" w:hAnsi="Book Antiqua" w:cs="Calibri"/>
                <w:color w:val="000000"/>
              </w:rPr>
              <w:t xml:space="preserve"> </w:t>
            </w:r>
            <w:proofErr w:type="spellStart"/>
            <w:r w:rsidRPr="00691295">
              <w:rPr>
                <w:rFonts w:ascii="Book Antiqua" w:hAnsi="Book Antiqua" w:cs="Calibri"/>
                <w:color w:val="000000"/>
              </w:rPr>
              <w:t>change</w:t>
            </w:r>
            <w:proofErr w:type="spellEnd"/>
          </w:p>
          <w:p w:rsidR="00AF59AD" w:rsidRPr="00AF59AD" w:rsidRDefault="00AF59AD">
            <w:pPr>
              <w:rPr>
                <w:rFonts w:ascii="Book Antiqua" w:hAnsi="Book Antiqua" w:cs="Calibri"/>
                <w:color w:val="000000"/>
                <w:lang w:val="en-US"/>
              </w:rPr>
            </w:pPr>
          </w:p>
        </w:tc>
      </w:tr>
      <w:tr w:rsidR="004303C3" w:rsidRPr="00691295" w:rsidTr="004303C3">
        <w:trPr>
          <w:trHeight w:val="31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43"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743"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r>
      <w:tr w:rsidR="004303C3" w:rsidRPr="00691295" w:rsidTr="004303C3">
        <w:trPr>
          <w:trHeight w:val="330"/>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single" w:sz="4" w:space="0" w:color="auto"/>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691" w:type="pct"/>
            <w:tcBorders>
              <w:top w:val="single" w:sz="4" w:space="0" w:color="auto"/>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691" w:type="pct"/>
            <w:tcBorders>
              <w:top w:val="single" w:sz="4" w:space="0" w:color="auto"/>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691" w:type="pct"/>
            <w:tcBorders>
              <w:top w:val="single" w:sz="4" w:space="0" w:color="auto"/>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743" w:type="pct"/>
            <w:tcBorders>
              <w:top w:val="single" w:sz="4" w:space="0" w:color="auto"/>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743" w:type="pct"/>
            <w:tcBorders>
              <w:top w:val="single" w:sz="4" w:space="0" w:color="auto"/>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743"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743" w:type="pct"/>
            <w:tcBorders>
              <w:top w:val="nil"/>
              <w:left w:val="nil"/>
              <w:bottom w:val="single" w:sz="4" w:space="0" w:color="auto"/>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1.4</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743"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c>
          <w:tcPr>
            <w:tcW w:w="743" w:type="pct"/>
            <w:tcBorders>
              <w:top w:val="nil"/>
              <w:left w:val="nil"/>
              <w:bottom w:val="single" w:sz="4" w:space="0" w:color="auto"/>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X</w:t>
            </w:r>
          </w:p>
        </w:tc>
        <w:tc>
          <w:tcPr>
            <w:tcW w:w="691"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1.5</w:t>
            </w:r>
          </w:p>
        </w:tc>
        <w:tc>
          <w:tcPr>
            <w:tcW w:w="743"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c>
          <w:tcPr>
            <w:tcW w:w="743" w:type="pct"/>
            <w:tcBorders>
              <w:top w:val="nil"/>
              <w:left w:val="nil"/>
              <w:bottom w:val="single" w:sz="4" w:space="0" w:color="auto"/>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691"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691"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691"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lang w:val="en-US"/>
              </w:rPr>
            </w:pPr>
          </w:p>
        </w:tc>
        <w:tc>
          <w:tcPr>
            <w:tcW w:w="743"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743"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lang w:val="en-US"/>
              </w:rPr>
            </w:pPr>
          </w:p>
        </w:tc>
      </w:tr>
      <w:tr w:rsidR="004303C3" w:rsidRPr="00691295" w:rsidTr="004303C3">
        <w:trPr>
          <w:trHeight w:val="285"/>
        </w:trPr>
        <w:tc>
          <w:tcPr>
            <w:tcW w:w="5000" w:type="pct"/>
            <w:gridSpan w:val="7"/>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roofErr w:type="spellStart"/>
            <w:r w:rsidRPr="00691295">
              <w:rPr>
                <w:rFonts w:ascii="Book Antiqua" w:hAnsi="Book Antiqua" w:cs="Calibri"/>
                <w:color w:val="000000"/>
              </w:rPr>
              <w:t>A-table</w:t>
            </w:r>
            <w:proofErr w:type="spellEnd"/>
            <w:r w:rsidRPr="00691295">
              <w:rPr>
                <w:rFonts w:ascii="Book Antiqua" w:hAnsi="Book Antiqua" w:cs="Calibri"/>
                <w:color w:val="000000"/>
              </w:rPr>
              <w:t xml:space="preserve"> </w:t>
            </w:r>
            <w:proofErr w:type="spellStart"/>
            <w:r w:rsidRPr="00691295">
              <w:rPr>
                <w:rFonts w:ascii="Book Antiqua" w:hAnsi="Book Antiqua" w:cs="Calibri"/>
                <w:color w:val="000000"/>
              </w:rPr>
              <w:t>change</w:t>
            </w:r>
            <w:proofErr w:type="spellEnd"/>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743"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743" w:type="pct"/>
            <w:tcBorders>
              <w:top w:val="nil"/>
              <w:left w:val="nil"/>
              <w:bottom w:val="nil"/>
              <w:right w:val="nil"/>
            </w:tcBorders>
            <w:shd w:val="clear" w:color="auto" w:fill="auto"/>
            <w:noWrap/>
            <w:vAlign w:val="bottom"/>
            <w:hideMark/>
          </w:tcPr>
          <w:p w:rsidR="004303C3" w:rsidRPr="00691295" w:rsidRDefault="004303C3">
            <w:pPr>
              <w:jc w:val="cente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r>
      <w:tr w:rsidR="004303C3" w:rsidRPr="00691295" w:rsidTr="004303C3">
        <w:trPr>
          <w:trHeight w:val="31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single" w:sz="4" w:space="0" w:color="auto"/>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1.36</w:t>
            </w:r>
          </w:p>
        </w:tc>
        <w:tc>
          <w:tcPr>
            <w:tcW w:w="691" w:type="pct"/>
            <w:tcBorders>
              <w:top w:val="single" w:sz="4" w:space="0" w:color="auto"/>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1.36</w:t>
            </w:r>
          </w:p>
        </w:tc>
        <w:tc>
          <w:tcPr>
            <w:tcW w:w="691" w:type="pct"/>
            <w:tcBorders>
              <w:top w:val="single" w:sz="4" w:space="0" w:color="auto"/>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1.36</w:t>
            </w:r>
          </w:p>
        </w:tc>
        <w:tc>
          <w:tcPr>
            <w:tcW w:w="691" w:type="pct"/>
            <w:tcBorders>
              <w:top w:val="single" w:sz="4" w:space="0" w:color="auto"/>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single" w:sz="4" w:space="0" w:color="auto"/>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1.36</w:t>
            </w:r>
          </w:p>
        </w:tc>
        <w:tc>
          <w:tcPr>
            <w:tcW w:w="743" w:type="pct"/>
            <w:tcBorders>
              <w:top w:val="single" w:sz="4" w:space="0" w:color="auto"/>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1.36</w:t>
            </w:r>
          </w:p>
        </w:tc>
      </w:tr>
      <w:tr w:rsidR="004303C3" w:rsidRPr="00691295" w:rsidTr="004303C3">
        <w:trPr>
          <w:trHeight w:val="300"/>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r>
      <w:tr w:rsidR="004303C3" w:rsidRPr="00691295" w:rsidTr="004303C3">
        <w:trPr>
          <w:trHeight w:val="630"/>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r>
      <w:tr w:rsidR="004303C3" w:rsidRPr="00691295" w:rsidTr="004303C3">
        <w:trPr>
          <w:trHeight w:val="31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TF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691" w:type="pct"/>
            <w:tcBorders>
              <w:top w:val="nil"/>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nil"/>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c>
          <w:tcPr>
            <w:tcW w:w="743" w:type="pct"/>
            <w:tcBorders>
              <w:top w:val="nil"/>
              <w:left w:val="nil"/>
              <w:bottom w:val="single" w:sz="4" w:space="0" w:color="auto"/>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1.00</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r>
      <w:tr w:rsidR="004303C3" w:rsidRPr="00691295" w:rsidTr="004303C3">
        <w:trPr>
          <w:trHeight w:val="28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 xml:space="preserve">TA </w:t>
            </w:r>
            <w:proofErr w:type="spellStart"/>
            <w:r w:rsidRPr="00691295">
              <w:rPr>
                <w:rFonts w:ascii="Book Antiqua" w:hAnsi="Book Antiqua" w:cs="Calibri"/>
                <w:color w:val="000000"/>
              </w:rPr>
              <w:t>ind</w:t>
            </w:r>
            <w:proofErr w:type="spellEnd"/>
          </w:p>
        </w:tc>
        <w:tc>
          <w:tcPr>
            <w:tcW w:w="691"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691" w:type="pct"/>
            <w:tcBorders>
              <w:top w:val="nil"/>
              <w:left w:val="nil"/>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0.67</w:t>
            </w:r>
          </w:p>
        </w:tc>
        <w:tc>
          <w:tcPr>
            <w:tcW w:w="743" w:type="pct"/>
            <w:tcBorders>
              <w:top w:val="nil"/>
              <w:left w:val="single" w:sz="4" w:space="0" w:color="auto"/>
              <w:bottom w:val="nil"/>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c>
          <w:tcPr>
            <w:tcW w:w="743" w:type="pct"/>
            <w:tcBorders>
              <w:top w:val="nil"/>
              <w:left w:val="nil"/>
              <w:bottom w:val="nil"/>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0.91</w:t>
            </w:r>
          </w:p>
        </w:tc>
      </w:tr>
      <w:tr w:rsidR="004303C3" w:rsidRPr="00691295" w:rsidTr="004303C3">
        <w:trPr>
          <w:trHeight w:val="315"/>
        </w:trPr>
        <w:tc>
          <w:tcPr>
            <w:tcW w:w="750" w:type="pct"/>
            <w:tcBorders>
              <w:top w:val="nil"/>
              <w:left w:val="nil"/>
              <w:bottom w:val="nil"/>
              <w:right w:val="nil"/>
            </w:tcBorders>
            <w:shd w:val="clear" w:color="auto" w:fill="auto"/>
            <w:noWrap/>
            <w:vAlign w:val="bottom"/>
            <w:hideMark/>
          </w:tcPr>
          <w:p w:rsidR="004303C3" w:rsidRPr="00691295" w:rsidRDefault="004303C3">
            <w:pPr>
              <w:rPr>
                <w:rFonts w:ascii="Book Antiqua" w:hAnsi="Book Antiqua" w:cs="Calibri"/>
                <w:color w:val="000000"/>
              </w:rPr>
            </w:pPr>
            <w:r w:rsidRPr="00691295">
              <w:rPr>
                <w:rFonts w:ascii="Book Antiqua" w:hAnsi="Book Antiqua" w:cs="Calibri"/>
                <w:color w:val="000000"/>
              </w:rPr>
              <w:t>BL</w:t>
            </w:r>
          </w:p>
        </w:tc>
        <w:tc>
          <w:tcPr>
            <w:tcW w:w="691" w:type="pct"/>
            <w:tcBorders>
              <w:top w:val="single" w:sz="4" w:space="0" w:color="auto"/>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1.03</w:t>
            </w:r>
          </w:p>
        </w:tc>
        <w:tc>
          <w:tcPr>
            <w:tcW w:w="691" w:type="pct"/>
            <w:tcBorders>
              <w:top w:val="single" w:sz="4" w:space="0" w:color="auto"/>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1.03</w:t>
            </w:r>
          </w:p>
        </w:tc>
        <w:tc>
          <w:tcPr>
            <w:tcW w:w="691" w:type="pct"/>
            <w:tcBorders>
              <w:top w:val="single" w:sz="4" w:space="0" w:color="auto"/>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1.03</w:t>
            </w:r>
          </w:p>
        </w:tc>
        <w:tc>
          <w:tcPr>
            <w:tcW w:w="691" w:type="pct"/>
            <w:tcBorders>
              <w:top w:val="single" w:sz="4" w:space="0" w:color="auto"/>
              <w:left w:val="nil"/>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0.93</w:t>
            </w:r>
          </w:p>
        </w:tc>
        <w:tc>
          <w:tcPr>
            <w:tcW w:w="743" w:type="pct"/>
            <w:tcBorders>
              <w:top w:val="single" w:sz="4" w:space="0" w:color="auto"/>
              <w:left w:val="single" w:sz="4" w:space="0" w:color="auto"/>
              <w:bottom w:val="single" w:sz="4" w:space="0" w:color="auto"/>
              <w:right w:val="nil"/>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1.03</w:t>
            </w: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rsidR="004303C3" w:rsidRPr="00691295" w:rsidRDefault="004303C3">
            <w:pPr>
              <w:jc w:val="right"/>
              <w:rPr>
                <w:rFonts w:ascii="Book Antiqua" w:hAnsi="Book Antiqua" w:cs="Calibri"/>
                <w:color w:val="000000"/>
              </w:rPr>
            </w:pPr>
            <w:r w:rsidRPr="00691295">
              <w:rPr>
                <w:rFonts w:ascii="Book Antiqua" w:hAnsi="Book Antiqua" w:cs="Calibri"/>
                <w:color w:val="000000"/>
              </w:rPr>
              <w:t>1.03</w:t>
            </w:r>
          </w:p>
        </w:tc>
      </w:tr>
    </w:tbl>
    <w:p w:rsidR="00A01266" w:rsidRDefault="00A01266" w:rsidP="005C32BB">
      <w:pPr>
        <w:spacing w:line="288" w:lineRule="auto"/>
        <w:jc w:val="both"/>
        <w:rPr>
          <w:rFonts w:ascii="Book Antiqua" w:hAnsi="Book Antiqua" w:cs="Tahoma"/>
          <w:lang w:val="en-GB"/>
        </w:rPr>
      </w:pPr>
    </w:p>
    <w:p w:rsidR="00563779" w:rsidRDefault="00563779" w:rsidP="005C32BB">
      <w:pPr>
        <w:spacing w:line="288" w:lineRule="auto"/>
        <w:jc w:val="both"/>
        <w:rPr>
          <w:rFonts w:ascii="Book Antiqua" w:hAnsi="Book Antiqua" w:cs="Tahoma"/>
          <w:lang w:val="en-GB"/>
        </w:rPr>
      </w:pPr>
      <w:r>
        <w:rPr>
          <w:rFonts w:ascii="Book Antiqua" w:hAnsi="Book Antiqua" w:cs="Tahoma"/>
          <w:lang w:val="en-GB"/>
        </w:rPr>
        <w:t xml:space="preserve">The output of the industries may rise but this will not require equal increase in the inputs from the TA industries. The sum of the technical coefficients “from TF </w:t>
      </w:r>
      <w:proofErr w:type="spellStart"/>
      <w:r>
        <w:rPr>
          <w:rFonts w:ascii="Book Antiqua" w:hAnsi="Book Antiqua" w:cs="Tahoma"/>
          <w:lang w:val="en-GB"/>
        </w:rPr>
        <w:t>ind</w:t>
      </w:r>
      <w:proofErr w:type="spellEnd"/>
      <w:r>
        <w:rPr>
          <w:rFonts w:ascii="Book Antiqua" w:hAnsi="Book Antiqua" w:cs="Tahoma"/>
          <w:lang w:val="en-GB"/>
        </w:rPr>
        <w:t xml:space="preserve"> to TF </w:t>
      </w:r>
      <w:proofErr w:type="spellStart"/>
      <w:proofErr w:type="gramStart"/>
      <w:r>
        <w:rPr>
          <w:rFonts w:ascii="Book Antiqua" w:hAnsi="Book Antiqua" w:cs="Tahoma"/>
          <w:lang w:val="en-GB"/>
        </w:rPr>
        <w:t>ind</w:t>
      </w:r>
      <w:proofErr w:type="spellEnd"/>
      <w:proofErr w:type="gramEnd"/>
      <w:r>
        <w:rPr>
          <w:rFonts w:ascii="Book Antiqua" w:hAnsi="Book Antiqua" w:cs="Tahoma"/>
          <w:lang w:val="en-GB"/>
        </w:rPr>
        <w:t xml:space="preserve">” and “from TF </w:t>
      </w:r>
      <w:proofErr w:type="spellStart"/>
      <w:r>
        <w:rPr>
          <w:rFonts w:ascii="Book Antiqua" w:hAnsi="Book Antiqua" w:cs="Tahoma"/>
          <w:lang w:val="en-GB"/>
        </w:rPr>
        <w:t>ind</w:t>
      </w:r>
      <w:proofErr w:type="spellEnd"/>
      <w:r>
        <w:rPr>
          <w:rFonts w:ascii="Book Antiqua" w:hAnsi="Book Antiqua" w:cs="Tahoma"/>
          <w:lang w:val="en-GB"/>
        </w:rPr>
        <w:t xml:space="preserve"> to TA </w:t>
      </w:r>
      <w:proofErr w:type="spellStart"/>
      <w:r>
        <w:rPr>
          <w:rFonts w:ascii="Book Antiqua" w:hAnsi="Book Antiqua" w:cs="Tahoma"/>
          <w:lang w:val="en-GB"/>
        </w:rPr>
        <w:t>ind</w:t>
      </w:r>
      <w:proofErr w:type="spellEnd"/>
      <w:r>
        <w:rPr>
          <w:rFonts w:ascii="Book Antiqua" w:hAnsi="Book Antiqua" w:cs="Tahoma"/>
          <w:lang w:val="en-GB"/>
        </w:rPr>
        <w:t xml:space="preserve">” will, in general, rise. The sum of the technical coefficients “from TA </w:t>
      </w:r>
      <w:proofErr w:type="spellStart"/>
      <w:r>
        <w:rPr>
          <w:rFonts w:ascii="Book Antiqua" w:hAnsi="Book Antiqua" w:cs="Tahoma"/>
          <w:lang w:val="en-GB"/>
        </w:rPr>
        <w:t>ind</w:t>
      </w:r>
      <w:proofErr w:type="spellEnd"/>
      <w:r>
        <w:rPr>
          <w:rFonts w:ascii="Book Antiqua" w:hAnsi="Book Antiqua" w:cs="Tahoma"/>
          <w:lang w:val="en-GB"/>
        </w:rPr>
        <w:t xml:space="preserve"> to TF </w:t>
      </w:r>
      <w:proofErr w:type="spellStart"/>
      <w:proofErr w:type="gramStart"/>
      <w:r>
        <w:rPr>
          <w:rFonts w:ascii="Book Antiqua" w:hAnsi="Book Antiqua" w:cs="Tahoma"/>
          <w:lang w:val="en-GB"/>
        </w:rPr>
        <w:t>ind</w:t>
      </w:r>
      <w:proofErr w:type="spellEnd"/>
      <w:proofErr w:type="gramEnd"/>
      <w:r>
        <w:rPr>
          <w:rFonts w:ascii="Book Antiqua" w:hAnsi="Book Antiqua" w:cs="Tahoma"/>
          <w:lang w:val="en-GB"/>
        </w:rPr>
        <w:t xml:space="preserve">” and “from TA to TA </w:t>
      </w:r>
      <w:proofErr w:type="spellStart"/>
      <w:r>
        <w:rPr>
          <w:rFonts w:ascii="Book Antiqua" w:hAnsi="Book Antiqua" w:cs="Tahoma"/>
          <w:lang w:val="en-GB"/>
        </w:rPr>
        <w:t>ind</w:t>
      </w:r>
      <w:proofErr w:type="spellEnd"/>
      <w:r>
        <w:rPr>
          <w:rFonts w:ascii="Book Antiqua" w:hAnsi="Book Antiqua" w:cs="Tahoma"/>
          <w:lang w:val="en-GB"/>
        </w:rPr>
        <w:t>” will decrease. The backward linkages in the economy may stay the same</w:t>
      </w:r>
      <w:r w:rsidR="00936A28">
        <w:rPr>
          <w:rFonts w:ascii="Book Antiqua" w:hAnsi="Book Antiqua" w:cs="Tahoma"/>
          <w:lang w:val="en-GB"/>
        </w:rPr>
        <w:t>,</w:t>
      </w:r>
      <w:r>
        <w:rPr>
          <w:rFonts w:ascii="Book Antiqua" w:hAnsi="Book Antiqua" w:cs="Tahoma"/>
          <w:lang w:val="en-GB"/>
        </w:rPr>
        <w:t xml:space="preserve"> or move up or down. It depends </w:t>
      </w:r>
      <w:r w:rsidR="00936A28">
        <w:rPr>
          <w:rFonts w:ascii="Book Antiqua" w:hAnsi="Book Antiqua" w:cs="Tahoma"/>
          <w:lang w:val="en-GB"/>
        </w:rPr>
        <w:t xml:space="preserve">on the dominance of the effect from </w:t>
      </w:r>
      <w:proofErr w:type="spellStart"/>
      <w:r w:rsidR="00936A28">
        <w:rPr>
          <w:rFonts w:ascii="Book Antiqua" w:hAnsi="Book Antiqua" w:cs="Tahoma"/>
          <w:lang w:val="en-GB"/>
        </w:rPr>
        <w:t>Atf</w:t>
      </w:r>
      <w:proofErr w:type="gramStart"/>
      <w:r w:rsidR="00936A28">
        <w:rPr>
          <w:rFonts w:ascii="Book Antiqua" w:hAnsi="Book Antiqua" w:cs="Tahoma"/>
          <w:lang w:val="en-GB"/>
        </w:rPr>
        <w:t>,j’s</w:t>
      </w:r>
      <w:proofErr w:type="spellEnd"/>
      <w:proofErr w:type="gramEnd"/>
      <w:r w:rsidR="00936A28">
        <w:rPr>
          <w:rFonts w:ascii="Book Antiqua" w:hAnsi="Book Antiqua" w:cs="Tahoma"/>
          <w:lang w:val="en-GB"/>
        </w:rPr>
        <w:t xml:space="preserve"> or </w:t>
      </w:r>
      <w:r w:rsidR="000E573F">
        <w:rPr>
          <w:rFonts w:ascii="Book Antiqua" w:hAnsi="Book Antiqua" w:cs="Tahoma"/>
          <w:lang w:val="en-GB"/>
        </w:rPr>
        <w:t xml:space="preserve">from </w:t>
      </w:r>
      <w:proofErr w:type="spellStart"/>
      <w:r w:rsidR="00936A28">
        <w:rPr>
          <w:rFonts w:ascii="Book Antiqua" w:hAnsi="Book Antiqua" w:cs="Tahoma"/>
          <w:lang w:val="en-GB"/>
        </w:rPr>
        <w:t>Ata,j’s</w:t>
      </w:r>
      <w:proofErr w:type="spellEnd"/>
      <w:r w:rsidR="00936A28">
        <w:rPr>
          <w:rFonts w:ascii="Book Antiqua" w:hAnsi="Book Antiqua" w:cs="Tahoma"/>
          <w:lang w:val="en-GB"/>
        </w:rPr>
        <w:t xml:space="preserve">. </w:t>
      </w:r>
    </w:p>
    <w:p w:rsidR="00A74724" w:rsidRDefault="00DA523B" w:rsidP="00DA523B">
      <w:pPr>
        <w:spacing w:line="288" w:lineRule="auto"/>
        <w:ind w:firstLine="706"/>
        <w:jc w:val="both"/>
        <w:rPr>
          <w:rFonts w:ascii="Book Antiqua" w:hAnsi="Book Antiqua" w:cs="Tahoma"/>
          <w:lang w:val="en-GB"/>
        </w:rPr>
      </w:pPr>
      <w:r>
        <w:rPr>
          <w:rFonts w:ascii="Book Antiqua" w:hAnsi="Book Antiqua" w:cs="Tahoma"/>
          <w:lang w:val="en-GB"/>
        </w:rPr>
        <w:t xml:space="preserve">Several </w:t>
      </w:r>
      <w:r w:rsidR="005B6B70">
        <w:rPr>
          <w:rFonts w:ascii="Book Antiqua" w:hAnsi="Book Antiqua" w:cs="Tahoma"/>
          <w:lang w:val="en-GB"/>
        </w:rPr>
        <w:t xml:space="preserve">notes have to be made here. </w:t>
      </w:r>
    </w:p>
    <w:p w:rsidR="00DA523B" w:rsidRDefault="00194669" w:rsidP="00DA523B">
      <w:pPr>
        <w:spacing w:line="288" w:lineRule="auto"/>
        <w:ind w:firstLine="706"/>
        <w:jc w:val="both"/>
        <w:rPr>
          <w:rFonts w:ascii="Book Antiqua" w:hAnsi="Book Antiqua" w:cs="Tahoma"/>
          <w:lang w:val="en-GB"/>
        </w:rPr>
      </w:pPr>
      <w:r>
        <w:rPr>
          <w:rFonts w:ascii="Book Antiqua" w:hAnsi="Book Antiqua" w:cs="Tahoma"/>
          <w:lang w:val="en-GB"/>
        </w:rPr>
        <w:t xml:space="preserve">In </w:t>
      </w:r>
      <w:r w:rsidR="00D10776">
        <w:rPr>
          <w:rFonts w:ascii="Book Antiqua" w:hAnsi="Book Antiqua" w:cs="Tahoma"/>
          <w:lang w:val="en-GB"/>
        </w:rPr>
        <w:t>Table 1</w:t>
      </w:r>
      <w:r w:rsidR="00784709">
        <w:rPr>
          <w:rFonts w:ascii="Book Antiqua" w:hAnsi="Book Antiqua" w:cs="Tahoma"/>
          <w:lang w:val="en-GB"/>
        </w:rPr>
        <w:t xml:space="preserve"> we may not deal with an I</w:t>
      </w:r>
      <w:r>
        <w:rPr>
          <w:rFonts w:ascii="Book Antiqua" w:hAnsi="Book Antiqua" w:cs="Tahoma"/>
          <w:lang w:val="en-GB"/>
        </w:rPr>
        <w:t>nnovator industry.</w:t>
      </w:r>
      <w:r w:rsidR="00784709">
        <w:rPr>
          <w:rFonts w:ascii="Book Antiqua" w:hAnsi="Book Antiqua" w:cs="Tahoma"/>
          <w:lang w:val="en-GB"/>
        </w:rPr>
        <w:t xml:space="preserve"> It may be a Monopolist industry. </w:t>
      </w:r>
      <w:r w:rsidR="00107B3A">
        <w:rPr>
          <w:rFonts w:ascii="Book Antiqua" w:hAnsi="Book Antiqua" w:cs="Tahoma"/>
          <w:lang w:val="en-GB"/>
        </w:rPr>
        <w:t xml:space="preserve">Of course, every innovator is in the beginning a monopolist, before it’s innovation is copied by competitors. </w:t>
      </w:r>
      <w:r w:rsidR="00EB3699">
        <w:rPr>
          <w:rFonts w:ascii="Book Antiqua" w:hAnsi="Book Antiqua" w:cs="Tahoma"/>
          <w:lang w:val="en-GB"/>
        </w:rPr>
        <w:t>But when working with transaction costs and institutional change, new institutional economists paint on a larger canvas. The technological changes are fundamental and they concern the whole industry, not particular company in it. In this sense</w:t>
      </w:r>
      <w:r w:rsidR="00837DDC">
        <w:rPr>
          <w:rFonts w:ascii="Book Antiqua" w:hAnsi="Book Antiqua" w:cs="Tahoma"/>
          <w:lang w:val="en-GB"/>
        </w:rPr>
        <w:t>,</w:t>
      </w:r>
      <w:r w:rsidR="00EB3699">
        <w:rPr>
          <w:rFonts w:ascii="Book Antiqua" w:hAnsi="Book Antiqua" w:cs="Tahoma"/>
          <w:lang w:val="en-GB"/>
        </w:rPr>
        <w:t xml:space="preserve"> the</w:t>
      </w:r>
      <w:r w:rsidR="00837DDC">
        <w:rPr>
          <w:rFonts w:ascii="Book Antiqua" w:hAnsi="Book Antiqua" w:cs="Tahoma"/>
          <w:lang w:val="en-GB"/>
        </w:rPr>
        <w:t>re</w:t>
      </w:r>
      <w:r w:rsidR="00EB3699">
        <w:rPr>
          <w:rFonts w:ascii="Book Antiqua" w:hAnsi="Book Antiqua" w:cs="Tahoma"/>
          <w:lang w:val="en-GB"/>
        </w:rPr>
        <w:t xml:space="preserve"> </w:t>
      </w:r>
      <w:r w:rsidR="00837DDC">
        <w:rPr>
          <w:rFonts w:ascii="Book Antiqua" w:hAnsi="Book Antiqua" w:cs="Tahoma"/>
          <w:lang w:val="en-GB"/>
        </w:rPr>
        <w:t>are</w:t>
      </w:r>
      <w:r w:rsidR="00EB3699">
        <w:rPr>
          <w:rFonts w:ascii="Book Antiqua" w:hAnsi="Book Antiqua" w:cs="Tahoma"/>
          <w:lang w:val="en-GB"/>
        </w:rPr>
        <w:t xml:space="preserve"> no alternatives to bring down their cost. If they bring positive change for the economy, they will allow other industries to increase their output with fewer resources. This will drag down the backward linkages in the economy. </w:t>
      </w:r>
      <w:r w:rsidR="00837DDC">
        <w:rPr>
          <w:rFonts w:ascii="Book Antiqua" w:hAnsi="Book Antiqua" w:cs="Tahoma"/>
          <w:lang w:val="en-GB"/>
        </w:rPr>
        <w:t xml:space="preserve">If the Innovator industry acts like a monopolist for a long time, if it just redistributes the value added in the economy to itself, if the transaction and transformation functions in the economy do not augment, then the backward linkages in the economy will, in general, increase, showing worsening in the overall efficiency. </w:t>
      </w:r>
      <w:r w:rsidR="0079097C">
        <w:rPr>
          <w:rFonts w:ascii="Book Antiqua" w:hAnsi="Book Antiqua" w:cs="Tahoma"/>
          <w:lang w:val="en-GB"/>
        </w:rPr>
        <w:t xml:space="preserve">In this case I would call the monopolist “a </w:t>
      </w:r>
      <w:r w:rsidR="0079097C" w:rsidRPr="0079097C">
        <w:rPr>
          <w:rFonts w:ascii="Book Antiqua" w:hAnsi="Book Antiqua" w:cs="Tahoma"/>
          <w:lang w:val="en-GB"/>
        </w:rPr>
        <w:t>racketeer</w:t>
      </w:r>
      <w:r w:rsidR="0079097C">
        <w:rPr>
          <w:rFonts w:ascii="Book Antiqua" w:hAnsi="Book Antiqua" w:cs="Tahoma"/>
          <w:lang w:val="en-GB"/>
        </w:rPr>
        <w:t xml:space="preserve">”. </w:t>
      </w:r>
    </w:p>
    <w:p w:rsidR="00A15392" w:rsidRDefault="00A15392" w:rsidP="00DA523B">
      <w:pPr>
        <w:spacing w:line="288" w:lineRule="auto"/>
        <w:ind w:firstLine="706"/>
        <w:jc w:val="both"/>
        <w:rPr>
          <w:rFonts w:ascii="Book Antiqua" w:hAnsi="Book Antiqua" w:cs="Tahoma"/>
          <w:lang w:val="en-GB"/>
        </w:rPr>
      </w:pPr>
      <w:r>
        <w:rPr>
          <w:rFonts w:ascii="Book Antiqua" w:hAnsi="Book Antiqua" w:cs="Tahoma"/>
          <w:lang w:val="en-GB"/>
        </w:rPr>
        <w:t>A racketeering transaction industry may emerge from rules and laws that do not serve the productive, value-adding, process</w:t>
      </w:r>
      <w:r w:rsidR="002249C2">
        <w:rPr>
          <w:rFonts w:ascii="Book Antiqua" w:hAnsi="Book Antiqua" w:cs="Tahoma"/>
          <w:lang w:val="en-GB"/>
        </w:rPr>
        <w:t>es</w:t>
      </w:r>
      <w:r>
        <w:rPr>
          <w:rFonts w:ascii="Book Antiqua" w:hAnsi="Book Antiqua" w:cs="Tahoma"/>
          <w:lang w:val="en-GB"/>
        </w:rPr>
        <w:t xml:space="preserve"> but the processes of redistribution.</w:t>
      </w:r>
      <w:r w:rsidR="002249C2">
        <w:rPr>
          <w:rFonts w:ascii="Book Antiqua" w:hAnsi="Book Antiqua" w:cs="Tahoma"/>
          <w:lang w:val="en-GB"/>
        </w:rPr>
        <w:t xml:space="preserve"> Take for example the countries from Eastern Europe and the Balkans which left the communist economic system in the end of 1980’s. They all had to adopt new institutions to serve the market economy. </w:t>
      </w:r>
      <w:r w:rsidR="00264449">
        <w:rPr>
          <w:rFonts w:ascii="Book Antiqua" w:hAnsi="Book Antiqua" w:cs="Tahoma"/>
          <w:lang w:val="en-GB"/>
        </w:rPr>
        <w:t xml:space="preserve">But some of them are in NATO and EU now, while others are still outside these unions. And even between EU-members there are differences in the economic performance though they all have passed through more or less same accession period. </w:t>
      </w:r>
      <w:r w:rsidR="007C7235">
        <w:rPr>
          <w:rFonts w:ascii="Book Antiqua" w:hAnsi="Book Antiqua" w:cs="Tahoma"/>
          <w:lang w:val="en-GB"/>
        </w:rPr>
        <w:t xml:space="preserve">EU capital markets are opened which </w:t>
      </w:r>
      <w:r w:rsidR="007C7235">
        <w:rPr>
          <w:rFonts w:ascii="Book Antiqua" w:hAnsi="Book Antiqua" w:cs="Tahoma"/>
          <w:lang w:val="en-GB"/>
        </w:rPr>
        <w:lastRenderedPageBreak/>
        <w:t>means that technological changes can spill over the member countries equally</w:t>
      </w:r>
      <w:r w:rsidR="007C7235">
        <w:rPr>
          <w:rStyle w:val="FootnoteReference"/>
          <w:rFonts w:ascii="Book Antiqua" w:hAnsi="Book Antiqua" w:cs="Tahoma"/>
          <w:lang w:val="en-GB"/>
        </w:rPr>
        <w:footnoteReference w:id="2"/>
      </w:r>
      <w:r w:rsidR="003E0C9A">
        <w:rPr>
          <w:rFonts w:ascii="Book Antiqua" w:hAnsi="Book Antiqua" w:cs="Tahoma"/>
          <w:lang w:val="en-GB"/>
        </w:rPr>
        <w:t>. Formal rules are on the surface adopted by all member countries but their enforcement may drastically differ. If we have a quantitative model which catches the differences in the consequences from institutional change</w:t>
      </w:r>
      <w:r w:rsidR="00CC0E81">
        <w:rPr>
          <w:rFonts w:ascii="Book Antiqua" w:hAnsi="Book Antiqua" w:cs="Tahoma"/>
          <w:lang w:val="en-GB"/>
        </w:rPr>
        <w:t xml:space="preserve">, we may be able to discriminate good practices from bad practices.  </w:t>
      </w:r>
      <w:r w:rsidR="003E0C9A">
        <w:rPr>
          <w:rFonts w:ascii="Book Antiqua" w:hAnsi="Book Antiqua" w:cs="Tahoma"/>
          <w:lang w:val="en-GB"/>
        </w:rPr>
        <w:t xml:space="preserve"> </w:t>
      </w:r>
    </w:p>
    <w:p w:rsidR="00CC66AB" w:rsidRDefault="009D0B12" w:rsidP="00CC66AB">
      <w:pPr>
        <w:spacing w:line="288" w:lineRule="auto"/>
        <w:ind w:firstLine="706"/>
        <w:jc w:val="both"/>
        <w:rPr>
          <w:rFonts w:ascii="Book Antiqua" w:hAnsi="Book Antiqua" w:cs="Tahoma"/>
          <w:lang w:val="en-GB"/>
        </w:rPr>
      </w:pPr>
      <w:r>
        <w:rPr>
          <w:rFonts w:ascii="Book Antiqua" w:hAnsi="Book Antiqua" w:cs="Tahoma"/>
          <w:lang w:val="en-GB"/>
        </w:rPr>
        <w:t xml:space="preserve">I </w:t>
      </w:r>
      <w:r w:rsidR="00D20ACD">
        <w:rPr>
          <w:rFonts w:ascii="Book Antiqua" w:hAnsi="Book Antiqua" w:cs="Tahoma"/>
          <w:lang w:val="en-GB"/>
        </w:rPr>
        <w:t>try</w:t>
      </w:r>
      <w:r>
        <w:rPr>
          <w:rFonts w:ascii="Book Antiqua" w:hAnsi="Book Antiqua" w:cs="Tahoma"/>
          <w:lang w:val="en-GB"/>
        </w:rPr>
        <w:t xml:space="preserve"> to model not innovations in particular industry but as a whole in the sector of transaction industries versus the sector of </w:t>
      </w:r>
      <w:r w:rsidR="00E3371A">
        <w:rPr>
          <w:rFonts w:ascii="Book Antiqua" w:hAnsi="Book Antiqua" w:cs="Tahoma"/>
          <w:lang w:val="en-GB"/>
        </w:rPr>
        <w:t>transformation industries. This is done in Table 3 and in thi</w:t>
      </w:r>
      <w:r w:rsidR="003605CB">
        <w:rPr>
          <w:rFonts w:ascii="Book Antiqua" w:hAnsi="Book Antiqua" w:cs="Tahoma"/>
          <w:lang w:val="en-GB"/>
        </w:rPr>
        <w:t xml:space="preserve">s case the issues of different </w:t>
      </w:r>
      <w:r w:rsidR="00E3371A">
        <w:rPr>
          <w:rFonts w:ascii="Book Antiqua" w:hAnsi="Book Antiqua" w:cs="Tahoma"/>
          <w:lang w:val="en-GB"/>
        </w:rPr>
        <w:t xml:space="preserve">industry shares, </w:t>
      </w:r>
      <w:r w:rsidR="00D20ACD">
        <w:rPr>
          <w:rFonts w:ascii="Book Antiqua" w:hAnsi="Book Antiqua" w:cs="Tahoma"/>
          <w:lang w:val="en-GB"/>
        </w:rPr>
        <w:t>magnitude</w:t>
      </w:r>
      <w:r w:rsidR="00CC66AB">
        <w:rPr>
          <w:rFonts w:ascii="Book Antiqua" w:hAnsi="Book Antiqua" w:cs="Tahoma"/>
          <w:lang w:val="en-GB"/>
        </w:rPr>
        <w:t xml:space="preserve"> </w:t>
      </w:r>
      <w:r w:rsidR="00CC66AB">
        <w:rPr>
          <w:rFonts w:ascii="Book Antiqua" w:hAnsi="Book Antiqua" w:cs="Tahoma"/>
          <w:lang w:val="en-GB"/>
        </w:rPr>
        <w:t xml:space="preserve">of particular backward multipliers, level of aggregation (whether it is four TF industries versus two TA industries or other combinations) will not be severely important for the working of the model. </w:t>
      </w:r>
    </w:p>
    <w:p w:rsidR="00CC66AB" w:rsidRDefault="00CC66AB" w:rsidP="00CC66AB">
      <w:pPr>
        <w:spacing w:line="288" w:lineRule="auto"/>
        <w:ind w:firstLine="706"/>
        <w:jc w:val="both"/>
        <w:rPr>
          <w:rFonts w:ascii="Book Antiqua" w:hAnsi="Book Antiqua" w:cs="Tahoma"/>
          <w:lang w:val="en-US"/>
        </w:rPr>
      </w:pPr>
      <w:r>
        <w:rPr>
          <w:rFonts w:ascii="Book Antiqua" w:hAnsi="Book Antiqua" w:cs="Tahoma"/>
          <w:lang w:val="en-GB"/>
        </w:rPr>
        <w:t xml:space="preserve">Let’s look at the model. </w:t>
      </w:r>
      <w:r>
        <w:rPr>
          <w:rFonts w:ascii="Book Antiqua" w:hAnsi="Book Antiqua" w:cs="Tahoma"/>
          <w:lang w:val="en-US"/>
        </w:rPr>
        <w:t xml:space="preserve">We recognize the happening innovations, or call them just changes, by the increase of the output of the TA sector or the TF sector. Because the data are nominal and because generally in the economy there is inflation, the outputs will always increase. But when an industry, or a sector, has the advantage of the innovator (or the racketeer), the nominal value of its output will </w:t>
      </w:r>
      <w:proofErr w:type="spellStart"/>
      <w:r>
        <w:rPr>
          <w:rFonts w:ascii="Book Antiqua" w:hAnsi="Book Antiqua" w:cs="Tahoma"/>
          <w:lang w:val="en-US"/>
        </w:rPr>
        <w:t>outjump</w:t>
      </w:r>
      <w:proofErr w:type="spellEnd"/>
      <w:r>
        <w:rPr>
          <w:rFonts w:ascii="Book Antiqua" w:hAnsi="Book Antiqua" w:cs="Tahoma"/>
          <w:lang w:val="en-US"/>
        </w:rPr>
        <w:t xml:space="preserve"> the inflation in the output of the other sector. </w:t>
      </w:r>
    </w:p>
    <w:p w:rsidR="00CC66AB" w:rsidRDefault="00CC66AB" w:rsidP="00CC66AB">
      <w:pPr>
        <w:spacing w:line="288" w:lineRule="auto"/>
        <w:ind w:firstLine="706"/>
        <w:jc w:val="both"/>
        <w:rPr>
          <w:rFonts w:ascii="Book Antiqua" w:hAnsi="Book Antiqua" w:cs="Tahoma"/>
          <w:lang w:val="en-US"/>
        </w:rPr>
      </w:pPr>
      <w:r>
        <w:rPr>
          <w:rFonts w:ascii="Book Antiqua" w:hAnsi="Book Antiqua" w:cs="Tahoma"/>
          <w:lang w:val="en-US"/>
        </w:rPr>
        <w:t xml:space="preserve">If the two sectors can synchronize their development, we cannot distinguish the first block of results from the third. Just like in real economy, where we can hardly separate chronologically engineering from social innovations, but ultimately we are interested in the final result up to some moment in time, here the model does not discern between types of impulses as long as changes have synchronized during the examined period. </w:t>
      </w:r>
    </w:p>
    <w:p w:rsidR="00CC66AB" w:rsidRDefault="008D313B" w:rsidP="00E3371A">
      <w:pPr>
        <w:spacing w:line="288" w:lineRule="auto"/>
        <w:ind w:firstLine="706"/>
        <w:jc w:val="both"/>
        <w:rPr>
          <w:rFonts w:ascii="Book Antiqua" w:hAnsi="Book Antiqua" w:cs="Tahoma"/>
          <w:lang w:val="en-GB"/>
        </w:rPr>
      </w:pPr>
      <w:r>
        <w:rPr>
          <w:rFonts w:ascii="Book Antiqua" w:hAnsi="Book Antiqua" w:cs="Tahoma"/>
          <w:lang w:val="en-US"/>
        </w:rPr>
        <w:t xml:space="preserve">More importance is given to the influence on transaction and transformation functions in the economy, how they combine and the eventual effect on the backward linkages, that is on the efficiency in the economy. Also, such matters like import over export are indirectly concerned. For example if the TF industries’ output does not increase while at the same time the TF function attenuates, then the missing resources will have to be imported in the economy. The same effect, and also inflation, can follow an increase in the value added of TA industries, which is equal to increase in the incomes of the people who work there or invest there, if this increase is not soon enough spilled over to TF industries which provide the goods and services of ultimate interest. Remember that the business of the </w:t>
      </w:r>
      <w:r w:rsidRPr="00D060C6">
        <w:rPr>
          <w:rFonts w:ascii="Book Antiqua" w:hAnsi="Book Antiqua" w:cs="Tahoma"/>
          <w:lang w:val="en-GB"/>
        </w:rPr>
        <w:t>judge-policeman-clerk</w:t>
      </w:r>
      <w:r>
        <w:rPr>
          <w:rFonts w:ascii="Book Antiqua" w:hAnsi="Book Antiqua" w:cs="Tahoma"/>
          <w:lang w:val="en-GB"/>
        </w:rPr>
        <w:t xml:space="preserve"> in the Crusoe-Friday economy is not end in itself. Nuts and fish are end in itself, and the money in the economy is ultimately chasing them. </w:t>
      </w:r>
    </w:p>
    <w:p w:rsidR="00224E17" w:rsidRDefault="00224E17">
      <w:pPr>
        <w:rPr>
          <w:rFonts w:ascii="Book Antiqua" w:hAnsi="Book Antiqua" w:cs="Tahoma"/>
          <w:lang w:val="en-GB"/>
        </w:rPr>
      </w:pPr>
      <w:r>
        <w:rPr>
          <w:rFonts w:ascii="Book Antiqua" w:hAnsi="Book Antiqua" w:cs="Tahoma"/>
          <w:lang w:val="en-GB"/>
        </w:rPr>
        <w:br w:type="page"/>
      </w:r>
    </w:p>
    <w:p w:rsidR="00224E17" w:rsidRDefault="00224E17" w:rsidP="00256750">
      <w:pPr>
        <w:spacing w:line="288" w:lineRule="auto"/>
        <w:ind w:firstLine="706"/>
        <w:rPr>
          <w:rFonts w:ascii="Book Antiqua" w:hAnsi="Book Antiqua" w:cs="Tahoma"/>
          <w:lang w:val="en-GB"/>
        </w:rPr>
        <w:sectPr w:rsidR="00224E17" w:rsidSect="00224E17">
          <w:pgSz w:w="11906" w:h="16838"/>
          <w:pgMar w:top="1418" w:right="1418" w:bottom="1418" w:left="1418" w:header="709" w:footer="709" w:gutter="0"/>
          <w:cols w:space="708"/>
          <w:docGrid w:linePitch="360"/>
        </w:sectPr>
      </w:pPr>
    </w:p>
    <w:p w:rsidR="00D949FC" w:rsidRPr="007305DA" w:rsidRDefault="002A6A70" w:rsidP="00DF46EA">
      <w:pPr>
        <w:spacing w:line="288" w:lineRule="auto"/>
        <w:ind w:firstLine="706"/>
        <w:jc w:val="both"/>
        <w:rPr>
          <w:rFonts w:ascii="Book Antiqua" w:hAnsi="Book Antiqua" w:cs="Tahoma"/>
          <w:b/>
          <w:lang w:val="en-GB"/>
        </w:rPr>
      </w:pPr>
      <w:proofErr w:type="gramStart"/>
      <w:r>
        <w:rPr>
          <w:rFonts w:ascii="Book Antiqua" w:hAnsi="Book Antiqua" w:cs="Tahoma"/>
          <w:b/>
          <w:lang w:val="en-GB"/>
        </w:rPr>
        <w:lastRenderedPageBreak/>
        <w:t>Table 3</w:t>
      </w:r>
      <w:r w:rsidR="00D949FC" w:rsidRPr="007305DA">
        <w:rPr>
          <w:rFonts w:ascii="Book Antiqua" w:hAnsi="Book Antiqua" w:cs="Tahoma"/>
          <w:b/>
          <w:lang w:val="en-GB"/>
        </w:rPr>
        <w:t>.</w:t>
      </w:r>
      <w:proofErr w:type="gramEnd"/>
      <w:r w:rsidR="00D949FC" w:rsidRPr="007305DA">
        <w:rPr>
          <w:rFonts w:ascii="Book Antiqua" w:hAnsi="Book Antiqua" w:cs="Tahoma"/>
          <w:b/>
          <w:lang w:val="en-GB"/>
        </w:rPr>
        <w:t xml:space="preserve"> </w:t>
      </w:r>
      <w:r w:rsidR="00C573A5" w:rsidRPr="007305DA">
        <w:rPr>
          <w:rFonts w:ascii="Book Antiqua" w:hAnsi="Book Antiqua" w:cs="Tahoma"/>
          <w:b/>
          <w:lang w:val="en-GB"/>
        </w:rPr>
        <w:t>Interactions between transaction industries sector (TAS) and transformation industries sector (TFS)</w:t>
      </w:r>
    </w:p>
    <w:tbl>
      <w:tblPr>
        <w:tblW w:w="5000" w:type="pct"/>
        <w:tblCellMar>
          <w:left w:w="70" w:type="dxa"/>
          <w:right w:w="70" w:type="dxa"/>
        </w:tblCellMar>
        <w:tblLook w:val="04A0" w:firstRow="1" w:lastRow="0" w:firstColumn="1" w:lastColumn="0" w:noHBand="0" w:noVBand="1"/>
      </w:tblPr>
      <w:tblGrid>
        <w:gridCol w:w="3564"/>
        <w:gridCol w:w="1594"/>
        <w:gridCol w:w="1359"/>
        <w:gridCol w:w="1945"/>
        <w:gridCol w:w="1815"/>
        <w:gridCol w:w="1294"/>
        <w:gridCol w:w="1294"/>
        <w:gridCol w:w="1291"/>
      </w:tblGrid>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u w:val="single"/>
                <w:lang w:val="en-GB"/>
              </w:rPr>
            </w:pPr>
            <w:r w:rsidRPr="00E236C0">
              <w:rPr>
                <w:rFonts w:ascii="Book Antiqua" w:hAnsi="Book Antiqua" w:cs="Calibri"/>
                <w:color w:val="000000"/>
                <w:sz w:val="20"/>
                <w:szCs w:val="20"/>
                <w:u w:val="single"/>
                <w:lang w:val="en-GB"/>
              </w:rPr>
              <w:t>the importance of TAS grows</w:t>
            </w:r>
          </w:p>
        </w:tc>
        <w:tc>
          <w:tcPr>
            <w:tcW w:w="563"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nil"/>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1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leads to equal growth in TFS</w:t>
            </w:r>
          </w:p>
        </w:tc>
        <w:tc>
          <w:tcPr>
            <w:tcW w:w="2828" w:type="pct"/>
            <w:gridSpan w:val="5"/>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changes in X of TAS and TFS are equal</w:t>
            </w:r>
          </w:p>
        </w:tc>
        <w:tc>
          <w:tcPr>
            <w:tcW w:w="457" w:type="pct"/>
            <w:tcBorders>
              <w:top w:val="nil"/>
              <w:left w:val="nil"/>
              <w:bottom w:val="nil"/>
              <w:right w:val="nil"/>
            </w:tcBorders>
            <w:vAlign w:val="center"/>
          </w:tcPr>
          <w:p w:rsidR="00E236C0" w:rsidRPr="00E236C0" w:rsidRDefault="00E236C0" w:rsidP="00737A6B">
            <w:pPr>
              <w:jc w:val="center"/>
              <w:rPr>
                <w:rFonts w:ascii="Book Antiqua" w:hAnsi="Book Antiqua" w:cs="Calibri"/>
                <w:b/>
                <w:bCs/>
                <w:color w:val="000000"/>
                <w:sz w:val="20"/>
                <w:szCs w:val="20"/>
                <w:lang w:val="en-GB"/>
              </w:rPr>
            </w:pPr>
          </w:p>
        </w:tc>
        <w:tc>
          <w:tcPr>
            <w:tcW w:w="456" w:type="pct"/>
            <w:tcBorders>
              <w:top w:val="nil"/>
              <w:left w:val="nil"/>
              <w:bottom w:val="nil"/>
              <w:right w:val="nil"/>
            </w:tcBorders>
            <w:vAlign w:val="center"/>
          </w:tcPr>
          <w:p w:rsidR="00E236C0" w:rsidRPr="00E236C0" w:rsidRDefault="00E236C0" w:rsidP="00737A6B">
            <w:pPr>
              <w:jc w:val="center"/>
              <w:rPr>
                <w:rFonts w:ascii="Book Antiqua" w:hAnsi="Book Antiqua" w:cs="Calibri"/>
                <w:b/>
                <w:bCs/>
                <w:color w:val="000000"/>
                <w:sz w:val="20"/>
                <w:szCs w:val="20"/>
                <w:lang w:val="en-GB"/>
              </w:rPr>
            </w:pPr>
          </w:p>
        </w:tc>
      </w:tr>
      <w:tr w:rsidR="00E236C0" w:rsidRPr="00E236C0" w:rsidTr="00737A6B">
        <w:trPr>
          <w:trHeight w:val="330"/>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Atf,tf</w:t>
            </w:r>
            <w:proofErr w:type="spellEnd"/>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Ata,tf</w:t>
            </w:r>
            <w:proofErr w:type="spellEnd"/>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Atf,ta</w:t>
            </w:r>
            <w:proofErr w:type="spellEnd"/>
          </w:p>
        </w:tc>
        <w:tc>
          <w:tcPr>
            <w:tcW w:w="641"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Ata,ta</w:t>
            </w:r>
            <w:proofErr w:type="spellEnd"/>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r w:rsidRPr="00E236C0">
              <w:rPr>
                <w:rFonts w:ascii="Book Antiqua" w:hAnsi="Book Antiqua" w:cs="Calibri"/>
                <w:i/>
                <w:iCs/>
                <w:color w:val="000000"/>
                <w:sz w:val="20"/>
                <w:szCs w:val="20"/>
                <w:lang w:val="en-GB"/>
              </w:rPr>
              <w:t>BL</w:t>
            </w:r>
          </w:p>
        </w:tc>
        <w:tc>
          <w:tcPr>
            <w:tcW w:w="457"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1995-2000</w:t>
            </w:r>
          </w:p>
        </w:tc>
        <w:tc>
          <w:tcPr>
            <w:tcW w:w="456"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2000-2005</w:t>
            </w:r>
          </w:p>
        </w:tc>
      </w:tr>
      <w:tr w:rsidR="00E236C0" w:rsidRPr="00E236C0" w:rsidTr="00737A6B">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3A0575"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Germany</w:t>
            </w:r>
          </w:p>
        </w:tc>
      </w:tr>
      <w:tr w:rsidR="00E236C0" w:rsidRPr="00E236C0" w:rsidTr="00737A6B">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834E6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TA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3A0575"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Spain</w:t>
            </w:r>
          </w:p>
        </w:tc>
      </w:tr>
      <w:tr w:rsidR="00E236C0" w:rsidRPr="00E236C0" w:rsidTr="00834E6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single" w:sz="4" w:space="0" w:color="auto"/>
              <w:left w:val="single" w:sz="4" w:space="0" w:color="auto"/>
              <w:bottom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834E6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3A0575"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Belgium, Estonia</w:t>
            </w:r>
          </w:p>
        </w:tc>
      </w:tr>
      <w:tr w:rsidR="00E236C0" w:rsidRPr="00E236C0" w:rsidTr="00737A6B">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BA3CF4"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BEST</w:t>
            </w: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05810">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TA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Estonia</w:t>
            </w: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05810">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attenuation in TF function</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single" w:sz="4" w:space="0" w:color="auto"/>
              <w:left w:val="single" w:sz="4" w:space="0" w:color="auto"/>
              <w:bottom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05810">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1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Hungary</w:t>
            </w: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00"/>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TA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630"/>
        </w:trPr>
        <w:tc>
          <w:tcPr>
            <w:tcW w:w="1259" w:type="pct"/>
            <w:tcBorders>
              <w:top w:val="nil"/>
              <w:left w:val="nil"/>
              <w:bottom w:val="nil"/>
              <w:right w:val="nil"/>
            </w:tcBorders>
            <w:shd w:val="clear" w:color="auto" w:fill="auto"/>
            <w:vAlign w:val="bottom"/>
            <w:hideMark/>
          </w:tcPr>
          <w:p w:rsidR="00E236C0" w:rsidRPr="00E236C0" w:rsidRDefault="00E236C0">
            <w:pP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 xml:space="preserve">does not lead to growth in TFS </w:t>
            </w:r>
            <w:r w:rsidRPr="00E236C0">
              <w:rPr>
                <w:rFonts w:ascii="Book Antiqua" w:hAnsi="Book Antiqua" w:cs="Calibri"/>
                <w:b/>
                <w:bCs/>
                <w:color w:val="000000"/>
                <w:sz w:val="20"/>
                <w:szCs w:val="20"/>
                <w:lang w:val="en-GB"/>
              </w:rPr>
              <w:br/>
              <w:t>(at all or it is smaller)</w:t>
            </w:r>
          </w:p>
        </w:tc>
        <w:tc>
          <w:tcPr>
            <w:tcW w:w="2828" w:type="pct"/>
            <w:gridSpan w:val="5"/>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change in X of TAS &gt; change in X of TFS</w:t>
            </w:r>
          </w:p>
        </w:tc>
        <w:tc>
          <w:tcPr>
            <w:tcW w:w="457" w:type="pct"/>
            <w:tcBorders>
              <w:top w:val="single" w:sz="4" w:space="0" w:color="auto"/>
              <w:left w:val="nil"/>
              <w:bottom w:val="nil"/>
              <w:right w:val="nil"/>
            </w:tcBorders>
            <w:vAlign w:val="center"/>
          </w:tcPr>
          <w:p w:rsidR="00E236C0" w:rsidRPr="00E236C0" w:rsidRDefault="00E236C0" w:rsidP="00737A6B">
            <w:pPr>
              <w:jc w:val="center"/>
              <w:rPr>
                <w:rFonts w:ascii="Book Antiqua" w:hAnsi="Book Antiqua" w:cs="Calibri"/>
                <w:b/>
                <w:bCs/>
                <w:color w:val="000000"/>
                <w:sz w:val="20"/>
                <w:szCs w:val="20"/>
                <w:lang w:val="en-GB"/>
              </w:rPr>
            </w:pPr>
          </w:p>
        </w:tc>
        <w:tc>
          <w:tcPr>
            <w:tcW w:w="456" w:type="pct"/>
            <w:tcBorders>
              <w:top w:val="single" w:sz="4" w:space="0" w:color="auto"/>
              <w:left w:val="nil"/>
              <w:bottom w:val="nil"/>
              <w:right w:val="nil"/>
            </w:tcBorders>
            <w:vAlign w:val="center"/>
          </w:tcPr>
          <w:p w:rsidR="00E236C0" w:rsidRPr="00E236C0" w:rsidRDefault="00E236C0" w:rsidP="00737A6B">
            <w:pPr>
              <w:jc w:val="center"/>
              <w:rPr>
                <w:rFonts w:ascii="Book Antiqua" w:hAnsi="Book Antiqua" w:cs="Calibri"/>
                <w:b/>
                <w:bCs/>
                <w:color w:val="000000"/>
                <w:sz w:val="20"/>
                <w:szCs w:val="20"/>
                <w:lang w:val="en-GB"/>
              </w:rPr>
            </w:pPr>
          </w:p>
        </w:tc>
      </w:tr>
      <w:tr w:rsidR="00E236C0" w:rsidRPr="00E236C0" w:rsidTr="00737A6B">
        <w:trPr>
          <w:trHeight w:val="31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nil"/>
              <w:left w:val="nil"/>
              <w:bottom w:val="nil"/>
              <w:right w:val="nil"/>
            </w:tcBorders>
            <w:shd w:val="clear" w:color="auto" w:fill="auto"/>
            <w:noWrap/>
            <w:vAlign w:val="center"/>
            <w:hideMark/>
          </w:tcPr>
          <w:p w:rsidR="00E236C0" w:rsidRPr="00E236C0" w:rsidRDefault="00E236C0" w:rsidP="00E16E5A">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Atf,tf</w:t>
            </w:r>
            <w:proofErr w:type="spellEnd"/>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Ata,tf</w:t>
            </w:r>
            <w:proofErr w:type="spellEnd"/>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Atf,ta</w:t>
            </w:r>
            <w:proofErr w:type="spellEnd"/>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Ata,ta</w:t>
            </w:r>
            <w:proofErr w:type="spellEnd"/>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r w:rsidRPr="00E236C0">
              <w:rPr>
                <w:rFonts w:ascii="Book Antiqua" w:hAnsi="Book Antiqua" w:cs="Calibri"/>
                <w:i/>
                <w:iCs/>
                <w:color w:val="000000"/>
                <w:sz w:val="20"/>
                <w:szCs w:val="20"/>
                <w:lang w:val="en-GB"/>
              </w:rPr>
              <w:t>BL</w:t>
            </w:r>
          </w:p>
        </w:tc>
        <w:tc>
          <w:tcPr>
            <w:tcW w:w="457" w:type="pct"/>
            <w:tcBorders>
              <w:top w:val="nil"/>
              <w:left w:val="nil"/>
              <w:bottom w:val="single" w:sz="4" w:space="0" w:color="auto"/>
              <w:right w:val="nil"/>
            </w:tcBorders>
            <w:vAlign w:val="center"/>
          </w:tcPr>
          <w:p w:rsidR="00E236C0" w:rsidRPr="00E236C0" w:rsidRDefault="006B59E3"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1995-2000</w:t>
            </w:r>
          </w:p>
        </w:tc>
        <w:tc>
          <w:tcPr>
            <w:tcW w:w="456" w:type="pct"/>
            <w:tcBorders>
              <w:top w:val="nil"/>
              <w:left w:val="nil"/>
              <w:bottom w:val="single" w:sz="4" w:space="0" w:color="auto"/>
              <w:right w:val="nil"/>
            </w:tcBorders>
            <w:vAlign w:val="center"/>
          </w:tcPr>
          <w:p w:rsidR="00E236C0" w:rsidRPr="00E236C0" w:rsidRDefault="006B59E3"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2000-2005</w:t>
            </w: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1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TA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3A0575"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France</w:t>
            </w: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nil"/>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single" w:sz="4" w:space="0" w:color="auto"/>
              <w:left w:val="nil"/>
              <w:bottom w:val="nil"/>
              <w:right w:val="single" w:sz="4" w:space="0" w:color="auto"/>
            </w:tcBorders>
            <w:vAlign w:val="center"/>
          </w:tcPr>
          <w:p w:rsidR="00E236C0" w:rsidRPr="00E236C0" w:rsidRDefault="006B59E3"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Slovenia</w:t>
            </w:r>
          </w:p>
        </w:tc>
        <w:tc>
          <w:tcPr>
            <w:tcW w:w="456" w:type="pct"/>
            <w:tcBorders>
              <w:top w:val="single" w:sz="4" w:space="0" w:color="auto"/>
              <w:left w:val="nil"/>
              <w:bottom w:val="nil"/>
              <w:right w:val="single" w:sz="4" w:space="0" w:color="auto"/>
            </w:tcBorders>
            <w:vAlign w:val="center"/>
          </w:tcPr>
          <w:p w:rsidR="00E236C0" w:rsidRPr="00E236C0" w:rsidRDefault="006B59E3"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Slovenia</w:t>
            </w: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TA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6B59E3"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Netherlands</w:t>
            </w: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attenuation in TF function</w:t>
            </w:r>
          </w:p>
        </w:tc>
        <w:tc>
          <w:tcPr>
            <w:tcW w:w="563" w:type="pct"/>
            <w:tcBorders>
              <w:top w:val="nil"/>
              <w:left w:val="nil"/>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single" w:sz="4" w:space="0" w:color="auto"/>
              <w:left w:val="nil"/>
              <w:bottom w:val="nil"/>
              <w:right w:val="single" w:sz="4" w:space="0" w:color="auto"/>
            </w:tcBorders>
            <w:vAlign w:val="center"/>
          </w:tcPr>
          <w:p w:rsidR="00E236C0" w:rsidRPr="00E236C0" w:rsidRDefault="006B59E3" w:rsidP="00737A6B">
            <w:pPr>
              <w:jc w:val="center"/>
              <w:rPr>
                <w:rFonts w:ascii="Book Antiqua" w:hAnsi="Book Antiqua" w:cs="Calibri"/>
                <w:color w:val="000000"/>
                <w:sz w:val="20"/>
                <w:szCs w:val="20"/>
                <w:lang w:val="en-GB"/>
              </w:rPr>
            </w:pPr>
            <w:r>
              <w:rPr>
                <w:rFonts w:ascii="Book Antiqua" w:hAnsi="Book Antiqua" w:cs="Calibri"/>
                <w:color w:val="000000"/>
                <w:sz w:val="20"/>
                <w:szCs w:val="20"/>
                <w:lang w:val="en-GB"/>
              </w:rPr>
              <w:t>France</w:t>
            </w: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1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6B59E3">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TA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6B59E3">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6B59E3">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6B59E3">
            <w:pPr>
              <w:jc w:val="center"/>
              <w:rPr>
                <w:rFonts w:ascii="Book Antiqua" w:hAnsi="Book Antiqua" w:cs="Calibri"/>
                <w:color w:val="000000"/>
                <w:sz w:val="20"/>
                <w:szCs w:val="20"/>
                <w:lang w:val="en-GB"/>
              </w:rPr>
            </w:pPr>
          </w:p>
        </w:tc>
      </w:tr>
      <w:tr w:rsidR="00E236C0" w:rsidRPr="00E236C0" w:rsidTr="008F416C">
        <w:trPr>
          <w:trHeight w:val="28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u w:val="single"/>
                <w:lang w:val="en-GB"/>
              </w:rPr>
            </w:pPr>
            <w:r w:rsidRPr="00E236C0">
              <w:rPr>
                <w:rFonts w:ascii="Book Antiqua" w:hAnsi="Book Antiqua" w:cs="Calibri"/>
                <w:color w:val="000000"/>
                <w:sz w:val="20"/>
                <w:szCs w:val="20"/>
                <w:u w:val="single"/>
                <w:lang w:val="en-GB"/>
              </w:rPr>
              <w:lastRenderedPageBreak/>
              <w:t>the importance of TFS grows</w:t>
            </w:r>
          </w:p>
        </w:tc>
        <w:tc>
          <w:tcPr>
            <w:tcW w:w="563" w:type="pct"/>
            <w:tcBorders>
              <w:top w:val="nil"/>
              <w:left w:val="nil"/>
              <w:bottom w:val="nil"/>
              <w:right w:val="nil"/>
            </w:tcBorders>
            <w:shd w:val="clear" w:color="auto" w:fill="auto"/>
            <w:noWrap/>
            <w:vAlign w:val="bottom"/>
            <w:hideMark/>
          </w:tcPr>
          <w:p w:rsidR="00E236C0" w:rsidRPr="00E236C0" w:rsidRDefault="00E236C0">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457"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457" w:type="pct"/>
            <w:tcBorders>
              <w:top w:val="nil"/>
              <w:left w:val="nil"/>
              <w:bottom w:val="nil"/>
              <w:right w:val="nil"/>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nil"/>
              <w:left w:val="nil"/>
              <w:bottom w:val="nil"/>
              <w:right w:val="nil"/>
            </w:tcBorders>
          </w:tcPr>
          <w:p w:rsidR="00E236C0" w:rsidRPr="00E236C0" w:rsidRDefault="00E236C0">
            <w:pPr>
              <w:jc w:val="center"/>
              <w:rPr>
                <w:rFonts w:ascii="Book Antiqua" w:hAnsi="Book Antiqua" w:cs="Calibri"/>
                <w:color w:val="000000"/>
                <w:sz w:val="20"/>
                <w:szCs w:val="20"/>
                <w:lang w:val="en-GB"/>
              </w:rPr>
            </w:pPr>
          </w:p>
        </w:tc>
      </w:tr>
      <w:tr w:rsidR="00E236C0" w:rsidRPr="00E236C0" w:rsidTr="008F416C">
        <w:trPr>
          <w:trHeight w:val="31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leads to equal growth in TAS</w:t>
            </w:r>
          </w:p>
        </w:tc>
        <w:tc>
          <w:tcPr>
            <w:tcW w:w="2828" w:type="pct"/>
            <w:gridSpan w:val="5"/>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changes in X of TAS and TFS are equal</w:t>
            </w:r>
          </w:p>
        </w:tc>
        <w:tc>
          <w:tcPr>
            <w:tcW w:w="457" w:type="pct"/>
            <w:tcBorders>
              <w:top w:val="nil"/>
              <w:left w:val="nil"/>
              <w:bottom w:val="nil"/>
              <w:right w:val="nil"/>
            </w:tcBorders>
            <w:vAlign w:val="center"/>
          </w:tcPr>
          <w:p w:rsidR="00E236C0" w:rsidRPr="00E236C0" w:rsidRDefault="00E236C0" w:rsidP="008F416C">
            <w:pPr>
              <w:jc w:val="center"/>
              <w:rPr>
                <w:rFonts w:ascii="Book Antiqua" w:hAnsi="Book Antiqua" w:cs="Calibri"/>
                <w:b/>
                <w:bCs/>
                <w:color w:val="000000"/>
                <w:sz w:val="20"/>
                <w:szCs w:val="20"/>
                <w:lang w:val="en-GB"/>
              </w:rPr>
            </w:pPr>
          </w:p>
        </w:tc>
        <w:tc>
          <w:tcPr>
            <w:tcW w:w="456" w:type="pct"/>
            <w:tcBorders>
              <w:top w:val="nil"/>
              <w:left w:val="nil"/>
              <w:bottom w:val="nil"/>
              <w:right w:val="nil"/>
            </w:tcBorders>
          </w:tcPr>
          <w:p w:rsidR="00E236C0" w:rsidRPr="00E236C0" w:rsidRDefault="00E236C0">
            <w:pPr>
              <w:jc w:val="center"/>
              <w:rPr>
                <w:rFonts w:ascii="Book Antiqua" w:hAnsi="Book Antiqua" w:cs="Calibri"/>
                <w:b/>
                <w:bCs/>
                <w:color w:val="000000"/>
                <w:sz w:val="20"/>
                <w:szCs w:val="20"/>
                <w:lang w:val="en-GB"/>
              </w:rPr>
            </w:pPr>
          </w:p>
        </w:tc>
      </w:tr>
      <w:tr w:rsidR="00E236C0" w:rsidRPr="00E236C0" w:rsidTr="008F416C">
        <w:trPr>
          <w:trHeight w:val="330"/>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Atf,tf</w:t>
            </w:r>
            <w:proofErr w:type="spellEnd"/>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8F416C">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Ata,tf</w:t>
            </w:r>
            <w:proofErr w:type="spellEnd"/>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8F416C">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Atf,ta</w:t>
            </w:r>
            <w:proofErr w:type="spellEnd"/>
          </w:p>
        </w:tc>
        <w:tc>
          <w:tcPr>
            <w:tcW w:w="641" w:type="pct"/>
            <w:tcBorders>
              <w:top w:val="nil"/>
              <w:left w:val="nil"/>
              <w:bottom w:val="single" w:sz="4" w:space="0" w:color="auto"/>
              <w:right w:val="nil"/>
            </w:tcBorders>
            <w:shd w:val="clear" w:color="auto" w:fill="auto"/>
            <w:noWrap/>
            <w:vAlign w:val="center"/>
            <w:hideMark/>
          </w:tcPr>
          <w:p w:rsidR="00E236C0" w:rsidRPr="00E236C0" w:rsidRDefault="00E236C0" w:rsidP="008F416C">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Ata,ta</w:t>
            </w:r>
            <w:proofErr w:type="spellEnd"/>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8F416C">
            <w:pPr>
              <w:jc w:val="center"/>
              <w:rPr>
                <w:rFonts w:ascii="Book Antiqua" w:hAnsi="Book Antiqua" w:cs="Calibri"/>
                <w:i/>
                <w:iCs/>
                <w:color w:val="000000"/>
                <w:sz w:val="20"/>
                <w:szCs w:val="20"/>
                <w:lang w:val="en-GB"/>
              </w:rPr>
            </w:pPr>
            <w:r w:rsidRPr="00E236C0">
              <w:rPr>
                <w:rFonts w:ascii="Book Antiqua" w:hAnsi="Book Antiqua" w:cs="Calibri"/>
                <w:i/>
                <w:iCs/>
                <w:color w:val="000000"/>
                <w:sz w:val="20"/>
                <w:szCs w:val="20"/>
                <w:lang w:val="en-GB"/>
              </w:rPr>
              <w:t>BL</w:t>
            </w:r>
          </w:p>
        </w:tc>
        <w:tc>
          <w:tcPr>
            <w:tcW w:w="457" w:type="pct"/>
            <w:tcBorders>
              <w:top w:val="nil"/>
              <w:left w:val="nil"/>
              <w:bottom w:val="single" w:sz="4" w:space="0" w:color="auto"/>
              <w:right w:val="nil"/>
            </w:tcBorders>
            <w:vAlign w:val="center"/>
          </w:tcPr>
          <w:p w:rsidR="00E236C0" w:rsidRPr="00E236C0" w:rsidRDefault="00737A6B" w:rsidP="008F416C">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1995-2000</w:t>
            </w:r>
          </w:p>
        </w:tc>
        <w:tc>
          <w:tcPr>
            <w:tcW w:w="456" w:type="pct"/>
            <w:tcBorders>
              <w:top w:val="nil"/>
              <w:left w:val="nil"/>
              <w:bottom w:val="single" w:sz="4" w:space="0" w:color="auto"/>
              <w:right w:val="nil"/>
            </w:tcBorders>
            <w:vAlign w:val="center"/>
          </w:tcPr>
          <w:p w:rsidR="00E236C0" w:rsidRPr="00E236C0" w:rsidRDefault="00737A6B"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2000-2005</w:t>
            </w:r>
          </w:p>
        </w:tc>
      </w:tr>
      <w:tr w:rsidR="00E236C0" w:rsidRPr="00E236C0" w:rsidTr="008F416C">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8F416C">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B2EF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TF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B2EF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p>
        </w:tc>
        <w:tc>
          <w:tcPr>
            <w:tcW w:w="457" w:type="pct"/>
            <w:tcBorders>
              <w:top w:val="single" w:sz="4" w:space="0" w:color="auto"/>
              <w:left w:val="single" w:sz="4" w:space="0" w:color="auto"/>
              <w:bottom w:val="single" w:sz="4" w:space="0" w:color="auto"/>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single" w:sz="4" w:space="0" w:color="auto"/>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B2EF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single" w:sz="4" w:space="0" w:color="auto"/>
              <w:left w:val="nil"/>
              <w:bottom w:val="nil"/>
              <w:right w:val="single" w:sz="4" w:space="0" w:color="auto"/>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8F416C">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8F416C">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8F416C">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B2EFA">
        <w:trPr>
          <w:trHeight w:val="31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TF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B2EF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attenuation in TA function</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single" w:sz="4" w:space="0" w:color="auto"/>
              <w:left w:val="single" w:sz="4" w:space="0" w:color="auto"/>
              <w:bottom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EB2EFA">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00"/>
        </w:trPr>
        <w:tc>
          <w:tcPr>
            <w:tcW w:w="1259" w:type="pct"/>
            <w:tcBorders>
              <w:top w:val="nil"/>
              <w:left w:val="nil"/>
              <w:bottom w:val="nil"/>
              <w:right w:val="single" w:sz="4" w:space="0" w:color="auto"/>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TF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630"/>
        </w:trPr>
        <w:tc>
          <w:tcPr>
            <w:tcW w:w="1259" w:type="pct"/>
            <w:tcBorders>
              <w:top w:val="nil"/>
              <w:left w:val="nil"/>
              <w:bottom w:val="nil"/>
              <w:right w:val="nil"/>
            </w:tcBorders>
            <w:shd w:val="clear" w:color="auto" w:fill="auto"/>
            <w:vAlign w:val="bottom"/>
            <w:hideMark/>
          </w:tcPr>
          <w:p w:rsidR="00E236C0" w:rsidRPr="00E236C0" w:rsidRDefault="00E236C0">
            <w:pP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 xml:space="preserve">does not lead to growth in TAS </w:t>
            </w:r>
            <w:r w:rsidRPr="00E236C0">
              <w:rPr>
                <w:rFonts w:ascii="Book Antiqua" w:hAnsi="Book Antiqua" w:cs="Calibri"/>
                <w:b/>
                <w:bCs/>
                <w:color w:val="000000"/>
                <w:sz w:val="20"/>
                <w:szCs w:val="20"/>
                <w:lang w:val="en-GB"/>
              </w:rPr>
              <w:br/>
              <w:t>(at all or it is smaller)</w:t>
            </w:r>
          </w:p>
        </w:tc>
        <w:tc>
          <w:tcPr>
            <w:tcW w:w="2828" w:type="pct"/>
            <w:gridSpan w:val="5"/>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b/>
                <w:bCs/>
                <w:color w:val="000000"/>
                <w:sz w:val="20"/>
                <w:szCs w:val="20"/>
                <w:lang w:val="en-GB"/>
              </w:rPr>
            </w:pPr>
            <w:r w:rsidRPr="00E236C0">
              <w:rPr>
                <w:rFonts w:ascii="Book Antiqua" w:hAnsi="Book Antiqua" w:cs="Calibri"/>
                <w:b/>
                <w:bCs/>
                <w:color w:val="000000"/>
                <w:sz w:val="20"/>
                <w:szCs w:val="20"/>
                <w:lang w:val="en-GB"/>
              </w:rPr>
              <w:t>change in X of TFS &gt; change in X of TAS</w:t>
            </w:r>
          </w:p>
        </w:tc>
        <w:tc>
          <w:tcPr>
            <w:tcW w:w="457" w:type="pct"/>
            <w:tcBorders>
              <w:top w:val="single" w:sz="4" w:space="0" w:color="auto"/>
              <w:left w:val="nil"/>
              <w:bottom w:val="nil"/>
              <w:right w:val="nil"/>
            </w:tcBorders>
            <w:vAlign w:val="center"/>
          </w:tcPr>
          <w:p w:rsidR="00E236C0" w:rsidRPr="00E236C0" w:rsidRDefault="00E236C0" w:rsidP="00737A6B">
            <w:pPr>
              <w:jc w:val="center"/>
              <w:rPr>
                <w:rFonts w:ascii="Book Antiqua" w:hAnsi="Book Antiqua" w:cs="Calibri"/>
                <w:b/>
                <w:bCs/>
                <w:color w:val="000000"/>
                <w:sz w:val="20"/>
                <w:szCs w:val="20"/>
                <w:lang w:val="en-GB"/>
              </w:rPr>
            </w:pPr>
          </w:p>
        </w:tc>
        <w:tc>
          <w:tcPr>
            <w:tcW w:w="456" w:type="pct"/>
            <w:tcBorders>
              <w:top w:val="single" w:sz="4" w:space="0" w:color="auto"/>
              <w:left w:val="nil"/>
              <w:bottom w:val="nil"/>
              <w:right w:val="nil"/>
            </w:tcBorders>
            <w:vAlign w:val="center"/>
          </w:tcPr>
          <w:p w:rsidR="00E236C0" w:rsidRPr="00E236C0" w:rsidRDefault="00E236C0" w:rsidP="00737A6B">
            <w:pPr>
              <w:jc w:val="center"/>
              <w:rPr>
                <w:rFonts w:ascii="Book Antiqua" w:hAnsi="Book Antiqua" w:cs="Calibri"/>
                <w:b/>
                <w:bCs/>
                <w:color w:val="000000"/>
                <w:sz w:val="20"/>
                <w:szCs w:val="20"/>
                <w:lang w:val="en-GB"/>
              </w:rPr>
            </w:pPr>
          </w:p>
        </w:tc>
      </w:tr>
      <w:tr w:rsidR="00E236C0" w:rsidRPr="00E236C0" w:rsidTr="00737A6B">
        <w:trPr>
          <w:trHeight w:val="31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TA function </w:t>
            </w:r>
          </w:p>
        </w:tc>
        <w:tc>
          <w:tcPr>
            <w:tcW w:w="563"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Atf,tf</w:t>
            </w:r>
            <w:proofErr w:type="spellEnd"/>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Ata,tf</w:t>
            </w:r>
            <w:proofErr w:type="spellEnd"/>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Atf,ta</w:t>
            </w:r>
            <w:proofErr w:type="spellEnd"/>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proofErr w:type="spellStart"/>
            <w:r w:rsidRPr="00E236C0">
              <w:rPr>
                <w:rFonts w:ascii="Book Antiqua" w:hAnsi="Book Antiqua" w:cs="Calibri"/>
                <w:i/>
                <w:iCs/>
                <w:color w:val="000000"/>
                <w:sz w:val="20"/>
                <w:szCs w:val="20"/>
                <w:lang w:val="en-GB"/>
              </w:rPr>
              <w:t>Ata,ta</w:t>
            </w:r>
            <w:proofErr w:type="spellEnd"/>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i/>
                <w:iCs/>
                <w:color w:val="000000"/>
                <w:sz w:val="20"/>
                <w:szCs w:val="20"/>
                <w:lang w:val="en-GB"/>
              </w:rPr>
            </w:pPr>
            <w:r w:rsidRPr="00E236C0">
              <w:rPr>
                <w:rFonts w:ascii="Book Antiqua" w:hAnsi="Book Antiqua" w:cs="Calibri"/>
                <w:i/>
                <w:iCs/>
                <w:color w:val="000000"/>
                <w:sz w:val="20"/>
                <w:szCs w:val="20"/>
                <w:lang w:val="en-GB"/>
              </w:rPr>
              <w:t>BL</w:t>
            </w:r>
          </w:p>
        </w:tc>
        <w:tc>
          <w:tcPr>
            <w:tcW w:w="457" w:type="pct"/>
            <w:tcBorders>
              <w:top w:val="nil"/>
              <w:left w:val="nil"/>
              <w:bottom w:val="single" w:sz="4" w:space="0" w:color="auto"/>
              <w:right w:val="nil"/>
            </w:tcBorders>
            <w:vAlign w:val="center"/>
          </w:tcPr>
          <w:p w:rsidR="00E236C0" w:rsidRPr="00E236C0" w:rsidRDefault="00737A6B"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1995-2000</w:t>
            </w:r>
          </w:p>
        </w:tc>
        <w:tc>
          <w:tcPr>
            <w:tcW w:w="456" w:type="pct"/>
            <w:tcBorders>
              <w:top w:val="nil"/>
              <w:left w:val="nil"/>
              <w:bottom w:val="single" w:sz="4" w:space="0" w:color="auto"/>
              <w:right w:val="nil"/>
            </w:tcBorders>
            <w:vAlign w:val="center"/>
          </w:tcPr>
          <w:p w:rsidR="00E236C0" w:rsidRPr="00E236C0" w:rsidRDefault="00737A6B" w:rsidP="00737A6B">
            <w:pPr>
              <w:jc w:val="center"/>
              <w:rPr>
                <w:rFonts w:ascii="Book Antiqua" w:hAnsi="Book Antiqua" w:cs="Calibri"/>
                <w:i/>
                <w:iCs/>
                <w:color w:val="000000"/>
                <w:sz w:val="20"/>
                <w:szCs w:val="20"/>
                <w:lang w:val="en-GB"/>
              </w:rPr>
            </w:pPr>
            <w:r>
              <w:rPr>
                <w:rFonts w:ascii="Book Antiqua" w:hAnsi="Book Antiqua" w:cs="Calibri"/>
                <w:i/>
                <w:iCs/>
                <w:color w:val="000000"/>
                <w:sz w:val="20"/>
                <w:szCs w:val="20"/>
                <w:lang w:val="en-GB"/>
              </w:rPr>
              <w:t>2000-2005</w:t>
            </w: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TF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TA function </w:t>
            </w:r>
          </w:p>
        </w:tc>
        <w:tc>
          <w:tcPr>
            <w:tcW w:w="563"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TF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pPr>
              <w:rPr>
                <w:rFonts w:ascii="Book Antiqua" w:hAnsi="Book Antiqua" w:cs="Calibri"/>
                <w:color w:val="000000"/>
                <w:sz w:val="20"/>
                <w:szCs w:val="20"/>
                <w:lang w:val="en-GB"/>
              </w:rPr>
            </w:pPr>
            <w:r w:rsidRPr="00E236C0">
              <w:rPr>
                <w:rFonts w:ascii="Book Antiqua" w:hAnsi="Book Antiqua" w:cs="Calibri"/>
                <w:color w:val="000000"/>
                <w:sz w:val="20"/>
                <w:szCs w:val="20"/>
                <w:lang w:val="en-GB"/>
              </w:rPr>
              <w:t>attenuation in TA function</w:t>
            </w:r>
          </w:p>
        </w:tc>
        <w:tc>
          <w:tcPr>
            <w:tcW w:w="563"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641"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p>
        </w:tc>
        <w:tc>
          <w:tcPr>
            <w:tcW w:w="457"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nil"/>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no change in TF function </w:t>
            </w:r>
          </w:p>
        </w:tc>
        <w:tc>
          <w:tcPr>
            <w:tcW w:w="563" w:type="pct"/>
            <w:tcBorders>
              <w:top w:val="single" w:sz="4" w:space="0" w:color="auto"/>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480"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single" w:sz="4" w:space="0" w:color="auto"/>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 change</w:t>
            </w:r>
          </w:p>
        </w:tc>
        <w:tc>
          <w:tcPr>
            <w:tcW w:w="641"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single" w:sz="4" w:space="0" w:color="auto"/>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single" w:sz="4" w:space="0" w:color="auto"/>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31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augmentation in TF function </w:t>
            </w:r>
          </w:p>
        </w:tc>
        <w:tc>
          <w:tcPr>
            <w:tcW w:w="563" w:type="pct"/>
            <w:tcBorders>
              <w:top w:val="nil"/>
              <w:left w:val="single" w:sz="4" w:space="0" w:color="auto"/>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480"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nil"/>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down</w:t>
            </w:r>
          </w:p>
        </w:tc>
        <w:tc>
          <w:tcPr>
            <w:tcW w:w="641"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nil"/>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not clear</w:t>
            </w:r>
          </w:p>
        </w:tc>
        <w:tc>
          <w:tcPr>
            <w:tcW w:w="457"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nil"/>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r w:rsidR="00E236C0" w:rsidRPr="00E236C0" w:rsidTr="00737A6B">
        <w:trPr>
          <w:trHeight w:val="285"/>
        </w:trPr>
        <w:tc>
          <w:tcPr>
            <w:tcW w:w="1259" w:type="pct"/>
            <w:tcBorders>
              <w:top w:val="nil"/>
              <w:left w:val="nil"/>
              <w:bottom w:val="nil"/>
              <w:right w:val="nil"/>
            </w:tcBorders>
            <w:shd w:val="clear" w:color="auto" w:fill="auto"/>
            <w:noWrap/>
            <w:vAlign w:val="bottom"/>
            <w:hideMark/>
          </w:tcPr>
          <w:p w:rsidR="00E236C0" w:rsidRPr="00E236C0" w:rsidRDefault="00E236C0" w:rsidP="00E236C0">
            <w:pPr>
              <w:ind w:firstLineChars="200" w:firstLine="400"/>
              <w:rPr>
                <w:rFonts w:ascii="Book Antiqua" w:hAnsi="Book Antiqua" w:cs="Calibri"/>
                <w:color w:val="000000"/>
                <w:sz w:val="20"/>
                <w:szCs w:val="20"/>
                <w:lang w:val="en-GB"/>
              </w:rPr>
            </w:pPr>
            <w:r w:rsidRPr="00E236C0">
              <w:rPr>
                <w:rFonts w:ascii="Book Antiqua" w:hAnsi="Book Antiqua" w:cs="Calibri"/>
                <w:color w:val="000000"/>
                <w:sz w:val="20"/>
                <w:szCs w:val="20"/>
                <w:lang w:val="en-GB"/>
              </w:rPr>
              <w:t xml:space="preserve">attenuation in TF function </w:t>
            </w:r>
          </w:p>
        </w:tc>
        <w:tc>
          <w:tcPr>
            <w:tcW w:w="563" w:type="pct"/>
            <w:tcBorders>
              <w:top w:val="nil"/>
              <w:left w:val="single" w:sz="4" w:space="0" w:color="auto"/>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80"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87" w:type="pct"/>
            <w:tcBorders>
              <w:top w:val="nil"/>
              <w:left w:val="nil"/>
              <w:bottom w:val="single" w:sz="4" w:space="0" w:color="auto"/>
              <w:right w:val="nil"/>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641"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shd w:val="clear" w:color="auto" w:fill="auto"/>
            <w:noWrap/>
            <w:vAlign w:val="center"/>
            <w:hideMark/>
          </w:tcPr>
          <w:p w:rsidR="00E236C0" w:rsidRPr="00E236C0" w:rsidRDefault="00E236C0" w:rsidP="00737A6B">
            <w:pPr>
              <w:jc w:val="center"/>
              <w:rPr>
                <w:rFonts w:ascii="Book Antiqua" w:hAnsi="Book Antiqua" w:cs="Calibri"/>
                <w:color w:val="000000"/>
                <w:sz w:val="20"/>
                <w:szCs w:val="20"/>
                <w:lang w:val="en-GB"/>
              </w:rPr>
            </w:pPr>
            <w:r w:rsidRPr="00E236C0">
              <w:rPr>
                <w:rFonts w:ascii="Book Antiqua" w:hAnsi="Book Antiqua" w:cs="Calibri"/>
                <w:color w:val="000000"/>
                <w:sz w:val="20"/>
                <w:szCs w:val="20"/>
                <w:lang w:val="en-GB"/>
              </w:rPr>
              <w:t>up</w:t>
            </w:r>
          </w:p>
        </w:tc>
        <w:tc>
          <w:tcPr>
            <w:tcW w:w="457"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c>
          <w:tcPr>
            <w:tcW w:w="456" w:type="pct"/>
            <w:tcBorders>
              <w:top w:val="nil"/>
              <w:left w:val="nil"/>
              <w:bottom w:val="single" w:sz="4" w:space="0" w:color="auto"/>
              <w:right w:val="single" w:sz="4" w:space="0" w:color="auto"/>
            </w:tcBorders>
            <w:vAlign w:val="center"/>
          </w:tcPr>
          <w:p w:rsidR="00E236C0" w:rsidRPr="00E236C0" w:rsidRDefault="00E236C0" w:rsidP="00737A6B">
            <w:pPr>
              <w:jc w:val="center"/>
              <w:rPr>
                <w:rFonts w:ascii="Book Antiqua" w:hAnsi="Book Antiqua" w:cs="Calibri"/>
                <w:color w:val="000000"/>
                <w:sz w:val="20"/>
                <w:szCs w:val="20"/>
                <w:lang w:val="en-GB"/>
              </w:rPr>
            </w:pPr>
          </w:p>
        </w:tc>
      </w:tr>
    </w:tbl>
    <w:p w:rsidR="00224E17" w:rsidRDefault="00224E17">
      <w:pPr>
        <w:rPr>
          <w:rFonts w:ascii="Book Antiqua" w:hAnsi="Book Antiqua" w:cs="Tahoma"/>
          <w:lang w:val="en-GB"/>
        </w:rPr>
      </w:pPr>
      <w:r>
        <w:rPr>
          <w:rFonts w:ascii="Book Antiqua" w:hAnsi="Book Antiqua" w:cs="Tahoma"/>
          <w:lang w:val="en-GB"/>
        </w:rPr>
        <w:br w:type="page"/>
      </w:r>
    </w:p>
    <w:p w:rsidR="00224E17" w:rsidRDefault="00224E17" w:rsidP="00256750">
      <w:pPr>
        <w:spacing w:line="288" w:lineRule="auto"/>
        <w:ind w:firstLine="706"/>
        <w:rPr>
          <w:rFonts w:ascii="Book Antiqua" w:hAnsi="Book Antiqua" w:cs="Tahoma"/>
          <w:lang w:val="en-GB"/>
        </w:rPr>
        <w:sectPr w:rsidR="00224E17" w:rsidSect="00224E17">
          <w:pgSz w:w="16838" w:h="11906" w:orient="landscape"/>
          <w:pgMar w:top="1411" w:right="1411" w:bottom="1411" w:left="1411" w:header="706" w:footer="706" w:gutter="0"/>
          <w:cols w:space="708"/>
          <w:docGrid w:linePitch="360"/>
        </w:sectPr>
      </w:pPr>
    </w:p>
    <w:p w:rsidR="00695389" w:rsidRPr="00D060C6" w:rsidRDefault="00695389" w:rsidP="00695389">
      <w:pPr>
        <w:spacing w:line="288" w:lineRule="auto"/>
        <w:jc w:val="both"/>
        <w:rPr>
          <w:rStyle w:val="apple-style-span"/>
          <w:b/>
          <w:spacing w:val="10"/>
          <w:lang w:val="en-GB"/>
        </w:rPr>
      </w:pPr>
      <w:r w:rsidRPr="00D060C6">
        <w:rPr>
          <w:rStyle w:val="apple-style-span"/>
          <w:b/>
          <w:spacing w:val="10"/>
          <w:lang w:val="en-GB"/>
        </w:rPr>
        <w:lastRenderedPageBreak/>
        <w:t xml:space="preserve">5. </w:t>
      </w:r>
      <w:r w:rsidRPr="00D060C6">
        <w:rPr>
          <w:rStyle w:val="apple-style-span"/>
          <w:b/>
          <w:caps/>
          <w:spacing w:val="10"/>
          <w:lang w:val="en-GB"/>
        </w:rPr>
        <w:t xml:space="preserve">calculation </w:t>
      </w:r>
      <w:r w:rsidRPr="00D060C6">
        <w:rPr>
          <w:rStyle w:val="apple-style-span"/>
          <w:b/>
          <w:spacing w:val="10"/>
          <w:lang w:val="en-GB"/>
        </w:rPr>
        <w:t xml:space="preserve">METHODOLOGY </w:t>
      </w:r>
    </w:p>
    <w:p w:rsidR="00695389" w:rsidRPr="00D060C6" w:rsidRDefault="00695389" w:rsidP="00695389">
      <w:pPr>
        <w:spacing w:line="288" w:lineRule="auto"/>
        <w:jc w:val="both"/>
        <w:rPr>
          <w:rFonts w:ascii="Book Antiqua" w:hAnsi="Book Antiqua" w:cs="Tahoma"/>
          <w:lang w:val="en-GB"/>
        </w:rPr>
      </w:pPr>
    </w:p>
    <w:p w:rsidR="00D82A6C" w:rsidRDefault="005958CA" w:rsidP="00695389">
      <w:pPr>
        <w:spacing w:line="288" w:lineRule="auto"/>
        <w:ind w:firstLine="706"/>
        <w:jc w:val="both"/>
        <w:rPr>
          <w:rFonts w:ascii="Book Antiqua" w:hAnsi="Book Antiqua" w:cs="Tahoma"/>
          <w:lang w:val="en-US"/>
        </w:rPr>
      </w:pPr>
      <w:r>
        <w:rPr>
          <w:rFonts w:ascii="Book Antiqua" w:hAnsi="Book Antiqua" w:cs="Tahoma"/>
          <w:lang w:val="en-US"/>
        </w:rPr>
        <w:t>The industry-by-</w:t>
      </w:r>
      <w:r w:rsidR="003A20A7">
        <w:rPr>
          <w:rFonts w:ascii="Book Antiqua" w:hAnsi="Book Antiqua" w:cs="Tahoma"/>
          <w:lang w:val="en-US"/>
        </w:rPr>
        <w:t xml:space="preserve">industry input-output tables use a </w:t>
      </w:r>
      <w:r w:rsidR="003A20A7" w:rsidRPr="003A20A7">
        <w:rPr>
          <w:rFonts w:ascii="Book Antiqua" w:hAnsi="Book Antiqua" w:cs="Tahoma"/>
          <w:lang w:val="en-US"/>
        </w:rPr>
        <w:t>standard industry list based on ISIC Revision 3</w:t>
      </w:r>
      <w:r w:rsidR="004113CD">
        <w:rPr>
          <w:rFonts w:ascii="Book Antiqua" w:hAnsi="Book Antiqua" w:cs="Tahoma"/>
          <w:lang w:val="en-US"/>
        </w:rPr>
        <w:t xml:space="preserve">. For all countries except Ireland </w:t>
      </w:r>
      <w:r w:rsidR="00BC2A8B">
        <w:rPr>
          <w:rFonts w:ascii="Book Antiqua" w:hAnsi="Book Antiqua" w:cs="Tahoma"/>
          <w:lang w:val="en-US"/>
        </w:rPr>
        <w:t xml:space="preserve">there are 36 industries in all three periods. Ireland </w:t>
      </w:r>
      <w:r w:rsidR="006A76DA">
        <w:rPr>
          <w:rFonts w:ascii="Book Antiqua" w:hAnsi="Book Antiqua" w:cs="Tahoma"/>
          <w:lang w:val="en-US"/>
        </w:rPr>
        <w:t xml:space="preserve">does not have the industry </w:t>
      </w:r>
      <w:r w:rsidR="00E9086F">
        <w:rPr>
          <w:rFonts w:ascii="Book Antiqua" w:hAnsi="Book Antiqua" w:cs="Tahoma"/>
          <w:lang w:val="en-US"/>
        </w:rPr>
        <w:t>“</w:t>
      </w:r>
      <w:r w:rsidR="006A76DA">
        <w:rPr>
          <w:rFonts w:ascii="Book Antiqua" w:hAnsi="Book Antiqua" w:cs="Tahoma"/>
          <w:lang w:val="en-US"/>
        </w:rPr>
        <w:t>C23</w:t>
      </w:r>
      <w:r w:rsidR="00E9086F">
        <w:rPr>
          <w:rFonts w:ascii="Book Antiqua" w:hAnsi="Book Antiqua" w:cs="Tahoma"/>
          <w:lang w:val="en-US"/>
        </w:rPr>
        <w:t xml:space="preserve"> </w:t>
      </w:r>
      <w:r w:rsidR="006A76DA" w:rsidRPr="006A76DA">
        <w:rPr>
          <w:rFonts w:ascii="Book Antiqua" w:hAnsi="Book Antiqua" w:cs="Tahoma"/>
          <w:lang w:val="en-US"/>
        </w:rPr>
        <w:t>Coke, refined petroleum products and nuclear fuel</w:t>
      </w:r>
      <w:r w:rsidR="00E9086F">
        <w:rPr>
          <w:rFonts w:ascii="Book Antiqua" w:hAnsi="Book Antiqua" w:cs="Tahoma"/>
          <w:lang w:val="en-US"/>
        </w:rPr>
        <w:t>”</w:t>
      </w:r>
      <w:r w:rsidR="006A76DA">
        <w:rPr>
          <w:rFonts w:ascii="Book Antiqua" w:hAnsi="Book Antiqua" w:cs="Tahoma"/>
          <w:lang w:val="en-US"/>
        </w:rPr>
        <w:t>.</w:t>
      </w:r>
    </w:p>
    <w:p w:rsidR="00E461AC" w:rsidRDefault="00617370" w:rsidP="00695389">
      <w:pPr>
        <w:spacing w:line="288" w:lineRule="auto"/>
        <w:ind w:firstLine="706"/>
        <w:jc w:val="both"/>
        <w:rPr>
          <w:rFonts w:ascii="Book Antiqua" w:hAnsi="Book Antiqua" w:cs="Tahoma"/>
          <w:lang w:val="en-US"/>
        </w:rPr>
      </w:pPr>
      <w:r>
        <w:rPr>
          <w:rFonts w:ascii="Book Antiqua" w:hAnsi="Book Antiqua" w:cs="Tahoma"/>
          <w:lang w:val="en-US"/>
        </w:rPr>
        <w:t xml:space="preserve">The </w:t>
      </w:r>
      <w:r w:rsidR="00E461AC">
        <w:rPr>
          <w:rFonts w:ascii="Book Antiqua" w:hAnsi="Book Antiqua" w:cs="Tahoma"/>
          <w:lang w:val="en-US"/>
        </w:rPr>
        <w:t xml:space="preserve">transaction industries are:  </w:t>
      </w:r>
    </w:p>
    <w:p w:rsidR="00E461AC" w:rsidRPr="00E461AC" w:rsidRDefault="00E461AC" w:rsidP="002C19CF">
      <w:pPr>
        <w:spacing w:line="288" w:lineRule="auto"/>
        <w:ind w:left="706" w:firstLine="706"/>
        <w:jc w:val="both"/>
        <w:rPr>
          <w:rFonts w:ascii="Book Antiqua" w:hAnsi="Book Antiqua" w:cs="Tahoma"/>
          <w:lang w:val="en-US"/>
        </w:rPr>
      </w:pPr>
      <w:r w:rsidRPr="00E461AC">
        <w:rPr>
          <w:rFonts w:ascii="Book Antiqua" w:hAnsi="Book Antiqua" w:cs="Tahoma"/>
          <w:lang w:val="en-US"/>
        </w:rPr>
        <w:t>C50T52 Wholesale and retail trade; repairs</w:t>
      </w:r>
    </w:p>
    <w:p w:rsidR="00E461AC" w:rsidRPr="00E461AC" w:rsidRDefault="00E461AC" w:rsidP="002C19CF">
      <w:pPr>
        <w:spacing w:line="288" w:lineRule="auto"/>
        <w:ind w:left="706" w:firstLine="706"/>
        <w:jc w:val="both"/>
        <w:rPr>
          <w:rFonts w:ascii="Book Antiqua" w:hAnsi="Book Antiqua" w:cs="Tahoma"/>
          <w:lang w:val="en-US"/>
        </w:rPr>
      </w:pPr>
      <w:r w:rsidRPr="00E461AC">
        <w:rPr>
          <w:rFonts w:ascii="Book Antiqua" w:hAnsi="Book Antiqua" w:cs="Tahoma"/>
          <w:lang w:val="en-US"/>
        </w:rPr>
        <w:t>C65T67 Finance and insurance</w:t>
      </w:r>
    </w:p>
    <w:p w:rsidR="00E461AC" w:rsidRPr="00E461AC" w:rsidRDefault="00E461AC" w:rsidP="002C19CF">
      <w:pPr>
        <w:spacing w:line="288" w:lineRule="auto"/>
        <w:ind w:left="706" w:firstLine="706"/>
        <w:jc w:val="both"/>
        <w:rPr>
          <w:rFonts w:ascii="Book Antiqua" w:hAnsi="Book Antiqua" w:cs="Tahoma"/>
          <w:lang w:val="en-US"/>
        </w:rPr>
      </w:pPr>
      <w:r w:rsidRPr="00E461AC">
        <w:rPr>
          <w:rFonts w:ascii="Book Antiqua" w:hAnsi="Book Antiqua" w:cs="Tahoma"/>
          <w:lang w:val="en-US"/>
        </w:rPr>
        <w:t>C70 Real estate activities</w:t>
      </w:r>
    </w:p>
    <w:p w:rsidR="00E461AC" w:rsidRPr="00E461AC" w:rsidRDefault="00E461AC" w:rsidP="002C19CF">
      <w:pPr>
        <w:spacing w:line="288" w:lineRule="auto"/>
        <w:ind w:left="706" w:firstLine="706"/>
        <w:jc w:val="both"/>
        <w:rPr>
          <w:rFonts w:ascii="Book Antiqua" w:hAnsi="Book Antiqua" w:cs="Tahoma"/>
          <w:lang w:val="en-US"/>
        </w:rPr>
      </w:pPr>
      <w:r w:rsidRPr="00E461AC">
        <w:rPr>
          <w:rFonts w:ascii="Book Antiqua" w:hAnsi="Book Antiqua" w:cs="Tahoma"/>
          <w:lang w:val="en-US"/>
        </w:rPr>
        <w:t>C74 Other Business Activities</w:t>
      </w:r>
    </w:p>
    <w:p w:rsidR="00617370" w:rsidRDefault="00E461AC" w:rsidP="002C19CF">
      <w:pPr>
        <w:spacing w:line="288" w:lineRule="auto"/>
        <w:ind w:left="706" w:firstLine="706"/>
        <w:jc w:val="both"/>
        <w:rPr>
          <w:rFonts w:ascii="Book Antiqua" w:hAnsi="Book Antiqua" w:cs="Tahoma"/>
          <w:lang w:val="en-US"/>
        </w:rPr>
      </w:pPr>
      <w:proofErr w:type="gramStart"/>
      <w:r w:rsidRPr="00E461AC">
        <w:rPr>
          <w:rFonts w:ascii="Book Antiqua" w:hAnsi="Book Antiqua" w:cs="Tahoma"/>
          <w:lang w:val="en-US"/>
        </w:rPr>
        <w:t>C75 Public admin.</w:t>
      </w:r>
      <w:proofErr w:type="gramEnd"/>
      <w:r w:rsidRPr="00E461AC">
        <w:rPr>
          <w:rFonts w:ascii="Book Antiqua" w:hAnsi="Book Antiqua" w:cs="Tahoma"/>
          <w:lang w:val="en-US"/>
        </w:rPr>
        <w:t xml:space="preserve"> </w:t>
      </w:r>
      <w:proofErr w:type="gramStart"/>
      <w:r w:rsidRPr="00E461AC">
        <w:rPr>
          <w:rFonts w:ascii="Book Antiqua" w:hAnsi="Book Antiqua" w:cs="Tahoma"/>
          <w:lang w:val="en-US"/>
        </w:rPr>
        <w:t>and</w:t>
      </w:r>
      <w:proofErr w:type="gramEnd"/>
      <w:r w:rsidRPr="00E461AC">
        <w:rPr>
          <w:rFonts w:ascii="Book Antiqua" w:hAnsi="Book Antiqua" w:cs="Tahoma"/>
          <w:lang w:val="en-US"/>
        </w:rPr>
        <w:t xml:space="preserve"> </w:t>
      </w:r>
      <w:proofErr w:type="spellStart"/>
      <w:r w:rsidRPr="00E461AC">
        <w:rPr>
          <w:rFonts w:ascii="Book Antiqua" w:hAnsi="Book Antiqua" w:cs="Tahoma"/>
          <w:lang w:val="en-US"/>
        </w:rPr>
        <w:t>defence</w:t>
      </w:r>
      <w:proofErr w:type="spellEnd"/>
      <w:r w:rsidRPr="00E461AC">
        <w:rPr>
          <w:rFonts w:ascii="Book Antiqua" w:hAnsi="Book Antiqua" w:cs="Tahoma"/>
          <w:lang w:val="en-US"/>
        </w:rPr>
        <w:t>; compulsory social security</w:t>
      </w:r>
      <w:r w:rsidR="00617370">
        <w:rPr>
          <w:rFonts w:ascii="Book Antiqua" w:hAnsi="Book Antiqua" w:cs="Tahoma"/>
          <w:lang w:val="en-US"/>
        </w:rPr>
        <w:t xml:space="preserve"> </w:t>
      </w:r>
    </w:p>
    <w:p w:rsidR="004F3E5D" w:rsidRDefault="002C19CF" w:rsidP="002C19CF">
      <w:pPr>
        <w:spacing w:line="288" w:lineRule="auto"/>
        <w:jc w:val="both"/>
        <w:rPr>
          <w:rFonts w:ascii="Book Antiqua" w:hAnsi="Book Antiqua" w:cs="Tahoma"/>
          <w:lang w:val="en-US"/>
        </w:rPr>
      </w:pPr>
      <w:r>
        <w:rPr>
          <w:rFonts w:ascii="Book Antiqua" w:hAnsi="Book Antiqua" w:cs="Tahoma"/>
          <w:lang w:val="en-US"/>
        </w:rPr>
        <w:t xml:space="preserve">This choice is </w:t>
      </w:r>
      <w:r w:rsidR="00F666A6">
        <w:rPr>
          <w:rFonts w:ascii="Book Antiqua" w:hAnsi="Book Antiqua" w:cs="Tahoma"/>
          <w:lang w:val="en-US"/>
        </w:rPr>
        <w:t>in compliance</w:t>
      </w:r>
      <w:r>
        <w:rPr>
          <w:rFonts w:ascii="Book Antiqua" w:hAnsi="Book Antiqua" w:cs="Tahoma"/>
          <w:lang w:val="en-US"/>
        </w:rPr>
        <w:t xml:space="preserve"> with the framework presented in Section </w:t>
      </w:r>
      <w:r w:rsidR="007541E4">
        <w:rPr>
          <w:rFonts w:ascii="Book Antiqua" w:hAnsi="Book Antiqua" w:cs="Tahoma"/>
          <w:lang w:val="en-US"/>
        </w:rPr>
        <w:t xml:space="preserve">2 and with the framework of Wallis and North (1986, 1994). </w:t>
      </w:r>
      <w:r w:rsidR="00E85E52">
        <w:rPr>
          <w:rFonts w:ascii="Book Antiqua" w:hAnsi="Book Antiqua" w:cs="Tahoma"/>
          <w:lang w:val="en-US"/>
        </w:rPr>
        <w:t xml:space="preserve">The level of aggregation introduces some problems that are fully </w:t>
      </w:r>
      <w:r w:rsidR="000047B5">
        <w:rPr>
          <w:rFonts w:ascii="Book Antiqua" w:hAnsi="Book Antiqua" w:cs="Tahoma"/>
          <w:lang w:val="en-US"/>
        </w:rPr>
        <w:t>discussed</w:t>
      </w:r>
      <w:r w:rsidR="00E85E52">
        <w:rPr>
          <w:rFonts w:ascii="Book Antiqua" w:hAnsi="Book Antiqua" w:cs="Tahoma"/>
          <w:lang w:val="en-US"/>
        </w:rPr>
        <w:t xml:space="preserve"> in </w:t>
      </w:r>
      <w:r w:rsidR="00A919A3">
        <w:rPr>
          <w:rFonts w:ascii="Book Antiqua" w:hAnsi="Book Antiqua" w:cs="Tahoma"/>
          <w:lang w:val="en-US"/>
        </w:rPr>
        <w:t>Egbert and Ivanova (2009) and in Egbert et al. (2010).</w:t>
      </w:r>
      <w:r w:rsidR="001463BC">
        <w:rPr>
          <w:rFonts w:ascii="Book Antiqua" w:hAnsi="Book Antiqua" w:cs="Tahoma"/>
          <w:lang w:val="en-US"/>
        </w:rPr>
        <w:t xml:space="preserve"> For example </w:t>
      </w:r>
      <w:r w:rsidR="00301161">
        <w:rPr>
          <w:rFonts w:ascii="Book Antiqua" w:hAnsi="Book Antiqua" w:cs="Tahoma"/>
          <w:lang w:val="en-US"/>
        </w:rPr>
        <w:t xml:space="preserve">the presence of repair services in industry C50T52. </w:t>
      </w:r>
      <w:r w:rsidR="00870A9B">
        <w:rPr>
          <w:rFonts w:ascii="Book Antiqua" w:hAnsi="Book Antiqua" w:cs="Tahoma"/>
          <w:lang w:val="en-US"/>
        </w:rPr>
        <w:t xml:space="preserve">The transaction industry of the trade network is slightly “polluted” by the transformation function of the repair services. </w:t>
      </w:r>
      <w:r w:rsidR="00954242">
        <w:rPr>
          <w:rFonts w:ascii="Book Antiqua" w:hAnsi="Book Antiqua" w:cs="Tahoma"/>
          <w:lang w:val="en-US"/>
        </w:rPr>
        <w:t xml:space="preserve">I prefer not to pay attention and </w:t>
      </w:r>
      <w:r w:rsidR="004F3E5D">
        <w:rPr>
          <w:rFonts w:ascii="Book Antiqua" w:hAnsi="Book Antiqua" w:cs="Tahoma"/>
          <w:lang w:val="en-US"/>
        </w:rPr>
        <w:t xml:space="preserve">to </w:t>
      </w:r>
      <w:r w:rsidR="00954242">
        <w:rPr>
          <w:rFonts w:ascii="Book Antiqua" w:hAnsi="Book Antiqua" w:cs="Tahoma"/>
          <w:lang w:val="en-US"/>
        </w:rPr>
        <w:t>look at the “big picture” for the sake of international comparisons and easily available data.</w:t>
      </w:r>
    </w:p>
    <w:p w:rsidR="005958CA" w:rsidRDefault="004F3E5D" w:rsidP="004F3E5D">
      <w:pPr>
        <w:spacing w:line="288" w:lineRule="auto"/>
        <w:ind w:firstLine="706"/>
        <w:jc w:val="both"/>
        <w:rPr>
          <w:rFonts w:ascii="Book Antiqua" w:hAnsi="Book Antiqua" w:cs="Tahoma"/>
          <w:lang w:val="en-GB"/>
        </w:rPr>
      </w:pPr>
      <w:r>
        <w:rPr>
          <w:rFonts w:ascii="Book Antiqua" w:hAnsi="Book Antiqua" w:cs="Tahoma"/>
          <w:lang w:val="en-US"/>
        </w:rPr>
        <w:t xml:space="preserve">All other industries are treated as transformation industries. </w:t>
      </w:r>
      <w:r w:rsidR="004C1CF7">
        <w:rPr>
          <w:rFonts w:ascii="Book Antiqua" w:hAnsi="Book Antiqua" w:cs="Tahoma"/>
          <w:lang w:val="en-US"/>
        </w:rPr>
        <w:t xml:space="preserve">The essence of their business is to </w:t>
      </w:r>
      <w:r w:rsidR="00127A4F">
        <w:rPr>
          <w:rFonts w:ascii="Book Antiqua" w:hAnsi="Book Antiqua" w:cs="Tahoma"/>
          <w:lang w:val="en-US"/>
        </w:rPr>
        <w:t xml:space="preserve">transform inputs into new products and services in the same way they would have done it in a Robinson Crusoe economy or in a Crusoe-Friday economy without the judge-policeman-clerk. </w:t>
      </w:r>
      <w:r w:rsidR="00365DA7">
        <w:rPr>
          <w:rFonts w:ascii="Book Antiqua" w:hAnsi="Book Antiqua" w:cs="Tahoma"/>
          <w:lang w:val="en-US"/>
        </w:rPr>
        <w:t xml:space="preserve">It is true that inside </w:t>
      </w:r>
      <w:r w:rsidR="001417AF">
        <w:rPr>
          <w:rFonts w:ascii="Book Antiqua" w:hAnsi="Book Antiqua" w:cs="Tahoma"/>
          <w:lang w:val="en-US"/>
        </w:rPr>
        <w:t>these transformation</w:t>
      </w:r>
      <w:r w:rsidR="00365DA7">
        <w:rPr>
          <w:rFonts w:ascii="Book Antiqua" w:hAnsi="Book Antiqua" w:cs="Tahoma"/>
          <w:lang w:val="en-US"/>
        </w:rPr>
        <w:t xml:space="preserve"> industries </w:t>
      </w:r>
      <w:r w:rsidR="001417AF">
        <w:rPr>
          <w:rFonts w:ascii="Book Antiqua" w:hAnsi="Book Antiqua" w:cs="Tahoma"/>
          <w:lang w:val="en-US"/>
        </w:rPr>
        <w:t xml:space="preserve">some of their resources perform transaction functions. These are the </w:t>
      </w:r>
      <w:r w:rsidR="001417AF" w:rsidRPr="00D060C6">
        <w:rPr>
          <w:rFonts w:ascii="Book Antiqua" w:hAnsi="Book Antiqua" w:cs="Tahoma"/>
          <w:lang w:val="en-GB"/>
        </w:rPr>
        <w:t xml:space="preserve">secretaries, foremen, managers, clerks, accountants, </w:t>
      </w:r>
      <w:proofErr w:type="gramStart"/>
      <w:r w:rsidR="001417AF" w:rsidRPr="00D060C6">
        <w:rPr>
          <w:rFonts w:ascii="Book Antiqua" w:hAnsi="Book Antiqua" w:cs="Tahoma"/>
          <w:lang w:val="en-GB"/>
        </w:rPr>
        <w:t>marketing</w:t>
      </w:r>
      <w:proofErr w:type="gramEnd"/>
      <w:r w:rsidR="001417AF" w:rsidRPr="00D060C6">
        <w:rPr>
          <w:rFonts w:ascii="Book Antiqua" w:hAnsi="Book Antiqua" w:cs="Tahoma"/>
          <w:lang w:val="en-GB"/>
        </w:rPr>
        <w:t xml:space="preserve"> specialists</w:t>
      </w:r>
      <w:r w:rsidR="001417AF">
        <w:rPr>
          <w:rFonts w:ascii="Book Antiqua" w:hAnsi="Book Antiqua" w:cs="Tahoma"/>
          <w:lang w:val="en-GB"/>
        </w:rPr>
        <w:t xml:space="preserve"> from Sub-section 2.3. </w:t>
      </w:r>
      <w:r w:rsidR="005E72FD">
        <w:rPr>
          <w:rFonts w:ascii="Book Antiqua" w:hAnsi="Book Antiqua" w:cs="Tahoma"/>
          <w:lang w:val="en-GB"/>
        </w:rPr>
        <w:t xml:space="preserve">Transformation industries do not buy all they need for the exchange of their production from the market. </w:t>
      </w:r>
      <w:r w:rsidR="000E487A">
        <w:rPr>
          <w:rFonts w:ascii="Book Antiqua" w:hAnsi="Book Antiqua" w:cs="Tahoma"/>
          <w:lang w:val="en-GB"/>
        </w:rPr>
        <w:t>There can be substitution between transaction services bought from outside (visible in the technical coefficient</w:t>
      </w:r>
      <w:r w:rsidR="00CA10D3">
        <w:rPr>
          <w:rFonts w:ascii="Book Antiqua" w:hAnsi="Book Antiqua" w:cs="Tahoma"/>
          <w:lang w:val="en-GB"/>
        </w:rPr>
        <w:t>s</w:t>
      </w:r>
      <w:r w:rsidR="000E487A">
        <w:rPr>
          <w:rFonts w:ascii="Book Antiqua" w:hAnsi="Book Antiqua" w:cs="Tahoma"/>
          <w:lang w:val="en-GB"/>
        </w:rPr>
        <w:t>)</w:t>
      </w:r>
      <w:r w:rsidR="00CA10D3">
        <w:rPr>
          <w:rFonts w:ascii="Book Antiqua" w:hAnsi="Book Antiqua" w:cs="Tahoma"/>
          <w:lang w:val="en-GB"/>
        </w:rPr>
        <w:t xml:space="preserve"> and the transaction services produced inside the firm (partly visible in the types of occupations of the labour factor).</w:t>
      </w:r>
      <w:r w:rsidR="00DE05FE">
        <w:rPr>
          <w:rFonts w:ascii="Book Antiqua" w:hAnsi="Book Antiqua" w:cs="Tahoma"/>
          <w:lang w:val="en-GB"/>
        </w:rPr>
        <w:t xml:space="preserve"> I think such a substitution cannot be that great in all of the 20 countries so that </w:t>
      </w:r>
      <w:r w:rsidR="00D62C0B">
        <w:rPr>
          <w:rFonts w:ascii="Book Antiqua" w:hAnsi="Book Antiqua" w:cs="Tahoma"/>
          <w:lang w:val="en-GB"/>
        </w:rPr>
        <w:t>to stultify a model for</w:t>
      </w:r>
      <w:r w:rsidR="00DE05FE">
        <w:rPr>
          <w:rFonts w:ascii="Book Antiqua" w:hAnsi="Book Antiqua" w:cs="Tahoma"/>
          <w:lang w:val="en-GB"/>
        </w:rPr>
        <w:t xml:space="preserve"> interactions between </w:t>
      </w:r>
      <w:r w:rsidR="00D62C0B">
        <w:rPr>
          <w:rFonts w:ascii="Book Antiqua" w:hAnsi="Book Antiqua" w:cs="Tahoma"/>
          <w:lang w:val="en-GB"/>
        </w:rPr>
        <w:t xml:space="preserve">institutional and </w:t>
      </w:r>
      <w:r w:rsidR="00DE05FE">
        <w:rPr>
          <w:rFonts w:ascii="Book Antiqua" w:hAnsi="Book Antiqua" w:cs="Tahoma"/>
          <w:lang w:val="en-GB"/>
        </w:rPr>
        <w:t>technological change</w:t>
      </w:r>
      <w:r w:rsidR="00D62C0B">
        <w:rPr>
          <w:rFonts w:ascii="Book Antiqua" w:hAnsi="Book Antiqua" w:cs="Tahoma"/>
          <w:lang w:val="en-GB"/>
        </w:rPr>
        <w:t>s</w:t>
      </w:r>
      <w:r w:rsidR="00DE05FE">
        <w:rPr>
          <w:rFonts w:ascii="Book Antiqua" w:hAnsi="Book Antiqua" w:cs="Tahoma"/>
          <w:lang w:val="en-GB"/>
        </w:rPr>
        <w:t xml:space="preserve"> </w:t>
      </w:r>
      <w:r w:rsidR="00D62C0B">
        <w:rPr>
          <w:rFonts w:ascii="Book Antiqua" w:hAnsi="Book Antiqua" w:cs="Tahoma"/>
          <w:lang w:val="en-GB"/>
        </w:rPr>
        <w:t xml:space="preserve">which </w:t>
      </w:r>
      <w:r w:rsidR="00DE05FE">
        <w:rPr>
          <w:rFonts w:ascii="Book Antiqua" w:hAnsi="Book Antiqua" w:cs="Tahoma"/>
          <w:lang w:val="en-GB"/>
        </w:rPr>
        <w:t xml:space="preserve">based only on input-output tables. </w:t>
      </w:r>
    </w:p>
    <w:p w:rsidR="00AE37F9" w:rsidRDefault="00AE37F9" w:rsidP="004F3E5D">
      <w:pPr>
        <w:spacing w:line="288" w:lineRule="auto"/>
        <w:ind w:firstLine="706"/>
        <w:jc w:val="both"/>
        <w:rPr>
          <w:rFonts w:ascii="Book Antiqua" w:hAnsi="Book Antiqua" w:cs="Tahoma"/>
          <w:lang w:val="en-GB"/>
        </w:rPr>
      </w:pPr>
      <w:r>
        <w:rPr>
          <w:rFonts w:ascii="Book Antiqua" w:hAnsi="Book Antiqua" w:cs="Tahoma"/>
          <w:lang w:val="en-GB"/>
        </w:rPr>
        <w:t xml:space="preserve">Transaction costs </w:t>
      </w:r>
      <w:r w:rsidR="009B18D8">
        <w:rPr>
          <w:rFonts w:ascii="Book Antiqua" w:hAnsi="Book Antiqua" w:cs="Tahoma"/>
          <w:lang w:val="en-GB"/>
        </w:rPr>
        <w:t xml:space="preserve">are the sum of </w:t>
      </w:r>
      <w:proofErr w:type="spellStart"/>
      <w:r w:rsidR="009B18D8">
        <w:rPr>
          <w:rFonts w:ascii="Book Antiqua" w:hAnsi="Book Antiqua" w:cs="Tahoma"/>
          <w:lang w:val="en-GB"/>
        </w:rPr>
        <w:t>Zij</w:t>
      </w:r>
      <w:proofErr w:type="spellEnd"/>
      <w:r w:rsidR="009B18D8">
        <w:rPr>
          <w:rFonts w:ascii="Book Antiqua" w:hAnsi="Book Antiqua" w:cs="Tahoma"/>
          <w:lang w:val="en-GB"/>
        </w:rPr>
        <w:t xml:space="preserve"> from the transaction industries. </w:t>
      </w:r>
      <w:r w:rsidR="00EC5DBA">
        <w:rPr>
          <w:rFonts w:ascii="Book Antiqua" w:hAnsi="Book Antiqua" w:cs="Tahoma"/>
          <w:lang w:val="en-GB"/>
        </w:rPr>
        <w:t xml:space="preserve">Transformation costs are the sum of </w:t>
      </w:r>
      <w:proofErr w:type="spellStart"/>
      <w:r w:rsidR="00EC5DBA">
        <w:rPr>
          <w:rFonts w:ascii="Book Antiqua" w:hAnsi="Book Antiqua" w:cs="Tahoma"/>
          <w:lang w:val="en-GB"/>
        </w:rPr>
        <w:t>Zij</w:t>
      </w:r>
      <w:proofErr w:type="spellEnd"/>
      <w:r w:rsidR="00EC5DBA">
        <w:rPr>
          <w:rFonts w:ascii="Book Antiqua" w:hAnsi="Book Antiqua" w:cs="Tahoma"/>
          <w:lang w:val="en-GB"/>
        </w:rPr>
        <w:t xml:space="preserve"> from the transformation industries. Backward linkages are the sum of transaction and transformation costs. </w:t>
      </w:r>
    </w:p>
    <w:p w:rsidR="00D41BDB" w:rsidRDefault="006C4D75" w:rsidP="004F3E5D">
      <w:pPr>
        <w:spacing w:line="288" w:lineRule="auto"/>
        <w:ind w:firstLine="706"/>
        <w:jc w:val="both"/>
        <w:rPr>
          <w:rFonts w:ascii="Book Antiqua" w:hAnsi="Book Antiqua" w:cs="Tahoma"/>
          <w:lang w:val="en-GB"/>
        </w:rPr>
      </w:pPr>
      <w:r>
        <w:rPr>
          <w:rFonts w:ascii="Book Antiqua" w:hAnsi="Book Antiqua" w:cs="Tahoma"/>
          <w:lang w:val="en-GB"/>
        </w:rPr>
        <w:t xml:space="preserve">Change in costs is </w:t>
      </w:r>
      <w:r w:rsidR="00046854">
        <w:rPr>
          <w:rFonts w:ascii="Book Antiqua" w:hAnsi="Book Antiqua" w:cs="Tahoma"/>
          <w:lang w:val="en-GB"/>
        </w:rPr>
        <w:t xml:space="preserve">calculated </w:t>
      </w:r>
      <w:r>
        <w:rPr>
          <w:rFonts w:ascii="Book Antiqua" w:hAnsi="Book Antiqua" w:cs="Tahoma"/>
          <w:lang w:val="en-GB"/>
        </w:rPr>
        <w:t xml:space="preserve">as the difference between </w:t>
      </w:r>
      <w:proofErr w:type="spellStart"/>
      <w:r>
        <w:rPr>
          <w:rFonts w:ascii="Book Antiqua" w:hAnsi="Book Antiqua" w:cs="Tahoma"/>
          <w:lang w:val="en-GB"/>
        </w:rPr>
        <w:t>Aij</w:t>
      </w:r>
      <w:proofErr w:type="spellEnd"/>
      <w:r>
        <w:rPr>
          <w:rFonts w:ascii="Book Antiqua" w:hAnsi="Book Antiqua" w:cs="Tahoma"/>
          <w:lang w:val="en-GB"/>
        </w:rPr>
        <w:t xml:space="preserve"> from new period minus </w:t>
      </w:r>
      <w:proofErr w:type="spellStart"/>
      <w:r>
        <w:rPr>
          <w:rFonts w:ascii="Book Antiqua" w:hAnsi="Book Antiqua" w:cs="Tahoma"/>
          <w:lang w:val="en-GB"/>
        </w:rPr>
        <w:t>Aij</w:t>
      </w:r>
      <w:proofErr w:type="spellEnd"/>
      <w:r>
        <w:rPr>
          <w:rFonts w:ascii="Book Antiqua" w:hAnsi="Book Antiqua" w:cs="Tahoma"/>
          <w:lang w:val="en-GB"/>
        </w:rPr>
        <w:t xml:space="preserve"> from old period. Because </w:t>
      </w:r>
      <w:proofErr w:type="spellStart"/>
      <w:r>
        <w:rPr>
          <w:rFonts w:ascii="Book Antiqua" w:hAnsi="Book Antiqua" w:cs="Tahoma"/>
          <w:lang w:val="en-GB"/>
        </w:rPr>
        <w:t>Aij’s</w:t>
      </w:r>
      <w:proofErr w:type="spellEnd"/>
      <w:r>
        <w:rPr>
          <w:rFonts w:ascii="Book Antiqua" w:hAnsi="Book Antiqua" w:cs="Tahoma"/>
          <w:lang w:val="en-GB"/>
        </w:rPr>
        <w:t xml:space="preserve"> are between 0 and 1, their change should be read as “</w:t>
      </w:r>
      <w:r w:rsidR="00357B7F">
        <w:rPr>
          <w:rFonts w:ascii="Book Antiqua" w:hAnsi="Book Antiqua" w:cs="Tahoma"/>
          <w:lang w:val="en-GB"/>
        </w:rPr>
        <w:t>percentage</w:t>
      </w:r>
      <w:r>
        <w:rPr>
          <w:rFonts w:ascii="Book Antiqua" w:hAnsi="Book Antiqua" w:cs="Tahoma"/>
          <w:lang w:val="en-GB"/>
        </w:rPr>
        <w:t xml:space="preserve"> </w:t>
      </w:r>
      <w:proofErr w:type="gramStart"/>
      <w:r>
        <w:rPr>
          <w:rFonts w:ascii="Book Antiqua" w:hAnsi="Book Antiqua" w:cs="Tahoma"/>
          <w:lang w:val="en-GB"/>
        </w:rPr>
        <w:t>points</w:t>
      </w:r>
      <w:proofErr w:type="gramEnd"/>
      <w:r>
        <w:rPr>
          <w:rFonts w:ascii="Book Antiqua" w:hAnsi="Book Antiqua" w:cs="Tahoma"/>
          <w:lang w:val="en-GB"/>
        </w:rPr>
        <w:t xml:space="preserve"> change”</w:t>
      </w:r>
      <w:r w:rsidR="00357B7F">
        <w:rPr>
          <w:rFonts w:ascii="Book Antiqua" w:hAnsi="Book Antiqua" w:cs="Tahoma"/>
          <w:lang w:val="en-GB"/>
        </w:rPr>
        <w:t xml:space="preserve"> after multiplying by 100</w:t>
      </w:r>
      <w:r>
        <w:rPr>
          <w:rFonts w:ascii="Book Antiqua" w:hAnsi="Book Antiqua" w:cs="Tahoma"/>
          <w:lang w:val="en-GB"/>
        </w:rPr>
        <w:t>.</w:t>
      </w:r>
      <w:r w:rsidR="00B217B3">
        <w:rPr>
          <w:rFonts w:ascii="Book Antiqua" w:hAnsi="Book Antiqua" w:cs="Tahoma"/>
          <w:lang w:val="en-GB"/>
        </w:rPr>
        <w:t xml:space="preserve"> </w:t>
      </w:r>
      <w:r w:rsidR="00D41BDB">
        <w:rPr>
          <w:rFonts w:ascii="Book Antiqua" w:hAnsi="Book Antiqua" w:cs="Tahoma"/>
          <w:lang w:val="en-GB"/>
        </w:rPr>
        <w:t xml:space="preserve">Change in industry output </w:t>
      </w:r>
      <w:r w:rsidR="005F67CA">
        <w:rPr>
          <w:rFonts w:ascii="Book Antiqua" w:hAnsi="Book Antiqua" w:cs="Tahoma"/>
          <w:lang w:val="en-GB"/>
        </w:rPr>
        <w:t xml:space="preserve">is </w:t>
      </w:r>
      <w:r w:rsidR="00046854">
        <w:rPr>
          <w:rFonts w:ascii="Book Antiqua" w:hAnsi="Book Antiqua" w:cs="Tahoma"/>
          <w:lang w:val="en-GB"/>
        </w:rPr>
        <w:t>calculated</w:t>
      </w:r>
      <w:r w:rsidR="005F67CA">
        <w:rPr>
          <w:rFonts w:ascii="Book Antiqua" w:hAnsi="Book Antiqua" w:cs="Tahoma"/>
          <w:lang w:val="en-GB"/>
        </w:rPr>
        <w:t xml:space="preserve"> a</w:t>
      </w:r>
      <w:r w:rsidR="00F653A9">
        <w:rPr>
          <w:rFonts w:ascii="Book Antiqua" w:hAnsi="Book Antiqua" w:cs="Tahoma"/>
          <w:lang w:val="en-GB"/>
        </w:rPr>
        <w:t xml:space="preserve">s index number </w:t>
      </w:r>
      <w:proofErr w:type="spellStart"/>
      <w:r w:rsidR="00F653A9">
        <w:rPr>
          <w:rFonts w:ascii="Book Antiqua" w:hAnsi="Book Antiqua" w:cs="Tahoma"/>
          <w:lang w:val="en-GB"/>
        </w:rPr>
        <w:t>Xj</w:t>
      </w:r>
      <w:proofErr w:type="spellEnd"/>
      <w:r w:rsidR="00F653A9" w:rsidRPr="00F653A9">
        <w:rPr>
          <w:rFonts w:ascii="Book Antiqua" w:hAnsi="Book Antiqua" w:cs="Tahoma"/>
          <w:vertAlign w:val="superscript"/>
          <w:lang w:val="en-GB"/>
        </w:rPr>
        <w:t>-new</w:t>
      </w:r>
      <w:r w:rsidR="00F653A9">
        <w:rPr>
          <w:rFonts w:ascii="Book Antiqua" w:hAnsi="Book Antiqua" w:cs="Tahoma"/>
          <w:lang w:val="en-GB"/>
        </w:rPr>
        <w:t>/</w:t>
      </w:r>
      <w:proofErr w:type="spellStart"/>
      <w:r w:rsidR="00F653A9">
        <w:rPr>
          <w:rFonts w:ascii="Book Antiqua" w:hAnsi="Book Antiqua" w:cs="Tahoma"/>
          <w:lang w:val="en-GB"/>
        </w:rPr>
        <w:t>Xj</w:t>
      </w:r>
      <w:proofErr w:type="spellEnd"/>
      <w:r w:rsidR="00F653A9" w:rsidRPr="00F653A9">
        <w:rPr>
          <w:rFonts w:ascii="Book Antiqua" w:hAnsi="Book Antiqua" w:cs="Tahoma"/>
          <w:vertAlign w:val="superscript"/>
          <w:lang w:val="en-GB"/>
        </w:rPr>
        <w:t>-old</w:t>
      </w:r>
      <w:r w:rsidR="00F653A9">
        <w:rPr>
          <w:rFonts w:ascii="Book Antiqua" w:hAnsi="Book Antiqua" w:cs="Tahoma"/>
          <w:lang w:val="en-GB"/>
        </w:rPr>
        <w:t xml:space="preserve">. </w:t>
      </w:r>
    </w:p>
    <w:p w:rsidR="00695389" w:rsidRPr="00D060C6" w:rsidRDefault="00695389" w:rsidP="00695389">
      <w:pPr>
        <w:spacing w:line="288" w:lineRule="auto"/>
        <w:jc w:val="both"/>
        <w:rPr>
          <w:rStyle w:val="apple-style-span"/>
          <w:b/>
          <w:spacing w:val="10"/>
          <w:lang w:val="en-GB"/>
        </w:rPr>
      </w:pPr>
      <w:r w:rsidRPr="00D060C6">
        <w:rPr>
          <w:rStyle w:val="apple-style-span"/>
          <w:b/>
          <w:spacing w:val="10"/>
          <w:lang w:val="en-GB"/>
        </w:rPr>
        <w:lastRenderedPageBreak/>
        <w:t xml:space="preserve">6. RESULTS AND INTERPRETATION </w:t>
      </w:r>
    </w:p>
    <w:p w:rsidR="00695389" w:rsidRPr="00D060C6" w:rsidRDefault="00695389" w:rsidP="00695389">
      <w:pPr>
        <w:spacing w:line="288" w:lineRule="auto"/>
        <w:jc w:val="both"/>
        <w:rPr>
          <w:rFonts w:ascii="Book Antiqua" w:hAnsi="Book Antiqua" w:cs="Tahoma"/>
          <w:lang w:val="en-GB"/>
        </w:rPr>
      </w:pPr>
    </w:p>
    <w:p w:rsidR="00C43E10" w:rsidRDefault="008E47AA" w:rsidP="009A4A24">
      <w:pPr>
        <w:spacing w:line="288" w:lineRule="auto"/>
        <w:ind w:firstLine="706"/>
        <w:jc w:val="both"/>
        <w:rPr>
          <w:rFonts w:ascii="Book Antiqua" w:hAnsi="Book Antiqua" w:cs="Tahoma"/>
          <w:lang w:val="en-US"/>
        </w:rPr>
      </w:pPr>
      <w:r>
        <w:rPr>
          <w:rFonts w:ascii="Book Antiqua" w:hAnsi="Book Antiqua" w:cs="Tahoma"/>
          <w:lang w:val="en-US"/>
        </w:rPr>
        <w:t xml:space="preserve">The results for the first period, from mid-1990s to early 2000s, are given in Appendix 1. </w:t>
      </w:r>
      <w:r w:rsidR="00C43E10">
        <w:rPr>
          <w:rFonts w:ascii="Book Antiqua" w:hAnsi="Book Antiqua" w:cs="Tahoma"/>
          <w:lang w:val="en-US"/>
        </w:rPr>
        <w:t xml:space="preserve">Appendix 2 is for the results from the second period, early 2000s to mid-2000s. All graphs </w:t>
      </w:r>
      <w:r w:rsidR="003965D9">
        <w:rPr>
          <w:rFonts w:ascii="Book Antiqua" w:hAnsi="Book Antiqua" w:cs="Tahoma"/>
          <w:lang w:val="en-US"/>
        </w:rPr>
        <w:t xml:space="preserve">present median changes. In this way outliers – single industries that lie too far away from the central tendency for the economy – are excluded. </w:t>
      </w:r>
      <w:r w:rsidR="00D845D3">
        <w:rPr>
          <w:rFonts w:ascii="Book Antiqua" w:hAnsi="Book Antiqua" w:cs="Tahoma"/>
          <w:lang w:val="en-US"/>
        </w:rPr>
        <w:t>First</w:t>
      </w:r>
      <w:r w:rsidR="00C1065A">
        <w:rPr>
          <w:rFonts w:ascii="Book Antiqua" w:hAnsi="Book Antiqua" w:cs="Tahoma"/>
          <w:lang w:val="en-US"/>
        </w:rPr>
        <w:t xml:space="preserve">, </w:t>
      </w:r>
      <w:r w:rsidR="00D845D3">
        <w:rPr>
          <w:rFonts w:ascii="Book Antiqua" w:hAnsi="Book Antiqua" w:cs="Tahoma"/>
          <w:lang w:val="en-US"/>
        </w:rPr>
        <w:t>the changes in the transformation costs by types of industries</w:t>
      </w:r>
      <w:r w:rsidR="00C1065A">
        <w:rPr>
          <w:rFonts w:ascii="Book Antiqua" w:hAnsi="Book Antiqua" w:cs="Tahoma"/>
          <w:lang w:val="en-US"/>
        </w:rPr>
        <w:t xml:space="preserve"> are given</w:t>
      </w:r>
      <w:r w:rsidR="00655A69">
        <w:rPr>
          <w:rFonts w:ascii="Book Antiqua" w:hAnsi="Book Antiqua" w:cs="Tahoma"/>
          <w:lang w:val="en-US"/>
        </w:rPr>
        <w:t xml:space="preserve">. They are expressed as changes in the technical coefficients, </w:t>
      </w:r>
      <w:r w:rsidR="00D845D3">
        <w:rPr>
          <w:rFonts w:ascii="Book Antiqua" w:hAnsi="Book Antiqua" w:cs="Tahoma"/>
          <w:lang w:val="en-US"/>
        </w:rPr>
        <w:t xml:space="preserve">or </w:t>
      </w:r>
      <w:r w:rsidR="00A053F1">
        <w:rPr>
          <w:rFonts w:ascii="Book Antiqua" w:hAnsi="Book Antiqua" w:cs="Tahoma"/>
          <w:lang w:val="en-US"/>
        </w:rPr>
        <w:t xml:space="preserve">changes in </w:t>
      </w:r>
      <w:proofErr w:type="spellStart"/>
      <w:r w:rsidR="00D845D3">
        <w:rPr>
          <w:rFonts w:ascii="Book Antiqua" w:hAnsi="Book Antiqua" w:cs="Tahoma"/>
          <w:lang w:val="en-US"/>
        </w:rPr>
        <w:t>Atf</w:t>
      </w:r>
      <w:proofErr w:type="gramStart"/>
      <w:r w:rsidR="00D845D3">
        <w:rPr>
          <w:rFonts w:ascii="Book Antiqua" w:hAnsi="Book Antiqua" w:cs="Tahoma"/>
          <w:lang w:val="en-US"/>
        </w:rPr>
        <w:t>,ta</w:t>
      </w:r>
      <w:proofErr w:type="spellEnd"/>
      <w:proofErr w:type="gramEnd"/>
      <w:r w:rsidR="00D845D3">
        <w:rPr>
          <w:rFonts w:ascii="Book Antiqua" w:hAnsi="Book Antiqua" w:cs="Tahoma"/>
          <w:lang w:val="en-US"/>
        </w:rPr>
        <w:t xml:space="preserve"> and </w:t>
      </w:r>
      <w:proofErr w:type="spellStart"/>
      <w:r w:rsidR="00D845D3">
        <w:rPr>
          <w:rFonts w:ascii="Book Antiqua" w:hAnsi="Book Antiqua" w:cs="Tahoma"/>
          <w:lang w:val="en-US"/>
        </w:rPr>
        <w:t>Atf,tf</w:t>
      </w:r>
      <w:proofErr w:type="spellEnd"/>
      <w:r w:rsidR="00D845D3">
        <w:rPr>
          <w:rFonts w:ascii="Book Antiqua" w:hAnsi="Book Antiqua" w:cs="Tahoma"/>
          <w:lang w:val="en-US"/>
        </w:rPr>
        <w:t xml:space="preserve"> (see Table 3 for notation). </w:t>
      </w:r>
      <w:r w:rsidR="006E7DBD">
        <w:rPr>
          <w:rFonts w:ascii="Book Antiqua" w:hAnsi="Book Antiqua" w:cs="Tahoma"/>
          <w:lang w:val="en-US"/>
        </w:rPr>
        <w:t xml:space="preserve">On the second graph, the changes in </w:t>
      </w:r>
      <w:proofErr w:type="spellStart"/>
      <w:r w:rsidR="006E7DBD">
        <w:rPr>
          <w:rFonts w:ascii="Book Antiqua" w:hAnsi="Book Antiqua" w:cs="Tahoma"/>
          <w:lang w:val="en-US"/>
        </w:rPr>
        <w:t>Ata</w:t>
      </w:r>
      <w:proofErr w:type="gramStart"/>
      <w:r w:rsidR="006E7DBD">
        <w:rPr>
          <w:rFonts w:ascii="Book Antiqua" w:hAnsi="Book Antiqua" w:cs="Tahoma"/>
          <w:lang w:val="en-US"/>
        </w:rPr>
        <w:t>,tf</w:t>
      </w:r>
      <w:proofErr w:type="spellEnd"/>
      <w:proofErr w:type="gramEnd"/>
      <w:r w:rsidR="006E7DBD">
        <w:rPr>
          <w:rFonts w:ascii="Book Antiqua" w:hAnsi="Book Antiqua" w:cs="Tahoma"/>
          <w:lang w:val="en-US"/>
        </w:rPr>
        <w:t xml:space="preserve"> and in </w:t>
      </w:r>
      <w:proofErr w:type="spellStart"/>
      <w:r w:rsidR="006E7DBD">
        <w:rPr>
          <w:rFonts w:ascii="Book Antiqua" w:hAnsi="Book Antiqua" w:cs="Tahoma"/>
          <w:lang w:val="en-US"/>
        </w:rPr>
        <w:t>Ata,ta</w:t>
      </w:r>
      <w:proofErr w:type="spellEnd"/>
      <w:r w:rsidR="006E7DBD">
        <w:rPr>
          <w:rFonts w:ascii="Book Antiqua" w:hAnsi="Book Antiqua" w:cs="Tahoma"/>
          <w:lang w:val="en-US"/>
        </w:rPr>
        <w:t xml:space="preserve"> are presented</w:t>
      </w:r>
      <w:r w:rsidR="00A053F1">
        <w:rPr>
          <w:rFonts w:ascii="Book Antiqua" w:hAnsi="Book Antiqua" w:cs="Tahoma"/>
          <w:lang w:val="en-US"/>
        </w:rPr>
        <w:t>, or the changes in the transaction costs by types of industries</w:t>
      </w:r>
      <w:r w:rsidR="00655A69">
        <w:rPr>
          <w:rFonts w:ascii="Book Antiqua" w:hAnsi="Book Antiqua" w:cs="Tahoma"/>
          <w:lang w:val="en-US"/>
        </w:rPr>
        <w:t xml:space="preserve"> expressed in technical coefficients</w:t>
      </w:r>
      <w:r w:rsidR="006E7DBD">
        <w:rPr>
          <w:rFonts w:ascii="Book Antiqua" w:hAnsi="Book Antiqua" w:cs="Tahoma"/>
          <w:lang w:val="en-US"/>
        </w:rPr>
        <w:t xml:space="preserve">. Last, the change in backward linkages for the whole economies is given. </w:t>
      </w:r>
      <w:r w:rsidR="00FD46FE">
        <w:rPr>
          <w:rFonts w:ascii="Book Antiqua" w:hAnsi="Book Antiqua" w:cs="Tahoma"/>
          <w:lang w:val="en-US"/>
        </w:rPr>
        <w:t xml:space="preserve">In other words, for example a fall in the transaction costs means that the technical coefficients </w:t>
      </w:r>
      <w:proofErr w:type="spellStart"/>
      <w:r w:rsidR="00FD46FE">
        <w:rPr>
          <w:rFonts w:ascii="Book Antiqua" w:hAnsi="Book Antiqua" w:cs="Tahoma"/>
          <w:lang w:val="en-US"/>
        </w:rPr>
        <w:t>Ata</w:t>
      </w:r>
      <w:proofErr w:type="gramStart"/>
      <w:r w:rsidR="00FD46FE">
        <w:rPr>
          <w:rFonts w:ascii="Book Antiqua" w:hAnsi="Book Antiqua" w:cs="Tahoma"/>
          <w:lang w:val="en-US"/>
        </w:rPr>
        <w:t>,j</w:t>
      </w:r>
      <w:proofErr w:type="spellEnd"/>
      <w:proofErr w:type="gramEnd"/>
      <w:r w:rsidR="00FD46FE">
        <w:rPr>
          <w:rFonts w:ascii="Book Antiqua" w:hAnsi="Book Antiqua" w:cs="Tahoma"/>
          <w:lang w:val="en-US"/>
        </w:rPr>
        <w:t xml:space="preserve"> fall. This is equal to augmentation in the transaction function in the economy. </w:t>
      </w:r>
    </w:p>
    <w:p w:rsidR="00952116" w:rsidRDefault="00952116" w:rsidP="009A4A24">
      <w:pPr>
        <w:spacing w:line="288" w:lineRule="auto"/>
        <w:ind w:firstLine="706"/>
        <w:jc w:val="both"/>
        <w:rPr>
          <w:rFonts w:ascii="Book Antiqua" w:hAnsi="Book Antiqua" w:cs="Tahoma"/>
          <w:lang w:val="en-US"/>
        </w:rPr>
      </w:pPr>
    </w:p>
    <w:p w:rsidR="00BF599F" w:rsidRPr="00BF599F" w:rsidRDefault="00BF599F" w:rsidP="009A4A24">
      <w:pPr>
        <w:spacing w:line="288" w:lineRule="auto"/>
        <w:ind w:firstLine="706"/>
        <w:jc w:val="both"/>
        <w:rPr>
          <w:rFonts w:ascii="Book Antiqua" w:hAnsi="Book Antiqua" w:cs="Tahoma"/>
          <w:b/>
          <w:lang w:val="en-US"/>
        </w:rPr>
      </w:pPr>
      <w:r>
        <w:rPr>
          <w:rFonts w:ascii="Book Antiqua" w:hAnsi="Book Antiqua" w:cs="Tahoma"/>
          <w:b/>
          <w:lang w:val="en-US"/>
        </w:rPr>
        <w:t>6.1. Countries that fit</w:t>
      </w:r>
      <w:r w:rsidRPr="00BF599F">
        <w:rPr>
          <w:rFonts w:ascii="Book Antiqua" w:hAnsi="Book Antiqua" w:cs="Tahoma"/>
          <w:b/>
          <w:lang w:val="en-US"/>
        </w:rPr>
        <w:t xml:space="preserve"> the model </w:t>
      </w:r>
    </w:p>
    <w:p w:rsidR="008E47AA" w:rsidRDefault="008E47AA" w:rsidP="009A4A24">
      <w:pPr>
        <w:spacing w:line="288" w:lineRule="auto"/>
        <w:ind w:firstLine="706"/>
        <w:jc w:val="both"/>
        <w:rPr>
          <w:rFonts w:ascii="Book Antiqua" w:hAnsi="Book Antiqua" w:cs="Tahoma"/>
          <w:lang w:val="en-US"/>
        </w:rPr>
      </w:pPr>
      <w:r>
        <w:rPr>
          <w:rFonts w:ascii="Book Antiqua" w:hAnsi="Book Antiqua" w:cs="Tahoma"/>
          <w:lang w:val="en-US"/>
        </w:rPr>
        <w:t xml:space="preserve">The model recognizes interactions between the transformation sector and the transaction sector </w:t>
      </w:r>
      <w:r w:rsidR="00655A69">
        <w:rPr>
          <w:rFonts w:ascii="Book Antiqua" w:hAnsi="Book Antiqua" w:cs="Tahoma"/>
          <w:lang w:val="en-US"/>
        </w:rPr>
        <w:t xml:space="preserve">if the changes in one type of costs move in the same direction for both types of industries, or if there are no changes for both types of industries. On this ground, in the first graph in Appendix 1 there are eight countries that are eligible for the model as for the changes in the transformation </w:t>
      </w:r>
      <w:r w:rsidR="00BA22B8">
        <w:rPr>
          <w:rFonts w:ascii="Book Antiqua" w:hAnsi="Book Antiqua" w:cs="Tahoma"/>
          <w:lang w:val="en-US"/>
        </w:rPr>
        <w:t xml:space="preserve">cost. </w:t>
      </w:r>
      <w:r w:rsidR="00406B7C">
        <w:rPr>
          <w:rFonts w:ascii="Book Antiqua" w:hAnsi="Book Antiqua" w:cs="Tahoma"/>
          <w:lang w:val="en-US"/>
        </w:rPr>
        <w:t xml:space="preserve">These countries are Denmark, Estonia, Finland, France, Germany, Hungary, the Netherlands, and Slovenia. </w:t>
      </w:r>
      <w:r w:rsidR="008F6B00">
        <w:rPr>
          <w:rFonts w:ascii="Book Antiqua" w:hAnsi="Book Antiqua" w:cs="Tahoma"/>
          <w:lang w:val="en-US"/>
        </w:rPr>
        <w:t>In other cases, like in UK, the movemen</w:t>
      </w:r>
      <w:r w:rsidR="001630A2">
        <w:rPr>
          <w:rFonts w:ascii="Book Antiqua" w:hAnsi="Book Antiqua" w:cs="Tahoma"/>
          <w:lang w:val="en-US"/>
        </w:rPr>
        <w:t xml:space="preserve">ts are in different directions, </w:t>
      </w:r>
      <w:r w:rsidR="00A3647D">
        <w:rPr>
          <w:rFonts w:ascii="Book Antiqua" w:hAnsi="Book Antiqua" w:cs="Tahoma"/>
          <w:lang w:val="en-US"/>
        </w:rPr>
        <w:t>and this</w:t>
      </w:r>
      <w:r w:rsidR="001630A2">
        <w:rPr>
          <w:rFonts w:ascii="Book Antiqua" w:hAnsi="Book Antiqua" w:cs="Tahoma"/>
          <w:lang w:val="en-US"/>
        </w:rPr>
        <w:t xml:space="preserve"> means that there is not an economy-wide change in the transformation function. The transaction sector and the transformation sector develop into their own paths without interaction between each other. </w:t>
      </w:r>
    </w:p>
    <w:p w:rsidR="008E47AA" w:rsidRDefault="007346FB" w:rsidP="009A4A24">
      <w:pPr>
        <w:spacing w:line="288" w:lineRule="auto"/>
        <w:ind w:firstLine="706"/>
        <w:jc w:val="both"/>
        <w:rPr>
          <w:rFonts w:ascii="Book Antiqua" w:hAnsi="Book Antiqua" w:cs="Tahoma"/>
          <w:lang w:val="en-US"/>
        </w:rPr>
      </w:pPr>
      <w:r>
        <w:rPr>
          <w:rFonts w:ascii="Book Antiqua" w:hAnsi="Book Antiqua" w:cs="Tahoma"/>
          <w:lang w:val="en-US"/>
        </w:rPr>
        <w:t xml:space="preserve">From the second graph eligible countries are Austria, Estonia, France, Hungary, Japan, Slovenia, </w:t>
      </w:r>
      <w:proofErr w:type="gramStart"/>
      <w:r>
        <w:rPr>
          <w:rFonts w:ascii="Book Antiqua" w:hAnsi="Book Antiqua" w:cs="Tahoma"/>
          <w:lang w:val="en-US"/>
        </w:rPr>
        <w:t>UK</w:t>
      </w:r>
      <w:proofErr w:type="gramEnd"/>
      <w:r>
        <w:rPr>
          <w:rFonts w:ascii="Book Antiqua" w:hAnsi="Book Antiqua" w:cs="Tahoma"/>
          <w:lang w:val="en-US"/>
        </w:rPr>
        <w:t xml:space="preserve">. </w:t>
      </w:r>
      <w:r w:rsidR="00DE2372">
        <w:rPr>
          <w:rFonts w:ascii="Book Antiqua" w:hAnsi="Book Antiqua" w:cs="Tahoma"/>
          <w:lang w:val="en-US"/>
        </w:rPr>
        <w:t>Putting together both types of changes – in transformation costs and in transaction costs</w:t>
      </w:r>
      <w:r w:rsidR="00C03DE0">
        <w:rPr>
          <w:rFonts w:ascii="Book Antiqua" w:hAnsi="Book Antiqua" w:cs="Tahoma"/>
          <w:lang w:val="en-US"/>
        </w:rPr>
        <w:t>,</w:t>
      </w:r>
      <w:r w:rsidR="00DE2372">
        <w:rPr>
          <w:rFonts w:ascii="Book Antiqua" w:hAnsi="Book Antiqua" w:cs="Tahoma"/>
          <w:lang w:val="en-US"/>
        </w:rPr>
        <w:t xml:space="preserve"> – the model indicates four countries with different patterns of interactions between transformation and transaction sectors. </w:t>
      </w:r>
      <w:r w:rsidR="00C70DD2">
        <w:rPr>
          <w:rFonts w:ascii="Book Antiqua" w:hAnsi="Book Antiqua" w:cs="Tahoma"/>
          <w:lang w:val="en-US"/>
        </w:rPr>
        <w:t xml:space="preserve">They are marked in Table 3. </w:t>
      </w:r>
    </w:p>
    <w:p w:rsidR="00335711" w:rsidRDefault="00C70DD2" w:rsidP="009A4A24">
      <w:pPr>
        <w:spacing w:line="288" w:lineRule="auto"/>
        <w:ind w:firstLine="706"/>
        <w:jc w:val="both"/>
        <w:rPr>
          <w:rFonts w:ascii="Book Antiqua" w:hAnsi="Book Antiqua" w:cs="Tahoma"/>
          <w:lang w:val="en-US"/>
        </w:rPr>
      </w:pPr>
      <w:r>
        <w:rPr>
          <w:rFonts w:ascii="Book Antiqua" w:hAnsi="Book Antiqua" w:cs="Tahoma"/>
          <w:lang w:val="en-US"/>
        </w:rPr>
        <w:t xml:space="preserve">Estonia and Hungary </w:t>
      </w:r>
      <w:r w:rsidR="00366EB0">
        <w:rPr>
          <w:rFonts w:ascii="Book Antiqua" w:hAnsi="Book Antiqua" w:cs="Tahoma"/>
          <w:lang w:val="en-US"/>
        </w:rPr>
        <w:t xml:space="preserve">have sectors that can synchronize their developments. The difference in the change of outputs of the two sectors is below 10 % points, which I take as a mark line. </w:t>
      </w:r>
      <w:r w:rsidR="00854278">
        <w:rPr>
          <w:rFonts w:ascii="Book Antiqua" w:hAnsi="Book Antiqua" w:cs="Tahoma"/>
          <w:lang w:val="en-US"/>
        </w:rPr>
        <w:t>From mid-1990s to early 2000s Estonia experience</w:t>
      </w:r>
      <w:r w:rsidR="00C03DE0">
        <w:rPr>
          <w:rFonts w:ascii="Book Antiqua" w:hAnsi="Book Antiqua" w:cs="Tahoma"/>
          <w:lang w:val="en-US"/>
        </w:rPr>
        <w:t>s</w:t>
      </w:r>
      <w:r w:rsidR="00854278">
        <w:rPr>
          <w:rFonts w:ascii="Book Antiqua" w:hAnsi="Book Antiqua" w:cs="Tahoma"/>
          <w:lang w:val="en-US"/>
        </w:rPr>
        <w:t xml:space="preserve"> augmentation in the transformation function and attenuation in the transaction function. </w:t>
      </w:r>
      <w:r w:rsidR="00327409">
        <w:rPr>
          <w:rFonts w:ascii="Book Antiqua" w:hAnsi="Book Antiqua" w:cs="Tahoma"/>
          <w:lang w:val="en-US"/>
        </w:rPr>
        <w:t xml:space="preserve">For Hungary the augmentation </w:t>
      </w:r>
      <w:r w:rsidR="00C03DE0">
        <w:rPr>
          <w:rFonts w:ascii="Book Antiqua" w:hAnsi="Book Antiqua" w:cs="Tahoma"/>
          <w:lang w:val="en-US"/>
        </w:rPr>
        <w:t>is</w:t>
      </w:r>
      <w:r w:rsidR="00327409">
        <w:rPr>
          <w:rFonts w:ascii="Book Antiqua" w:hAnsi="Book Antiqua" w:cs="Tahoma"/>
          <w:lang w:val="en-US"/>
        </w:rPr>
        <w:t xml:space="preserve"> in the transaction function</w:t>
      </w:r>
      <w:r w:rsidR="00B311D7">
        <w:rPr>
          <w:rFonts w:ascii="Book Antiqua" w:hAnsi="Book Antiqua" w:cs="Tahoma"/>
          <w:lang w:val="en-US"/>
        </w:rPr>
        <w:t>,</w:t>
      </w:r>
      <w:r w:rsidR="00327409">
        <w:rPr>
          <w:rFonts w:ascii="Book Antiqua" w:hAnsi="Book Antiqua" w:cs="Tahoma"/>
          <w:lang w:val="en-US"/>
        </w:rPr>
        <w:t xml:space="preserve"> in trade off for attenuation in the transformation function. </w:t>
      </w:r>
      <w:r w:rsidR="00335711">
        <w:rPr>
          <w:rFonts w:ascii="Book Antiqua" w:hAnsi="Book Antiqua" w:cs="Tahoma"/>
          <w:lang w:val="en-US"/>
        </w:rPr>
        <w:t xml:space="preserve">The model cannot confirm that there are institutional and technological changes, and what order they happen. It can only show that if there were such changes, the structure of the economy allows the two </w:t>
      </w:r>
      <w:r w:rsidR="00335711">
        <w:rPr>
          <w:rFonts w:ascii="Book Antiqua" w:hAnsi="Book Antiqua" w:cs="Tahoma"/>
          <w:lang w:val="en-US"/>
        </w:rPr>
        <w:lastRenderedPageBreak/>
        <w:t xml:space="preserve">sectors to grow equally and its functioning is flexible – it can trade off </w:t>
      </w:r>
      <w:r w:rsidR="00B311D7">
        <w:rPr>
          <w:rFonts w:ascii="Book Antiqua" w:hAnsi="Book Antiqua" w:cs="Tahoma"/>
          <w:lang w:val="en-US"/>
        </w:rPr>
        <w:t>attenuation</w:t>
      </w:r>
      <w:r w:rsidR="00335711">
        <w:rPr>
          <w:rFonts w:ascii="Book Antiqua" w:hAnsi="Book Antiqua" w:cs="Tahoma"/>
          <w:lang w:val="en-US"/>
        </w:rPr>
        <w:t xml:space="preserve"> in one </w:t>
      </w:r>
      <w:r w:rsidR="00B311D7">
        <w:rPr>
          <w:rFonts w:ascii="Book Antiqua" w:hAnsi="Book Antiqua" w:cs="Tahoma"/>
          <w:lang w:val="en-US"/>
        </w:rPr>
        <w:t xml:space="preserve">function for augmentation </w:t>
      </w:r>
      <w:r w:rsidR="00720725">
        <w:rPr>
          <w:rFonts w:ascii="Book Antiqua" w:hAnsi="Book Antiqua" w:cs="Tahoma"/>
          <w:lang w:val="en-US"/>
        </w:rPr>
        <w:t xml:space="preserve">in </w:t>
      </w:r>
      <w:r w:rsidR="00B311D7">
        <w:rPr>
          <w:rFonts w:ascii="Book Antiqua" w:hAnsi="Book Antiqua" w:cs="Tahoma"/>
          <w:lang w:val="en-US"/>
        </w:rPr>
        <w:t xml:space="preserve">the other. </w:t>
      </w:r>
      <w:r w:rsidR="00720725">
        <w:rPr>
          <w:rFonts w:ascii="Book Antiqua" w:hAnsi="Book Antiqua" w:cs="Tahoma"/>
          <w:lang w:val="en-US"/>
        </w:rPr>
        <w:t xml:space="preserve">Still this does not help Hungary from being the country with the biggest growth in the backward linkages among all examined countries. </w:t>
      </w:r>
    </w:p>
    <w:p w:rsidR="00590CA2" w:rsidRDefault="00B87FD0" w:rsidP="009A4A24">
      <w:pPr>
        <w:spacing w:line="288" w:lineRule="auto"/>
        <w:ind w:firstLine="706"/>
        <w:jc w:val="both"/>
        <w:rPr>
          <w:rFonts w:ascii="Book Antiqua" w:hAnsi="Book Antiqua" w:cs="Tahoma"/>
          <w:lang w:val="en-US"/>
        </w:rPr>
      </w:pPr>
      <w:r>
        <w:rPr>
          <w:rFonts w:ascii="Book Antiqua" w:hAnsi="Book Antiqua" w:cs="Tahoma"/>
          <w:lang w:val="en-US"/>
        </w:rPr>
        <w:t xml:space="preserve">In Slovenia and France the growth in the output </w:t>
      </w:r>
      <w:r w:rsidR="002B0FEE">
        <w:rPr>
          <w:rFonts w:ascii="Book Antiqua" w:hAnsi="Book Antiqua" w:cs="Tahoma"/>
          <w:lang w:val="en-US"/>
        </w:rPr>
        <w:t>of</w:t>
      </w:r>
      <w:r w:rsidR="0078720C">
        <w:rPr>
          <w:rFonts w:ascii="Book Antiqua" w:hAnsi="Book Antiqua" w:cs="Tahoma"/>
          <w:lang w:val="en-US"/>
        </w:rPr>
        <w:t xml:space="preserve"> the transaction sector exceeds</w:t>
      </w:r>
      <w:r w:rsidR="002B0FEE">
        <w:rPr>
          <w:rFonts w:ascii="Book Antiqua" w:hAnsi="Book Antiqua" w:cs="Tahoma"/>
          <w:lang w:val="en-US"/>
        </w:rPr>
        <w:t xml:space="preserve"> the growth in the output of the transformation sector by more than 10 % points. </w:t>
      </w:r>
      <w:r w:rsidR="00903BEF">
        <w:rPr>
          <w:rFonts w:ascii="Book Antiqua" w:hAnsi="Book Antiqua" w:cs="Tahoma"/>
          <w:lang w:val="en-US"/>
        </w:rPr>
        <w:t xml:space="preserve">In Slovenia this </w:t>
      </w:r>
      <w:r w:rsidR="0078720C">
        <w:rPr>
          <w:rFonts w:ascii="Book Antiqua" w:hAnsi="Book Antiqua" w:cs="Tahoma"/>
          <w:lang w:val="en-US"/>
        </w:rPr>
        <w:t>is</w:t>
      </w:r>
      <w:r w:rsidR="00204A62">
        <w:rPr>
          <w:rFonts w:ascii="Book Antiqua" w:hAnsi="Book Antiqua" w:cs="Tahoma"/>
          <w:lang w:val="en-US"/>
        </w:rPr>
        <w:t xml:space="preserve"> combined with </w:t>
      </w:r>
      <w:r w:rsidR="00903BEF">
        <w:rPr>
          <w:rFonts w:ascii="Book Antiqua" w:hAnsi="Book Antiqua" w:cs="Tahoma"/>
          <w:lang w:val="en-US"/>
        </w:rPr>
        <w:t xml:space="preserve">augmentation of the transformation function </w:t>
      </w:r>
      <w:r w:rsidR="00204A62">
        <w:rPr>
          <w:rFonts w:ascii="Book Antiqua" w:hAnsi="Book Antiqua" w:cs="Tahoma"/>
          <w:lang w:val="en-US"/>
        </w:rPr>
        <w:t>and</w:t>
      </w:r>
      <w:r w:rsidR="00903BEF">
        <w:rPr>
          <w:rFonts w:ascii="Book Antiqua" w:hAnsi="Book Antiqua" w:cs="Tahoma"/>
          <w:lang w:val="en-US"/>
        </w:rPr>
        <w:t xml:space="preserve"> no cha</w:t>
      </w:r>
      <w:r w:rsidR="00034E62">
        <w:rPr>
          <w:rFonts w:ascii="Book Antiqua" w:hAnsi="Book Antiqua" w:cs="Tahoma"/>
          <w:lang w:val="en-US"/>
        </w:rPr>
        <w:t>nge in the transaction functi</w:t>
      </w:r>
      <w:r w:rsidR="005233EC">
        <w:rPr>
          <w:rFonts w:ascii="Book Antiqua" w:hAnsi="Book Antiqua" w:cs="Tahoma"/>
          <w:lang w:val="en-US"/>
        </w:rPr>
        <w:t xml:space="preserve">on. </w:t>
      </w:r>
      <w:r w:rsidR="00204A62">
        <w:rPr>
          <w:rFonts w:ascii="Book Antiqua" w:hAnsi="Book Antiqua" w:cs="Tahoma"/>
          <w:lang w:val="en-US"/>
        </w:rPr>
        <w:t>The importance of the transaction sector g</w:t>
      </w:r>
      <w:r w:rsidR="0078720C">
        <w:rPr>
          <w:rFonts w:ascii="Book Antiqua" w:hAnsi="Book Antiqua" w:cs="Tahoma"/>
          <w:lang w:val="en-US"/>
        </w:rPr>
        <w:t>rows</w:t>
      </w:r>
      <w:r w:rsidR="00204A62">
        <w:rPr>
          <w:rFonts w:ascii="Book Antiqua" w:hAnsi="Book Antiqua" w:cs="Tahoma"/>
          <w:lang w:val="en-US"/>
        </w:rPr>
        <w:t xml:space="preserve"> relatively to that o</w:t>
      </w:r>
      <w:r w:rsidR="0056177E">
        <w:rPr>
          <w:rFonts w:ascii="Book Antiqua" w:hAnsi="Book Antiqua" w:cs="Tahoma"/>
          <w:lang w:val="en-US"/>
        </w:rPr>
        <w:t xml:space="preserve">f the transformation sector. This can be interpreted as growing number of economic transactions that have to be served – larger markets, more customers, or more regulations. </w:t>
      </w:r>
      <w:r w:rsidR="003660A1">
        <w:rPr>
          <w:rFonts w:ascii="Book Antiqua" w:hAnsi="Book Antiqua" w:cs="Tahoma"/>
          <w:lang w:val="en-US"/>
        </w:rPr>
        <w:t xml:space="preserve">But at the same time industries raised their productivity as for the transformation process. Maybe </w:t>
      </w:r>
      <w:r w:rsidR="007615E5">
        <w:rPr>
          <w:rFonts w:ascii="Book Antiqua" w:hAnsi="Book Antiqua" w:cs="Tahoma"/>
          <w:lang w:val="en-US"/>
        </w:rPr>
        <w:t xml:space="preserve">it is </w:t>
      </w:r>
      <w:r w:rsidR="003660A1">
        <w:rPr>
          <w:rFonts w:ascii="Book Antiqua" w:hAnsi="Book Antiqua" w:cs="Tahoma"/>
          <w:lang w:val="en-US"/>
        </w:rPr>
        <w:t xml:space="preserve">because of bigger economies of scale after the enlargement of the market. </w:t>
      </w:r>
      <w:r w:rsidR="008D1155">
        <w:rPr>
          <w:rFonts w:ascii="Book Antiqua" w:hAnsi="Book Antiqua" w:cs="Tahoma"/>
          <w:lang w:val="en-US"/>
        </w:rPr>
        <w:t xml:space="preserve">In France the growing importance of the transaction sector does not help the industries to increase their efficiency. </w:t>
      </w:r>
      <w:r w:rsidR="00201349">
        <w:rPr>
          <w:rFonts w:ascii="Book Antiqua" w:hAnsi="Book Antiqua" w:cs="Tahoma"/>
          <w:lang w:val="en-US"/>
        </w:rPr>
        <w:t xml:space="preserve">Slovenia ends as the only country that has a fall in the backward linkages while France is among the countries with moderate opposite </w:t>
      </w:r>
      <w:r w:rsidR="00D23050">
        <w:rPr>
          <w:rFonts w:ascii="Book Antiqua" w:hAnsi="Book Antiqua" w:cs="Tahoma"/>
          <w:lang w:val="en-US"/>
        </w:rPr>
        <w:t xml:space="preserve">direction. </w:t>
      </w:r>
    </w:p>
    <w:p w:rsidR="00200268" w:rsidRDefault="00CB70FD" w:rsidP="009A4A24">
      <w:pPr>
        <w:spacing w:line="288" w:lineRule="auto"/>
        <w:ind w:firstLine="706"/>
        <w:jc w:val="both"/>
        <w:rPr>
          <w:rFonts w:ascii="Book Antiqua" w:hAnsi="Book Antiqua" w:cs="Tahoma"/>
          <w:lang w:val="en-US"/>
        </w:rPr>
      </w:pPr>
      <w:r>
        <w:rPr>
          <w:rFonts w:ascii="Book Antiqua" w:hAnsi="Book Antiqua" w:cs="Tahoma"/>
          <w:lang w:val="en-US"/>
        </w:rPr>
        <w:t xml:space="preserve">We can trace Estonia, Slovenia and France in the next period, from </w:t>
      </w:r>
      <w:r w:rsidR="00315F3D">
        <w:rPr>
          <w:rFonts w:ascii="Book Antiqua" w:hAnsi="Book Antiqua" w:cs="Tahoma"/>
          <w:lang w:val="en-US"/>
        </w:rPr>
        <w:t xml:space="preserve">early 2000s to mid-2000s. </w:t>
      </w:r>
      <w:r w:rsidR="00094B42">
        <w:rPr>
          <w:rFonts w:ascii="Book Antiqua" w:hAnsi="Book Antiqua" w:cs="Tahoma"/>
          <w:lang w:val="en-US"/>
        </w:rPr>
        <w:t xml:space="preserve">The transaction function on economy-wide level stays the same but the transformation function augments. </w:t>
      </w:r>
      <w:r w:rsidR="00D24A02">
        <w:rPr>
          <w:rFonts w:ascii="Book Antiqua" w:hAnsi="Book Antiqua" w:cs="Tahoma"/>
          <w:lang w:val="en-US"/>
        </w:rPr>
        <w:t xml:space="preserve">Maybe this </w:t>
      </w:r>
      <w:r w:rsidR="00751373">
        <w:rPr>
          <w:rFonts w:ascii="Book Antiqua" w:hAnsi="Book Antiqua" w:cs="Tahoma"/>
          <w:lang w:val="en-US"/>
        </w:rPr>
        <w:t xml:space="preserve">augmentation </w:t>
      </w:r>
      <w:r w:rsidR="00D24A02">
        <w:rPr>
          <w:rFonts w:ascii="Book Antiqua" w:hAnsi="Book Antiqua" w:cs="Tahoma"/>
          <w:lang w:val="en-US"/>
        </w:rPr>
        <w:t>is du</w:t>
      </w:r>
      <w:r w:rsidR="00CA146A">
        <w:rPr>
          <w:rFonts w:ascii="Book Antiqua" w:hAnsi="Book Antiqua" w:cs="Tahoma"/>
          <w:lang w:val="en-US"/>
        </w:rPr>
        <w:t xml:space="preserve">e to a technological innovation and the good news here is that the transaction </w:t>
      </w:r>
      <w:r w:rsidR="00751373">
        <w:rPr>
          <w:rFonts w:ascii="Book Antiqua" w:hAnsi="Book Antiqua" w:cs="Tahoma"/>
          <w:lang w:val="en-US"/>
        </w:rPr>
        <w:t xml:space="preserve">industries do not respond in a limiting way. </w:t>
      </w:r>
      <w:r w:rsidR="00D631A2">
        <w:rPr>
          <w:rFonts w:ascii="Book Antiqua" w:hAnsi="Book Antiqua" w:cs="Tahoma"/>
          <w:lang w:val="en-US"/>
        </w:rPr>
        <w:t xml:space="preserve">These relationships are of main interest for institutional economists. As Wallis and North (1994 p. 610) say: </w:t>
      </w:r>
    </w:p>
    <w:p w:rsidR="00D631A2" w:rsidRPr="00D631A2" w:rsidRDefault="00D631A2" w:rsidP="00D631A2">
      <w:pPr>
        <w:spacing w:before="120" w:after="120" w:line="288" w:lineRule="auto"/>
        <w:ind w:firstLine="706"/>
        <w:jc w:val="both"/>
        <w:rPr>
          <w:rFonts w:ascii="Book Antiqua" w:hAnsi="Book Antiqua" w:cs="Tahoma"/>
          <w:i/>
          <w:lang w:val="en-US"/>
        </w:rPr>
      </w:pPr>
      <w:r>
        <w:rPr>
          <w:rFonts w:ascii="Book Antiqua" w:hAnsi="Book Antiqua" w:cs="Tahoma"/>
          <w:i/>
          <w:lang w:val="en-US"/>
        </w:rPr>
        <w:t>“</w:t>
      </w:r>
      <w:r w:rsidRPr="00D631A2">
        <w:rPr>
          <w:rFonts w:ascii="Book Antiqua" w:hAnsi="Book Antiqua" w:cs="Tahoma"/>
          <w:i/>
          <w:lang w:val="en-US"/>
        </w:rPr>
        <w:t>The framework developed in this paper suggests a new historical perspective on the relationship between technical and institutional change. It questions whether the growth enhancing effects of technical change – driving down transformation costs – are ultimately limited by the rising transaction costs associated with the institutional changes necessary to implement new technologies.</w:t>
      </w:r>
      <w:r>
        <w:rPr>
          <w:rFonts w:ascii="Book Antiqua" w:hAnsi="Book Antiqua" w:cs="Tahoma"/>
          <w:i/>
          <w:lang w:val="en-US"/>
        </w:rPr>
        <w:t>”</w:t>
      </w:r>
      <w:r w:rsidRPr="00D631A2">
        <w:rPr>
          <w:rFonts w:ascii="Book Antiqua" w:hAnsi="Book Antiqua" w:cs="Tahoma"/>
          <w:i/>
          <w:lang w:val="en-US"/>
        </w:rPr>
        <w:t xml:space="preserve"> </w:t>
      </w:r>
    </w:p>
    <w:p w:rsidR="00D631A2" w:rsidRDefault="00176559" w:rsidP="009A4A24">
      <w:pPr>
        <w:spacing w:line="288" w:lineRule="auto"/>
        <w:ind w:firstLine="706"/>
        <w:jc w:val="both"/>
        <w:rPr>
          <w:rFonts w:ascii="Book Antiqua" w:hAnsi="Book Antiqua" w:cs="Tahoma"/>
          <w:lang w:val="en-US"/>
        </w:rPr>
      </w:pPr>
      <w:r>
        <w:rPr>
          <w:rFonts w:ascii="Book Antiqua" w:hAnsi="Book Antiqua" w:cs="Tahoma"/>
          <w:lang w:val="en-US"/>
        </w:rPr>
        <w:t xml:space="preserve">The behavior of the Slovenian economy </w:t>
      </w:r>
      <w:r w:rsidR="00CA5B09">
        <w:rPr>
          <w:rFonts w:ascii="Book Antiqua" w:hAnsi="Book Antiqua" w:cs="Tahoma"/>
          <w:lang w:val="en-US"/>
        </w:rPr>
        <w:t xml:space="preserve">is the same, only that the output of the transaction sector keeps on growing more than its transformation counterpart. </w:t>
      </w:r>
      <w:r w:rsidR="00784B92">
        <w:rPr>
          <w:rFonts w:ascii="Book Antiqua" w:hAnsi="Book Antiqua" w:cs="Tahoma"/>
          <w:lang w:val="en-US"/>
        </w:rPr>
        <w:t xml:space="preserve">This may be explained with more exports of transaction services to the rest of the world. </w:t>
      </w:r>
    </w:p>
    <w:p w:rsidR="007673AE" w:rsidRDefault="007673AE" w:rsidP="009A4A24">
      <w:pPr>
        <w:spacing w:line="288" w:lineRule="auto"/>
        <w:ind w:firstLine="706"/>
        <w:jc w:val="both"/>
        <w:rPr>
          <w:rFonts w:ascii="Book Antiqua" w:hAnsi="Book Antiqua" w:cs="Tahoma"/>
          <w:lang w:val="en-US"/>
        </w:rPr>
      </w:pPr>
      <w:r>
        <w:rPr>
          <w:rFonts w:ascii="Book Antiqua" w:hAnsi="Book Antiqua" w:cs="Tahoma"/>
          <w:lang w:val="en-US"/>
        </w:rPr>
        <w:t xml:space="preserve">France, after having attenuated its </w:t>
      </w:r>
      <w:r w:rsidR="001177CF">
        <w:rPr>
          <w:rFonts w:ascii="Book Antiqua" w:hAnsi="Book Antiqua" w:cs="Tahoma"/>
          <w:lang w:val="en-US"/>
        </w:rPr>
        <w:t xml:space="preserve">transformation function, now attenuates its transaction function. </w:t>
      </w:r>
      <w:r w:rsidR="00752519">
        <w:rPr>
          <w:rFonts w:ascii="Book Antiqua" w:hAnsi="Book Antiqua" w:cs="Tahoma"/>
          <w:lang w:val="en-US"/>
        </w:rPr>
        <w:t>Certainly the French path of development is not as bright as that of Eston</w:t>
      </w:r>
      <w:r w:rsidR="002E0F17">
        <w:rPr>
          <w:rFonts w:ascii="Book Antiqua" w:hAnsi="Book Antiqua" w:cs="Tahoma"/>
          <w:lang w:val="en-US"/>
        </w:rPr>
        <w:t xml:space="preserve">ia and Slovenia. It actually is not bright at all. </w:t>
      </w:r>
    </w:p>
    <w:p w:rsidR="00952116" w:rsidRDefault="00952116" w:rsidP="009A4A24">
      <w:pPr>
        <w:spacing w:line="288" w:lineRule="auto"/>
        <w:ind w:firstLine="706"/>
        <w:jc w:val="both"/>
        <w:rPr>
          <w:rFonts w:ascii="Book Antiqua" w:hAnsi="Book Antiqua" w:cs="Tahoma"/>
          <w:lang w:val="en-US"/>
        </w:rPr>
      </w:pPr>
    </w:p>
    <w:p w:rsidR="00C41290" w:rsidRDefault="00C41290" w:rsidP="009A4A24">
      <w:pPr>
        <w:spacing w:line="288" w:lineRule="auto"/>
        <w:ind w:firstLine="706"/>
        <w:jc w:val="both"/>
        <w:rPr>
          <w:rFonts w:ascii="Book Antiqua" w:hAnsi="Book Antiqua" w:cs="Tahoma"/>
          <w:lang w:val="en-US"/>
        </w:rPr>
      </w:pPr>
    </w:p>
    <w:p w:rsidR="00C41290" w:rsidRDefault="00C41290" w:rsidP="009A4A24">
      <w:pPr>
        <w:spacing w:line="288" w:lineRule="auto"/>
        <w:ind w:firstLine="706"/>
        <w:jc w:val="both"/>
        <w:rPr>
          <w:rFonts w:ascii="Book Antiqua" w:hAnsi="Book Antiqua" w:cs="Tahoma"/>
          <w:lang w:val="en-US"/>
        </w:rPr>
      </w:pPr>
    </w:p>
    <w:p w:rsidR="00C41290" w:rsidRDefault="00C41290" w:rsidP="009A4A24">
      <w:pPr>
        <w:spacing w:line="288" w:lineRule="auto"/>
        <w:ind w:firstLine="706"/>
        <w:jc w:val="both"/>
        <w:rPr>
          <w:rFonts w:ascii="Book Antiqua" w:hAnsi="Book Antiqua" w:cs="Tahoma"/>
          <w:lang w:val="en-US"/>
        </w:rPr>
      </w:pPr>
    </w:p>
    <w:p w:rsidR="00C41290" w:rsidRDefault="00C41290" w:rsidP="009A4A24">
      <w:pPr>
        <w:spacing w:line="288" w:lineRule="auto"/>
        <w:ind w:firstLine="706"/>
        <w:jc w:val="both"/>
        <w:rPr>
          <w:rFonts w:ascii="Book Antiqua" w:hAnsi="Book Antiqua" w:cs="Tahoma"/>
          <w:lang w:val="en-US"/>
        </w:rPr>
      </w:pPr>
      <w:bookmarkStart w:id="0" w:name="_GoBack"/>
      <w:bookmarkEnd w:id="0"/>
    </w:p>
    <w:p w:rsidR="00CB260A" w:rsidRPr="00CB260A" w:rsidRDefault="00CB260A" w:rsidP="009A4A24">
      <w:pPr>
        <w:spacing w:line="288" w:lineRule="auto"/>
        <w:ind w:firstLine="706"/>
        <w:jc w:val="both"/>
        <w:rPr>
          <w:rFonts w:ascii="Book Antiqua" w:hAnsi="Book Antiqua" w:cs="Tahoma"/>
          <w:b/>
          <w:lang w:val="en-US"/>
        </w:rPr>
      </w:pPr>
      <w:r w:rsidRPr="00CB260A">
        <w:rPr>
          <w:rFonts w:ascii="Book Antiqua" w:hAnsi="Book Antiqua" w:cs="Tahoma"/>
          <w:b/>
          <w:lang w:val="en-US"/>
        </w:rPr>
        <w:lastRenderedPageBreak/>
        <w:t xml:space="preserve">6.2. Countries that </w:t>
      </w:r>
      <w:r w:rsidR="004C090C">
        <w:rPr>
          <w:rFonts w:ascii="Book Antiqua" w:hAnsi="Book Antiqua" w:cs="Tahoma"/>
          <w:b/>
          <w:lang w:val="en-US"/>
        </w:rPr>
        <w:t>“</w:t>
      </w:r>
      <w:r w:rsidRPr="00CB260A">
        <w:rPr>
          <w:rFonts w:ascii="Book Antiqua" w:hAnsi="Book Antiqua" w:cs="Tahoma"/>
          <w:b/>
          <w:lang w:val="en-US"/>
        </w:rPr>
        <w:t>do not fit</w:t>
      </w:r>
      <w:r w:rsidR="004C090C">
        <w:rPr>
          <w:rFonts w:ascii="Book Antiqua" w:hAnsi="Book Antiqua" w:cs="Tahoma"/>
          <w:b/>
          <w:lang w:val="en-US"/>
        </w:rPr>
        <w:t>”</w:t>
      </w:r>
      <w:r w:rsidRPr="00CB260A">
        <w:rPr>
          <w:rFonts w:ascii="Book Antiqua" w:hAnsi="Book Antiqua" w:cs="Tahoma"/>
          <w:b/>
          <w:lang w:val="en-US"/>
        </w:rPr>
        <w:t xml:space="preserve"> the model</w:t>
      </w:r>
    </w:p>
    <w:p w:rsidR="00952116" w:rsidRDefault="00076E80" w:rsidP="009A4A24">
      <w:pPr>
        <w:spacing w:line="288" w:lineRule="auto"/>
        <w:ind w:firstLine="706"/>
        <w:jc w:val="both"/>
        <w:rPr>
          <w:rFonts w:ascii="Book Antiqua" w:hAnsi="Book Antiqua" w:cs="Tahoma"/>
          <w:lang w:val="en-US"/>
        </w:rPr>
      </w:pPr>
      <w:r>
        <w:rPr>
          <w:rFonts w:ascii="Book Antiqua" w:hAnsi="Book Antiqua" w:cs="Tahoma"/>
          <w:lang w:val="en-US"/>
        </w:rPr>
        <w:t>What can be said f</w:t>
      </w:r>
      <w:r w:rsidR="00133DC4">
        <w:rPr>
          <w:rFonts w:ascii="Book Antiqua" w:hAnsi="Book Antiqua" w:cs="Tahoma"/>
          <w:lang w:val="en-US"/>
        </w:rPr>
        <w:t xml:space="preserve">or the countries that do not fall into the categories </w:t>
      </w:r>
      <w:r>
        <w:rPr>
          <w:rFonts w:ascii="Book Antiqua" w:hAnsi="Book Antiqua" w:cs="Tahoma"/>
          <w:lang w:val="en-US"/>
        </w:rPr>
        <w:t xml:space="preserve">of the model? </w:t>
      </w:r>
    </w:p>
    <w:p w:rsidR="00952116" w:rsidRDefault="00126B4E" w:rsidP="009A4A24">
      <w:pPr>
        <w:spacing w:line="288" w:lineRule="auto"/>
        <w:ind w:firstLine="706"/>
        <w:jc w:val="both"/>
        <w:rPr>
          <w:rFonts w:ascii="Book Antiqua" w:hAnsi="Book Antiqua" w:cs="Tahoma"/>
          <w:lang w:val="en-US"/>
        </w:rPr>
      </w:pPr>
      <w:r>
        <w:rPr>
          <w:rFonts w:ascii="Book Antiqua" w:hAnsi="Book Antiqua" w:cs="Tahoma"/>
          <w:lang w:val="en-US"/>
        </w:rPr>
        <w:t xml:space="preserve">For example in the second period the Slovak Republic experiences </w:t>
      </w:r>
      <w:r w:rsidR="00702E4F">
        <w:rPr>
          <w:rFonts w:ascii="Book Antiqua" w:hAnsi="Book Antiqua" w:cs="Tahoma"/>
          <w:lang w:val="en-US"/>
        </w:rPr>
        <w:t xml:space="preserve">the biggest fall in the backward linkages. With the original data being in nominal terms, </w:t>
      </w:r>
      <w:r w:rsidR="00F44BEF">
        <w:rPr>
          <w:rFonts w:ascii="Book Antiqua" w:hAnsi="Book Antiqua" w:cs="Tahoma"/>
          <w:lang w:val="en-US"/>
        </w:rPr>
        <w:t xml:space="preserve">this means that the Slovak entities work as the most efficient in the first half of the 2000s. </w:t>
      </w:r>
      <w:r w:rsidR="006B08E5">
        <w:rPr>
          <w:rFonts w:ascii="Book Antiqua" w:hAnsi="Book Antiqua" w:cs="Tahoma"/>
          <w:lang w:val="en-US"/>
        </w:rPr>
        <w:t xml:space="preserve">This is due to falling transformation costs throughout the economy </w:t>
      </w:r>
      <w:r w:rsidR="001B5A5C">
        <w:rPr>
          <w:rFonts w:ascii="Book Antiqua" w:hAnsi="Book Antiqua" w:cs="Tahoma"/>
          <w:lang w:val="en-US"/>
        </w:rPr>
        <w:t xml:space="preserve">but the transaction function does not augment, which means the transaction sector is not supportive enough and in the future its sluggishness may stifle </w:t>
      </w:r>
      <w:r w:rsidR="005673DA">
        <w:rPr>
          <w:rFonts w:ascii="Book Antiqua" w:hAnsi="Book Antiqua" w:cs="Tahoma"/>
          <w:lang w:val="en-US"/>
        </w:rPr>
        <w:t xml:space="preserve">the growth of the economy. </w:t>
      </w:r>
    </w:p>
    <w:p w:rsidR="00133DC4" w:rsidRDefault="00952116" w:rsidP="009A4A24">
      <w:pPr>
        <w:spacing w:line="288" w:lineRule="auto"/>
        <w:ind w:firstLine="706"/>
        <w:jc w:val="both"/>
        <w:rPr>
          <w:rFonts w:ascii="Book Antiqua" w:hAnsi="Book Antiqua" w:cs="Tahoma"/>
          <w:lang w:val="en-US"/>
        </w:rPr>
      </w:pPr>
      <w:r>
        <w:rPr>
          <w:rFonts w:ascii="Book Antiqua" w:hAnsi="Book Antiqua" w:cs="Tahoma"/>
          <w:lang w:val="en-US"/>
        </w:rPr>
        <w:t xml:space="preserve">Also in the second period, Taiwan suffers from the biggest drop in efficiency. This because the transformation sector probably undergoes a price shock in its transformation inputs. The median increase is more than 6 % points, </w:t>
      </w:r>
      <w:r w:rsidR="000E24B8">
        <w:rPr>
          <w:rFonts w:ascii="Book Antiqua" w:hAnsi="Book Antiqua" w:cs="Tahoma"/>
          <w:lang w:val="en-US"/>
        </w:rPr>
        <w:t>and</w:t>
      </w:r>
      <w:r>
        <w:rPr>
          <w:rFonts w:ascii="Book Antiqua" w:hAnsi="Book Antiqua" w:cs="Tahoma"/>
          <w:lang w:val="en-US"/>
        </w:rPr>
        <w:t xml:space="preserve"> the </w:t>
      </w:r>
      <w:r w:rsidR="00DC4026">
        <w:rPr>
          <w:rFonts w:ascii="Book Antiqua" w:hAnsi="Book Antiqua" w:cs="Tahoma"/>
          <w:lang w:val="en-US"/>
        </w:rPr>
        <w:t xml:space="preserve">major </w:t>
      </w:r>
      <w:r w:rsidR="000E24B8">
        <w:rPr>
          <w:rFonts w:ascii="Book Antiqua" w:hAnsi="Book Antiqua" w:cs="Tahoma"/>
          <w:lang w:val="en-US"/>
        </w:rPr>
        <w:t>signal from</w:t>
      </w:r>
      <w:r w:rsidR="00DC4026">
        <w:rPr>
          <w:rFonts w:ascii="Book Antiqua" w:hAnsi="Book Antiqua" w:cs="Tahoma"/>
          <w:lang w:val="en-US"/>
        </w:rPr>
        <w:t xml:space="preserve"> my model is </w:t>
      </w:r>
      <w:r w:rsidR="00970C0F">
        <w:rPr>
          <w:rFonts w:ascii="Book Antiqua" w:hAnsi="Book Antiqua" w:cs="Tahoma"/>
          <w:lang w:val="en-US"/>
        </w:rPr>
        <w:t>that the transaction sector do</w:t>
      </w:r>
      <w:r w:rsidR="007547EB">
        <w:rPr>
          <w:rFonts w:ascii="Book Antiqua" w:hAnsi="Book Antiqua" w:cs="Tahoma"/>
          <w:lang w:val="en-US"/>
        </w:rPr>
        <w:t>es</w:t>
      </w:r>
      <w:r w:rsidR="00970C0F">
        <w:rPr>
          <w:rFonts w:ascii="Book Antiqua" w:hAnsi="Book Antiqua" w:cs="Tahoma"/>
          <w:lang w:val="en-US"/>
        </w:rPr>
        <w:t xml:space="preserve"> not react in time</w:t>
      </w:r>
      <w:r w:rsidR="00F718CB">
        <w:rPr>
          <w:rFonts w:ascii="Book Antiqua" w:hAnsi="Book Antiqua" w:cs="Tahoma"/>
          <w:lang w:val="en-US"/>
        </w:rPr>
        <w:t xml:space="preserve">, it does not respond with a massive lowering of its output as input in other industries. </w:t>
      </w:r>
      <w:r w:rsidR="00806663">
        <w:rPr>
          <w:rFonts w:ascii="Book Antiqua" w:hAnsi="Book Antiqua" w:cs="Tahoma"/>
          <w:lang w:val="en-US"/>
        </w:rPr>
        <w:t xml:space="preserve">So Taiwan may not fall into the categories of Table 3 but this missing may be interpreted as inability of the transaction and the transformation sectors to </w:t>
      </w:r>
      <w:r w:rsidR="00487793">
        <w:rPr>
          <w:rFonts w:ascii="Book Antiqua" w:hAnsi="Book Antiqua" w:cs="Tahoma"/>
          <w:lang w:val="en-US"/>
        </w:rPr>
        <w:t xml:space="preserve">cooperate and synchronize their developments. </w:t>
      </w:r>
    </w:p>
    <w:p w:rsidR="008E4E96" w:rsidRPr="00076E80" w:rsidRDefault="008E4E96" w:rsidP="009A4A24">
      <w:pPr>
        <w:spacing w:line="288" w:lineRule="auto"/>
        <w:ind w:firstLine="706"/>
        <w:jc w:val="both"/>
        <w:rPr>
          <w:rFonts w:ascii="Book Antiqua" w:hAnsi="Book Antiqua" w:cs="Tahoma"/>
          <w:lang w:val="en-US"/>
        </w:rPr>
      </w:pPr>
      <w:r>
        <w:rPr>
          <w:rFonts w:ascii="Book Antiqua" w:hAnsi="Book Antiqua" w:cs="Tahoma"/>
          <w:lang w:val="en-US"/>
        </w:rPr>
        <w:t xml:space="preserve">The model has to be polished </w:t>
      </w:r>
      <w:r w:rsidR="00B228A3">
        <w:rPr>
          <w:rFonts w:ascii="Book Antiqua" w:hAnsi="Book Antiqua" w:cs="Tahoma"/>
          <w:lang w:val="en-US"/>
        </w:rPr>
        <w:t>for several things. A</w:t>
      </w:r>
      <w:r w:rsidR="009B371F">
        <w:rPr>
          <w:rFonts w:ascii="Book Antiqua" w:hAnsi="Book Antiqua" w:cs="Tahoma"/>
          <w:lang w:val="en-US"/>
        </w:rPr>
        <w:t xml:space="preserve">s for marking lines of changes: is it the 1 % point of change that marks off a statistically significant change, or not? Is it </w:t>
      </w:r>
      <w:r w:rsidR="00FA1B2A">
        <w:rPr>
          <w:rFonts w:ascii="Book Antiqua" w:hAnsi="Book Antiqua" w:cs="Tahoma"/>
          <w:lang w:val="en-US"/>
        </w:rPr>
        <w:t xml:space="preserve">the </w:t>
      </w:r>
      <w:r w:rsidR="009B371F">
        <w:rPr>
          <w:rFonts w:ascii="Book Antiqua" w:hAnsi="Book Antiqua" w:cs="Tahoma"/>
          <w:lang w:val="en-US"/>
        </w:rPr>
        <w:t xml:space="preserve">10 % points difference in the output growths that put a country </w:t>
      </w:r>
      <w:r w:rsidR="00FA1B2A">
        <w:rPr>
          <w:rFonts w:ascii="Book Antiqua" w:hAnsi="Book Antiqua" w:cs="Tahoma"/>
          <w:lang w:val="en-US"/>
        </w:rPr>
        <w:t xml:space="preserve">in the first block of Table 3, or in the second and the forth? </w:t>
      </w:r>
      <w:r w:rsidR="00FB2306">
        <w:rPr>
          <w:rFonts w:ascii="Book Antiqua" w:hAnsi="Book Antiqua" w:cs="Tahoma"/>
          <w:lang w:val="en-US"/>
        </w:rPr>
        <w:t xml:space="preserve">Is it the </w:t>
      </w:r>
      <w:r w:rsidR="005C5534">
        <w:rPr>
          <w:rFonts w:ascii="Book Antiqua" w:hAnsi="Book Antiqua" w:cs="Tahoma"/>
          <w:lang w:val="en-US"/>
        </w:rPr>
        <w:t xml:space="preserve">median change that </w:t>
      </w:r>
      <w:r w:rsidR="00FB2306">
        <w:rPr>
          <w:rFonts w:ascii="Book Antiqua" w:hAnsi="Book Antiqua" w:cs="Tahoma"/>
          <w:lang w:val="en-US"/>
        </w:rPr>
        <w:t>determines</w:t>
      </w:r>
      <w:r w:rsidR="005C5534">
        <w:rPr>
          <w:rFonts w:ascii="Book Antiqua" w:hAnsi="Book Antiqua" w:cs="Tahoma"/>
          <w:lang w:val="en-US"/>
        </w:rPr>
        <w:t xml:space="preserve"> </w:t>
      </w:r>
      <w:r w:rsidR="00FB2306">
        <w:rPr>
          <w:rFonts w:ascii="Book Antiqua" w:hAnsi="Book Antiqua" w:cs="Tahoma"/>
          <w:lang w:val="en-US"/>
        </w:rPr>
        <w:t xml:space="preserve">the direction of the change, </w:t>
      </w:r>
      <w:r w:rsidR="005C5534">
        <w:rPr>
          <w:rFonts w:ascii="Book Antiqua" w:hAnsi="Book Antiqua" w:cs="Tahoma"/>
          <w:lang w:val="en-US"/>
        </w:rPr>
        <w:t>and shouldn’t we look closer at outlying industries that ma</w:t>
      </w:r>
      <w:r w:rsidR="00FB2306">
        <w:rPr>
          <w:rFonts w:ascii="Book Antiqua" w:hAnsi="Book Antiqua" w:cs="Tahoma"/>
          <w:lang w:val="en-US"/>
        </w:rPr>
        <w:t xml:space="preserve">y have key role in the economy? </w:t>
      </w:r>
    </w:p>
    <w:p w:rsidR="00695157" w:rsidRDefault="0043297C" w:rsidP="009A4A24">
      <w:pPr>
        <w:spacing w:line="288" w:lineRule="auto"/>
        <w:ind w:firstLine="706"/>
        <w:jc w:val="both"/>
        <w:rPr>
          <w:rStyle w:val="apple-style-span"/>
          <w:rFonts w:ascii="Book Antiqua" w:hAnsi="Book Antiqua"/>
          <w:lang w:val="en-US"/>
        </w:rPr>
      </w:pPr>
      <w:r>
        <w:rPr>
          <w:rFonts w:ascii="Book Antiqua" w:hAnsi="Book Antiqua" w:cs="Tahoma"/>
          <w:lang w:val="en-US"/>
        </w:rPr>
        <w:t>The model cannot actually identify institutionally led structural changes</w:t>
      </w:r>
      <w:r w:rsidR="00F555EF">
        <w:rPr>
          <w:rFonts w:ascii="Book Antiqua" w:hAnsi="Book Antiqua" w:cs="Tahoma"/>
          <w:lang w:val="en-US"/>
        </w:rPr>
        <w:t>, as it came out</w:t>
      </w:r>
      <w:r w:rsidR="00B93F2B">
        <w:rPr>
          <w:rFonts w:ascii="Book Antiqua" w:hAnsi="Book Antiqua" w:cs="Tahoma"/>
          <w:lang w:val="en-US"/>
        </w:rPr>
        <w:t xml:space="preserve"> in the course of the research, but it can identify successfully changing countries and it incorporates matters of institutional character. </w:t>
      </w:r>
      <w:r w:rsidR="002E7B08">
        <w:rPr>
          <w:rFonts w:ascii="Book Antiqua" w:hAnsi="Book Antiqua" w:cs="Tahoma"/>
          <w:lang w:val="en-US"/>
        </w:rPr>
        <w:t xml:space="preserve">It works like a “necessary condition” not “sufficient condition” for recognizing </w:t>
      </w:r>
      <w:r w:rsidR="001E2472">
        <w:rPr>
          <w:rFonts w:ascii="Book Antiqua" w:hAnsi="Book Antiqua" w:cs="Tahoma"/>
          <w:lang w:val="en-US"/>
        </w:rPr>
        <w:t>institutional changes that lead to more efficient structure of the economy.</w:t>
      </w:r>
    </w:p>
    <w:p w:rsidR="00695389" w:rsidRPr="00D060C6" w:rsidRDefault="00695389" w:rsidP="00695389">
      <w:pPr>
        <w:spacing w:line="288" w:lineRule="auto"/>
        <w:jc w:val="both"/>
        <w:rPr>
          <w:rFonts w:ascii="Book Antiqua" w:hAnsi="Book Antiqua" w:cs="Tahoma"/>
          <w:lang w:val="en-GB"/>
        </w:rPr>
      </w:pPr>
    </w:p>
    <w:p w:rsidR="00695389" w:rsidRPr="00D060C6" w:rsidRDefault="00695389" w:rsidP="00695389">
      <w:pPr>
        <w:spacing w:line="288" w:lineRule="auto"/>
        <w:jc w:val="both"/>
        <w:rPr>
          <w:rStyle w:val="apple-style-span"/>
          <w:b/>
          <w:spacing w:val="10"/>
          <w:lang w:val="en-GB"/>
        </w:rPr>
      </w:pPr>
      <w:r w:rsidRPr="00D060C6">
        <w:rPr>
          <w:rStyle w:val="apple-style-span"/>
          <w:b/>
          <w:spacing w:val="10"/>
          <w:lang w:val="en-GB"/>
        </w:rPr>
        <w:t xml:space="preserve">7. CONCLUSIONS </w:t>
      </w:r>
    </w:p>
    <w:p w:rsidR="00695389" w:rsidRDefault="00695389" w:rsidP="00695389">
      <w:pPr>
        <w:spacing w:line="288" w:lineRule="auto"/>
        <w:jc w:val="both"/>
        <w:rPr>
          <w:rFonts w:ascii="Book Antiqua" w:hAnsi="Book Antiqua" w:cs="Tahoma"/>
        </w:rPr>
      </w:pPr>
    </w:p>
    <w:p w:rsidR="0045757E" w:rsidRPr="00D6303E" w:rsidRDefault="005A11F5" w:rsidP="0045757E">
      <w:pPr>
        <w:spacing w:line="288" w:lineRule="auto"/>
        <w:ind w:firstLine="706"/>
        <w:jc w:val="both"/>
        <w:rPr>
          <w:rFonts w:ascii="Book Antiqua" w:hAnsi="Book Antiqua" w:cs="Tahoma"/>
          <w:lang w:val="en-US"/>
        </w:rPr>
      </w:pPr>
      <w:r>
        <w:rPr>
          <w:rFonts w:ascii="Book Antiqua" w:hAnsi="Book Antiqua" w:cs="Tahoma"/>
          <w:lang w:val="en-US"/>
        </w:rPr>
        <w:t xml:space="preserve">In </w:t>
      </w:r>
      <w:r w:rsidRPr="00D6303E">
        <w:rPr>
          <w:rFonts w:ascii="Book Antiqua" w:hAnsi="Book Antiqua" w:cs="Tahoma"/>
          <w:lang w:val="en-US"/>
        </w:rPr>
        <w:t xml:space="preserve">this paper I create a </w:t>
      </w:r>
      <w:r w:rsidR="009E6C69" w:rsidRPr="00D6303E">
        <w:rPr>
          <w:rFonts w:ascii="Book Antiqua" w:hAnsi="Book Antiqua" w:cs="Tahoma"/>
          <w:lang w:val="en-US"/>
        </w:rPr>
        <w:t xml:space="preserve">partial </w:t>
      </w:r>
      <w:r w:rsidRPr="00D6303E">
        <w:rPr>
          <w:rFonts w:ascii="Book Antiqua" w:hAnsi="Book Antiqua" w:cs="Tahoma"/>
          <w:lang w:val="en-US"/>
        </w:rPr>
        <w:t xml:space="preserve">model for </w:t>
      </w:r>
      <w:r w:rsidR="00330C86" w:rsidRPr="00D6303E">
        <w:rPr>
          <w:rFonts w:ascii="Book Antiqua" w:hAnsi="Book Antiqua" w:cs="Tahoma"/>
          <w:lang w:val="en-US"/>
        </w:rPr>
        <w:t xml:space="preserve">analyzing </w:t>
      </w:r>
      <w:r w:rsidR="00A661E0" w:rsidRPr="00D6303E">
        <w:rPr>
          <w:rFonts w:ascii="Book Antiqua" w:hAnsi="Book Antiqua" w:cs="Tahoma"/>
          <w:lang w:val="en-US"/>
        </w:rPr>
        <w:t xml:space="preserve">the results from the </w:t>
      </w:r>
      <w:r w:rsidR="00772610" w:rsidRPr="00D6303E">
        <w:rPr>
          <w:rFonts w:ascii="Book Antiqua" w:hAnsi="Book Antiqua" w:cs="Tahoma"/>
          <w:lang w:val="en-US"/>
        </w:rPr>
        <w:t xml:space="preserve">interactions between </w:t>
      </w:r>
      <w:r w:rsidR="00A661E0" w:rsidRPr="00D6303E">
        <w:rPr>
          <w:rFonts w:ascii="Book Antiqua" w:hAnsi="Book Antiqua" w:cs="Tahoma"/>
          <w:lang w:val="en-US"/>
        </w:rPr>
        <w:t>institutional and technological changes that happen at economy-wide level. It uses nominal data and this is a modification in comparison with the original framew</w:t>
      </w:r>
      <w:r w:rsidR="00900077" w:rsidRPr="00D6303E">
        <w:rPr>
          <w:rFonts w:ascii="Book Antiqua" w:hAnsi="Book Antiqua" w:cs="Tahoma"/>
          <w:lang w:val="en-US"/>
        </w:rPr>
        <w:t xml:space="preserve">ork of Wallis and North (1994) for integration of these two types of changes. </w:t>
      </w:r>
      <w:r w:rsidR="00244B8B" w:rsidRPr="00D6303E">
        <w:rPr>
          <w:rFonts w:ascii="Book Antiqua" w:hAnsi="Book Antiqua" w:cs="Tahoma"/>
          <w:lang w:val="en-US"/>
        </w:rPr>
        <w:t xml:space="preserve">The core idea of this quantitative model is that the evolution of the institutions – whether they evolve efficiently or not – can be traced with transaction </w:t>
      </w:r>
      <w:r w:rsidR="00244B8B" w:rsidRPr="00D6303E">
        <w:rPr>
          <w:rFonts w:ascii="Book Antiqua" w:hAnsi="Book Antiqua" w:cs="Tahoma"/>
          <w:lang w:val="en-US"/>
        </w:rPr>
        <w:lastRenderedPageBreak/>
        <w:t xml:space="preserve">costs. </w:t>
      </w:r>
      <w:r w:rsidR="002A33D4" w:rsidRPr="00D6303E">
        <w:rPr>
          <w:rFonts w:ascii="Book Antiqua" w:hAnsi="Book Antiqua" w:cs="Tahoma"/>
          <w:lang w:val="en-US"/>
        </w:rPr>
        <w:t xml:space="preserve">This type of costs is explained with a traditional microeconomics simplification, the Robinson Crusoe economy. </w:t>
      </w:r>
    </w:p>
    <w:p w:rsidR="005A11F5" w:rsidRPr="00D6303E" w:rsidRDefault="00A142A0" w:rsidP="0045757E">
      <w:pPr>
        <w:spacing w:line="288" w:lineRule="auto"/>
        <w:ind w:firstLine="706"/>
        <w:jc w:val="both"/>
        <w:rPr>
          <w:rFonts w:ascii="Book Antiqua" w:hAnsi="Book Antiqua" w:cs="Tahoma"/>
          <w:lang w:val="en-US"/>
        </w:rPr>
      </w:pPr>
      <w:r w:rsidRPr="00D6303E">
        <w:rPr>
          <w:rFonts w:ascii="Book Antiqua" w:hAnsi="Book Antiqua" w:cs="Tahoma"/>
          <w:lang w:val="en-US"/>
        </w:rPr>
        <w:t xml:space="preserve">The input data come from an international database </w:t>
      </w:r>
      <w:r w:rsidR="009E6C69" w:rsidRPr="00D6303E">
        <w:rPr>
          <w:rFonts w:ascii="Book Antiqua" w:hAnsi="Book Antiqua" w:cs="Tahoma"/>
          <w:lang w:val="en-US"/>
        </w:rPr>
        <w:t xml:space="preserve">and this allows reliable inter-country comparisons. </w:t>
      </w:r>
      <w:r w:rsidR="000A1CA4" w:rsidRPr="00D6303E">
        <w:rPr>
          <w:rFonts w:ascii="Book Antiqua" w:hAnsi="Book Antiqua" w:cs="Tahoma"/>
          <w:lang w:val="en-US"/>
        </w:rPr>
        <w:t xml:space="preserve">The model is tested with 20 countries for two 5-years periods. </w:t>
      </w:r>
      <w:r w:rsidR="00F513A4" w:rsidRPr="00D6303E">
        <w:rPr>
          <w:rFonts w:ascii="Book Antiqua" w:hAnsi="Book Antiqua" w:cs="Tahoma"/>
          <w:lang w:val="en-US"/>
        </w:rPr>
        <w:t xml:space="preserve">The results reveal different patterns in the countries development, and receive their relevant explanation according to the model. </w:t>
      </w:r>
      <w:r w:rsidR="00D11229" w:rsidRPr="00D6303E">
        <w:rPr>
          <w:rFonts w:ascii="Book Antiqua" w:hAnsi="Book Antiqua" w:cs="Tahoma"/>
          <w:lang w:val="en-US"/>
        </w:rPr>
        <w:t>The model categories correspond to different interactions between institutional and techno</w:t>
      </w:r>
      <w:r w:rsidR="006C2D32" w:rsidRPr="00D6303E">
        <w:rPr>
          <w:rFonts w:ascii="Book Antiqua" w:hAnsi="Book Antiqua" w:cs="Tahoma"/>
          <w:lang w:val="en-US"/>
        </w:rPr>
        <w:t xml:space="preserve">logical changes in the economy. </w:t>
      </w:r>
      <w:r w:rsidR="00A475C2" w:rsidRPr="00D6303E">
        <w:rPr>
          <w:rFonts w:ascii="Book Antiqua" w:hAnsi="Book Antiqua" w:cs="Tahoma"/>
          <w:lang w:val="en-US"/>
        </w:rPr>
        <w:t xml:space="preserve">Examples of successful and unsuccessful structural changes </w:t>
      </w:r>
      <w:r w:rsidR="00F5788C" w:rsidRPr="00D6303E">
        <w:rPr>
          <w:rFonts w:ascii="Book Antiqua" w:hAnsi="Book Antiqua" w:cs="Tahoma"/>
          <w:lang w:val="en-US"/>
        </w:rPr>
        <w:t xml:space="preserve">(Slovenia and France) are given. </w:t>
      </w:r>
      <w:r w:rsidR="00772610" w:rsidRPr="00D6303E">
        <w:rPr>
          <w:rFonts w:ascii="Book Antiqua" w:hAnsi="Book Antiqua" w:cs="Tahoma"/>
          <w:lang w:val="en-US"/>
        </w:rPr>
        <w:t xml:space="preserve">Cases of countries that do not fall in the categories of the model </w:t>
      </w:r>
      <w:r w:rsidR="00D95805" w:rsidRPr="00D6303E">
        <w:rPr>
          <w:rFonts w:ascii="Book Antiqua" w:hAnsi="Book Antiqua" w:cs="Tahoma"/>
          <w:lang w:val="en-US"/>
        </w:rPr>
        <w:t xml:space="preserve">can still be interpreted as lack of interactions between the industries that are responsible for transmitting the technological and the institutional changes in the economy. </w:t>
      </w:r>
    </w:p>
    <w:p w:rsidR="00591631" w:rsidRDefault="007577A7" w:rsidP="00656867">
      <w:pPr>
        <w:spacing w:line="288" w:lineRule="auto"/>
        <w:ind w:firstLine="706"/>
        <w:jc w:val="both"/>
        <w:rPr>
          <w:rStyle w:val="apple-style-span"/>
          <w:rFonts w:ascii="Book Antiqua" w:hAnsi="Book Antiqua"/>
          <w:lang w:val="en-US"/>
        </w:rPr>
      </w:pPr>
      <w:r>
        <w:rPr>
          <w:rStyle w:val="apple-style-span"/>
          <w:rFonts w:ascii="Book Antiqua" w:hAnsi="Book Antiqua"/>
          <w:lang w:val="en-US"/>
        </w:rPr>
        <w:t xml:space="preserve">The model cannot distinguish between technological and institutional impulses for the structural changes in the economy. </w:t>
      </w:r>
      <w:r w:rsidR="00751EF0">
        <w:rPr>
          <w:rStyle w:val="apple-style-span"/>
          <w:rFonts w:ascii="Book Antiqua" w:hAnsi="Book Antiqua"/>
          <w:lang w:val="en-US"/>
        </w:rPr>
        <w:t xml:space="preserve">It can identify if the consequences from these different impulses are synchronized and if this led to improvement in the </w:t>
      </w:r>
      <w:r w:rsidR="0095483D">
        <w:rPr>
          <w:rStyle w:val="apple-style-span"/>
          <w:rFonts w:ascii="Book Antiqua" w:hAnsi="Book Antiqua"/>
          <w:lang w:val="en-US"/>
        </w:rPr>
        <w:t xml:space="preserve">overall </w:t>
      </w:r>
      <w:r w:rsidR="00751EF0">
        <w:rPr>
          <w:rStyle w:val="apple-style-span"/>
          <w:rFonts w:ascii="Book Antiqua" w:hAnsi="Book Antiqua"/>
          <w:lang w:val="en-US"/>
        </w:rPr>
        <w:t xml:space="preserve">efficiency </w:t>
      </w:r>
      <w:r w:rsidR="0095483D">
        <w:rPr>
          <w:rStyle w:val="apple-style-span"/>
          <w:rFonts w:ascii="Book Antiqua" w:hAnsi="Book Antiqua"/>
          <w:lang w:val="en-US"/>
        </w:rPr>
        <w:t xml:space="preserve">of the economy. </w:t>
      </w:r>
      <w:r w:rsidR="008D47C9">
        <w:rPr>
          <w:rStyle w:val="apple-style-span"/>
          <w:rFonts w:ascii="Book Antiqua" w:hAnsi="Book Antiqua"/>
          <w:lang w:val="en-US"/>
        </w:rPr>
        <w:t xml:space="preserve">Also, it discerns economies with sluggish sectors that might fail the whole system in its future </w:t>
      </w:r>
      <w:r w:rsidR="00C10A32">
        <w:rPr>
          <w:rStyle w:val="apple-style-span"/>
          <w:rFonts w:ascii="Book Antiqua" w:hAnsi="Book Antiqua"/>
          <w:lang w:val="en-US"/>
        </w:rPr>
        <w:t xml:space="preserve">development. </w:t>
      </w:r>
    </w:p>
    <w:p w:rsidR="00C10A32" w:rsidRDefault="00C10A32" w:rsidP="00656867">
      <w:pPr>
        <w:spacing w:line="288" w:lineRule="auto"/>
        <w:ind w:firstLine="706"/>
        <w:jc w:val="both"/>
        <w:rPr>
          <w:rStyle w:val="apple-style-span"/>
          <w:rFonts w:ascii="Book Antiqua" w:hAnsi="Book Antiqua"/>
          <w:lang w:val="en-US"/>
        </w:rPr>
      </w:pPr>
      <w:r>
        <w:rPr>
          <w:rStyle w:val="apple-style-span"/>
          <w:rFonts w:ascii="Book Antiqua" w:hAnsi="Book Antiqua"/>
          <w:lang w:val="en-US"/>
        </w:rPr>
        <w:t xml:space="preserve">More or less, the model works descriptively. It uses quantitative information to cluster economic performances and to ease the institutional analysis </w:t>
      </w:r>
      <w:r w:rsidR="00AE7869">
        <w:rPr>
          <w:rStyle w:val="apple-style-span"/>
          <w:rFonts w:ascii="Book Antiqua" w:hAnsi="Book Antiqua"/>
          <w:lang w:val="en-US"/>
        </w:rPr>
        <w:t xml:space="preserve">coming </w:t>
      </w:r>
      <w:r>
        <w:rPr>
          <w:rStyle w:val="apple-style-span"/>
          <w:rFonts w:ascii="Book Antiqua" w:hAnsi="Book Antiqua"/>
          <w:lang w:val="en-US"/>
        </w:rPr>
        <w:t xml:space="preserve">afterwards. </w:t>
      </w:r>
      <w:r w:rsidR="00244B8B">
        <w:rPr>
          <w:rStyle w:val="apple-style-span"/>
          <w:rFonts w:ascii="Book Antiqua" w:hAnsi="Book Antiqua"/>
          <w:lang w:val="en-US"/>
        </w:rPr>
        <w:t>In order to explain and to predict, this partial model should b</w:t>
      </w:r>
      <w:r w:rsidR="002E257D">
        <w:rPr>
          <w:rStyle w:val="apple-style-span"/>
          <w:rFonts w:ascii="Book Antiqua" w:hAnsi="Book Antiqua"/>
          <w:lang w:val="en-US"/>
        </w:rPr>
        <w:t xml:space="preserve">e </w:t>
      </w:r>
      <w:r w:rsidR="00225C01">
        <w:rPr>
          <w:rStyle w:val="apple-style-span"/>
          <w:rFonts w:ascii="Book Antiqua" w:hAnsi="Book Antiqua"/>
          <w:lang w:val="en-US"/>
        </w:rPr>
        <w:t xml:space="preserve">upgraded into the level of a Social Accounting Matrix. </w:t>
      </w:r>
      <w:r w:rsidR="003413E0">
        <w:rPr>
          <w:rStyle w:val="apple-style-span"/>
          <w:rFonts w:ascii="Book Antiqua" w:hAnsi="Book Antiqua"/>
          <w:lang w:val="en-US"/>
        </w:rPr>
        <w:t xml:space="preserve">It needs to include information for the types of professions/occupations in the industries and how different types of households earn and spend their incomes. It also needs </w:t>
      </w:r>
      <w:r w:rsidR="0083694E">
        <w:rPr>
          <w:rStyle w:val="apple-style-span"/>
          <w:rFonts w:ascii="Book Antiqua" w:hAnsi="Book Antiqua"/>
          <w:lang w:val="en-US"/>
        </w:rPr>
        <w:t xml:space="preserve">the Government sector to be introduced. </w:t>
      </w:r>
    </w:p>
    <w:p w:rsidR="000A7C38" w:rsidRDefault="00C00F60" w:rsidP="00E93F30">
      <w:pPr>
        <w:spacing w:line="288" w:lineRule="auto"/>
        <w:ind w:firstLine="706"/>
        <w:jc w:val="both"/>
        <w:rPr>
          <w:rStyle w:val="apple-style-span"/>
          <w:rFonts w:ascii="Book Antiqua" w:hAnsi="Book Antiqua"/>
          <w:lang w:val="en-US"/>
        </w:rPr>
      </w:pPr>
      <w:r>
        <w:rPr>
          <w:rStyle w:val="apple-style-span"/>
          <w:rFonts w:ascii="Book Antiqua" w:hAnsi="Book Antiqua"/>
          <w:lang w:val="en-US"/>
        </w:rPr>
        <w:t>Beside the analysis of effi</w:t>
      </w:r>
      <w:r w:rsidR="0038020C">
        <w:rPr>
          <w:rStyle w:val="apple-style-span"/>
          <w:rFonts w:ascii="Book Antiqua" w:hAnsi="Book Antiqua"/>
          <w:lang w:val="en-US"/>
        </w:rPr>
        <w:t>ciency changes, such a model could</w:t>
      </w:r>
      <w:r>
        <w:rPr>
          <w:rStyle w:val="apple-style-span"/>
          <w:rFonts w:ascii="Book Antiqua" w:hAnsi="Book Antiqua"/>
          <w:lang w:val="en-US"/>
        </w:rPr>
        <w:t xml:space="preserve"> explain issues relating to foreign trade and inflation</w:t>
      </w:r>
      <w:r w:rsidR="000A7C38">
        <w:rPr>
          <w:rStyle w:val="apple-style-span"/>
          <w:rFonts w:ascii="Book Antiqua" w:hAnsi="Book Antiqua"/>
          <w:lang w:val="en-US"/>
        </w:rPr>
        <w:t>.</w:t>
      </w:r>
    </w:p>
    <w:p w:rsidR="000A7C38" w:rsidRDefault="00C00F60" w:rsidP="00E93F30">
      <w:pPr>
        <w:spacing w:line="288" w:lineRule="auto"/>
        <w:ind w:firstLine="706"/>
        <w:jc w:val="both"/>
        <w:rPr>
          <w:rStyle w:val="apple-style-span"/>
          <w:rFonts w:ascii="Book Antiqua" w:hAnsi="Book Antiqua"/>
          <w:lang w:val="en-US"/>
        </w:rPr>
        <w:sectPr w:rsidR="000A7C38" w:rsidSect="00224E17">
          <w:pgSz w:w="11906" w:h="16838"/>
          <w:pgMar w:top="1411" w:right="1411" w:bottom="1411" w:left="1411" w:header="706" w:footer="706" w:gutter="0"/>
          <w:cols w:space="708"/>
          <w:docGrid w:linePitch="360"/>
        </w:sectPr>
      </w:pPr>
      <w:r>
        <w:rPr>
          <w:rStyle w:val="apple-style-span"/>
          <w:rFonts w:ascii="Book Antiqua" w:hAnsi="Book Antiqua"/>
          <w:lang w:val="en-US"/>
        </w:rPr>
        <w:t xml:space="preserve"> </w:t>
      </w:r>
    </w:p>
    <w:p w:rsidR="00695389" w:rsidRPr="00D060C6" w:rsidRDefault="00695389" w:rsidP="00695389">
      <w:pPr>
        <w:spacing w:line="288" w:lineRule="auto"/>
        <w:jc w:val="both"/>
        <w:rPr>
          <w:rFonts w:ascii="Book Antiqua" w:hAnsi="Book Antiqua" w:cs="Tahoma"/>
          <w:b/>
          <w:i/>
          <w:spacing w:val="20"/>
          <w:lang w:val="en-GB"/>
        </w:rPr>
      </w:pPr>
      <w:r w:rsidRPr="00D060C6">
        <w:rPr>
          <w:rFonts w:ascii="Book Antiqua" w:hAnsi="Book Antiqua" w:cs="Tahoma"/>
          <w:b/>
          <w:i/>
          <w:spacing w:val="20"/>
          <w:lang w:val="en-GB"/>
        </w:rPr>
        <w:lastRenderedPageBreak/>
        <w:t>References</w:t>
      </w:r>
    </w:p>
    <w:p w:rsidR="00695389" w:rsidRPr="00D060C6" w:rsidRDefault="00695389" w:rsidP="00695389">
      <w:pPr>
        <w:spacing w:line="288" w:lineRule="auto"/>
        <w:ind w:left="706" w:hanging="706"/>
        <w:jc w:val="both"/>
        <w:rPr>
          <w:rFonts w:ascii="Book Antiqua" w:hAnsi="Book Antiqua" w:cs="Tahoma"/>
          <w:lang w:val="en-GB"/>
        </w:rPr>
      </w:pPr>
      <w:r w:rsidRPr="00BB4539">
        <w:rPr>
          <w:rFonts w:ascii="Book Antiqua" w:hAnsi="Book Antiqua" w:cs="Tahoma"/>
          <w:lang w:val="en-GB"/>
        </w:rPr>
        <w:t>Arrow, K.</w:t>
      </w:r>
      <w:r w:rsidR="00BB4539">
        <w:rPr>
          <w:rFonts w:ascii="Book Antiqua" w:hAnsi="Book Antiqua" w:cs="Tahoma"/>
          <w:lang w:val="en-GB"/>
        </w:rPr>
        <w:t xml:space="preserve"> (1969) </w:t>
      </w:r>
      <w:proofErr w:type="gramStart"/>
      <w:r w:rsidRPr="00D060C6">
        <w:rPr>
          <w:rFonts w:ascii="Book Antiqua" w:hAnsi="Book Antiqua" w:cs="Tahoma"/>
          <w:lang w:val="en-GB"/>
        </w:rPr>
        <w:t>The</w:t>
      </w:r>
      <w:proofErr w:type="gramEnd"/>
      <w:r w:rsidRPr="00D060C6">
        <w:rPr>
          <w:rFonts w:ascii="Book Antiqua" w:hAnsi="Book Antiqua" w:cs="Tahoma"/>
          <w:lang w:val="en-GB"/>
        </w:rPr>
        <w:t xml:space="preserve"> organization of economic activity: Issues pertinent to the choice of market versus non-market allocation. In: U.S. Joint Economic Committee (eds.), </w:t>
      </w:r>
      <w:proofErr w:type="gramStart"/>
      <w:r w:rsidRPr="00CB6E16">
        <w:rPr>
          <w:rFonts w:ascii="Book Antiqua" w:hAnsi="Book Antiqua" w:cs="Tahoma"/>
          <w:i/>
          <w:lang w:val="en-GB"/>
        </w:rPr>
        <w:t>The</w:t>
      </w:r>
      <w:proofErr w:type="gramEnd"/>
      <w:r w:rsidRPr="00CB6E16">
        <w:rPr>
          <w:rFonts w:ascii="Book Antiqua" w:hAnsi="Book Antiqua" w:cs="Tahoma"/>
          <w:i/>
          <w:lang w:val="en-GB"/>
        </w:rPr>
        <w:t xml:space="preserve"> Analysis and Evaluation of Public Expenditure: The PPB System</w:t>
      </w:r>
      <w:r w:rsidR="00CB6E16">
        <w:rPr>
          <w:rFonts w:ascii="Book Antiqua" w:hAnsi="Book Antiqua" w:cs="Tahoma"/>
          <w:lang w:val="en-GB"/>
        </w:rPr>
        <w:t xml:space="preserve">. </w:t>
      </w:r>
      <w:r w:rsidRPr="00D060C6">
        <w:rPr>
          <w:rFonts w:ascii="Book Antiqua" w:hAnsi="Book Antiqua" w:cs="Tahoma"/>
          <w:lang w:val="en-GB"/>
        </w:rPr>
        <w:t>U.S. Government Print</w:t>
      </w:r>
      <w:r w:rsidR="00CB6E16">
        <w:rPr>
          <w:rFonts w:ascii="Book Antiqua" w:hAnsi="Book Antiqua" w:cs="Tahoma"/>
          <w:lang w:val="en-GB"/>
        </w:rPr>
        <w:t xml:space="preserve">ing Office, Washington, D.C., </w:t>
      </w:r>
      <w:r w:rsidR="00CB6E16" w:rsidRPr="00D060C6">
        <w:rPr>
          <w:rFonts w:ascii="Book Antiqua" w:hAnsi="Book Antiqua" w:cs="Tahoma"/>
          <w:lang w:val="en-GB"/>
        </w:rPr>
        <w:t>59–73</w:t>
      </w:r>
      <w:r w:rsidR="00CB6E16">
        <w:rPr>
          <w:rFonts w:ascii="Book Antiqua" w:hAnsi="Book Antiqua" w:cs="Tahoma"/>
          <w:lang w:val="en-GB"/>
        </w:rPr>
        <w:t>.</w:t>
      </w:r>
    </w:p>
    <w:p w:rsidR="00695389" w:rsidRPr="00D060C6" w:rsidRDefault="00695389" w:rsidP="00695389">
      <w:pPr>
        <w:spacing w:line="288" w:lineRule="auto"/>
        <w:ind w:left="706" w:hanging="706"/>
        <w:jc w:val="both"/>
        <w:rPr>
          <w:rFonts w:ascii="Book Antiqua" w:hAnsi="Book Antiqua" w:cs="Tahoma"/>
          <w:lang w:val="en-GB"/>
        </w:rPr>
      </w:pPr>
      <w:r w:rsidRPr="00D060C6">
        <w:rPr>
          <w:rFonts w:ascii="Book Antiqua" w:hAnsi="Book Antiqua" w:cs="Tahoma"/>
          <w:lang w:val="en-GB"/>
        </w:rPr>
        <w:t xml:space="preserve">Chobanov, G. and H. Egbert (2007) </w:t>
      </w:r>
      <w:proofErr w:type="gramStart"/>
      <w:r w:rsidRPr="00D060C6">
        <w:rPr>
          <w:rFonts w:ascii="Book Antiqua" w:hAnsi="Book Antiqua" w:cs="Tahoma"/>
          <w:lang w:val="en-GB"/>
        </w:rPr>
        <w:t>The</w:t>
      </w:r>
      <w:proofErr w:type="gramEnd"/>
      <w:r w:rsidRPr="00D060C6">
        <w:rPr>
          <w:rFonts w:ascii="Book Antiqua" w:hAnsi="Book Antiqua" w:cs="Tahoma"/>
          <w:lang w:val="en-GB"/>
        </w:rPr>
        <w:t xml:space="preserve"> rise of the transaction sector in the Bulgarian economy. </w:t>
      </w:r>
      <w:r w:rsidRPr="00D060C6">
        <w:rPr>
          <w:rFonts w:ascii="Book Antiqua" w:hAnsi="Book Antiqua" w:cs="Tahoma"/>
          <w:i/>
          <w:lang w:val="en-GB"/>
        </w:rPr>
        <w:t>Comparative Economic Studies</w:t>
      </w:r>
      <w:r w:rsidRPr="00D060C6">
        <w:rPr>
          <w:rFonts w:ascii="Book Antiqua" w:hAnsi="Book Antiqua" w:cs="Tahoma"/>
          <w:lang w:val="en-GB"/>
        </w:rPr>
        <w:t xml:space="preserve">, 49, 683-698. </w:t>
      </w:r>
    </w:p>
    <w:p w:rsidR="00695389" w:rsidRPr="00D060C6" w:rsidRDefault="00695389" w:rsidP="00695389">
      <w:pPr>
        <w:spacing w:line="288" w:lineRule="auto"/>
        <w:ind w:left="706" w:hanging="706"/>
        <w:jc w:val="both"/>
        <w:rPr>
          <w:rFonts w:ascii="Book Antiqua" w:hAnsi="Book Antiqua" w:cs="Tahoma"/>
          <w:lang w:val="en-GB"/>
        </w:rPr>
      </w:pPr>
      <w:proofErr w:type="spellStart"/>
      <w:r w:rsidRPr="00D060C6">
        <w:rPr>
          <w:rFonts w:ascii="Book Antiqua" w:hAnsi="Book Antiqua" w:cs="Tahoma"/>
          <w:lang w:val="en-GB"/>
        </w:rPr>
        <w:t>Dagnino-Pastore</w:t>
      </w:r>
      <w:proofErr w:type="spellEnd"/>
      <w:r w:rsidRPr="00D060C6">
        <w:rPr>
          <w:rFonts w:ascii="Book Antiqua" w:hAnsi="Book Antiqua" w:cs="Tahoma"/>
          <w:lang w:val="en-GB"/>
        </w:rPr>
        <w:t xml:space="preserve">, J.M. and P.E. Farina (1999) Transaction costs in Argentina. </w:t>
      </w:r>
      <w:r w:rsidRPr="00D060C6">
        <w:rPr>
          <w:rFonts w:ascii="Book Antiqua" w:hAnsi="Book Antiqua" w:cs="Tahoma"/>
          <w:i/>
          <w:lang w:val="en-GB"/>
        </w:rPr>
        <w:t>3-</w:t>
      </w:r>
      <w:r w:rsidRPr="00D060C6">
        <w:rPr>
          <w:rFonts w:ascii="Book Antiqua" w:hAnsi="Book Antiqua" w:cs="Tahoma"/>
          <w:i/>
          <w:vertAlign w:val="superscript"/>
          <w:lang w:val="en-GB"/>
        </w:rPr>
        <w:t>rd</w:t>
      </w:r>
      <w:r w:rsidRPr="00D060C6">
        <w:rPr>
          <w:rFonts w:ascii="Book Antiqua" w:hAnsi="Book Antiqua" w:cs="Tahoma"/>
          <w:i/>
          <w:lang w:val="en-GB"/>
        </w:rPr>
        <w:t xml:space="preserve"> Annual Conference of the International Society for New Institutional Economics</w:t>
      </w:r>
      <w:r w:rsidRPr="00D060C6">
        <w:rPr>
          <w:rFonts w:ascii="Book Antiqua" w:hAnsi="Book Antiqua" w:cs="Tahoma"/>
          <w:lang w:val="en-GB"/>
        </w:rPr>
        <w:t xml:space="preserve">, Washington, USA 16-18 September 1999. </w:t>
      </w:r>
    </w:p>
    <w:p w:rsidR="00695389" w:rsidRPr="00D060C6" w:rsidRDefault="00695389" w:rsidP="00695389">
      <w:pPr>
        <w:spacing w:line="288" w:lineRule="auto"/>
        <w:ind w:left="706" w:hanging="706"/>
        <w:jc w:val="both"/>
        <w:rPr>
          <w:rFonts w:ascii="Book Antiqua" w:hAnsi="Book Antiqua" w:cs="Tahoma"/>
          <w:lang w:val="en-GB"/>
        </w:rPr>
      </w:pPr>
      <w:proofErr w:type="spellStart"/>
      <w:proofErr w:type="gramStart"/>
      <w:r w:rsidRPr="00D060C6">
        <w:rPr>
          <w:rFonts w:ascii="Book Antiqua" w:hAnsi="Book Antiqua" w:cs="Tahoma"/>
          <w:lang w:val="en-GB"/>
        </w:rPr>
        <w:t>Dollery</w:t>
      </w:r>
      <w:proofErr w:type="spellEnd"/>
      <w:r w:rsidRPr="00D060C6">
        <w:rPr>
          <w:rFonts w:ascii="Book Antiqua" w:hAnsi="Book Antiqua" w:cs="Tahoma"/>
          <w:lang w:val="en-GB"/>
        </w:rPr>
        <w:t>, B.E. and W.H. Leong (1998) Measuring the transaction sector in the Australian economy 1911 – 1991.</w:t>
      </w:r>
      <w:proofErr w:type="gramEnd"/>
      <w:r w:rsidR="00BB4539">
        <w:rPr>
          <w:rFonts w:ascii="Book Antiqua" w:hAnsi="Book Antiqua" w:cs="Tahoma"/>
          <w:lang w:val="en-GB"/>
        </w:rPr>
        <w:t xml:space="preserve"> </w:t>
      </w:r>
      <w:r w:rsidRPr="00D060C6">
        <w:rPr>
          <w:rFonts w:ascii="Book Antiqua" w:hAnsi="Book Antiqua" w:cs="Tahoma"/>
          <w:i/>
          <w:lang w:val="en-GB"/>
        </w:rPr>
        <w:t>Australian Economic History Review</w:t>
      </w:r>
      <w:r w:rsidRPr="00D060C6">
        <w:rPr>
          <w:rFonts w:ascii="Book Antiqua" w:hAnsi="Book Antiqua" w:cs="Tahoma"/>
          <w:lang w:val="en-GB"/>
        </w:rPr>
        <w:t>, 38 (3), 207-231.</w:t>
      </w:r>
    </w:p>
    <w:p w:rsidR="00695389" w:rsidRPr="00D060C6" w:rsidRDefault="00695389" w:rsidP="00695389">
      <w:pPr>
        <w:spacing w:line="288" w:lineRule="auto"/>
        <w:ind w:left="706" w:hanging="706"/>
        <w:jc w:val="both"/>
        <w:rPr>
          <w:rFonts w:ascii="Book Antiqua" w:hAnsi="Book Antiqua" w:cs="Tahoma"/>
          <w:lang w:val="en-GB"/>
        </w:rPr>
      </w:pPr>
      <w:proofErr w:type="gramStart"/>
      <w:r w:rsidRPr="00D060C6">
        <w:rPr>
          <w:rFonts w:ascii="Book Antiqua" w:hAnsi="Book Antiqua" w:cs="Tahoma"/>
          <w:lang w:val="en-GB"/>
        </w:rPr>
        <w:t>Egbert, H., Ivanova, M. and G. Chobanov (2010) New data on the Bulgarian transaction sector: 1997 – 2006.</w:t>
      </w:r>
      <w:proofErr w:type="gramEnd"/>
      <w:r w:rsidRPr="00D060C6">
        <w:rPr>
          <w:rFonts w:ascii="Book Antiqua" w:hAnsi="Book Antiqua" w:cs="Tahoma"/>
          <w:lang w:val="en-GB"/>
        </w:rPr>
        <w:t xml:space="preserve"> In: Chobanov, G., </w:t>
      </w:r>
      <w:proofErr w:type="spellStart"/>
      <w:r w:rsidRPr="00D060C6">
        <w:rPr>
          <w:rFonts w:ascii="Book Antiqua" w:hAnsi="Book Antiqua" w:cs="Tahoma"/>
          <w:lang w:val="en-GB"/>
        </w:rPr>
        <w:t>Plöhn</w:t>
      </w:r>
      <w:proofErr w:type="spellEnd"/>
      <w:r w:rsidRPr="00D060C6">
        <w:rPr>
          <w:rFonts w:ascii="Book Antiqua" w:hAnsi="Book Antiqua" w:cs="Tahoma"/>
          <w:lang w:val="en-GB"/>
        </w:rPr>
        <w:t xml:space="preserve">, J. and </w:t>
      </w:r>
      <w:proofErr w:type="spellStart"/>
      <w:r w:rsidRPr="00D060C6">
        <w:rPr>
          <w:rFonts w:ascii="Book Antiqua" w:hAnsi="Book Antiqua" w:cs="Tahoma"/>
          <w:lang w:val="en-GB"/>
        </w:rPr>
        <w:t>Schellhaass</w:t>
      </w:r>
      <w:proofErr w:type="spellEnd"/>
      <w:r w:rsidRPr="00D060C6">
        <w:rPr>
          <w:rFonts w:ascii="Book Antiqua" w:hAnsi="Book Antiqua" w:cs="Tahoma"/>
          <w:lang w:val="en-GB"/>
        </w:rPr>
        <w:t xml:space="preserve">, H. (eds.), </w:t>
      </w:r>
      <w:r w:rsidRPr="00D060C6">
        <w:rPr>
          <w:rFonts w:ascii="Book Antiqua" w:hAnsi="Book Antiqua" w:cs="Tahoma"/>
          <w:i/>
          <w:lang w:val="en-GB"/>
        </w:rPr>
        <w:t>Policies of Economic and Social Development in Europe</w:t>
      </w:r>
      <w:r w:rsidRPr="00D060C6">
        <w:rPr>
          <w:rFonts w:ascii="Book Antiqua" w:hAnsi="Book Antiqua" w:cs="Tahoma"/>
          <w:lang w:val="en-GB"/>
        </w:rPr>
        <w:t>. Lang, Frankfurt, 115-126.</w:t>
      </w:r>
    </w:p>
    <w:p w:rsidR="0069588C" w:rsidRDefault="0069588C" w:rsidP="00695389">
      <w:pPr>
        <w:spacing w:line="288" w:lineRule="auto"/>
        <w:ind w:left="706" w:hanging="706"/>
        <w:jc w:val="both"/>
        <w:rPr>
          <w:rFonts w:ascii="Book Antiqua" w:hAnsi="Book Antiqua" w:cs="Tahoma"/>
          <w:lang w:val="en-GB"/>
        </w:rPr>
      </w:pPr>
      <w:r>
        <w:rPr>
          <w:rFonts w:ascii="Book Antiqua" w:hAnsi="Book Antiqua" w:cs="Tahoma"/>
          <w:lang w:val="en-GB"/>
        </w:rPr>
        <w:t xml:space="preserve">Egbert, H. and M. Ivanova (2009) </w:t>
      </w:r>
      <w:r w:rsidRPr="0069588C">
        <w:rPr>
          <w:rFonts w:ascii="Book Antiqua" w:hAnsi="Book Antiqua" w:cs="Tahoma"/>
          <w:lang w:val="en-GB"/>
        </w:rPr>
        <w:t xml:space="preserve">Transaction Employment in the </w:t>
      </w:r>
      <w:r w:rsidR="002E3E57">
        <w:rPr>
          <w:rFonts w:ascii="Book Antiqua" w:hAnsi="Book Antiqua" w:cs="Tahoma"/>
          <w:lang w:val="en-GB"/>
        </w:rPr>
        <w:t xml:space="preserve">USA and Bulgaria 1997 to 2006. </w:t>
      </w:r>
      <w:r w:rsidRPr="002E3E57">
        <w:rPr>
          <w:rFonts w:ascii="Book Antiqua" w:hAnsi="Book Antiqua" w:cs="Tahoma"/>
          <w:i/>
          <w:lang w:val="en-GB"/>
        </w:rPr>
        <w:t>12th International annual conference: Discrepancies in Economic and Social Development in Europe</w:t>
      </w:r>
      <w:r w:rsidRPr="0069588C">
        <w:rPr>
          <w:rFonts w:ascii="Book Antiqua" w:hAnsi="Book Antiqua" w:cs="Tahoma"/>
          <w:lang w:val="en-GB"/>
        </w:rPr>
        <w:t>, Sofia, Bulgaria 9-10 October 2009.</w:t>
      </w:r>
      <w:r>
        <w:rPr>
          <w:rFonts w:ascii="Book Antiqua" w:hAnsi="Book Antiqua" w:cs="Tahoma"/>
          <w:lang w:val="en-GB"/>
        </w:rPr>
        <w:t xml:space="preserve"> </w:t>
      </w:r>
    </w:p>
    <w:p w:rsidR="00695389" w:rsidRPr="00D060C6" w:rsidRDefault="00695389" w:rsidP="00695389">
      <w:pPr>
        <w:spacing w:line="288" w:lineRule="auto"/>
        <w:ind w:left="706" w:hanging="706"/>
        <w:jc w:val="both"/>
        <w:rPr>
          <w:rFonts w:ascii="Book Antiqua" w:hAnsi="Book Antiqua" w:cs="Tahoma"/>
          <w:lang w:val="en-GB"/>
        </w:rPr>
      </w:pPr>
      <w:proofErr w:type="spellStart"/>
      <w:r w:rsidRPr="00D060C6">
        <w:rPr>
          <w:rFonts w:ascii="Book Antiqua" w:hAnsi="Book Antiqua" w:cs="Tahoma"/>
          <w:lang w:val="en-GB"/>
        </w:rPr>
        <w:t>Hazledine</w:t>
      </w:r>
      <w:proofErr w:type="spellEnd"/>
      <w:r w:rsidRPr="00D060C6">
        <w:rPr>
          <w:rFonts w:ascii="Book Antiqua" w:hAnsi="Book Antiqua" w:cs="Tahoma"/>
          <w:lang w:val="en-GB"/>
        </w:rPr>
        <w:t xml:space="preserve">, T. (2001) Measuring the New Zealand transaction sector, 1956-98, with an Australian comparison. </w:t>
      </w:r>
      <w:r w:rsidRPr="00D060C6">
        <w:rPr>
          <w:rFonts w:ascii="Book Antiqua" w:hAnsi="Book Antiqua" w:cs="Tahoma"/>
          <w:i/>
          <w:lang w:val="en-GB"/>
        </w:rPr>
        <w:t>New Zealand Economic Papers</w:t>
      </w:r>
      <w:r w:rsidRPr="00D060C6">
        <w:rPr>
          <w:rFonts w:ascii="Book Antiqua" w:hAnsi="Book Antiqua" w:cs="Tahoma"/>
          <w:lang w:val="en-GB"/>
        </w:rPr>
        <w:t>, 35 (1), 77-100.</w:t>
      </w:r>
    </w:p>
    <w:p w:rsidR="00340E23" w:rsidRDefault="00340E23" w:rsidP="00695389">
      <w:pPr>
        <w:spacing w:line="288" w:lineRule="auto"/>
        <w:ind w:left="706" w:hanging="706"/>
        <w:jc w:val="both"/>
        <w:rPr>
          <w:rFonts w:ascii="Book Antiqua" w:hAnsi="Book Antiqua" w:cs="Tahoma"/>
          <w:lang w:val="en-GB"/>
        </w:rPr>
      </w:pPr>
      <w:r>
        <w:rPr>
          <w:rFonts w:ascii="Book Antiqua" w:hAnsi="Book Antiqua" w:cs="Tahoma"/>
          <w:lang w:val="en-GB"/>
        </w:rPr>
        <w:t xml:space="preserve">Miller, R. and P. Blair (2009) </w:t>
      </w:r>
      <w:r w:rsidRPr="00340E23">
        <w:rPr>
          <w:rFonts w:ascii="Book Antiqua" w:hAnsi="Book Antiqua" w:cs="Tahoma"/>
          <w:lang w:val="en-GB"/>
        </w:rPr>
        <w:t>Input-Output Analysis: Foundations and Extensions</w:t>
      </w:r>
      <w:r w:rsidR="00EF73BD">
        <w:rPr>
          <w:rFonts w:ascii="Book Antiqua" w:hAnsi="Book Antiqua" w:cs="Tahoma"/>
          <w:lang w:val="en-GB"/>
        </w:rPr>
        <w:t xml:space="preserve"> (2</w:t>
      </w:r>
      <w:r w:rsidR="00EF73BD" w:rsidRPr="00EF73BD">
        <w:rPr>
          <w:rFonts w:ascii="Book Antiqua" w:hAnsi="Book Antiqua" w:cs="Tahoma"/>
          <w:vertAlign w:val="superscript"/>
          <w:lang w:val="en-GB"/>
        </w:rPr>
        <w:t>-d</w:t>
      </w:r>
      <w:r w:rsidR="00EF73BD">
        <w:rPr>
          <w:rFonts w:ascii="Book Antiqua" w:hAnsi="Book Antiqua" w:cs="Tahoma"/>
          <w:lang w:val="en-GB"/>
        </w:rPr>
        <w:t xml:space="preserve"> </w:t>
      </w:r>
      <w:proofErr w:type="gramStart"/>
      <w:r w:rsidR="00EF73BD">
        <w:rPr>
          <w:rFonts w:ascii="Book Antiqua" w:hAnsi="Book Antiqua" w:cs="Tahoma"/>
          <w:lang w:val="en-GB"/>
        </w:rPr>
        <w:t>ed</w:t>
      </w:r>
      <w:proofErr w:type="gramEnd"/>
      <w:r w:rsidR="00EF73BD">
        <w:rPr>
          <w:rFonts w:ascii="Book Antiqua" w:hAnsi="Book Antiqua" w:cs="Tahoma"/>
          <w:lang w:val="en-GB"/>
        </w:rPr>
        <w:t>.)</w:t>
      </w:r>
      <w:r>
        <w:rPr>
          <w:rFonts w:ascii="Book Antiqua" w:hAnsi="Book Antiqua" w:cs="Tahoma"/>
          <w:lang w:val="en-GB"/>
        </w:rPr>
        <w:t xml:space="preserve">. </w:t>
      </w:r>
      <w:r w:rsidRPr="00340E23">
        <w:rPr>
          <w:rFonts w:ascii="Book Antiqua" w:hAnsi="Book Antiqua" w:cs="Tahoma"/>
          <w:lang w:val="en-GB"/>
        </w:rPr>
        <w:t>Cambridge University Press</w:t>
      </w:r>
      <w:r w:rsidR="00183A8D">
        <w:rPr>
          <w:rFonts w:ascii="Book Antiqua" w:hAnsi="Book Antiqua" w:cs="Tahoma"/>
          <w:lang w:val="en-GB"/>
        </w:rPr>
        <w:t>, New York</w:t>
      </w:r>
    </w:p>
    <w:p w:rsidR="00695389" w:rsidRPr="00D060C6" w:rsidRDefault="00695389" w:rsidP="00695389">
      <w:pPr>
        <w:spacing w:line="288" w:lineRule="auto"/>
        <w:ind w:left="706" w:hanging="706"/>
        <w:jc w:val="both"/>
        <w:rPr>
          <w:rFonts w:ascii="Book Antiqua" w:hAnsi="Book Antiqua" w:cs="Tahoma"/>
          <w:lang w:val="en-GB"/>
        </w:rPr>
      </w:pPr>
      <w:proofErr w:type="spellStart"/>
      <w:r w:rsidRPr="00D060C6">
        <w:rPr>
          <w:rFonts w:ascii="Book Antiqua" w:hAnsi="Book Antiqua" w:cs="Tahoma"/>
          <w:lang w:val="en-GB"/>
        </w:rPr>
        <w:t>Sulejewicz</w:t>
      </w:r>
      <w:proofErr w:type="spellEnd"/>
      <w:r w:rsidRPr="00D060C6">
        <w:rPr>
          <w:rFonts w:ascii="Book Antiqua" w:hAnsi="Book Antiqua" w:cs="Tahoma"/>
          <w:lang w:val="en-GB"/>
        </w:rPr>
        <w:t xml:space="preserve">, A. and P. </w:t>
      </w:r>
      <w:proofErr w:type="spellStart"/>
      <w:r w:rsidRPr="00D060C6">
        <w:rPr>
          <w:rFonts w:ascii="Book Antiqua" w:hAnsi="Book Antiqua" w:cs="Tahoma"/>
          <w:lang w:val="en-GB"/>
        </w:rPr>
        <w:t>Graca</w:t>
      </w:r>
      <w:proofErr w:type="spellEnd"/>
      <w:r w:rsidRPr="00D060C6">
        <w:rPr>
          <w:rFonts w:ascii="Book Antiqua" w:hAnsi="Book Antiqua" w:cs="Tahoma"/>
          <w:lang w:val="en-GB"/>
        </w:rPr>
        <w:t xml:space="preserve"> (2005) Measuring the transaction sector in the Polish economy, 1996 to 2002. </w:t>
      </w:r>
      <w:r w:rsidRPr="00D060C6">
        <w:rPr>
          <w:rFonts w:ascii="Book Antiqua" w:hAnsi="Book Antiqua" w:cs="Tahoma"/>
          <w:i/>
          <w:lang w:val="en-GB"/>
        </w:rPr>
        <w:t>9</w:t>
      </w:r>
      <w:r w:rsidRPr="00D060C6">
        <w:rPr>
          <w:rFonts w:ascii="Book Antiqua" w:hAnsi="Book Antiqua" w:cs="Tahoma"/>
          <w:i/>
          <w:vertAlign w:val="superscript"/>
          <w:lang w:val="en-GB"/>
        </w:rPr>
        <w:t>-th</w:t>
      </w:r>
      <w:r w:rsidRPr="00D060C6">
        <w:rPr>
          <w:rFonts w:ascii="Book Antiqua" w:hAnsi="Book Antiqua" w:cs="Tahoma"/>
          <w:i/>
          <w:lang w:val="en-GB"/>
        </w:rPr>
        <w:t xml:space="preserve"> Annual Conference of the International Society for New Institutional Economics</w:t>
      </w:r>
      <w:r w:rsidRPr="00D060C6">
        <w:rPr>
          <w:rFonts w:ascii="Book Antiqua" w:hAnsi="Book Antiqua" w:cs="Tahoma"/>
          <w:lang w:val="en-GB"/>
        </w:rPr>
        <w:t xml:space="preserve">, Barcelona, Spain 22-25 September 2005. </w:t>
      </w:r>
    </w:p>
    <w:p w:rsidR="00695389" w:rsidRPr="00D060C6" w:rsidRDefault="00A14AB8" w:rsidP="00695389">
      <w:pPr>
        <w:spacing w:line="288" w:lineRule="auto"/>
        <w:ind w:left="706" w:hanging="706"/>
        <w:jc w:val="both"/>
        <w:rPr>
          <w:rFonts w:ascii="Book Antiqua" w:hAnsi="Book Antiqua" w:cs="Tahoma"/>
          <w:lang w:val="en-GB"/>
        </w:rPr>
      </w:pPr>
      <w:r>
        <w:rPr>
          <w:rFonts w:ascii="Book Antiqua" w:hAnsi="Book Antiqua" w:cs="Tahoma"/>
          <w:lang w:val="en-GB"/>
        </w:rPr>
        <w:t xml:space="preserve">Wallis, J. and D. </w:t>
      </w:r>
      <w:r w:rsidR="00695389" w:rsidRPr="00D060C6">
        <w:rPr>
          <w:rFonts w:ascii="Book Antiqua" w:hAnsi="Book Antiqua" w:cs="Tahoma"/>
          <w:lang w:val="en-GB"/>
        </w:rPr>
        <w:t xml:space="preserve">North (1986) Measuring the transaction sector in the American economy, 1870-1970. In: </w:t>
      </w:r>
      <w:proofErr w:type="spellStart"/>
      <w:r w:rsidR="00695389" w:rsidRPr="00D060C6">
        <w:rPr>
          <w:rFonts w:ascii="Book Antiqua" w:hAnsi="Book Antiqua" w:cs="Tahoma"/>
          <w:lang w:val="en-GB"/>
        </w:rPr>
        <w:t>Engerman</w:t>
      </w:r>
      <w:proofErr w:type="spellEnd"/>
      <w:r w:rsidR="00695389" w:rsidRPr="00D060C6">
        <w:rPr>
          <w:rFonts w:ascii="Book Antiqua" w:hAnsi="Book Antiqua" w:cs="Tahoma"/>
          <w:lang w:val="en-GB"/>
        </w:rPr>
        <w:t xml:space="preserve"> S. and </w:t>
      </w:r>
      <w:proofErr w:type="spellStart"/>
      <w:r w:rsidR="00695389" w:rsidRPr="00D060C6">
        <w:rPr>
          <w:rFonts w:ascii="Book Antiqua" w:hAnsi="Book Antiqua" w:cs="Tahoma"/>
          <w:lang w:val="en-GB"/>
        </w:rPr>
        <w:t>Gallman</w:t>
      </w:r>
      <w:proofErr w:type="spellEnd"/>
      <w:r w:rsidR="00695389" w:rsidRPr="00D060C6">
        <w:rPr>
          <w:rFonts w:ascii="Book Antiqua" w:hAnsi="Book Antiqua" w:cs="Tahoma"/>
          <w:lang w:val="en-GB"/>
        </w:rPr>
        <w:t xml:space="preserve">, R. (eds.), </w:t>
      </w:r>
      <w:r w:rsidR="00695389" w:rsidRPr="00D060C6">
        <w:rPr>
          <w:rFonts w:ascii="Book Antiqua" w:hAnsi="Book Antiqua" w:cs="Tahoma"/>
          <w:i/>
          <w:lang w:val="en-GB"/>
        </w:rPr>
        <w:t>Long-Term Factors in American Economic Growth</w:t>
      </w:r>
      <w:r w:rsidR="00695389" w:rsidRPr="00D060C6">
        <w:rPr>
          <w:rFonts w:ascii="Book Antiqua" w:hAnsi="Book Antiqua" w:cs="Tahoma"/>
          <w:lang w:val="en-GB"/>
        </w:rPr>
        <w:t xml:space="preserve">. University of Chicago Press, Chicago and London, 95-148. </w:t>
      </w:r>
    </w:p>
    <w:p w:rsidR="00695389" w:rsidRPr="00D060C6" w:rsidRDefault="00A14AB8" w:rsidP="00695389">
      <w:pPr>
        <w:spacing w:line="288" w:lineRule="auto"/>
        <w:ind w:left="706" w:hanging="706"/>
        <w:jc w:val="both"/>
        <w:rPr>
          <w:rFonts w:ascii="Book Antiqua" w:hAnsi="Book Antiqua" w:cs="Tahoma"/>
          <w:lang w:val="en-GB"/>
        </w:rPr>
      </w:pPr>
      <w:r>
        <w:rPr>
          <w:rFonts w:ascii="Book Antiqua" w:hAnsi="Book Antiqua" w:cs="Tahoma"/>
          <w:lang w:val="en-GB"/>
        </w:rPr>
        <w:t xml:space="preserve">Wallis, J. and D. </w:t>
      </w:r>
      <w:r w:rsidR="00695389" w:rsidRPr="00D060C6">
        <w:rPr>
          <w:rFonts w:ascii="Book Antiqua" w:hAnsi="Book Antiqua" w:cs="Tahoma"/>
          <w:lang w:val="en-GB"/>
        </w:rPr>
        <w:t xml:space="preserve">North (1994) Integrating Institutional Change and Technical Change in Economic History: A Transaction Cost Approach. </w:t>
      </w:r>
      <w:r w:rsidR="00695389" w:rsidRPr="00D060C6">
        <w:rPr>
          <w:rFonts w:ascii="Book Antiqua" w:hAnsi="Book Antiqua" w:cs="Tahoma"/>
          <w:i/>
          <w:lang w:val="en-GB"/>
        </w:rPr>
        <w:t>Journal of Institutional and Theoretical Economics</w:t>
      </w:r>
      <w:r w:rsidR="00695389" w:rsidRPr="00D060C6">
        <w:rPr>
          <w:rFonts w:ascii="Book Antiqua" w:hAnsi="Book Antiqua" w:cs="Tahoma"/>
          <w:lang w:val="en-GB"/>
        </w:rPr>
        <w:t>, 150, 609-624.</w:t>
      </w:r>
    </w:p>
    <w:p w:rsidR="007246BA" w:rsidRDefault="003F2C53" w:rsidP="00D845D3">
      <w:pPr>
        <w:spacing w:line="288" w:lineRule="auto"/>
        <w:ind w:left="706" w:hanging="706"/>
        <w:jc w:val="both"/>
        <w:rPr>
          <w:rFonts w:ascii="Book Antiqua" w:hAnsi="Book Antiqua" w:cs="Tahoma"/>
          <w:spacing w:val="10"/>
          <w:lang w:val="en-GB"/>
        </w:rPr>
      </w:pPr>
      <w:r>
        <w:rPr>
          <w:rFonts w:ascii="Book Antiqua" w:hAnsi="Book Antiqua" w:cs="Tahoma"/>
          <w:lang w:val="en-GB"/>
        </w:rPr>
        <w:t xml:space="preserve">Wang, N. (2007) </w:t>
      </w:r>
      <w:r w:rsidR="00695389" w:rsidRPr="00D060C6">
        <w:rPr>
          <w:rFonts w:ascii="Book Antiqua" w:hAnsi="Book Antiqua" w:cs="Tahoma"/>
          <w:lang w:val="en-GB"/>
        </w:rPr>
        <w:t>Measuring transaction costs: diverging app</w:t>
      </w:r>
      <w:r>
        <w:rPr>
          <w:rFonts w:ascii="Book Antiqua" w:hAnsi="Book Antiqua" w:cs="Tahoma"/>
          <w:lang w:val="en-GB"/>
        </w:rPr>
        <w:t xml:space="preserve">roaches, contending practices. </w:t>
      </w:r>
      <w:r w:rsidR="00695389" w:rsidRPr="003F2C53">
        <w:rPr>
          <w:rFonts w:ascii="Book Antiqua" w:hAnsi="Book Antiqua" w:cs="Tahoma"/>
          <w:i/>
          <w:lang w:val="en-GB"/>
        </w:rPr>
        <w:t xml:space="preserve">Division of </w:t>
      </w:r>
      <w:proofErr w:type="spellStart"/>
      <w:r w:rsidR="00695389" w:rsidRPr="003F2C53">
        <w:rPr>
          <w:rFonts w:ascii="Book Antiqua" w:hAnsi="Book Antiqua" w:cs="Tahoma"/>
          <w:i/>
          <w:lang w:val="en-GB"/>
        </w:rPr>
        <w:t>Labor</w:t>
      </w:r>
      <w:proofErr w:type="spellEnd"/>
      <w:r w:rsidR="00695389" w:rsidRPr="003F2C53">
        <w:rPr>
          <w:rFonts w:ascii="Book Antiqua" w:hAnsi="Book Antiqua" w:cs="Tahoma"/>
          <w:i/>
          <w:lang w:val="en-GB"/>
        </w:rPr>
        <w:t xml:space="preserve"> and Transaction Costs</w:t>
      </w:r>
      <w:r w:rsidR="00DD62A5">
        <w:rPr>
          <w:rFonts w:ascii="Book Antiqua" w:hAnsi="Book Antiqua" w:cs="Tahoma"/>
          <w:lang w:val="en-GB"/>
        </w:rPr>
        <w:t xml:space="preserve">, 2 (2), </w:t>
      </w:r>
      <w:r w:rsidR="00695389" w:rsidRPr="00D060C6">
        <w:rPr>
          <w:rFonts w:ascii="Book Antiqua" w:hAnsi="Book Antiqua" w:cs="Tahoma"/>
          <w:lang w:val="en-GB"/>
        </w:rPr>
        <w:t>111-146.</w:t>
      </w:r>
    </w:p>
    <w:p w:rsidR="007246BA" w:rsidRDefault="007246BA">
      <w:pPr>
        <w:rPr>
          <w:rFonts w:ascii="Book Antiqua" w:hAnsi="Book Antiqua" w:cs="Tahoma"/>
          <w:spacing w:val="10"/>
          <w:lang w:val="en-GB"/>
        </w:rPr>
      </w:pPr>
    </w:p>
    <w:p w:rsidR="007246BA" w:rsidRDefault="007246BA">
      <w:pPr>
        <w:rPr>
          <w:rFonts w:ascii="Book Antiqua" w:hAnsi="Book Antiqua" w:cs="Tahoma"/>
          <w:spacing w:val="10"/>
          <w:lang w:val="en-GB"/>
        </w:rPr>
        <w:sectPr w:rsidR="007246BA" w:rsidSect="00224E17">
          <w:pgSz w:w="11906" w:h="16838"/>
          <w:pgMar w:top="1411" w:right="1411" w:bottom="1411" w:left="1411" w:header="706" w:footer="706" w:gutter="0"/>
          <w:cols w:space="708"/>
          <w:docGrid w:linePitch="360"/>
        </w:sectPr>
      </w:pPr>
    </w:p>
    <w:p w:rsidR="00695389" w:rsidRPr="00BC3CE8" w:rsidRDefault="00021D02" w:rsidP="00BC3CE8">
      <w:pPr>
        <w:spacing w:after="120" w:line="288" w:lineRule="auto"/>
        <w:jc w:val="both"/>
        <w:rPr>
          <w:rFonts w:ascii="Book Antiqua" w:hAnsi="Book Antiqua" w:cs="Tahoma"/>
          <w:b/>
          <w:spacing w:val="10"/>
          <w:sz w:val="20"/>
          <w:lang w:val="en-GB"/>
        </w:rPr>
      </w:pPr>
      <w:proofErr w:type="gramStart"/>
      <w:r>
        <w:rPr>
          <w:rFonts w:ascii="Book Antiqua" w:hAnsi="Book Antiqua" w:cs="Tahoma"/>
          <w:b/>
          <w:spacing w:val="10"/>
          <w:lang w:val="en-GB"/>
        </w:rPr>
        <w:lastRenderedPageBreak/>
        <w:t>APPENDIX 1.</w:t>
      </w:r>
      <w:proofErr w:type="gramEnd"/>
      <w:r>
        <w:rPr>
          <w:rFonts w:ascii="Book Antiqua" w:hAnsi="Book Antiqua" w:cs="Tahoma"/>
          <w:b/>
          <w:spacing w:val="10"/>
          <w:lang w:val="en-GB"/>
        </w:rPr>
        <w:t xml:space="preserve"> PERIOD MID-1990s TO EARLY 2000s</w:t>
      </w:r>
    </w:p>
    <w:p w:rsidR="00BC3CE8" w:rsidRPr="00BC3CE8" w:rsidRDefault="00254AA2" w:rsidP="00BC3CE8">
      <w:pPr>
        <w:spacing w:after="120" w:line="288" w:lineRule="auto"/>
        <w:jc w:val="both"/>
        <w:rPr>
          <w:rFonts w:ascii="Book Antiqua" w:hAnsi="Book Antiqua" w:cs="Tahoma"/>
          <w:b/>
          <w:spacing w:val="10"/>
          <w:sz w:val="20"/>
          <w:lang w:val="en-GB"/>
        </w:rPr>
      </w:pPr>
      <w:r w:rsidRPr="00254AA2">
        <w:rPr>
          <w:rFonts w:ascii="Book Antiqua" w:hAnsi="Book Antiqua" w:cs="Tahoma"/>
          <w:b/>
          <w:noProof/>
          <w:spacing w:val="10"/>
          <w:sz w:val="20"/>
        </w:rPr>
        <w:drawing>
          <wp:inline distT="0" distB="0" distL="0" distR="0" wp14:anchorId="3088CB87" wp14:editId="0AF4D47C">
            <wp:extent cx="5946688"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2281" b="5943"/>
                    <a:stretch/>
                  </pic:blipFill>
                  <pic:spPr bwMode="auto">
                    <a:xfrm>
                      <a:off x="0" y="0"/>
                      <a:ext cx="5946688" cy="3200400"/>
                    </a:xfrm>
                    <a:prstGeom prst="rect">
                      <a:avLst/>
                    </a:prstGeom>
                    <a:ln>
                      <a:noFill/>
                    </a:ln>
                    <a:extLst>
                      <a:ext uri="{53640926-AAD7-44D8-BBD7-CCE9431645EC}">
                        <a14:shadowObscured xmlns:a14="http://schemas.microsoft.com/office/drawing/2010/main"/>
                      </a:ext>
                    </a:extLst>
                  </pic:spPr>
                </pic:pic>
              </a:graphicData>
            </a:graphic>
          </wp:inline>
        </w:drawing>
      </w:r>
    </w:p>
    <w:p w:rsidR="00031172" w:rsidRDefault="00254AA2" w:rsidP="00BC3CE8">
      <w:pPr>
        <w:spacing w:after="120"/>
        <w:rPr>
          <w:sz w:val="20"/>
          <w:lang w:val="en-GB"/>
        </w:rPr>
      </w:pPr>
      <w:r w:rsidRPr="00254AA2">
        <w:rPr>
          <w:noProof/>
          <w:sz w:val="20"/>
        </w:rPr>
        <w:drawing>
          <wp:inline distT="0" distB="0" distL="0" distR="0" wp14:anchorId="21082D95" wp14:editId="5D8A66FF">
            <wp:extent cx="5946688"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12281" b="5943"/>
                    <a:stretch/>
                  </pic:blipFill>
                  <pic:spPr bwMode="auto">
                    <a:xfrm>
                      <a:off x="0" y="0"/>
                      <a:ext cx="5946688" cy="3200400"/>
                    </a:xfrm>
                    <a:prstGeom prst="rect">
                      <a:avLst/>
                    </a:prstGeom>
                    <a:ln>
                      <a:noFill/>
                    </a:ln>
                    <a:extLst>
                      <a:ext uri="{53640926-AAD7-44D8-BBD7-CCE9431645EC}">
                        <a14:shadowObscured xmlns:a14="http://schemas.microsoft.com/office/drawing/2010/main"/>
                      </a:ext>
                    </a:extLst>
                  </pic:spPr>
                </pic:pic>
              </a:graphicData>
            </a:graphic>
          </wp:inline>
        </w:drawing>
      </w:r>
    </w:p>
    <w:p w:rsidR="007246BA" w:rsidRDefault="00254AA2" w:rsidP="00BC3CE8">
      <w:pPr>
        <w:spacing w:after="120"/>
        <w:rPr>
          <w:sz w:val="20"/>
          <w:lang w:val="en-GB"/>
        </w:rPr>
      </w:pPr>
      <w:r w:rsidRPr="00254AA2">
        <w:rPr>
          <w:noProof/>
          <w:sz w:val="20"/>
        </w:rPr>
        <w:drawing>
          <wp:inline distT="0" distB="0" distL="0" distR="0" wp14:anchorId="3EB7FCBC" wp14:editId="1D8B057A">
            <wp:extent cx="5972175" cy="2819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5943"/>
                    <a:stretch/>
                  </pic:blipFill>
                  <pic:spPr bwMode="auto">
                    <a:xfrm>
                      <a:off x="0" y="0"/>
                      <a:ext cx="5972810" cy="2819700"/>
                    </a:xfrm>
                    <a:prstGeom prst="rect">
                      <a:avLst/>
                    </a:prstGeom>
                    <a:ln>
                      <a:noFill/>
                    </a:ln>
                    <a:extLst>
                      <a:ext uri="{53640926-AAD7-44D8-BBD7-CCE9431645EC}">
                        <a14:shadowObscured xmlns:a14="http://schemas.microsoft.com/office/drawing/2010/main"/>
                      </a:ext>
                    </a:extLst>
                  </pic:spPr>
                </pic:pic>
              </a:graphicData>
            </a:graphic>
          </wp:inline>
        </w:drawing>
      </w:r>
    </w:p>
    <w:p w:rsidR="001F79DB" w:rsidRDefault="001F79DB" w:rsidP="001F79DB">
      <w:pPr>
        <w:spacing w:after="120" w:line="288" w:lineRule="auto"/>
        <w:jc w:val="both"/>
        <w:rPr>
          <w:rFonts w:ascii="Book Antiqua" w:hAnsi="Book Antiqua" w:cs="Tahoma"/>
          <w:b/>
          <w:spacing w:val="10"/>
          <w:lang w:val="en-GB"/>
        </w:rPr>
      </w:pPr>
      <w:proofErr w:type="gramStart"/>
      <w:r>
        <w:rPr>
          <w:rFonts w:ascii="Book Antiqua" w:hAnsi="Book Antiqua" w:cs="Tahoma"/>
          <w:b/>
          <w:spacing w:val="10"/>
          <w:lang w:val="en-GB"/>
        </w:rPr>
        <w:lastRenderedPageBreak/>
        <w:t>APPENDIX 2.</w:t>
      </w:r>
      <w:proofErr w:type="gramEnd"/>
      <w:r>
        <w:rPr>
          <w:rFonts w:ascii="Book Antiqua" w:hAnsi="Book Antiqua" w:cs="Tahoma"/>
          <w:b/>
          <w:spacing w:val="10"/>
          <w:lang w:val="en-GB"/>
        </w:rPr>
        <w:t xml:space="preserve"> PERIOD EARLY 2000s TO MID-2000s</w:t>
      </w:r>
    </w:p>
    <w:p w:rsidR="001F79DB" w:rsidRDefault="00791B69" w:rsidP="001F79DB">
      <w:pPr>
        <w:spacing w:after="120" w:line="288" w:lineRule="auto"/>
        <w:jc w:val="both"/>
        <w:rPr>
          <w:rFonts w:ascii="Book Antiqua" w:hAnsi="Book Antiqua" w:cs="Tahoma"/>
          <w:b/>
          <w:spacing w:val="10"/>
          <w:sz w:val="20"/>
          <w:lang w:val="en-GB"/>
        </w:rPr>
      </w:pPr>
      <w:r w:rsidRPr="00791B69">
        <w:rPr>
          <w:rFonts w:ascii="Book Antiqua" w:hAnsi="Book Antiqua" w:cs="Tahoma"/>
          <w:b/>
          <w:spacing w:val="10"/>
          <w:sz w:val="20"/>
          <w:lang w:val="en-GB"/>
        </w:rPr>
        <w:drawing>
          <wp:inline distT="0" distB="0" distL="0" distR="0" wp14:anchorId="0FCAE484" wp14:editId="7630F544">
            <wp:extent cx="5943600" cy="3200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12"/>
                    <a:srcRect r="12440" b="6895"/>
                    <a:stretch/>
                  </pic:blipFill>
                  <pic:spPr bwMode="auto">
                    <a:xfrm>
                      <a:off x="0" y="0"/>
                      <a:ext cx="5943600" cy="3200400"/>
                    </a:xfrm>
                    <a:prstGeom prst="rect">
                      <a:avLst/>
                    </a:prstGeom>
                    <a:ln>
                      <a:noFill/>
                    </a:ln>
                    <a:extLst>
                      <a:ext uri="{53640926-AAD7-44D8-BBD7-CCE9431645EC}">
                        <a14:shadowObscured xmlns:a14="http://schemas.microsoft.com/office/drawing/2010/main"/>
                      </a:ext>
                    </a:extLst>
                  </pic:spPr>
                </pic:pic>
              </a:graphicData>
            </a:graphic>
          </wp:inline>
        </w:drawing>
      </w:r>
    </w:p>
    <w:p w:rsidR="00791B69" w:rsidRDefault="00791B69" w:rsidP="001F79DB">
      <w:pPr>
        <w:spacing w:after="120" w:line="288" w:lineRule="auto"/>
        <w:jc w:val="both"/>
        <w:rPr>
          <w:rFonts w:ascii="Book Antiqua" w:hAnsi="Book Antiqua" w:cs="Tahoma"/>
          <w:b/>
          <w:spacing w:val="10"/>
          <w:sz w:val="20"/>
          <w:lang w:val="en-GB"/>
        </w:rPr>
      </w:pPr>
      <w:r w:rsidRPr="00791B69">
        <w:rPr>
          <w:rFonts w:ascii="Book Antiqua" w:hAnsi="Book Antiqua" w:cs="Tahoma"/>
          <w:b/>
          <w:spacing w:val="10"/>
          <w:sz w:val="20"/>
          <w:lang w:val="en-GB"/>
        </w:rPr>
        <w:drawing>
          <wp:inline distT="0" distB="0" distL="0" distR="0" wp14:anchorId="18CF0F4A" wp14:editId="20ABE4E6">
            <wp:extent cx="5943600" cy="3200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13"/>
                    <a:srcRect r="12440" b="6260"/>
                    <a:stretch/>
                  </pic:blipFill>
                  <pic:spPr bwMode="auto">
                    <a:xfrm>
                      <a:off x="0" y="0"/>
                      <a:ext cx="5943600" cy="3200400"/>
                    </a:xfrm>
                    <a:prstGeom prst="rect">
                      <a:avLst/>
                    </a:prstGeom>
                    <a:ln>
                      <a:noFill/>
                    </a:ln>
                    <a:extLst>
                      <a:ext uri="{53640926-AAD7-44D8-BBD7-CCE9431645EC}">
                        <a14:shadowObscured xmlns:a14="http://schemas.microsoft.com/office/drawing/2010/main"/>
                      </a:ext>
                    </a:extLst>
                  </pic:spPr>
                </pic:pic>
              </a:graphicData>
            </a:graphic>
          </wp:inline>
        </w:drawing>
      </w:r>
    </w:p>
    <w:p w:rsidR="001F79DB" w:rsidRPr="00BC3CE8" w:rsidRDefault="00791B69" w:rsidP="00403347">
      <w:pPr>
        <w:spacing w:after="120" w:line="288" w:lineRule="auto"/>
        <w:jc w:val="both"/>
        <w:rPr>
          <w:sz w:val="20"/>
          <w:lang w:val="en-GB"/>
        </w:rPr>
      </w:pPr>
      <w:r w:rsidRPr="00791B69">
        <w:rPr>
          <w:rFonts w:ascii="Book Antiqua" w:hAnsi="Book Antiqua" w:cs="Tahoma"/>
          <w:b/>
          <w:spacing w:val="10"/>
          <w:sz w:val="20"/>
          <w:lang w:val="en-GB"/>
        </w:rPr>
        <w:drawing>
          <wp:inline distT="0" distB="0" distL="0" distR="0" wp14:anchorId="5DB13382" wp14:editId="7211E6C7">
            <wp:extent cx="6024811" cy="2834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6260"/>
                    <a:stretch/>
                  </pic:blipFill>
                  <pic:spPr bwMode="auto">
                    <a:xfrm>
                      <a:off x="0" y="0"/>
                      <a:ext cx="6024811" cy="2834640"/>
                    </a:xfrm>
                    <a:prstGeom prst="rect">
                      <a:avLst/>
                    </a:prstGeom>
                    <a:ln>
                      <a:noFill/>
                    </a:ln>
                    <a:extLst>
                      <a:ext uri="{53640926-AAD7-44D8-BBD7-CCE9431645EC}">
                        <a14:shadowObscured xmlns:a14="http://schemas.microsoft.com/office/drawing/2010/main"/>
                      </a:ext>
                    </a:extLst>
                  </pic:spPr>
                </pic:pic>
              </a:graphicData>
            </a:graphic>
          </wp:inline>
        </w:drawing>
      </w:r>
    </w:p>
    <w:sectPr w:rsidR="001F79DB" w:rsidRPr="00BC3CE8" w:rsidSect="007246BA">
      <w:pgSz w:w="11906" w:h="16838"/>
      <w:pgMar w:top="720" w:right="1152" w:bottom="72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70" w:rsidRDefault="00801870" w:rsidP="00F46C72">
      <w:r>
        <w:separator/>
      </w:r>
    </w:p>
  </w:endnote>
  <w:endnote w:type="continuationSeparator" w:id="0">
    <w:p w:rsidR="00801870" w:rsidRDefault="00801870" w:rsidP="00F4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70" w:rsidRDefault="00801870" w:rsidP="00F46C72">
      <w:r>
        <w:separator/>
      </w:r>
    </w:p>
  </w:footnote>
  <w:footnote w:type="continuationSeparator" w:id="0">
    <w:p w:rsidR="00801870" w:rsidRDefault="00801870" w:rsidP="00F46C72">
      <w:r>
        <w:continuationSeparator/>
      </w:r>
    </w:p>
  </w:footnote>
  <w:footnote w:id="1">
    <w:p w:rsidR="00695389" w:rsidRDefault="00695389" w:rsidP="00695389">
      <w:pPr>
        <w:pStyle w:val="FootnoteText"/>
        <w:jc w:val="both"/>
      </w:pPr>
      <w:r w:rsidRPr="00F46C72">
        <w:rPr>
          <w:rStyle w:val="FootnoteReference"/>
          <w:rFonts w:ascii="Book Antiqua" w:hAnsi="Book Antiqua"/>
        </w:rPr>
        <w:footnoteRef/>
      </w:r>
      <w:r>
        <w:rPr>
          <w:rFonts w:ascii="Book Antiqua" w:hAnsi="Book Antiqua"/>
          <w:lang w:val="en-US"/>
        </w:rPr>
        <w:t>F</w:t>
      </w:r>
      <w:proofErr w:type="spellStart"/>
      <w:r>
        <w:rPr>
          <w:rFonts w:ascii="Book Antiqua" w:hAnsi="Book Antiqua"/>
        </w:rPr>
        <w:t>or</w:t>
      </w:r>
      <w:proofErr w:type="spellEnd"/>
      <w:r w:rsidR="00697C8C">
        <w:rPr>
          <w:rFonts w:ascii="Book Antiqua" w:hAnsi="Book Antiqua"/>
          <w:lang w:val="en-US"/>
        </w:rPr>
        <w:t xml:space="preserve"> </w:t>
      </w:r>
      <w:proofErr w:type="spellStart"/>
      <w:r>
        <w:rPr>
          <w:rFonts w:ascii="Book Antiqua" w:hAnsi="Book Antiqua"/>
        </w:rPr>
        <w:t>Australia</w:t>
      </w:r>
      <w:proofErr w:type="spellEnd"/>
      <w:r>
        <w:rPr>
          <w:rFonts w:ascii="Book Antiqua" w:hAnsi="Book Antiqua"/>
          <w:lang w:val="en-US"/>
        </w:rPr>
        <w:t xml:space="preserve"> </w:t>
      </w:r>
      <w:r w:rsidR="00697C8C">
        <w:rPr>
          <w:rFonts w:ascii="Book Antiqua" w:hAnsi="Book Antiqua"/>
          <w:lang w:val="en-US"/>
        </w:rPr>
        <w:t>–</w:t>
      </w:r>
      <w:r>
        <w:rPr>
          <w:rFonts w:ascii="Book Antiqua" w:hAnsi="Book Antiqua"/>
          <w:lang w:val="en-US"/>
        </w:rPr>
        <w:t xml:space="preserve"> </w:t>
      </w:r>
      <w:proofErr w:type="spellStart"/>
      <w:r>
        <w:rPr>
          <w:rFonts w:ascii="Book Antiqua" w:hAnsi="Book Antiqua"/>
        </w:rPr>
        <w:t>Dollery</w:t>
      </w:r>
      <w:proofErr w:type="spellEnd"/>
      <w:r w:rsidR="00697C8C">
        <w:rPr>
          <w:rFonts w:ascii="Book Antiqua" w:hAnsi="Book Antiqua"/>
          <w:lang w:val="en-US"/>
        </w:rPr>
        <w:t xml:space="preserve"> </w:t>
      </w:r>
      <w:r>
        <w:rPr>
          <w:rFonts w:ascii="Book Antiqua" w:hAnsi="Book Antiqua"/>
          <w:lang w:val="en-US"/>
        </w:rPr>
        <w:t xml:space="preserve">and </w:t>
      </w:r>
      <w:proofErr w:type="spellStart"/>
      <w:r w:rsidRPr="00F46C72">
        <w:rPr>
          <w:rFonts w:ascii="Book Antiqua" w:hAnsi="Book Antiqua"/>
        </w:rPr>
        <w:t>Leong</w:t>
      </w:r>
      <w:proofErr w:type="spellEnd"/>
      <w:r w:rsidR="00697C8C">
        <w:rPr>
          <w:rFonts w:ascii="Book Antiqua" w:hAnsi="Book Antiqua"/>
          <w:lang w:val="en-US"/>
        </w:rPr>
        <w:t xml:space="preserve"> </w:t>
      </w:r>
      <w:r>
        <w:rPr>
          <w:rFonts w:ascii="Book Antiqua" w:hAnsi="Book Antiqua"/>
          <w:lang w:val="en-US"/>
        </w:rPr>
        <w:t>(</w:t>
      </w:r>
      <w:r w:rsidRPr="00F46C72">
        <w:rPr>
          <w:rFonts w:ascii="Book Antiqua" w:hAnsi="Book Antiqua"/>
        </w:rPr>
        <w:t xml:space="preserve">1998), </w:t>
      </w:r>
      <w:r>
        <w:rPr>
          <w:rFonts w:ascii="Book Antiqua" w:hAnsi="Book Antiqua"/>
          <w:lang w:val="en-US"/>
        </w:rPr>
        <w:t xml:space="preserve">for </w:t>
      </w:r>
      <w:proofErr w:type="spellStart"/>
      <w:r>
        <w:rPr>
          <w:rFonts w:ascii="Book Antiqua" w:hAnsi="Book Antiqua"/>
        </w:rPr>
        <w:t>Argentina</w:t>
      </w:r>
      <w:proofErr w:type="spellEnd"/>
      <w:r w:rsidR="00697C8C">
        <w:rPr>
          <w:rFonts w:ascii="Book Antiqua" w:hAnsi="Book Antiqua"/>
          <w:lang w:val="en-US"/>
        </w:rPr>
        <w:t xml:space="preserve"> –</w:t>
      </w:r>
      <w:r>
        <w:rPr>
          <w:rFonts w:ascii="Book Antiqua" w:hAnsi="Book Antiqua"/>
          <w:lang w:val="en-US"/>
        </w:rPr>
        <w:t xml:space="preserve"> </w:t>
      </w:r>
      <w:proofErr w:type="spellStart"/>
      <w:r>
        <w:rPr>
          <w:rFonts w:ascii="Book Antiqua" w:hAnsi="Book Antiqua"/>
        </w:rPr>
        <w:t>Dagnino-Pastore</w:t>
      </w:r>
      <w:proofErr w:type="spellEnd"/>
      <w:r w:rsidR="00697C8C">
        <w:rPr>
          <w:rFonts w:ascii="Book Antiqua" w:hAnsi="Book Antiqua"/>
          <w:lang w:val="en-US"/>
        </w:rPr>
        <w:t xml:space="preserve"> </w:t>
      </w:r>
      <w:r>
        <w:rPr>
          <w:rFonts w:ascii="Book Antiqua" w:hAnsi="Book Antiqua"/>
          <w:lang w:val="en-US"/>
        </w:rPr>
        <w:t>and</w:t>
      </w:r>
      <w:r w:rsidR="00697C8C">
        <w:rPr>
          <w:rFonts w:ascii="Book Antiqua" w:hAnsi="Book Antiqua"/>
          <w:lang w:val="en-US"/>
        </w:rPr>
        <w:t xml:space="preserve"> </w:t>
      </w:r>
      <w:proofErr w:type="spellStart"/>
      <w:r w:rsidRPr="00F46C72">
        <w:rPr>
          <w:rFonts w:ascii="Book Antiqua" w:hAnsi="Book Antiqua"/>
        </w:rPr>
        <w:t>Farina</w:t>
      </w:r>
      <w:proofErr w:type="spellEnd"/>
      <w:r w:rsidR="00697C8C">
        <w:rPr>
          <w:rFonts w:ascii="Book Antiqua" w:hAnsi="Book Antiqua"/>
          <w:lang w:val="en-US"/>
        </w:rPr>
        <w:t xml:space="preserve"> </w:t>
      </w:r>
      <w:r>
        <w:rPr>
          <w:rFonts w:ascii="Book Antiqua" w:hAnsi="Book Antiqua"/>
          <w:lang w:val="en-US"/>
        </w:rPr>
        <w:t>(</w:t>
      </w:r>
      <w:r w:rsidRPr="00F46C72">
        <w:rPr>
          <w:rFonts w:ascii="Book Antiqua" w:hAnsi="Book Antiqua"/>
        </w:rPr>
        <w:t xml:space="preserve">1999), </w:t>
      </w:r>
      <w:r>
        <w:rPr>
          <w:rFonts w:ascii="Book Antiqua" w:hAnsi="Book Antiqua"/>
          <w:lang w:val="en-US"/>
        </w:rPr>
        <w:t xml:space="preserve">for </w:t>
      </w:r>
      <w:r>
        <w:rPr>
          <w:rFonts w:ascii="Book Antiqua" w:hAnsi="Book Antiqua"/>
        </w:rPr>
        <w:t xml:space="preserve">New </w:t>
      </w:r>
      <w:proofErr w:type="spellStart"/>
      <w:r>
        <w:rPr>
          <w:rFonts w:ascii="Book Antiqua" w:hAnsi="Book Antiqua"/>
        </w:rPr>
        <w:t>Zeeland</w:t>
      </w:r>
      <w:proofErr w:type="spellEnd"/>
      <w:r>
        <w:rPr>
          <w:rFonts w:ascii="Book Antiqua" w:hAnsi="Book Antiqua"/>
          <w:lang w:val="en-US"/>
        </w:rPr>
        <w:t xml:space="preserve"> – </w:t>
      </w:r>
      <w:proofErr w:type="spellStart"/>
      <w:r>
        <w:rPr>
          <w:rFonts w:ascii="Book Antiqua" w:hAnsi="Book Antiqua"/>
        </w:rPr>
        <w:t>Hazledine</w:t>
      </w:r>
      <w:proofErr w:type="spellEnd"/>
      <w:r>
        <w:rPr>
          <w:rFonts w:ascii="Book Antiqua" w:hAnsi="Book Antiqua"/>
          <w:lang w:val="en-US"/>
        </w:rPr>
        <w:t xml:space="preserve"> (</w:t>
      </w:r>
      <w:r w:rsidRPr="00F46C72">
        <w:rPr>
          <w:rFonts w:ascii="Book Antiqua" w:hAnsi="Book Antiqua"/>
        </w:rPr>
        <w:t xml:space="preserve">2001), </w:t>
      </w:r>
      <w:r>
        <w:rPr>
          <w:rFonts w:ascii="Book Antiqua" w:hAnsi="Book Antiqua"/>
          <w:lang w:val="en-US"/>
        </w:rPr>
        <w:t xml:space="preserve">for </w:t>
      </w:r>
      <w:proofErr w:type="spellStart"/>
      <w:r>
        <w:rPr>
          <w:rFonts w:ascii="Book Antiqua" w:hAnsi="Book Antiqua"/>
        </w:rPr>
        <w:t>Poland</w:t>
      </w:r>
      <w:proofErr w:type="spellEnd"/>
      <w:r>
        <w:rPr>
          <w:rFonts w:ascii="Book Antiqua" w:hAnsi="Book Antiqua"/>
          <w:lang w:val="en-US"/>
        </w:rPr>
        <w:t xml:space="preserve"> </w:t>
      </w:r>
      <w:r w:rsidR="00697C8C">
        <w:rPr>
          <w:rFonts w:ascii="Book Antiqua" w:hAnsi="Book Antiqua"/>
          <w:lang w:val="en-US"/>
        </w:rPr>
        <w:t>–</w:t>
      </w:r>
      <w:r>
        <w:rPr>
          <w:rFonts w:ascii="Book Antiqua" w:hAnsi="Book Antiqua"/>
          <w:lang w:val="en-US"/>
        </w:rPr>
        <w:t xml:space="preserve"> </w:t>
      </w:r>
      <w:proofErr w:type="spellStart"/>
      <w:r w:rsidRPr="00F46C72">
        <w:rPr>
          <w:rFonts w:ascii="Book Antiqua" w:hAnsi="Book Antiqua"/>
        </w:rPr>
        <w:t>Sulejewicz</w:t>
      </w:r>
      <w:proofErr w:type="spellEnd"/>
      <w:r w:rsidR="00697C8C">
        <w:rPr>
          <w:rFonts w:ascii="Book Antiqua" w:hAnsi="Book Antiqua"/>
          <w:lang w:val="en-US"/>
        </w:rPr>
        <w:t xml:space="preserve"> </w:t>
      </w:r>
      <w:r>
        <w:rPr>
          <w:rFonts w:ascii="Book Antiqua" w:hAnsi="Book Antiqua"/>
          <w:lang w:val="en-US"/>
        </w:rPr>
        <w:t>and</w:t>
      </w:r>
      <w:r w:rsidR="00697C8C">
        <w:rPr>
          <w:rFonts w:ascii="Book Antiqua" w:hAnsi="Book Antiqua"/>
          <w:lang w:val="en-US"/>
        </w:rPr>
        <w:t xml:space="preserve"> </w:t>
      </w:r>
      <w:proofErr w:type="spellStart"/>
      <w:r w:rsidRPr="00F46C72">
        <w:rPr>
          <w:rFonts w:ascii="Book Antiqua" w:hAnsi="Book Antiqua"/>
        </w:rPr>
        <w:t>Graca</w:t>
      </w:r>
      <w:proofErr w:type="spellEnd"/>
      <w:r w:rsidR="00697C8C">
        <w:rPr>
          <w:rFonts w:ascii="Book Antiqua" w:hAnsi="Book Antiqua"/>
          <w:lang w:val="en-US"/>
        </w:rPr>
        <w:t xml:space="preserve"> </w:t>
      </w:r>
      <w:r>
        <w:rPr>
          <w:rFonts w:ascii="Book Antiqua" w:hAnsi="Book Antiqua"/>
          <w:lang w:val="en-US"/>
        </w:rPr>
        <w:t>(</w:t>
      </w:r>
      <w:r w:rsidRPr="00F46C72">
        <w:rPr>
          <w:rFonts w:ascii="Book Antiqua" w:hAnsi="Book Antiqua"/>
        </w:rPr>
        <w:t>2005)</w:t>
      </w:r>
      <w:r>
        <w:rPr>
          <w:rFonts w:ascii="Book Antiqua" w:hAnsi="Book Antiqua"/>
          <w:lang w:val="en-US"/>
        </w:rPr>
        <w:t xml:space="preserve">, for </w:t>
      </w:r>
      <w:proofErr w:type="spellStart"/>
      <w:r>
        <w:rPr>
          <w:rFonts w:ascii="Book Antiqua" w:hAnsi="Book Antiqua"/>
        </w:rPr>
        <w:t>Bulgaria</w:t>
      </w:r>
      <w:proofErr w:type="spellEnd"/>
      <w:r>
        <w:rPr>
          <w:rFonts w:ascii="Book Antiqua" w:hAnsi="Book Antiqua"/>
          <w:lang w:val="en-US"/>
        </w:rPr>
        <w:t xml:space="preserve"> - </w:t>
      </w:r>
      <w:r w:rsidRPr="00F46C72">
        <w:rPr>
          <w:rFonts w:ascii="Book Antiqua" w:hAnsi="Book Antiqua"/>
        </w:rPr>
        <w:t xml:space="preserve">Chobanov </w:t>
      </w:r>
      <w:r>
        <w:rPr>
          <w:rFonts w:ascii="Book Antiqua" w:hAnsi="Book Antiqua"/>
          <w:lang w:val="en-US"/>
        </w:rPr>
        <w:t>and</w:t>
      </w:r>
      <w:r w:rsidR="00697C8C">
        <w:rPr>
          <w:rFonts w:ascii="Book Antiqua" w:hAnsi="Book Antiqua"/>
          <w:lang w:val="en-US"/>
        </w:rPr>
        <w:t xml:space="preserve"> </w:t>
      </w:r>
      <w:proofErr w:type="spellStart"/>
      <w:r w:rsidRPr="00F46C72">
        <w:rPr>
          <w:rFonts w:ascii="Book Antiqua" w:hAnsi="Book Antiqua"/>
        </w:rPr>
        <w:t>Egbert</w:t>
      </w:r>
      <w:proofErr w:type="spellEnd"/>
      <w:r w:rsidR="00EE6BAE">
        <w:rPr>
          <w:rFonts w:ascii="Book Antiqua" w:hAnsi="Book Antiqua"/>
          <w:lang w:val="en-US"/>
        </w:rPr>
        <w:t xml:space="preserve"> </w:t>
      </w:r>
      <w:r>
        <w:rPr>
          <w:rFonts w:ascii="Book Antiqua" w:hAnsi="Book Antiqua"/>
          <w:lang w:val="en-US"/>
        </w:rPr>
        <w:t>(</w:t>
      </w:r>
      <w:r w:rsidRPr="00F46C72">
        <w:rPr>
          <w:rFonts w:ascii="Book Antiqua" w:hAnsi="Book Antiqua"/>
        </w:rPr>
        <w:t>2007</w:t>
      </w:r>
      <w:r>
        <w:rPr>
          <w:rFonts w:ascii="Book Antiqua" w:hAnsi="Book Antiqua"/>
          <w:lang w:val="en-US"/>
        </w:rPr>
        <w:t xml:space="preserve">), </w:t>
      </w:r>
      <w:proofErr w:type="spellStart"/>
      <w:r>
        <w:rPr>
          <w:rFonts w:ascii="Book Antiqua" w:hAnsi="Book Antiqua"/>
        </w:rPr>
        <w:t>Egbert</w:t>
      </w:r>
      <w:proofErr w:type="spellEnd"/>
      <w:r>
        <w:rPr>
          <w:rFonts w:ascii="Book Antiqua" w:hAnsi="Book Antiqua"/>
        </w:rPr>
        <w:t xml:space="preserve">, </w:t>
      </w:r>
      <w:proofErr w:type="spellStart"/>
      <w:r>
        <w:rPr>
          <w:rFonts w:ascii="Book Antiqua" w:hAnsi="Book Antiqua"/>
        </w:rPr>
        <w:t>et</w:t>
      </w:r>
      <w:proofErr w:type="spellEnd"/>
      <w:r w:rsidR="00697C8C">
        <w:rPr>
          <w:rFonts w:ascii="Book Antiqua" w:hAnsi="Book Antiqua"/>
          <w:lang w:val="en-US"/>
        </w:rPr>
        <w:t xml:space="preserve"> </w:t>
      </w:r>
      <w:proofErr w:type="spellStart"/>
      <w:r>
        <w:rPr>
          <w:rFonts w:ascii="Book Antiqua" w:hAnsi="Book Antiqua"/>
        </w:rPr>
        <w:t>al</w:t>
      </w:r>
      <w:proofErr w:type="spellEnd"/>
      <w:r>
        <w:rPr>
          <w:rFonts w:ascii="Book Antiqua" w:hAnsi="Book Antiqua"/>
        </w:rPr>
        <w:t>.</w:t>
      </w:r>
      <w:r w:rsidR="0025770A">
        <w:rPr>
          <w:rFonts w:ascii="Book Antiqua" w:hAnsi="Book Antiqua"/>
          <w:lang w:val="en-US"/>
        </w:rPr>
        <w:t xml:space="preserve"> </w:t>
      </w:r>
      <w:r>
        <w:rPr>
          <w:rFonts w:ascii="Book Antiqua" w:hAnsi="Book Antiqua"/>
          <w:lang w:val="en-US"/>
        </w:rPr>
        <w:t>(</w:t>
      </w:r>
      <w:r w:rsidRPr="00F46C72">
        <w:rPr>
          <w:rFonts w:ascii="Book Antiqua" w:hAnsi="Book Antiqua"/>
        </w:rPr>
        <w:t>2010).</w:t>
      </w:r>
    </w:p>
  </w:footnote>
  <w:footnote w:id="2">
    <w:p w:rsidR="007C7235" w:rsidRPr="007C7235" w:rsidRDefault="007C7235" w:rsidP="007C7235">
      <w:pPr>
        <w:pStyle w:val="FootnoteText"/>
        <w:jc w:val="both"/>
        <w:rPr>
          <w:rFonts w:ascii="Book Antiqua" w:hAnsi="Book Antiqua"/>
          <w:lang w:val="en-US"/>
        </w:rPr>
      </w:pPr>
      <w:r w:rsidRPr="007C7235">
        <w:rPr>
          <w:rStyle w:val="FootnoteReference"/>
          <w:rFonts w:ascii="Book Antiqua" w:hAnsi="Book Antiqua"/>
        </w:rPr>
        <w:footnoteRef/>
      </w:r>
      <w:r w:rsidRPr="007C7235">
        <w:rPr>
          <w:rFonts w:ascii="Book Antiqua" w:hAnsi="Book Antiqua"/>
        </w:rPr>
        <w:t xml:space="preserve"> </w:t>
      </w:r>
      <w:r w:rsidRPr="007C7235">
        <w:rPr>
          <w:rFonts w:ascii="Book Antiqua" w:hAnsi="Book Antiqua"/>
          <w:lang w:val="en-US"/>
        </w:rPr>
        <w:t>Not being a</w:t>
      </w:r>
      <w:r>
        <w:rPr>
          <w:rFonts w:ascii="Book Antiqua" w:hAnsi="Book Antiqua"/>
          <w:lang w:val="en-US"/>
        </w:rPr>
        <w:t>n expert on technological spill</w:t>
      </w:r>
      <w:r w:rsidRPr="007C7235">
        <w:rPr>
          <w:rFonts w:ascii="Book Antiqua" w:hAnsi="Book Antiqua"/>
          <w:lang w:val="en-US"/>
        </w:rPr>
        <w:t>overs, I feel their success depends on the quality of the human capital in the countries.</w:t>
      </w:r>
      <w:r>
        <w:rPr>
          <w:rFonts w:ascii="Book Antiqua" w:hAnsi="Book Antiqua"/>
          <w:lang w:val="en-US"/>
        </w:rPr>
        <w:t xml:space="preserve"> So differences in human capital might be one explanatory factor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86F"/>
    <w:multiLevelType w:val="multilevel"/>
    <w:tmpl w:val="A00C8456"/>
    <w:lvl w:ilvl="0">
      <w:start w:val="1"/>
      <w:numFmt w:val="bullet"/>
      <w:lvlText w:val=""/>
      <w:lvlJc w:val="left"/>
      <w:pPr>
        <w:tabs>
          <w:tab w:val="num" w:pos="1304"/>
        </w:tabs>
        <w:ind w:left="1077" w:hanging="34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A63253"/>
    <w:multiLevelType w:val="hybridMultilevel"/>
    <w:tmpl w:val="A00C8456"/>
    <w:lvl w:ilvl="0" w:tplc="3AC62BEE">
      <w:start w:val="1"/>
      <w:numFmt w:val="bullet"/>
      <w:lvlText w:val=""/>
      <w:lvlJc w:val="left"/>
      <w:pPr>
        <w:tabs>
          <w:tab w:val="num" w:pos="1304"/>
        </w:tabs>
        <w:ind w:left="1077" w:hanging="34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EF3118A"/>
    <w:multiLevelType w:val="hybridMultilevel"/>
    <w:tmpl w:val="01404D66"/>
    <w:lvl w:ilvl="0" w:tplc="04020001">
      <w:start w:val="1"/>
      <w:numFmt w:val="bullet"/>
      <w:lvlText w:val=""/>
      <w:lvlJc w:val="left"/>
      <w:pPr>
        <w:tabs>
          <w:tab w:val="num" w:pos="1097"/>
        </w:tabs>
        <w:ind w:left="1097" w:hanging="360"/>
      </w:pPr>
      <w:rPr>
        <w:rFonts w:ascii="Symbol" w:hAnsi="Symbol"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20A63931"/>
    <w:multiLevelType w:val="hybridMultilevel"/>
    <w:tmpl w:val="B6DEFA9E"/>
    <w:lvl w:ilvl="0" w:tplc="BE02E090">
      <w:numFmt w:val="bullet"/>
      <w:lvlText w:val="-"/>
      <w:lvlJc w:val="left"/>
      <w:pPr>
        <w:tabs>
          <w:tab w:val="num" w:pos="720"/>
        </w:tabs>
        <w:ind w:left="720" w:hanging="360"/>
      </w:pPr>
      <w:rPr>
        <w:rFonts w:ascii="Book Antiqua" w:eastAsia="Times New Roman" w:hAnsi="Book Antiqu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247F4E5B"/>
    <w:multiLevelType w:val="hybridMultilevel"/>
    <w:tmpl w:val="213A311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D793512"/>
    <w:multiLevelType w:val="hybridMultilevel"/>
    <w:tmpl w:val="6E5EA5B8"/>
    <w:lvl w:ilvl="0" w:tplc="3AC62BEE">
      <w:start w:val="1"/>
      <w:numFmt w:val="bullet"/>
      <w:lvlText w:val=""/>
      <w:lvlJc w:val="left"/>
      <w:pPr>
        <w:tabs>
          <w:tab w:val="num" w:pos="1304"/>
        </w:tabs>
        <w:ind w:left="1077" w:hanging="34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3D180602"/>
    <w:multiLevelType w:val="hybridMultilevel"/>
    <w:tmpl w:val="B900D22C"/>
    <w:lvl w:ilvl="0" w:tplc="37F65D68">
      <w:start w:val="1"/>
      <w:numFmt w:val="decimal"/>
      <w:lvlText w:val="%1."/>
      <w:lvlJc w:val="left"/>
      <w:pPr>
        <w:tabs>
          <w:tab w:val="num" w:pos="720"/>
        </w:tabs>
        <w:ind w:left="720" w:hanging="360"/>
      </w:pPr>
      <w:rPr>
        <w:rFonts w:ascii="Book Antiqua" w:hAnsi="Book Antiqua" w:cs="Times New Roman" w:hint="default"/>
        <w:color w:val="auto"/>
        <w:sz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42AB4A5E"/>
    <w:multiLevelType w:val="hybridMultilevel"/>
    <w:tmpl w:val="72FEDE8A"/>
    <w:lvl w:ilvl="0" w:tplc="7638C4FC">
      <w:numFmt w:val="bullet"/>
      <w:lvlText w:val="-"/>
      <w:lvlJc w:val="left"/>
      <w:pPr>
        <w:tabs>
          <w:tab w:val="num" w:pos="720"/>
        </w:tabs>
        <w:ind w:left="720" w:hanging="360"/>
      </w:pPr>
      <w:rPr>
        <w:rFonts w:ascii="Book Antiqua" w:eastAsia="Times New Roman" w:hAnsi="Book Antiqu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4677799F"/>
    <w:multiLevelType w:val="hybridMultilevel"/>
    <w:tmpl w:val="18B64B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DB53F5B"/>
    <w:multiLevelType w:val="multilevel"/>
    <w:tmpl w:val="96C0A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A52A6"/>
    <w:multiLevelType w:val="hybridMultilevel"/>
    <w:tmpl w:val="DCE859F8"/>
    <w:lvl w:ilvl="0" w:tplc="6374D794">
      <w:numFmt w:val="bullet"/>
      <w:lvlText w:val="-"/>
      <w:lvlJc w:val="left"/>
      <w:pPr>
        <w:tabs>
          <w:tab w:val="num" w:pos="720"/>
        </w:tabs>
        <w:ind w:left="720" w:hanging="360"/>
      </w:pPr>
      <w:rPr>
        <w:rFonts w:ascii="Book Antiqua" w:eastAsia="Times New Roman" w:hAnsi="Book Antiqu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76C839DE"/>
    <w:multiLevelType w:val="multilevel"/>
    <w:tmpl w:val="7E7E1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8B7460"/>
    <w:multiLevelType w:val="hybridMultilevel"/>
    <w:tmpl w:val="F8E85E5C"/>
    <w:lvl w:ilvl="0" w:tplc="96FEFC26">
      <w:numFmt w:val="bullet"/>
      <w:lvlText w:val="-"/>
      <w:lvlJc w:val="left"/>
      <w:pPr>
        <w:tabs>
          <w:tab w:val="num" w:pos="720"/>
        </w:tabs>
        <w:ind w:left="720" w:hanging="360"/>
      </w:pPr>
      <w:rPr>
        <w:rFonts w:ascii="Book Antiqua" w:eastAsia="Times New Roman" w:hAnsi="Book Antiqu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1"/>
  </w:num>
  <w:num w:numId="4">
    <w:abstractNumId w:val="9"/>
  </w:num>
  <w:num w:numId="5">
    <w:abstractNumId w:val="5"/>
  </w:num>
  <w:num w:numId="6">
    <w:abstractNumId w:val="1"/>
  </w:num>
  <w:num w:numId="7">
    <w:abstractNumId w:val="0"/>
  </w:num>
  <w:num w:numId="8">
    <w:abstractNumId w:val="2"/>
  </w:num>
  <w:num w:numId="9">
    <w:abstractNumId w:val="3"/>
  </w:num>
  <w:num w:numId="10">
    <w:abstractNumId w:val="10"/>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75"/>
    <w:rsid w:val="00002824"/>
    <w:rsid w:val="00002DA1"/>
    <w:rsid w:val="000047B5"/>
    <w:rsid w:val="000122E0"/>
    <w:rsid w:val="00013108"/>
    <w:rsid w:val="00021080"/>
    <w:rsid w:val="00021D02"/>
    <w:rsid w:val="0002211E"/>
    <w:rsid w:val="00031172"/>
    <w:rsid w:val="0003386A"/>
    <w:rsid w:val="00034E62"/>
    <w:rsid w:val="000367D9"/>
    <w:rsid w:val="00040E8A"/>
    <w:rsid w:val="00046854"/>
    <w:rsid w:val="00050DF9"/>
    <w:rsid w:val="000554CF"/>
    <w:rsid w:val="00064761"/>
    <w:rsid w:val="00067FC2"/>
    <w:rsid w:val="000704E1"/>
    <w:rsid w:val="00076E80"/>
    <w:rsid w:val="00082EE3"/>
    <w:rsid w:val="000836D4"/>
    <w:rsid w:val="00091F57"/>
    <w:rsid w:val="000936B2"/>
    <w:rsid w:val="00094B42"/>
    <w:rsid w:val="000A0F5E"/>
    <w:rsid w:val="000A1C0E"/>
    <w:rsid w:val="000A1CA4"/>
    <w:rsid w:val="000A2452"/>
    <w:rsid w:val="000A3493"/>
    <w:rsid w:val="000A4612"/>
    <w:rsid w:val="000A64FB"/>
    <w:rsid w:val="000A7938"/>
    <w:rsid w:val="000A7C38"/>
    <w:rsid w:val="000B1095"/>
    <w:rsid w:val="000B141D"/>
    <w:rsid w:val="000B3D1A"/>
    <w:rsid w:val="000B7112"/>
    <w:rsid w:val="000C0CAB"/>
    <w:rsid w:val="000C484C"/>
    <w:rsid w:val="000C57EF"/>
    <w:rsid w:val="000C630B"/>
    <w:rsid w:val="000C7963"/>
    <w:rsid w:val="000D3BB0"/>
    <w:rsid w:val="000D3FEF"/>
    <w:rsid w:val="000D6856"/>
    <w:rsid w:val="000D7C4F"/>
    <w:rsid w:val="000E0FC1"/>
    <w:rsid w:val="000E24B8"/>
    <w:rsid w:val="000E487A"/>
    <w:rsid w:val="000E573F"/>
    <w:rsid w:val="000F7C8C"/>
    <w:rsid w:val="0010344F"/>
    <w:rsid w:val="00103C83"/>
    <w:rsid w:val="00105D42"/>
    <w:rsid w:val="00107B3A"/>
    <w:rsid w:val="00110184"/>
    <w:rsid w:val="00113E19"/>
    <w:rsid w:val="0011448C"/>
    <w:rsid w:val="001177CF"/>
    <w:rsid w:val="00117B5D"/>
    <w:rsid w:val="00120C3E"/>
    <w:rsid w:val="00121590"/>
    <w:rsid w:val="0012686E"/>
    <w:rsid w:val="00126B4E"/>
    <w:rsid w:val="00127A4F"/>
    <w:rsid w:val="00131A52"/>
    <w:rsid w:val="00132D8D"/>
    <w:rsid w:val="00133DC4"/>
    <w:rsid w:val="0013538C"/>
    <w:rsid w:val="00137C1E"/>
    <w:rsid w:val="001417AF"/>
    <w:rsid w:val="0014238F"/>
    <w:rsid w:val="001463BC"/>
    <w:rsid w:val="00150DC2"/>
    <w:rsid w:val="00154C0F"/>
    <w:rsid w:val="00160A4B"/>
    <w:rsid w:val="001630A2"/>
    <w:rsid w:val="00163E79"/>
    <w:rsid w:val="0016629F"/>
    <w:rsid w:val="00167832"/>
    <w:rsid w:val="0017097D"/>
    <w:rsid w:val="0017304A"/>
    <w:rsid w:val="00176559"/>
    <w:rsid w:val="001829CB"/>
    <w:rsid w:val="00182A4B"/>
    <w:rsid w:val="00183A8D"/>
    <w:rsid w:val="0018790A"/>
    <w:rsid w:val="00193688"/>
    <w:rsid w:val="00194669"/>
    <w:rsid w:val="001969EB"/>
    <w:rsid w:val="00196E82"/>
    <w:rsid w:val="001A4417"/>
    <w:rsid w:val="001A571F"/>
    <w:rsid w:val="001A5B0B"/>
    <w:rsid w:val="001B129E"/>
    <w:rsid w:val="001B2247"/>
    <w:rsid w:val="001B5A5C"/>
    <w:rsid w:val="001B5F50"/>
    <w:rsid w:val="001C1C9B"/>
    <w:rsid w:val="001C212C"/>
    <w:rsid w:val="001C23AC"/>
    <w:rsid w:val="001C5B04"/>
    <w:rsid w:val="001C70B7"/>
    <w:rsid w:val="001D1917"/>
    <w:rsid w:val="001D4571"/>
    <w:rsid w:val="001D5E9F"/>
    <w:rsid w:val="001D672D"/>
    <w:rsid w:val="001D773C"/>
    <w:rsid w:val="001E091D"/>
    <w:rsid w:val="001E2472"/>
    <w:rsid w:val="001E2BC5"/>
    <w:rsid w:val="001F0611"/>
    <w:rsid w:val="001F75CF"/>
    <w:rsid w:val="001F79DB"/>
    <w:rsid w:val="00200268"/>
    <w:rsid w:val="00201349"/>
    <w:rsid w:val="00202396"/>
    <w:rsid w:val="00202D7D"/>
    <w:rsid w:val="00204A62"/>
    <w:rsid w:val="002058D3"/>
    <w:rsid w:val="00207517"/>
    <w:rsid w:val="00207609"/>
    <w:rsid w:val="002172F2"/>
    <w:rsid w:val="002249C2"/>
    <w:rsid w:val="00224E17"/>
    <w:rsid w:val="00225C01"/>
    <w:rsid w:val="00226FFB"/>
    <w:rsid w:val="00234EC8"/>
    <w:rsid w:val="00240F0D"/>
    <w:rsid w:val="00242A60"/>
    <w:rsid w:val="00243A6F"/>
    <w:rsid w:val="002445E0"/>
    <w:rsid w:val="00244B8B"/>
    <w:rsid w:val="00247AF2"/>
    <w:rsid w:val="00250DCA"/>
    <w:rsid w:val="00252458"/>
    <w:rsid w:val="00254AA2"/>
    <w:rsid w:val="00256750"/>
    <w:rsid w:val="0025770A"/>
    <w:rsid w:val="00264449"/>
    <w:rsid w:val="00274641"/>
    <w:rsid w:val="0029048F"/>
    <w:rsid w:val="002A33D4"/>
    <w:rsid w:val="002A68F7"/>
    <w:rsid w:val="002A6A70"/>
    <w:rsid w:val="002B0FEE"/>
    <w:rsid w:val="002B4134"/>
    <w:rsid w:val="002C19CF"/>
    <w:rsid w:val="002D4408"/>
    <w:rsid w:val="002D6BDC"/>
    <w:rsid w:val="002D7033"/>
    <w:rsid w:val="002E0F17"/>
    <w:rsid w:val="002E257D"/>
    <w:rsid w:val="002E3E57"/>
    <w:rsid w:val="002E7B08"/>
    <w:rsid w:val="00300254"/>
    <w:rsid w:val="00301161"/>
    <w:rsid w:val="00303CEE"/>
    <w:rsid w:val="003052AA"/>
    <w:rsid w:val="003056AB"/>
    <w:rsid w:val="00315F3D"/>
    <w:rsid w:val="00320EAB"/>
    <w:rsid w:val="00326176"/>
    <w:rsid w:val="00327409"/>
    <w:rsid w:val="00330C86"/>
    <w:rsid w:val="003339A1"/>
    <w:rsid w:val="00335711"/>
    <w:rsid w:val="00340E23"/>
    <w:rsid w:val="003413E0"/>
    <w:rsid w:val="0035209A"/>
    <w:rsid w:val="00357B7F"/>
    <w:rsid w:val="003605CB"/>
    <w:rsid w:val="00360B00"/>
    <w:rsid w:val="0036155F"/>
    <w:rsid w:val="003618B8"/>
    <w:rsid w:val="00362125"/>
    <w:rsid w:val="0036432A"/>
    <w:rsid w:val="00365DA7"/>
    <w:rsid w:val="003660A1"/>
    <w:rsid w:val="00366766"/>
    <w:rsid w:val="00366B13"/>
    <w:rsid w:val="00366EB0"/>
    <w:rsid w:val="00370D98"/>
    <w:rsid w:val="00370DC4"/>
    <w:rsid w:val="00374A93"/>
    <w:rsid w:val="0038020C"/>
    <w:rsid w:val="00384EF7"/>
    <w:rsid w:val="00385F22"/>
    <w:rsid w:val="00387F89"/>
    <w:rsid w:val="003965D9"/>
    <w:rsid w:val="003A00F6"/>
    <w:rsid w:val="003A0575"/>
    <w:rsid w:val="003A20A7"/>
    <w:rsid w:val="003A5C0C"/>
    <w:rsid w:val="003B0B97"/>
    <w:rsid w:val="003C2FF3"/>
    <w:rsid w:val="003C569D"/>
    <w:rsid w:val="003D78B0"/>
    <w:rsid w:val="003E0C9A"/>
    <w:rsid w:val="003E327F"/>
    <w:rsid w:val="003E465C"/>
    <w:rsid w:val="003F1031"/>
    <w:rsid w:val="003F2C53"/>
    <w:rsid w:val="003F6226"/>
    <w:rsid w:val="00400057"/>
    <w:rsid w:val="0040095A"/>
    <w:rsid w:val="00400BBB"/>
    <w:rsid w:val="00401262"/>
    <w:rsid w:val="00403347"/>
    <w:rsid w:val="00403F98"/>
    <w:rsid w:val="0040456A"/>
    <w:rsid w:val="00406B7C"/>
    <w:rsid w:val="00407075"/>
    <w:rsid w:val="004113CD"/>
    <w:rsid w:val="00414076"/>
    <w:rsid w:val="0041417F"/>
    <w:rsid w:val="0041464F"/>
    <w:rsid w:val="00414E24"/>
    <w:rsid w:val="00421232"/>
    <w:rsid w:val="004225FB"/>
    <w:rsid w:val="00423B70"/>
    <w:rsid w:val="0042461E"/>
    <w:rsid w:val="00426531"/>
    <w:rsid w:val="004303C3"/>
    <w:rsid w:val="0043297C"/>
    <w:rsid w:val="00436FE4"/>
    <w:rsid w:val="00440450"/>
    <w:rsid w:val="00442425"/>
    <w:rsid w:val="00445C41"/>
    <w:rsid w:val="00446E78"/>
    <w:rsid w:val="00453FC3"/>
    <w:rsid w:val="00454389"/>
    <w:rsid w:val="004546BE"/>
    <w:rsid w:val="0045757E"/>
    <w:rsid w:val="00457C6C"/>
    <w:rsid w:val="004669F6"/>
    <w:rsid w:val="00472C90"/>
    <w:rsid w:val="00481612"/>
    <w:rsid w:val="004831FC"/>
    <w:rsid w:val="00486E18"/>
    <w:rsid w:val="00486FE3"/>
    <w:rsid w:val="00487793"/>
    <w:rsid w:val="004A76D1"/>
    <w:rsid w:val="004B392F"/>
    <w:rsid w:val="004B48C6"/>
    <w:rsid w:val="004B76E5"/>
    <w:rsid w:val="004C090C"/>
    <w:rsid w:val="004C1020"/>
    <w:rsid w:val="004C1CF7"/>
    <w:rsid w:val="004C4BBF"/>
    <w:rsid w:val="004D73A7"/>
    <w:rsid w:val="004E019D"/>
    <w:rsid w:val="004E51A6"/>
    <w:rsid w:val="004E7F4A"/>
    <w:rsid w:val="004F1B58"/>
    <w:rsid w:val="004F3E5D"/>
    <w:rsid w:val="004F5939"/>
    <w:rsid w:val="004F730E"/>
    <w:rsid w:val="0050118E"/>
    <w:rsid w:val="00501E18"/>
    <w:rsid w:val="00503EA9"/>
    <w:rsid w:val="00505A68"/>
    <w:rsid w:val="005117C7"/>
    <w:rsid w:val="00516A0B"/>
    <w:rsid w:val="005216FE"/>
    <w:rsid w:val="005233EC"/>
    <w:rsid w:val="005249E9"/>
    <w:rsid w:val="00525A8E"/>
    <w:rsid w:val="005324B4"/>
    <w:rsid w:val="00532BCE"/>
    <w:rsid w:val="00534B1F"/>
    <w:rsid w:val="00542DC1"/>
    <w:rsid w:val="00550E0C"/>
    <w:rsid w:val="00551FDA"/>
    <w:rsid w:val="00553DC3"/>
    <w:rsid w:val="0056177E"/>
    <w:rsid w:val="005631D9"/>
    <w:rsid w:val="00563779"/>
    <w:rsid w:val="00563C2F"/>
    <w:rsid w:val="00563EFB"/>
    <w:rsid w:val="00564959"/>
    <w:rsid w:val="005652EA"/>
    <w:rsid w:val="005673DA"/>
    <w:rsid w:val="00574568"/>
    <w:rsid w:val="00576425"/>
    <w:rsid w:val="005771D0"/>
    <w:rsid w:val="00587C0F"/>
    <w:rsid w:val="00590CA2"/>
    <w:rsid w:val="00591631"/>
    <w:rsid w:val="005958CA"/>
    <w:rsid w:val="005A11F5"/>
    <w:rsid w:val="005A3436"/>
    <w:rsid w:val="005B6B70"/>
    <w:rsid w:val="005C1C97"/>
    <w:rsid w:val="005C1DF3"/>
    <w:rsid w:val="005C32BB"/>
    <w:rsid w:val="005C5534"/>
    <w:rsid w:val="005D0E1B"/>
    <w:rsid w:val="005D1933"/>
    <w:rsid w:val="005E67F6"/>
    <w:rsid w:val="005E72FD"/>
    <w:rsid w:val="005F088A"/>
    <w:rsid w:val="005F202E"/>
    <w:rsid w:val="005F47D1"/>
    <w:rsid w:val="005F5A34"/>
    <w:rsid w:val="005F67CA"/>
    <w:rsid w:val="006015CC"/>
    <w:rsid w:val="00603D7D"/>
    <w:rsid w:val="00605CAA"/>
    <w:rsid w:val="006162D6"/>
    <w:rsid w:val="00617370"/>
    <w:rsid w:val="00622C18"/>
    <w:rsid w:val="0062417F"/>
    <w:rsid w:val="00625563"/>
    <w:rsid w:val="006306FE"/>
    <w:rsid w:val="0063496F"/>
    <w:rsid w:val="0063675F"/>
    <w:rsid w:val="00640687"/>
    <w:rsid w:val="00652923"/>
    <w:rsid w:val="00654F20"/>
    <w:rsid w:val="006555A2"/>
    <w:rsid w:val="00655A69"/>
    <w:rsid w:val="00656867"/>
    <w:rsid w:val="0065724B"/>
    <w:rsid w:val="0066461F"/>
    <w:rsid w:val="00664D00"/>
    <w:rsid w:val="00666CCF"/>
    <w:rsid w:val="00670E4F"/>
    <w:rsid w:val="00675D32"/>
    <w:rsid w:val="0068016F"/>
    <w:rsid w:val="006811AB"/>
    <w:rsid w:val="00681385"/>
    <w:rsid w:val="006814C8"/>
    <w:rsid w:val="0068518C"/>
    <w:rsid w:val="00685A86"/>
    <w:rsid w:val="00685C10"/>
    <w:rsid w:val="00686E47"/>
    <w:rsid w:val="00691295"/>
    <w:rsid w:val="006941FF"/>
    <w:rsid w:val="00694B72"/>
    <w:rsid w:val="00695157"/>
    <w:rsid w:val="00695389"/>
    <w:rsid w:val="0069588C"/>
    <w:rsid w:val="00697C8C"/>
    <w:rsid w:val="006A6F9C"/>
    <w:rsid w:val="006A76DA"/>
    <w:rsid w:val="006B08E5"/>
    <w:rsid w:val="006B2FF7"/>
    <w:rsid w:val="006B501C"/>
    <w:rsid w:val="006B59E3"/>
    <w:rsid w:val="006B7862"/>
    <w:rsid w:val="006C2D32"/>
    <w:rsid w:val="006C4D75"/>
    <w:rsid w:val="006C563D"/>
    <w:rsid w:val="006D3360"/>
    <w:rsid w:val="006E248C"/>
    <w:rsid w:val="006E7DBD"/>
    <w:rsid w:val="006F1427"/>
    <w:rsid w:val="00702E4F"/>
    <w:rsid w:val="00703C2B"/>
    <w:rsid w:val="0070660F"/>
    <w:rsid w:val="00712053"/>
    <w:rsid w:val="007122E3"/>
    <w:rsid w:val="00717D0B"/>
    <w:rsid w:val="00720725"/>
    <w:rsid w:val="007246BA"/>
    <w:rsid w:val="0073029A"/>
    <w:rsid w:val="007305DA"/>
    <w:rsid w:val="007346FB"/>
    <w:rsid w:val="00737A6B"/>
    <w:rsid w:val="00751373"/>
    <w:rsid w:val="00751EF0"/>
    <w:rsid w:val="00752519"/>
    <w:rsid w:val="007541E4"/>
    <w:rsid w:val="007547EB"/>
    <w:rsid w:val="007558C1"/>
    <w:rsid w:val="007577A7"/>
    <w:rsid w:val="00757975"/>
    <w:rsid w:val="00760988"/>
    <w:rsid w:val="007615E5"/>
    <w:rsid w:val="00762BE6"/>
    <w:rsid w:val="007673AE"/>
    <w:rsid w:val="0077114A"/>
    <w:rsid w:val="00772610"/>
    <w:rsid w:val="0077401F"/>
    <w:rsid w:val="007755C3"/>
    <w:rsid w:val="00775F4C"/>
    <w:rsid w:val="00783E29"/>
    <w:rsid w:val="00784709"/>
    <w:rsid w:val="00784B92"/>
    <w:rsid w:val="00786802"/>
    <w:rsid w:val="00786813"/>
    <w:rsid w:val="00786A0A"/>
    <w:rsid w:val="0078720C"/>
    <w:rsid w:val="0079097C"/>
    <w:rsid w:val="0079185D"/>
    <w:rsid w:val="00791B69"/>
    <w:rsid w:val="007934F3"/>
    <w:rsid w:val="0079694D"/>
    <w:rsid w:val="00797102"/>
    <w:rsid w:val="00797CC3"/>
    <w:rsid w:val="007B0A13"/>
    <w:rsid w:val="007C33FB"/>
    <w:rsid w:val="007C7235"/>
    <w:rsid w:val="007D275C"/>
    <w:rsid w:val="007D2799"/>
    <w:rsid w:val="007D3FBA"/>
    <w:rsid w:val="007D6639"/>
    <w:rsid w:val="007E1314"/>
    <w:rsid w:val="007E1DFC"/>
    <w:rsid w:val="007E22FA"/>
    <w:rsid w:val="007E409E"/>
    <w:rsid w:val="007E7CAE"/>
    <w:rsid w:val="007F760F"/>
    <w:rsid w:val="007F79AE"/>
    <w:rsid w:val="008002DC"/>
    <w:rsid w:val="00800D2E"/>
    <w:rsid w:val="00801870"/>
    <w:rsid w:val="00806663"/>
    <w:rsid w:val="008168DA"/>
    <w:rsid w:val="00821572"/>
    <w:rsid w:val="00834382"/>
    <w:rsid w:val="00834E6A"/>
    <w:rsid w:val="0083694E"/>
    <w:rsid w:val="00837DDC"/>
    <w:rsid w:val="00841F55"/>
    <w:rsid w:val="00846C75"/>
    <w:rsid w:val="00854278"/>
    <w:rsid w:val="00861B57"/>
    <w:rsid w:val="00862335"/>
    <w:rsid w:val="00863B17"/>
    <w:rsid w:val="00864656"/>
    <w:rsid w:val="008658C3"/>
    <w:rsid w:val="008661C1"/>
    <w:rsid w:val="008671AC"/>
    <w:rsid w:val="00870A9B"/>
    <w:rsid w:val="0087246B"/>
    <w:rsid w:val="00876AE0"/>
    <w:rsid w:val="00876C87"/>
    <w:rsid w:val="008775DE"/>
    <w:rsid w:val="00880AE5"/>
    <w:rsid w:val="008920A2"/>
    <w:rsid w:val="008A1822"/>
    <w:rsid w:val="008A41D6"/>
    <w:rsid w:val="008A42FC"/>
    <w:rsid w:val="008A584D"/>
    <w:rsid w:val="008A6728"/>
    <w:rsid w:val="008A7AFB"/>
    <w:rsid w:val="008B266E"/>
    <w:rsid w:val="008C1924"/>
    <w:rsid w:val="008C6FAE"/>
    <w:rsid w:val="008C7C8B"/>
    <w:rsid w:val="008D1155"/>
    <w:rsid w:val="008D313B"/>
    <w:rsid w:val="008D47C9"/>
    <w:rsid w:val="008E0705"/>
    <w:rsid w:val="008E41A8"/>
    <w:rsid w:val="008E47AA"/>
    <w:rsid w:val="008E4E96"/>
    <w:rsid w:val="008E528E"/>
    <w:rsid w:val="008E61FA"/>
    <w:rsid w:val="008F39A8"/>
    <w:rsid w:val="008F416C"/>
    <w:rsid w:val="008F6B00"/>
    <w:rsid w:val="00900077"/>
    <w:rsid w:val="00900401"/>
    <w:rsid w:val="00903BEF"/>
    <w:rsid w:val="009058F7"/>
    <w:rsid w:val="009101E1"/>
    <w:rsid w:val="00911ECD"/>
    <w:rsid w:val="0091469C"/>
    <w:rsid w:val="0091741F"/>
    <w:rsid w:val="00921308"/>
    <w:rsid w:val="0092216F"/>
    <w:rsid w:val="00923D0C"/>
    <w:rsid w:val="00926F30"/>
    <w:rsid w:val="0092785E"/>
    <w:rsid w:val="009322FD"/>
    <w:rsid w:val="009325E4"/>
    <w:rsid w:val="00936A28"/>
    <w:rsid w:val="00947BBA"/>
    <w:rsid w:val="00952116"/>
    <w:rsid w:val="0095214F"/>
    <w:rsid w:val="00952EDE"/>
    <w:rsid w:val="00953F86"/>
    <w:rsid w:val="00954242"/>
    <w:rsid w:val="0095483D"/>
    <w:rsid w:val="00960E72"/>
    <w:rsid w:val="00967ED9"/>
    <w:rsid w:val="00970C0F"/>
    <w:rsid w:val="00974314"/>
    <w:rsid w:val="00976459"/>
    <w:rsid w:val="00976EA1"/>
    <w:rsid w:val="00977631"/>
    <w:rsid w:val="00981CBA"/>
    <w:rsid w:val="00981E9F"/>
    <w:rsid w:val="00983535"/>
    <w:rsid w:val="00983694"/>
    <w:rsid w:val="009875BF"/>
    <w:rsid w:val="00987AAC"/>
    <w:rsid w:val="00991D38"/>
    <w:rsid w:val="00993BF8"/>
    <w:rsid w:val="009A4A24"/>
    <w:rsid w:val="009A5C42"/>
    <w:rsid w:val="009A7950"/>
    <w:rsid w:val="009B09F8"/>
    <w:rsid w:val="009B18D8"/>
    <w:rsid w:val="009B371F"/>
    <w:rsid w:val="009B3790"/>
    <w:rsid w:val="009B38AF"/>
    <w:rsid w:val="009B745D"/>
    <w:rsid w:val="009C258F"/>
    <w:rsid w:val="009C3C4D"/>
    <w:rsid w:val="009D0B12"/>
    <w:rsid w:val="009D1279"/>
    <w:rsid w:val="009D56CF"/>
    <w:rsid w:val="009E0DC3"/>
    <w:rsid w:val="009E3DD0"/>
    <w:rsid w:val="009E6C69"/>
    <w:rsid w:val="00A00A1A"/>
    <w:rsid w:val="00A01266"/>
    <w:rsid w:val="00A02359"/>
    <w:rsid w:val="00A052A9"/>
    <w:rsid w:val="00A053F1"/>
    <w:rsid w:val="00A07B1A"/>
    <w:rsid w:val="00A126C8"/>
    <w:rsid w:val="00A12E30"/>
    <w:rsid w:val="00A142A0"/>
    <w:rsid w:val="00A14AB8"/>
    <w:rsid w:val="00A15392"/>
    <w:rsid w:val="00A259AC"/>
    <w:rsid w:val="00A271FD"/>
    <w:rsid w:val="00A27B12"/>
    <w:rsid w:val="00A3530D"/>
    <w:rsid w:val="00A3647D"/>
    <w:rsid w:val="00A404F0"/>
    <w:rsid w:val="00A46C78"/>
    <w:rsid w:val="00A475C2"/>
    <w:rsid w:val="00A55E44"/>
    <w:rsid w:val="00A6195E"/>
    <w:rsid w:val="00A6510A"/>
    <w:rsid w:val="00A65F35"/>
    <w:rsid w:val="00A661E0"/>
    <w:rsid w:val="00A66F39"/>
    <w:rsid w:val="00A74724"/>
    <w:rsid w:val="00A75443"/>
    <w:rsid w:val="00A812F8"/>
    <w:rsid w:val="00A864F0"/>
    <w:rsid w:val="00A903FF"/>
    <w:rsid w:val="00A919A3"/>
    <w:rsid w:val="00A95318"/>
    <w:rsid w:val="00AA1B70"/>
    <w:rsid w:val="00AA64D5"/>
    <w:rsid w:val="00AA6E02"/>
    <w:rsid w:val="00AB511C"/>
    <w:rsid w:val="00AC0160"/>
    <w:rsid w:val="00AC17E1"/>
    <w:rsid w:val="00AC232E"/>
    <w:rsid w:val="00AC2A6B"/>
    <w:rsid w:val="00AC3572"/>
    <w:rsid w:val="00AC3CCB"/>
    <w:rsid w:val="00AC7104"/>
    <w:rsid w:val="00AE1A2D"/>
    <w:rsid w:val="00AE37F9"/>
    <w:rsid w:val="00AE5C18"/>
    <w:rsid w:val="00AE7869"/>
    <w:rsid w:val="00AF59AD"/>
    <w:rsid w:val="00B07EDA"/>
    <w:rsid w:val="00B12702"/>
    <w:rsid w:val="00B17BAE"/>
    <w:rsid w:val="00B217B3"/>
    <w:rsid w:val="00B228A3"/>
    <w:rsid w:val="00B23612"/>
    <w:rsid w:val="00B249ED"/>
    <w:rsid w:val="00B311D7"/>
    <w:rsid w:val="00B4262A"/>
    <w:rsid w:val="00B46395"/>
    <w:rsid w:val="00B61347"/>
    <w:rsid w:val="00B623A4"/>
    <w:rsid w:val="00B81B6D"/>
    <w:rsid w:val="00B82AC3"/>
    <w:rsid w:val="00B87FD0"/>
    <w:rsid w:val="00B93F2B"/>
    <w:rsid w:val="00B9644F"/>
    <w:rsid w:val="00BA22B8"/>
    <w:rsid w:val="00BA34DF"/>
    <w:rsid w:val="00BA3CF4"/>
    <w:rsid w:val="00BB4539"/>
    <w:rsid w:val="00BB595E"/>
    <w:rsid w:val="00BC2A8B"/>
    <w:rsid w:val="00BC3A09"/>
    <w:rsid w:val="00BC3CE8"/>
    <w:rsid w:val="00BC4B59"/>
    <w:rsid w:val="00BE4530"/>
    <w:rsid w:val="00BE7716"/>
    <w:rsid w:val="00BF2052"/>
    <w:rsid w:val="00BF4F3B"/>
    <w:rsid w:val="00BF599F"/>
    <w:rsid w:val="00C00F60"/>
    <w:rsid w:val="00C0140E"/>
    <w:rsid w:val="00C03DE0"/>
    <w:rsid w:val="00C07C51"/>
    <w:rsid w:val="00C100E4"/>
    <w:rsid w:val="00C1065A"/>
    <w:rsid w:val="00C10A32"/>
    <w:rsid w:val="00C402D7"/>
    <w:rsid w:val="00C41290"/>
    <w:rsid w:val="00C43E10"/>
    <w:rsid w:val="00C45100"/>
    <w:rsid w:val="00C452B0"/>
    <w:rsid w:val="00C45518"/>
    <w:rsid w:val="00C47F2E"/>
    <w:rsid w:val="00C5155D"/>
    <w:rsid w:val="00C573A5"/>
    <w:rsid w:val="00C66BC3"/>
    <w:rsid w:val="00C70DD2"/>
    <w:rsid w:val="00C71199"/>
    <w:rsid w:val="00C7456C"/>
    <w:rsid w:val="00C760CE"/>
    <w:rsid w:val="00C7726E"/>
    <w:rsid w:val="00C77D23"/>
    <w:rsid w:val="00C80B9E"/>
    <w:rsid w:val="00C85122"/>
    <w:rsid w:val="00C872C8"/>
    <w:rsid w:val="00C87C4A"/>
    <w:rsid w:val="00C938A0"/>
    <w:rsid w:val="00CA10D3"/>
    <w:rsid w:val="00CA146A"/>
    <w:rsid w:val="00CA3161"/>
    <w:rsid w:val="00CA48BE"/>
    <w:rsid w:val="00CA5B09"/>
    <w:rsid w:val="00CA63A4"/>
    <w:rsid w:val="00CB260A"/>
    <w:rsid w:val="00CB6E16"/>
    <w:rsid w:val="00CB70FD"/>
    <w:rsid w:val="00CC0E81"/>
    <w:rsid w:val="00CC66AB"/>
    <w:rsid w:val="00CC7CFB"/>
    <w:rsid w:val="00CC7FB6"/>
    <w:rsid w:val="00CE1717"/>
    <w:rsid w:val="00CE4D68"/>
    <w:rsid w:val="00CE593E"/>
    <w:rsid w:val="00CF6360"/>
    <w:rsid w:val="00CF7A1E"/>
    <w:rsid w:val="00D00429"/>
    <w:rsid w:val="00D03F81"/>
    <w:rsid w:val="00D060C6"/>
    <w:rsid w:val="00D069D3"/>
    <w:rsid w:val="00D10776"/>
    <w:rsid w:val="00D11146"/>
    <w:rsid w:val="00D11229"/>
    <w:rsid w:val="00D20ACD"/>
    <w:rsid w:val="00D23050"/>
    <w:rsid w:val="00D23ADD"/>
    <w:rsid w:val="00D24A02"/>
    <w:rsid w:val="00D27CDC"/>
    <w:rsid w:val="00D35E10"/>
    <w:rsid w:val="00D41436"/>
    <w:rsid w:val="00D41BDB"/>
    <w:rsid w:val="00D41BFB"/>
    <w:rsid w:val="00D43D7B"/>
    <w:rsid w:val="00D469BF"/>
    <w:rsid w:val="00D51A4F"/>
    <w:rsid w:val="00D52391"/>
    <w:rsid w:val="00D6009A"/>
    <w:rsid w:val="00D62C0B"/>
    <w:rsid w:val="00D6303E"/>
    <w:rsid w:val="00D631A2"/>
    <w:rsid w:val="00D65AB7"/>
    <w:rsid w:val="00D66767"/>
    <w:rsid w:val="00D82A6C"/>
    <w:rsid w:val="00D845D3"/>
    <w:rsid w:val="00D87E35"/>
    <w:rsid w:val="00D93318"/>
    <w:rsid w:val="00D949FC"/>
    <w:rsid w:val="00D94AF6"/>
    <w:rsid w:val="00D95805"/>
    <w:rsid w:val="00DA523B"/>
    <w:rsid w:val="00DB1D55"/>
    <w:rsid w:val="00DB6502"/>
    <w:rsid w:val="00DC3BD4"/>
    <w:rsid w:val="00DC4026"/>
    <w:rsid w:val="00DC4ECD"/>
    <w:rsid w:val="00DC7083"/>
    <w:rsid w:val="00DD5896"/>
    <w:rsid w:val="00DD62A5"/>
    <w:rsid w:val="00DE05FE"/>
    <w:rsid w:val="00DE2372"/>
    <w:rsid w:val="00DF46EA"/>
    <w:rsid w:val="00DF5EBD"/>
    <w:rsid w:val="00E02DDE"/>
    <w:rsid w:val="00E05810"/>
    <w:rsid w:val="00E11740"/>
    <w:rsid w:val="00E12D4C"/>
    <w:rsid w:val="00E15BF1"/>
    <w:rsid w:val="00E16E5A"/>
    <w:rsid w:val="00E17732"/>
    <w:rsid w:val="00E20BD2"/>
    <w:rsid w:val="00E2236D"/>
    <w:rsid w:val="00E236C0"/>
    <w:rsid w:val="00E236C6"/>
    <w:rsid w:val="00E24501"/>
    <w:rsid w:val="00E26931"/>
    <w:rsid w:val="00E27636"/>
    <w:rsid w:val="00E2775C"/>
    <w:rsid w:val="00E323A7"/>
    <w:rsid w:val="00E33125"/>
    <w:rsid w:val="00E3371A"/>
    <w:rsid w:val="00E33A13"/>
    <w:rsid w:val="00E352C5"/>
    <w:rsid w:val="00E358AB"/>
    <w:rsid w:val="00E36365"/>
    <w:rsid w:val="00E461AC"/>
    <w:rsid w:val="00E54970"/>
    <w:rsid w:val="00E55323"/>
    <w:rsid w:val="00E56C66"/>
    <w:rsid w:val="00E6406B"/>
    <w:rsid w:val="00E71E03"/>
    <w:rsid w:val="00E7417B"/>
    <w:rsid w:val="00E826DB"/>
    <w:rsid w:val="00E85E52"/>
    <w:rsid w:val="00E9086F"/>
    <w:rsid w:val="00E931CD"/>
    <w:rsid w:val="00E93599"/>
    <w:rsid w:val="00E93F30"/>
    <w:rsid w:val="00E966A7"/>
    <w:rsid w:val="00E96C61"/>
    <w:rsid w:val="00EA3D1D"/>
    <w:rsid w:val="00EB2EFA"/>
    <w:rsid w:val="00EB3699"/>
    <w:rsid w:val="00EB590F"/>
    <w:rsid w:val="00EC20E5"/>
    <w:rsid w:val="00EC5DBA"/>
    <w:rsid w:val="00EE018B"/>
    <w:rsid w:val="00EE08A7"/>
    <w:rsid w:val="00EE1800"/>
    <w:rsid w:val="00EE6BAE"/>
    <w:rsid w:val="00EF1C41"/>
    <w:rsid w:val="00EF3504"/>
    <w:rsid w:val="00EF598C"/>
    <w:rsid w:val="00EF73BD"/>
    <w:rsid w:val="00F03158"/>
    <w:rsid w:val="00F067B6"/>
    <w:rsid w:val="00F12D7D"/>
    <w:rsid w:val="00F17203"/>
    <w:rsid w:val="00F25611"/>
    <w:rsid w:val="00F33410"/>
    <w:rsid w:val="00F340FB"/>
    <w:rsid w:val="00F36D33"/>
    <w:rsid w:val="00F41675"/>
    <w:rsid w:val="00F42F5C"/>
    <w:rsid w:val="00F44BEF"/>
    <w:rsid w:val="00F46C72"/>
    <w:rsid w:val="00F5016E"/>
    <w:rsid w:val="00F513A4"/>
    <w:rsid w:val="00F51C58"/>
    <w:rsid w:val="00F52EF1"/>
    <w:rsid w:val="00F555EF"/>
    <w:rsid w:val="00F5788C"/>
    <w:rsid w:val="00F609AA"/>
    <w:rsid w:val="00F64ADE"/>
    <w:rsid w:val="00F653A9"/>
    <w:rsid w:val="00F666A6"/>
    <w:rsid w:val="00F673AF"/>
    <w:rsid w:val="00F715D5"/>
    <w:rsid w:val="00F718CB"/>
    <w:rsid w:val="00F71A0D"/>
    <w:rsid w:val="00F7267F"/>
    <w:rsid w:val="00F77957"/>
    <w:rsid w:val="00F80AAC"/>
    <w:rsid w:val="00F80FAE"/>
    <w:rsid w:val="00F8360C"/>
    <w:rsid w:val="00F83809"/>
    <w:rsid w:val="00F85F8E"/>
    <w:rsid w:val="00F8667C"/>
    <w:rsid w:val="00F8682D"/>
    <w:rsid w:val="00F9238E"/>
    <w:rsid w:val="00FA1B2A"/>
    <w:rsid w:val="00FB2306"/>
    <w:rsid w:val="00FC477D"/>
    <w:rsid w:val="00FC7944"/>
    <w:rsid w:val="00FD46FE"/>
    <w:rsid w:val="00FD5AA2"/>
    <w:rsid w:val="00FD6507"/>
    <w:rsid w:val="00FD6961"/>
    <w:rsid w:val="00FD6CD6"/>
    <w:rsid w:val="00FD753A"/>
    <w:rsid w:val="00FE18F9"/>
    <w:rsid w:val="00FE2DE0"/>
    <w:rsid w:val="00FE3F4A"/>
    <w:rsid w:val="00FE51E9"/>
    <w:rsid w:val="00FE728E"/>
    <w:rsid w:val="00FE76E9"/>
    <w:rsid w:val="00FF10BF"/>
    <w:rsid w:val="00FF1288"/>
    <w:rsid w:val="00FF29CB"/>
    <w:rsid w:val="00FF3579"/>
    <w:rsid w:val="00FF46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qFormat/>
    <w:rsid w:val="0042123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4DF"/>
    <w:rPr>
      <w:color w:val="0000FF"/>
      <w:u w:val="single"/>
    </w:rPr>
  </w:style>
  <w:style w:type="character" w:customStyle="1" w:styleId="apple-style-span">
    <w:name w:val="apple-style-span"/>
    <w:basedOn w:val="DefaultParagraphFont"/>
    <w:uiPriority w:val="99"/>
    <w:rsid w:val="00D66767"/>
  </w:style>
  <w:style w:type="character" w:customStyle="1" w:styleId="apple-converted-space">
    <w:name w:val="apple-converted-space"/>
    <w:basedOn w:val="DefaultParagraphFont"/>
    <w:rsid w:val="00D66767"/>
  </w:style>
  <w:style w:type="character" w:styleId="FollowedHyperlink">
    <w:name w:val="FollowedHyperlink"/>
    <w:rsid w:val="00712053"/>
    <w:rPr>
      <w:color w:val="800080"/>
      <w:u w:val="single"/>
    </w:rPr>
  </w:style>
  <w:style w:type="character" w:styleId="Strong">
    <w:name w:val="Strong"/>
    <w:qFormat/>
    <w:rsid w:val="00981E9F"/>
    <w:rPr>
      <w:b/>
      <w:bCs/>
    </w:rPr>
  </w:style>
  <w:style w:type="paragraph" w:styleId="NormalWeb">
    <w:name w:val="Normal (Web)"/>
    <w:basedOn w:val="Normal"/>
    <w:rsid w:val="00981E9F"/>
    <w:pPr>
      <w:spacing w:before="100" w:beforeAutospacing="1" w:after="100" w:afterAutospacing="1"/>
    </w:pPr>
  </w:style>
  <w:style w:type="paragraph" w:styleId="ListParagraph">
    <w:name w:val="List Paragraph"/>
    <w:basedOn w:val="Normal"/>
    <w:uiPriority w:val="34"/>
    <w:qFormat/>
    <w:rsid w:val="007F79AE"/>
    <w:pPr>
      <w:ind w:left="720"/>
      <w:contextualSpacing/>
    </w:pPr>
  </w:style>
  <w:style w:type="paragraph" w:styleId="FootnoteText">
    <w:name w:val="footnote text"/>
    <w:basedOn w:val="Normal"/>
    <w:link w:val="FootnoteTextChar"/>
    <w:uiPriority w:val="99"/>
    <w:rsid w:val="00F46C72"/>
    <w:rPr>
      <w:sz w:val="20"/>
      <w:szCs w:val="20"/>
    </w:rPr>
  </w:style>
  <w:style w:type="character" w:customStyle="1" w:styleId="FootnoteTextChar">
    <w:name w:val="Footnote Text Char"/>
    <w:basedOn w:val="DefaultParagraphFont"/>
    <w:link w:val="FootnoteText"/>
    <w:uiPriority w:val="99"/>
    <w:rsid w:val="00F46C72"/>
  </w:style>
  <w:style w:type="character" w:styleId="FootnoteReference">
    <w:name w:val="footnote reference"/>
    <w:basedOn w:val="DefaultParagraphFont"/>
    <w:uiPriority w:val="99"/>
    <w:rsid w:val="00F46C72"/>
    <w:rPr>
      <w:vertAlign w:val="superscript"/>
    </w:rPr>
  </w:style>
  <w:style w:type="paragraph" w:styleId="BalloonText">
    <w:name w:val="Balloon Text"/>
    <w:basedOn w:val="Normal"/>
    <w:link w:val="BalloonTextChar"/>
    <w:rsid w:val="00BC3CE8"/>
    <w:rPr>
      <w:rFonts w:ascii="Tahoma" w:hAnsi="Tahoma" w:cs="Tahoma"/>
      <w:sz w:val="16"/>
      <w:szCs w:val="16"/>
    </w:rPr>
  </w:style>
  <w:style w:type="character" w:customStyle="1" w:styleId="BalloonTextChar">
    <w:name w:val="Balloon Text Char"/>
    <w:basedOn w:val="DefaultParagraphFont"/>
    <w:link w:val="BalloonText"/>
    <w:rsid w:val="00BC3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qFormat/>
    <w:rsid w:val="0042123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4DF"/>
    <w:rPr>
      <w:color w:val="0000FF"/>
      <w:u w:val="single"/>
    </w:rPr>
  </w:style>
  <w:style w:type="character" w:customStyle="1" w:styleId="apple-style-span">
    <w:name w:val="apple-style-span"/>
    <w:basedOn w:val="DefaultParagraphFont"/>
    <w:uiPriority w:val="99"/>
    <w:rsid w:val="00D66767"/>
  </w:style>
  <w:style w:type="character" w:customStyle="1" w:styleId="apple-converted-space">
    <w:name w:val="apple-converted-space"/>
    <w:basedOn w:val="DefaultParagraphFont"/>
    <w:rsid w:val="00D66767"/>
  </w:style>
  <w:style w:type="character" w:styleId="FollowedHyperlink">
    <w:name w:val="FollowedHyperlink"/>
    <w:rsid w:val="00712053"/>
    <w:rPr>
      <w:color w:val="800080"/>
      <w:u w:val="single"/>
    </w:rPr>
  </w:style>
  <w:style w:type="character" w:styleId="Strong">
    <w:name w:val="Strong"/>
    <w:qFormat/>
    <w:rsid w:val="00981E9F"/>
    <w:rPr>
      <w:b/>
      <w:bCs/>
    </w:rPr>
  </w:style>
  <w:style w:type="paragraph" w:styleId="NormalWeb">
    <w:name w:val="Normal (Web)"/>
    <w:basedOn w:val="Normal"/>
    <w:rsid w:val="00981E9F"/>
    <w:pPr>
      <w:spacing w:before="100" w:beforeAutospacing="1" w:after="100" w:afterAutospacing="1"/>
    </w:pPr>
  </w:style>
  <w:style w:type="paragraph" w:styleId="ListParagraph">
    <w:name w:val="List Paragraph"/>
    <w:basedOn w:val="Normal"/>
    <w:uiPriority w:val="34"/>
    <w:qFormat/>
    <w:rsid w:val="007F79AE"/>
    <w:pPr>
      <w:ind w:left="720"/>
      <w:contextualSpacing/>
    </w:pPr>
  </w:style>
  <w:style w:type="paragraph" w:styleId="FootnoteText">
    <w:name w:val="footnote text"/>
    <w:basedOn w:val="Normal"/>
    <w:link w:val="FootnoteTextChar"/>
    <w:uiPriority w:val="99"/>
    <w:rsid w:val="00F46C72"/>
    <w:rPr>
      <w:sz w:val="20"/>
      <w:szCs w:val="20"/>
    </w:rPr>
  </w:style>
  <w:style w:type="character" w:customStyle="1" w:styleId="FootnoteTextChar">
    <w:name w:val="Footnote Text Char"/>
    <w:basedOn w:val="DefaultParagraphFont"/>
    <w:link w:val="FootnoteText"/>
    <w:uiPriority w:val="99"/>
    <w:rsid w:val="00F46C72"/>
  </w:style>
  <w:style w:type="character" w:styleId="FootnoteReference">
    <w:name w:val="footnote reference"/>
    <w:basedOn w:val="DefaultParagraphFont"/>
    <w:uiPriority w:val="99"/>
    <w:rsid w:val="00F46C72"/>
    <w:rPr>
      <w:vertAlign w:val="superscript"/>
    </w:rPr>
  </w:style>
  <w:style w:type="paragraph" w:styleId="BalloonText">
    <w:name w:val="Balloon Text"/>
    <w:basedOn w:val="Normal"/>
    <w:link w:val="BalloonTextChar"/>
    <w:rsid w:val="00BC3CE8"/>
    <w:rPr>
      <w:rFonts w:ascii="Tahoma" w:hAnsi="Tahoma" w:cs="Tahoma"/>
      <w:sz w:val="16"/>
      <w:szCs w:val="16"/>
    </w:rPr>
  </w:style>
  <w:style w:type="character" w:customStyle="1" w:styleId="BalloonTextChar">
    <w:name w:val="Balloon Text Char"/>
    <w:basedOn w:val="DefaultParagraphFont"/>
    <w:link w:val="BalloonText"/>
    <w:rsid w:val="00BC3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5225">
      <w:bodyDiv w:val="1"/>
      <w:marLeft w:val="0"/>
      <w:marRight w:val="0"/>
      <w:marTop w:val="0"/>
      <w:marBottom w:val="0"/>
      <w:divBdr>
        <w:top w:val="none" w:sz="0" w:space="0" w:color="auto"/>
        <w:left w:val="none" w:sz="0" w:space="0" w:color="auto"/>
        <w:bottom w:val="none" w:sz="0" w:space="0" w:color="auto"/>
        <w:right w:val="none" w:sz="0" w:space="0" w:color="auto"/>
      </w:divBdr>
      <w:divsChild>
        <w:div w:id="101149707">
          <w:marLeft w:val="0"/>
          <w:marRight w:val="0"/>
          <w:marTop w:val="0"/>
          <w:marBottom w:val="0"/>
          <w:divBdr>
            <w:top w:val="none" w:sz="0" w:space="0" w:color="auto"/>
            <w:left w:val="none" w:sz="0" w:space="0" w:color="auto"/>
            <w:bottom w:val="none" w:sz="0" w:space="0" w:color="auto"/>
            <w:right w:val="none" w:sz="0" w:space="0" w:color="auto"/>
          </w:divBdr>
        </w:div>
        <w:div w:id="1182547045">
          <w:marLeft w:val="0"/>
          <w:marRight w:val="0"/>
          <w:marTop w:val="0"/>
          <w:marBottom w:val="0"/>
          <w:divBdr>
            <w:top w:val="none" w:sz="0" w:space="0" w:color="auto"/>
            <w:left w:val="none" w:sz="0" w:space="0" w:color="auto"/>
            <w:bottom w:val="none" w:sz="0" w:space="0" w:color="auto"/>
            <w:right w:val="none" w:sz="0" w:space="0" w:color="auto"/>
          </w:divBdr>
        </w:div>
      </w:divsChild>
    </w:div>
    <w:div w:id="604925078">
      <w:bodyDiv w:val="1"/>
      <w:marLeft w:val="0"/>
      <w:marRight w:val="0"/>
      <w:marTop w:val="0"/>
      <w:marBottom w:val="0"/>
      <w:divBdr>
        <w:top w:val="none" w:sz="0" w:space="0" w:color="auto"/>
        <w:left w:val="none" w:sz="0" w:space="0" w:color="auto"/>
        <w:bottom w:val="none" w:sz="0" w:space="0" w:color="auto"/>
        <w:right w:val="none" w:sz="0" w:space="0" w:color="auto"/>
      </w:divBdr>
    </w:div>
    <w:div w:id="683753580">
      <w:bodyDiv w:val="1"/>
      <w:marLeft w:val="0"/>
      <w:marRight w:val="0"/>
      <w:marTop w:val="0"/>
      <w:marBottom w:val="0"/>
      <w:divBdr>
        <w:top w:val="none" w:sz="0" w:space="0" w:color="auto"/>
        <w:left w:val="none" w:sz="0" w:space="0" w:color="auto"/>
        <w:bottom w:val="none" w:sz="0" w:space="0" w:color="auto"/>
        <w:right w:val="none" w:sz="0" w:space="0" w:color="auto"/>
      </w:divBdr>
    </w:div>
    <w:div w:id="684792817">
      <w:bodyDiv w:val="1"/>
      <w:marLeft w:val="0"/>
      <w:marRight w:val="0"/>
      <w:marTop w:val="0"/>
      <w:marBottom w:val="0"/>
      <w:divBdr>
        <w:top w:val="none" w:sz="0" w:space="0" w:color="auto"/>
        <w:left w:val="none" w:sz="0" w:space="0" w:color="auto"/>
        <w:bottom w:val="none" w:sz="0" w:space="0" w:color="auto"/>
        <w:right w:val="none" w:sz="0" w:space="0" w:color="auto"/>
      </w:divBdr>
      <w:divsChild>
        <w:div w:id="445007144">
          <w:marLeft w:val="0"/>
          <w:marRight w:val="0"/>
          <w:marTop w:val="0"/>
          <w:marBottom w:val="0"/>
          <w:divBdr>
            <w:top w:val="none" w:sz="0" w:space="0" w:color="auto"/>
            <w:left w:val="none" w:sz="0" w:space="0" w:color="auto"/>
            <w:bottom w:val="none" w:sz="0" w:space="0" w:color="auto"/>
            <w:right w:val="none" w:sz="0" w:space="0" w:color="auto"/>
          </w:divBdr>
        </w:div>
      </w:divsChild>
    </w:div>
    <w:div w:id="814881841">
      <w:bodyDiv w:val="1"/>
      <w:marLeft w:val="0"/>
      <w:marRight w:val="0"/>
      <w:marTop w:val="0"/>
      <w:marBottom w:val="0"/>
      <w:divBdr>
        <w:top w:val="none" w:sz="0" w:space="0" w:color="auto"/>
        <w:left w:val="none" w:sz="0" w:space="0" w:color="auto"/>
        <w:bottom w:val="none" w:sz="0" w:space="0" w:color="auto"/>
        <w:right w:val="none" w:sz="0" w:space="0" w:color="auto"/>
      </w:divBdr>
      <w:divsChild>
        <w:div w:id="151871138">
          <w:marLeft w:val="-225"/>
          <w:marRight w:val="-225"/>
          <w:marTop w:val="0"/>
          <w:marBottom w:val="0"/>
          <w:divBdr>
            <w:top w:val="none" w:sz="0" w:space="0" w:color="auto"/>
            <w:left w:val="none" w:sz="0" w:space="0" w:color="auto"/>
            <w:bottom w:val="none" w:sz="0" w:space="0" w:color="auto"/>
            <w:right w:val="none" w:sz="0" w:space="0" w:color="auto"/>
          </w:divBdr>
          <w:divsChild>
            <w:div w:id="1027870347">
              <w:marLeft w:val="0"/>
              <w:marRight w:val="0"/>
              <w:marTop w:val="0"/>
              <w:marBottom w:val="0"/>
              <w:divBdr>
                <w:top w:val="none" w:sz="0" w:space="0" w:color="auto"/>
                <w:left w:val="none" w:sz="0" w:space="0" w:color="auto"/>
                <w:bottom w:val="none" w:sz="0" w:space="0" w:color="auto"/>
                <w:right w:val="none" w:sz="0" w:space="0" w:color="auto"/>
              </w:divBdr>
              <w:divsChild>
                <w:div w:id="615260981">
                  <w:marLeft w:val="0"/>
                  <w:marRight w:val="0"/>
                  <w:marTop w:val="0"/>
                  <w:marBottom w:val="0"/>
                  <w:divBdr>
                    <w:top w:val="none" w:sz="0" w:space="0" w:color="auto"/>
                    <w:left w:val="none" w:sz="0" w:space="0" w:color="auto"/>
                    <w:bottom w:val="none" w:sz="0" w:space="0" w:color="auto"/>
                    <w:right w:val="none" w:sz="0" w:space="0" w:color="auto"/>
                  </w:divBdr>
                  <w:divsChild>
                    <w:div w:id="1455443349">
                      <w:marLeft w:val="0"/>
                      <w:marRight w:val="0"/>
                      <w:marTop w:val="0"/>
                      <w:marBottom w:val="0"/>
                      <w:divBdr>
                        <w:top w:val="none" w:sz="0" w:space="0" w:color="auto"/>
                        <w:left w:val="none" w:sz="0" w:space="0" w:color="auto"/>
                        <w:bottom w:val="none" w:sz="0" w:space="0" w:color="auto"/>
                        <w:right w:val="none" w:sz="0" w:space="0" w:color="auto"/>
                      </w:divBdr>
                      <w:divsChild>
                        <w:div w:id="1970821575">
                          <w:marLeft w:val="0"/>
                          <w:marRight w:val="0"/>
                          <w:marTop w:val="0"/>
                          <w:marBottom w:val="0"/>
                          <w:divBdr>
                            <w:top w:val="none" w:sz="0" w:space="0" w:color="auto"/>
                            <w:left w:val="none" w:sz="0" w:space="0" w:color="auto"/>
                            <w:bottom w:val="none" w:sz="0" w:space="0" w:color="auto"/>
                            <w:right w:val="none" w:sz="0" w:space="0" w:color="auto"/>
                          </w:divBdr>
                        </w:div>
                      </w:divsChild>
                    </w:div>
                    <w:div w:id="2066639543">
                      <w:marLeft w:val="0"/>
                      <w:marRight w:val="0"/>
                      <w:marTop w:val="0"/>
                      <w:marBottom w:val="0"/>
                      <w:divBdr>
                        <w:top w:val="none" w:sz="0" w:space="0" w:color="auto"/>
                        <w:left w:val="none" w:sz="0" w:space="0" w:color="auto"/>
                        <w:bottom w:val="none" w:sz="0" w:space="0" w:color="auto"/>
                        <w:right w:val="none" w:sz="0" w:space="0" w:color="auto"/>
                      </w:divBdr>
                      <w:divsChild>
                        <w:div w:id="559291704">
                          <w:marLeft w:val="0"/>
                          <w:marRight w:val="0"/>
                          <w:marTop w:val="0"/>
                          <w:marBottom w:val="0"/>
                          <w:divBdr>
                            <w:top w:val="none" w:sz="0" w:space="0" w:color="auto"/>
                            <w:left w:val="none" w:sz="0" w:space="0" w:color="auto"/>
                            <w:bottom w:val="none" w:sz="0" w:space="0" w:color="auto"/>
                            <w:right w:val="none" w:sz="0" w:space="0" w:color="auto"/>
                          </w:divBdr>
                        </w:div>
                        <w:div w:id="20107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7305">
          <w:marLeft w:val="-225"/>
          <w:marRight w:val="-225"/>
          <w:marTop w:val="0"/>
          <w:marBottom w:val="0"/>
          <w:divBdr>
            <w:top w:val="none" w:sz="0" w:space="0" w:color="auto"/>
            <w:left w:val="none" w:sz="0" w:space="0" w:color="auto"/>
            <w:bottom w:val="none" w:sz="0" w:space="0" w:color="auto"/>
            <w:right w:val="none" w:sz="0" w:space="0" w:color="auto"/>
          </w:divBdr>
          <w:divsChild>
            <w:div w:id="2140368007">
              <w:marLeft w:val="0"/>
              <w:marRight w:val="0"/>
              <w:marTop w:val="0"/>
              <w:marBottom w:val="0"/>
              <w:divBdr>
                <w:top w:val="none" w:sz="0" w:space="0" w:color="auto"/>
                <w:left w:val="none" w:sz="0" w:space="0" w:color="auto"/>
                <w:bottom w:val="none" w:sz="0" w:space="0" w:color="auto"/>
                <w:right w:val="none" w:sz="0" w:space="0" w:color="auto"/>
              </w:divBdr>
              <w:divsChild>
                <w:div w:id="1184200032">
                  <w:marLeft w:val="0"/>
                  <w:marRight w:val="0"/>
                  <w:marTop w:val="0"/>
                  <w:marBottom w:val="0"/>
                  <w:divBdr>
                    <w:top w:val="none" w:sz="0" w:space="0" w:color="auto"/>
                    <w:left w:val="none" w:sz="0" w:space="0" w:color="auto"/>
                    <w:bottom w:val="none" w:sz="0" w:space="0" w:color="auto"/>
                    <w:right w:val="none" w:sz="0" w:space="0" w:color="auto"/>
                  </w:divBdr>
                  <w:divsChild>
                    <w:div w:id="146750947">
                      <w:marLeft w:val="0"/>
                      <w:marRight w:val="0"/>
                      <w:marTop w:val="0"/>
                      <w:marBottom w:val="0"/>
                      <w:divBdr>
                        <w:top w:val="none" w:sz="0" w:space="0" w:color="auto"/>
                        <w:left w:val="none" w:sz="0" w:space="0" w:color="auto"/>
                        <w:bottom w:val="none" w:sz="0" w:space="0" w:color="auto"/>
                        <w:right w:val="none" w:sz="0" w:space="0" w:color="auto"/>
                      </w:divBdr>
                      <w:divsChild>
                        <w:div w:id="559513235">
                          <w:marLeft w:val="0"/>
                          <w:marRight w:val="0"/>
                          <w:marTop w:val="0"/>
                          <w:marBottom w:val="0"/>
                          <w:divBdr>
                            <w:top w:val="none" w:sz="0" w:space="0" w:color="auto"/>
                            <w:left w:val="none" w:sz="0" w:space="0" w:color="auto"/>
                            <w:bottom w:val="none" w:sz="0" w:space="0" w:color="auto"/>
                            <w:right w:val="none" w:sz="0" w:space="0" w:color="auto"/>
                          </w:divBdr>
                        </w:div>
                        <w:div w:id="997654612">
                          <w:marLeft w:val="0"/>
                          <w:marRight w:val="0"/>
                          <w:marTop w:val="0"/>
                          <w:marBottom w:val="0"/>
                          <w:divBdr>
                            <w:top w:val="none" w:sz="0" w:space="0" w:color="auto"/>
                            <w:left w:val="none" w:sz="0" w:space="0" w:color="auto"/>
                            <w:bottom w:val="none" w:sz="0" w:space="0" w:color="auto"/>
                            <w:right w:val="none" w:sz="0" w:space="0" w:color="auto"/>
                          </w:divBdr>
                        </w:div>
                      </w:divsChild>
                    </w:div>
                    <w:div w:id="229002941">
                      <w:marLeft w:val="0"/>
                      <w:marRight w:val="0"/>
                      <w:marTop w:val="0"/>
                      <w:marBottom w:val="0"/>
                      <w:divBdr>
                        <w:top w:val="none" w:sz="0" w:space="0" w:color="auto"/>
                        <w:left w:val="none" w:sz="0" w:space="0" w:color="auto"/>
                        <w:bottom w:val="none" w:sz="0" w:space="0" w:color="auto"/>
                        <w:right w:val="none" w:sz="0" w:space="0" w:color="auto"/>
                      </w:divBdr>
                      <w:divsChild>
                        <w:div w:id="10259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2024">
          <w:marLeft w:val="-225"/>
          <w:marRight w:val="-225"/>
          <w:marTop w:val="0"/>
          <w:marBottom w:val="0"/>
          <w:divBdr>
            <w:top w:val="none" w:sz="0" w:space="0" w:color="auto"/>
            <w:left w:val="none" w:sz="0" w:space="0" w:color="auto"/>
            <w:bottom w:val="none" w:sz="0" w:space="0" w:color="auto"/>
            <w:right w:val="none" w:sz="0" w:space="0" w:color="auto"/>
          </w:divBdr>
          <w:divsChild>
            <w:div w:id="1751075986">
              <w:marLeft w:val="0"/>
              <w:marRight w:val="0"/>
              <w:marTop w:val="0"/>
              <w:marBottom w:val="0"/>
              <w:divBdr>
                <w:top w:val="none" w:sz="0" w:space="0" w:color="auto"/>
                <w:left w:val="none" w:sz="0" w:space="0" w:color="auto"/>
                <w:bottom w:val="none" w:sz="0" w:space="0" w:color="auto"/>
                <w:right w:val="none" w:sz="0" w:space="0" w:color="auto"/>
              </w:divBdr>
              <w:divsChild>
                <w:div w:id="63723719">
                  <w:marLeft w:val="0"/>
                  <w:marRight w:val="0"/>
                  <w:marTop w:val="0"/>
                  <w:marBottom w:val="0"/>
                  <w:divBdr>
                    <w:top w:val="none" w:sz="0" w:space="0" w:color="auto"/>
                    <w:left w:val="none" w:sz="0" w:space="0" w:color="auto"/>
                    <w:bottom w:val="none" w:sz="0" w:space="0" w:color="auto"/>
                    <w:right w:val="none" w:sz="0" w:space="0" w:color="auto"/>
                  </w:divBdr>
                  <w:divsChild>
                    <w:div w:id="347634029">
                      <w:marLeft w:val="0"/>
                      <w:marRight w:val="0"/>
                      <w:marTop w:val="0"/>
                      <w:marBottom w:val="0"/>
                      <w:divBdr>
                        <w:top w:val="none" w:sz="0" w:space="0" w:color="auto"/>
                        <w:left w:val="none" w:sz="0" w:space="0" w:color="auto"/>
                        <w:bottom w:val="none" w:sz="0" w:space="0" w:color="auto"/>
                        <w:right w:val="none" w:sz="0" w:space="0" w:color="auto"/>
                      </w:divBdr>
                      <w:divsChild>
                        <w:div w:id="1533104563">
                          <w:marLeft w:val="0"/>
                          <w:marRight w:val="0"/>
                          <w:marTop w:val="0"/>
                          <w:marBottom w:val="0"/>
                          <w:divBdr>
                            <w:top w:val="none" w:sz="0" w:space="0" w:color="auto"/>
                            <w:left w:val="none" w:sz="0" w:space="0" w:color="auto"/>
                            <w:bottom w:val="none" w:sz="0" w:space="0" w:color="auto"/>
                            <w:right w:val="none" w:sz="0" w:space="0" w:color="auto"/>
                          </w:divBdr>
                        </w:div>
                        <w:div w:id="1606501584">
                          <w:marLeft w:val="0"/>
                          <w:marRight w:val="0"/>
                          <w:marTop w:val="0"/>
                          <w:marBottom w:val="0"/>
                          <w:divBdr>
                            <w:top w:val="none" w:sz="0" w:space="0" w:color="auto"/>
                            <w:left w:val="none" w:sz="0" w:space="0" w:color="auto"/>
                            <w:bottom w:val="none" w:sz="0" w:space="0" w:color="auto"/>
                            <w:right w:val="none" w:sz="0" w:space="0" w:color="auto"/>
                          </w:divBdr>
                        </w:div>
                        <w:div w:id="1711761669">
                          <w:marLeft w:val="0"/>
                          <w:marRight w:val="0"/>
                          <w:marTop w:val="0"/>
                          <w:marBottom w:val="0"/>
                          <w:divBdr>
                            <w:top w:val="none" w:sz="0" w:space="0" w:color="auto"/>
                            <w:left w:val="none" w:sz="0" w:space="0" w:color="auto"/>
                            <w:bottom w:val="none" w:sz="0" w:space="0" w:color="auto"/>
                            <w:right w:val="none" w:sz="0" w:space="0" w:color="auto"/>
                          </w:divBdr>
                        </w:div>
                        <w:div w:id="1788617643">
                          <w:marLeft w:val="0"/>
                          <w:marRight w:val="0"/>
                          <w:marTop w:val="0"/>
                          <w:marBottom w:val="0"/>
                          <w:divBdr>
                            <w:top w:val="none" w:sz="0" w:space="0" w:color="auto"/>
                            <w:left w:val="none" w:sz="0" w:space="0" w:color="auto"/>
                            <w:bottom w:val="none" w:sz="0" w:space="0" w:color="auto"/>
                            <w:right w:val="none" w:sz="0" w:space="0" w:color="auto"/>
                          </w:divBdr>
                        </w:div>
                      </w:divsChild>
                    </w:div>
                    <w:div w:id="1957132759">
                      <w:marLeft w:val="0"/>
                      <w:marRight w:val="0"/>
                      <w:marTop w:val="0"/>
                      <w:marBottom w:val="0"/>
                      <w:divBdr>
                        <w:top w:val="none" w:sz="0" w:space="0" w:color="auto"/>
                        <w:left w:val="none" w:sz="0" w:space="0" w:color="auto"/>
                        <w:bottom w:val="none" w:sz="0" w:space="0" w:color="auto"/>
                        <w:right w:val="none" w:sz="0" w:space="0" w:color="auto"/>
                      </w:divBdr>
                      <w:divsChild>
                        <w:div w:id="15688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52845">
          <w:marLeft w:val="-225"/>
          <w:marRight w:val="-225"/>
          <w:marTop w:val="0"/>
          <w:marBottom w:val="0"/>
          <w:divBdr>
            <w:top w:val="none" w:sz="0" w:space="0" w:color="auto"/>
            <w:left w:val="none" w:sz="0" w:space="0" w:color="auto"/>
            <w:bottom w:val="none" w:sz="0" w:space="0" w:color="auto"/>
            <w:right w:val="none" w:sz="0" w:space="0" w:color="auto"/>
          </w:divBdr>
          <w:divsChild>
            <w:div w:id="2137722311">
              <w:marLeft w:val="0"/>
              <w:marRight w:val="0"/>
              <w:marTop w:val="0"/>
              <w:marBottom w:val="0"/>
              <w:divBdr>
                <w:top w:val="none" w:sz="0" w:space="0" w:color="auto"/>
                <w:left w:val="none" w:sz="0" w:space="0" w:color="auto"/>
                <w:bottom w:val="none" w:sz="0" w:space="0" w:color="auto"/>
                <w:right w:val="none" w:sz="0" w:space="0" w:color="auto"/>
              </w:divBdr>
              <w:divsChild>
                <w:div w:id="1498035083">
                  <w:marLeft w:val="0"/>
                  <w:marRight w:val="0"/>
                  <w:marTop w:val="0"/>
                  <w:marBottom w:val="0"/>
                  <w:divBdr>
                    <w:top w:val="none" w:sz="0" w:space="0" w:color="auto"/>
                    <w:left w:val="none" w:sz="0" w:space="0" w:color="auto"/>
                    <w:bottom w:val="none" w:sz="0" w:space="0" w:color="auto"/>
                    <w:right w:val="none" w:sz="0" w:space="0" w:color="auto"/>
                  </w:divBdr>
                  <w:divsChild>
                    <w:div w:id="281808999">
                      <w:marLeft w:val="0"/>
                      <w:marRight w:val="0"/>
                      <w:marTop w:val="0"/>
                      <w:marBottom w:val="0"/>
                      <w:divBdr>
                        <w:top w:val="none" w:sz="0" w:space="0" w:color="auto"/>
                        <w:left w:val="none" w:sz="0" w:space="0" w:color="auto"/>
                        <w:bottom w:val="none" w:sz="0" w:space="0" w:color="auto"/>
                        <w:right w:val="none" w:sz="0" w:space="0" w:color="auto"/>
                      </w:divBdr>
                      <w:divsChild>
                        <w:div w:id="136260912">
                          <w:marLeft w:val="0"/>
                          <w:marRight w:val="0"/>
                          <w:marTop w:val="0"/>
                          <w:marBottom w:val="0"/>
                          <w:divBdr>
                            <w:top w:val="none" w:sz="0" w:space="0" w:color="auto"/>
                            <w:left w:val="none" w:sz="0" w:space="0" w:color="auto"/>
                            <w:bottom w:val="none" w:sz="0" w:space="0" w:color="auto"/>
                            <w:right w:val="none" w:sz="0" w:space="0" w:color="auto"/>
                          </w:divBdr>
                        </w:div>
                        <w:div w:id="317878640">
                          <w:marLeft w:val="0"/>
                          <w:marRight w:val="0"/>
                          <w:marTop w:val="0"/>
                          <w:marBottom w:val="0"/>
                          <w:divBdr>
                            <w:top w:val="none" w:sz="0" w:space="0" w:color="auto"/>
                            <w:left w:val="none" w:sz="0" w:space="0" w:color="auto"/>
                            <w:bottom w:val="none" w:sz="0" w:space="0" w:color="auto"/>
                            <w:right w:val="none" w:sz="0" w:space="0" w:color="auto"/>
                          </w:divBdr>
                        </w:div>
                      </w:divsChild>
                    </w:div>
                    <w:div w:id="921060267">
                      <w:marLeft w:val="0"/>
                      <w:marRight w:val="0"/>
                      <w:marTop w:val="0"/>
                      <w:marBottom w:val="0"/>
                      <w:divBdr>
                        <w:top w:val="none" w:sz="0" w:space="0" w:color="auto"/>
                        <w:left w:val="none" w:sz="0" w:space="0" w:color="auto"/>
                        <w:bottom w:val="none" w:sz="0" w:space="0" w:color="auto"/>
                        <w:right w:val="none" w:sz="0" w:space="0" w:color="auto"/>
                      </w:divBdr>
                      <w:divsChild>
                        <w:div w:id="948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6087">
          <w:marLeft w:val="-225"/>
          <w:marRight w:val="-225"/>
          <w:marTop w:val="0"/>
          <w:marBottom w:val="0"/>
          <w:divBdr>
            <w:top w:val="none" w:sz="0" w:space="0" w:color="auto"/>
            <w:left w:val="none" w:sz="0" w:space="0" w:color="auto"/>
            <w:bottom w:val="none" w:sz="0" w:space="0" w:color="auto"/>
            <w:right w:val="none" w:sz="0" w:space="0" w:color="auto"/>
          </w:divBdr>
          <w:divsChild>
            <w:div w:id="952446616">
              <w:marLeft w:val="0"/>
              <w:marRight w:val="0"/>
              <w:marTop w:val="0"/>
              <w:marBottom w:val="0"/>
              <w:divBdr>
                <w:top w:val="none" w:sz="0" w:space="0" w:color="auto"/>
                <w:left w:val="none" w:sz="0" w:space="0" w:color="auto"/>
                <w:bottom w:val="none" w:sz="0" w:space="0" w:color="auto"/>
                <w:right w:val="none" w:sz="0" w:space="0" w:color="auto"/>
              </w:divBdr>
              <w:divsChild>
                <w:div w:id="133062934">
                  <w:marLeft w:val="0"/>
                  <w:marRight w:val="0"/>
                  <w:marTop w:val="0"/>
                  <w:marBottom w:val="0"/>
                  <w:divBdr>
                    <w:top w:val="none" w:sz="0" w:space="0" w:color="auto"/>
                    <w:left w:val="none" w:sz="0" w:space="0" w:color="auto"/>
                    <w:bottom w:val="none" w:sz="0" w:space="0" w:color="auto"/>
                    <w:right w:val="none" w:sz="0" w:space="0" w:color="auto"/>
                  </w:divBdr>
                  <w:divsChild>
                    <w:div w:id="716128541">
                      <w:marLeft w:val="0"/>
                      <w:marRight w:val="0"/>
                      <w:marTop w:val="0"/>
                      <w:marBottom w:val="0"/>
                      <w:divBdr>
                        <w:top w:val="none" w:sz="0" w:space="0" w:color="auto"/>
                        <w:left w:val="none" w:sz="0" w:space="0" w:color="auto"/>
                        <w:bottom w:val="none" w:sz="0" w:space="0" w:color="auto"/>
                        <w:right w:val="none" w:sz="0" w:space="0" w:color="auto"/>
                      </w:divBdr>
                      <w:divsChild>
                        <w:div w:id="314645076">
                          <w:marLeft w:val="0"/>
                          <w:marRight w:val="0"/>
                          <w:marTop w:val="0"/>
                          <w:marBottom w:val="0"/>
                          <w:divBdr>
                            <w:top w:val="none" w:sz="0" w:space="0" w:color="auto"/>
                            <w:left w:val="none" w:sz="0" w:space="0" w:color="auto"/>
                            <w:bottom w:val="none" w:sz="0" w:space="0" w:color="auto"/>
                            <w:right w:val="none" w:sz="0" w:space="0" w:color="auto"/>
                          </w:divBdr>
                        </w:div>
                      </w:divsChild>
                    </w:div>
                    <w:div w:id="1993096129">
                      <w:marLeft w:val="0"/>
                      <w:marRight w:val="0"/>
                      <w:marTop w:val="0"/>
                      <w:marBottom w:val="0"/>
                      <w:divBdr>
                        <w:top w:val="none" w:sz="0" w:space="0" w:color="auto"/>
                        <w:left w:val="none" w:sz="0" w:space="0" w:color="auto"/>
                        <w:bottom w:val="none" w:sz="0" w:space="0" w:color="auto"/>
                        <w:right w:val="none" w:sz="0" w:space="0" w:color="auto"/>
                      </w:divBdr>
                      <w:divsChild>
                        <w:div w:id="834999153">
                          <w:marLeft w:val="0"/>
                          <w:marRight w:val="0"/>
                          <w:marTop w:val="0"/>
                          <w:marBottom w:val="0"/>
                          <w:divBdr>
                            <w:top w:val="none" w:sz="0" w:space="0" w:color="auto"/>
                            <w:left w:val="none" w:sz="0" w:space="0" w:color="auto"/>
                            <w:bottom w:val="none" w:sz="0" w:space="0" w:color="auto"/>
                            <w:right w:val="none" w:sz="0" w:space="0" w:color="auto"/>
                          </w:divBdr>
                        </w:div>
                        <w:div w:id="1639873508">
                          <w:marLeft w:val="0"/>
                          <w:marRight w:val="0"/>
                          <w:marTop w:val="0"/>
                          <w:marBottom w:val="0"/>
                          <w:divBdr>
                            <w:top w:val="none" w:sz="0" w:space="0" w:color="auto"/>
                            <w:left w:val="none" w:sz="0" w:space="0" w:color="auto"/>
                            <w:bottom w:val="none" w:sz="0" w:space="0" w:color="auto"/>
                            <w:right w:val="none" w:sz="0" w:space="0" w:color="auto"/>
                          </w:divBdr>
                        </w:div>
                        <w:div w:id="21443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3259">
          <w:marLeft w:val="-225"/>
          <w:marRight w:val="-225"/>
          <w:marTop w:val="0"/>
          <w:marBottom w:val="0"/>
          <w:divBdr>
            <w:top w:val="none" w:sz="0" w:space="0" w:color="auto"/>
            <w:left w:val="none" w:sz="0" w:space="0" w:color="auto"/>
            <w:bottom w:val="none" w:sz="0" w:space="0" w:color="auto"/>
            <w:right w:val="none" w:sz="0" w:space="0" w:color="auto"/>
          </w:divBdr>
          <w:divsChild>
            <w:div w:id="1489249113">
              <w:marLeft w:val="0"/>
              <w:marRight w:val="0"/>
              <w:marTop w:val="0"/>
              <w:marBottom w:val="0"/>
              <w:divBdr>
                <w:top w:val="none" w:sz="0" w:space="0" w:color="auto"/>
                <w:left w:val="none" w:sz="0" w:space="0" w:color="auto"/>
                <w:bottom w:val="none" w:sz="0" w:space="0" w:color="auto"/>
                <w:right w:val="none" w:sz="0" w:space="0" w:color="auto"/>
              </w:divBdr>
              <w:divsChild>
                <w:div w:id="1600673493">
                  <w:marLeft w:val="0"/>
                  <w:marRight w:val="0"/>
                  <w:marTop w:val="0"/>
                  <w:marBottom w:val="0"/>
                  <w:divBdr>
                    <w:top w:val="none" w:sz="0" w:space="0" w:color="auto"/>
                    <w:left w:val="none" w:sz="0" w:space="0" w:color="auto"/>
                    <w:bottom w:val="none" w:sz="0" w:space="0" w:color="auto"/>
                    <w:right w:val="none" w:sz="0" w:space="0" w:color="auto"/>
                  </w:divBdr>
                  <w:divsChild>
                    <w:div w:id="11542475">
                      <w:marLeft w:val="0"/>
                      <w:marRight w:val="0"/>
                      <w:marTop w:val="0"/>
                      <w:marBottom w:val="0"/>
                      <w:divBdr>
                        <w:top w:val="none" w:sz="0" w:space="0" w:color="auto"/>
                        <w:left w:val="none" w:sz="0" w:space="0" w:color="auto"/>
                        <w:bottom w:val="none" w:sz="0" w:space="0" w:color="auto"/>
                        <w:right w:val="none" w:sz="0" w:space="0" w:color="auto"/>
                      </w:divBdr>
                      <w:divsChild>
                        <w:div w:id="1562868244">
                          <w:marLeft w:val="0"/>
                          <w:marRight w:val="0"/>
                          <w:marTop w:val="0"/>
                          <w:marBottom w:val="0"/>
                          <w:divBdr>
                            <w:top w:val="none" w:sz="0" w:space="0" w:color="auto"/>
                            <w:left w:val="none" w:sz="0" w:space="0" w:color="auto"/>
                            <w:bottom w:val="none" w:sz="0" w:space="0" w:color="auto"/>
                            <w:right w:val="none" w:sz="0" w:space="0" w:color="auto"/>
                          </w:divBdr>
                        </w:div>
                      </w:divsChild>
                    </w:div>
                    <w:div w:id="131098126">
                      <w:marLeft w:val="0"/>
                      <w:marRight w:val="0"/>
                      <w:marTop w:val="0"/>
                      <w:marBottom w:val="0"/>
                      <w:divBdr>
                        <w:top w:val="none" w:sz="0" w:space="0" w:color="auto"/>
                        <w:left w:val="none" w:sz="0" w:space="0" w:color="auto"/>
                        <w:bottom w:val="none" w:sz="0" w:space="0" w:color="auto"/>
                        <w:right w:val="none" w:sz="0" w:space="0" w:color="auto"/>
                      </w:divBdr>
                      <w:divsChild>
                        <w:div w:id="1329284047">
                          <w:marLeft w:val="0"/>
                          <w:marRight w:val="0"/>
                          <w:marTop w:val="0"/>
                          <w:marBottom w:val="0"/>
                          <w:divBdr>
                            <w:top w:val="none" w:sz="0" w:space="0" w:color="auto"/>
                            <w:left w:val="none" w:sz="0" w:space="0" w:color="auto"/>
                            <w:bottom w:val="none" w:sz="0" w:space="0" w:color="auto"/>
                            <w:right w:val="none" w:sz="0" w:space="0" w:color="auto"/>
                          </w:divBdr>
                        </w:div>
                        <w:div w:id="18776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61499">
          <w:marLeft w:val="-225"/>
          <w:marRight w:val="-225"/>
          <w:marTop w:val="0"/>
          <w:marBottom w:val="0"/>
          <w:divBdr>
            <w:top w:val="none" w:sz="0" w:space="0" w:color="auto"/>
            <w:left w:val="none" w:sz="0" w:space="0" w:color="auto"/>
            <w:bottom w:val="none" w:sz="0" w:space="0" w:color="auto"/>
            <w:right w:val="none" w:sz="0" w:space="0" w:color="auto"/>
          </w:divBdr>
          <w:divsChild>
            <w:div w:id="1882277984">
              <w:marLeft w:val="0"/>
              <w:marRight w:val="0"/>
              <w:marTop w:val="0"/>
              <w:marBottom w:val="0"/>
              <w:divBdr>
                <w:top w:val="none" w:sz="0" w:space="0" w:color="auto"/>
                <w:left w:val="none" w:sz="0" w:space="0" w:color="auto"/>
                <w:bottom w:val="none" w:sz="0" w:space="0" w:color="auto"/>
                <w:right w:val="none" w:sz="0" w:space="0" w:color="auto"/>
              </w:divBdr>
              <w:divsChild>
                <w:div w:id="856507009">
                  <w:marLeft w:val="0"/>
                  <w:marRight w:val="0"/>
                  <w:marTop w:val="0"/>
                  <w:marBottom w:val="0"/>
                  <w:divBdr>
                    <w:top w:val="none" w:sz="0" w:space="0" w:color="auto"/>
                    <w:left w:val="none" w:sz="0" w:space="0" w:color="auto"/>
                    <w:bottom w:val="none" w:sz="0" w:space="0" w:color="auto"/>
                    <w:right w:val="none" w:sz="0" w:space="0" w:color="auto"/>
                  </w:divBdr>
                  <w:divsChild>
                    <w:div w:id="657660040">
                      <w:marLeft w:val="0"/>
                      <w:marRight w:val="0"/>
                      <w:marTop w:val="0"/>
                      <w:marBottom w:val="0"/>
                      <w:divBdr>
                        <w:top w:val="none" w:sz="0" w:space="0" w:color="auto"/>
                        <w:left w:val="none" w:sz="0" w:space="0" w:color="auto"/>
                        <w:bottom w:val="none" w:sz="0" w:space="0" w:color="auto"/>
                        <w:right w:val="none" w:sz="0" w:space="0" w:color="auto"/>
                      </w:divBdr>
                      <w:divsChild>
                        <w:div w:id="796338837">
                          <w:marLeft w:val="0"/>
                          <w:marRight w:val="0"/>
                          <w:marTop w:val="0"/>
                          <w:marBottom w:val="0"/>
                          <w:divBdr>
                            <w:top w:val="none" w:sz="0" w:space="0" w:color="auto"/>
                            <w:left w:val="none" w:sz="0" w:space="0" w:color="auto"/>
                            <w:bottom w:val="none" w:sz="0" w:space="0" w:color="auto"/>
                            <w:right w:val="none" w:sz="0" w:space="0" w:color="auto"/>
                          </w:divBdr>
                        </w:div>
                        <w:div w:id="1605188967">
                          <w:marLeft w:val="0"/>
                          <w:marRight w:val="0"/>
                          <w:marTop w:val="0"/>
                          <w:marBottom w:val="0"/>
                          <w:divBdr>
                            <w:top w:val="none" w:sz="0" w:space="0" w:color="auto"/>
                            <w:left w:val="none" w:sz="0" w:space="0" w:color="auto"/>
                            <w:bottom w:val="none" w:sz="0" w:space="0" w:color="auto"/>
                            <w:right w:val="none" w:sz="0" w:space="0" w:color="auto"/>
                          </w:divBdr>
                        </w:div>
                      </w:divsChild>
                    </w:div>
                    <w:div w:id="1991906508">
                      <w:marLeft w:val="0"/>
                      <w:marRight w:val="0"/>
                      <w:marTop w:val="0"/>
                      <w:marBottom w:val="0"/>
                      <w:divBdr>
                        <w:top w:val="none" w:sz="0" w:space="0" w:color="auto"/>
                        <w:left w:val="none" w:sz="0" w:space="0" w:color="auto"/>
                        <w:bottom w:val="none" w:sz="0" w:space="0" w:color="auto"/>
                        <w:right w:val="none" w:sz="0" w:space="0" w:color="auto"/>
                      </w:divBdr>
                      <w:divsChild>
                        <w:div w:id="339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46052">
          <w:marLeft w:val="-225"/>
          <w:marRight w:val="-225"/>
          <w:marTop w:val="0"/>
          <w:marBottom w:val="0"/>
          <w:divBdr>
            <w:top w:val="none" w:sz="0" w:space="0" w:color="auto"/>
            <w:left w:val="none" w:sz="0" w:space="0" w:color="auto"/>
            <w:bottom w:val="none" w:sz="0" w:space="0" w:color="auto"/>
            <w:right w:val="none" w:sz="0" w:space="0" w:color="auto"/>
          </w:divBdr>
          <w:divsChild>
            <w:div w:id="621619204">
              <w:marLeft w:val="0"/>
              <w:marRight w:val="0"/>
              <w:marTop w:val="0"/>
              <w:marBottom w:val="0"/>
              <w:divBdr>
                <w:top w:val="none" w:sz="0" w:space="0" w:color="auto"/>
                <w:left w:val="none" w:sz="0" w:space="0" w:color="auto"/>
                <w:bottom w:val="none" w:sz="0" w:space="0" w:color="auto"/>
                <w:right w:val="none" w:sz="0" w:space="0" w:color="auto"/>
              </w:divBdr>
              <w:divsChild>
                <w:div w:id="327944016">
                  <w:marLeft w:val="0"/>
                  <w:marRight w:val="0"/>
                  <w:marTop w:val="0"/>
                  <w:marBottom w:val="0"/>
                  <w:divBdr>
                    <w:top w:val="none" w:sz="0" w:space="0" w:color="auto"/>
                    <w:left w:val="none" w:sz="0" w:space="0" w:color="auto"/>
                    <w:bottom w:val="none" w:sz="0" w:space="0" w:color="auto"/>
                    <w:right w:val="none" w:sz="0" w:space="0" w:color="auto"/>
                  </w:divBdr>
                  <w:divsChild>
                    <w:div w:id="879173111">
                      <w:marLeft w:val="0"/>
                      <w:marRight w:val="0"/>
                      <w:marTop w:val="0"/>
                      <w:marBottom w:val="0"/>
                      <w:divBdr>
                        <w:top w:val="none" w:sz="0" w:space="0" w:color="auto"/>
                        <w:left w:val="none" w:sz="0" w:space="0" w:color="auto"/>
                        <w:bottom w:val="none" w:sz="0" w:space="0" w:color="auto"/>
                        <w:right w:val="none" w:sz="0" w:space="0" w:color="auto"/>
                      </w:divBdr>
                      <w:divsChild>
                        <w:div w:id="996419373">
                          <w:marLeft w:val="0"/>
                          <w:marRight w:val="0"/>
                          <w:marTop w:val="0"/>
                          <w:marBottom w:val="0"/>
                          <w:divBdr>
                            <w:top w:val="none" w:sz="0" w:space="0" w:color="auto"/>
                            <w:left w:val="none" w:sz="0" w:space="0" w:color="auto"/>
                            <w:bottom w:val="none" w:sz="0" w:space="0" w:color="auto"/>
                            <w:right w:val="none" w:sz="0" w:space="0" w:color="auto"/>
                          </w:divBdr>
                        </w:div>
                        <w:div w:id="2043364361">
                          <w:marLeft w:val="0"/>
                          <w:marRight w:val="0"/>
                          <w:marTop w:val="0"/>
                          <w:marBottom w:val="0"/>
                          <w:divBdr>
                            <w:top w:val="none" w:sz="0" w:space="0" w:color="auto"/>
                            <w:left w:val="none" w:sz="0" w:space="0" w:color="auto"/>
                            <w:bottom w:val="none" w:sz="0" w:space="0" w:color="auto"/>
                            <w:right w:val="none" w:sz="0" w:space="0" w:color="auto"/>
                          </w:divBdr>
                        </w:div>
                      </w:divsChild>
                    </w:div>
                    <w:div w:id="1785422209">
                      <w:marLeft w:val="0"/>
                      <w:marRight w:val="0"/>
                      <w:marTop w:val="0"/>
                      <w:marBottom w:val="0"/>
                      <w:divBdr>
                        <w:top w:val="none" w:sz="0" w:space="0" w:color="auto"/>
                        <w:left w:val="none" w:sz="0" w:space="0" w:color="auto"/>
                        <w:bottom w:val="none" w:sz="0" w:space="0" w:color="auto"/>
                        <w:right w:val="none" w:sz="0" w:space="0" w:color="auto"/>
                      </w:divBdr>
                      <w:divsChild>
                        <w:div w:id="14410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16798">
          <w:marLeft w:val="-225"/>
          <w:marRight w:val="-225"/>
          <w:marTop w:val="0"/>
          <w:marBottom w:val="0"/>
          <w:divBdr>
            <w:top w:val="none" w:sz="0" w:space="0" w:color="auto"/>
            <w:left w:val="none" w:sz="0" w:space="0" w:color="auto"/>
            <w:bottom w:val="none" w:sz="0" w:space="0" w:color="auto"/>
            <w:right w:val="none" w:sz="0" w:space="0" w:color="auto"/>
          </w:divBdr>
          <w:divsChild>
            <w:div w:id="1609897964">
              <w:marLeft w:val="0"/>
              <w:marRight w:val="0"/>
              <w:marTop w:val="0"/>
              <w:marBottom w:val="0"/>
              <w:divBdr>
                <w:top w:val="none" w:sz="0" w:space="0" w:color="auto"/>
                <w:left w:val="none" w:sz="0" w:space="0" w:color="auto"/>
                <w:bottom w:val="none" w:sz="0" w:space="0" w:color="auto"/>
                <w:right w:val="none" w:sz="0" w:space="0" w:color="auto"/>
              </w:divBdr>
              <w:divsChild>
                <w:div w:id="1179201692">
                  <w:marLeft w:val="0"/>
                  <w:marRight w:val="0"/>
                  <w:marTop w:val="0"/>
                  <w:marBottom w:val="0"/>
                  <w:divBdr>
                    <w:top w:val="none" w:sz="0" w:space="0" w:color="auto"/>
                    <w:left w:val="none" w:sz="0" w:space="0" w:color="auto"/>
                    <w:bottom w:val="none" w:sz="0" w:space="0" w:color="auto"/>
                    <w:right w:val="none" w:sz="0" w:space="0" w:color="auto"/>
                  </w:divBdr>
                  <w:divsChild>
                    <w:div w:id="516500288">
                      <w:marLeft w:val="0"/>
                      <w:marRight w:val="0"/>
                      <w:marTop w:val="0"/>
                      <w:marBottom w:val="0"/>
                      <w:divBdr>
                        <w:top w:val="none" w:sz="0" w:space="0" w:color="auto"/>
                        <w:left w:val="none" w:sz="0" w:space="0" w:color="auto"/>
                        <w:bottom w:val="none" w:sz="0" w:space="0" w:color="auto"/>
                        <w:right w:val="none" w:sz="0" w:space="0" w:color="auto"/>
                      </w:divBdr>
                      <w:divsChild>
                        <w:div w:id="514999225">
                          <w:marLeft w:val="0"/>
                          <w:marRight w:val="0"/>
                          <w:marTop w:val="0"/>
                          <w:marBottom w:val="0"/>
                          <w:divBdr>
                            <w:top w:val="none" w:sz="0" w:space="0" w:color="auto"/>
                            <w:left w:val="none" w:sz="0" w:space="0" w:color="auto"/>
                            <w:bottom w:val="none" w:sz="0" w:space="0" w:color="auto"/>
                            <w:right w:val="none" w:sz="0" w:space="0" w:color="auto"/>
                          </w:divBdr>
                        </w:div>
                      </w:divsChild>
                    </w:div>
                    <w:div w:id="645931995">
                      <w:marLeft w:val="0"/>
                      <w:marRight w:val="0"/>
                      <w:marTop w:val="0"/>
                      <w:marBottom w:val="0"/>
                      <w:divBdr>
                        <w:top w:val="none" w:sz="0" w:space="0" w:color="auto"/>
                        <w:left w:val="none" w:sz="0" w:space="0" w:color="auto"/>
                        <w:bottom w:val="none" w:sz="0" w:space="0" w:color="auto"/>
                        <w:right w:val="none" w:sz="0" w:space="0" w:color="auto"/>
                      </w:divBdr>
                      <w:divsChild>
                        <w:div w:id="5907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5015">
          <w:marLeft w:val="-225"/>
          <w:marRight w:val="-225"/>
          <w:marTop w:val="0"/>
          <w:marBottom w:val="0"/>
          <w:divBdr>
            <w:top w:val="none" w:sz="0" w:space="0" w:color="auto"/>
            <w:left w:val="none" w:sz="0" w:space="0" w:color="auto"/>
            <w:bottom w:val="none" w:sz="0" w:space="0" w:color="auto"/>
            <w:right w:val="none" w:sz="0" w:space="0" w:color="auto"/>
          </w:divBdr>
          <w:divsChild>
            <w:div w:id="26219529">
              <w:marLeft w:val="0"/>
              <w:marRight w:val="0"/>
              <w:marTop w:val="0"/>
              <w:marBottom w:val="0"/>
              <w:divBdr>
                <w:top w:val="none" w:sz="0" w:space="0" w:color="auto"/>
                <w:left w:val="none" w:sz="0" w:space="0" w:color="auto"/>
                <w:bottom w:val="none" w:sz="0" w:space="0" w:color="auto"/>
                <w:right w:val="none" w:sz="0" w:space="0" w:color="auto"/>
              </w:divBdr>
              <w:divsChild>
                <w:div w:id="176163027">
                  <w:marLeft w:val="0"/>
                  <w:marRight w:val="0"/>
                  <w:marTop w:val="0"/>
                  <w:marBottom w:val="0"/>
                  <w:divBdr>
                    <w:top w:val="none" w:sz="0" w:space="0" w:color="auto"/>
                    <w:left w:val="none" w:sz="0" w:space="0" w:color="auto"/>
                    <w:bottom w:val="none" w:sz="0" w:space="0" w:color="auto"/>
                    <w:right w:val="none" w:sz="0" w:space="0" w:color="auto"/>
                  </w:divBdr>
                  <w:divsChild>
                    <w:div w:id="573126130">
                      <w:marLeft w:val="0"/>
                      <w:marRight w:val="0"/>
                      <w:marTop w:val="0"/>
                      <w:marBottom w:val="0"/>
                      <w:divBdr>
                        <w:top w:val="none" w:sz="0" w:space="0" w:color="auto"/>
                        <w:left w:val="none" w:sz="0" w:space="0" w:color="auto"/>
                        <w:bottom w:val="none" w:sz="0" w:space="0" w:color="auto"/>
                        <w:right w:val="none" w:sz="0" w:space="0" w:color="auto"/>
                      </w:divBdr>
                      <w:divsChild>
                        <w:div w:id="1850832361">
                          <w:marLeft w:val="0"/>
                          <w:marRight w:val="0"/>
                          <w:marTop w:val="0"/>
                          <w:marBottom w:val="0"/>
                          <w:divBdr>
                            <w:top w:val="none" w:sz="0" w:space="0" w:color="auto"/>
                            <w:left w:val="none" w:sz="0" w:space="0" w:color="auto"/>
                            <w:bottom w:val="none" w:sz="0" w:space="0" w:color="auto"/>
                            <w:right w:val="none" w:sz="0" w:space="0" w:color="auto"/>
                          </w:divBdr>
                        </w:div>
                      </w:divsChild>
                    </w:div>
                    <w:div w:id="887113219">
                      <w:marLeft w:val="0"/>
                      <w:marRight w:val="0"/>
                      <w:marTop w:val="0"/>
                      <w:marBottom w:val="0"/>
                      <w:divBdr>
                        <w:top w:val="none" w:sz="0" w:space="0" w:color="auto"/>
                        <w:left w:val="none" w:sz="0" w:space="0" w:color="auto"/>
                        <w:bottom w:val="none" w:sz="0" w:space="0" w:color="auto"/>
                        <w:right w:val="none" w:sz="0" w:space="0" w:color="auto"/>
                      </w:divBdr>
                      <w:divsChild>
                        <w:div w:id="4592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90790">
          <w:marLeft w:val="-225"/>
          <w:marRight w:val="-225"/>
          <w:marTop w:val="0"/>
          <w:marBottom w:val="0"/>
          <w:divBdr>
            <w:top w:val="none" w:sz="0" w:space="0" w:color="auto"/>
            <w:left w:val="none" w:sz="0" w:space="0" w:color="auto"/>
            <w:bottom w:val="none" w:sz="0" w:space="0" w:color="auto"/>
            <w:right w:val="none" w:sz="0" w:space="0" w:color="auto"/>
          </w:divBdr>
          <w:divsChild>
            <w:div w:id="67773617">
              <w:marLeft w:val="0"/>
              <w:marRight w:val="0"/>
              <w:marTop w:val="0"/>
              <w:marBottom w:val="0"/>
              <w:divBdr>
                <w:top w:val="none" w:sz="0" w:space="0" w:color="auto"/>
                <w:left w:val="none" w:sz="0" w:space="0" w:color="auto"/>
                <w:bottom w:val="none" w:sz="0" w:space="0" w:color="auto"/>
                <w:right w:val="none" w:sz="0" w:space="0" w:color="auto"/>
              </w:divBdr>
              <w:divsChild>
                <w:div w:id="516584052">
                  <w:marLeft w:val="0"/>
                  <w:marRight w:val="0"/>
                  <w:marTop w:val="0"/>
                  <w:marBottom w:val="0"/>
                  <w:divBdr>
                    <w:top w:val="none" w:sz="0" w:space="0" w:color="auto"/>
                    <w:left w:val="none" w:sz="0" w:space="0" w:color="auto"/>
                    <w:bottom w:val="none" w:sz="0" w:space="0" w:color="auto"/>
                    <w:right w:val="none" w:sz="0" w:space="0" w:color="auto"/>
                  </w:divBdr>
                  <w:divsChild>
                    <w:div w:id="1429502415">
                      <w:marLeft w:val="0"/>
                      <w:marRight w:val="0"/>
                      <w:marTop w:val="0"/>
                      <w:marBottom w:val="0"/>
                      <w:divBdr>
                        <w:top w:val="none" w:sz="0" w:space="0" w:color="auto"/>
                        <w:left w:val="none" w:sz="0" w:space="0" w:color="auto"/>
                        <w:bottom w:val="none" w:sz="0" w:space="0" w:color="auto"/>
                        <w:right w:val="none" w:sz="0" w:space="0" w:color="auto"/>
                      </w:divBdr>
                      <w:divsChild>
                        <w:div w:id="133376615">
                          <w:marLeft w:val="0"/>
                          <w:marRight w:val="0"/>
                          <w:marTop w:val="0"/>
                          <w:marBottom w:val="0"/>
                          <w:divBdr>
                            <w:top w:val="none" w:sz="0" w:space="0" w:color="auto"/>
                            <w:left w:val="none" w:sz="0" w:space="0" w:color="auto"/>
                            <w:bottom w:val="none" w:sz="0" w:space="0" w:color="auto"/>
                            <w:right w:val="none" w:sz="0" w:space="0" w:color="auto"/>
                          </w:divBdr>
                        </w:div>
                        <w:div w:id="1766071258">
                          <w:marLeft w:val="0"/>
                          <w:marRight w:val="0"/>
                          <w:marTop w:val="0"/>
                          <w:marBottom w:val="0"/>
                          <w:divBdr>
                            <w:top w:val="none" w:sz="0" w:space="0" w:color="auto"/>
                            <w:left w:val="none" w:sz="0" w:space="0" w:color="auto"/>
                            <w:bottom w:val="none" w:sz="0" w:space="0" w:color="auto"/>
                            <w:right w:val="none" w:sz="0" w:space="0" w:color="auto"/>
                          </w:divBdr>
                        </w:div>
                      </w:divsChild>
                    </w:div>
                    <w:div w:id="1896965296">
                      <w:marLeft w:val="0"/>
                      <w:marRight w:val="0"/>
                      <w:marTop w:val="0"/>
                      <w:marBottom w:val="0"/>
                      <w:divBdr>
                        <w:top w:val="none" w:sz="0" w:space="0" w:color="auto"/>
                        <w:left w:val="none" w:sz="0" w:space="0" w:color="auto"/>
                        <w:bottom w:val="none" w:sz="0" w:space="0" w:color="auto"/>
                        <w:right w:val="none" w:sz="0" w:space="0" w:color="auto"/>
                      </w:divBdr>
                      <w:divsChild>
                        <w:div w:id="434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7826">
          <w:marLeft w:val="-225"/>
          <w:marRight w:val="-225"/>
          <w:marTop w:val="0"/>
          <w:marBottom w:val="0"/>
          <w:divBdr>
            <w:top w:val="none" w:sz="0" w:space="0" w:color="auto"/>
            <w:left w:val="none" w:sz="0" w:space="0" w:color="auto"/>
            <w:bottom w:val="none" w:sz="0" w:space="0" w:color="auto"/>
            <w:right w:val="none" w:sz="0" w:space="0" w:color="auto"/>
          </w:divBdr>
          <w:divsChild>
            <w:div w:id="1638413945">
              <w:marLeft w:val="0"/>
              <w:marRight w:val="0"/>
              <w:marTop w:val="0"/>
              <w:marBottom w:val="0"/>
              <w:divBdr>
                <w:top w:val="none" w:sz="0" w:space="0" w:color="auto"/>
                <w:left w:val="none" w:sz="0" w:space="0" w:color="auto"/>
                <w:bottom w:val="none" w:sz="0" w:space="0" w:color="auto"/>
                <w:right w:val="none" w:sz="0" w:space="0" w:color="auto"/>
              </w:divBdr>
              <w:divsChild>
                <w:div w:id="1767266706">
                  <w:marLeft w:val="0"/>
                  <w:marRight w:val="0"/>
                  <w:marTop w:val="0"/>
                  <w:marBottom w:val="0"/>
                  <w:divBdr>
                    <w:top w:val="none" w:sz="0" w:space="0" w:color="auto"/>
                    <w:left w:val="none" w:sz="0" w:space="0" w:color="auto"/>
                    <w:bottom w:val="none" w:sz="0" w:space="0" w:color="auto"/>
                    <w:right w:val="none" w:sz="0" w:space="0" w:color="auto"/>
                  </w:divBdr>
                  <w:divsChild>
                    <w:div w:id="417335481">
                      <w:marLeft w:val="0"/>
                      <w:marRight w:val="0"/>
                      <w:marTop w:val="0"/>
                      <w:marBottom w:val="0"/>
                      <w:divBdr>
                        <w:top w:val="none" w:sz="0" w:space="0" w:color="auto"/>
                        <w:left w:val="none" w:sz="0" w:space="0" w:color="auto"/>
                        <w:bottom w:val="none" w:sz="0" w:space="0" w:color="auto"/>
                        <w:right w:val="none" w:sz="0" w:space="0" w:color="auto"/>
                      </w:divBdr>
                    </w:div>
                    <w:div w:id="1151403955">
                      <w:marLeft w:val="0"/>
                      <w:marRight w:val="0"/>
                      <w:marTop w:val="0"/>
                      <w:marBottom w:val="0"/>
                      <w:divBdr>
                        <w:top w:val="none" w:sz="0" w:space="0" w:color="auto"/>
                        <w:left w:val="none" w:sz="0" w:space="0" w:color="auto"/>
                        <w:bottom w:val="none" w:sz="0" w:space="0" w:color="auto"/>
                        <w:right w:val="none" w:sz="0" w:space="0" w:color="auto"/>
                      </w:divBdr>
                      <w:divsChild>
                        <w:div w:id="6554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32984">
          <w:marLeft w:val="-225"/>
          <w:marRight w:val="-225"/>
          <w:marTop w:val="0"/>
          <w:marBottom w:val="0"/>
          <w:divBdr>
            <w:top w:val="none" w:sz="0" w:space="0" w:color="auto"/>
            <w:left w:val="none" w:sz="0" w:space="0" w:color="auto"/>
            <w:bottom w:val="none" w:sz="0" w:space="0" w:color="auto"/>
            <w:right w:val="none" w:sz="0" w:space="0" w:color="auto"/>
          </w:divBdr>
          <w:divsChild>
            <w:div w:id="482427043">
              <w:marLeft w:val="0"/>
              <w:marRight w:val="0"/>
              <w:marTop w:val="0"/>
              <w:marBottom w:val="0"/>
              <w:divBdr>
                <w:top w:val="none" w:sz="0" w:space="0" w:color="auto"/>
                <w:left w:val="none" w:sz="0" w:space="0" w:color="auto"/>
                <w:bottom w:val="none" w:sz="0" w:space="0" w:color="auto"/>
                <w:right w:val="none" w:sz="0" w:space="0" w:color="auto"/>
              </w:divBdr>
              <w:divsChild>
                <w:div w:id="89738823">
                  <w:marLeft w:val="0"/>
                  <w:marRight w:val="0"/>
                  <w:marTop w:val="0"/>
                  <w:marBottom w:val="0"/>
                  <w:divBdr>
                    <w:top w:val="none" w:sz="0" w:space="0" w:color="auto"/>
                    <w:left w:val="none" w:sz="0" w:space="0" w:color="auto"/>
                    <w:bottom w:val="none" w:sz="0" w:space="0" w:color="auto"/>
                    <w:right w:val="none" w:sz="0" w:space="0" w:color="auto"/>
                  </w:divBdr>
                  <w:divsChild>
                    <w:div w:id="926841083">
                      <w:marLeft w:val="0"/>
                      <w:marRight w:val="0"/>
                      <w:marTop w:val="0"/>
                      <w:marBottom w:val="0"/>
                      <w:divBdr>
                        <w:top w:val="none" w:sz="0" w:space="0" w:color="auto"/>
                        <w:left w:val="none" w:sz="0" w:space="0" w:color="auto"/>
                        <w:bottom w:val="none" w:sz="0" w:space="0" w:color="auto"/>
                        <w:right w:val="none" w:sz="0" w:space="0" w:color="auto"/>
                      </w:divBdr>
                      <w:divsChild>
                        <w:div w:id="404030696">
                          <w:marLeft w:val="0"/>
                          <w:marRight w:val="0"/>
                          <w:marTop w:val="0"/>
                          <w:marBottom w:val="0"/>
                          <w:divBdr>
                            <w:top w:val="none" w:sz="0" w:space="0" w:color="auto"/>
                            <w:left w:val="none" w:sz="0" w:space="0" w:color="auto"/>
                            <w:bottom w:val="none" w:sz="0" w:space="0" w:color="auto"/>
                            <w:right w:val="none" w:sz="0" w:space="0" w:color="auto"/>
                          </w:divBdr>
                        </w:div>
                      </w:divsChild>
                    </w:div>
                    <w:div w:id="2035380172">
                      <w:marLeft w:val="0"/>
                      <w:marRight w:val="0"/>
                      <w:marTop w:val="0"/>
                      <w:marBottom w:val="0"/>
                      <w:divBdr>
                        <w:top w:val="none" w:sz="0" w:space="0" w:color="auto"/>
                        <w:left w:val="none" w:sz="0" w:space="0" w:color="auto"/>
                        <w:bottom w:val="none" w:sz="0" w:space="0" w:color="auto"/>
                        <w:right w:val="none" w:sz="0" w:space="0" w:color="auto"/>
                      </w:divBdr>
                      <w:divsChild>
                        <w:div w:id="898829572">
                          <w:marLeft w:val="0"/>
                          <w:marRight w:val="0"/>
                          <w:marTop w:val="0"/>
                          <w:marBottom w:val="0"/>
                          <w:divBdr>
                            <w:top w:val="none" w:sz="0" w:space="0" w:color="auto"/>
                            <w:left w:val="none" w:sz="0" w:space="0" w:color="auto"/>
                            <w:bottom w:val="none" w:sz="0" w:space="0" w:color="auto"/>
                            <w:right w:val="none" w:sz="0" w:space="0" w:color="auto"/>
                          </w:divBdr>
                        </w:div>
                        <w:div w:id="1601446631">
                          <w:marLeft w:val="0"/>
                          <w:marRight w:val="0"/>
                          <w:marTop w:val="0"/>
                          <w:marBottom w:val="0"/>
                          <w:divBdr>
                            <w:top w:val="none" w:sz="0" w:space="0" w:color="auto"/>
                            <w:left w:val="none" w:sz="0" w:space="0" w:color="auto"/>
                            <w:bottom w:val="none" w:sz="0" w:space="0" w:color="auto"/>
                            <w:right w:val="none" w:sz="0" w:space="0" w:color="auto"/>
                          </w:divBdr>
                        </w:div>
                        <w:div w:id="16016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63242">
          <w:marLeft w:val="-225"/>
          <w:marRight w:val="-225"/>
          <w:marTop w:val="0"/>
          <w:marBottom w:val="0"/>
          <w:divBdr>
            <w:top w:val="none" w:sz="0" w:space="0" w:color="auto"/>
            <w:left w:val="none" w:sz="0" w:space="0" w:color="auto"/>
            <w:bottom w:val="none" w:sz="0" w:space="0" w:color="auto"/>
            <w:right w:val="none" w:sz="0" w:space="0" w:color="auto"/>
          </w:divBdr>
          <w:divsChild>
            <w:div w:id="1270089450">
              <w:marLeft w:val="0"/>
              <w:marRight w:val="0"/>
              <w:marTop w:val="0"/>
              <w:marBottom w:val="0"/>
              <w:divBdr>
                <w:top w:val="none" w:sz="0" w:space="0" w:color="auto"/>
                <w:left w:val="none" w:sz="0" w:space="0" w:color="auto"/>
                <w:bottom w:val="none" w:sz="0" w:space="0" w:color="auto"/>
                <w:right w:val="none" w:sz="0" w:space="0" w:color="auto"/>
              </w:divBdr>
              <w:divsChild>
                <w:div w:id="960765682">
                  <w:marLeft w:val="0"/>
                  <w:marRight w:val="0"/>
                  <w:marTop w:val="0"/>
                  <w:marBottom w:val="0"/>
                  <w:divBdr>
                    <w:top w:val="none" w:sz="0" w:space="0" w:color="auto"/>
                    <w:left w:val="none" w:sz="0" w:space="0" w:color="auto"/>
                    <w:bottom w:val="none" w:sz="0" w:space="0" w:color="auto"/>
                    <w:right w:val="none" w:sz="0" w:space="0" w:color="auto"/>
                  </w:divBdr>
                  <w:divsChild>
                    <w:div w:id="136993870">
                      <w:marLeft w:val="0"/>
                      <w:marRight w:val="0"/>
                      <w:marTop w:val="0"/>
                      <w:marBottom w:val="0"/>
                      <w:divBdr>
                        <w:top w:val="none" w:sz="0" w:space="0" w:color="auto"/>
                        <w:left w:val="none" w:sz="0" w:space="0" w:color="auto"/>
                        <w:bottom w:val="none" w:sz="0" w:space="0" w:color="auto"/>
                        <w:right w:val="none" w:sz="0" w:space="0" w:color="auto"/>
                      </w:divBdr>
                      <w:divsChild>
                        <w:div w:id="205144522">
                          <w:marLeft w:val="0"/>
                          <w:marRight w:val="0"/>
                          <w:marTop w:val="0"/>
                          <w:marBottom w:val="0"/>
                          <w:divBdr>
                            <w:top w:val="none" w:sz="0" w:space="0" w:color="auto"/>
                            <w:left w:val="none" w:sz="0" w:space="0" w:color="auto"/>
                            <w:bottom w:val="none" w:sz="0" w:space="0" w:color="auto"/>
                            <w:right w:val="none" w:sz="0" w:space="0" w:color="auto"/>
                          </w:divBdr>
                        </w:div>
                        <w:div w:id="762457809">
                          <w:marLeft w:val="0"/>
                          <w:marRight w:val="0"/>
                          <w:marTop w:val="0"/>
                          <w:marBottom w:val="0"/>
                          <w:divBdr>
                            <w:top w:val="none" w:sz="0" w:space="0" w:color="auto"/>
                            <w:left w:val="none" w:sz="0" w:space="0" w:color="auto"/>
                            <w:bottom w:val="none" w:sz="0" w:space="0" w:color="auto"/>
                            <w:right w:val="none" w:sz="0" w:space="0" w:color="auto"/>
                          </w:divBdr>
                        </w:div>
                        <w:div w:id="881207660">
                          <w:marLeft w:val="0"/>
                          <w:marRight w:val="0"/>
                          <w:marTop w:val="0"/>
                          <w:marBottom w:val="0"/>
                          <w:divBdr>
                            <w:top w:val="none" w:sz="0" w:space="0" w:color="auto"/>
                            <w:left w:val="none" w:sz="0" w:space="0" w:color="auto"/>
                            <w:bottom w:val="none" w:sz="0" w:space="0" w:color="auto"/>
                            <w:right w:val="none" w:sz="0" w:space="0" w:color="auto"/>
                          </w:divBdr>
                        </w:div>
                        <w:div w:id="907836823">
                          <w:marLeft w:val="0"/>
                          <w:marRight w:val="0"/>
                          <w:marTop w:val="0"/>
                          <w:marBottom w:val="0"/>
                          <w:divBdr>
                            <w:top w:val="none" w:sz="0" w:space="0" w:color="auto"/>
                            <w:left w:val="none" w:sz="0" w:space="0" w:color="auto"/>
                            <w:bottom w:val="none" w:sz="0" w:space="0" w:color="auto"/>
                            <w:right w:val="none" w:sz="0" w:space="0" w:color="auto"/>
                          </w:divBdr>
                        </w:div>
                      </w:divsChild>
                    </w:div>
                    <w:div w:id="1884705669">
                      <w:marLeft w:val="0"/>
                      <w:marRight w:val="0"/>
                      <w:marTop w:val="0"/>
                      <w:marBottom w:val="0"/>
                      <w:divBdr>
                        <w:top w:val="none" w:sz="0" w:space="0" w:color="auto"/>
                        <w:left w:val="none" w:sz="0" w:space="0" w:color="auto"/>
                        <w:bottom w:val="none" w:sz="0" w:space="0" w:color="auto"/>
                        <w:right w:val="none" w:sz="0" w:space="0" w:color="auto"/>
                      </w:divBdr>
                      <w:divsChild>
                        <w:div w:id="616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373">
          <w:marLeft w:val="-225"/>
          <w:marRight w:val="-225"/>
          <w:marTop w:val="0"/>
          <w:marBottom w:val="0"/>
          <w:divBdr>
            <w:top w:val="none" w:sz="0" w:space="0" w:color="auto"/>
            <w:left w:val="none" w:sz="0" w:space="0" w:color="auto"/>
            <w:bottom w:val="none" w:sz="0" w:space="0" w:color="auto"/>
            <w:right w:val="none" w:sz="0" w:space="0" w:color="auto"/>
          </w:divBdr>
          <w:divsChild>
            <w:div w:id="543492049">
              <w:marLeft w:val="0"/>
              <w:marRight w:val="0"/>
              <w:marTop w:val="0"/>
              <w:marBottom w:val="0"/>
              <w:divBdr>
                <w:top w:val="none" w:sz="0" w:space="0" w:color="auto"/>
                <w:left w:val="none" w:sz="0" w:space="0" w:color="auto"/>
                <w:bottom w:val="none" w:sz="0" w:space="0" w:color="auto"/>
                <w:right w:val="none" w:sz="0" w:space="0" w:color="auto"/>
              </w:divBdr>
              <w:divsChild>
                <w:div w:id="1500541127">
                  <w:marLeft w:val="0"/>
                  <w:marRight w:val="0"/>
                  <w:marTop w:val="0"/>
                  <w:marBottom w:val="0"/>
                  <w:divBdr>
                    <w:top w:val="none" w:sz="0" w:space="0" w:color="auto"/>
                    <w:left w:val="none" w:sz="0" w:space="0" w:color="auto"/>
                    <w:bottom w:val="none" w:sz="0" w:space="0" w:color="auto"/>
                    <w:right w:val="none" w:sz="0" w:space="0" w:color="auto"/>
                  </w:divBdr>
                  <w:divsChild>
                    <w:div w:id="1516112652">
                      <w:marLeft w:val="0"/>
                      <w:marRight w:val="0"/>
                      <w:marTop w:val="0"/>
                      <w:marBottom w:val="0"/>
                      <w:divBdr>
                        <w:top w:val="none" w:sz="0" w:space="0" w:color="auto"/>
                        <w:left w:val="none" w:sz="0" w:space="0" w:color="auto"/>
                        <w:bottom w:val="none" w:sz="0" w:space="0" w:color="auto"/>
                        <w:right w:val="none" w:sz="0" w:space="0" w:color="auto"/>
                      </w:divBdr>
                      <w:divsChild>
                        <w:div w:id="612398194">
                          <w:marLeft w:val="0"/>
                          <w:marRight w:val="0"/>
                          <w:marTop w:val="0"/>
                          <w:marBottom w:val="0"/>
                          <w:divBdr>
                            <w:top w:val="none" w:sz="0" w:space="0" w:color="auto"/>
                            <w:left w:val="none" w:sz="0" w:space="0" w:color="auto"/>
                            <w:bottom w:val="none" w:sz="0" w:space="0" w:color="auto"/>
                            <w:right w:val="none" w:sz="0" w:space="0" w:color="auto"/>
                          </w:divBdr>
                        </w:div>
                      </w:divsChild>
                    </w:div>
                    <w:div w:id="1554654683">
                      <w:marLeft w:val="0"/>
                      <w:marRight w:val="0"/>
                      <w:marTop w:val="0"/>
                      <w:marBottom w:val="0"/>
                      <w:divBdr>
                        <w:top w:val="none" w:sz="0" w:space="0" w:color="auto"/>
                        <w:left w:val="none" w:sz="0" w:space="0" w:color="auto"/>
                        <w:bottom w:val="none" w:sz="0" w:space="0" w:color="auto"/>
                        <w:right w:val="none" w:sz="0" w:space="0" w:color="auto"/>
                      </w:divBdr>
                      <w:divsChild>
                        <w:div w:id="1213729165">
                          <w:marLeft w:val="0"/>
                          <w:marRight w:val="0"/>
                          <w:marTop w:val="0"/>
                          <w:marBottom w:val="0"/>
                          <w:divBdr>
                            <w:top w:val="none" w:sz="0" w:space="0" w:color="auto"/>
                            <w:left w:val="none" w:sz="0" w:space="0" w:color="auto"/>
                            <w:bottom w:val="none" w:sz="0" w:space="0" w:color="auto"/>
                            <w:right w:val="none" w:sz="0" w:space="0" w:color="auto"/>
                          </w:divBdr>
                        </w:div>
                        <w:div w:id="1982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5109">
          <w:marLeft w:val="-225"/>
          <w:marRight w:val="-225"/>
          <w:marTop w:val="0"/>
          <w:marBottom w:val="0"/>
          <w:divBdr>
            <w:top w:val="none" w:sz="0" w:space="0" w:color="auto"/>
            <w:left w:val="none" w:sz="0" w:space="0" w:color="auto"/>
            <w:bottom w:val="none" w:sz="0" w:space="0" w:color="auto"/>
            <w:right w:val="none" w:sz="0" w:space="0" w:color="auto"/>
          </w:divBdr>
          <w:divsChild>
            <w:div w:id="1332181907">
              <w:marLeft w:val="0"/>
              <w:marRight w:val="0"/>
              <w:marTop w:val="0"/>
              <w:marBottom w:val="0"/>
              <w:divBdr>
                <w:top w:val="none" w:sz="0" w:space="0" w:color="auto"/>
                <w:left w:val="none" w:sz="0" w:space="0" w:color="auto"/>
                <w:bottom w:val="none" w:sz="0" w:space="0" w:color="auto"/>
                <w:right w:val="none" w:sz="0" w:space="0" w:color="auto"/>
              </w:divBdr>
              <w:divsChild>
                <w:div w:id="1198852495">
                  <w:marLeft w:val="0"/>
                  <w:marRight w:val="0"/>
                  <w:marTop w:val="0"/>
                  <w:marBottom w:val="0"/>
                  <w:divBdr>
                    <w:top w:val="none" w:sz="0" w:space="0" w:color="auto"/>
                    <w:left w:val="none" w:sz="0" w:space="0" w:color="auto"/>
                    <w:bottom w:val="none" w:sz="0" w:space="0" w:color="auto"/>
                    <w:right w:val="none" w:sz="0" w:space="0" w:color="auto"/>
                  </w:divBdr>
                  <w:divsChild>
                    <w:div w:id="347290391">
                      <w:marLeft w:val="0"/>
                      <w:marRight w:val="0"/>
                      <w:marTop w:val="0"/>
                      <w:marBottom w:val="0"/>
                      <w:divBdr>
                        <w:top w:val="none" w:sz="0" w:space="0" w:color="auto"/>
                        <w:left w:val="none" w:sz="0" w:space="0" w:color="auto"/>
                        <w:bottom w:val="none" w:sz="0" w:space="0" w:color="auto"/>
                        <w:right w:val="none" w:sz="0" w:space="0" w:color="auto"/>
                      </w:divBdr>
                      <w:divsChild>
                        <w:div w:id="359016952">
                          <w:marLeft w:val="0"/>
                          <w:marRight w:val="0"/>
                          <w:marTop w:val="0"/>
                          <w:marBottom w:val="0"/>
                          <w:divBdr>
                            <w:top w:val="none" w:sz="0" w:space="0" w:color="auto"/>
                            <w:left w:val="none" w:sz="0" w:space="0" w:color="auto"/>
                            <w:bottom w:val="none" w:sz="0" w:space="0" w:color="auto"/>
                            <w:right w:val="none" w:sz="0" w:space="0" w:color="auto"/>
                          </w:divBdr>
                        </w:div>
                      </w:divsChild>
                    </w:div>
                    <w:div w:id="800804077">
                      <w:marLeft w:val="0"/>
                      <w:marRight w:val="0"/>
                      <w:marTop w:val="0"/>
                      <w:marBottom w:val="0"/>
                      <w:divBdr>
                        <w:top w:val="none" w:sz="0" w:space="0" w:color="auto"/>
                        <w:left w:val="none" w:sz="0" w:space="0" w:color="auto"/>
                        <w:bottom w:val="none" w:sz="0" w:space="0" w:color="auto"/>
                        <w:right w:val="none" w:sz="0" w:space="0" w:color="auto"/>
                      </w:divBdr>
                      <w:divsChild>
                        <w:div w:id="2036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7957">
          <w:marLeft w:val="-225"/>
          <w:marRight w:val="-225"/>
          <w:marTop w:val="0"/>
          <w:marBottom w:val="0"/>
          <w:divBdr>
            <w:top w:val="none" w:sz="0" w:space="0" w:color="auto"/>
            <w:left w:val="none" w:sz="0" w:space="0" w:color="auto"/>
            <w:bottom w:val="none" w:sz="0" w:space="0" w:color="auto"/>
            <w:right w:val="none" w:sz="0" w:space="0" w:color="auto"/>
          </w:divBdr>
          <w:divsChild>
            <w:div w:id="786001857">
              <w:marLeft w:val="0"/>
              <w:marRight w:val="0"/>
              <w:marTop w:val="0"/>
              <w:marBottom w:val="0"/>
              <w:divBdr>
                <w:top w:val="none" w:sz="0" w:space="0" w:color="auto"/>
                <w:left w:val="none" w:sz="0" w:space="0" w:color="auto"/>
                <w:bottom w:val="none" w:sz="0" w:space="0" w:color="auto"/>
                <w:right w:val="none" w:sz="0" w:space="0" w:color="auto"/>
              </w:divBdr>
              <w:divsChild>
                <w:div w:id="1089500826">
                  <w:marLeft w:val="0"/>
                  <w:marRight w:val="0"/>
                  <w:marTop w:val="0"/>
                  <w:marBottom w:val="0"/>
                  <w:divBdr>
                    <w:top w:val="none" w:sz="0" w:space="0" w:color="auto"/>
                    <w:left w:val="none" w:sz="0" w:space="0" w:color="auto"/>
                    <w:bottom w:val="none" w:sz="0" w:space="0" w:color="auto"/>
                    <w:right w:val="none" w:sz="0" w:space="0" w:color="auto"/>
                  </w:divBdr>
                  <w:divsChild>
                    <w:div w:id="614020670">
                      <w:marLeft w:val="0"/>
                      <w:marRight w:val="0"/>
                      <w:marTop w:val="0"/>
                      <w:marBottom w:val="0"/>
                      <w:divBdr>
                        <w:top w:val="none" w:sz="0" w:space="0" w:color="auto"/>
                        <w:left w:val="none" w:sz="0" w:space="0" w:color="auto"/>
                        <w:bottom w:val="none" w:sz="0" w:space="0" w:color="auto"/>
                        <w:right w:val="none" w:sz="0" w:space="0" w:color="auto"/>
                      </w:divBdr>
                      <w:divsChild>
                        <w:div w:id="346642456">
                          <w:marLeft w:val="0"/>
                          <w:marRight w:val="0"/>
                          <w:marTop w:val="0"/>
                          <w:marBottom w:val="0"/>
                          <w:divBdr>
                            <w:top w:val="none" w:sz="0" w:space="0" w:color="auto"/>
                            <w:left w:val="none" w:sz="0" w:space="0" w:color="auto"/>
                            <w:bottom w:val="none" w:sz="0" w:space="0" w:color="auto"/>
                            <w:right w:val="none" w:sz="0" w:space="0" w:color="auto"/>
                          </w:divBdr>
                        </w:div>
                      </w:divsChild>
                    </w:div>
                    <w:div w:id="1541085778">
                      <w:marLeft w:val="0"/>
                      <w:marRight w:val="0"/>
                      <w:marTop w:val="0"/>
                      <w:marBottom w:val="0"/>
                      <w:divBdr>
                        <w:top w:val="none" w:sz="0" w:space="0" w:color="auto"/>
                        <w:left w:val="none" w:sz="0" w:space="0" w:color="auto"/>
                        <w:bottom w:val="none" w:sz="0" w:space="0" w:color="auto"/>
                        <w:right w:val="none" w:sz="0" w:space="0" w:color="auto"/>
                      </w:divBdr>
                      <w:divsChild>
                        <w:div w:id="3096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6597">
          <w:marLeft w:val="-225"/>
          <w:marRight w:val="-225"/>
          <w:marTop w:val="0"/>
          <w:marBottom w:val="0"/>
          <w:divBdr>
            <w:top w:val="none" w:sz="0" w:space="0" w:color="auto"/>
            <w:left w:val="none" w:sz="0" w:space="0" w:color="auto"/>
            <w:bottom w:val="none" w:sz="0" w:space="0" w:color="auto"/>
            <w:right w:val="none" w:sz="0" w:space="0" w:color="auto"/>
          </w:divBdr>
          <w:divsChild>
            <w:div w:id="1170872501">
              <w:marLeft w:val="0"/>
              <w:marRight w:val="0"/>
              <w:marTop w:val="0"/>
              <w:marBottom w:val="0"/>
              <w:divBdr>
                <w:top w:val="none" w:sz="0" w:space="0" w:color="auto"/>
                <w:left w:val="none" w:sz="0" w:space="0" w:color="auto"/>
                <w:bottom w:val="none" w:sz="0" w:space="0" w:color="auto"/>
                <w:right w:val="none" w:sz="0" w:space="0" w:color="auto"/>
              </w:divBdr>
              <w:divsChild>
                <w:div w:id="272633458">
                  <w:marLeft w:val="0"/>
                  <w:marRight w:val="0"/>
                  <w:marTop w:val="0"/>
                  <w:marBottom w:val="0"/>
                  <w:divBdr>
                    <w:top w:val="none" w:sz="0" w:space="0" w:color="auto"/>
                    <w:left w:val="none" w:sz="0" w:space="0" w:color="auto"/>
                    <w:bottom w:val="none" w:sz="0" w:space="0" w:color="auto"/>
                    <w:right w:val="none" w:sz="0" w:space="0" w:color="auto"/>
                  </w:divBdr>
                  <w:divsChild>
                    <w:div w:id="658537131">
                      <w:marLeft w:val="0"/>
                      <w:marRight w:val="0"/>
                      <w:marTop w:val="0"/>
                      <w:marBottom w:val="0"/>
                      <w:divBdr>
                        <w:top w:val="none" w:sz="0" w:space="0" w:color="auto"/>
                        <w:left w:val="none" w:sz="0" w:space="0" w:color="auto"/>
                        <w:bottom w:val="none" w:sz="0" w:space="0" w:color="auto"/>
                        <w:right w:val="none" w:sz="0" w:space="0" w:color="auto"/>
                      </w:divBdr>
                      <w:divsChild>
                        <w:div w:id="112333479">
                          <w:marLeft w:val="0"/>
                          <w:marRight w:val="0"/>
                          <w:marTop w:val="0"/>
                          <w:marBottom w:val="0"/>
                          <w:divBdr>
                            <w:top w:val="none" w:sz="0" w:space="0" w:color="auto"/>
                            <w:left w:val="none" w:sz="0" w:space="0" w:color="auto"/>
                            <w:bottom w:val="none" w:sz="0" w:space="0" w:color="auto"/>
                            <w:right w:val="none" w:sz="0" w:space="0" w:color="auto"/>
                          </w:divBdr>
                        </w:div>
                      </w:divsChild>
                    </w:div>
                    <w:div w:id="2095320092">
                      <w:marLeft w:val="0"/>
                      <w:marRight w:val="0"/>
                      <w:marTop w:val="0"/>
                      <w:marBottom w:val="0"/>
                      <w:divBdr>
                        <w:top w:val="none" w:sz="0" w:space="0" w:color="auto"/>
                        <w:left w:val="none" w:sz="0" w:space="0" w:color="auto"/>
                        <w:bottom w:val="none" w:sz="0" w:space="0" w:color="auto"/>
                        <w:right w:val="none" w:sz="0" w:space="0" w:color="auto"/>
                      </w:divBdr>
                      <w:divsChild>
                        <w:div w:id="521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61677">
          <w:marLeft w:val="-225"/>
          <w:marRight w:val="-225"/>
          <w:marTop w:val="0"/>
          <w:marBottom w:val="0"/>
          <w:divBdr>
            <w:top w:val="none" w:sz="0" w:space="0" w:color="auto"/>
            <w:left w:val="none" w:sz="0" w:space="0" w:color="auto"/>
            <w:bottom w:val="none" w:sz="0" w:space="0" w:color="auto"/>
            <w:right w:val="none" w:sz="0" w:space="0" w:color="auto"/>
          </w:divBdr>
          <w:divsChild>
            <w:div w:id="892619807">
              <w:marLeft w:val="0"/>
              <w:marRight w:val="0"/>
              <w:marTop w:val="0"/>
              <w:marBottom w:val="0"/>
              <w:divBdr>
                <w:top w:val="none" w:sz="0" w:space="0" w:color="auto"/>
                <w:left w:val="none" w:sz="0" w:space="0" w:color="auto"/>
                <w:bottom w:val="none" w:sz="0" w:space="0" w:color="auto"/>
                <w:right w:val="none" w:sz="0" w:space="0" w:color="auto"/>
              </w:divBdr>
              <w:divsChild>
                <w:div w:id="61829029">
                  <w:marLeft w:val="0"/>
                  <w:marRight w:val="0"/>
                  <w:marTop w:val="0"/>
                  <w:marBottom w:val="0"/>
                  <w:divBdr>
                    <w:top w:val="none" w:sz="0" w:space="0" w:color="auto"/>
                    <w:left w:val="none" w:sz="0" w:space="0" w:color="auto"/>
                    <w:bottom w:val="none" w:sz="0" w:space="0" w:color="auto"/>
                    <w:right w:val="none" w:sz="0" w:space="0" w:color="auto"/>
                  </w:divBdr>
                  <w:divsChild>
                    <w:div w:id="259723146">
                      <w:marLeft w:val="0"/>
                      <w:marRight w:val="0"/>
                      <w:marTop w:val="0"/>
                      <w:marBottom w:val="0"/>
                      <w:divBdr>
                        <w:top w:val="none" w:sz="0" w:space="0" w:color="auto"/>
                        <w:left w:val="none" w:sz="0" w:space="0" w:color="auto"/>
                        <w:bottom w:val="none" w:sz="0" w:space="0" w:color="auto"/>
                        <w:right w:val="none" w:sz="0" w:space="0" w:color="auto"/>
                      </w:divBdr>
                      <w:divsChild>
                        <w:div w:id="1154175839">
                          <w:marLeft w:val="0"/>
                          <w:marRight w:val="0"/>
                          <w:marTop w:val="0"/>
                          <w:marBottom w:val="0"/>
                          <w:divBdr>
                            <w:top w:val="none" w:sz="0" w:space="0" w:color="auto"/>
                            <w:left w:val="none" w:sz="0" w:space="0" w:color="auto"/>
                            <w:bottom w:val="none" w:sz="0" w:space="0" w:color="auto"/>
                            <w:right w:val="none" w:sz="0" w:space="0" w:color="auto"/>
                          </w:divBdr>
                        </w:div>
                      </w:divsChild>
                    </w:div>
                    <w:div w:id="2027975785">
                      <w:marLeft w:val="0"/>
                      <w:marRight w:val="0"/>
                      <w:marTop w:val="0"/>
                      <w:marBottom w:val="0"/>
                      <w:divBdr>
                        <w:top w:val="none" w:sz="0" w:space="0" w:color="auto"/>
                        <w:left w:val="none" w:sz="0" w:space="0" w:color="auto"/>
                        <w:bottom w:val="none" w:sz="0" w:space="0" w:color="auto"/>
                        <w:right w:val="none" w:sz="0" w:space="0" w:color="auto"/>
                      </w:divBdr>
                      <w:divsChild>
                        <w:div w:id="6757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42487">
          <w:marLeft w:val="-225"/>
          <w:marRight w:val="-225"/>
          <w:marTop w:val="0"/>
          <w:marBottom w:val="0"/>
          <w:divBdr>
            <w:top w:val="none" w:sz="0" w:space="0" w:color="auto"/>
            <w:left w:val="none" w:sz="0" w:space="0" w:color="auto"/>
            <w:bottom w:val="none" w:sz="0" w:space="0" w:color="auto"/>
            <w:right w:val="none" w:sz="0" w:space="0" w:color="auto"/>
          </w:divBdr>
          <w:divsChild>
            <w:div w:id="1815101967">
              <w:marLeft w:val="0"/>
              <w:marRight w:val="0"/>
              <w:marTop w:val="0"/>
              <w:marBottom w:val="0"/>
              <w:divBdr>
                <w:top w:val="none" w:sz="0" w:space="0" w:color="auto"/>
                <w:left w:val="none" w:sz="0" w:space="0" w:color="auto"/>
                <w:bottom w:val="none" w:sz="0" w:space="0" w:color="auto"/>
                <w:right w:val="none" w:sz="0" w:space="0" w:color="auto"/>
              </w:divBdr>
              <w:divsChild>
                <w:div w:id="2138713618">
                  <w:marLeft w:val="0"/>
                  <w:marRight w:val="0"/>
                  <w:marTop w:val="0"/>
                  <w:marBottom w:val="0"/>
                  <w:divBdr>
                    <w:top w:val="none" w:sz="0" w:space="0" w:color="auto"/>
                    <w:left w:val="none" w:sz="0" w:space="0" w:color="auto"/>
                    <w:bottom w:val="none" w:sz="0" w:space="0" w:color="auto"/>
                    <w:right w:val="none" w:sz="0" w:space="0" w:color="auto"/>
                  </w:divBdr>
                  <w:divsChild>
                    <w:div w:id="81488569">
                      <w:marLeft w:val="0"/>
                      <w:marRight w:val="0"/>
                      <w:marTop w:val="0"/>
                      <w:marBottom w:val="0"/>
                      <w:divBdr>
                        <w:top w:val="none" w:sz="0" w:space="0" w:color="auto"/>
                        <w:left w:val="none" w:sz="0" w:space="0" w:color="auto"/>
                        <w:bottom w:val="none" w:sz="0" w:space="0" w:color="auto"/>
                        <w:right w:val="none" w:sz="0" w:space="0" w:color="auto"/>
                      </w:divBdr>
                      <w:divsChild>
                        <w:div w:id="220605373">
                          <w:marLeft w:val="0"/>
                          <w:marRight w:val="0"/>
                          <w:marTop w:val="0"/>
                          <w:marBottom w:val="0"/>
                          <w:divBdr>
                            <w:top w:val="none" w:sz="0" w:space="0" w:color="auto"/>
                            <w:left w:val="none" w:sz="0" w:space="0" w:color="auto"/>
                            <w:bottom w:val="none" w:sz="0" w:space="0" w:color="auto"/>
                            <w:right w:val="none" w:sz="0" w:space="0" w:color="auto"/>
                          </w:divBdr>
                        </w:div>
                      </w:divsChild>
                    </w:div>
                    <w:div w:id="1863471106">
                      <w:marLeft w:val="0"/>
                      <w:marRight w:val="0"/>
                      <w:marTop w:val="0"/>
                      <w:marBottom w:val="0"/>
                      <w:divBdr>
                        <w:top w:val="none" w:sz="0" w:space="0" w:color="auto"/>
                        <w:left w:val="none" w:sz="0" w:space="0" w:color="auto"/>
                        <w:bottom w:val="none" w:sz="0" w:space="0" w:color="auto"/>
                        <w:right w:val="none" w:sz="0" w:space="0" w:color="auto"/>
                      </w:divBdr>
                      <w:divsChild>
                        <w:div w:id="19358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34481">
          <w:marLeft w:val="-225"/>
          <w:marRight w:val="-225"/>
          <w:marTop w:val="0"/>
          <w:marBottom w:val="0"/>
          <w:divBdr>
            <w:top w:val="none" w:sz="0" w:space="0" w:color="auto"/>
            <w:left w:val="none" w:sz="0" w:space="0" w:color="auto"/>
            <w:bottom w:val="none" w:sz="0" w:space="0" w:color="auto"/>
            <w:right w:val="none" w:sz="0" w:space="0" w:color="auto"/>
          </w:divBdr>
          <w:divsChild>
            <w:div w:id="425807477">
              <w:marLeft w:val="0"/>
              <w:marRight w:val="0"/>
              <w:marTop w:val="0"/>
              <w:marBottom w:val="0"/>
              <w:divBdr>
                <w:top w:val="none" w:sz="0" w:space="0" w:color="auto"/>
                <w:left w:val="none" w:sz="0" w:space="0" w:color="auto"/>
                <w:bottom w:val="none" w:sz="0" w:space="0" w:color="auto"/>
                <w:right w:val="none" w:sz="0" w:space="0" w:color="auto"/>
              </w:divBdr>
              <w:divsChild>
                <w:div w:id="1377848152">
                  <w:marLeft w:val="0"/>
                  <w:marRight w:val="0"/>
                  <w:marTop w:val="0"/>
                  <w:marBottom w:val="0"/>
                  <w:divBdr>
                    <w:top w:val="none" w:sz="0" w:space="0" w:color="auto"/>
                    <w:left w:val="none" w:sz="0" w:space="0" w:color="auto"/>
                    <w:bottom w:val="none" w:sz="0" w:space="0" w:color="auto"/>
                    <w:right w:val="none" w:sz="0" w:space="0" w:color="auto"/>
                  </w:divBdr>
                  <w:divsChild>
                    <w:div w:id="316999582">
                      <w:marLeft w:val="0"/>
                      <w:marRight w:val="0"/>
                      <w:marTop w:val="0"/>
                      <w:marBottom w:val="0"/>
                      <w:divBdr>
                        <w:top w:val="none" w:sz="0" w:space="0" w:color="auto"/>
                        <w:left w:val="none" w:sz="0" w:space="0" w:color="auto"/>
                        <w:bottom w:val="none" w:sz="0" w:space="0" w:color="auto"/>
                        <w:right w:val="none" w:sz="0" w:space="0" w:color="auto"/>
                      </w:divBdr>
                      <w:divsChild>
                        <w:div w:id="465970489">
                          <w:marLeft w:val="0"/>
                          <w:marRight w:val="0"/>
                          <w:marTop w:val="0"/>
                          <w:marBottom w:val="0"/>
                          <w:divBdr>
                            <w:top w:val="none" w:sz="0" w:space="0" w:color="auto"/>
                            <w:left w:val="none" w:sz="0" w:space="0" w:color="auto"/>
                            <w:bottom w:val="none" w:sz="0" w:space="0" w:color="auto"/>
                            <w:right w:val="none" w:sz="0" w:space="0" w:color="auto"/>
                          </w:divBdr>
                        </w:div>
                        <w:div w:id="1596283323">
                          <w:marLeft w:val="0"/>
                          <w:marRight w:val="0"/>
                          <w:marTop w:val="0"/>
                          <w:marBottom w:val="0"/>
                          <w:divBdr>
                            <w:top w:val="none" w:sz="0" w:space="0" w:color="auto"/>
                            <w:left w:val="none" w:sz="0" w:space="0" w:color="auto"/>
                            <w:bottom w:val="none" w:sz="0" w:space="0" w:color="auto"/>
                            <w:right w:val="none" w:sz="0" w:space="0" w:color="auto"/>
                          </w:divBdr>
                        </w:div>
                        <w:div w:id="2048488330">
                          <w:marLeft w:val="0"/>
                          <w:marRight w:val="0"/>
                          <w:marTop w:val="0"/>
                          <w:marBottom w:val="0"/>
                          <w:divBdr>
                            <w:top w:val="none" w:sz="0" w:space="0" w:color="auto"/>
                            <w:left w:val="none" w:sz="0" w:space="0" w:color="auto"/>
                            <w:bottom w:val="none" w:sz="0" w:space="0" w:color="auto"/>
                            <w:right w:val="none" w:sz="0" w:space="0" w:color="auto"/>
                          </w:divBdr>
                        </w:div>
                      </w:divsChild>
                    </w:div>
                    <w:div w:id="1293513638">
                      <w:marLeft w:val="0"/>
                      <w:marRight w:val="0"/>
                      <w:marTop w:val="0"/>
                      <w:marBottom w:val="0"/>
                      <w:divBdr>
                        <w:top w:val="none" w:sz="0" w:space="0" w:color="auto"/>
                        <w:left w:val="none" w:sz="0" w:space="0" w:color="auto"/>
                        <w:bottom w:val="none" w:sz="0" w:space="0" w:color="auto"/>
                        <w:right w:val="none" w:sz="0" w:space="0" w:color="auto"/>
                      </w:divBdr>
                      <w:divsChild>
                        <w:div w:id="5920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83920">
          <w:marLeft w:val="-225"/>
          <w:marRight w:val="-225"/>
          <w:marTop w:val="0"/>
          <w:marBottom w:val="0"/>
          <w:divBdr>
            <w:top w:val="none" w:sz="0" w:space="0" w:color="auto"/>
            <w:left w:val="none" w:sz="0" w:space="0" w:color="auto"/>
            <w:bottom w:val="none" w:sz="0" w:space="0" w:color="auto"/>
            <w:right w:val="none" w:sz="0" w:space="0" w:color="auto"/>
          </w:divBdr>
          <w:divsChild>
            <w:div w:id="1630479042">
              <w:marLeft w:val="0"/>
              <w:marRight w:val="0"/>
              <w:marTop w:val="0"/>
              <w:marBottom w:val="0"/>
              <w:divBdr>
                <w:top w:val="none" w:sz="0" w:space="0" w:color="auto"/>
                <w:left w:val="none" w:sz="0" w:space="0" w:color="auto"/>
                <w:bottom w:val="none" w:sz="0" w:space="0" w:color="auto"/>
                <w:right w:val="none" w:sz="0" w:space="0" w:color="auto"/>
              </w:divBdr>
              <w:divsChild>
                <w:div w:id="257523623">
                  <w:marLeft w:val="0"/>
                  <w:marRight w:val="0"/>
                  <w:marTop w:val="0"/>
                  <w:marBottom w:val="0"/>
                  <w:divBdr>
                    <w:top w:val="none" w:sz="0" w:space="0" w:color="auto"/>
                    <w:left w:val="none" w:sz="0" w:space="0" w:color="auto"/>
                    <w:bottom w:val="none" w:sz="0" w:space="0" w:color="auto"/>
                    <w:right w:val="none" w:sz="0" w:space="0" w:color="auto"/>
                  </w:divBdr>
                  <w:divsChild>
                    <w:div w:id="925458696">
                      <w:marLeft w:val="0"/>
                      <w:marRight w:val="0"/>
                      <w:marTop w:val="0"/>
                      <w:marBottom w:val="0"/>
                      <w:divBdr>
                        <w:top w:val="none" w:sz="0" w:space="0" w:color="auto"/>
                        <w:left w:val="none" w:sz="0" w:space="0" w:color="auto"/>
                        <w:bottom w:val="none" w:sz="0" w:space="0" w:color="auto"/>
                        <w:right w:val="none" w:sz="0" w:space="0" w:color="auto"/>
                      </w:divBdr>
                      <w:divsChild>
                        <w:div w:id="691348441">
                          <w:marLeft w:val="0"/>
                          <w:marRight w:val="0"/>
                          <w:marTop w:val="0"/>
                          <w:marBottom w:val="0"/>
                          <w:divBdr>
                            <w:top w:val="none" w:sz="0" w:space="0" w:color="auto"/>
                            <w:left w:val="none" w:sz="0" w:space="0" w:color="auto"/>
                            <w:bottom w:val="none" w:sz="0" w:space="0" w:color="auto"/>
                            <w:right w:val="none" w:sz="0" w:space="0" w:color="auto"/>
                          </w:divBdr>
                        </w:div>
                        <w:div w:id="746465983">
                          <w:marLeft w:val="0"/>
                          <w:marRight w:val="0"/>
                          <w:marTop w:val="0"/>
                          <w:marBottom w:val="0"/>
                          <w:divBdr>
                            <w:top w:val="none" w:sz="0" w:space="0" w:color="auto"/>
                            <w:left w:val="none" w:sz="0" w:space="0" w:color="auto"/>
                            <w:bottom w:val="none" w:sz="0" w:space="0" w:color="auto"/>
                            <w:right w:val="none" w:sz="0" w:space="0" w:color="auto"/>
                          </w:divBdr>
                        </w:div>
                        <w:div w:id="749616781">
                          <w:marLeft w:val="0"/>
                          <w:marRight w:val="0"/>
                          <w:marTop w:val="0"/>
                          <w:marBottom w:val="0"/>
                          <w:divBdr>
                            <w:top w:val="none" w:sz="0" w:space="0" w:color="auto"/>
                            <w:left w:val="none" w:sz="0" w:space="0" w:color="auto"/>
                            <w:bottom w:val="none" w:sz="0" w:space="0" w:color="auto"/>
                            <w:right w:val="none" w:sz="0" w:space="0" w:color="auto"/>
                          </w:divBdr>
                        </w:div>
                        <w:div w:id="771050239">
                          <w:marLeft w:val="0"/>
                          <w:marRight w:val="0"/>
                          <w:marTop w:val="0"/>
                          <w:marBottom w:val="0"/>
                          <w:divBdr>
                            <w:top w:val="none" w:sz="0" w:space="0" w:color="auto"/>
                            <w:left w:val="none" w:sz="0" w:space="0" w:color="auto"/>
                            <w:bottom w:val="none" w:sz="0" w:space="0" w:color="auto"/>
                            <w:right w:val="none" w:sz="0" w:space="0" w:color="auto"/>
                          </w:divBdr>
                        </w:div>
                        <w:div w:id="824204405">
                          <w:marLeft w:val="0"/>
                          <w:marRight w:val="0"/>
                          <w:marTop w:val="0"/>
                          <w:marBottom w:val="0"/>
                          <w:divBdr>
                            <w:top w:val="none" w:sz="0" w:space="0" w:color="auto"/>
                            <w:left w:val="none" w:sz="0" w:space="0" w:color="auto"/>
                            <w:bottom w:val="none" w:sz="0" w:space="0" w:color="auto"/>
                            <w:right w:val="none" w:sz="0" w:space="0" w:color="auto"/>
                          </w:divBdr>
                        </w:div>
                        <w:div w:id="1201934945">
                          <w:marLeft w:val="0"/>
                          <w:marRight w:val="0"/>
                          <w:marTop w:val="0"/>
                          <w:marBottom w:val="0"/>
                          <w:divBdr>
                            <w:top w:val="none" w:sz="0" w:space="0" w:color="auto"/>
                            <w:left w:val="none" w:sz="0" w:space="0" w:color="auto"/>
                            <w:bottom w:val="none" w:sz="0" w:space="0" w:color="auto"/>
                            <w:right w:val="none" w:sz="0" w:space="0" w:color="auto"/>
                          </w:divBdr>
                        </w:div>
                        <w:div w:id="1205366513">
                          <w:marLeft w:val="0"/>
                          <w:marRight w:val="0"/>
                          <w:marTop w:val="0"/>
                          <w:marBottom w:val="0"/>
                          <w:divBdr>
                            <w:top w:val="none" w:sz="0" w:space="0" w:color="auto"/>
                            <w:left w:val="none" w:sz="0" w:space="0" w:color="auto"/>
                            <w:bottom w:val="none" w:sz="0" w:space="0" w:color="auto"/>
                            <w:right w:val="none" w:sz="0" w:space="0" w:color="auto"/>
                          </w:divBdr>
                        </w:div>
                        <w:div w:id="1230963179">
                          <w:marLeft w:val="0"/>
                          <w:marRight w:val="0"/>
                          <w:marTop w:val="0"/>
                          <w:marBottom w:val="0"/>
                          <w:divBdr>
                            <w:top w:val="none" w:sz="0" w:space="0" w:color="auto"/>
                            <w:left w:val="none" w:sz="0" w:space="0" w:color="auto"/>
                            <w:bottom w:val="none" w:sz="0" w:space="0" w:color="auto"/>
                            <w:right w:val="none" w:sz="0" w:space="0" w:color="auto"/>
                          </w:divBdr>
                        </w:div>
                        <w:div w:id="1619871106">
                          <w:marLeft w:val="0"/>
                          <w:marRight w:val="0"/>
                          <w:marTop w:val="0"/>
                          <w:marBottom w:val="0"/>
                          <w:divBdr>
                            <w:top w:val="none" w:sz="0" w:space="0" w:color="auto"/>
                            <w:left w:val="none" w:sz="0" w:space="0" w:color="auto"/>
                            <w:bottom w:val="none" w:sz="0" w:space="0" w:color="auto"/>
                            <w:right w:val="none" w:sz="0" w:space="0" w:color="auto"/>
                          </w:divBdr>
                        </w:div>
                        <w:div w:id="1919316465">
                          <w:marLeft w:val="0"/>
                          <w:marRight w:val="0"/>
                          <w:marTop w:val="0"/>
                          <w:marBottom w:val="0"/>
                          <w:divBdr>
                            <w:top w:val="none" w:sz="0" w:space="0" w:color="auto"/>
                            <w:left w:val="none" w:sz="0" w:space="0" w:color="auto"/>
                            <w:bottom w:val="none" w:sz="0" w:space="0" w:color="auto"/>
                            <w:right w:val="none" w:sz="0" w:space="0" w:color="auto"/>
                          </w:divBdr>
                        </w:div>
                      </w:divsChild>
                    </w:div>
                    <w:div w:id="1035350085">
                      <w:marLeft w:val="0"/>
                      <w:marRight w:val="0"/>
                      <w:marTop w:val="0"/>
                      <w:marBottom w:val="0"/>
                      <w:divBdr>
                        <w:top w:val="none" w:sz="0" w:space="0" w:color="auto"/>
                        <w:left w:val="none" w:sz="0" w:space="0" w:color="auto"/>
                        <w:bottom w:val="none" w:sz="0" w:space="0" w:color="auto"/>
                        <w:right w:val="none" w:sz="0" w:space="0" w:color="auto"/>
                      </w:divBdr>
                      <w:divsChild>
                        <w:div w:id="9209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7593">
          <w:marLeft w:val="-225"/>
          <w:marRight w:val="-225"/>
          <w:marTop w:val="0"/>
          <w:marBottom w:val="0"/>
          <w:divBdr>
            <w:top w:val="none" w:sz="0" w:space="0" w:color="auto"/>
            <w:left w:val="none" w:sz="0" w:space="0" w:color="auto"/>
            <w:bottom w:val="none" w:sz="0" w:space="0" w:color="auto"/>
            <w:right w:val="none" w:sz="0" w:space="0" w:color="auto"/>
          </w:divBdr>
          <w:divsChild>
            <w:div w:id="1772356988">
              <w:marLeft w:val="0"/>
              <w:marRight w:val="0"/>
              <w:marTop w:val="0"/>
              <w:marBottom w:val="0"/>
              <w:divBdr>
                <w:top w:val="none" w:sz="0" w:space="0" w:color="auto"/>
                <w:left w:val="none" w:sz="0" w:space="0" w:color="auto"/>
                <w:bottom w:val="none" w:sz="0" w:space="0" w:color="auto"/>
                <w:right w:val="none" w:sz="0" w:space="0" w:color="auto"/>
              </w:divBdr>
              <w:divsChild>
                <w:div w:id="1518424096">
                  <w:marLeft w:val="0"/>
                  <w:marRight w:val="0"/>
                  <w:marTop w:val="0"/>
                  <w:marBottom w:val="0"/>
                  <w:divBdr>
                    <w:top w:val="none" w:sz="0" w:space="0" w:color="auto"/>
                    <w:left w:val="none" w:sz="0" w:space="0" w:color="auto"/>
                    <w:bottom w:val="none" w:sz="0" w:space="0" w:color="auto"/>
                    <w:right w:val="none" w:sz="0" w:space="0" w:color="auto"/>
                  </w:divBdr>
                  <w:divsChild>
                    <w:div w:id="1209682024">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
                      </w:divsChild>
                    </w:div>
                    <w:div w:id="1857692697">
                      <w:marLeft w:val="0"/>
                      <w:marRight w:val="0"/>
                      <w:marTop w:val="0"/>
                      <w:marBottom w:val="0"/>
                      <w:divBdr>
                        <w:top w:val="none" w:sz="0" w:space="0" w:color="auto"/>
                        <w:left w:val="none" w:sz="0" w:space="0" w:color="auto"/>
                        <w:bottom w:val="none" w:sz="0" w:space="0" w:color="auto"/>
                        <w:right w:val="none" w:sz="0" w:space="0" w:color="auto"/>
                      </w:divBdr>
                      <w:divsChild>
                        <w:div w:id="1498691767">
                          <w:marLeft w:val="0"/>
                          <w:marRight w:val="0"/>
                          <w:marTop w:val="0"/>
                          <w:marBottom w:val="0"/>
                          <w:divBdr>
                            <w:top w:val="none" w:sz="0" w:space="0" w:color="auto"/>
                            <w:left w:val="none" w:sz="0" w:space="0" w:color="auto"/>
                            <w:bottom w:val="none" w:sz="0" w:space="0" w:color="auto"/>
                            <w:right w:val="none" w:sz="0" w:space="0" w:color="auto"/>
                          </w:divBdr>
                        </w:div>
                        <w:div w:id="1785347959">
                          <w:marLeft w:val="0"/>
                          <w:marRight w:val="0"/>
                          <w:marTop w:val="0"/>
                          <w:marBottom w:val="0"/>
                          <w:divBdr>
                            <w:top w:val="none" w:sz="0" w:space="0" w:color="auto"/>
                            <w:left w:val="none" w:sz="0" w:space="0" w:color="auto"/>
                            <w:bottom w:val="none" w:sz="0" w:space="0" w:color="auto"/>
                            <w:right w:val="none" w:sz="0" w:space="0" w:color="auto"/>
                          </w:divBdr>
                        </w:div>
                        <w:div w:id="18542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39999">
          <w:marLeft w:val="-225"/>
          <w:marRight w:val="-225"/>
          <w:marTop w:val="0"/>
          <w:marBottom w:val="0"/>
          <w:divBdr>
            <w:top w:val="none" w:sz="0" w:space="0" w:color="auto"/>
            <w:left w:val="none" w:sz="0" w:space="0" w:color="auto"/>
            <w:bottom w:val="none" w:sz="0" w:space="0" w:color="auto"/>
            <w:right w:val="none" w:sz="0" w:space="0" w:color="auto"/>
          </w:divBdr>
          <w:divsChild>
            <w:div w:id="259222625">
              <w:marLeft w:val="0"/>
              <w:marRight w:val="0"/>
              <w:marTop w:val="0"/>
              <w:marBottom w:val="0"/>
              <w:divBdr>
                <w:top w:val="none" w:sz="0" w:space="0" w:color="auto"/>
                <w:left w:val="none" w:sz="0" w:space="0" w:color="auto"/>
                <w:bottom w:val="none" w:sz="0" w:space="0" w:color="auto"/>
                <w:right w:val="none" w:sz="0" w:space="0" w:color="auto"/>
              </w:divBdr>
              <w:divsChild>
                <w:div w:id="192152833">
                  <w:marLeft w:val="0"/>
                  <w:marRight w:val="0"/>
                  <w:marTop w:val="0"/>
                  <w:marBottom w:val="0"/>
                  <w:divBdr>
                    <w:top w:val="none" w:sz="0" w:space="0" w:color="auto"/>
                    <w:left w:val="none" w:sz="0" w:space="0" w:color="auto"/>
                    <w:bottom w:val="none" w:sz="0" w:space="0" w:color="auto"/>
                    <w:right w:val="none" w:sz="0" w:space="0" w:color="auto"/>
                  </w:divBdr>
                  <w:divsChild>
                    <w:div w:id="642079702">
                      <w:marLeft w:val="0"/>
                      <w:marRight w:val="0"/>
                      <w:marTop w:val="0"/>
                      <w:marBottom w:val="0"/>
                      <w:divBdr>
                        <w:top w:val="none" w:sz="0" w:space="0" w:color="auto"/>
                        <w:left w:val="none" w:sz="0" w:space="0" w:color="auto"/>
                        <w:bottom w:val="none" w:sz="0" w:space="0" w:color="auto"/>
                        <w:right w:val="none" w:sz="0" w:space="0" w:color="auto"/>
                      </w:divBdr>
                      <w:divsChild>
                        <w:div w:id="1145583831">
                          <w:marLeft w:val="0"/>
                          <w:marRight w:val="0"/>
                          <w:marTop w:val="0"/>
                          <w:marBottom w:val="0"/>
                          <w:divBdr>
                            <w:top w:val="none" w:sz="0" w:space="0" w:color="auto"/>
                            <w:left w:val="none" w:sz="0" w:space="0" w:color="auto"/>
                            <w:bottom w:val="none" w:sz="0" w:space="0" w:color="auto"/>
                            <w:right w:val="none" w:sz="0" w:space="0" w:color="auto"/>
                          </w:divBdr>
                        </w:div>
                      </w:divsChild>
                    </w:div>
                    <w:div w:id="729424381">
                      <w:marLeft w:val="0"/>
                      <w:marRight w:val="0"/>
                      <w:marTop w:val="0"/>
                      <w:marBottom w:val="0"/>
                      <w:divBdr>
                        <w:top w:val="none" w:sz="0" w:space="0" w:color="auto"/>
                        <w:left w:val="none" w:sz="0" w:space="0" w:color="auto"/>
                        <w:bottom w:val="none" w:sz="0" w:space="0" w:color="auto"/>
                        <w:right w:val="none" w:sz="0" w:space="0" w:color="auto"/>
                      </w:divBdr>
                      <w:divsChild>
                        <w:div w:id="1138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60249">
          <w:marLeft w:val="-225"/>
          <w:marRight w:val="-225"/>
          <w:marTop w:val="0"/>
          <w:marBottom w:val="0"/>
          <w:divBdr>
            <w:top w:val="none" w:sz="0" w:space="0" w:color="auto"/>
            <w:left w:val="none" w:sz="0" w:space="0" w:color="auto"/>
            <w:bottom w:val="none" w:sz="0" w:space="0" w:color="auto"/>
            <w:right w:val="none" w:sz="0" w:space="0" w:color="auto"/>
          </w:divBdr>
          <w:divsChild>
            <w:div w:id="1430197326">
              <w:marLeft w:val="0"/>
              <w:marRight w:val="0"/>
              <w:marTop w:val="0"/>
              <w:marBottom w:val="0"/>
              <w:divBdr>
                <w:top w:val="none" w:sz="0" w:space="0" w:color="auto"/>
                <w:left w:val="none" w:sz="0" w:space="0" w:color="auto"/>
                <w:bottom w:val="none" w:sz="0" w:space="0" w:color="auto"/>
                <w:right w:val="none" w:sz="0" w:space="0" w:color="auto"/>
              </w:divBdr>
              <w:divsChild>
                <w:div w:id="733285496">
                  <w:marLeft w:val="0"/>
                  <w:marRight w:val="0"/>
                  <w:marTop w:val="0"/>
                  <w:marBottom w:val="0"/>
                  <w:divBdr>
                    <w:top w:val="none" w:sz="0" w:space="0" w:color="auto"/>
                    <w:left w:val="none" w:sz="0" w:space="0" w:color="auto"/>
                    <w:bottom w:val="none" w:sz="0" w:space="0" w:color="auto"/>
                    <w:right w:val="none" w:sz="0" w:space="0" w:color="auto"/>
                  </w:divBdr>
                  <w:divsChild>
                    <w:div w:id="691102898">
                      <w:marLeft w:val="0"/>
                      <w:marRight w:val="0"/>
                      <w:marTop w:val="0"/>
                      <w:marBottom w:val="0"/>
                      <w:divBdr>
                        <w:top w:val="none" w:sz="0" w:space="0" w:color="auto"/>
                        <w:left w:val="none" w:sz="0" w:space="0" w:color="auto"/>
                        <w:bottom w:val="none" w:sz="0" w:space="0" w:color="auto"/>
                        <w:right w:val="none" w:sz="0" w:space="0" w:color="auto"/>
                      </w:divBdr>
                      <w:divsChild>
                        <w:div w:id="716661185">
                          <w:marLeft w:val="0"/>
                          <w:marRight w:val="0"/>
                          <w:marTop w:val="0"/>
                          <w:marBottom w:val="0"/>
                          <w:divBdr>
                            <w:top w:val="none" w:sz="0" w:space="0" w:color="auto"/>
                            <w:left w:val="none" w:sz="0" w:space="0" w:color="auto"/>
                            <w:bottom w:val="none" w:sz="0" w:space="0" w:color="auto"/>
                            <w:right w:val="none" w:sz="0" w:space="0" w:color="auto"/>
                          </w:divBdr>
                        </w:div>
                        <w:div w:id="1622572255">
                          <w:marLeft w:val="0"/>
                          <w:marRight w:val="0"/>
                          <w:marTop w:val="0"/>
                          <w:marBottom w:val="0"/>
                          <w:divBdr>
                            <w:top w:val="none" w:sz="0" w:space="0" w:color="auto"/>
                            <w:left w:val="none" w:sz="0" w:space="0" w:color="auto"/>
                            <w:bottom w:val="none" w:sz="0" w:space="0" w:color="auto"/>
                            <w:right w:val="none" w:sz="0" w:space="0" w:color="auto"/>
                          </w:divBdr>
                        </w:div>
                      </w:divsChild>
                    </w:div>
                    <w:div w:id="1737512133">
                      <w:marLeft w:val="0"/>
                      <w:marRight w:val="0"/>
                      <w:marTop w:val="0"/>
                      <w:marBottom w:val="0"/>
                      <w:divBdr>
                        <w:top w:val="none" w:sz="0" w:space="0" w:color="auto"/>
                        <w:left w:val="none" w:sz="0" w:space="0" w:color="auto"/>
                        <w:bottom w:val="none" w:sz="0" w:space="0" w:color="auto"/>
                        <w:right w:val="none" w:sz="0" w:space="0" w:color="auto"/>
                      </w:divBdr>
                      <w:divsChild>
                        <w:div w:id="5040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74205">
      <w:bodyDiv w:val="1"/>
      <w:marLeft w:val="0"/>
      <w:marRight w:val="0"/>
      <w:marTop w:val="0"/>
      <w:marBottom w:val="0"/>
      <w:divBdr>
        <w:top w:val="none" w:sz="0" w:space="0" w:color="auto"/>
        <w:left w:val="none" w:sz="0" w:space="0" w:color="auto"/>
        <w:bottom w:val="none" w:sz="0" w:space="0" w:color="auto"/>
        <w:right w:val="none" w:sz="0" w:space="0" w:color="auto"/>
      </w:divBdr>
    </w:div>
    <w:div w:id="1212422468">
      <w:bodyDiv w:val="1"/>
      <w:marLeft w:val="0"/>
      <w:marRight w:val="0"/>
      <w:marTop w:val="0"/>
      <w:marBottom w:val="0"/>
      <w:divBdr>
        <w:top w:val="none" w:sz="0" w:space="0" w:color="auto"/>
        <w:left w:val="none" w:sz="0" w:space="0" w:color="auto"/>
        <w:bottom w:val="none" w:sz="0" w:space="0" w:color="auto"/>
        <w:right w:val="none" w:sz="0" w:space="0" w:color="auto"/>
      </w:divBdr>
      <w:divsChild>
        <w:div w:id="2104951366">
          <w:marLeft w:val="120"/>
          <w:marRight w:val="120"/>
          <w:marTop w:val="120"/>
          <w:marBottom w:val="120"/>
          <w:divBdr>
            <w:top w:val="none" w:sz="0" w:space="0" w:color="auto"/>
            <w:left w:val="none" w:sz="0" w:space="0" w:color="auto"/>
            <w:bottom w:val="none" w:sz="0" w:space="0" w:color="auto"/>
            <w:right w:val="none" w:sz="0" w:space="0" w:color="auto"/>
          </w:divBdr>
        </w:div>
      </w:divsChild>
    </w:div>
    <w:div w:id="1499885824">
      <w:bodyDiv w:val="1"/>
      <w:marLeft w:val="0"/>
      <w:marRight w:val="0"/>
      <w:marTop w:val="0"/>
      <w:marBottom w:val="0"/>
      <w:divBdr>
        <w:top w:val="none" w:sz="0" w:space="0" w:color="auto"/>
        <w:left w:val="none" w:sz="0" w:space="0" w:color="auto"/>
        <w:bottom w:val="none" w:sz="0" w:space="0" w:color="auto"/>
        <w:right w:val="none" w:sz="0" w:space="0" w:color="auto"/>
      </w:divBdr>
      <w:divsChild>
        <w:div w:id="654332570">
          <w:marLeft w:val="0"/>
          <w:marRight w:val="0"/>
          <w:marTop w:val="0"/>
          <w:marBottom w:val="0"/>
          <w:divBdr>
            <w:top w:val="none" w:sz="0" w:space="0" w:color="auto"/>
            <w:left w:val="none" w:sz="0" w:space="0" w:color="auto"/>
            <w:bottom w:val="none" w:sz="0" w:space="0" w:color="auto"/>
            <w:right w:val="none" w:sz="0" w:space="0" w:color="auto"/>
          </w:divBdr>
        </w:div>
        <w:div w:id="729766913">
          <w:marLeft w:val="0"/>
          <w:marRight w:val="0"/>
          <w:marTop w:val="0"/>
          <w:marBottom w:val="0"/>
          <w:divBdr>
            <w:top w:val="none" w:sz="0" w:space="0" w:color="auto"/>
            <w:left w:val="none" w:sz="0" w:space="0" w:color="auto"/>
            <w:bottom w:val="none" w:sz="0" w:space="0" w:color="auto"/>
            <w:right w:val="none" w:sz="0" w:space="0" w:color="auto"/>
          </w:divBdr>
        </w:div>
        <w:div w:id="969284204">
          <w:marLeft w:val="0"/>
          <w:marRight w:val="0"/>
          <w:marTop w:val="0"/>
          <w:marBottom w:val="0"/>
          <w:divBdr>
            <w:top w:val="none" w:sz="0" w:space="0" w:color="auto"/>
            <w:left w:val="none" w:sz="0" w:space="0" w:color="auto"/>
            <w:bottom w:val="none" w:sz="0" w:space="0" w:color="auto"/>
            <w:right w:val="none" w:sz="0" w:space="0" w:color="auto"/>
          </w:divBdr>
        </w:div>
        <w:div w:id="1103495976">
          <w:marLeft w:val="0"/>
          <w:marRight w:val="0"/>
          <w:marTop w:val="0"/>
          <w:marBottom w:val="0"/>
          <w:divBdr>
            <w:top w:val="none" w:sz="0" w:space="0" w:color="auto"/>
            <w:left w:val="none" w:sz="0" w:space="0" w:color="auto"/>
            <w:bottom w:val="none" w:sz="0" w:space="0" w:color="auto"/>
            <w:right w:val="none" w:sz="0" w:space="0" w:color="auto"/>
          </w:divBdr>
        </w:div>
        <w:div w:id="1136263291">
          <w:marLeft w:val="0"/>
          <w:marRight w:val="0"/>
          <w:marTop w:val="0"/>
          <w:marBottom w:val="0"/>
          <w:divBdr>
            <w:top w:val="none" w:sz="0" w:space="0" w:color="auto"/>
            <w:left w:val="none" w:sz="0" w:space="0" w:color="auto"/>
            <w:bottom w:val="none" w:sz="0" w:space="0" w:color="auto"/>
            <w:right w:val="none" w:sz="0" w:space="0" w:color="auto"/>
          </w:divBdr>
        </w:div>
        <w:div w:id="1317955714">
          <w:marLeft w:val="0"/>
          <w:marRight w:val="0"/>
          <w:marTop w:val="0"/>
          <w:marBottom w:val="0"/>
          <w:divBdr>
            <w:top w:val="none" w:sz="0" w:space="0" w:color="auto"/>
            <w:left w:val="none" w:sz="0" w:space="0" w:color="auto"/>
            <w:bottom w:val="none" w:sz="0" w:space="0" w:color="auto"/>
            <w:right w:val="none" w:sz="0" w:space="0" w:color="auto"/>
          </w:divBdr>
        </w:div>
        <w:div w:id="1649550479">
          <w:marLeft w:val="0"/>
          <w:marRight w:val="0"/>
          <w:marTop w:val="0"/>
          <w:marBottom w:val="0"/>
          <w:divBdr>
            <w:top w:val="none" w:sz="0" w:space="0" w:color="auto"/>
            <w:left w:val="none" w:sz="0" w:space="0" w:color="auto"/>
            <w:bottom w:val="none" w:sz="0" w:space="0" w:color="auto"/>
            <w:right w:val="none" w:sz="0" w:space="0" w:color="auto"/>
          </w:divBdr>
        </w:div>
        <w:div w:id="1817527469">
          <w:marLeft w:val="0"/>
          <w:marRight w:val="0"/>
          <w:marTop w:val="0"/>
          <w:marBottom w:val="0"/>
          <w:divBdr>
            <w:top w:val="none" w:sz="0" w:space="0" w:color="auto"/>
            <w:left w:val="none" w:sz="0" w:space="0" w:color="auto"/>
            <w:bottom w:val="none" w:sz="0" w:space="0" w:color="auto"/>
            <w:right w:val="none" w:sz="0" w:space="0" w:color="auto"/>
          </w:divBdr>
        </w:div>
        <w:div w:id="1934389795">
          <w:marLeft w:val="0"/>
          <w:marRight w:val="0"/>
          <w:marTop w:val="0"/>
          <w:marBottom w:val="0"/>
          <w:divBdr>
            <w:top w:val="none" w:sz="0" w:space="0" w:color="auto"/>
            <w:left w:val="none" w:sz="0" w:space="0" w:color="auto"/>
            <w:bottom w:val="none" w:sz="0" w:space="0" w:color="auto"/>
            <w:right w:val="none" w:sz="0" w:space="0" w:color="auto"/>
          </w:divBdr>
          <w:divsChild>
            <w:div w:id="980160780">
              <w:marLeft w:val="0"/>
              <w:marRight w:val="0"/>
              <w:marTop w:val="0"/>
              <w:marBottom w:val="0"/>
              <w:divBdr>
                <w:top w:val="none" w:sz="0" w:space="0" w:color="auto"/>
                <w:left w:val="none" w:sz="0" w:space="0" w:color="auto"/>
                <w:bottom w:val="none" w:sz="0" w:space="0" w:color="auto"/>
                <w:right w:val="none" w:sz="0" w:space="0" w:color="auto"/>
              </w:divBdr>
              <w:divsChild>
                <w:div w:id="20300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9918">
      <w:bodyDiv w:val="1"/>
      <w:marLeft w:val="0"/>
      <w:marRight w:val="0"/>
      <w:marTop w:val="0"/>
      <w:marBottom w:val="0"/>
      <w:divBdr>
        <w:top w:val="none" w:sz="0" w:space="0" w:color="auto"/>
        <w:left w:val="none" w:sz="0" w:space="0" w:color="auto"/>
        <w:bottom w:val="none" w:sz="0" w:space="0" w:color="auto"/>
        <w:right w:val="none" w:sz="0" w:space="0" w:color="auto"/>
      </w:divBdr>
    </w:div>
    <w:div w:id="1617447482">
      <w:bodyDiv w:val="1"/>
      <w:marLeft w:val="0"/>
      <w:marRight w:val="0"/>
      <w:marTop w:val="0"/>
      <w:marBottom w:val="0"/>
      <w:divBdr>
        <w:top w:val="none" w:sz="0" w:space="0" w:color="auto"/>
        <w:left w:val="none" w:sz="0" w:space="0" w:color="auto"/>
        <w:bottom w:val="none" w:sz="0" w:space="0" w:color="auto"/>
        <w:right w:val="none" w:sz="0" w:space="0" w:color="auto"/>
      </w:divBdr>
    </w:div>
    <w:div w:id="1989673155">
      <w:bodyDiv w:val="1"/>
      <w:marLeft w:val="0"/>
      <w:marRight w:val="0"/>
      <w:marTop w:val="0"/>
      <w:marBottom w:val="0"/>
      <w:divBdr>
        <w:top w:val="none" w:sz="0" w:space="0" w:color="auto"/>
        <w:left w:val="none" w:sz="0" w:space="0" w:color="auto"/>
        <w:bottom w:val="none" w:sz="0" w:space="0" w:color="auto"/>
        <w:right w:val="none" w:sz="0" w:space="0" w:color="auto"/>
      </w:divBdr>
      <w:divsChild>
        <w:div w:id="683897043">
          <w:marLeft w:val="0"/>
          <w:marRight w:val="0"/>
          <w:marTop w:val="0"/>
          <w:marBottom w:val="0"/>
          <w:divBdr>
            <w:top w:val="none" w:sz="0" w:space="0" w:color="auto"/>
            <w:left w:val="none" w:sz="0" w:space="0" w:color="auto"/>
            <w:bottom w:val="none" w:sz="0" w:space="0" w:color="auto"/>
            <w:right w:val="none" w:sz="0" w:space="0" w:color="auto"/>
          </w:divBdr>
        </w:div>
        <w:div w:id="1801458619">
          <w:marLeft w:val="0"/>
          <w:marRight w:val="0"/>
          <w:marTop w:val="0"/>
          <w:marBottom w:val="0"/>
          <w:divBdr>
            <w:top w:val="none" w:sz="0" w:space="0" w:color="auto"/>
            <w:left w:val="none" w:sz="0" w:space="0" w:color="auto"/>
            <w:bottom w:val="none" w:sz="0" w:space="0" w:color="auto"/>
            <w:right w:val="none" w:sz="0" w:space="0" w:color="auto"/>
          </w:divBdr>
        </w:div>
      </w:divsChild>
    </w:div>
    <w:div w:id="20974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3854-8C51-49F7-9887-D03F5888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20</Pages>
  <Words>6682</Words>
  <Characters>38090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Maria Ivanova, Sofia University “St</vt:lpstr>
    </vt:vector>
  </TitlesOfParts>
  <Company>FEBA SU</Company>
  <LinksUpToDate>false</LinksUpToDate>
  <CharactersWithSpaces>44683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Ivanova, Sofia University “St</dc:title>
  <dc:creator>Maria Ivanova</dc:creator>
  <cp:lastModifiedBy>Мария Иванова</cp:lastModifiedBy>
  <cp:revision>633</cp:revision>
  <cp:lastPrinted>2012-04-30T18:39:00Z</cp:lastPrinted>
  <dcterms:created xsi:type="dcterms:W3CDTF">2012-03-02T08:27:00Z</dcterms:created>
  <dcterms:modified xsi:type="dcterms:W3CDTF">2012-04-30T18:40:00Z</dcterms:modified>
</cp:coreProperties>
</file>