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9A5" w:rsidRPr="003C5A84" w:rsidRDefault="000209A5" w:rsidP="00F2010C">
      <w:pPr>
        <w:autoSpaceDE w:val="0"/>
        <w:autoSpaceDN w:val="0"/>
        <w:adjustRightInd w:val="0"/>
        <w:spacing w:line="360" w:lineRule="auto"/>
        <w:rPr>
          <w:u w:val="single"/>
          <w:lang w:val="en-US"/>
        </w:rPr>
      </w:pPr>
      <w:r w:rsidRPr="003C5A84">
        <w:rPr>
          <w:u w:val="single"/>
          <w:lang w:val="en-US"/>
        </w:rPr>
        <w:t>20th International Input-Output Conference (26th – 29th June, 2012, Bratislava, Slovakia)</w:t>
      </w:r>
    </w:p>
    <w:p w:rsidR="000209A5" w:rsidRPr="003C5A84" w:rsidRDefault="000209A5" w:rsidP="00F2010C">
      <w:pPr>
        <w:spacing w:line="360" w:lineRule="auto"/>
        <w:rPr>
          <w:lang w:val="en-US"/>
        </w:rPr>
      </w:pPr>
    </w:p>
    <w:p w:rsidR="000209A5" w:rsidRDefault="000209A5" w:rsidP="00F2010C">
      <w:pPr>
        <w:spacing w:line="360" w:lineRule="auto"/>
        <w:jc w:val="center"/>
        <w:rPr>
          <w:sz w:val="28"/>
          <w:szCs w:val="28"/>
          <w:lang w:val="en-US"/>
        </w:rPr>
      </w:pPr>
      <w:r w:rsidRPr="003C5A84">
        <w:rPr>
          <w:sz w:val="28"/>
          <w:szCs w:val="28"/>
          <w:lang w:val="en-US"/>
        </w:rPr>
        <w:t xml:space="preserve">The Construction Sector in Turkey: </w:t>
      </w:r>
    </w:p>
    <w:p w:rsidR="000209A5" w:rsidRPr="003C5A84" w:rsidRDefault="000209A5" w:rsidP="00F2010C">
      <w:pPr>
        <w:spacing w:line="360" w:lineRule="auto"/>
        <w:jc w:val="center"/>
        <w:rPr>
          <w:sz w:val="28"/>
          <w:szCs w:val="28"/>
          <w:lang w:val="en-US"/>
        </w:rPr>
      </w:pPr>
      <w:r w:rsidRPr="003C5A84">
        <w:rPr>
          <w:sz w:val="28"/>
          <w:szCs w:val="28"/>
          <w:lang w:val="en-US"/>
        </w:rPr>
        <w:t>A Structural Path Analysis of Employment Linkages</w:t>
      </w:r>
    </w:p>
    <w:p w:rsidR="000209A5" w:rsidRPr="003C5A84" w:rsidRDefault="000209A5" w:rsidP="00F2010C">
      <w:pPr>
        <w:spacing w:line="360" w:lineRule="auto"/>
        <w:rPr>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3075"/>
        <w:gridCol w:w="3075"/>
      </w:tblGrid>
      <w:tr w:rsidR="000209A5" w:rsidRPr="008B4E49">
        <w:tc>
          <w:tcPr>
            <w:tcW w:w="3074" w:type="dxa"/>
          </w:tcPr>
          <w:p w:rsidR="000209A5" w:rsidRPr="008B4E49" w:rsidRDefault="000209A5" w:rsidP="00F2010C">
            <w:pPr>
              <w:spacing w:line="360" w:lineRule="auto"/>
              <w:jc w:val="center"/>
              <w:rPr>
                <w:sz w:val="28"/>
                <w:szCs w:val="28"/>
                <w:lang w:val="en-US"/>
              </w:rPr>
            </w:pPr>
            <w:r w:rsidRPr="008B4E49">
              <w:rPr>
                <w:sz w:val="28"/>
                <w:szCs w:val="28"/>
                <w:lang w:val="en-US"/>
              </w:rPr>
              <w:t>Gulay Gunluk-Senesen</w:t>
            </w:r>
          </w:p>
        </w:tc>
        <w:tc>
          <w:tcPr>
            <w:tcW w:w="3075" w:type="dxa"/>
          </w:tcPr>
          <w:p w:rsidR="000209A5" w:rsidRPr="008B4E49" w:rsidRDefault="000209A5" w:rsidP="00F2010C">
            <w:pPr>
              <w:spacing w:line="360" w:lineRule="auto"/>
              <w:jc w:val="center"/>
              <w:rPr>
                <w:sz w:val="28"/>
                <w:szCs w:val="28"/>
                <w:lang w:val="en-US"/>
              </w:rPr>
            </w:pPr>
            <w:r w:rsidRPr="008B4E49">
              <w:rPr>
                <w:sz w:val="28"/>
                <w:szCs w:val="28"/>
                <w:lang w:val="en-US"/>
              </w:rPr>
              <w:t>Tolga Kaya</w:t>
            </w:r>
          </w:p>
        </w:tc>
        <w:tc>
          <w:tcPr>
            <w:tcW w:w="3075" w:type="dxa"/>
          </w:tcPr>
          <w:p w:rsidR="000209A5" w:rsidRPr="008B4E49" w:rsidRDefault="000209A5" w:rsidP="00F2010C">
            <w:pPr>
              <w:spacing w:line="360" w:lineRule="auto"/>
              <w:jc w:val="center"/>
              <w:rPr>
                <w:sz w:val="28"/>
                <w:szCs w:val="28"/>
                <w:lang w:val="en-US"/>
              </w:rPr>
            </w:pPr>
            <w:r w:rsidRPr="008B4E49">
              <w:rPr>
                <w:sz w:val="28"/>
                <w:szCs w:val="28"/>
                <w:lang w:val="en-US"/>
              </w:rPr>
              <w:t>Umit Senesen</w:t>
            </w:r>
          </w:p>
        </w:tc>
      </w:tr>
      <w:tr w:rsidR="000209A5" w:rsidRPr="008B4E49">
        <w:tc>
          <w:tcPr>
            <w:tcW w:w="3074" w:type="dxa"/>
          </w:tcPr>
          <w:p w:rsidR="000209A5" w:rsidRPr="008B4E49" w:rsidRDefault="000209A5" w:rsidP="00F2010C">
            <w:pPr>
              <w:spacing w:line="360" w:lineRule="auto"/>
              <w:jc w:val="center"/>
              <w:rPr>
                <w:lang w:val="en-US"/>
              </w:rPr>
            </w:pPr>
            <w:r w:rsidRPr="008B4E49">
              <w:rPr>
                <w:lang w:val="en-US"/>
              </w:rPr>
              <w:t>Istanbul University</w:t>
            </w:r>
          </w:p>
          <w:p w:rsidR="000209A5" w:rsidRPr="008B4E49" w:rsidRDefault="000209A5" w:rsidP="00F2010C">
            <w:pPr>
              <w:spacing w:line="360" w:lineRule="auto"/>
              <w:jc w:val="center"/>
              <w:rPr>
                <w:lang w:val="en-US"/>
              </w:rPr>
            </w:pPr>
            <w:r w:rsidRPr="008B4E49">
              <w:rPr>
                <w:lang w:val="en-US"/>
              </w:rPr>
              <w:t>Faculty of Political Sciences</w:t>
            </w:r>
          </w:p>
          <w:p w:rsidR="000209A5" w:rsidRPr="008B4E49" w:rsidRDefault="000209A5" w:rsidP="00F2010C">
            <w:pPr>
              <w:spacing w:line="360" w:lineRule="auto"/>
              <w:jc w:val="center"/>
              <w:rPr>
                <w:lang w:val="en-US"/>
              </w:rPr>
            </w:pPr>
            <w:r w:rsidRPr="008B4E49">
              <w:rPr>
                <w:lang w:val="en-US"/>
              </w:rPr>
              <w:t>gulaygs@istanbul.edu.tr</w:t>
            </w:r>
          </w:p>
        </w:tc>
        <w:tc>
          <w:tcPr>
            <w:tcW w:w="3075" w:type="dxa"/>
          </w:tcPr>
          <w:p w:rsidR="000209A5" w:rsidRPr="008B4E49" w:rsidRDefault="000209A5" w:rsidP="00F2010C">
            <w:pPr>
              <w:spacing w:line="360" w:lineRule="auto"/>
              <w:jc w:val="center"/>
              <w:rPr>
                <w:lang w:val="en-US"/>
              </w:rPr>
            </w:pPr>
            <w:r w:rsidRPr="008B4E49">
              <w:rPr>
                <w:lang w:val="en-US"/>
              </w:rPr>
              <w:t>Istanbul Technical University</w:t>
            </w:r>
          </w:p>
          <w:p w:rsidR="000209A5" w:rsidRPr="008B4E49" w:rsidRDefault="000209A5" w:rsidP="00F2010C">
            <w:pPr>
              <w:spacing w:line="360" w:lineRule="auto"/>
              <w:jc w:val="center"/>
              <w:rPr>
                <w:lang w:val="en-US"/>
              </w:rPr>
            </w:pPr>
            <w:r w:rsidRPr="008B4E49">
              <w:rPr>
                <w:lang w:val="en-US"/>
              </w:rPr>
              <w:t>Faculty of Management</w:t>
            </w:r>
          </w:p>
          <w:p w:rsidR="000209A5" w:rsidRPr="008B4E49" w:rsidRDefault="000209A5" w:rsidP="00F2010C">
            <w:pPr>
              <w:spacing w:line="360" w:lineRule="auto"/>
              <w:jc w:val="center"/>
              <w:rPr>
                <w:lang w:val="en-US"/>
              </w:rPr>
            </w:pPr>
            <w:r w:rsidRPr="008B4E49">
              <w:rPr>
                <w:lang w:val="en-US"/>
              </w:rPr>
              <w:t>kayatolga@itu.edu.tr</w:t>
            </w:r>
          </w:p>
        </w:tc>
        <w:tc>
          <w:tcPr>
            <w:tcW w:w="3075" w:type="dxa"/>
          </w:tcPr>
          <w:p w:rsidR="000209A5" w:rsidRPr="008B4E49" w:rsidRDefault="000209A5" w:rsidP="00F2010C">
            <w:pPr>
              <w:spacing w:line="360" w:lineRule="auto"/>
              <w:jc w:val="center"/>
              <w:rPr>
                <w:lang w:val="en-US"/>
              </w:rPr>
            </w:pPr>
            <w:r w:rsidRPr="008B4E49">
              <w:rPr>
                <w:lang w:val="en-US"/>
              </w:rPr>
              <w:t>Istanbul Technical University</w:t>
            </w:r>
          </w:p>
          <w:p w:rsidR="000209A5" w:rsidRPr="008B4E49" w:rsidRDefault="000209A5" w:rsidP="00F2010C">
            <w:pPr>
              <w:spacing w:line="360" w:lineRule="auto"/>
              <w:jc w:val="center"/>
              <w:rPr>
                <w:lang w:val="en-US"/>
              </w:rPr>
            </w:pPr>
            <w:r w:rsidRPr="008B4E49">
              <w:rPr>
                <w:lang w:val="en-US"/>
              </w:rPr>
              <w:t>Faculty of Management</w:t>
            </w:r>
          </w:p>
          <w:p w:rsidR="000209A5" w:rsidRPr="008B4E49" w:rsidRDefault="000209A5" w:rsidP="00F2010C">
            <w:pPr>
              <w:spacing w:line="360" w:lineRule="auto"/>
              <w:jc w:val="center"/>
              <w:rPr>
                <w:lang w:val="en-US"/>
              </w:rPr>
            </w:pPr>
            <w:r w:rsidRPr="008B4E49">
              <w:rPr>
                <w:lang w:val="en-US"/>
              </w:rPr>
              <w:t>senesen@itu.edu.tr</w:t>
            </w:r>
          </w:p>
        </w:tc>
      </w:tr>
    </w:tbl>
    <w:p w:rsidR="000209A5" w:rsidRPr="003C5A84" w:rsidRDefault="000209A5" w:rsidP="00F2010C">
      <w:pPr>
        <w:spacing w:line="360" w:lineRule="auto"/>
        <w:rPr>
          <w:lang w:val="en-US"/>
        </w:rPr>
      </w:pPr>
    </w:p>
    <w:p w:rsidR="000209A5" w:rsidRPr="003C5A84" w:rsidRDefault="000209A5" w:rsidP="00F2010C">
      <w:pPr>
        <w:spacing w:line="360" w:lineRule="auto"/>
        <w:jc w:val="center"/>
        <w:rPr>
          <w:lang w:val="en-US"/>
        </w:rPr>
      </w:pPr>
      <w:r w:rsidRPr="003C5A84">
        <w:rPr>
          <w:lang w:val="en-US"/>
        </w:rPr>
        <w:t>ABSTRACT</w:t>
      </w:r>
    </w:p>
    <w:p w:rsidR="000209A5" w:rsidRPr="003C5A84" w:rsidRDefault="000209A5" w:rsidP="00E55CFA">
      <w:pPr>
        <w:rPr>
          <w:sz w:val="20"/>
          <w:szCs w:val="20"/>
          <w:lang w:val="en-US"/>
        </w:rPr>
      </w:pPr>
      <w:r w:rsidRPr="003C5A84">
        <w:rPr>
          <w:sz w:val="20"/>
          <w:szCs w:val="20"/>
          <w:lang w:val="en-US"/>
        </w:rPr>
        <w:t>The construction sector in Turkey has been at a rise in the last decade, with annual growth rates between 10-20%.  Interrupted by contraction in 2008 and 2009, high growth rates are observed in 2010 and 2011.  Employment in construction has constantly risen. The GDP share increased from 5.4 % in 2002 to 6.5 % in 2007.   Major driving forces behind are gentrification projects in most city centers, reconstruction in areas hit by earthquakes and floods, infrastructure (residential and commercial buildings as well as urban transport) upgrading for the Istanbul International Financial Center project, and capacity improvements in inter-city highways and railways.  These works, including maintenance, are mainly undertaken by central and/or local public authorities or subsidized if the private sector is involved. Besides they also induce private construction activities in the rest of the economy.  The linkages in the economy of this injection policy via construction final demand, a major component of investment, are worth studying especially in the ongoing crisis environment.  The Structural Path Analysis</w:t>
      </w:r>
      <w:r>
        <w:rPr>
          <w:sz w:val="20"/>
          <w:szCs w:val="20"/>
          <w:lang w:val="en-US"/>
        </w:rPr>
        <w:t xml:space="preserve"> o</w:t>
      </w:r>
      <w:r w:rsidRPr="003C5A84">
        <w:rPr>
          <w:sz w:val="20"/>
          <w:szCs w:val="20"/>
          <w:lang w:val="en-US"/>
        </w:rPr>
        <w:t xml:space="preserve">f employment linkages of the construction </w:t>
      </w:r>
      <w:r w:rsidRPr="00FF7D41">
        <w:rPr>
          <w:sz w:val="20"/>
          <w:szCs w:val="20"/>
          <w:lang w:val="en-US"/>
        </w:rPr>
        <w:t>sector is</w:t>
      </w:r>
      <w:r w:rsidRPr="003C5A84">
        <w:rPr>
          <w:sz w:val="20"/>
          <w:szCs w:val="20"/>
          <w:lang w:val="en-US"/>
        </w:rPr>
        <w:t xml:space="preserve"> modeled.   The latest available I-O data is for 2002</w:t>
      </w:r>
      <w:r>
        <w:rPr>
          <w:sz w:val="20"/>
          <w:szCs w:val="20"/>
          <w:lang w:val="en-US"/>
        </w:rPr>
        <w:t>.</w:t>
      </w:r>
      <w:r w:rsidRPr="003C5A84">
        <w:rPr>
          <w:sz w:val="20"/>
          <w:szCs w:val="20"/>
          <w:lang w:val="en-US"/>
        </w:rPr>
        <w:t xml:space="preserve"> Identification of paths, hence principle areas of impact</w:t>
      </w:r>
      <w:r>
        <w:rPr>
          <w:sz w:val="20"/>
          <w:szCs w:val="20"/>
          <w:lang w:val="en-US"/>
        </w:rPr>
        <w:t>s</w:t>
      </w:r>
      <w:r w:rsidRPr="003C5A84">
        <w:rPr>
          <w:sz w:val="20"/>
          <w:szCs w:val="20"/>
          <w:lang w:val="en-US"/>
        </w:rPr>
        <w:t xml:space="preserve"> form the basis for the assessment of implications for the macro economic problems of persistent unemployment</w:t>
      </w:r>
      <w:r>
        <w:rPr>
          <w:sz w:val="20"/>
          <w:szCs w:val="20"/>
          <w:lang w:val="en-US"/>
        </w:rPr>
        <w:t>.</w:t>
      </w:r>
      <w:r w:rsidRPr="003C5A84">
        <w:rPr>
          <w:sz w:val="20"/>
          <w:szCs w:val="20"/>
          <w:lang w:val="en-US"/>
        </w:rPr>
        <w:t xml:space="preserve"> </w:t>
      </w:r>
    </w:p>
    <w:p w:rsidR="000209A5" w:rsidRPr="003C5A84" w:rsidRDefault="000209A5" w:rsidP="00F2010C">
      <w:pPr>
        <w:spacing w:line="360" w:lineRule="auto"/>
        <w:rPr>
          <w:sz w:val="20"/>
          <w:szCs w:val="20"/>
          <w:lang w:val="en-US"/>
        </w:rPr>
      </w:pPr>
    </w:p>
    <w:p w:rsidR="000209A5" w:rsidRPr="003C5A84" w:rsidRDefault="000209A5" w:rsidP="00F2010C">
      <w:pPr>
        <w:spacing w:line="360" w:lineRule="auto"/>
        <w:rPr>
          <w:sz w:val="20"/>
          <w:szCs w:val="20"/>
          <w:lang w:val="en-US"/>
        </w:rPr>
      </w:pPr>
    </w:p>
    <w:p w:rsidR="000209A5" w:rsidRPr="003C5A84" w:rsidRDefault="000209A5" w:rsidP="00E55CFA">
      <w:pPr>
        <w:rPr>
          <w:sz w:val="20"/>
          <w:szCs w:val="20"/>
          <w:lang w:val="en-US"/>
        </w:rPr>
      </w:pPr>
      <w:r>
        <w:rPr>
          <w:lang w:val="en-US"/>
        </w:rPr>
        <w:t xml:space="preserve">1. </w:t>
      </w:r>
      <w:r w:rsidRPr="003C5A84">
        <w:rPr>
          <w:lang w:val="en-US"/>
        </w:rPr>
        <w:t>INTRODUCTION</w:t>
      </w:r>
    </w:p>
    <w:p w:rsidR="000209A5" w:rsidRPr="003C5A84" w:rsidRDefault="000209A5" w:rsidP="00E55CFA">
      <w:pPr>
        <w:spacing w:line="360" w:lineRule="auto"/>
        <w:rPr>
          <w:lang w:val="en-US"/>
        </w:rPr>
      </w:pPr>
      <w:r w:rsidRPr="003C5A84">
        <w:rPr>
          <w:lang w:val="en-US"/>
        </w:rPr>
        <w:t xml:space="preserve">The purpose of this paper is to study the structure and degree of backward </w:t>
      </w:r>
      <w:r w:rsidRPr="00AD78F0">
        <w:rPr>
          <w:lang w:val="en-US"/>
        </w:rPr>
        <w:t xml:space="preserve">employment </w:t>
      </w:r>
      <w:r w:rsidRPr="003C5A84">
        <w:rPr>
          <w:lang w:val="en-US"/>
        </w:rPr>
        <w:t xml:space="preserve">linkages of the construction sector in Turkey.  A Structural Path Analysis (SPA) is undertaken with the latest available 2002 I-O data. </w:t>
      </w:r>
    </w:p>
    <w:p w:rsidR="000209A5" w:rsidRDefault="000209A5" w:rsidP="00E55CFA">
      <w:pPr>
        <w:spacing w:line="360" w:lineRule="auto"/>
        <w:ind w:firstLine="708"/>
        <w:rPr>
          <w:lang w:val="en-US"/>
        </w:rPr>
      </w:pPr>
      <w:r w:rsidRPr="003C5A84">
        <w:rPr>
          <w:lang w:val="en-US"/>
        </w:rPr>
        <w:t xml:space="preserve">The construction sector in Turkey has been at a rise in the last decade, after the 2001 crisis, with annual growth rates between 6-19%, as shown in Figure 1.  Following the sharp contractions in 2008 and 2009, fast recovery is observed in 2010 and 2011.  The GDP share of construction increased from 5.4 % in 2002 to 6.5 % in 2007 (See Figure 2).  The recovery of employment share was slower in the post 2001 period, as shown in Figure 3, but reached 6.8 % in 2010, the highest value in the 2000s.  </w:t>
      </w:r>
    </w:p>
    <w:p w:rsidR="00A82722" w:rsidRDefault="00A82722" w:rsidP="00A82722">
      <w:pPr>
        <w:pBdr>
          <w:top w:val="single" w:sz="4" w:space="1" w:color="auto"/>
          <w:left w:val="single" w:sz="4" w:space="4" w:color="auto"/>
          <w:bottom w:val="single" w:sz="4" w:space="1" w:color="auto"/>
          <w:right w:val="single" w:sz="4" w:space="4" w:color="auto"/>
        </w:pBdr>
        <w:spacing w:line="360" w:lineRule="auto"/>
        <w:ind w:firstLine="708"/>
        <w:rPr>
          <w:lang w:val="en-US"/>
        </w:rPr>
      </w:pPr>
      <w:r>
        <w:rPr>
          <w:lang w:val="en-US"/>
        </w:rPr>
        <w:t>Figure 1.</w:t>
      </w:r>
    </w:p>
    <w:p w:rsidR="00A82722" w:rsidRDefault="00A82722" w:rsidP="00A82722">
      <w:pPr>
        <w:pBdr>
          <w:top w:val="single" w:sz="4" w:space="1" w:color="auto"/>
          <w:left w:val="single" w:sz="4" w:space="4" w:color="auto"/>
          <w:bottom w:val="single" w:sz="4" w:space="1" w:color="auto"/>
          <w:right w:val="single" w:sz="4" w:space="4" w:color="auto"/>
        </w:pBdr>
        <w:spacing w:line="360" w:lineRule="auto"/>
        <w:ind w:firstLine="708"/>
        <w:rPr>
          <w:lang w:val="en-US"/>
        </w:rPr>
      </w:pPr>
      <w:r>
        <w:rPr>
          <w:lang w:val="en-US"/>
        </w:rPr>
        <w:t>Figure 2.</w:t>
      </w:r>
    </w:p>
    <w:p w:rsidR="00A82722" w:rsidRDefault="00A82722" w:rsidP="00A82722">
      <w:pPr>
        <w:pBdr>
          <w:top w:val="single" w:sz="4" w:space="1" w:color="auto"/>
          <w:left w:val="single" w:sz="4" w:space="4" w:color="auto"/>
          <w:bottom w:val="single" w:sz="4" w:space="1" w:color="auto"/>
          <w:right w:val="single" w:sz="4" w:space="4" w:color="auto"/>
        </w:pBdr>
        <w:spacing w:line="360" w:lineRule="auto"/>
        <w:ind w:firstLine="708"/>
        <w:rPr>
          <w:lang w:val="en-US"/>
        </w:rPr>
      </w:pPr>
      <w:r>
        <w:rPr>
          <w:lang w:val="en-US"/>
        </w:rPr>
        <w:t>Figure 3.</w:t>
      </w:r>
    </w:p>
    <w:p w:rsidR="00A82722" w:rsidRPr="003C5A84" w:rsidRDefault="00A82722" w:rsidP="00E55CFA">
      <w:pPr>
        <w:spacing w:line="360" w:lineRule="auto"/>
        <w:ind w:firstLine="708"/>
        <w:rPr>
          <w:lang w:val="en-US"/>
        </w:rPr>
      </w:pPr>
    </w:p>
    <w:p w:rsidR="000209A5" w:rsidRPr="003C5A84" w:rsidRDefault="000209A5" w:rsidP="00E55CFA">
      <w:pPr>
        <w:spacing w:line="360" w:lineRule="auto"/>
        <w:rPr>
          <w:lang w:val="en-US"/>
        </w:rPr>
      </w:pPr>
      <w:r w:rsidRPr="003C5A84">
        <w:rPr>
          <w:lang w:val="en-US"/>
        </w:rPr>
        <w:tab/>
        <w:t>Major driving forces behind are gentrification projects in most city centers, public sector housing construction, reconstruction in areas hit by earthquakes and floods, infrastructure (residential and commercial buildings as well as urban transport) upgrading for the Istanbul International Financial Center project, capacity improvements in inter-city highways and railways.  These works, including maintenance, are mainly undertaken by central and/or local public authorities or subsidized if the private sector is involved. The Housing Development Administration under the Prime Ministry of Turkey has undertaken production of over 500,000 dwellings, of mostly social housing type, since 2003 as well as public buildings throughout the country.</w:t>
      </w:r>
      <w:r w:rsidRPr="003C5A84">
        <w:rPr>
          <w:rStyle w:val="SonnotBavurusu"/>
          <w:lang w:val="en-US"/>
        </w:rPr>
        <w:endnoteReference w:id="2"/>
      </w:r>
      <w:r w:rsidRPr="003C5A84">
        <w:rPr>
          <w:lang w:val="en-US"/>
        </w:rPr>
        <w:t xml:space="preserve">  Besides, all of these induce private construction activities in the rest of the economy.  </w:t>
      </w:r>
    </w:p>
    <w:p w:rsidR="000209A5" w:rsidRPr="003C5A84" w:rsidRDefault="000209A5" w:rsidP="00E55CFA">
      <w:pPr>
        <w:spacing w:line="360" w:lineRule="auto"/>
        <w:ind w:firstLine="708"/>
        <w:rPr>
          <w:lang w:val="en-US"/>
        </w:rPr>
      </w:pPr>
      <w:r w:rsidRPr="003C5A84">
        <w:rPr>
          <w:lang w:val="en-US"/>
        </w:rPr>
        <w:t xml:space="preserve">There are two aspects of these developments which invoke input-output analysis of the Turkish construction sector.  Firstly, as everywhere construction is a major investment sector, a significant component of the Final Demand. Secondly in the Turkish case, the public sector is the main actor, making construction a significant policy sector of injection especially in the 2000s.   </w:t>
      </w:r>
    </w:p>
    <w:p w:rsidR="000209A5" w:rsidRPr="00E55CFA" w:rsidRDefault="000209A5" w:rsidP="00F2010C">
      <w:pPr>
        <w:spacing w:line="360" w:lineRule="auto"/>
        <w:rPr>
          <w:color w:val="FF0000"/>
          <w:lang w:val="en-US"/>
        </w:rPr>
      </w:pPr>
    </w:p>
    <w:p w:rsidR="000209A5" w:rsidRDefault="000209A5" w:rsidP="00E55CFA">
      <w:pPr>
        <w:spacing w:line="360" w:lineRule="auto"/>
        <w:rPr>
          <w:lang w:val="en-US"/>
        </w:rPr>
      </w:pPr>
      <w:r>
        <w:rPr>
          <w:lang w:val="en-US"/>
        </w:rPr>
        <w:t>2. THE CONSTRUCTION SECTOR IN THE ECONOMY</w:t>
      </w:r>
    </w:p>
    <w:p w:rsidR="000209A5" w:rsidRPr="003C5A84" w:rsidRDefault="000209A5" w:rsidP="00A82722">
      <w:pPr>
        <w:spacing w:line="360" w:lineRule="auto"/>
        <w:rPr>
          <w:color w:val="FF0000"/>
          <w:lang w:val="en-US"/>
        </w:rPr>
      </w:pPr>
      <w:r>
        <w:rPr>
          <w:lang w:val="en-US"/>
        </w:rPr>
        <w:t>The construction sector has been subject to extensive research, not only on engineering aspects but also increasingly on the management, organization and economic aspects.</w:t>
      </w:r>
      <w:r>
        <w:rPr>
          <w:rStyle w:val="SonnotBavurusu"/>
          <w:lang w:val="en-US"/>
        </w:rPr>
        <w:endnoteReference w:id="3"/>
      </w:r>
      <w:r>
        <w:rPr>
          <w:lang w:val="en-US"/>
        </w:rPr>
        <w:t xml:space="preserve">  Song et al. (2006:586) suggest consideration of the role of the government policies during up-swings and down-swings in analyzing the position of the construction sector in the economy, as the government may interfere via construction sector to cool or heat the economy. An extensive elaboration of the macroeconomic aspects of the construction sector is provided by Giang and Pheng (2011) along the lines of our starting point.  The construction activity is a driver of growth and development provided that it supports productive capacity in the form of fixed capital formation. This function is significant especially for developing countries as it is a main component in government spending and also in public-led construction specific institutionalization.  The caveats would be mis-match of short term and long-term outcomes which might lead to over-expansion, increasing input costs and imports, crowding out of financial capital, as well as environment degradation. </w:t>
      </w:r>
    </w:p>
    <w:p w:rsidR="000209A5" w:rsidRDefault="000209A5" w:rsidP="00E55CFA">
      <w:pPr>
        <w:spacing w:line="360" w:lineRule="auto"/>
        <w:ind w:firstLine="708"/>
        <w:rPr>
          <w:lang w:val="en-US"/>
        </w:rPr>
      </w:pPr>
      <w:r>
        <w:rPr>
          <w:lang w:val="en-US"/>
        </w:rPr>
        <w:t xml:space="preserve">As for the production activity aspect in specific, findings </w:t>
      </w:r>
      <w:r w:rsidRPr="00C40E6E">
        <w:rPr>
          <w:lang w:val="en-US"/>
        </w:rPr>
        <w:t xml:space="preserve">for </w:t>
      </w:r>
      <w:r>
        <w:rPr>
          <w:lang w:val="en-US"/>
        </w:rPr>
        <w:t>major</w:t>
      </w:r>
      <w:r w:rsidRPr="00C40E6E">
        <w:rPr>
          <w:lang w:val="en-US"/>
        </w:rPr>
        <w:t xml:space="preserve"> developed countries</w:t>
      </w:r>
      <w:r>
        <w:rPr>
          <w:lang w:val="en-US"/>
        </w:rPr>
        <w:t xml:space="preserve"> reveal that the input composition of construction changed in time (during 1968-1990) with the emergence of technology and service intensive sectors (Pietroforte and </w:t>
      </w:r>
      <w:r>
        <w:rPr>
          <w:lang w:val="en-US"/>
        </w:rPr>
        <w:lastRenderedPageBreak/>
        <w:t xml:space="preserve">Gregori, 2003; </w:t>
      </w:r>
      <w:r w:rsidRPr="00C40E6E">
        <w:rPr>
          <w:lang w:val="en-US"/>
        </w:rPr>
        <w:t>Gundes</w:t>
      </w:r>
      <w:r>
        <w:rPr>
          <w:lang w:val="en-US"/>
        </w:rPr>
        <w:t xml:space="preserve">, </w:t>
      </w:r>
      <w:r w:rsidRPr="00C40E6E">
        <w:rPr>
          <w:lang w:val="en-US"/>
        </w:rPr>
        <w:t>2011</w:t>
      </w:r>
      <w:r>
        <w:rPr>
          <w:lang w:val="en-US"/>
        </w:rPr>
        <w:t>b</w:t>
      </w:r>
      <w:r w:rsidRPr="00C40E6E">
        <w:rPr>
          <w:lang w:val="en-US"/>
        </w:rPr>
        <w:t>)</w:t>
      </w:r>
      <w:r>
        <w:rPr>
          <w:lang w:val="en-US"/>
        </w:rPr>
        <w:t xml:space="preserve">.  de Valence (2010) shows that </w:t>
      </w:r>
      <w:r w:rsidRPr="003C5A84">
        <w:rPr>
          <w:lang w:val="en-US"/>
        </w:rPr>
        <w:t xml:space="preserve">the construction industry </w:t>
      </w:r>
      <w:r>
        <w:rPr>
          <w:lang w:val="en-US"/>
        </w:rPr>
        <w:t xml:space="preserve">in Australia has evolved from a </w:t>
      </w:r>
      <w:r w:rsidRPr="003C5A84">
        <w:rPr>
          <w:lang w:val="en-US"/>
        </w:rPr>
        <w:t>smaller scale production activity to large scale concentrated assembling activity, resembling manufacturing industry. Hence interactions with the rest of the economic activities are becoming more widespread, services inclusive.</w:t>
      </w:r>
      <w:r>
        <w:rPr>
          <w:lang w:val="en-US"/>
        </w:rPr>
        <w:t xml:space="preserve"> This in turn implies that any construction related injection into the economy induces demand for a large variety of economic activities.  For example, a cluster map based on simple I-O forward and backward linkages for Indonesia depicts the sequence of these interactions mainly with cement, steel and iron, metals, energy, water, transportation, communication, finance and trade (</w:t>
      </w:r>
      <w:r w:rsidRPr="00EA560A">
        <w:t>Budiwibowo</w:t>
      </w:r>
      <w:r>
        <w:rPr>
          <w:lang w:val="en-US"/>
        </w:rPr>
        <w:t xml:space="preserve"> et al., 2009).  </w:t>
      </w:r>
    </w:p>
    <w:p w:rsidR="000209A5" w:rsidRDefault="000209A5" w:rsidP="00E55CFA">
      <w:pPr>
        <w:spacing w:line="360" w:lineRule="auto"/>
        <w:ind w:firstLine="708"/>
        <w:rPr>
          <w:lang w:val="en-US"/>
        </w:rPr>
      </w:pPr>
      <w:r>
        <w:rPr>
          <w:lang w:val="en-US"/>
        </w:rPr>
        <w:t xml:space="preserve">Depending on the stage of technology of the sector itself and other sectors, as Giang and Pheng (2011) also discuss, construction activity directly and also indirectly provides employment opportunities for the unskilled labor as a remedy for unemployment, where relevant.  </w:t>
      </w:r>
    </w:p>
    <w:p w:rsidR="000209A5" w:rsidRPr="0004465F" w:rsidRDefault="000209A5" w:rsidP="00967793">
      <w:pPr>
        <w:spacing w:line="360" w:lineRule="auto"/>
        <w:ind w:firstLine="708"/>
        <w:rPr>
          <w:lang w:val="en-US"/>
        </w:rPr>
      </w:pPr>
      <w:r w:rsidRPr="0004465F">
        <w:rPr>
          <w:lang w:val="en-US"/>
        </w:rPr>
        <w:t xml:space="preserve">As for Turkey, findings with the 1998 I-O data (97 sectors) indicate that the construction sector was leading in total public (85%) and private (64%) investment, in total investment (70%), final demand (13%), total output (9%) and total intermediate imports (8%). It also ranked high in wages (10%), profits (7%), value added (7%) and exports (5%) (Gunluk-Senesen, 2005).  In contrast, both backward and forward linkages of construction were mediocre.  Main input suppliers to the construction sector -cement, glass, ceramic- did not have high multipliers, but intermediate import demand generation of the metal industry (iron and steel and other) was significant. </w:t>
      </w:r>
      <w:r w:rsidRPr="0004465F">
        <w:rPr>
          <w:rStyle w:val="SonnotBavurusu"/>
          <w:lang w:val="en-US"/>
        </w:rPr>
        <w:endnoteReference w:id="4"/>
      </w:r>
      <w:r w:rsidRPr="0004465F">
        <w:rPr>
          <w:lang w:val="en-US"/>
        </w:rPr>
        <w:t xml:space="preserve">  On the other hand, the shares of the construction sector are lower with the 2002 I-O data (59 sectors): 62 % in total investment (public-private composition not available), 8 % in final demand, 4 % in total intermediate imports, around 5 % in total output, wages, profits, value added, and 2 % in exports.  Yet higher shares would be expected with the favorable trends in the 2000s. </w:t>
      </w:r>
    </w:p>
    <w:p w:rsidR="000209A5" w:rsidRDefault="000209A5" w:rsidP="00967793">
      <w:pPr>
        <w:spacing w:line="360" w:lineRule="auto"/>
        <w:ind w:firstLine="708"/>
        <w:rPr>
          <w:lang w:val="en-US"/>
        </w:rPr>
      </w:pPr>
      <w:r>
        <w:rPr>
          <w:lang w:val="en-US"/>
        </w:rPr>
        <w:t>We endeavor to understand the structure of the interactions of the Turkish construction sector with the economy in a comparative context with universal trends.  Furthermore, we focus on employment generation using Structural Path Analysis, which is a first attempt within the scope of construction sector studies.</w:t>
      </w:r>
    </w:p>
    <w:p w:rsidR="000209A5" w:rsidRDefault="000209A5" w:rsidP="00F2010C">
      <w:pPr>
        <w:spacing w:line="360" w:lineRule="auto"/>
        <w:rPr>
          <w:lang w:val="en-US"/>
        </w:rPr>
      </w:pPr>
    </w:p>
    <w:p w:rsidR="000209A5" w:rsidRPr="00F2010C" w:rsidRDefault="000209A5" w:rsidP="00F2010C">
      <w:pPr>
        <w:spacing w:line="360" w:lineRule="auto"/>
        <w:rPr>
          <w:lang w:val="en-US"/>
        </w:rPr>
      </w:pPr>
      <w:r w:rsidRPr="00F2010C">
        <w:rPr>
          <w:lang w:val="en-US"/>
        </w:rPr>
        <w:t xml:space="preserve">3. METHODOLOGY:   THE STRUCTURAL PATH ANALYSIS OF THE TURKISH CONSTRUCTION SECTOR </w:t>
      </w:r>
      <w:r w:rsidRPr="00F2010C">
        <w:rPr>
          <w:lang w:val="en-US"/>
        </w:rPr>
        <w:tab/>
      </w:r>
    </w:p>
    <w:p w:rsidR="000209A5" w:rsidRPr="003A026E" w:rsidRDefault="000209A5" w:rsidP="00F2010C">
      <w:pPr>
        <w:spacing w:line="360" w:lineRule="auto"/>
        <w:jc w:val="both"/>
        <w:rPr>
          <w:lang w:val="en-GB"/>
        </w:rPr>
      </w:pPr>
      <w:r w:rsidRPr="003A026E">
        <w:rPr>
          <w:lang w:val="en-GB"/>
        </w:rPr>
        <w:t>The sectoral output vector (</w:t>
      </w:r>
      <w:r w:rsidRPr="003A026E">
        <w:rPr>
          <w:b/>
          <w:bCs/>
          <w:lang w:val="en-GB"/>
        </w:rPr>
        <w:t>x</w:t>
      </w:r>
      <w:r w:rsidRPr="003A026E">
        <w:rPr>
          <w:lang w:val="en-GB"/>
        </w:rPr>
        <w:t>) in an economy can be expressed as</w:t>
      </w:r>
    </w:p>
    <w:p w:rsidR="000209A5" w:rsidRPr="003A026E" w:rsidRDefault="003B5D60" w:rsidP="00F2010C">
      <w:pPr>
        <w:spacing w:line="360" w:lineRule="auto"/>
        <w:jc w:val="right"/>
        <w:rPr>
          <w:lang w:val="en-GB"/>
        </w:rPr>
      </w:pPr>
      <w:r w:rsidRPr="007D1BA9">
        <w:rPr>
          <w:lang w:val="en-GB"/>
        </w:rPr>
        <w:fldChar w:fldCharType="begin"/>
      </w:r>
      <w:r w:rsidR="000209A5" w:rsidRPr="007D1BA9">
        <w:rPr>
          <w:lang w:val="en-GB"/>
        </w:rPr>
        <w:instrText xml:space="preserve"> QUOTE </w:instrText>
      </w:r>
      <w:r w:rsidR="0029483C">
        <w:rPr>
          <w:noProof/>
        </w:rPr>
        <w:drawing>
          <wp:inline distT="0" distB="0" distL="0" distR="0">
            <wp:extent cx="800100" cy="1714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800100" cy="171450"/>
                    </a:xfrm>
                    <a:prstGeom prst="rect">
                      <a:avLst/>
                    </a:prstGeom>
                    <a:noFill/>
                    <a:ln w="9525">
                      <a:noFill/>
                      <a:miter lim="800000"/>
                      <a:headEnd/>
                      <a:tailEnd/>
                    </a:ln>
                  </pic:spPr>
                </pic:pic>
              </a:graphicData>
            </a:graphic>
          </wp:inline>
        </w:drawing>
      </w:r>
      <w:r w:rsidR="000209A5" w:rsidRPr="007D1BA9">
        <w:rPr>
          <w:lang w:val="en-GB"/>
        </w:rPr>
        <w:instrText xml:space="preserve"> </w:instrText>
      </w:r>
      <w:r w:rsidRPr="007D1BA9">
        <w:rPr>
          <w:lang w:val="en-GB"/>
        </w:rPr>
        <w:fldChar w:fldCharType="separate"/>
      </w:r>
      <w:r w:rsidR="0029483C">
        <w:rPr>
          <w:noProof/>
        </w:rPr>
        <w:drawing>
          <wp:inline distT="0" distB="0" distL="0" distR="0">
            <wp:extent cx="800100" cy="17145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800100" cy="171450"/>
                    </a:xfrm>
                    <a:prstGeom prst="rect">
                      <a:avLst/>
                    </a:prstGeom>
                    <a:noFill/>
                    <a:ln w="9525">
                      <a:noFill/>
                      <a:miter lim="800000"/>
                      <a:headEnd/>
                      <a:tailEnd/>
                    </a:ln>
                  </pic:spPr>
                </pic:pic>
              </a:graphicData>
            </a:graphic>
          </wp:inline>
        </w:drawing>
      </w:r>
      <w:r w:rsidRPr="007D1BA9">
        <w:rPr>
          <w:lang w:val="en-GB"/>
        </w:rPr>
        <w:fldChar w:fldCharType="end"/>
      </w:r>
      <w:r w:rsidR="000209A5" w:rsidRPr="003A026E">
        <w:rPr>
          <w:lang w:val="en-GB"/>
        </w:rPr>
        <w:tab/>
      </w:r>
      <w:r w:rsidR="000209A5" w:rsidRPr="003A026E">
        <w:rPr>
          <w:lang w:val="en-GB"/>
        </w:rPr>
        <w:tab/>
      </w:r>
      <w:r w:rsidR="000209A5">
        <w:rPr>
          <w:lang w:val="en-GB"/>
        </w:rPr>
        <w:tab/>
      </w:r>
      <w:r w:rsidR="000209A5" w:rsidRPr="003A026E">
        <w:rPr>
          <w:lang w:val="en-GB"/>
        </w:rPr>
        <w:tab/>
      </w:r>
      <w:r w:rsidR="000209A5" w:rsidRPr="003A026E">
        <w:rPr>
          <w:lang w:val="en-GB"/>
        </w:rPr>
        <w:tab/>
      </w:r>
      <w:r w:rsidR="000209A5" w:rsidRPr="003A026E">
        <w:rPr>
          <w:lang w:val="en-GB"/>
        </w:rPr>
        <w:tab/>
        <w:t>(1)</w:t>
      </w:r>
    </w:p>
    <w:p w:rsidR="000209A5" w:rsidRPr="003A026E" w:rsidRDefault="000209A5" w:rsidP="00F2010C">
      <w:pPr>
        <w:spacing w:line="360" w:lineRule="auto"/>
        <w:jc w:val="both"/>
        <w:rPr>
          <w:lang w:val="en-GB"/>
        </w:rPr>
      </w:pPr>
      <w:r w:rsidRPr="003A026E">
        <w:rPr>
          <w:lang w:val="en-GB"/>
        </w:rPr>
        <w:lastRenderedPageBreak/>
        <w:t xml:space="preserve">where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33350" cy="17145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33350" cy="171450"/>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 is the sectoral </w:t>
      </w:r>
      <w:r>
        <w:rPr>
          <w:lang w:val="en-GB"/>
        </w:rPr>
        <w:t xml:space="preserve">domestic </w:t>
      </w:r>
      <w:r w:rsidRPr="003A026E">
        <w:rPr>
          <w:lang w:val="en-GB"/>
        </w:rPr>
        <w:t xml:space="preserve">final demand vector and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90500" cy="142875"/>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90500" cy="142875"/>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 is the direct domestic input coefficients matrix. </w:t>
      </w:r>
      <w:r>
        <w:rPr>
          <w:lang w:val="en-GB"/>
        </w:rPr>
        <w:t>S</w:t>
      </w:r>
      <w:r w:rsidRPr="003A026E">
        <w:rPr>
          <w:lang w:val="en-GB"/>
        </w:rPr>
        <w:t>olved for the sectoral output vector, Eq. (1) gives</w:t>
      </w:r>
    </w:p>
    <w:p w:rsidR="000209A5" w:rsidRPr="003A026E" w:rsidRDefault="003B5D60" w:rsidP="00F2010C">
      <w:pPr>
        <w:spacing w:line="360" w:lineRule="auto"/>
        <w:jc w:val="right"/>
        <w:rPr>
          <w:lang w:val="en-GB"/>
        </w:rPr>
      </w:pPr>
      <w:r w:rsidRPr="007D1BA9">
        <w:rPr>
          <w:lang w:val="en-GB"/>
        </w:rPr>
        <w:fldChar w:fldCharType="begin"/>
      </w:r>
      <w:r w:rsidR="000209A5" w:rsidRPr="007D1BA9">
        <w:rPr>
          <w:lang w:val="en-GB"/>
        </w:rPr>
        <w:instrText xml:space="preserve"> QUOTE </w:instrText>
      </w:r>
      <w:r w:rsidR="0029483C">
        <w:rPr>
          <w:noProof/>
        </w:rPr>
        <w:drawing>
          <wp:inline distT="0" distB="0" distL="0" distR="0">
            <wp:extent cx="1485900" cy="171450"/>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485900" cy="171450"/>
                    </a:xfrm>
                    <a:prstGeom prst="rect">
                      <a:avLst/>
                    </a:prstGeom>
                    <a:noFill/>
                    <a:ln w="9525">
                      <a:noFill/>
                      <a:miter lim="800000"/>
                      <a:headEnd/>
                      <a:tailEnd/>
                    </a:ln>
                  </pic:spPr>
                </pic:pic>
              </a:graphicData>
            </a:graphic>
          </wp:inline>
        </w:drawing>
      </w:r>
      <w:r w:rsidR="000209A5" w:rsidRPr="007D1BA9">
        <w:rPr>
          <w:lang w:val="en-GB"/>
        </w:rPr>
        <w:instrText xml:space="preserve"> </w:instrText>
      </w:r>
      <w:r w:rsidRPr="007D1BA9">
        <w:rPr>
          <w:lang w:val="en-GB"/>
        </w:rPr>
        <w:fldChar w:fldCharType="separate"/>
      </w:r>
      <w:r w:rsidR="0029483C">
        <w:rPr>
          <w:noProof/>
        </w:rPr>
        <w:drawing>
          <wp:inline distT="0" distB="0" distL="0" distR="0">
            <wp:extent cx="1485900" cy="171450"/>
            <wp:effectExtent l="1905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485900" cy="171450"/>
                    </a:xfrm>
                    <a:prstGeom prst="rect">
                      <a:avLst/>
                    </a:prstGeom>
                    <a:noFill/>
                    <a:ln w="9525">
                      <a:noFill/>
                      <a:miter lim="800000"/>
                      <a:headEnd/>
                      <a:tailEnd/>
                    </a:ln>
                  </pic:spPr>
                </pic:pic>
              </a:graphicData>
            </a:graphic>
          </wp:inline>
        </w:drawing>
      </w:r>
      <w:r w:rsidRPr="007D1BA9">
        <w:rPr>
          <w:lang w:val="en-GB"/>
        </w:rPr>
        <w:fldChar w:fldCharType="end"/>
      </w:r>
      <w:r w:rsidR="000209A5" w:rsidRPr="003A026E">
        <w:rPr>
          <w:lang w:val="en-GB"/>
        </w:rPr>
        <w:tab/>
      </w:r>
      <w:r w:rsidR="000209A5" w:rsidRPr="003A026E">
        <w:rPr>
          <w:lang w:val="en-GB"/>
        </w:rPr>
        <w:tab/>
      </w:r>
      <w:r w:rsidR="000209A5" w:rsidRPr="003A026E">
        <w:rPr>
          <w:lang w:val="en-GB"/>
        </w:rPr>
        <w:tab/>
      </w:r>
      <w:r w:rsidR="000209A5" w:rsidRPr="003A026E">
        <w:rPr>
          <w:lang w:val="en-GB"/>
        </w:rPr>
        <w:tab/>
      </w:r>
      <w:r w:rsidR="000209A5" w:rsidRPr="003A026E">
        <w:rPr>
          <w:lang w:val="en-GB"/>
        </w:rPr>
        <w:tab/>
        <w:t>(2)</w:t>
      </w:r>
    </w:p>
    <w:p w:rsidR="000209A5" w:rsidRPr="003A026E" w:rsidRDefault="000209A5" w:rsidP="00F2010C">
      <w:pPr>
        <w:spacing w:line="360" w:lineRule="auto"/>
        <w:jc w:val="both"/>
        <w:rPr>
          <w:lang w:val="en-GB"/>
        </w:rPr>
      </w:pPr>
      <w:r w:rsidRPr="003A026E">
        <w:rPr>
          <w:lang w:val="en-GB"/>
        </w:rPr>
        <w:t xml:space="preserve">where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52400" cy="171450"/>
            <wp:effectExtent l="1905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52400" cy="171450"/>
            <wp:effectExtent l="1905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 is the Leontief inverse. </w:t>
      </w:r>
      <w:r>
        <w:rPr>
          <w:lang w:val="en-GB"/>
        </w:rPr>
        <w:t>L</w:t>
      </w:r>
      <w:r w:rsidRPr="003A026E">
        <w:rPr>
          <w:lang w:val="en-GB"/>
        </w:rPr>
        <w:t>abour requirements in r</w:t>
      </w:r>
      <w:r>
        <w:rPr>
          <w:lang w:val="en-GB"/>
        </w:rPr>
        <w:t>esponse to final demand changes</w:t>
      </w:r>
      <w:r w:rsidRPr="003A026E">
        <w:rPr>
          <w:lang w:val="en-GB"/>
        </w:rPr>
        <w:t xml:space="preserve"> </w:t>
      </w:r>
      <w:r>
        <w:rPr>
          <w:lang w:val="en-GB"/>
        </w:rPr>
        <w:t>are found</w:t>
      </w:r>
      <w:r w:rsidRPr="003A026E">
        <w:rPr>
          <w:lang w:val="en-GB"/>
        </w:rPr>
        <w:t xml:space="preserve"> by multiplying the direct labour coefficients matrix (</w:t>
      </w:r>
      <w:r w:rsidRPr="003A026E">
        <w:rPr>
          <w:i/>
          <w:iCs/>
          <w:lang w:val="en-GB"/>
        </w:rPr>
        <w:t>L</w:t>
      </w:r>
      <w:r w:rsidRPr="003A026E">
        <w:rPr>
          <w:lang w:val="en-GB"/>
        </w:rPr>
        <w:t>) by the sectoral output vector (</w:t>
      </w:r>
      <w:r w:rsidRPr="003A026E">
        <w:rPr>
          <w:i/>
          <w:iCs/>
          <w:lang w:val="en-GB"/>
        </w:rPr>
        <w:t>x</w:t>
      </w:r>
      <w:r w:rsidRPr="003A026E">
        <w:rPr>
          <w:lang w:val="en-GB"/>
        </w:rPr>
        <w:t>):</w:t>
      </w:r>
    </w:p>
    <w:p w:rsidR="000209A5" w:rsidRPr="003A026E" w:rsidRDefault="003B5D60" w:rsidP="00F2010C">
      <w:pPr>
        <w:spacing w:line="360" w:lineRule="auto"/>
        <w:jc w:val="right"/>
        <w:rPr>
          <w:lang w:val="en-GB"/>
        </w:rPr>
      </w:pPr>
      <w:r w:rsidRPr="007D1BA9">
        <w:rPr>
          <w:lang w:val="en-GB"/>
        </w:rPr>
        <w:fldChar w:fldCharType="begin"/>
      </w:r>
      <w:r w:rsidR="000209A5" w:rsidRPr="007D1BA9">
        <w:rPr>
          <w:lang w:val="en-GB"/>
        </w:rPr>
        <w:instrText xml:space="preserve"> QUOTE </w:instrText>
      </w:r>
      <w:r w:rsidR="0029483C">
        <w:rPr>
          <w:noProof/>
        </w:rPr>
        <w:drawing>
          <wp:inline distT="0" distB="0" distL="0" distR="0">
            <wp:extent cx="981075" cy="171450"/>
            <wp:effectExtent l="1905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981075" cy="171450"/>
                    </a:xfrm>
                    <a:prstGeom prst="rect">
                      <a:avLst/>
                    </a:prstGeom>
                    <a:noFill/>
                    <a:ln w="9525">
                      <a:noFill/>
                      <a:miter lim="800000"/>
                      <a:headEnd/>
                      <a:tailEnd/>
                    </a:ln>
                  </pic:spPr>
                </pic:pic>
              </a:graphicData>
            </a:graphic>
          </wp:inline>
        </w:drawing>
      </w:r>
      <w:r w:rsidR="000209A5" w:rsidRPr="007D1BA9">
        <w:rPr>
          <w:lang w:val="en-GB"/>
        </w:rPr>
        <w:instrText xml:space="preserve"> </w:instrText>
      </w:r>
      <w:r w:rsidRPr="007D1BA9">
        <w:rPr>
          <w:lang w:val="en-GB"/>
        </w:rPr>
        <w:fldChar w:fldCharType="separate"/>
      </w:r>
      <w:r w:rsidR="0029483C">
        <w:rPr>
          <w:noProof/>
        </w:rPr>
        <w:drawing>
          <wp:inline distT="0" distB="0" distL="0" distR="0">
            <wp:extent cx="981075" cy="171450"/>
            <wp:effectExtent l="1905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981075" cy="171450"/>
                    </a:xfrm>
                    <a:prstGeom prst="rect">
                      <a:avLst/>
                    </a:prstGeom>
                    <a:noFill/>
                    <a:ln w="9525">
                      <a:noFill/>
                      <a:miter lim="800000"/>
                      <a:headEnd/>
                      <a:tailEnd/>
                    </a:ln>
                  </pic:spPr>
                </pic:pic>
              </a:graphicData>
            </a:graphic>
          </wp:inline>
        </w:drawing>
      </w:r>
      <w:r w:rsidRPr="007D1BA9">
        <w:rPr>
          <w:lang w:val="en-GB"/>
        </w:rPr>
        <w:fldChar w:fldCharType="end"/>
      </w:r>
      <w:r w:rsidR="000209A5" w:rsidRPr="003A026E">
        <w:rPr>
          <w:lang w:val="en-GB"/>
        </w:rPr>
        <w:tab/>
      </w:r>
      <w:r w:rsidR="000209A5" w:rsidRPr="003A026E">
        <w:rPr>
          <w:lang w:val="en-GB"/>
        </w:rPr>
        <w:tab/>
      </w:r>
      <w:r w:rsidR="000209A5" w:rsidRPr="003A026E">
        <w:rPr>
          <w:lang w:val="en-GB"/>
        </w:rPr>
        <w:tab/>
      </w:r>
      <w:r w:rsidR="000209A5" w:rsidRPr="003A026E">
        <w:rPr>
          <w:lang w:val="en-GB"/>
        </w:rPr>
        <w:tab/>
      </w:r>
      <w:r w:rsidR="000209A5" w:rsidRPr="003A026E">
        <w:rPr>
          <w:lang w:val="en-GB"/>
        </w:rPr>
        <w:tab/>
        <w:t>(3)</w:t>
      </w:r>
    </w:p>
    <w:p w:rsidR="000209A5" w:rsidRDefault="000209A5" w:rsidP="00F2010C">
      <w:pPr>
        <w:spacing w:line="360" w:lineRule="auto"/>
        <w:jc w:val="both"/>
        <w:rPr>
          <w:lang w:val="en-GB"/>
        </w:rPr>
      </w:pPr>
      <w:r>
        <w:rPr>
          <w:lang w:val="en-GB"/>
        </w:rPr>
        <w:t>w</w:t>
      </w:r>
      <w:r w:rsidRPr="003A026E">
        <w:rPr>
          <w:lang w:val="en-GB"/>
        </w:rPr>
        <w:t>here</w:t>
      </w:r>
      <w:r>
        <w:rPr>
          <w:lang w:val="en-GB"/>
        </w:rPr>
        <w:t xml:space="preserv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90500" cy="161925"/>
            <wp:effectExtent l="1905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90500" cy="161925"/>
            <wp:effectExtent l="1905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is the labour category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23825" cy="171450"/>
            <wp:effectExtent l="1905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23825" cy="171450"/>
            <wp:effectExtent l="1905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 (skill or gender) employed per unit output of sector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04775" cy="171450"/>
            <wp:effectExtent l="1905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04775" cy="171450"/>
            <wp:effectExtent l="1905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 and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90500" cy="161925"/>
            <wp:effectExtent l="1905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90500" cy="161925"/>
            <wp:effectExtent l="1905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 is the output expansion in sector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04775" cy="171450"/>
            <wp:effectExtent l="1905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04775" cy="171450"/>
            <wp:effectExtent l="1905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04775" cy="171450"/>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 induced by final demand</w:t>
      </w:r>
      <w:r>
        <w:rPr>
          <w:lang w:val="en-GB"/>
        </w:rPr>
        <w:t xml:space="preserve"> of sector</w:t>
      </w:r>
      <w:r w:rsidRPr="003A026E">
        <w:rPr>
          <w:lang w:val="en-GB"/>
        </w:rPr>
        <w:t xml:space="preserv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33350" cy="171450"/>
            <wp:effectExtent l="1905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33350" cy="171450"/>
            <wp:effectExtent l="1905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3000375" cy="171450"/>
            <wp:effectExtent l="1905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3000375"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3000375" cy="171450"/>
            <wp:effectExtent l="1905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3000375" cy="171450"/>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 A typical element of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52400" cy="171450"/>
            <wp:effectExtent l="1905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52400" cy="171450"/>
            <wp:effectExtent l="1905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219075" cy="142875"/>
            <wp:effectExtent l="19050" t="0" r="9525"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219075" cy="142875"/>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219075" cy="142875"/>
            <wp:effectExtent l="19050" t="0" r="9525"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219075" cy="142875"/>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 represents the demand for labour category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23825" cy="171450"/>
            <wp:effectExtent l="1905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23825" cy="171450"/>
            <wp:effectExtent l="1905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 induced by final demand</w:t>
      </w:r>
      <w:r>
        <w:rPr>
          <w:lang w:val="en-GB"/>
        </w:rPr>
        <w:t xml:space="preserve"> of</w:t>
      </w:r>
      <w:r w:rsidRPr="003A026E">
        <w:rPr>
          <w:lang w:val="en-GB"/>
        </w:rPr>
        <w:t xml:space="preserve"> sector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33350" cy="171450"/>
            <wp:effectExtent l="1905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33350" cy="171450"/>
            <wp:effectExtent l="1905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3B5D60" w:rsidRPr="007D1BA9">
        <w:rPr>
          <w:lang w:val="en-GB"/>
        </w:rPr>
        <w:fldChar w:fldCharType="end"/>
      </w:r>
      <w:r>
        <w:rPr>
          <w:lang w:val="en-GB"/>
        </w:rPr>
        <w:t xml:space="preserve"> </w:t>
      </w:r>
      <w:r w:rsidRPr="003A026E">
        <w:rPr>
          <w:lang w:val="en-GB"/>
        </w:rPr>
        <w:t xml:space="preserve">(Gunluk-Senesen and Senesen, 2011). </w:t>
      </w:r>
      <w:r w:rsidRPr="00AF4C26">
        <w:rPr>
          <w:lang w:val="en-GB"/>
        </w:rPr>
        <w:t>Since this study examines the effect of an increase in the final demand of construction (CON) sector only,</w:t>
      </w:r>
      <w:r>
        <w:rPr>
          <w:lang w:val="en-GB"/>
        </w:rPr>
        <w:t xml:space="preserv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33350" cy="171450"/>
            <wp:effectExtent l="1905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33350" cy="171450"/>
            <wp:effectExtent l="1905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3B5D60" w:rsidRPr="007D1BA9">
        <w:rPr>
          <w:lang w:val="en-GB"/>
        </w:rPr>
        <w:fldChar w:fldCharType="end"/>
      </w:r>
      <w:r w:rsidRPr="00AF4C26">
        <w:rPr>
          <w:lang w:val="en-GB"/>
        </w:rPr>
        <w:t xml:space="preserve"> represents this sector.</w:t>
      </w:r>
      <w:r>
        <w:rPr>
          <w:lang w:val="en-GB"/>
        </w:rPr>
        <w:t xml:space="preserve"> </w:t>
      </w:r>
    </w:p>
    <w:p w:rsidR="000209A5" w:rsidRPr="003A026E" w:rsidRDefault="000209A5" w:rsidP="000D1ED9">
      <w:pPr>
        <w:spacing w:line="360" w:lineRule="auto"/>
        <w:ind w:firstLine="708"/>
        <w:jc w:val="both"/>
        <w:rPr>
          <w:lang w:val="en-GB"/>
        </w:rPr>
      </w:pPr>
      <w:r w:rsidRPr="003A026E">
        <w:rPr>
          <w:lang w:val="en-GB"/>
        </w:rPr>
        <w:t xml:space="preserve">Using the Taylor series expansion </w:t>
      </w:r>
      <w:r>
        <w:rPr>
          <w:lang w:val="en-GB"/>
        </w:rPr>
        <w:t>fundamental</w:t>
      </w:r>
      <w:r w:rsidRPr="003A026E">
        <w:rPr>
          <w:lang w:val="en-GB"/>
        </w:rPr>
        <w:t xml:space="preserve"> to structural path analysis (</w:t>
      </w:r>
      <w:r>
        <w:rPr>
          <w:lang w:val="en-US"/>
        </w:rPr>
        <w:t>Lenzen, 2003,</w:t>
      </w:r>
      <w:r w:rsidRPr="00AD4CCC">
        <w:rPr>
          <w:lang w:val="en-US"/>
        </w:rPr>
        <w:t xml:space="preserve"> </w:t>
      </w:r>
      <w:r w:rsidRPr="003A026E">
        <w:rPr>
          <w:lang w:val="en-GB"/>
        </w:rPr>
        <w:t>Lenzen, 2007; Wood and Lenzen, 2009; Oshita, 2011), Eq. (3) can be written as</w:t>
      </w:r>
    </w:p>
    <w:p w:rsidR="000209A5" w:rsidRPr="003A026E" w:rsidRDefault="003B5D60" w:rsidP="00F2010C">
      <w:pPr>
        <w:spacing w:line="360" w:lineRule="auto"/>
        <w:jc w:val="right"/>
        <w:rPr>
          <w:lang w:val="en-GB"/>
        </w:rPr>
      </w:pPr>
      <w:r w:rsidRPr="007D1BA9">
        <w:rPr>
          <w:lang w:val="en-GB"/>
        </w:rPr>
        <w:fldChar w:fldCharType="begin"/>
      </w:r>
      <w:r w:rsidR="000209A5" w:rsidRPr="007D1BA9">
        <w:rPr>
          <w:lang w:val="en-GB"/>
        </w:rPr>
        <w:instrText xml:space="preserve"> QUOTE </w:instrText>
      </w:r>
      <w:r w:rsidR="0029483C">
        <w:rPr>
          <w:noProof/>
        </w:rPr>
        <w:drawing>
          <wp:inline distT="0" distB="0" distL="0" distR="0">
            <wp:extent cx="3990975" cy="180975"/>
            <wp:effectExtent l="1905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3990975" cy="180975"/>
                    </a:xfrm>
                    <a:prstGeom prst="rect">
                      <a:avLst/>
                    </a:prstGeom>
                    <a:noFill/>
                    <a:ln w="9525">
                      <a:noFill/>
                      <a:miter lim="800000"/>
                      <a:headEnd/>
                      <a:tailEnd/>
                    </a:ln>
                  </pic:spPr>
                </pic:pic>
              </a:graphicData>
            </a:graphic>
          </wp:inline>
        </w:drawing>
      </w:r>
      <w:r w:rsidR="000209A5" w:rsidRPr="007D1BA9">
        <w:rPr>
          <w:lang w:val="en-GB"/>
        </w:rPr>
        <w:instrText xml:space="preserve"> </w:instrText>
      </w:r>
      <w:r w:rsidRPr="007D1BA9">
        <w:rPr>
          <w:lang w:val="en-GB"/>
        </w:rPr>
        <w:fldChar w:fldCharType="separate"/>
      </w:r>
      <w:r w:rsidR="0029483C">
        <w:rPr>
          <w:noProof/>
        </w:rPr>
        <w:drawing>
          <wp:inline distT="0" distB="0" distL="0" distR="0">
            <wp:extent cx="3990975" cy="180975"/>
            <wp:effectExtent l="19050" t="0" r="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3990975" cy="180975"/>
                    </a:xfrm>
                    <a:prstGeom prst="rect">
                      <a:avLst/>
                    </a:prstGeom>
                    <a:noFill/>
                    <a:ln w="9525">
                      <a:noFill/>
                      <a:miter lim="800000"/>
                      <a:headEnd/>
                      <a:tailEnd/>
                    </a:ln>
                  </pic:spPr>
                </pic:pic>
              </a:graphicData>
            </a:graphic>
          </wp:inline>
        </w:drawing>
      </w:r>
      <w:r w:rsidRPr="007D1BA9">
        <w:rPr>
          <w:lang w:val="en-GB"/>
        </w:rPr>
        <w:fldChar w:fldCharType="end"/>
      </w:r>
      <w:r w:rsidR="000209A5" w:rsidRPr="003A026E">
        <w:rPr>
          <w:lang w:val="en-GB"/>
        </w:rPr>
        <w:tab/>
      </w:r>
      <w:r w:rsidR="000209A5">
        <w:rPr>
          <w:lang w:val="en-GB"/>
        </w:rPr>
        <w:tab/>
      </w:r>
      <w:r w:rsidR="000209A5" w:rsidRPr="003A026E">
        <w:rPr>
          <w:lang w:val="en-GB"/>
        </w:rPr>
        <w:t>(4)</w:t>
      </w:r>
    </w:p>
    <w:p w:rsidR="000209A5" w:rsidRPr="003A026E" w:rsidRDefault="000209A5" w:rsidP="00F2010C">
      <w:pPr>
        <w:spacing w:line="360" w:lineRule="auto"/>
        <w:jc w:val="both"/>
        <w:rPr>
          <w:lang w:val="en-GB"/>
        </w:rPr>
      </w:pPr>
      <w:r>
        <w:rPr>
          <w:lang w:val="en-GB"/>
        </w:rPr>
        <w:t>w</w:t>
      </w:r>
      <w:r w:rsidRPr="003A026E">
        <w:rPr>
          <w:lang w:val="en-GB"/>
        </w:rPr>
        <w:t>here</w:t>
      </w:r>
      <w:r>
        <w:rPr>
          <w:lang w:val="en-GB"/>
        </w:rPr>
        <w:t xml:space="preserv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381000" cy="180975"/>
            <wp:effectExtent l="1905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381000" cy="180975"/>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381000" cy="180975"/>
            <wp:effectExtent l="19050" t="0" r="0"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381000" cy="180975"/>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 represents the labor requirements generated by the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209550" cy="161925"/>
            <wp:effectExtent l="1905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209550" cy="161925"/>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209550" cy="161925"/>
            <wp:effectExtent l="19050" t="0" r="0"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209550" cy="161925"/>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 production layer. By following the Taylor expansion given in Eq. (4), the demand structure for labour can be expressed as a tree where each tier represents a different production layer and each node gives the contribution to total labo</w:t>
      </w:r>
      <w:r>
        <w:rPr>
          <w:lang w:val="en-GB"/>
        </w:rPr>
        <w:t>u</w:t>
      </w:r>
      <w:r w:rsidRPr="003A026E">
        <w:rPr>
          <w:lang w:val="en-GB"/>
        </w:rPr>
        <w:t>r requirements induced by final demand</w:t>
      </w:r>
      <w:r>
        <w:rPr>
          <w:lang w:val="en-GB"/>
        </w:rPr>
        <w:t xml:space="preserve"> of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33350" cy="171450"/>
            <wp:effectExtent l="1905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33350" cy="171450"/>
            <wp:effectExtent l="1905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003B5D60" w:rsidRPr="007D1BA9">
        <w:rPr>
          <w:lang w:val="en-GB"/>
        </w:rPr>
        <w:fldChar w:fldCharType="end"/>
      </w:r>
      <w:r>
        <w:rPr>
          <w:lang w:val="en-GB"/>
        </w:rPr>
        <w:t xml:space="preserve">. </w:t>
      </w:r>
      <w:r w:rsidRPr="003A026E">
        <w:rPr>
          <w:lang w:val="en-GB"/>
        </w:rPr>
        <w:t xml:space="preserve">As the number of nodes in a layer grows exponentially, there are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304800" cy="161925"/>
            <wp:effectExtent l="19050" t="0" r="0"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304800" cy="161925"/>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304800" cy="161925"/>
            <wp:effectExtent l="1905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304800" cy="161925"/>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nodes in each tier. (Peters and Hertwich, 2006). </w:t>
      </w:r>
    </w:p>
    <w:p w:rsidR="000209A5" w:rsidRPr="00C959FB" w:rsidRDefault="000209A5" w:rsidP="000D1ED9">
      <w:pPr>
        <w:spacing w:line="360" w:lineRule="auto"/>
        <w:ind w:firstLine="708"/>
        <w:jc w:val="both"/>
        <w:rPr>
          <w:lang w:val="en-GB"/>
        </w:rPr>
      </w:pPr>
      <w:r w:rsidRPr="00C959FB">
        <w:rPr>
          <w:lang w:val="en-GB"/>
        </w:rPr>
        <w:t>The contribution generated at the zeroth tier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371475" cy="171450"/>
            <wp:effectExtent l="19050" t="0" r="0"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371475"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371475" cy="171450"/>
            <wp:effectExtent l="19050" t="0" r="0" b="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371475" cy="171450"/>
                    </a:xfrm>
                    <a:prstGeom prst="rect">
                      <a:avLst/>
                    </a:prstGeom>
                    <a:noFill/>
                    <a:ln w="9525">
                      <a:noFill/>
                      <a:miter lim="800000"/>
                      <a:headEnd/>
                      <a:tailEnd/>
                    </a:ln>
                  </pic:spPr>
                </pic:pic>
              </a:graphicData>
            </a:graphic>
          </wp:inline>
        </w:drawing>
      </w:r>
      <w:r w:rsidR="003B5D60" w:rsidRPr="007D1BA9">
        <w:rPr>
          <w:lang w:val="en-GB"/>
        </w:rPr>
        <w:fldChar w:fldCharType="end"/>
      </w:r>
      <w:r w:rsidRPr="00C959FB">
        <w:rPr>
          <w:lang w:val="en-GB"/>
        </w:rPr>
        <w:t>) is given as,</w:t>
      </w:r>
    </w:p>
    <w:p w:rsidR="000209A5" w:rsidRPr="003A026E" w:rsidRDefault="003B5D60" w:rsidP="00F2010C">
      <w:pPr>
        <w:spacing w:line="360" w:lineRule="auto"/>
        <w:jc w:val="right"/>
        <w:rPr>
          <w:lang w:val="en-GB"/>
        </w:rPr>
      </w:pPr>
      <w:r w:rsidRPr="007D1BA9">
        <w:rPr>
          <w:lang w:val="en-GB"/>
        </w:rPr>
        <w:fldChar w:fldCharType="begin"/>
      </w:r>
      <w:r w:rsidR="000209A5" w:rsidRPr="007D1BA9">
        <w:rPr>
          <w:lang w:val="en-GB"/>
        </w:rPr>
        <w:instrText xml:space="preserve"> QUOTE </w:instrText>
      </w:r>
      <w:r w:rsidR="0029483C">
        <w:rPr>
          <w:noProof/>
        </w:rPr>
        <w:drawing>
          <wp:inline distT="0" distB="0" distL="0" distR="0">
            <wp:extent cx="361950" cy="142875"/>
            <wp:effectExtent l="19050" t="0" r="0"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361950" cy="142875"/>
                    </a:xfrm>
                    <a:prstGeom prst="rect">
                      <a:avLst/>
                    </a:prstGeom>
                    <a:noFill/>
                    <a:ln w="9525">
                      <a:noFill/>
                      <a:miter lim="800000"/>
                      <a:headEnd/>
                      <a:tailEnd/>
                    </a:ln>
                  </pic:spPr>
                </pic:pic>
              </a:graphicData>
            </a:graphic>
          </wp:inline>
        </w:drawing>
      </w:r>
      <w:r w:rsidR="000209A5" w:rsidRPr="007D1BA9">
        <w:rPr>
          <w:lang w:val="en-GB"/>
        </w:rPr>
        <w:instrText xml:space="preserve"> </w:instrText>
      </w:r>
      <w:r w:rsidRPr="007D1BA9">
        <w:rPr>
          <w:lang w:val="en-GB"/>
        </w:rPr>
        <w:fldChar w:fldCharType="separate"/>
      </w:r>
      <w:r w:rsidR="0029483C">
        <w:rPr>
          <w:noProof/>
        </w:rPr>
        <w:drawing>
          <wp:inline distT="0" distB="0" distL="0" distR="0">
            <wp:extent cx="361950" cy="142875"/>
            <wp:effectExtent l="19050" t="0" r="0"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361950" cy="142875"/>
                    </a:xfrm>
                    <a:prstGeom prst="rect">
                      <a:avLst/>
                    </a:prstGeom>
                    <a:noFill/>
                    <a:ln w="9525">
                      <a:noFill/>
                      <a:miter lim="800000"/>
                      <a:headEnd/>
                      <a:tailEnd/>
                    </a:ln>
                  </pic:spPr>
                </pic:pic>
              </a:graphicData>
            </a:graphic>
          </wp:inline>
        </w:drawing>
      </w:r>
      <w:r w:rsidRPr="007D1BA9">
        <w:rPr>
          <w:lang w:val="en-GB"/>
        </w:rPr>
        <w:fldChar w:fldCharType="end"/>
      </w:r>
      <w:r w:rsidR="000209A5">
        <w:rPr>
          <w:lang w:val="en-GB"/>
        </w:rPr>
        <w:t>.</w:t>
      </w:r>
      <w:r w:rsidR="000209A5" w:rsidRPr="003A026E">
        <w:rPr>
          <w:lang w:val="en-GB"/>
        </w:rPr>
        <w:tab/>
      </w:r>
      <w:r w:rsidR="000209A5" w:rsidRPr="003A026E">
        <w:rPr>
          <w:lang w:val="en-GB"/>
        </w:rPr>
        <w:tab/>
      </w:r>
      <w:r w:rsidR="000209A5">
        <w:rPr>
          <w:lang w:val="en-GB"/>
        </w:rPr>
        <w:tab/>
      </w:r>
      <w:r w:rsidR="000209A5" w:rsidRPr="003A026E">
        <w:rPr>
          <w:lang w:val="en-GB"/>
        </w:rPr>
        <w:tab/>
      </w:r>
      <w:r w:rsidR="000209A5" w:rsidRPr="003A026E">
        <w:rPr>
          <w:lang w:val="en-GB"/>
        </w:rPr>
        <w:tab/>
      </w:r>
      <w:r w:rsidR="000209A5" w:rsidRPr="003A026E">
        <w:rPr>
          <w:lang w:val="en-GB"/>
        </w:rPr>
        <w:tab/>
        <w:t xml:space="preserve">  (5)</w:t>
      </w:r>
    </w:p>
    <w:p w:rsidR="000209A5" w:rsidRPr="003A026E" w:rsidRDefault="000209A5" w:rsidP="00F2010C">
      <w:pPr>
        <w:spacing w:line="360" w:lineRule="auto"/>
        <w:jc w:val="both"/>
        <w:rPr>
          <w:lang w:val="en-GB"/>
        </w:rPr>
      </w:pPr>
      <w:r w:rsidRPr="003A026E">
        <w:rPr>
          <w:lang w:val="en-GB"/>
        </w:rPr>
        <w:t xml:space="preserve">The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80975" cy="152400"/>
            <wp:effectExtent l="19050" t="0" r="9525"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180975" cy="15240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80975" cy="152400"/>
            <wp:effectExtent l="19050" t="0" r="9525"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180975" cy="152400"/>
                    </a:xfrm>
                    <a:prstGeom prst="rect">
                      <a:avLst/>
                    </a:prstGeom>
                    <a:noFill/>
                    <a:ln w="9525">
                      <a:noFill/>
                      <a:miter lim="800000"/>
                      <a:headEnd/>
                      <a:tailEnd/>
                    </a:ln>
                  </pic:spPr>
                </pic:pic>
              </a:graphicData>
            </a:graphic>
          </wp:inline>
        </w:drawing>
      </w:r>
      <w:r w:rsidR="003B5D60" w:rsidRPr="007D1BA9">
        <w:rPr>
          <w:lang w:val="en-GB"/>
        </w:rPr>
        <w:fldChar w:fldCharType="end"/>
      </w:r>
      <w:r>
        <w:rPr>
          <w:lang w:val="en-GB"/>
        </w:rPr>
        <w:t xml:space="preserve"> </w:t>
      </w:r>
      <w:r w:rsidRPr="003A026E">
        <w:rPr>
          <w:lang w:val="en-GB"/>
        </w:rPr>
        <w:t>nodes of the first tier</w:t>
      </w:r>
      <w:r>
        <w:rPr>
          <w:lang w:val="en-GB"/>
        </w:rPr>
        <w:t xml:space="preserve"> </w:t>
      </w:r>
      <w:r w:rsidRPr="003A026E">
        <w:rPr>
          <w:lang w:val="en-GB"/>
        </w:rPr>
        <w:t xml:space="preserve">can be evaluated as </w:t>
      </w:r>
    </w:p>
    <w:p w:rsidR="000209A5" w:rsidRPr="003A026E" w:rsidRDefault="003B5D60" w:rsidP="00F2010C">
      <w:pPr>
        <w:spacing w:line="360" w:lineRule="auto"/>
        <w:jc w:val="right"/>
        <w:rPr>
          <w:lang w:val="en-GB"/>
        </w:rPr>
      </w:pPr>
      <w:r w:rsidRPr="007D1BA9">
        <w:rPr>
          <w:lang w:val="en-GB"/>
        </w:rPr>
        <w:fldChar w:fldCharType="begin"/>
      </w:r>
      <w:r w:rsidR="000209A5" w:rsidRPr="007D1BA9">
        <w:rPr>
          <w:lang w:val="en-GB"/>
        </w:rPr>
        <w:instrText xml:space="preserve"> QUOTE </w:instrText>
      </w:r>
      <w:r w:rsidR="0029483C">
        <w:rPr>
          <w:noProof/>
        </w:rPr>
        <w:drawing>
          <wp:inline distT="0" distB="0" distL="0" distR="0">
            <wp:extent cx="542925" cy="161925"/>
            <wp:effectExtent l="19050" t="0" r="9525" b="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542925" cy="161925"/>
                    </a:xfrm>
                    <a:prstGeom prst="rect">
                      <a:avLst/>
                    </a:prstGeom>
                    <a:noFill/>
                    <a:ln w="9525">
                      <a:noFill/>
                      <a:miter lim="800000"/>
                      <a:headEnd/>
                      <a:tailEnd/>
                    </a:ln>
                  </pic:spPr>
                </pic:pic>
              </a:graphicData>
            </a:graphic>
          </wp:inline>
        </w:drawing>
      </w:r>
      <w:r w:rsidR="000209A5" w:rsidRPr="007D1BA9">
        <w:rPr>
          <w:lang w:val="en-GB"/>
        </w:rPr>
        <w:instrText xml:space="preserve"> </w:instrText>
      </w:r>
      <w:r w:rsidRPr="007D1BA9">
        <w:rPr>
          <w:lang w:val="en-GB"/>
        </w:rPr>
        <w:fldChar w:fldCharType="separate"/>
      </w:r>
      <w:r w:rsidR="0029483C">
        <w:rPr>
          <w:noProof/>
        </w:rPr>
        <w:drawing>
          <wp:inline distT="0" distB="0" distL="0" distR="0">
            <wp:extent cx="542925" cy="161925"/>
            <wp:effectExtent l="19050" t="0" r="9525"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542925" cy="161925"/>
                    </a:xfrm>
                    <a:prstGeom prst="rect">
                      <a:avLst/>
                    </a:prstGeom>
                    <a:noFill/>
                    <a:ln w="9525">
                      <a:noFill/>
                      <a:miter lim="800000"/>
                      <a:headEnd/>
                      <a:tailEnd/>
                    </a:ln>
                  </pic:spPr>
                </pic:pic>
              </a:graphicData>
            </a:graphic>
          </wp:inline>
        </w:drawing>
      </w:r>
      <w:r w:rsidRPr="007D1BA9">
        <w:rPr>
          <w:lang w:val="en-GB"/>
        </w:rPr>
        <w:fldChar w:fldCharType="end"/>
      </w:r>
      <w:r w:rsidR="000209A5" w:rsidRPr="003A026E">
        <w:rPr>
          <w:lang w:val="en-GB"/>
        </w:rPr>
        <w:tab/>
      </w:r>
      <w:r w:rsidR="000209A5" w:rsidRPr="003A026E">
        <w:rPr>
          <w:lang w:val="en-GB"/>
        </w:rPr>
        <w:tab/>
      </w:r>
      <w:r w:rsidR="000209A5" w:rsidRPr="003A026E">
        <w:rPr>
          <w:lang w:val="en-GB"/>
        </w:rPr>
        <w:tab/>
      </w:r>
      <w:r w:rsidR="000209A5" w:rsidRPr="003A026E">
        <w:rPr>
          <w:lang w:val="en-GB"/>
        </w:rPr>
        <w:tab/>
      </w:r>
      <w:r w:rsidR="000209A5" w:rsidRPr="003A026E">
        <w:rPr>
          <w:lang w:val="en-GB"/>
        </w:rPr>
        <w:tab/>
        <w:t xml:space="preserve">  (6)</w:t>
      </w:r>
    </w:p>
    <w:p w:rsidR="000209A5" w:rsidRPr="003A026E" w:rsidRDefault="000209A5" w:rsidP="00F2010C">
      <w:pPr>
        <w:spacing w:line="360" w:lineRule="auto"/>
        <w:jc w:val="both"/>
        <w:rPr>
          <w:lang w:val="en-GB"/>
        </w:rPr>
      </w:pPr>
      <w:r w:rsidRPr="003A026E">
        <w:rPr>
          <w:lang w:val="en-GB"/>
        </w:rPr>
        <w:t>and</w:t>
      </w:r>
      <w:r>
        <w:rPr>
          <w:lang w:val="en-GB"/>
        </w:rPr>
        <w:t xml:space="preserve"> this expression represents</w:t>
      </w:r>
      <w:r w:rsidRPr="003A026E">
        <w:rPr>
          <w:lang w:val="en-GB"/>
        </w:rPr>
        <w:t xml:space="preserve"> the path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371475" cy="171450"/>
            <wp:effectExtent l="19050" t="0" r="952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a:clrChange>
                        <a:clrFrom>
                          <a:srgbClr val="FFFFFF"/>
                        </a:clrFrom>
                        <a:clrTo>
                          <a:srgbClr val="FFFFFF">
                            <a:alpha val="0"/>
                          </a:srgbClr>
                        </a:clrTo>
                      </a:clrChange>
                    </a:blip>
                    <a:srcRect/>
                    <a:stretch>
                      <a:fillRect/>
                    </a:stretch>
                  </pic:blipFill>
                  <pic:spPr bwMode="auto">
                    <a:xfrm>
                      <a:off x="0" y="0"/>
                      <a:ext cx="371475"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371475" cy="171450"/>
            <wp:effectExtent l="19050" t="0" r="9525"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a:clrChange>
                        <a:clrFrom>
                          <a:srgbClr val="FFFFFF"/>
                        </a:clrFrom>
                        <a:clrTo>
                          <a:srgbClr val="FFFFFF">
                            <a:alpha val="0"/>
                          </a:srgbClr>
                        </a:clrTo>
                      </a:clrChange>
                    </a:blip>
                    <a:srcRect/>
                    <a:stretch>
                      <a:fillRect/>
                    </a:stretch>
                  </pic:blipFill>
                  <pic:spPr bwMode="auto">
                    <a:xfrm>
                      <a:off x="0" y="0"/>
                      <a:ext cx="371475" cy="171450"/>
                    </a:xfrm>
                    <a:prstGeom prst="rect">
                      <a:avLst/>
                    </a:prstGeom>
                    <a:noFill/>
                    <a:ln w="9525">
                      <a:noFill/>
                      <a:miter lim="800000"/>
                      <a:headEnd/>
                      <a:tailEnd/>
                    </a:ln>
                  </pic:spPr>
                </pic:pic>
              </a:graphicData>
            </a:graphic>
          </wp:inline>
        </w:drawing>
      </w:r>
      <w:r w:rsidR="003B5D60" w:rsidRPr="007D1BA9">
        <w:rPr>
          <w:lang w:val="en-GB"/>
        </w:rPr>
        <w:fldChar w:fldCharType="end"/>
      </w:r>
      <w:r w:rsidRPr="003A026E">
        <w:rPr>
          <w:lang w:val="en-GB"/>
        </w:rPr>
        <w:t xml:space="preserve">  Similarly, the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80975" cy="152400"/>
            <wp:effectExtent l="19050" t="0" r="9525"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180975" cy="15240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80975" cy="152400"/>
            <wp:effectExtent l="19050" t="0" r="9525" b="0"/>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180975" cy="152400"/>
                    </a:xfrm>
                    <a:prstGeom prst="rect">
                      <a:avLst/>
                    </a:prstGeom>
                    <a:noFill/>
                    <a:ln w="9525">
                      <a:noFill/>
                      <a:miter lim="800000"/>
                      <a:headEnd/>
                      <a:tailEnd/>
                    </a:ln>
                  </pic:spPr>
                </pic:pic>
              </a:graphicData>
            </a:graphic>
          </wp:inline>
        </w:drawing>
      </w:r>
      <w:r w:rsidR="003B5D60" w:rsidRPr="007D1BA9">
        <w:rPr>
          <w:lang w:val="en-GB"/>
        </w:rPr>
        <w:fldChar w:fldCharType="end"/>
      </w:r>
      <w:r>
        <w:rPr>
          <w:lang w:val="en-GB"/>
        </w:rPr>
        <w:t xml:space="preserve"> </w:t>
      </w:r>
      <w:r w:rsidRPr="003A026E">
        <w:rPr>
          <w:lang w:val="en-GB"/>
        </w:rPr>
        <w:t xml:space="preserve">nodes of the </w:t>
      </w:r>
      <w:r>
        <w:rPr>
          <w:lang w:val="en-GB"/>
        </w:rPr>
        <w:t>second tier</w:t>
      </w:r>
      <w:r w:rsidRPr="003A026E">
        <w:rPr>
          <w:lang w:val="en-GB"/>
        </w:rPr>
        <w:t xml:space="preserve"> can be expressed as </w:t>
      </w:r>
    </w:p>
    <w:p w:rsidR="000209A5" w:rsidRDefault="003B5D60" w:rsidP="00F2010C">
      <w:pPr>
        <w:spacing w:line="360" w:lineRule="auto"/>
        <w:jc w:val="right"/>
        <w:rPr>
          <w:lang w:val="en-GB"/>
        </w:rPr>
      </w:pPr>
      <w:r w:rsidRPr="007D1BA9">
        <w:rPr>
          <w:lang w:val="en-GB"/>
        </w:rPr>
        <w:fldChar w:fldCharType="begin"/>
      </w:r>
      <w:r w:rsidR="000209A5" w:rsidRPr="007D1BA9">
        <w:rPr>
          <w:lang w:val="en-GB"/>
        </w:rPr>
        <w:instrText xml:space="preserve"> QUOTE </w:instrText>
      </w:r>
      <w:r w:rsidR="0029483C">
        <w:rPr>
          <w:noProof/>
        </w:rPr>
        <w:drawing>
          <wp:inline distT="0" distB="0" distL="0" distR="0">
            <wp:extent cx="723900" cy="161925"/>
            <wp:effectExtent l="19050" t="0" r="0" b="0"/>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a:clrChange>
                        <a:clrFrom>
                          <a:srgbClr val="FFFFFF"/>
                        </a:clrFrom>
                        <a:clrTo>
                          <a:srgbClr val="FFFFFF">
                            <a:alpha val="0"/>
                          </a:srgbClr>
                        </a:clrTo>
                      </a:clrChange>
                    </a:blip>
                    <a:srcRect/>
                    <a:stretch>
                      <a:fillRect/>
                    </a:stretch>
                  </pic:blipFill>
                  <pic:spPr bwMode="auto">
                    <a:xfrm>
                      <a:off x="0" y="0"/>
                      <a:ext cx="723900" cy="161925"/>
                    </a:xfrm>
                    <a:prstGeom prst="rect">
                      <a:avLst/>
                    </a:prstGeom>
                    <a:noFill/>
                    <a:ln w="9525">
                      <a:noFill/>
                      <a:miter lim="800000"/>
                      <a:headEnd/>
                      <a:tailEnd/>
                    </a:ln>
                  </pic:spPr>
                </pic:pic>
              </a:graphicData>
            </a:graphic>
          </wp:inline>
        </w:drawing>
      </w:r>
      <w:r w:rsidR="000209A5" w:rsidRPr="007D1BA9">
        <w:rPr>
          <w:lang w:val="en-GB"/>
        </w:rPr>
        <w:instrText xml:space="preserve"> </w:instrText>
      </w:r>
      <w:r w:rsidRPr="007D1BA9">
        <w:rPr>
          <w:lang w:val="en-GB"/>
        </w:rPr>
        <w:fldChar w:fldCharType="separate"/>
      </w:r>
      <w:r w:rsidR="0029483C">
        <w:rPr>
          <w:noProof/>
        </w:rPr>
        <w:drawing>
          <wp:inline distT="0" distB="0" distL="0" distR="0">
            <wp:extent cx="723900" cy="161925"/>
            <wp:effectExtent l="19050" t="0" r="0" b="0"/>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a:clrChange>
                        <a:clrFrom>
                          <a:srgbClr val="FFFFFF"/>
                        </a:clrFrom>
                        <a:clrTo>
                          <a:srgbClr val="FFFFFF">
                            <a:alpha val="0"/>
                          </a:srgbClr>
                        </a:clrTo>
                      </a:clrChange>
                    </a:blip>
                    <a:srcRect/>
                    <a:stretch>
                      <a:fillRect/>
                    </a:stretch>
                  </pic:blipFill>
                  <pic:spPr bwMode="auto">
                    <a:xfrm>
                      <a:off x="0" y="0"/>
                      <a:ext cx="723900" cy="161925"/>
                    </a:xfrm>
                    <a:prstGeom prst="rect">
                      <a:avLst/>
                    </a:prstGeom>
                    <a:noFill/>
                    <a:ln w="9525">
                      <a:noFill/>
                      <a:miter lim="800000"/>
                      <a:headEnd/>
                      <a:tailEnd/>
                    </a:ln>
                  </pic:spPr>
                </pic:pic>
              </a:graphicData>
            </a:graphic>
          </wp:inline>
        </w:drawing>
      </w:r>
      <w:r w:rsidRPr="007D1BA9">
        <w:rPr>
          <w:lang w:val="en-GB"/>
        </w:rPr>
        <w:fldChar w:fldCharType="end"/>
      </w:r>
      <w:r w:rsidR="000209A5" w:rsidRPr="003A026E">
        <w:rPr>
          <w:lang w:val="en-GB"/>
        </w:rPr>
        <w:tab/>
      </w:r>
      <w:r w:rsidR="000209A5" w:rsidRPr="003A026E">
        <w:rPr>
          <w:lang w:val="en-GB"/>
        </w:rPr>
        <w:tab/>
      </w:r>
      <w:r w:rsidR="000209A5" w:rsidRPr="003A026E">
        <w:rPr>
          <w:lang w:val="en-GB"/>
        </w:rPr>
        <w:tab/>
      </w:r>
      <w:r w:rsidR="000209A5" w:rsidRPr="003A026E">
        <w:rPr>
          <w:lang w:val="en-GB"/>
        </w:rPr>
        <w:tab/>
      </w:r>
      <w:r w:rsidR="000209A5" w:rsidRPr="003A026E">
        <w:rPr>
          <w:lang w:val="en-GB"/>
        </w:rPr>
        <w:tab/>
        <w:t xml:space="preserve">  (7)</w:t>
      </w:r>
      <w:r w:rsidR="000209A5" w:rsidRPr="006454A3">
        <w:rPr>
          <w:lang w:val="en-GB"/>
        </w:rPr>
        <w:t xml:space="preserve"> </w:t>
      </w:r>
    </w:p>
    <w:p w:rsidR="000209A5" w:rsidRPr="003A026E" w:rsidRDefault="000209A5" w:rsidP="00F2010C">
      <w:pPr>
        <w:spacing w:line="360" w:lineRule="auto"/>
        <w:jc w:val="both"/>
        <w:rPr>
          <w:lang w:val="en-GB"/>
        </w:rPr>
      </w:pPr>
      <w:r>
        <w:rPr>
          <w:lang w:val="en-GB"/>
        </w:rPr>
        <w:t>which represents</w:t>
      </w:r>
      <w:r w:rsidRPr="003A026E">
        <w:rPr>
          <w:lang w:val="en-GB"/>
        </w:rPr>
        <w:t xml:space="preserve"> the path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609600" cy="171450"/>
            <wp:effectExtent l="19050" t="0" r="0" b="0"/>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609600"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609600" cy="171450"/>
            <wp:effectExtent l="19050" t="0" r="0" b="0"/>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609600" cy="171450"/>
                    </a:xfrm>
                    <a:prstGeom prst="rect">
                      <a:avLst/>
                    </a:prstGeom>
                    <a:noFill/>
                    <a:ln w="9525">
                      <a:noFill/>
                      <a:miter lim="800000"/>
                      <a:headEnd/>
                      <a:tailEnd/>
                    </a:ln>
                  </pic:spPr>
                </pic:pic>
              </a:graphicData>
            </a:graphic>
          </wp:inline>
        </w:drawing>
      </w:r>
      <w:r w:rsidR="003B5D60" w:rsidRPr="007D1BA9">
        <w:rPr>
          <w:lang w:val="en-GB"/>
        </w:rPr>
        <w:fldChar w:fldCharType="end"/>
      </w:r>
      <w:r>
        <w:rPr>
          <w:lang w:val="en-GB"/>
        </w:rPr>
        <w:t>.</w:t>
      </w:r>
    </w:p>
    <w:p w:rsidR="000209A5" w:rsidRDefault="000209A5" w:rsidP="000D1ED9">
      <w:pPr>
        <w:spacing w:line="360" w:lineRule="auto"/>
        <w:ind w:firstLine="708"/>
        <w:jc w:val="both"/>
        <w:rPr>
          <w:lang w:val="en-GB"/>
        </w:rPr>
      </w:pPr>
      <w:r>
        <w:rPr>
          <w:lang w:val="en-GB"/>
        </w:rPr>
        <w:t xml:space="preserve">The pattern described above holds for all levels of tiers. </w:t>
      </w:r>
      <w:r w:rsidRPr="003A026E">
        <w:rPr>
          <w:lang w:val="en-GB"/>
        </w:rPr>
        <w:t xml:space="preserve">In general, there are an infinite number of paths between a given set of sectors. By computing the contributions of all paths, </w:t>
      </w:r>
      <w:r>
        <w:rPr>
          <w:lang w:val="en-GB"/>
        </w:rPr>
        <w:lastRenderedPageBreak/>
        <w:t xml:space="preserve">SPA enables </w:t>
      </w:r>
      <w:r w:rsidRPr="003A026E">
        <w:rPr>
          <w:lang w:val="en-GB"/>
        </w:rPr>
        <w:t>determin</w:t>
      </w:r>
      <w:r>
        <w:rPr>
          <w:lang w:val="en-GB"/>
        </w:rPr>
        <w:t>ing</w:t>
      </w:r>
      <w:r w:rsidRPr="003A026E">
        <w:rPr>
          <w:lang w:val="en-GB"/>
        </w:rPr>
        <w:t xml:space="preserve"> the most</w:t>
      </w:r>
      <w:r>
        <w:rPr>
          <w:lang w:val="en-GB"/>
        </w:rPr>
        <w:t xml:space="preserve"> important nodes from all tiers </w:t>
      </w:r>
      <w:r w:rsidRPr="003A026E">
        <w:rPr>
          <w:lang w:val="en-GB"/>
        </w:rPr>
        <w:t>(Peters and Hertwich, 2006).</w:t>
      </w:r>
      <w:r>
        <w:rPr>
          <w:lang w:val="en-GB"/>
        </w:rPr>
        <w:t xml:space="preserve"> Using the second production tier as an example, let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200025" cy="171450"/>
            <wp:effectExtent l="19050" t="0" r="0" b="0"/>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200025" cy="171450"/>
            <wp:effectExtent l="19050" t="0" r="0" b="0"/>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003B5D60" w:rsidRPr="007D1BA9">
        <w:rPr>
          <w:lang w:val="en-GB"/>
        </w:rPr>
        <w:fldChar w:fldCharType="end"/>
      </w:r>
      <w:r>
        <w:rPr>
          <w:lang w:val="en-GB"/>
        </w:rPr>
        <w:t xml:space="preserve">, </w:t>
      </w:r>
      <w:r w:rsidRPr="001371E4">
        <w:rPr>
          <w:lang w:val="en-GB"/>
        </w:rPr>
        <w:t>and</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71450" cy="142875"/>
            <wp:effectExtent l="19050" t="0" r="0" b="0"/>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71450" cy="142875"/>
            <wp:effectExtent l="19050" t="0" r="0" b="0"/>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003B5D60" w:rsidRPr="007D1BA9">
        <w:rPr>
          <w:lang w:val="en-GB"/>
        </w:rPr>
        <w:fldChar w:fldCharType="end"/>
      </w:r>
      <w:r>
        <w:rPr>
          <w:lang w:val="en-GB"/>
        </w:rPr>
        <w:t xml:space="preserve"> represent trade (TRD), mining (MNG), and construction (CON) sectors, respectively. Then, the labour requirement induced in the trade sector in response to a change in the final demand of the construction sector following the path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323975" cy="171450"/>
            <wp:effectExtent l="19050" t="0" r="0" b="0"/>
            <wp:docPr id="67"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1323975"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323975" cy="171450"/>
            <wp:effectExtent l="19050" t="0" r="0" b="0"/>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1323975" cy="171450"/>
                    </a:xfrm>
                    <a:prstGeom prst="rect">
                      <a:avLst/>
                    </a:prstGeom>
                    <a:noFill/>
                    <a:ln w="9525">
                      <a:noFill/>
                      <a:miter lim="800000"/>
                      <a:headEnd/>
                      <a:tailEnd/>
                    </a:ln>
                  </pic:spPr>
                </pic:pic>
              </a:graphicData>
            </a:graphic>
          </wp:inline>
        </w:drawing>
      </w:r>
      <w:r w:rsidR="003B5D60" w:rsidRPr="007D1BA9">
        <w:rPr>
          <w:lang w:val="en-GB"/>
        </w:rPr>
        <w:fldChar w:fldCharType="end"/>
      </w:r>
      <w:r>
        <w:rPr>
          <w:lang w:val="en-GB"/>
        </w:rPr>
        <w:t xml:space="preserve"> can be computed using Eq. (7) as follows:</w:t>
      </w:r>
    </w:p>
    <w:p w:rsidR="000209A5" w:rsidRPr="00C477F1" w:rsidRDefault="0029483C" w:rsidP="00F2010C">
      <w:pPr>
        <w:spacing w:line="360" w:lineRule="auto"/>
        <w:jc w:val="center"/>
        <w:rPr>
          <w:lang w:val="en-GB"/>
        </w:rPr>
      </w:pPr>
      <w:r>
        <w:rPr>
          <w:noProof/>
        </w:rPr>
        <w:drawing>
          <wp:inline distT="0" distB="0" distL="0" distR="0">
            <wp:extent cx="1838325" cy="152400"/>
            <wp:effectExtent l="19050" t="0" r="9525" b="0"/>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1838325" cy="152400"/>
                    </a:xfrm>
                    <a:prstGeom prst="rect">
                      <a:avLst/>
                    </a:prstGeom>
                    <a:noFill/>
                    <a:ln w="9525">
                      <a:noFill/>
                      <a:miter lim="800000"/>
                      <a:headEnd/>
                      <a:tailEnd/>
                    </a:ln>
                  </pic:spPr>
                </pic:pic>
              </a:graphicData>
            </a:graphic>
          </wp:inline>
        </w:drawing>
      </w:r>
    </w:p>
    <w:p w:rsidR="000209A5" w:rsidRDefault="000209A5" w:rsidP="000D1ED9">
      <w:pPr>
        <w:spacing w:line="360" w:lineRule="auto"/>
        <w:ind w:firstLine="708"/>
        <w:jc w:val="both"/>
        <w:rPr>
          <w:lang w:val="en-GB"/>
        </w:rPr>
      </w:pPr>
      <w:r>
        <w:rPr>
          <w:lang w:val="en-GB"/>
        </w:rPr>
        <w:t>It should be noted that t</w:t>
      </w:r>
      <w:r w:rsidRPr="003A026E">
        <w:rPr>
          <w:lang w:val="en-GB"/>
        </w:rPr>
        <w:t xml:space="preserve">he </w:t>
      </w:r>
      <w:r>
        <w:rPr>
          <w:lang w:val="en-GB"/>
        </w:rPr>
        <w:t xml:space="preserve">procedure described in Eqs. (5-7) can be used for obtaining the direct influence,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457200" cy="238125"/>
            <wp:effectExtent l="19050" t="0" r="0" b="0"/>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457200" cy="238125"/>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457200" cy="238125"/>
            <wp:effectExtent l="19050" t="0" r="0" b="0"/>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457200" cy="238125"/>
                    </a:xfrm>
                    <a:prstGeom prst="rect">
                      <a:avLst/>
                    </a:prstGeom>
                    <a:noFill/>
                    <a:ln w="9525">
                      <a:noFill/>
                      <a:miter lim="800000"/>
                      <a:headEnd/>
                      <a:tailEnd/>
                    </a:ln>
                  </pic:spPr>
                </pic:pic>
              </a:graphicData>
            </a:graphic>
          </wp:inline>
        </w:drawing>
      </w:r>
      <w:r w:rsidR="003B5D60" w:rsidRPr="007D1BA9">
        <w:rPr>
          <w:lang w:val="en-GB"/>
        </w:rPr>
        <w:fldChar w:fldCharType="end"/>
      </w:r>
      <w:r>
        <w:rPr>
          <w:lang w:val="en-GB"/>
        </w:rPr>
        <w:t xml:space="preserve"> generated along a path. Besides, in order to capture the extent to which direct influence along a path is amplified through the effects of adjacent feedback circuits (i.e. the effect of a sector on itself), Defourny and Thorbecke (1984) suggests computing the total influence,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485775" cy="238125"/>
            <wp:effectExtent l="19050" t="0" r="0" b="0"/>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7">
                      <a:clrChange>
                        <a:clrFrom>
                          <a:srgbClr val="FFFFFF"/>
                        </a:clrFrom>
                        <a:clrTo>
                          <a:srgbClr val="FFFFFF">
                            <a:alpha val="0"/>
                          </a:srgbClr>
                        </a:clrTo>
                      </a:clrChange>
                    </a:blip>
                    <a:srcRect/>
                    <a:stretch>
                      <a:fillRect/>
                    </a:stretch>
                  </pic:blipFill>
                  <pic:spPr bwMode="auto">
                    <a:xfrm>
                      <a:off x="0" y="0"/>
                      <a:ext cx="485775" cy="238125"/>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485775" cy="238125"/>
            <wp:effectExtent l="19050" t="0" r="0" b="0"/>
            <wp:docPr id="7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7">
                      <a:clrChange>
                        <a:clrFrom>
                          <a:srgbClr val="FFFFFF"/>
                        </a:clrFrom>
                        <a:clrTo>
                          <a:srgbClr val="FFFFFF">
                            <a:alpha val="0"/>
                          </a:srgbClr>
                        </a:clrTo>
                      </a:clrChange>
                    </a:blip>
                    <a:srcRect/>
                    <a:stretch>
                      <a:fillRect/>
                    </a:stretch>
                  </pic:blipFill>
                  <pic:spPr bwMode="auto">
                    <a:xfrm>
                      <a:off x="0" y="0"/>
                      <a:ext cx="485775" cy="238125"/>
                    </a:xfrm>
                    <a:prstGeom prst="rect">
                      <a:avLst/>
                    </a:prstGeom>
                    <a:noFill/>
                    <a:ln w="9525">
                      <a:noFill/>
                      <a:miter lim="800000"/>
                      <a:headEnd/>
                      <a:tailEnd/>
                    </a:ln>
                  </pic:spPr>
                </pic:pic>
              </a:graphicData>
            </a:graphic>
          </wp:inline>
        </w:drawing>
      </w:r>
      <w:r w:rsidR="003B5D60" w:rsidRPr="007D1BA9">
        <w:rPr>
          <w:lang w:val="en-GB"/>
        </w:rPr>
        <w:fldChar w:fldCharType="end"/>
      </w:r>
      <w:r>
        <w:rPr>
          <w:lang w:val="en-GB"/>
        </w:rPr>
        <w:t xml:space="preserve">expressed as </w:t>
      </w:r>
    </w:p>
    <w:p w:rsidR="000209A5" w:rsidRPr="003A026E" w:rsidRDefault="003B5D60" w:rsidP="00F2010C">
      <w:pPr>
        <w:spacing w:line="360" w:lineRule="auto"/>
        <w:jc w:val="right"/>
        <w:rPr>
          <w:lang w:val="en-GB"/>
        </w:rPr>
      </w:pPr>
      <w:r w:rsidRPr="007D1BA9">
        <w:rPr>
          <w:lang w:val="en-GB"/>
        </w:rPr>
        <w:fldChar w:fldCharType="begin"/>
      </w:r>
      <w:r w:rsidR="000209A5" w:rsidRPr="007D1BA9">
        <w:rPr>
          <w:lang w:val="en-GB"/>
        </w:rPr>
        <w:instrText xml:space="preserve"> QUOTE </w:instrText>
      </w:r>
      <w:r w:rsidR="0029483C">
        <w:rPr>
          <w:noProof/>
        </w:rPr>
        <w:drawing>
          <wp:inline distT="0" distB="0" distL="0" distR="0">
            <wp:extent cx="1190625" cy="238125"/>
            <wp:effectExtent l="19050" t="0" r="0" b="0"/>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8">
                      <a:clrChange>
                        <a:clrFrom>
                          <a:srgbClr val="FFFFFF"/>
                        </a:clrFrom>
                        <a:clrTo>
                          <a:srgbClr val="FFFFFF">
                            <a:alpha val="0"/>
                          </a:srgbClr>
                        </a:clrTo>
                      </a:clrChange>
                    </a:blip>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sidR="000209A5" w:rsidRPr="007D1BA9">
        <w:rPr>
          <w:lang w:val="en-GB"/>
        </w:rPr>
        <w:instrText xml:space="preserve"> </w:instrText>
      </w:r>
      <w:r w:rsidRPr="007D1BA9">
        <w:rPr>
          <w:lang w:val="en-GB"/>
        </w:rPr>
        <w:fldChar w:fldCharType="separate"/>
      </w:r>
      <w:r w:rsidR="0029483C">
        <w:rPr>
          <w:noProof/>
        </w:rPr>
        <w:drawing>
          <wp:inline distT="0" distB="0" distL="0" distR="0">
            <wp:extent cx="1190625" cy="238125"/>
            <wp:effectExtent l="19050" t="0" r="0" b="0"/>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8">
                      <a:clrChange>
                        <a:clrFrom>
                          <a:srgbClr val="FFFFFF"/>
                        </a:clrFrom>
                        <a:clrTo>
                          <a:srgbClr val="FFFFFF">
                            <a:alpha val="0"/>
                          </a:srgbClr>
                        </a:clrTo>
                      </a:clrChange>
                    </a:blip>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sidRPr="007D1BA9">
        <w:rPr>
          <w:lang w:val="en-GB"/>
        </w:rPr>
        <w:fldChar w:fldCharType="end"/>
      </w:r>
      <w:r w:rsidR="000209A5" w:rsidRPr="003A026E">
        <w:rPr>
          <w:lang w:val="en-GB"/>
        </w:rPr>
        <w:tab/>
      </w:r>
      <w:r w:rsidR="000209A5" w:rsidRPr="003A026E">
        <w:rPr>
          <w:lang w:val="en-GB"/>
        </w:rPr>
        <w:tab/>
      </w:r>
      <w:r w:rsidR="000209A5">
        <w:rPr>
          <w:lang w:val="en-GB"/>
        </w:rPr>
        <w:tab/>
      </w:r>
      <w:r w:rsidR="000209A5" w:rsidRPr="003A026E">
        <w:rPr>
          <w:lang w:val="en-GB"/>
        </w:rPr>
        <w:tab/>
      </w:r>
      <w:r w:rsidR="000209A5" w:rsidRPr="003A026E">
        <w:rPr>
          <w:lang w:val="en-GB"/>
        </w:rPr>
        <w:tab/>
        <w:t xml:space="preserve">  (</w:t>
      </w:r>
      <w:r w:rsidR="000209A5">
        <w:rPr>
          <w:lang w:val="en-GB"/>
        </w:rPr>
        <w:t>8</w:t>
      </w:r>
      <w:r w:rsidR="000209A5" w:rsidRPr="003A026E">
        <w:rPr>
          <w:lang w:val="en-GB"/>
        </w:rPr>
        <w:t>)</w:t>
      </w:r>
    </w:p>
    <w:p w:rsidR="000209A5" w:rsidRDefault="000209A5" w:rsidP="00F2010C">
      <w:pPr>
        <w:spacing w:line="360" w:lineRule="auto"/>
        <w:jc w:val="both"/>
        <w:rPr>
          <w:lang w:val="en-GB"/>
        </w:rPr>
      </w:pPr>
      <w:r>
        <w:rPr>
          <w:lang w:val="en-GB"/>
        </w:rPr>
        <w:t xml:space="preserve">where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209550" cy="161925"/>
            <wp:effectExtent l="19050" t="0" r="0" b="0"/>
            <wp:docPr id="76"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209550" cy="161925"/>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209550" cy="161925"/>
            <wp:effectExtent l="19050" t="0" r="0" b="0"/>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209550" cy="161925"/>
                    </a:xfrm>
                    <a:prstGeom prst="rect">
                      <a:avLst/>
                    </a:prstGeom>
                    <a:noFill/>
                    <a:ln w="9525">
                      <a:noFill/>
                      <a:miter lim="800000"/>
                      <a:headEnd/>
                      <a:tailEnd/>
                    </a:ln>
                  </pic:spPr>
                </pic:pic>
              </a:graphicData>
            </a:graphic>
          </wp:inline>
        </w:drawing>
      </w:r>
      <w:r w:rsidR="003B5D60" w:rsidRPr="007D1BA9">
        <w:rPr>
          <w:lang w:val="en-GB"/>
        </w:rPr>
        <w:fldChar w:fldCharType="end"/>
      </w:r>
      <w:r>
        <w:rPr>
          <w:lang w:val="en-GB"/>
        </w:rPr>
        <w:t xml:space="preserve"> is the path multiplier </w:t>
      </w:r>
      <w:r w:rsidRPr="003A026E">
        <w:rPr>
          <w:lang w:val="en-GB"/>
        </w:rPr>
        <w:t>(</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1924050" cy="171450"/>
            <wp:effectExtent l="19050" t="0" r="0" b="0"/>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1924050" cy="1714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1924050" cy="171450"/>
            <wp:effectExtent l="19050" t="0" r="0" b="0"/>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1924050" cy="171450"/>
                    </a:xfrm>
                    <a:prstGeom prst="rect">
                      <a:avLst/>
                    </a:prstGeom>
                    <a:noFill/>
                    <a:ln w="9525">
                      <a:noFill/>
                      <a:miter lim="800000"/>
                      <a:headEnd/>
                      <a:tailEnd/>
                    </a:ln>
                  </pic:spPr>
                </pic:pic>
              </a:graphicData>
            </a:graphic>
          </wp:inline>
        </w:drawing>
      </w:r>
      <w:r w:rsidR="003B5D60" w:rsidRPr="007D1BA9">
        <w:rPr>
          <w:lang w:val="en-GB"/>
        </w:rPr>
        <w:fldChar w:fldCharType="end"/>
      </w:r>
      <w:r>
        <w:rPr>
          <w:lang w:val="en-GB"/>
        </w:rPr>
        <w:t xml:space="preserve">). Note that, if a production path has no adjacent circuits, than the multiplier will be one. Finally, the overall influence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428625" cy="209550"/>
            <wp:effectExtent l="19050" t="0" r="0" b="0"/>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428625" cy="209550"/>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428625" cy="209550"/>
            <wp:effectExtent l="19050" t="0" r="0" b="0"/>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428625" cy="209550"/>
                    </a:xfrm>
                    <a:prstGeom prst="rect">
                      <a:avLst/>
                    </a:prstGeom>
                    <a:noFill/>
                    <a:ln w="9525">
                      <a:noFill/>
                      <a:miter lim="800000"/>
                      <a:headEnd/>
                      <a:tailEnd/>
                    </a:ln>
                  </pic:spPr>
                </pic:pic>
              </a:graphicData>
            </a:graphic>
          </wp:inline>
        </w:drawing>
      </w:r>
      <w:r w:rsidR="003B5D60" w:rsidRPr="007D1BA9">
        <w:rPr>
          <w:lang w:val="en-GB"/>
        </w:rPr>
        <w:fldChar w:fldCharType="end"/>
      </w:r>
      <w:r>
        <w:rPr>
          <w:lang w:val="en-GB"/>
        </w:rPr>
        <w:t>of all the paths between two sectors can be decomposed as follows:</w:t>
      </w:r>
    </w:p>
    <w:p w:rsidR="000209A5" w:rsidRPr="003A026E" w:rsidRDefault="003B5D60" w:rsidP="00F2010C">
      <w:pPr>
        <w:spacing w:line="360" w:lineRule="auto"/>
        <w:jc w:val="right"/>
        <w:rPr>
          <w:lang w:val="en-GB"/>
        </w:rPr>
      </w:pPr>
      <w:r w:rsidRPr="007D1BA9">
        <w:rPr>
          <w:lang w:val="en-GB"/>
        </w:rPr>
        <w:fldChar w:fldCharType="begin"/>
      </w:r>
      <w:r w:rsidR="000209A5" w:rsidRPr="007D1BA9">
        <w:rPr>
          <w:lang w:val="en-GB"/>
        </w:rPr>
        <w:instrText xml:space="preserve"> QUOTE </w:instrText>
      </w:r>
      <w:r w:rsidR="0029483C">
        <w:rPr>
          <w:noProof/>
        </w:rPr>
        <w:drawing>
          <wp:inline distT="0" distB="0" distL="0" distR="0">
            <wp:extent cx="2152650" cy="457200"/>
            <wp:effectExtent l="19050" t="0" r="0" b="0"/>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2">
                      <a:clrChange>
                        <a:clrFrom>
                          <a:srgbClr val="FFFFFF"/>
                        </a:clrFrom>
                        <a:clrTo>
                          <a:srgbClr val="FFFFFF">
                            <a:alpha val="0"/>
                          </a:srgbClr>
                        </a:clrTo>
                      </a:clrChange>
                    </a:blip>
                    <a:srcRect/>
                    <a:stretch>
                      <a:fillRect/>
                    </a:stretch>
                  </pic:blipFill>
                  <pic:spPr bwMode="auto">
                    <a:xfrm>
                      <a:off x="0" y="0"/>
                      <a:ext cx="2152650" cy="457200"/>
                    </a:xfrm>
                    <a:prstGeom prst="rect">
                      <a:avLst/>
                    </a:prstGeom>
                    <a:noFill/>
                    <a:ln w="9525">
                      <a:noFill/>
                      <a:miter lim="800000"/>
                      <a:headEnd/>
                      <a:tailEnd/>
                    </a:ln>
                  </pic:spPr>
                </pic:pic>
              </a:graphicData>
            </a:graphic>
          </wp:inline>
        </w:drawing>
      </w:r>
      <w:r w:rsidR="000209A5" w:rsidRPr="007D1BA9">
        <w:rPr>
          <w:lang w:val="en-GB"/>
        </w:rPr>
        <w:instrText xml:space="preserve"> </w:instrText>
      </w:r>
      <w:r w:rsidRPr="007D1BA9">
        <w:rPr>
          <w:lang w:val="en-GB"/>
        </w:rPr>
        <w:fldChar w:fldCharType="separate"/>
      </w:r>
      <w:r w:rsidR="0029483C">
        <w:rPr>
          <w:noProof/>
        </w:rPr>
        <w:drawing>
          <wp:inline distT="0" distB="0" distL="0" distR="0">
            <wp:extent cx="2152650" cy="457200"/>
            <wp:effectExtent l="19050" t="0" r="0" b="0"/>
            <wp:docPr id="83"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2">
                      <a:clrChange>
                        <a:clrFrom>
                          <a:srgbClr val="FFFFFF"/>
                        </a:clrFrom>
                        <a:clrTo>
                          <a:srgbClr val="FFFFFF">
                            <a:alpha val="0"/>
                          </a:srgbClr>
                        </a:clrTo>
                      </a:clrChange>
                    </a:blip>
                    <a:srcRect/>
                    <a:stretch>
                      <a:fillRect/>
                    </a:stretch>
                  </pic:blipFill>
                  <pic:spPr bwMode="auto">
                    <a:xfrm>
                      <a:off x="0" y="0"/>
                      <a:ext cx="2152650" cy="457200"/>
                    </a:xfrm>
                    <a:prstGeom prst="rect">
                      <a:avLst/>
                    </a:prstGeom>
                    <a:noFill/>
                    <a:ln w="9525">
                      <a:noFill/>
                      <a:miter lim="800000"/>
                      <a:headEnd/>
                      <a:tailEnd/>
                    </a:ln>
                  </pic:spPr>
                </pic:pic>
              </a:graphicData>
            </a:graphic>
          </wp:inline>
        </w:drawing>
      </w:r>
      <w:r w:rsidRPr="007D1BA9">
        <w:rPr>
          <w:lang w:val="en-GB"/>
        </w:rPr>
        <w:fldChar w:fldCharType="end"/>
      </w:r>
      <w:r w:rsidR="000209A5" w:rsidRPr="003A026E">
        <w:rPr>
          <w:lang w:val="en-GB"/>
        </w:rPr>
        <w:tab/>
      </w:r>
      <w:r w:rsidR="000209A5" w:rsidRPr="003A026E">
        <w:rPr>
          <w:lang w:val="en-GB"/>
        </w:rPr>
        <w:tab/>
      </w:r>
      <w:r w:rsidR="00A82722">
        <w:rPr>
          <w:lang w:val="en-GB"/>
        </w:rPr>
        <w:tab/>
      </w:r>
      <w:r w:rsidR="000209A5" w:rsidRPr="003A026E">
        <w:rPr>
          <w:lang w:val="en-GB"/>
        </w:rPr>
        <w:tab/>
        <w:t xml:space="preserve">  (</w:t>
      </w:r>
      <w:r w:rsidR="000209A5">
        <w:rPr>
          <w:lang w:val="en-GB"/>
        </w:rPr>
        <w:t>9</w:t>
      </w:r>
      <w:r w:rsidR="000209A5" w:rsidRPr="003A026E">
        <w:rPr>
          <w:lang w:val="en-GB"/>
        </w:rPr>
        <w:t>)</w:t>
      </w:r>
    </w:p>
    <w:p w:rsidR="000209A5" w:rsidRDefault="000209A5" w:rsidP="000D1ED9">
      <w:pPr>
        <w:spacing w:line="360" w:lineRule="auto"/>
        <w:ind w:firstLine="708"/>
        <w:jc w:val="both"/>
        <w:rPr>
          <w:lang w:val="en-GB"/>
        </w:rPr>
      </w:pPr>
      <w:r>
        <w:rPr>
          <w:lang w:val="en-GB"/>
        </w:rPr>
        <w:t xml:space="preserve">Formal derivation of this decomposition and the details of the computation procedure of total influence, </w:t>
      </w:r>
      <w:r w:rsidR="003B5D60" w:rsidRPr="007D1BA9">
        <w:rPr>
          <w:lang w:val="en-GB"/>
        </w:rPr>
        <w:fldChar w:fldCharType="begin"/>
      </w:r>
      <w:r w:rsidRPr="007D1BA9">
        <w:rPr>
          <w:lang w:val="en-GB"/>
        </w:rPr>
        <w:instrText xml:space="preserve"> QUOTE </w:instrText>
      </w:r>
      <w:r w:rsidR="0029483C">
        <w:rPr>
          <w:noProof/>
        </w:rPr>
        <w:drawing>
          <wp:inline distT="0" distB="0" distL="0" distR="0">
            <wp:extent cx="457200" cy="238125"/>
            <wp:effectExtent l="19050" t="0" r="0" b="0"/>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3">
                      <a:clrChange>
                        <a:clrFrom>
                          <a:srgbClr val="FFFFFF"/>
                        </a:clrFrom>
                        <a:clrTo>
                          <a:srgbClr val="FFFFFF">
                            <a:alpha val="0"/>
                          </a:srgbClr>
                        </a:clrTo>
                      </a:clrChange>
                    </a:blip>
                    <a:srcRect/>
                    <a:stretch>
                      <a:fillRect/>
                    </a:stretch>
                  </pic:blipFill>
                  <pic:spPr bwMode="auto">
                    <a:xfrm>
                      <a:off x="0" y="0"/>
                      <a:ext cx="457200" cy="238125"/>
                    </a:xfrm>
                    <a:prstGeom prst="rect">
                      <a:avLst/>
                    </a:prstGeom>
                    <a:noFill/>
                    <a:ln w="9525">
                      <a:noFill/>
                      <a:miter lim="800000"/>
                      <a:headEnd/>
                      <a:tailEnd/>
                    </a:ln>
                  </pic:spPr>
                </pic:pic>
              </a:graphicData>
            </a:graphic>
          </wp:inline>
        </w:drawing>
      </w:r>
      <w:r w:rsidRPr="007D1BA9">
        <w:rPr>
          <w:lang w:val="en-GB"/>
        </w:rPr>
        <w:instrText xml:space="preserve"> </w:instrText>
      </w:r>
      <w:r w:rsidR="003B5D60" w:rsidRPr="007D1BA9">
        <w:rPr>
          <w:lang w:val="en-GB"/>
        </w:rPr>
        <w:fldChar w:fldCharType="separate"/>
      </w:r>
      <w:r w:rsidR="0029483C">
        <w:rPr>
          <w:noProof/>
        </w:rPr>
        <w:drawing>
          <wp:inline distT="0" distB="0" distL="0" distR="0">
            <wp:extent cx="457200" cy="238125"/>
            <wp:effectExtent l="19050" t="0" r="0" b="0"/>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a:clrChange>
                        <a:clrFrom>
                          <a:srgbClr val="FFFFFF"/>
                        </a:clrFrom>
                        <a:clrTo>
                          <a:srgbClr val="FFFFFF">
                            <a:alpha val="0"/>
                          </a:srgbClr>
                        </a:clrTo>
                      </a:clrChange>
                    </a:blip>
                    <a:srcRect/>
                    <a:stretch>
                      <a:fillRect/>
                    </a:stretch>
                  </pic:blipFill>
                  <pic:spPr bwMode="auto">
                    <a:xfrm>
                      <a:off x="0" y="0"/>
                      <a:ext cx="457200" cy="238125"/>
                    </a:xfrm>
                    <a:prstGeom prst="rect">
                      <a:avLst/>
                    </a:prstGeom>
                    <a:noFill/>
                    <a:ln w="9525">
                      <a:noFill/>
                      <a:miter lim="800000"/>
                      <a:headEnd/>
                      <a:tailEnd/>
                    </a:ln>
                  </pic:spPr>
                </pic:pic>
              </a:graphicData>
            </a:graphic>
          </wp:inline>
        </w:drawing>
      </w:r>
      <w:r w:rsidR="003B5D60" w:rsidRPr="007D1BA9">
        <w:rPr>
          <w:lang w:val="en-GB"/>
        </w:rPr>
        <w:fldChar w:fldCharType="end"/>
      </w:r>
      <w:r>
        <w:rPr>
          <w:lang w:val="en-GB"/>
        </w:rPr>
        <w:t xml:space="preserve"> with respect to different path structures can be found in Defourny and Thorbecke (</w:t>
      </w:r>
      <w:bookmarkStart w:id="0" w:name="_GoBack"/>
      <w:bookmarkEnd w:id="0"/>
      <w:r>
        <w:rPr>
          <w:lang w:val="en-GB"/>
        </w:rPr>
        <w:t>1984).</w:t>
      </w:r>
    </w:p>
    <w:p w:rsidR="000209A5" w:rsidRPr="003C5A84" w:rsidRDefault="000209A5" w:rsidP="00F2010C">
      <w:pPr>
        <w:spacing w:line="360" w:lineRule="auto"/>
        <w:rPr>
          <w:lang w:val="en-US"/>
        </w:rPr>
      </w:pPr>
    </w:p>
    <w:p w:rsidR="000209A5" w:rsidRDefault="000209A5" w:rsidP="00FB00FC">
      <w:pPr>
        <w:spacing w:line="360" w:lineRule="auto"/>
        <w:rPr>
          <w:lang w:val="en-US"/>
        </w:rPr>
      </w:pPr>
      <w:r>
        <w:rPr>
          <w:lang w:val="en-US"/>
        </w:rPr>
        <w:t>4. THE DATA</w:t>
      </w:r>
    </w:p>
    <w:p w:rsidR="000209A5" w:rsidRDefault="000209A5" w:rsidP="00FB00FC">
      <w:pPr>
        <w:spacing w:line="360" w:lineRule="auto"/>
        <w:rPr>
          <w:lang w:val="en-GB"/>
        </w:rPr>
      </w:pPr>
      <w:r w:rsidRPr="00266BB3">
        <w:rPr>
          <w:lang w:val="en-GB"/>
        </w:rPr>
        <w:t xml:space="preserve">The data used in the study </w:t>
      </w:r>
      <w:r>
        <w:rPr>
          <w:lang w:val="en-GB"/>
        </w:rPr>
        <w:t>come from two sources</w:t>
      </w:r>
      <w:r w:rsidRPr="00EF37FA">
        <w:rPr>
          <w:lang w:val="en-GB"/>
        </w:rPr>
        <w:t xml:space="preserve"> </w:t>
      </w:r>
      <w:r>
        <w:rPr>
          <w:lang w:val="en-GB"/>
        </w:rPr>
        <w:t>both published by the Turkish Statistical Institute (TURKSTAT): input-output tables and employment statistics.  The most recently available input-output tables are for 2002. They are compiled for 59 sectors in basic prices in compliance with the third revision of the International Standard Industrial Classification of all Economic Activities (ISIC-Rev. 3).  The input-output (I-O) data are separately available for domestic and imported intermediate transactions.</w:t>
      </w:r>
    </w:p>
    <w:p w:rsidR="000209A5" w:rsidRDefault="000209A5" w:rsidP="00EF37FA">
      <w:pPr>
        <w:spacing w:line="360" w:lineRule="auto"/>
        <w:ind w:firstLine="708"/>
        <w:rPr>
          <w:lang w:val="en-GB"/>
        </w:rPr>
      </w:pPr>
      <w:r>
        <w:rPr>
          <w:lang w:val="en-GB"/>
        </w:rPr>
        <w:t>The employment data in this paper is produced from two sources: The Household Labour Force Survey (HLFS) and Structural Business Statistics (SBS).  The HLFS employment data for 2002 are in a highly aggregated form based on the sector classification</w:t>
      </w:r>
      <w:r w:rsidRPr="004F0A6E">
        <w:rPr>
          <w:lang w:val="en-GB"/>
        </w:rPr>
        <w:t xml:space="preserve"> </w:t>
      </w:r>
      <w:r>
        <w:rPr>
          <w:lang w:val="en-GB"/>
        </w:rPr>
        <w:lastRenderedPageBreak/>
        <w:t>of ISIC-Rev. 2. There are only nine sectors, manufacturing sector being one of them.  Employment data for the manufacturing sub-sectors are not provided.   The SBS employment data is available for 2003 and covers the sub-sectors of the manufacturing sector only.</w:t>
      </w:r>
    </w:p>
    <w:p w:rsidR="000209A5" w:rsidRDefault="000209A5" w:rsidP="00B34A6B">
      <w:pPr>
        <w:spacing w:line="360" w:lineRule="auto"/>
        <w:rPr>
          <w:lang w:val="en-US"/>
        </w:rPr>
      </w:pPr>
      <w:r>
        <w:rPr>
          <w:lang w:val="en-GB"/>
        </w:rPr>
        <w:t>Firstly, we harmonized the sector classifications of the I-O and HLFS data. Then, we estimated the sectoral breakdown of the HLFS manufacturing employment data by applying the proportionate distributions in the SBS data. Since the employment data thus produced is available for 31 (eight main sectors and 23 manufacturing sub-sectors) sectors, the original I-O table of 59 sectors for domestic transactions was aggregated to 31 sectors for calibration.</w:t>
      </w:r>
      <w:r w:rsidRPr="00B34A6B">
        <w:rPr>
          <w:lang w:val="en-GB"/>
        </w:rPr>
        <w:t xml:space="preserve"> </w:t>
      </w:r>
      <w:r>
        <w:rPr>
          <w:lang w:val="en-GB"/>
        </w:rPr>
        <w:t>The details of data derivation are provided in Gunluk-Senesen &amp; Senesen (2011).</w:t>
      </w:r>
    </w:p>
    <w:p w:rsidR="000209A5" w:rsidRDefault="000209A5" w:rsidP="00FB00FC">
      <w:pPr>
        <w:spacing w:line="360" w:lineRule="auto"/>
        <w:rPr>
          <w:lang w:val="en-GB"/>
        </w:rPr>
      </w:pPr>
    </w:p>
    <w:p w:rsidR="000209A5" w:rsidRDefault="000209A5" w:rsidP="00FB00FC">
      <w:pPr>
        <w:spacing w:line="360" w:lineRule="auto"/>
        <w:rPr>
          <w:lang w:val="en-GB"/>
        </w:rPr>
      </w:pPr>
      <w:r>
        <w:rPr>
          <w:lang w:val="en-GB"/>
        </w:rPr>
        <w:t>The abbreviations for sector names are as follows:</w:t>
      </w:r>
    </w:p>
    <w:tbl>
      <w:tblPr>
        <w:tblW w:w="9640" w:type="dxa"/>
        <w:tblInd w:w="-106" w:type="dxa"/>
        <w:tblLook w:val="00A0"/>
      </w:tblPr>
      <w:tblGrid>
        <w:gridCol w:w="2411"/>
        <w:gridCol w:w="2409"/>
        <w:gridCol w:w="2410"/>
        <w:gridCol w:w="2410"/>
      </w:tblGrid>
      <w:tr w:rsidR="000209A5" w:rsidRPr="00FB00FC">
        <w:tc>
          <w:tcPr>
            <w:tcW w:w="2411" w:type="dxa"/>
          </w:tcPr>
          <w:p w:rsidR="000209A5" w:rsidRPr="00FB00FC" w:rsidRDefault="000209A5" w:rsidP="00FB00FC">
            <w:pPr>
              <w:tabs>
                <w:tab w:val="center" w:pos="4536"/>
                <w:tab w:val="right" w:pos="9072"/>
              </w:tabs>
              <w:rPr>
                <w:lang w:val="en-GB"/>
              </w:rPr>
            </w:pPr>
            <w:r w:rsidRPr="00FB00FC">
              <w:rPr>
                <w:sz w:val="22"/>
                <w:szCs w:val="22"/>
                <w:lang w:val="en-GB"/>
              </w:rPr>
              <w:t>AGR: Agriculture</w:t>
            </w:r>
          </w:p>
        </w:tc>
        <w:tc>
          <w:tcPr>
            <w:tcW w:w="2409" w:type="dxa"/>
          </w:tcPr>
          <w:p w:rsidR="000209A5" w:rsidRPr="00FB00FC" w:rsidRDefault="000209A5" w:rsidP="00FB00FC">
            <w:pPr>
              <w:tabs>
                <w:tab w:val="center" w:pos="4536"/>
                <w:tab w:val="right" w:pos="9072"/>
              </w:tabs>
              <w:rPr>
                <w:lang w:val="en-GB"/>
              </w:rPr>
            </w:pPr>
            <w:r w:rsidRPr="00FB00FC">
              <w:rPr>
                <w:sz w:val="22"/>
                <w:szCs w:val="22"/>
                <w:lang w:val="en-GB"/>
              </w:rPr>
              <w:t>PPR: Paper</w:t>
            </w:r>
          </w:p>
        </w:tc>
        <w:tc>
          <w:tcPr>
            <w:tcW w:w="2410" w:type="dxa"/>
          </w:tcPr>
          <w:p w:rsidR="000209A5" w:rsidRPr="00FB00FC" w:rsidRDefault="000209A5" w:rsidP="00FB00FC">
            <w:pPr>
              <w:tabs>
                <w:tab w:val="center" w:pos="4536"/>
                <w:tab w:val="right" w:pos="9072"/>
              </w:tabs>
              <w:rPr>
                <w:lang w:val="en-GB"/>
              </w:rPr>
            </w:pPr>
            <w:r w:rsidRPr="00FB00FC">
              <w:rPr>
                <w:sz w:val="22"/>
                <w:szCs w:val="22"/>
                <w:lang w:val="en-GB"/>
              </w:rPr>
              <w:t>MCH: Machinery</w:t>
            </w:r>
          </w:p>
        </w:tc>
        <w:tc>
          <w:tcPr>
            <w:tcW w:w="2410" w:type="dxa"/>
          </w:tcPr>
          <w:p w:rsidR="000209A5" w:rsidRPr="00FB00FC" w:rsidRDefault="000209A5" w:rsidP="00FB00FC">
            <w:pPr>
              <w:tabs>
                <w:tab w:val="center" w:pos="4536"/>
                <w:tab w:val="right" w:pos="9072"/>
              </w:tabs>
              <w:rPr>
                <w:lang w:val="en-GB"/>
              </w:rPr>
            </w:pPr>
            <w:r w:rsidRPr="00FB00FC">
              <w:rPr>
                <w:sz w:val="22"/>
                <w:szCs w:val="22"/>
                <w:lang w:val="en-GB"/>
              </w:rPr>
              <w:t>SRM: 2</w:t>
            </w:r>
            <w:r w:rsidRPr="00FB00FC">
              <w:rPr>
                <w:sz w:val="22"/>
                <w:szCs w:val="22"/>
                <w:vertAlign w:val="superscript"/>
                <w:lang w:val="en-GB"/>
              </w:rPr>
              <w:t xml:space="preserve">ndry </w:t>
            </w:r>
            <w:r w:rsidRPr="00FB00FC">
              <w:rPr>
                <w:sz w:val="22"/>
                <w:szCs w:val="22"/>
                <w:lang w:val="en-GB"/>
              </w:rPr>
              <w:t>raw matrls</w:t>
            </w:r>
          </w:p>
        </w:tc>
      </w:tr>
      <w:tr w:rsidR="000209A5" w:rsidRPr="00FB00FC">
        <w:tc>
          <w:tcPr>
            <w:tcW w:w="2411" w:type="dxa"/>
          </w:tcPr>
          <w:p w:rsidR="000209A5" w:rsidRPr="00FB00FC" w:rsidRDefault="000209A5" w:rsidP="00FB00FC">
            <w:pPr>
              <w:tabs>
                <w:tab w:val="center" w:pos="4536"/>
                <w:tab w:val="right" w:pos="9072"/>
              </w:tabs>
              <w:rPr>
                <w:lang w:val="en-GB"/>
              </w:rPr>
            </w:pPr>
            <w:r w:rsidRPr="00FB00FC">
              <w:rPr>
                <w:sz w:val="22"/>
                <w:szCs w:val="22"/>
                <w:lang w:val="en-GB"/>
              </w:rPr>
              <w:t>MNG: Mining</w:t>
            </w:r>
          </w:p>
        </w:tc>
        <w:tc>
          <w:tcPr>
            <w:tcW w:w="2409" w:type="dxa"/>
          </w:tcPr>
          <w:p w:rsidR="000209A5" w:rsidRPr="00FB00FC" w:rsidRDefault="000209A5" w:rsidP="00FB00FC">
            <w:pPr>
              <w:tabs>
                <w:tab w:val="center" w:pos="4536"/>
                <w:tab w:val="right" w:pos="9072"/>
              </w:tabs>
              <w:rPr>
                <w:lang w:val="en-GB"/>
              </w:rPr>
            </w:pPr>
            <w:r w:rsidRPr="00FB00FC">
              <w:rPr>
                <w:sz w:val="22"/>
                <w:szCs w:val="22"/>
                <w:lang w:val="en-GB"/>
              </w:rPr>
              <w:t>PRN: Printing</w:t>
            </w:r>
          </w:p>
        </w:tc>
        <w:tc>
          <w:tcPr>
            <w:tcW w:w="2410" w:type="dxa"/>
          </w:tcPr>
          <w:p w:rsidR="000209A5" w:rsidRPr="00FB00FC" w:rsidRDefault="000209A5" w:rsidP="00FB00FC">
            <w:pPr>
              <w:tabs>
                <w:tab w:val="center" w:pos="4536"/>
                <w:tab w:val="right" w:pos="9072"/>
              </w:tabs>
              <w:rPr>
                <w:lang w:val="en-GB"/>
              </w:rPr>
            </w:pPr>
            <w:r w:rsidRPr="00FB00FC">
              <w:rPr>
                <w:sz w:val="22"/>
                <w:szCs w:val="22"/>
                <w:lang w:val="en-GB"/>
              </w:rPr>
              <w:t>OMC: Office machn.</w:t>
            </w:r>
          </w:p>
        </w:tc>
        <w:tc>
          <w:tcPr>
            <w:tcW w:w="2410" w:type="dxa"/>
          </w:tcPr>
          <w:p w:rsidR="000209A5" w:rsidRPr="00FB00FC" w:rsidRDefault="000209A5" w:rsidP="00FB00FC">
            <w:pPr>
              <w:tabs>
                <w:tab w:val="center" w:pos="4536"/>
                <w:tab w:val="right" w:pos="9072"/>
              </w:tabs>
              <w:rPr>
                <w:lang w:val="en-GB"/>
              </w:rPr>
            </w:pPr>
            <w:r w:rsidRPr="00FB00FC">
              <w:rPr>
                <w:sz w:val="22"/>
                <w:szCs w:val="22"/>
                <w:lang w:val="en-GB"/>
              </w:rPr>
              <w:t>EGW: Elec., gas, water</w:t>
            </w:r>
          </w:p>
        </w:tc>
      </w:tr>
      <w:tr w:rsidR="000209A5" w:rsidRPr="00FB00FC">
        <w:tc>
          <w:tcPr>
            <w:tcW w:w="2411" w:type="dxa"/>
          </w:tcPr>
          <w:p w:rsidR="000209A5" w:rsidRPr="00FB00FC" w:rsidRDefault="000209A5" w:rsidP="00FB00FC">
            <w:pPr>
              <w:tabs>
                <w:tab w:val="center" w:pos="4536"/>
                <w:tab w:val="right" w:pos="9072"/>
              </w:tabs>
              <w:rPr>
                <w:lang w:val="en-GB"/>
              </w:rPr>
            </w:pPr>
            <w:r w:rsidRPr="00FB00FC">
              <w:rPr>
                <w:sz w:val="22"/>
                <w:szCs w:val="22"/>
                <w:lang w:val="en-GB"/>
              </w:rPr>
              <w:t>FOD: Food</w:t>
            </w:r>
          </w:p>
        </w:tc>
        <w:tc>
          <w:tcPr>
            <w:tcW w:w="2409" w:type="dxa"/>
          </w:tcPr>
          <w:p w:rsidR="000209A5" w:rsidRPr="00FB00FC" w:rsidRDefault="000209A5" w:rsidP="00FB00FC">
            <w:pPr>
              <w:tabs>
                <w:tab w:val="center" w:pos="4536"/>
                <w:tab w:val="right" w:pos="9072"/>
              </w:tabs>
              <w:rPr>
                <w:lang w:val="en-GB"/>
              </w:rPr>
            </w:pPr>
            <w:r w:rsidRPr="00FB00FC">
              <w:rPr>
                <w:sz w:val="22"/>
                <w:szCs w:val="22"/>
                <w:lang w:val="en-GB"/>
              </w:rPr>
              <w:t>PTR: Petroleum</w:t>
            </w:r>
          </w:p>
        </w:tc>
        <w:tc>
          <w:tcPr>
            <w:tcW w:w="2410" w:type="dxa"/>
          </w:tcPr>
          <w:p w:rsidR="000209A5" w:rsidRPr="00FB00FC" w:rsidRDefault="000209A5" w:rsidP="00FB00FC">
            <w:pPr>
              <w:tabs>
                <w:tab w:val="center" w:pos="4536"/>
                <w:tab w:val="right" w:pos="9072"/>
              </w:tabs>
              <w:rPr>
                <w:lang w:val="en-GB"/>
              </w:rPr>
            </w:pPr>
            <w:r w:rsidRPr="00FB00FC">
              <w:rPr>
                <w:sz w:val="22"/>
                <w:szCs w:val="22"/>
                <w:lang w:val="en-GB"/>
              </w:rPr>
              <w:t>EMC: Electrical machn</w:t>
            </w:r>
          </w:p>
        </w:tc>
        <w:tc>
          <w:tcPr>
            <w:tcW w:w="2410" w:type="dxa"/>
          </w:tcPr>
          <w:p w:rsidR="000209A5" w:rsidRPr="00FB00FC" w:rsidRDefault="000209A5" w:rsidP="00FB00FC">
            <w:pPr>
              <w:tabs>
                <w:tab w:val="center" w:pos="4536"/>
                <w:tab w:val="right" w:pos="9072"/>
              </w:tabs>
              <w:rPr>
                <w:lang w:val="en-GB"/>
              </w:rPr>
            </w:pPr>
            <w:r w:rsidRPr="00FB00FC">
              <w:rPr>
                <w:sz w:val="22"/>
                <w:szCs w:val="22"/>
                <w:lang w:val="en-GB"/>
              </w:rPr>
              <w:t>CON: Construction</w:t>
            </w:r>
          </w:p>
        </w:tc>
      </w:tr>
      <w:tr w:rsidR="000209A5" w:rsidRPr="00FB00FC">
        <w:tc>
          <w:tcPr>
            <w:tcW w:w="2411" w:type="dxa"/>
          </w:tcPr>
          <w:p w:rsidR="000209A5" w:rsidRPr="00FB00FC" w:rsidRDefault="000209A5" w:rsidP="00FB00FC">
            <w:pPr>
              <w:tabs>
                <w:tab w:val="center" w:pos="4536"/>
                <w:tab w:val="right" w:pos="9072"/>
              </w:tabs>
              <w:rPr>
                <w:lang w:val="en-GB"/>
              </w:rPr>
            </w:pPr>
            <w:r w:rsidRPr="00FB00FC">
              <w:rPr>
                <w:sz w:val="22"/>
                <w:szCs w:val="22"/>
                <w:lang w:val="en-GB"/>
              </w:rPr>
              <w:t>TOB: Tobacco</w:t>
            </w:r>
          </w:p>
        </w:tc>
        <w:tc>
          <w:tcPr>
            <w:tcW w:w="2409" w:type="dxa"/>
          </w:tcPr>
          <w:p w:rsidR="000209A5" w:rsidRPr="00FB00FC" w:rsidRDefault="000209A5" w:rsidP="00FB00FC">
            <w:pPr>
              <w:tabs>
                <w:tab w:val="center" w:pos="4536"/>
                <w:tab w:val="right" w:pos="9072"/>
              </w:tabs>
              <w:rPr>
                <w:lang w:val="en-GB"/>
              </w:rPr>
            </w:pPr>
            <w:r w:rsidRPr="00FB00FC">
              <w:rPr>
                <w:sz w:val="22"/>
                <w:szCs w:val="22"/>
                <w:lang w:val="en-GB"/>
              </w:rPr>
              <w:t>CHM: Chemicals</w:t>
            </w:r>
          </w:p>
        </w:tc>
        <w:tc>
          <w:tcPr>
            <w:tcW w:w="2410" w:type="dxa"/>
          </w:tcPr>
          <w:p w:rsidR="000209A5" w:rsidRPr="00FB00FC" w:rsidRDefault="000209A5" w:rsidP="00FB00FC">
            <w:pPr>
              <w:tabs>
                <w:tab w:val="center" w:pos="4536"/>
                <w:tab w:val="right" w:pos="9072"/>
              </w:tabs>
              <w:rPr>
                <w:lang w:val="en-GB"/>
              </w:rPr>
            </w:pPr>
            <w:r w:rsidRPr="00FB00FC">
              <w:rPr>
                <w:sz w:val="22"/>
                <w:szCs w:val="22"/>
                <w:lang w:val="en-GB"/>
              </w:rPr>
              <w:t>COM: Comm. eqpmt</w:t>
            </w:r>
          </w:p>
        </w:tc>
        <w:tc>
          <w:tcPr>
            <w:tcW w:w="2410" w:type="dxa"/>
          </w:tcPr>
          <w:p w:rsidR="000209A5" w:rsidRPr="00FB00FC" w:rsidRDefault="000209A5" w:rsidP="00FB00FC">
            <w:pPr>
              <w:tabs>
                <w:tab w:val="center" w:pos="4536"/>
                <w:tab w:val="right" w:pos="9072"/>
              </w:tabs>
              <w:rPr>
                <w:lang w:val="en-GB"/>
              </w:rPr>
            </w:pPr>
            <w:r w:rsidRPr="00FB00FC">
              <w:rPr>
                <w:sz w:val="22"/>
                <w:szCs w:val="22"/>
                <w:lang w:val="en-GB"/>
              </w:rPr>
              <w:t>TRD: Trade</w:t>
            </w:r>
          </w:p>
        </w:tc>
      </w:tr>
      <w:tr w:rsidR="000209A5" w:rsidRPr="00FB00FC">
        <w:tc>
          <w:tcPr>
            <w:tcW w:w="2411" w:type="dxa"/>
          </w:tcPr>
          <w:p w:rsidR="000209A5" w:rsidRPr="00FB00FC" w:rsidRDefault="000209A5" w:rsidP="00FB00FC">
            <w:pPr>
              <w:tabs>
                <w:tab w:val="center" w:pos="4536"/>
                <w:tab w:val="right" w:pos="9072"/>
              </w:tabs>
              <w:rPr>
                <w:lang w:val="en-GB"/>
              </w:rPr>
            </w:pPr>
            <w:r w:rsidRPr="00FB00FC">
              <w:rPr>
                <w:sz w:val="22"/>
                <w:szCs w:val="22"/>
                <w:lang w:val="en-GB"/>
              </w:rPr>
              <w:t>TXT: Textiles</w:t>
            </w:r>
          </w:p>
        </w:tc>
        <w:tc>
          <w:tcPr>
            <w:tcW w:w="2409" w:type="dxa"/>
          </w:tcPr>
          <w:p w:rsidR="000209A5" w:rsidRPr="00FB00FC" w:rsidRDefault="000209A5" w:rsidP="00FB00FC">
            <w:pPr>
              <w:tabs>
                <w:tab w:val="center" w:pos="4536"/>
                <w:tab w:val="right" w:pos="9072"/>
              </w:tabs>
              <w:rPr>
                <w:lang w:val="en-GB"/>
              </w:rPr>
            </w:pPr>
            <w:r w:rsidRPr="00FB00FC">
              <w:rPr>
                <w:sz w:val="22"/>
                <w:szCs w:val="22"/>
                <w:lang w:val="en-GB"/>
              </w:rPr>
              <w:t>R+P:Rubber &amp; plastics</w:t>
            </w:r>
          </w:p>
        </w:tc>
        <w:tc>
          <w:tcPr>
            <w:tcW w:w="2410" w:type="dxa"/>
          </w:tcPr>
          <w:p w:rsidR="000209A5" w:rsidRPr="00FB00FC" w:rsidRDefault="000209A5" w:rsidP="00FB00FC">
            <w:pPr>
              <w:tabs>
                <w:tab w:val="center" w:pos="4536"/>
                <w:tab w:val="right" w:pos="9072"/>
              </w:tabs>
              <w:rPr>
                <w:lang w:val="en-GB"/>
              </w:rPr>
            </w:pPr>
            <w:r w:rsidRPr="00FB00FC">
              <w:rPr>
                <w:sz w:val="22"/>
                <w:szCs w:val="22"/>
                <w:lang w:val="en-GB"/>
              </w:rPr>
              <w:t>PRC: Precision instrmts</w:t>
            </w:r>
          </w:p>
        </w:tc>
        <w:tc>
          <w:tcPr>
            <w:tcW w:w="2410" w:type="dxa"/>
          </w:tcPr>
          <w:p w:rsidR="000209A5" w:rsidRPr="00FB00FC" w:rsidRDefault="000209A5" w:rsidP="00FB00FC">
            <w:pPr>
              <w:tabs>
                <w:tab w:val="center" w:pos="4536"/>
                <w:tab w:val="right" w:pos="9072"/>
              </w:tabs>
              <w:rPr>
                <w:lang w:val="en-GB"/>
              </w:rPr>
            </w:pPr>
            <w:r w:rsidRPr="00FB00FC">
              <w:rPr>
                <w:sz w:val="22"/>
                <w:szCs w:val="22"/>
                <w:lang w:val="en-GB"/>
              </w:rPr>
              <w:t>TRN: Transport serv.</w:t>
            </w:r>
          </w:p>
        </w:tc>
      </w:tr>
      <w:tr w:rsidR="000209A5" w:rsidRPr="00FB00FC">
        <w:tc>
          <w:tcPr>
            <w:tcW w:w="2411" w:type="dxa"/>
          </w:tcPr>
          <w:p w:rsidR="000209A5" w:rsidRPr="00FB00FC" w:rsidRDefault="000209A5" w:rsidP="00FB00FC">
            <w:pPr>
              <w:tabs>
                <w:tab w:val="center" w:pos="4536"/>
                <w:tab w:val="right" w:pos="9072"/>
              </w:tabs>
              <w:rPr>
                <w:lang w:val="en-GB"/>
              </w:rPr>
            </w:pPr>
            <w:r w:rsidRPr="00FB00FC">
              <w:rPr>
                <w:sz w:val="22"/>
                <w:szCs w:val="22"/>
                <w:lang w:val="en-GB"/>
              </w:rPr>
              <w:t>WER: Wearing apparel</w:t>
            </w:r>
          </w:p>
        </w:tc>
        <w:tc>
          <w:tcPr>
            <w:tcW w:w="2409" w:type="dxa"/>
          </w:tcPr>
          <w:p w:rsidR="000209A5" w:rsidRPr="00FB00FC" w:rsidRDefault="000209A5" w:rsidP="00FB00FC">
            <w:pPr>
              <w:tabs>
                <w:tab w:val="center" w:pos="4536"/>
                <w:tab w:val="right" w:pos="9072"/>
              </w:tabs>
              <w:rPr>
                <w:lang w:val="en-GB"/>
              </w:rPr>
            </w:pPr>
            <w:r w:rsidRPr="00FB00FC">
              <w:rPr>
                <w:sz w:val="22"/>
                <w:szCs w:val="22"/>
                <w:lang w:val="en-GB"/>
              </w:rPr>
              <w:t>NMT: Non-metals</w:t>
            </w:r>
          </w:p>
        </w:tc>
        <w:tc>
          <w:tcPr>
            <w:tcW w:w="2410" w:type="dxa"/>
          </w:tcPr>
          <w:p w:rsidR="000209A5" w:rsidRPr="00FB00FC" w:rsidRDefault="000209A5" w:rsidP="00FB00FC">
            <w:pPr>
              <w:tabs>
                <w:tab w:val="center" w:pos="4536"/>
                <w:tab w:val="right" w:pos="9072"/>
              </w:tabs>
              <w:rPr>
                <w:lang w:val="en-GB"/>
              </w:rPr>
            </w:pPr>
            <w:r w:rsidRPr="00FB00FC">
              <w:rPr>
                <w:sz w:val="22"/>
                <w:szCs w:val="22"/>
                <w:lang w:val="en-GB"/>
              </w:rPr>
              <w:t>MTV: Motor vehicles</w:t>
            </w:r>
          </w:p>
        </w:tc>
        <w:tc>
          <w:tcPr>
            <w:tcW w:w="2410" w:type="dxa"/>
          </w:tcPr>
          <w:p w:rsidR="000209A5" w:rsidRPr="00FB00FC" w:rsidRDefault="000209A5" w:rsidP="00FB00FC">
            <w:pPr>
              <w:tabs>
                <w:tab w:val="center" w:pos="4536"/>
                <w:tab w:val="right" w:pos="9072"/>
              </w:tabs>
              <w:rPr>
                <w:lang w:val="en-GB"/>
              </w:rPr>
            </w:pPr>
            <w:r w:rsidRPr="00FB00FC">
              <w:rPr>
                <w:sz w:val="22"/>
                <w:szCs w:val="22"/>
                <w:lang w:val="en-GB"/>
              </w:rPr>
              <w:t>FNC: Finance</w:t>
            </w:r>
          </w:p>
        </w:tc>
      </w:tr>
      <w:tr w:rsidR="000209A5" w:rsidRPr="00FB00FC">
        <w:tc>
          <w:tcPr>
            <w:tcW w:w="2411" w:type="dxa"/>
          </w:tcPr>
          <w:p w:rsidR="000209A5" w:rsidRPr="00FB00FC" w:rsidRDefault="000209A5" w:rsidP="00FB00FC">
            <w:pPr>
              <w:tabs>
                <w:tab w:val="center" w:pos="4536"/>
                <w:tab w:val="right" w:pos="9072"/>
              </w:tabs>
              <w:rPr>
                <w:lang w:val="en-GB"/>
              </w:rPr>
            </w:pPr>
            <w:r w:rsidRPr="00FB00FC">
              <w:rPr>
                <w:sz w:val="22"/>
                <w:szCs w:val="22"/>
                <w:lang w:val="en-GB"/>
              </w:rPr>
              <w:t>LTH: Leather</w:t>
            </w:r>
          </w:p>
        </w:tc>
        <w:tc>
          <w:tcPr>
            <w:tcW w:w="2409" w:type="dxa"/>
          </w:tcPr>
          <w:p w:rsidR="000209A5" w:rsidRPr="00FB00FC" w:rsidRDefault="000209A5" w:rsidP="00FB00FC">
            <w:pPr>
              <w:tabs>
                <w:tab w:val="center" w:pos="4536"/>
                <w:tab w:val="right" w:pos="9072"/>
              </w:tabs>
              <w:ind w:left="-108" w:firstLine="108"/>
              <w:rPr>
                <w:lang w:val="en-GB"/>
              </w:rPr>
            </w:pPr>
            <w:r w:rsidRPr="00FB00FC">
              <w:rPr>
                <w:sz w:val="22"/>
                <w:szCs w:val="22"/>
                <w:lang w:val="en-GB"/>
              </w:rPr>
              <w:t>BMT: Basic metals</w:t>
            </w:r>
          </w:p>
        </w:tc>
        <w:tc>
          <w:tcPr>
            <w:tcW w:w="2410" w:type="dxa"/>
          </w:tcPr>
          <w:p w:rsidR="000209A5" w:rsidRPr="00FB00FC" w:rsidRDefault="000209A5" w:rsidP="00FB00FC">
            <w:pPr>
              <w:tabs>
                <w:tab w:val="center" w:pos="4536"/>
                <w:tab w:val="right" w:pos="9072"/>
              </w:tabs>
              <w:rPr>
                <w:lang w:val="en-GB"/>
              </w:rPr>
            </w:pPr>
            <w:r w:rsidRPr="00FB00FC">
              <w:rPr>
                <w:sz w:val="22"/>
                <w:szCs w:val="22"/>
                <w:lang w:val="en-GB"/>
              </w:rPr>
              <w:t>OTE: Other trnsprt eqp.</w:t>
            </w:r>
          </w:p>
        </w:tc>
        <w:tc>
          <w:tcPr>
            <w:tcW w:w="2410" w:type="dxa"/>
          </w:tcPr>
          <w:p w:rsidR="000209A5" w:rsidRPr="00FB00FC" w:rsidRDefault="000209A5" w:rsidP="00FB00FC">
            <w:pPr>
              <w:tabs>
                <w:tab w:val="center" w:pos="4536"/>
                <w:tab w:val="right" w:pos="9072"/>
              </w:tabs>
              <w:rPr>
                <w:lang w:val="en-GB"/>
              </w:rPr>
            </w:pPr>
            <w:r w:rsidRPr="00FB00FC">
              <w:rPr>
                <w:sz w:val="22"/>
                <w:szCs w:val="22"/>
                <w:lang w:val="en-GB"/>
              </w:rPr>
              <w:t>SRV: Other services</w:t>
            </w:r>
          </w:p>
        </w:tc>
      </w:tr>
      <w:tr w:rsidR="000209A5" w:rsidRPr="00FB00FC">
        <w:tc>
          <w:tcPr>
            <w:tcW w:w="2411" w:type="dxa"/>
          </w:tcPr>
          <w:p w:rsidR="000209A5" w:rsidRPr="00FB00FC" w:rsidRDefault="000209A5" w:rsidP="00FB00FC">
            <w:pPr>
              <w:tabs>
                <w:tab w:val="center" w:pos="4536"/>
                <w:tab w:val="right" w:pos="9072"/>
              </w:tabs>
              <w:rPr>
                <w:lang w:val="en-GB"/>
              </w:rPr>
            </w:pPr>
            <w:r w:rsidRPr="00FB00FC">
              <w:rPr>
                <w:sz w:val="22"/>
                <w:szCs w:val="22"/>
                <w:lang w:val="en-GB"/>
              </w:rPr>
              <w:t>WOD: Wood</w:t>
            </w:r>
          </w:p>
        </w:tc>
        <w:tc>
          <w:tcPr>
            <w:tcW w:w="2409" w:type="dxa"/>
          </w:tcPr>
          <w:p w:rsidR="000209A5" w:rsidRPr="00FB00FC" w:rsidRDefault="000209A5" w:rsidP="00FB00FC">
            <w:pPr>
              <w:tabs>
                <w:tab w:val="center" w:pos="4536"/>
                <w:tab w:val="right" w:pos="9072"/>
              </w:tabs>
              <w:rPr>
                <w:lang w:val="en-GB"/>
              </w:rPr>
            </w:pPr>
            <w:r w:rsidRPr="00FB00FC">
              <w:rPr>
                <w:sz w:val="22"/>
                <w:szCs w:val="22"/>
                <w:lang w:val="en-GB"/>
              </w:rPr>
              <w:t>MPR: Metal products</w:t>
            </w:r>
          </w:p>
        </w:tc>
        <w:tc>
          <w:tcPr>
            <w:tcW w:w="2410" w:type="dxa"/>
          </w:tcPr>
          <w:p w:rsidR="000209A5" w:rsidRPr="00FB00FC" w:rsidRDefault="000209A5" w:rsidP="00FB00FC">
            <w:pPr>
              <w:tabs>
                <w:tab w:val="center" w:pos="4536"/>
                <w:tab w:val="right" w:pos="9072"/>
              </w:tabs>
              <w:rPr>
                <w:lang w:val="en-GB"/>
              </w:rPr>
            </w:pPr>
            <w:r w:rsidRPr="00FB00FC">
              <w:rPr>
                <w:sz w:val="22"/>
                <w:szCs w:val="22"/>
                <w:lang w:val="en-GB"/>
              </w:rPr>
              <w:t>FRN: Furniture</w:t>
            </w:r>
          </w:p>
        </w:tc>
        <w:tc>
          <w:tcPr>
            <w:tcW w:w="2410" w:type="dxa"/>
          </w:tcPr>
          <w:p w:rsidR="000209A5" w:rsidRPr="00FB00FC" w:rsidRDefault="000209A5" w:rsidP="00FB00FC">
            <w:pPr>
              <w:tabs>
                <w:tab w:val="center" w:pos="4536"/>
                <w:tab w:val="right" w:pos="9072"/>
              </w:tabs>
              <w:rPr>
                <w:lang w:val="en-GB"/>
              </w:rPr>
            </w:pPr>
          </w:p>
        </w:tc>
      </w:tr>
    </w:tbl>
    <w:p w:rsidR="000209A5" w:rsidRDefault="000209A5" w:rsidP="00FB00FC">
      <w:pPr>
        <w:spacing w:line="360" w:lineRule="auto"/>
        <w:rPr>
          <w:lang w:val="en-US"/>
        </w:rPr>
      </w:pPr>
    </w:p>
    <w:p w:rsidR="000209A5" w:rsidRDefault="000209A5" w:rsidP="00FB00FC">
      <w:pPr>
        <w:spacing w:line="360" w:lineRule="auto"/>
        <w:rPr>
          <w:lang w:val="en-US"/>
        </w:rPr>
      </w:pPr>
    </w:p>
    <w:p w:rsidR="000209A5" w:rsidRPr="003C5A84" w:rsidRDefault="000209A5" w:rsidP="00FB00FC">
      <w:pPr>
        <w:spacing w:line="360" w:lineRule="auto"/>
        <w:rPr>
          <w:lang w:val="en-US"/>
        </w:rPr>
      </w:pPr>
      <w:r>
        <w:rPr>
          <w:lang w:val="en-US"/>
        </w:rPr>
        <w:t xml:space="preserve">5. </w:t>
      </w:r>
      <w:r w:rsidRPr="003C5A84">
        <w:rPr>
          <w:lang w:val="en-US"/>
        </w:rPr>
        <w:t>FINDINGS</w:t>
      </w:r>
    </w:p>
    <w:p w:rsidR="000209A5" w:rsidRPr="003F573D" w:rsidRDefault="000209A5" w:rsidP="00FB00FC">
      <w:pPr>
        <w:spacing w:line="360" w:lineRule="auto"/>
        <w:jc w:val="both"/>
        <w:rPr>
          <w:color w:val="FF0000"/>
          <w:lang w:val="en-GB"/>
        </w:rPr>
      </w:pPr>
      <w:r>
        <w:rPr>
          <w:lang w:val="en-GB"/>
        </w:rPr>
        <w:t xml:space="preserve">One unit (one billion TL in 2002 prices) change in final demand of CON would </w:t>
      </w:r>
      <w:r w:rsidRPr="003F573D">
        <w:rPr>
          <w:lang w:val="en-GB"/>
        </w:rPr>
        <w:t>induce</w:t>
      </w:r>
      <w:r w:rsidRPr="003F573D">
        <w:rPr>
          <w:color w:val="FF0000"/>
          <w:lang w:val="en-GB"/>
        </w:rPr>
        <w:t xml:space="preserve"> </w:t>
      </w:r>
      <w:r>
        <w:rPr>
          <w:lang w:val="en-GB"/>
        </w:rPr>
        <w:t>almost 48000 jobs</w:t>
      </w:r>
      <w:r w:rsidRPr="00061BAA">
        <w:rPr>
          <w:lang w:val="en-GB"/>
        </w:rPr>
        <w:t xml:space="preserve"> </w:t>
      </w:r>
      <w:r>
        <w:rPr>
          <w:lang w:val="en-GB"/>
        </w:rPr>
        <w:t>in the whole economy. More than 60% of the jobs created thus are in CON itself. Among other sectors influenced by this change are Trade (TRD) (11.1%), Non-metals (NMT) (4.9%), Metal products (MPR) (4.5%), Agriculture (AGR) (2.9%) and Transport services (TRN) (2.3%). As shown in Figure 4, some service sectors (TRD and TRN) and sectors related to metals and non-metals (NMT, MPR, MNG and BMT) are the leading ones. AGR, having the highest employment share in the Turkish economy is also among them. W</w:t>
      </w:r>
      <w:r w:rsidRPr="0067416A">
        <w:rPr>
          <w:lang w:val="en-GB"/>
        </w:rPr>
        <w:t>ith less than 2% shares each</w:t>
      </w:r>
      <w:r>
        <w:rPr>
          <w:lang w:val="en-GB"/>
        </w:rPr>
        <w:t>,</w:t>
      </w:r>
      <w:r w:rsidRPr="0067416A">
        <w:rPr>
          <w:lang w:val="en-GB"/>
        </w:rPr>
        <w:t xml:space="preserve"> </w:t>
      </w:r>
      <w:r>
        <w:rPr>
          <w:lang w:val="en-GB"/>
        </w:rPr>
        <w:t>Mining (MNG), Basic metals (BMT), Wood products (WOD), Financial institutions (FNC), Rubber &amp; plastics (R+P), Electrical machinery (EMC), Machinery (MCH), Electricity, gas and water (EGW) and Chemicals (CHM) sectors should also be mentioned</w:t>
      </w:r>
      <w:r>
        <w:rPr>
          <w:color w:val="FF0000"/>
          <w:lang w:val="en-GB"/>
        </w:rPr>
        <w:t>.</w:t>
      </w:r>
    </w:p>
    <w:p w:rsidR="000209A5" w:rsidRDefault="000209A5" w:rsidP="00FB00FC">
      <w:pPr>
        <w:pBdr>
          <w:top w:val="single" w:sz="4" w:space="1" w:color="auto"/>
          <w:left w:val="single" w:sz="4" w:space="4" w:color="auto"/>
          <w:bottom w:val="single" w:sz="4" w:space="1" w:color="auto"/>
          <w:right w:val="single" w:sz="4" w:space="4" w:color="auto"/>
        </w:pBdr>
        <w:spacing w:line="360" w:lineRule="auto"/>
        <w:rPr>
          <w:lang w:val="en-GB"/>
        </w:rPr>
      </w:pPr>
      <w:r>
        <w:rPr>
          <w:lang w:val="en-GB"/>
        </w:rPr>
        <w:t>Figure 4</w:t>
      </w:r>
    </w:p>
    <w:p w:rsidR="000209A5" w:rsidRDefault="000209A5" w:rsidP="00FB00FC">
      <w:pPr>
        <w:spacing w:line="360" w:lineRule="auto"/>
        <w:rPr>
          <w:lang w:val="en-GB"/>
        </w:rPr>
      </w:pPr>
    </w:p>
    <w:p w:rsidR="000209A5" w:rsidRDefault="000209A5" w:rsidP="00061BAA">
      <w:pPr>
        <w:spacing w:line="360" w:lineRule="auto"/>
        <w:ind w:firstLine="708"/>
        <w:jc w:val="both"/>
        <w:rPr>
          <w:lang w:val="en-GB"/>
        </w:rPr>
      </w:pPr>
      <w:r>
        <w:rPr>
          <w:lang w:val="en-GB"/>
        </w:rPr>
        <w:t xml:space="preserve">The Structural Path Analysis (SPA) captures almost 90% of induced employment, in paths starting from CON and ending at 15 different sectors of the economy. The shares of </w:t>
      </w:r>
      <w:r>
        <w:rPr>
          <w:lang w:val="en-GB"/>
        </w:rPr>
        <w:lastRenderedPageBreak/>
        <w:t xml:space="preserve">individual sectors in the whole economy display quite a similar pattern as in Figure 4, with miniscule changes in percentage values (see Figure 5). Perhaps the only exception worth mentioning </w:t>
      </w:r>
      <w:r w:rsidRPr="00A05A87">
        <w:rPr>
          <w:lang w:val="en-GB"/>
        </w:rPr>
        <w:t>is</w:t>
      </w:r>
      <w:r>
        <w:rPr>
          <w:lang w:val="en-GB"/>
        </w:rPr>
        <w:t xml:space="preserve"> Agriculture which </w:t>
      </w:r>
      <w:r w:rsidRPr="00A05A87">
        <w:rPr>
          <w:lang w:val="en-GB"/>
        </w:rPr>
        <w:t>moved down a few ranks</w:t>
      </w:r>
      <w:r>
        <w:rPr>
          <w:lang w:val="en-GB"/>
        </w:rPr>
        <w:t>. All findings are presented in Table 1</w:t>
      </w:r>
      <w:r w:rsidRPr="000D1ED9">
        <w:rPr>
          <w:lang w:val="en-GB"/>
        </w:rPr>
        <w:t xml:space="preserve"> </w:t>
      </w:r>
      <w:r>
        <w:rPr>
          <w:lang w:val="en-GB"/>
        </w:rPr>
        <w:t>and summarized in Figure 6.</w:t>
      </w:r>
    </w:p>
    <w:p w:rsidR="000209A5" w:rsidRDefault="000209A5" w:rsidP="00FB00FC">
      <w:pPr>
        <w:spacing w:line="360" w:lineRule="auto"/>
        <w:rPr>
          <w:lang w:val="en-GB"/>
        </w:rPr>
      </w:pPr>
    </w:p>
    <w:p w:rsidR="00A82722" w:rsidRDefault="00A82722" w:rsidP="00A82722">
      <w:pPr>
        <w:pBdr>
          <w:top w:val="single" w:sz="4" w:space="1" w:color="auto"/>
          <w:left w:val="single" w:sz="4" w:space="4" w:color="auto"/>
          <w:bottom w:val="single" w:sz="4" w:space="1" w:color="auto"/>
          <w:right w:val="single" w:sz="4" w:space="4" w:color="auto"/>
        </w:pBdr>
        <w:spacing w:line="360" w:lineRule="auto"/>
        <w:rPr>
          <w:lang w:val="en-GB"/>
        </w:rPr>
      </w:pPr>
      <w:r>
        <w:rPr>
          <w:lang w:val="en-GB"/>
        </w:rPr>
        <w:t>Figure 5</w:t>
      </w:r>
      <w:r w:rsidRPr="00A82722">
        <w:rPr>
          <w:lang w:val="en-GB"/>
        </w:rPr>
        <w:t xml:space="preserve"> </w:t>
      </w:r>
    </w:p>
    <w:p w:rsidR="00A82722" w:rsidRDefault="00A82722" w:rsidP="00A82722">
      <w:pPr>
        <w:pBdr>
          <w:top w:val="single" w:sz="4" w:space="1" w:color="auto"/>
          <w:left w:val="single" w:sz="4" w:space="4" w:color="auto"/>
          <w:bottom w:val="single" w:sz="4" w:space="1" w:color="auto"/>
          <w:right w:val="single" w:sz="4" w:space="4" w:color="auto"/>
        </w:pBdr>
        <w:spacing w:line="360" w:lineRule="auto"/>
        <w:rPr>
          <w:lang w:val="en-GB"/>
        </w:rPr>
      </w:pPr>
      <w:r>
        <w:rPr>
          <w:lang w:val="en-GB"/>
        </w:rPr>
        <w:t>Table 1</w:t>
      </w:r>
      <w:r w:rsidRPr="00A82722">
        <w:rPr>
          <w:lang w:val="en-GB"/>
        </w:rPr>
        <w:t xml:space="preserve"> </w:t>
      </w:r>
    </w:p>
    <w:p w:rsidR="00A82722" w:rsidRDefault="00A82722" w:rsidP="00A82722">
      <w:pPr>
        <w:pBdr>
          <w:top w:val="single" w:sz="4" w:space="1" w:color="auto"/>
          <w:left w:val="single" w:sz="4" w:space="4" w:color="auto"/>
          <w:bottom w:val="single" w:sz="4" w:space="1" w:color="auto"/>
          <w:right w:val="single" w:sz="4" w:space="4" w:color="auto"/>
        </w:pBdr>
        <w:spacing w:line="360" w:lineRule="auto"/>
        <w:rPr>
          <w:lang w:val="en-GB"/>
        </w:rPr>
      </w:pPr>
      <w:r>
        <w:rPr>
          <w:lang w:val="en-GB"/>
        </w:rPr>
        <w:t>Figure 6</w:t>
      </w:r>
    </w:p>
    <w:p w:rsidR="000209A5" w:rsidRDefault="000209A5" w:rsidP="00FB00FC">
      <w:pPr>
        <w:spacing w:line="360" w:lineRule="auto"/>
        <w:jc w:val="both"/>
        <w:rPr>
          <w:lang w:val="en-GB"/>
        </w:rPr>
      </w:pPr>
    </w:p>
    <w:p w:rsidR="000209A5" w:rsidRDefault="000209A5" w:rsidP="00A741C1">
      <w:pPr>
        <w:spacing w:line="360" w:lineRule="auto"/>
        <w:ind w:firstLine="708"/>
        <w:jc w:val="both"/>
        <w:rPr>
          <w:lang w:val="en-GB"/>
        </w:rPr>
      </w:pPr>
      <w:r>
        <w:rPr>
          <w:lang w:val="en-GB"/>
        </w:rPr>
        <w:t xml:space="preserve">As can be seen in Table 1, the paths </w:t>
      </w:r>
      <w:r w:rsidRPr="00A05A87">
        <w:rPr>
          <w:lang w:val="en-GB"/>
        </w:rPr>
        <w:t>unravelled</w:t>
      </w:r>
      <w:r>
        <w:rPr>
          <w:lang w:val="en-GB"/>
        </w:rPr>
        <w:t xml:space="preserve"> by SPA analysis are of </w:t>
      </w:r>
      <w:r w:rsidRPr="00A05A87">
        <w:rPr>
          <w:lang w:val="en-GB"/>
        </w:rPr>
        <w:t>four different types</w:t>
      </w:r>
      <w:r>
        <w:rPr>
          <w:lang w:val="en-GB"/>
        </w:rPr>
        <w:t xml:space="preserve">. The first type consists of nine simple paths each of which starts from CON and ends in another sector without </w:t>
      </w:r>
      <w:r w:rsidRPr="00711911">
        <w:rPr>
          <w:lang w:val="en-GB"/>
        </w:rPr>
        <w:t>interacting with any other sector</w:t>
      </w:r>
      <w:r>
        <w:rPr>
          <w:lang w:val="en-GB"/>
        </w:rPr>
        <w:t xml:space="preserve">. The </w:t>
      </w:r>
      <w:r w:rsidRPr="004E2FCD">
        <w:rPr>
          <w:lang w:val="en-GB"/>
        </w:rPr>
        <w:t>second type</w:t>
      </w:r>
      <w:r>
        <w:rPr>
          <w:lang w:val="en-GB"/>
        </w:rPr>
        <w:t xml:space="preserve"> consists of four paths.  They have a junction right at the beginning point at CON with two routes to the destination sector, one going there directly and another </w:t>
      </w:r>
      <w:r w:rsidRPr="004E2FCD">
        <w:rPr>
          <w:lang w:val="en-GB"/>
        </w:rPr>
        <w:t>via</w:t>
      </w:r>
      <w:r w:rsidRPr="00711911">
        <w:rPr>
          <w:color w:val="FF0000"/>
          <w:lang w:val="en-GB"/>
        </w:rPr>
        <w:t xml:space="preserve"> </w:t>
      </w:r>
      <w:r>
        <w:rPr>
          <w:lang w:val="en-GB"/>
        </w:rPr>
        <w:t xml:space="preserve">a third sector. </w:t>
      </w:r>
      <w:r w:rsidRPr="004E2FCD">
        <w:rPr>
          <w:lang w:val="en-GB"/>
        </w:rPr>
        <w:t>T</w:t>
      </w:r>
      <w:r>
        <w:rPr>
          <w:lang w:val="en-GB"/>
        </w:rPr>
        <w:t>he t</w:t>
      </w:r>
      <w:r w:rsidRPr="004E2FCD">
        <w:rPr>
          <w:lang w:val="en-GB"/>
        </w:rPr>
        <w:t>h</w:t>
      </w:r>
      <w:r>
        <w:rPr>
          <w:lang w:val="en-GB"/>
        </w:rPr>
        <w:t xml:space="preserve">ird type is similar to the second type with the only difference that it has three routes instead of two. Again one route is direct and each of the others </w:t>
      </w:r>
      <w:r w:rsidRPr="004E2FCD">
        <w:rPr>
          <w:lang w:val="en-GB"/>
        </w:rPr>
        <w:t>via</w:t>
      </w:r>
      <w:r>
        <w:rPr>
          <w:lang w:val="en-GB"/>
        </w:rPr>
        <w:t xml:space="preserve"> one different sector. The last type is the most complex one. It contains nine alternative routes to reach the destination sector. One goes there directly and eight others via a sector.</w:t>
      </w:r>
    </w:p>
    <w:p w:rsidR="000209A5" w:rsidRDefault="000209A5" w:rsidP="00A741C1">
      <w:pPr>
        <w:spacing w:line="360" w:lineRule="auto"/>
        <w:ind w:firstLine="708"/>
        <w:jc w:val="both"/>
        <w:rPr>
          <w:lang w:val="en-GB"/>
        </w:rPr>
      </w:pPr>
      <w:r>
        <w:rPr>
          <w:lang w:val="en-GB"/>
        </w:rPr>
        <w:t xml:space="preserve">In each type some paths have circular routes between two adjacent tiers, beginning and ending at the same sector, and thus </w:t>
      </w:r>
      <w:r w:rsidRPr="00711911">
        <w:rPr>
          <w:lang w:val="en-GB"/>
        </w:rPr>
        <w:t>creating a multiplier</w:t>
      </w:r>
      <w:r>
        <w:rPr>
          <w:lang w:val="en-GB"/>
        </w:rPr>
        <w:t xml:space="preserve"> effect. The paths in Table 1 that have multiplier values greater than one are such paths. For these paths direct and total influences are not equal; total is greater than direct influence by an amount equal to the influence created through the multiplier of the circular route.</w:t>
      </w:r>
    </w:p>
    <w:p w:rsidR="000209A5" w:rsidRDefault="000209A5" w:rsidP="00A741C1">
      <w:pPr>
        <w:spacing w:line="360" w:lineRule="auto"/>
        <w:ind w:firstLine="708"/>
        <w:jc w:val="both"/>
        <w:rPr>
          <w:lang w:val="en-GB"/>
        </w:rPr>
      </w:pPr>
      <w:r>
        <w:rPr>
          <w:lang w:val="en-GB"/>
        </w:rPr>
        <w:t xml:space="preserve">The first path in Table 1 is associated entirely with CON. This path indicates that a unit change in final demand of CON captures almost 63% of induced employment in the whole economy and 98.2% of it is direct and 1.6% of it is through the multiplier of 1.017, thereby </w:t>
      </w:r>
      <w:r w:rsidRPr="004A6C1F">
        <w:rPr>
          <w:lang w:val="en-GB"/>
        </w:rPr>
        <w:t>in total</w:t>
      </w:r>
      <w:r>
        <w:rPr>
          <w:lang w:val="en-GB"/>
        </w:rPr>
        <w:t xml:space="preserve"> capturing the 99.8% of overall employment influence created on CON itself. This implies that quite a large part of job creation power of CON operates in the sector itself without </w:t>
      </w:r>
      <w:r w:rsidRPr="004E2FCD">
        <w:rPr>
          <w:lang w:val="en-GB"/>
        </w:rPr>
        <w:t>any</w:t>
      </w:r>
      <w:r w:rsidRPr="003F573D">
        <w:rPr>
          <w:color w:val="FF0000"/>
          <w:lang w:val="en-GB"/>
        </w:rPr>
        <w:t xml:space="preserve"> </w:t>
      </w:r>
      <w:r w:rsidRPr="004E2FCD">
        <w:rPr>
          <w:lang w:val="en-GB"/>
        </w:rPr>
        <w:t>significant</w:t>
      </w:r>
      <w:r>
        <w:rPr>
          <w:color w:val="FF0000"/>
          <w:lang w:val="en-GB"/>
        </w:rPr>
        <w:t xml:space="preserve"> </w:t>
      </w:r>
      <w:r>
        <w:rPr>
          <w:lang w:val="en-GB"/>
        </w:rPr>
        <w:t xml:space="preserve">diffusion effects on this path. All the other 14 paths account for about 37% of the employment induced by a change in the final demand of CON sector. </w:t>
      </w:r>
    </w:p>
    <w:p w:rsidR="000209A5" w:rsidRDefault="000209A5" w:rsidP="00A741C1">
      <w:pPr>
        <w:spacing w:line="360" w:lineRule="auto"/>
        <w:ind w:firstLine="708"/>
        <w:jc w:val="both"/>
        <w:rPr>
          <w:lang w:val="en-GB"/>
        </w:rPr>
      </w:pPr>
      <w:r>
        <w:rPr>
          <w:lang w:val="en-GB"/>
        </w:rPr>
        <w:t xml:space="preserve">The other simple paths, from 2 to 9 in Table 1, end up at destination sectors NMT, MPR, WOD, EMC, R+P, MCH, CHM and EGW. Their direct influences, multiplier (i.e. total – direct) influences and uncaptured (i.e. overall – total) parts of overall influences are shown in Figure 6. </w:t>
      </w:r>
    </w:p>
    <w:p w:rsidR="000209A5" w:rsidRDefault="000209A5" w:rsidP="00A741C1">
      <w:pPr>
        <w:spacing w:line="360" w:lineRule="auto"/>
        <w:ind w:firstLine="708"/>
        <w:jc w:val="both"/>
        <w:rPr>
          <w:lang w:val="en-GB"/>
        </w:rPr>
      </w:pPr>
      <w:r>
        <w:rPr>
          <w:lang w:val="en-GB"/>
        </w:rPr>
        <w:lastRenderedPageBreak/>
        <w:t>The CON → NMT (no.2) path captures 92.3% (80.0% direct) of influence created in NMT sector. It accounts for 4.5% of overall influence on the economy. The CON → MPR (no.3) path is similar with high percentage figures for captured (91.4%) and direct (87.2%) influences and share in the overall influence on the whole economy (4.1%). These two destination sectors (NMT and MPR) are on the routes of the second type CON → BMT</w:t>
      </w:r>
      <w:r w:rsidRPr="00B44565">
        <w:rPr>
          <w:lang w:val="en-GB"/>
        </w:rPr>
        <w:t xml:space="preserve"> </w:t>
      </w:r>
      <w:r>
        <w:rPr>
          <w:lang w:val="en-GB"/>
        </w:rPr>
        <w:t xml:space="preserve">(no. 10) and CON → MNG (no. 11) as well. It is interesting to note the close connections between the sectors related to metals and non-metal minerals. The mining activities </w:t>
      </w:r>
      <w:r w:rsidRPr="00554B24">
        <w:rPr>
          <w:lang w:val="en-GB"/>
        </w:rPr>
        <w:t>are involved</w:t>
      </w:r>
      <w:r>
        <w:rPr>
          <w:lang w:val="en-GB"/>
        </w:rPr>
        <w:t xml:space="preserve"> in the same web of relations. These four paths altogether capture 11.4% of overall employment induced by a change in the final demand of CON on the Turkish economy.</w:t>
      </w:r>
    </w:p>
    <w:p w:rsidR="000209A5" w:rsidRDefault="000209A5" w:rsidP="002D7396">
      <w:pPr>
        <w:spacing w:line="360" w:lineRule="auto"/>
        <w:ind w:firstLine="708"/>
        <w:jc w:val="both"/>
        <w:rPr>
          <w:lang w:val="en-GB"/>
        </w:rPr>
      </w:pPr>
      <w:r>
        <w:rPr>
          <w:lang w:val="en-GB"/>
        </w:rPr>
        <w:t>The CON → WOD (no. 4) path captures more than 90.0% of influence in WOD (78.0% direct) and 1.4% of influence on the economy. Next are the CON → R+P (no. 6) and CON → CHM (no. 8) paths with a combined 1% and CON → EMC (no. 5) and</w:t>
      </w:r>
      <w:r w:rsidRPr="00707CC2">
        <w:rPr>
          <w:lang w:val="en-GB"/>
        </w:rPr>
        <w:t xml:space="preserve"> </w:t>
      </w:r>
      <w:r>
        <w:rPr>
          <w:lang w:val="en-GB"/>
        </w:rPr>
        <w:t xml:space="preserve">CON → MCH (no. 7) paths with a combined 0.6% of influence on the economy. The last of simple paths is CON → EGW (no. 9) with a very small, 0.1%, share in the overall influence on the Turkish economy. </w:t>
      </w:r>
    </w:p>
    <w:p w:rsidR="000209A5" w:rsidRDefault="000209A5" w:rsidP="002D7396">
      <w:pPr>
        <w:spacing w:line="360" w:lineRule="auto"/>
        <w:ind w:firstLine="708"/>
        <w:jc w:val="both"/>
        <w:rPr>
          <w:lang w:val="en-GB"/>
        </w:rPr>
      </w:pPr>
      <w:r>
        <w:rPr>
          <w:lang w:val="en-GB"/>
        </w:rPr>
        <w:t xml:space="preserve">The second types of paths are no. 10-13. The CON → BMT (no. 10) path has two routes. The CON → BMT route captures 51.1% and 66.6% of direct and total influences, respectively. The CON → MPR → BMT route influence values are 14.3% and 15.0%, respectively. The total captured share of the two routes in the overall influence on the whole economy is 1.4%. </w:t>
      </w:r>
    </w:p>
    <w:p w:rsidR="000209A5" w:rsidRDefault="000209A5" w:rsidP="002D7396">
      <w:pPr>
        <w:spacing w:line="360" w:lineRule="auto"/>
        <w:ind w:firstLine="708"/>
        <w:jc w:val="both"/>
        <w:rPr>
          <w:lang w:val="en-GB"/>
        </w:rPr>
      </w:pPr>
      <w:r>
        <w:rPr>
          <w:lang w:val="en-GB"/>
        </w:rPr>
        <w:t xml:space="preserve">The CON → MNG (no. 11) path also has two routes.  They are CON → MNG and CON → NMT→ MNG. Total influences on MNG sector of these routes are 43.3% and 31.0%, respectively, and their combined total effect on the economy is 1.4%. </w:t>
      </w:r>
    </w:p>
    <w:p w:rsidR="000209A5" w:rsidRDefault="000209A5" w:rsidP="002D7396">
      <w:pPr>
        <w:spacing w:line="360" w:lineRule="auto"/>
        <w:ind w:firstLine="708"/>
        <w:jc w:val="both"/>
        <w:rPr>
          <w:lang w:val="en-GB"/>
        </w:rPr>
      </w:pPr>
      <w:r>
        <w:rPr>
          <w:lang w:val="en-GB"/>
        </w:rPr>
        <w:t>The two routes of the 12</w:t>
      </w:r>
      <w:r w:rsidRPr="005C319D">
        <w:rPr>
          <w:vertAlign w:val="superscript"/>
          <w:lang w:val="en-GB"/>
        </w:rPr>
        <w:t>th</w:t>
      </w:r>
      <w:r>
        <w:rPr>
          <w:lang w:val="en-GB"/>
        </w:rPr>
        <w:t xml:space="preserve"> (CON → AGR) path are CON → WOD → AGR and</w:t>
      </w:r>
      <w:r w:rsidRPr="005C319D">
        <w:rPr>
          <w:lang w:val="en-GB"/>
        </w:rPr>
        <w:t xml:space="preserve"> </w:t>
      </w:r>
      <w:r>
        <w:rPr>
          <w:lang w:val="en-GB"/>
        </w:rPr>
        <w:t>CON → TRD → AGR. They capture</w:t>
      </w:r>
      <w:r w:rsidRPr="00D60DAD">
        <w:rPr>
          <w:lang w:val="en-GB"/>
        </w:rPr>
        <w:t xml:space="preserve"> </w:t>
      </w:r>
      <w:r>
        <w:rPr>
          <w:lang w:val="en-GB"/>
        </w:rPr>
        <w:t>only 1.0% of overall influence on the economy but almost one third of overall influence on AGR.</w:t>
      </w:r>
    </w:p>
    <w:p w:rsidR="000209A5" w:rsidRDefault="000209A5" w:rsidP="002D7396">
      <w:pPr>
        <w:spacing w:line="360" w:lineRule="auto"/>
        <w:ind w:firstLine="708"/>
        <w:jc w:val="both"/>
        <w:rPr>
          <w:lang w:val="en-GB"/>
        </w:rPr>
      </w:pPr>
      <w:r>
        <w:rPr>
          <w:lang w:val="en-GB"/>
        </w:rPr>
        <w:t>The last path of the second type is CON → FNC (no. 13) with the routes of CON → FNC and CON → TRD</w:t>
      </w:r>
      <w:r w:rsidRPr="00D60DAD">
        <w:rPr>
          <w:lang w:val="en-GB"/>
        </w:rPr>
        <w:t xml:space="preserve"> </w:t>
      </w:r>
      <w:r>
        <w:rPr>
          <w:lang w:val="en-GB"/>
        </w:rPr>
        <w:t>→ FNC. Its total influence captured is 0.8% of the overall influence on the Turkish economy and 52.3% of that on FNC. Note that this path is linked with another service sector, namely TRD.</w:t>
      </w:r>
    </w:p>
    <w:p w:rsidR="000209A5" w:rsidRDefault="000209A5" w:rsidP="002D7396">
      <w:pPr>
        <w:spacing w:line="360" w:lineRule="auto"/>
        <w:ind w:firstLine="708"/>
        <w:jc w:val="both"/>
        <w:rPr>
          <w:lang w:val="en-GB"/>
        </w:rPr>
      </w:pPr>
      <w:r>
        <w:rPr>
          <w:lang w:val="en-GB"/>
        </w:rPr>
        <w:t>The only case of the third type of paths is CON → TRN (no. 14). Its three routes are CON → TRN, CON →</w:t>
      </w:r>
      <w:r w:rsidRPr="00F32C84">
        <w:rPr>
          <w:lang w:val="en-GB"/>
        </w:rPr>
        <w:t xml:space="preserve"> </w:t>
      </w:r>
      <w:r>
        <w:rPr>
          <w:lang w:val="en-GB"/>
        </w:rPr>
        <w:t>NMT → TRN and CON →</w:t>
      </w:r>
      <w:r w:rsidRPr="00F32C84">
        <w:rPr>
          <w:lang w:val="en-GB"/>
        </w:rPr>
        <w:t xml:space="preserve"> </w:t>
      </w:r>
      <w:r>
        <w:rPr>
          <w:lang w:val="en-GB"/>
        </w:rPr>
        <w:t>TRD → TRN. It captures in total 1.5% of the overall influence on the whole economy and 63.7% of that on TRN sector itself. This path goes through a manufacturing sector and a services sector on its two routes.</w:t>
      </w:r>
    </w:p>
    <w:p w:rsidR="000209A5" w:rsidRDefault="000209A5" w:rsidP="002D7396">
      <w:pPr>
        <w:spacing w:line="360" w:lineRule="auto"/>
        <w:ind w:firstLine="708"/>
        <w:jc w:val="both"/>
        <w:rPr>
          <w:lang w:val="en-GB"/>
        </w:rPr>
      </w:pPr>
      <w:r>
        <w:rPr>
          <w:lang w:val="en-GB"/>
        </w:rPr>
        <w:lastRenderedPageBreak/>
        <w:t>The last path, CON → TRD, is the most complex of all. It captures 8.9% of overall influence on the economy. One of its nine different routes is direct and constitutes a huge part of the above figure (6.3%). The combined part of the other eight routes is 2.6%. The total influence captured by this path is 80.4% of overall influences on TRD (73.5% direct and 6.9% through several multipliers). Intermediate sectors on the four routes are related to metals, non-metals and their mining and processing activities (NMT, BMT, MPR and MNG), one route passes through a service sector (TRN) and the intermediate sectors of the remaining three routes are all manufacturing sectors (WOD, EMC and R+P).</w:t>
      </w:r>
    </w:p>
    <w:p w:rsidR="000209A5" w:rsidRDefault="000209A5" w:rsidP="00F2010C">
      <w:pPr>
        <w:spacing w:line="360" w:lineRule="auto"/>
        <w:rPr>
          <w:lang w:val="en-US"/>
        </w:rPr>
      </w:pPr>
    </w:p>
    <w:p w:rsidR="000209A5" w:rsidRDefault="000209A5" w:rsidP="00FB00FC">
      <w:pPr>
        <w:spacing w:line="360" w:lineRule="auto"/>
        <w:rPr>
          <w:lang w:val="en-US"/>
        </w:rPr>
      </w:pPr>
      <w:r>
        <w:rPr>
          <w:lang w:val="en-US"/>
        </w:rPr>
        <w:t>6. CONCLUSIONS</w:t>
      </w:r>
    </w:p>
    <w:p w:rsidR="000209A5" w:rsidRDefault="000209A5" w:rsidP="00E55CFA">
      <w:pPr>
        <w:spacing w:line="360" w:lineRule="auto"/>
        <w:jc w:val="both"/>
        <w:rPr>
          <w:lang w:val="en-GB"/>
        </w:rPr>
      </w:pPr>
      <w:r>
        <w:rPr>
          <w:lang w:val="en-GB"/>
        </w:rPr>
        <w:t>The expansion of the construction sector in the 2000s in Turkey and the accompanying rise in employment prompted a further analysis of the influences of this injection, mainly by the public authorities, within the production system.  We focused on unravelling the channels, more specifically paths of employment generation of the construction sector.  We had to assume the production structure of 2002 prevails in the medium term, since the most recent input-output data available is for 2002.</w:t>
      </w:r>
    </w:p>
    <w:p w:rsidR="000209A5" w:rsidRPr="009F42E3" w:rsidRDefault="000209A5" w:rsidP="00E55CFA">
      <w:pPr>
        <w:spacing w:line="360" w:lineRule="auto"/>
        <w:jc w:val="both"/>
        <w:rPr>
          <w:lang w:val="en-GB"/>
        </w:rPr>
      </w:pPr>
      <w:r>
        <w:rPr>
          <w:lang w:val="en-GB"/>
        </w:rPr>
        <w:tab/>
      </w:r>
      <w:r w:rsidRPr="009F42E3">
        <w:rPr>
          <w:lang w:val="en-GB"/>
        </w:rPr>
        <w:t>The favourable recent macro trends notwithstanding, construction does not stand out with its backward employment linkage which ranks 10</w:t>
      </w:r>
      <w:r w:rsidRPr="009F42E3">
        <w:rPr>
          <w:vertAlign w:val="superscript"/>
          <w:lang w:val="en-GB"/>
        </w:rPr>
        <w:t>th</w:t>
      </w:r>
      <w:r w:rsidRPr="009F42E3">
        <w:rPr>
          <w:lang w:val="en-GB"/>
        </w:rPr>
        <w:t xml:space="preserve"> among 31 sectors. The backward employment linkage is almost equal to the mean. This mediocre position is partly due to its direct labour coefficient which ranks 8</w:t>
      </w:r>
      <w:r w:rsidRPr="009F42E3">
        <w:rPr>
          <w:vertAlign w:val="superscript"/>
          <w:lang w:val="en-GB"/>
        </w:rPr>
        <w:t>th</w:t>
      </w:r>
      <w:r w:rsidRPr="009F42E3">
        <w:rPr>
          <w:lang w:val="en-GB"/>
        </w:rPr>
        <w:t>. The direct labour coefficient is almost equal to the mean of sector linkages and 0.22 standard deviations above the mean. In other words it has about the same value as the upper quartile of the labour coefficients of 31 sectors.  Hence, construction</w:t>
      </w:r>
      <w:r>
        <w:rPr>
          <w:lang w:val="en-GB"/>
        </w:rPr>
        <w:t xml:space="preserve"> activities would not be anticipated to be a policy target for a quick relief of the unemployment pressure.  The underlying process is revealed by the structure of production.</w:t>
      </w:r>
    </w:p>
    <w:p w:rsidR="000209A5" w:rsidRPr="0001766E" w:rsidRDefault="000209A5" w:rsidP="0001766E">
      <w:pPr>
        <w:spacing w:line="360" w:lineRule="auto"/>
        <w:ind w:firstLine="708"/>
        <w:jc w:val="both"/>
        <w:rPr>
          <w:lang w:val="en-GB"/>
        </w:rPr>
      </w:pPr>
      <w:r w:rsidRPr="0001766E">
        <w:rPr>
          <w:lang w:val="en-GB"/>
        </w:rPr>
        <w:t>According to the findings with SPA, employment induced by CON is restricted to itself.  The path starting and ending with CON, neither goes through any other sector nor CON is encountered as an intermediate sector on any one of the other 14 paths. The change in final demand of CON creates 62.8% of induced employment in Turkish economy on CON → CON path only and 99.8% of it captured by our SPA.</w:t>
      </w:r>
      <w:r>
        <w:rPr>
          <w:lang w:val="en-GB"/>
        </w:rPr>
        <w:t xml:space="preserve"> </w:t>
      </w:r>
      <w:r w:rsidRPr="0001766E">
        <w:rPr>
          <w:lang w:val="en-GB"/>
        </w:rPr>
        <w:t xml:space="preserve">The remaining 37.2% of induced employment is due to the other 14 paths. </w:t>
      </w:r>
    </w:p>
    <w:p w:rsidR="000209A5" w:rsidRPr="0001766E" w:rsidRDefault="000209A5" w:rsidP="0001766E">
      <w:pPr>
        <w:spacing w:line="360" w:lineRule="auto"/>
        <w:ind w:firstLine="708"/>
        <w:jc w:val="both"/>
        <w:rPr>
          <w:lang w:val="en-GB"/>
        </w:rPr>
      </w:pPr>
      <w:r w:rsidRPr="0001766E">
        <w:rPr>
          <w:lang w:val="en-GB"/>
        </w:rPr>
        <w:t>The rather weak driver role of the Construction sector in generating employment in the rest of the economy might be attributed to significant penetration of intermediate imports. The next stage of this paper will be an attempt to unravel this aspect with SPA.</w:t>
      </w:r>
    </w:p>
    <w:p w:rsidR="000209A5" w:rsidRDefault="000209A5" w:rsidP="00F2010C">
      <w:pPr>
        <w:spacing w:line="360" w:lineRule="auto"/>
        <w:rPr>
          <w:lang w:val="en-US"/>
        </w:rPr>
      </w:pPr>
    </w:p>
    <w:p w:rsidR="000209A5" w:rsidRPr="003C5A84" w:rsidRDefault="000209A5" w:rsidP="00F2010C">
      <w:pPr>
        <w:spacing w:line="360" w:lineRule="auto"/>
        <w:rPr>
          <w:lang w:val="en-US"/>
        </w:rPr>
      </w:pPr>
      <w:r w:rsidRPr="003C5A84">
        <w:rPr>
          <w:lang w:val="en-US"/>
        </w:rPr>
        <w:lastRenderedPageBreak/>
        <w:t xml:space="preserve">REFERENCES  </w:t>
      </w:r>
    </w:p>
    <w:p w:rsidR="000209A5" w:rsidRPr="00663BE6" w:rsidRDefault="000209A5" w:rsidP="00F2010C">
      <w:pPr>
        <w:autoSpaceDE w:val="0"/>
        <w:autoSpaceDN w:val="0"/>
        <w:adjustRightInd w:val="0"/>
        <w:spacing w:line="360" w:lineRule="auto"/>
        <w:ind w:left="360" w:hanging="360"/>
      </w:pPr>
      <w:r w:rsidRPr="00663BE6">
        <w:t>Bon, R., T. Birgonul and I. Ozdogan</w:t>
      </w:r>
      <w:r>
        <w:t xml:space="preserve"> </w:t>
      </w:r>
      <w:r w:rsidRPr="00663BE6">
        <w:t xml:space="preserve">(1999): An </w:t>
      </w:r>
      <w:r>
        <w:t>I</w:t>
      </w:r>
      <w:r w:rsidRPr="00663BE6">
        <w:t xml:space="preserve">nput-Output Analysis </w:t>
      </w:r>
      <w:r>
        <w:t>o</w:t>
      </w:r>
      <w:r w:rsidRPr="00663BE6">
        <w:t xml:space="preserve">f </w:t>
      </w:r>
      <w:r>
        <w:t>t</w:t>
      </w:r>
      <w:r w:rsidRPr="00663BE6">
        <w:t>he Turkish</w:t>
      </w:r>
      <w:r>
        <w:t xml:space="preserve"> </w:t>
      </w:r>
      <w:r w:rsidRPr="00663BE6">
        <w:t xml:space="preserve">Construction Sector, 1973-1990: </w:t>
      </w:r>
      <w:r>
        <w:t>A</w:t>
      </w:r>
      <w:r w:rsidRPr="00663BE6">
        <w:t xml:space="preserve"> </w:t>
      </w:r>
      <w:r>
        <w:t>Note.</w:t>
      </w:r>
      <w:r w:rsidRPr="00663BE6">
        <w:t xml:space="preserve"> </w:t>
      </w:r>
      <w:r w:rsidRPr="00663BE6">
        <w:rPr>
          <w:i/>
          <w:iCs/>
        </w:rPr>
        <w:t>Construction Management and Economics</w:t>
      </w:r>
      <w:r>
        <w:t xml:space="preserve">, 17/5, </w:t>
      </w:r>
      <w:r w:rsidRPr="00663BE6">
        <w:t>543-551</w:t>
      </w:r>
      <w:r>
        <w:t>.</w:t>
      </w:r>
    </w:p>
    <w:p w:rsidR="000209A5" w:rsidRPr="004E2A5A" w:rsidRDefault="000209A5" w:rsidP="00F2010C">
      <w:pPr>
        <w:autoSpaceDE w:val="0"/>
        <w:autoSpaceDN w:val="0"/>
        <w:adjustRightInd w:val="0"/>
        <w:spacing w:line="360" w:lineRule="auto"/>
        <w:ind w:left="360" w:hanging="360"/>
      </w:pPr>
      <w:r>
        <w:t>Budiwibowo, A.,</w:t>
      </w:r>
      <w:r w:rsidRPr="00EA560A">
        <w:t xml:space="preserve"> B.</w:t>
      </w:r>
      <w:r w:rsidRPr="0001766E">
        <w:t xml:space="preserve"> </w:t>
      </w:r>
      <w:r w:rsidRPr="00EA560A">
        <w:t xml:space="preserve">Trigunarsyah, I. S. </w:t>
      </w:r>
      <w:r>
        <w:t xml:space="preserve">Abidin and </w:t>
      </w:r>
      <w:r w:rsidRPr="00EA560A">
        <w:t xml:space="preserve">H. G. </w:t>
      </w:r>
      <w:r>
        <w:t>Soeparto</w:t>
      </w:r>
      <w:r w:rsidRPr="00EA560A">
        <w:t xml:space="preserve"> (2009) Competitiveness of the Indonesian Construction Industry</w:t>
      </w:r>
      <w:r>
        <w:t xml:space="preserve">. </w:t>
      </w:r>
      <w:r w:rsidRPr="004E2A5A">
        <w:rPr>
          <w:i/>
          <w:iCs/>
        </w:rPr>
        <w:t>Journal of Construction in Developing Countries</w:t>
      </w:r>
      <w:r w:rsidRPr="004E2A5A">
        <w:t xml:space="preserve">, </w:t>
      </w:r>
      <w:r>
        <w:t>14/</w:t>
      </w:r>
      <w:r w:rsidRPr="004E2A5A">
        <w:t xml:space="preserve">1, </w:t>
      </w:r>
      <w:r>
        <w:t>51-68.</w:t>
      </w:r>
    </w:p>
    <w:p w:rsidR="000209A5" w:rsidRPr="00584AB4" w:rsidRDefault="000209A5" w:rsidP="00F2010C">
      <w:pPr>
        <w:spacing w:line="360" w:lineRule="auto"/>
        <w:ind w:left="360" w:hanging="360"/>
        <w:rPr>
          <w:lang w:val="en-US"/>
        </w:rPr>
      </w:pPr>
      <w:r w:rsidRPr="00584AB4">
        <w:rPr>
          <w:lang w:val="en-US"/>
        </w:rPr>
        <w:t>Defourny, J. and E. Thorbecke (1984) Structural Path Analysis and Multiplier Decomposition</w:t>
      </w:r>
      <w:r>
        <w:rPr>
          <w:lang w:val="en-US"/>
        </w:rPr>
        <w:t xml:space="preserve"> </w:t>
      </w:r>
      <w:r w:rsidRPr="00584AB4">
        <w:rPr>
          <w:lang w:val="en-US"/>
        </w:rPr>
        <w:t>within a Soc</w:t>
      </w:r>
      <w:r>
        <w:rPr>
          <w:lang w:val="en-US"/>
        </w:rPr>
        <w:t>ial Accounting Matrix Framework.</w:t>
      </w:r>
      <w:r w:rsidRPr="00584AB4">
        <w:rPr>
          <w:lang w:val="en-US"/>
        </w:rPr>
        <w:t xml:space="preserve"> </w:t>
      </w:r>
      <w:r w:rsidRPr="00584AB4">
        <w:rPr>
          <w:i/>
          <w:iCs/>
          <w:lang w:val="en-US"/>
        </w:rPr>
        <w:t>Economic Journal</w:t>
      </w:r>
      <w:r w:rsidRPr="00584AB4">
        <w:rPr>
          <w:lang w:val="en-US"/>
        </w:rPr>
        <w:t>, 94, 111-136.</w:t>
      </w:r>
    </w:p>
    <w:p w:rsidR="000209A5" w:rsidRPr="003C5A84" w:rsidRDefault="000209A5" w:rsidP="00F2010C">
      <w:pPr>
        <w:spacing w:line="360" w:lineRule="auto"/>
        <w:ind w:left="360" w:hanging="360"/>
        <w:rPr>
          <w:lang w:val="en-US"/>
        </w:rPr>
      </w:pPr>
      <w:r w:rsidRPr="003C5A84">
        <w:rPr>
          <w:lang w:val="en-US"/>
        </w:rPr>
        <w:t>de Valence, G. (2010) Defining an Industry: What is the Size and Scope of the</w:t>
      </w:r>
      <w:r>
        <w:rPr>
          <w:lang w:val="en-US"/>
        </w:rPr>
        <w:t xml:space="preserve"> </w:t>
      </w:r>
      <w:r w:rsidRPr="003C5A84">
        <w:rPr>
          <w:lang w:val="en-US"/>
        </w:rPr>
        <w:t>Australian Bu</w:t>
      </w:r>
      <w:r>
        <w:rPr>
          <w:lang w:val="en-US"/>
        </w:rPr>
        <w:t>i</w:t>
      </w:r>
      <w:r w:rsidRPr="003C5A84">
        <w:rPr>
          <w:lang w:val="en-US"/>
        </w:rPr>
        <w:t xml:space="preserve">lding and Construction Industry? </w:t>
      </w:r>
      <w:r w:rsidRPr="003C5A84">
        <w:rPr>
          <w:i/>
          <w:iCs/>
          <w:lang w:val="en-US"/>
        </w:rPr>
        <w:t>The Australian Journal of Construction Economics &amp; Building</w:t>
      </w:r>
      <w:r w:rsidRPr="003C5A84">
        <w:rPr>
          <w:lang w:val="en-US"/>
        </w:rPr>
        <w:t>,</w:t>
      </w:r>
      <w:r>
        <w:rPr>
          <w:lang w:val="en-US"/>
        </w:rPr>
        <w:t xml:space="preserve"> </w:t>
      </w:r>
      <w:r w:rsidRPr="003C5A84">
        <w:rPr>
          <w:lang w:val="en-US"/>
        </w:rPr>
        <w:t>10/1, 53-65.</w:t>
      </w:r>
    </w:p>
    <w:p w:rsidR="000209A5" w:rsidRPr="003A656F" w:rsidRDefault="000209A5" w:rsidP="00F2010C">
      <w:pPr>
        <w:autoSpaceDE w:val="0"/>
        <w:autoSpaceDN w:val="0"/>
        <w:adjustRightInd w:val="0"/>
        <w:spacing w:line="360" w:lineRule="auto"/>
        <w:ind w:left="360" w:hanging="360"/>
      </w:pPr>
      <w:r w:rsidRPr="003A656F">
        <w:rPr>
          <w:color w:val="000000"/>
        </w:rPr>
        <w:t>Giang, D.</w:t>
      </w:r>
      <w:r>
        <w:rPr>
          <w:color w:val="000000"/>
        </w:rPr>
        <w:t xml:space="preserve"> </w:t>
      </w:r>
      <w:r w:rsidRPr="003A656F">
        <w:rPr>
          <w:color w:val="000000"/>
        </w:rPr>
        <w:t>T.</w:t>
      </w:r>
      <w:r>
        <w:rPr>
          <w:color w:val="000000"/>
        </w:rPr>
        <w:t xml:space="preserve"> </w:t>
      </w:r>
      <w:r w:rsidRPr="003A656F">
        <w:rPr>
          <w:color w:val="000000"/>
        </w:rPr>
        <w:t xml:space="preserve">H. </w:t>
      </w:r>
      <w:r w:rsidRPr="003A656F">
        <w:rPr>
          <w:color w:val="000066"/>
        </w:rPr>
        <w:t>and</w:t>
      </w:r>
      <w:r w:rsidRPr="003A656F">
        <w:rPr>
          <w:color w:val="000000"/>
        </w:rPr>
        <w:t xml:space="preserve"> L</w:t>
      </w:r>
      <w:r>
        <w:rPr>
          <w:color w:val="000000"/>
        </w:rPr>
        <w:t xml:space="preserve">. </w:t>
      </w:r>
      <w:r w:rsidRPr="003A656F">
        <w:rPr>
          <w:color w:val="000000"/>
        </w:rPr>
        <w:t>S</w:t>
      </w:r>
      <w:r>
        <w:rPr>
          <w:color w:val="000000"/>
        </w:rPr>
        <w:t>.</w:t>
      </w:r>
      <w:r w:rsidRPr="003A656F">
        <w:rPr>
          <w:color w:val="000000"/>
        </w:rPr>
        <w:t xml:space="preserve"> P</w:t>
      </w:r>
      <w:r>
        <w:rPr>
          <w:color w:val="000000"/>
        </w:rPr>
        <w:t>heng (2011)</w:t>
      </w:r>
      <w:r w:rsidRPr="003A656F">
        <w:rPr>
          <w:rFonts w:ascii="AdvOT863180fb" w:hAnsi="AdvOT863180fb" w:cs="AdvOT863180fb"/>
          <w:sz w:val="27"/>
          <w:szCs w:val="27"/>
        </w:rPr>
        <w:t xml:space="preserve"> </w:t>
      </w:r>
      <w:r w:rsidRPr="003A656F">
        <w:t xml:space="preserve">Role </w:t>
      </w:r>
      <w:r>
        <w:t>o</w:t>
      </w:r>
      <w:r w:rsidRPr="003A656F">
        <w:t xml:space="preserve">f Construction </w:t>
      </w:r>
      <w:r>
        <w:t>i</w:t>
      </w:r>
      <w:r w:rsidRPr="003A656F">
        <w:t xml:space="preserve">n Economic Development: Review </w:t>
      </w:r>
      <w:r>
        <w:t>o</w:t>
      </w:r>
      <w:r w:rsidRPr="003A656F">
        <w:t>f Key</w:t>
      </w:r>
      <w:r>
        <w:t xml:space="preserve"> </w:t>
      </w:r>
      <w:r w:rsidRPr="003A656F">
        <w:t xml:space="preserve">Concepts </w:t>
      </w:r>
      <w:r>
        <w:t>i</w:t>
      </w:r>
      <w:r w:rsidRPr="003A656F">
        <w:t xml:space="preserve">n </w:t>
      </w:r>
      <w:r>
        <w:t>t</w:t>
      </w:r>
      <w:r w:rsidRPr="003A656F">
        <w:t>he Past 40 Years</w:t>
      </w:r>
      <w:r>
        <w:t xml:space="preserve">. </w:t>
      </w:r>
      <w:r w:rsidRPr="003A656F">
        <w:rPr>
          <w:i/>
          <w:iCs/>
        </w:rPr>
        <w:t>Habitat International</w:t>
      </w:r>
      <w:r>
        <w:t>,</w:t>
      </w:r>
      <w:r w:rsidRPr="003A656F">
        <w:t xml:space="preserve"> 35</w:t>
      </w:r>
      <w:r>
        <w:t>,</w:t>
      </w:r>
      <w:r w:rsidRPr="003A656F">
        <w:t xml:space="preserve"> 118</w:t>
      </w:r>
      <w:r>
        <w:t>-</w:t>
      </w:r>
      <w:r w:rsidRPr="003A656F">
        <w:t>125</w:t>
      </w:r>
      <w:r>
        <w:t>.</w:t>
      </w:r>
    </w:p>
    <w:p w:rsidR="000209A5" w:rsidRPr="00663BE6" w:rsidRDefault="000209A5" w:rsidP="00F2010C">
      <w:pPr>
        <w:autoSpaceDE w:val="0"/>
        <w:autoSpaceDN w:val="0"/>
        <w:adjustRightInd w:val="0"/>
        <w:spacing w:line="360" w:lineRule="auto"/>
        <w:ind w:left="360" w:hanging="360"/>
        <w:rPr>
          <w:color w:val="000000"/>
        </w:rPr>
      </w:pPr>
      <w:r w:rsidRPr="00663BE6">
        <w:rPr>
          <w:color w:val="000000"/>
        </w:rPr>
        <w:t>Gundes, S. (2011</w:t>
      </w:r>
      <w:r>
        <w:rPr>
          <w:color w:val="000000"/>
        </w:rPr>
        <w:t>a)</w:t>
      </w:r>
      <w:r w:rsidRPr="00663BE6">
        <w:rPr>
          <w:color w:val="000000"/>
        </w:rPr>
        <w:t xml:space="preserve"> Exploring </w:t>
      </w:r>
      <w:r>
        <w:rPr>
          <w:color w:val="000000"/>
        </w:rPr>
        <w:t>t</w:t>
      </w:r>
      <w:r w:rsidRPr="00663BE6">
        <w:rPr>
          <w:color w:val="000000"/>
        </w:rPr>
        <w:t xml:space="preserve">he Dynamics </w:t>
      </w:r>
      <w:r>
        <w:rPr>
          <w:color w:val="000000"/>
        </w:rPr>
        <w:t>o</w:t>
      </w:r>
      <w:r w:rsidRPr="00663BE6">
        <w:rPr>
          <w:color w:val="000000"/>
        </w:rPr>
        <w:t xml:space="preserve">f </w:t>
      </w:r>
      <w:r>
        <w:rPr>
          <w:color w:val="000000"/>
        </w:rPr>
        <w:t>t</w:t>
      </w:r>
      <w:r w:rsidRPr="00663BE6">
        <w:rPr>
          <w:color w:val="000000"/>
        </w:rPr>
        <w:t xml:space="preserve">he Turkish Construction </w:t>
      </w:r>
      <w:r>
        <w:rPr>
          <w:color w:val="000000"/>
        </w:rPr>
        <w:t>I</w:t>
      </w:r>
      <w:r w:rsidRPr="00663BE6">
        <w:rPr>
          <w:color w:val="000000"/>
        </w:rPr>
        <w:t xml:space="preserve">ndustry Using </w:t>
      </w:r>
      <w:r>
        <w:rPr>
          <w:color w:val="000000"/>
        </w:rPr>
        <w:t>I</w:t>
      </w:r>
      <w:r w:rsidRPr="00663BE6">
        <w:rPr>
          <w:color w:val="000000"/>
        </w:rPr>
        <w:t>nput–Output</w:t>
      </w:r>
      <w:r>
        <w:rPr>
          <w:color w:val="000000"/>
        </w:rPr>
        <w:t xml:space="preserve"> Analysis.</w:t>
      </w:r>
      <w:r w:rsidRPr="00663BE6">
        <w:rPr>
          <w:color w:val="000000"/>
        </w:rPr>
        <w:t xml:space="preserve"> </w:t>
      </w:r>
      <w:r w:rsidRPr="00663BE6">
        <w:rPr>
          <w:i/>
          <w:iCs/>
          <w:color w:val="000000"/>
        </w:rPr>
        <w:t>Construction Management and Economics</w:t>
      </w:r>
      <w:r>
        <w:rPr>
          <w:color w:val="000000"/>
        </w:rPr>
        <w:t>, 29/</w:t>
      </w:r>
      <w:r w:rsidRPr="00663BE6">
        <w:rPr>
          <w:color w:val="000000"/>
        </w:rPr>
        <w:t>1, 59-68</w:t>
      </w:r>
      <w:r>
        <w:rPr>
          <w:color w:val="000000"/>
        </w:rPr>
        <w:t>.</w:t>
      </w:r>
    </w:p>
    <w:p w:rsidR="000209A5" w:rsidRDefault="000209A5" w:rsidP="00F2010C">
      <w:pPr>
        <w:autoSpaceDE w:val="0"/>
        <w:autoSpaceDN w:val="0"/>
        <w:adjustRightInd w:val="0"/>
        <w:spacing w:line="360" w:lineRule="auto"/>
        <w:ind w:left="360" w:hanging="360"/>
      </w:pPr>
      <w:r w:rsidRPr="002A2B87">
        <w:t>Gundes, S. (2011</w:t>
      </w:r>
      <w:r>
        <w:t>b</w:t>
      </w:r>
      <w:r w:rsidRPr="002A2B87">
        <w:t xml:space="preserve">) Input Structure </w:t>
      </w:r>
      <w:r>
        <w:t>o</w:t>
      </w:r>
      <w:r w:rsidRPr="002A2B87">
        <w:t xml:space="preserve">f </w:t>
      </w:r>
      <w:r>
        <w:t>t</w:t>
      </w:r>
      <w:r w:rsidRPr="002A2B87">
        <w:t xml:space="preserve">he Construction </w:t>
      </w:r>
      <w:r>
        <w:t>I</w:t>
      </w:r>
      <w:r w:rsidRPr="002A2B87">
        <w:t>ndustry: A Cross</w:t>
      </w:r>
      <w:r w:rsidRPr="002A2B87">
        <w:rPr>
          <w:rFonts w:ascii="Arial" w:hAnsi="Arial" w:cs="Arial"/>
        </w:rPr>
        <w:t>-</w:t>
      </w:r>
      <w:r>
        <w:t>Country Analysis, 1968–90.</w:t>
      </w:r>
      <w:r w:rsidRPr="002A2B87">
        <w:t xml:space="preserve"> </w:t>
      </w:r>
      <w:r w:rsidRPr="002A2B87">
        <w:rPr>
          <w:i/>
          <w:iCs/>
        </w:rPr>
        <w:t>Construction Management and Economics</w:t>
      </w:r>
      <w:r w:rsidRPr="002A2B87">
        <w:t>, 29/6, 613-621.</w:t>
      </w:r>
    </w:p>
    <w:p w:rsidR="000209A5" w:rsidRDefault="000209A5" w:rsidP="00F2010C">
      <w:pPr>
        <w:spacing w:line="360" w:lineRule="auto"/>
        <w:ind w:left="360" w:hanging="360"/>
        <w:rPr>
          <w:lang w:val="en-US"/>
        </w:rPr>
      </w:pPr>
      <w:r w:rsidRPr="003C5A84">
        <w:rPr>
          <w:lang w:val="en-US"/>
        </w:rPr>
        <w:t xml:space="preserve">Gunluk-Senesen, G. (2005) </w:t>
      </w:r>
      <w:r w:rsidRPr="003C5A84">
        <w:rPr>
          <w:i/>
          <w:iCs/>
          <w:lang w:val="en-US"/>
        </w:rPr>
        <w:t>Turkiye’nin Uretim Yapısı</w:t>
      </w:r>
      <w:r w:rsidRPr="003C5A84">
        <w:rPr>
          <w:lang w:val="en-US"/>
        </w:rPr>
        <w:t>. Istanbul, TUSIAD-T/2005-06/400.</w:t>
      </w:r>
    </w:p>
    <w:p w:rsidR="000209A5" w:rsidRPr="00AD4CCC" w:rsidRDefault="000209A5" w:rsidP="00FB00FC">
      <w:pPr>
        <w:spacing w:line="360" w:lineRule="auto"/>
        <w:ind w:left="357" w:hanging="357"/>
        <w:rPr>
          <w:lang w:val="en-GB"/>
        </w:rPr>
      </w:pPr>
      <w:r w:rsidRPr="00AD4CCC">
        <w:rPr>
          <w:lang w:val="en-GB"/>
        </w:rPr>
        <w:t>Gunluk-Senesen, G. and U. Senesen (2011) Decomposition of Labour Demand by Employe</w:t>
      </w:r>
      <w:r>
        <w:rPr>
          <w:lang w:val="en-GB"/>
        </w:rPr>
        <w:t>r Sectors and Gender for Turkey.</w:t>
      </w:r>
      <w:r w:rsidRPr="00AD4CCC">
        <w:rPr>
          <w:lang w:val="en-GB"/>
        </w:rPr>
        <w:t xml:space="preserve"> </w:t>
      </w:r>
      <w:r w:rsidRPr="00FB00FC">
        <w:rPr>
          <w:i/>
          <w:iCs/>
          <w:lang w:val="en-GB"/>
        </w:rPr>
        <w:t>Economic Systems Research</w:t>
      </w:r>
      <w:r w:rsidRPr="00AD4CCC">
        <w:rPr>
          <w:lang w:val="en-GB"/>
        </w:rPr>
        <w:t>, 23/2, 233-253</w:t>
      </w:r>
    </w:p>
    <w:p w:rsidR="000209A5" w:rsidRPr="00584AB4" w:rsidRDefault="000209A5" w:rsidP="00F2010C">
      <w:pPr>
        <w:spacing w:line="360" w:lineRule="auto"/>
        <w:ind w:left="360" w:hanging="360"/>
        <w:rPr>
          <w:lang w:val="en-US"/>
        </w:rPr>
      </w:pPr>
      <w:r w:rsidRPr="00584AB4">
        <w:rPr>
          <w:lang w:val="en-US"/>
        </w:rPr>
        <w:t>Lenzen, M. (2003) Environmentally Important Paths, Linkages and Key Se</w:t>
      </w:r>
      <w:r>
        <w:rPr>
          <w:lang w:val="en-US"/>
        </w:rPr>
        <w:t>ctors in the Australian Economy.</w:t>
      </w:r>
      <w:r w:rsidRPr="00584AB4">
        <w:rPr>
          <w:lang w:val="en-US"/>
        </w:rPr>
        <w:t xml:space="preserve"> </w:t>
      </w:r>
      <w:r w:rsidRPr="00584AB4">
        <w:rPr>
          <w:i/>
          <w:iCs/>
          <w:lang w:val="en-US"/>
        </w:rPr>
        <w:t>Structural Change and Economic Dynamics</w:t>
      </w:r>
      <w:r w:rsidRPr="00584AB4">
        <w:rPr>
          <w:lang w:val="en-US"/>
        </w:rPr>
        <w:t>, 14, 1-34.</w:t>
      </w:r>
    </w:p>
    <w:p w:rsidR="000209A5" w:rsidRPr="00584AB4" w:rsidRDefault="000209A5" w:rsidP="00F2010C">
      <w:pPr>
        <w:spacing w:line="360" w:lineRule="auto"/>
        <w:ind w:left="360" w:hanging="360"/>
        <w:rPr>
          <w:lang w:val="en-US"/>
        </w:rPr>
      </w:pPr>
      <w:r w:rsidRPr="00584AB4">
        <w:rPr>
          <w:lang w:val="en-US"/>
        </w:rPr>
        <w:t>Lenzen, M. (2007) Structural Path</w:t>
      </w:r>
      <w:r>
        <w:rPr>
          <w:lang w:val="en-US"/>
        </w:rPr>
        <w:t xml:space="preserve"> Analysis of Ecosystem Networks.</w:t>
      </w:r>
      <w:r w:rsidRPr="00584AB4">
        <w:rPr>
          <w:lang w:val="en-US"/>
        </w:rPr>
        <w:t xml:space="preserve"> </w:t>
      </w:r>
      <w:r w:rsidRPr="00584AB4">
        <w:rPr>
          <w:i/>
          <w:iCs/>
          <w:lang w:val="en-US"/>
        </w:rPr>
        <w:t>Ecological Modelling</w:t>
      </w:r>
      <w:r w:rsidRPr="00584AB4">
        <w:rPr>
          <w:lang w:val="en-US"/>
        </w:rPr>
        <w:t>, 2000, 334-342.</w:t>
      </w:r>
    </w:p>
    <w:p w:rsidR="000209A5" w:rsidRPr="00F2010C" w:rsidRDefault="000209A5" w:rsidP="00F2010C">
      <w:pPr>
        <w:spacing w:line="360" w:lineRule="auto"/>
        <w:ind w:left="357" w:hanging="357"/>
        <w:rPr>
          <w:lang w:val="en-GB"/>
        </w:rPr>
      </w:pPr>
      <w:r w:rsidRPr="00F2010C">
        <w:rPr>
          <w:lang w:val="en-GB"/>
        </w:rPr>
        <w:t>Oshita,Y. (2011) Identifying Critical Supply Chain Path that D</w:t>
      </w:r>
      <w:r>
        <w:rPr>
          <w:lang w:val="en-GB"/>
        </w:rPr>
        <w:t>rive Changes in CO2 Emmisssions.</w:t>
      </w:r>
      <w:r w:rsidRPr="00F2010C">
        <w:rPr>
          <w:lang w:val="en-GB"/>
        </w:rPr>
        <w:t xml:space="preserve"> </w:t>
      </w:r>
      <w:r w:rsidRPr="00F2010C">
        <w:rPr>
          <w:i/>
          <w:iCs/>
          <w:lang w:val="en-GB"/>
        </w:rPr>
        <w:t>Energy Economics</w:t>
      </w:r>
      <w:r>
        <w:rPr>
          <w:lang w:val="en-GB"/>
        </w:rPr>
        <w:t>, (forthcoming)</w:t>
      </w:r>
    </w:p>
    <w:p w:rsidR="000209A5" w:rsidRPr="00584AB4" w:rsidRDefault="000209A5" w:rsidP="00F2010C">
      <w:pPr>
        <w:spacing w:line="360" w:lineRule="auto"/>
        <w:ind w:left="360" w:hanging="360"/>
        <w:rPr>
          <w:lang w:val="en-US"/>
        </w:rPr>
      </w:pPr>
      <w:r w:rsidRPr="00584AB4">
        <w:rPr>
          <w:lang w:val="en-US"/>
        </w:rPr>
        <w:t>Peters, G.P. and E.G. Hertwich, (2006) Structural Analysis of International Trade: Environmenta</w:t>
      </w:r>
      <w:r>
        <w:rPr>
          <w:lang w:val="en-US"/>
        </w:rPr>
        <w:t>l Impacts of Norway.</w:t>
      </w:r>
      <w:r w:rsidRPr="00584AB4">
        <w:rPr>
          <w:lang w:val="en-US"/>
        </w:rPr>
        <w:t xml:space="preserve"> </w:t>
      </w:r>
      <w:r w:rsidRPr="00584AB4">
        <w:rPr>
          <w:i/>
          <w:iCs/>
          <w:lang w:val="en-US"/>
        </w:rPr>
        <w:t>Economic Systems Research</w:t>
      </w:r>
      <w:r w:rsidRPr="00584AB4">
        <w:rPr>
          <w:lang w:val="en-US"/>
        </w:rPr>
        <w:t>, 18/2, 155-181.</w:t>
      </w:r>
    </w:p>
    <w:p w:rsidR="000209A5" w:rsidRDefault="000209A5" w:rsidP="00F2010C">
      <w:pPr>
        <w:spacing w:line="360" w:lineRule="auto"/>
        <w:ind w:left="360" w:hanging="360"/>
      </w:pPr>
      <w:r>
        <w:rPr>
          <w:lang w:val="en-US"/>
        </w:rPr>
        <w:t xml:space="preserve">Pietroforte, R. and T. Gregori (2003) An Input-Output Analysis of the Construction Sector in Highly Developed Countries. </w:t>
      </w:r>
      <w:r w:rsidRPr="002A2B87">
        <w:rPr>
          <w:i/>
          <w:iCs/>
        </w:rPr>
        <w:t>Construction Management and Economics</w:t>
      </w:r>
      <w:r>
        <w:t>, 21, 319-327.</w:t>
      </w:r>
    </w:p>
    <w:p w:rsidR="000209A5" w:rsidRPr="004755E0" w:rsidRDefault="000209A5" w:rsidP="00F2010C">
      <w:pPr>
        <w:autoSpaceDE w:val="0"/>
        <w:autoSpaceDN w:val="0"/>
        <w:adjustRightInd w:val="0"/>
        <w:spacing w:line="360" w:lineRule="auto"/>
        <w:ind w:left="360" w:hanging="360"/>
        <w:rPr>
          <w:color w:val="3366FF"/>
          <w:lang w:val="en-US"/>
        </w:rPr>
      </w:pPr>
      <w:r w:rsidRPr="004755E0">
        <w:t xml:space="preserve">Song, Y., C. Liu and C. Langston (2006) Linkage Measures </w:t>
      </w:r>
      <w:r>
        <w:t>o</w:t>
      </w:r>
      <w:r w:rsidRPr="004755E0">
        <w:t xml:space="preserve">f </w:t>
      </w:r>
      <w:r>
        <w:t>t</w:t>
      </w:r>
      <w:r w:rsidRPr="004755E0">
        <w:t xml:space="preserve">he Construction Sector Using </w:t>
      </w:r>
      <w:r>
        <w:t>t</w:t>
      </w:r>
      <w:r w:rsidRPr="004755E0">
        <w:t>he</w:t>
      </w:r>
      <w:r>
        <w:t xml:space="preserve"> </w:t>
      </w:r>
      <w:r w:rsidRPr="004755E0">
        <w:t>Hypothetical Extraction Method</w:t>
      </w:r>
      <w:r>
        <w:t>.</w:t>
      </w:r>
      <w:r w:rsidRPr="004755E0">
        <w:t xml:space="preserve"> </w:t>
      </w:r>
      <w:r w:rsidRPr="004755E0">
        <w:rPr>
          <w:i/>
          <w:iCs/>
        </w:rPr>
        <w:t>Construction Management and Economics</w:t>
      </w:r>
      <w:r>
        <w:t>, 24/</w:t>
      </w:r>
      <w:r w:rsidRPr="004755E0">
        <w:t>6, 579-589</w:t>
      </w:r>
      <w:r>
        <w:t>.</w:t>
      </w:r>
    </w:p>
    <w:p w:rsidR="000209A5" w:rsidRPr="00584AB4" w:rsidRDefault="000209A5" w:rsidP="00F2010C">
      <w:pPr>
        <w:spacing w:line="360" w:lineRule="auto"/>
        <w:ind w:left="360" w:hanging="360"/>
        <w:rPr>
          <w:lang w:val="en-US"/>
        </w:rPr>
      </w:pPr>
      <w:r w:rsidRPr="00584AB4">
        <w:rPr>
          <w:lang w:val="en-US"/>
        </w:rPr>
        <w:lastRenderedPageBreak/>
        <w:t xml:space="preserve">Wood, R. and M. Lenzen (2009) Structural Path Decomposition. </w:t>
      </w:r>
      <w:r w:rsidRPr="00584AB4">
        <w:rPr>
          <w:i/>
          <w:iCs/>
          <w:lang w:val="en-US"/>
        </w:rPr>
        <w:t>Energy Economics</w:t>
      </w:r>
      <w:r w:rsidRPr="00584AB4">
        <w:rPr>
          <w:lang w:val="en-US"/>
        </w:rPr>
        <w:t>, 31, 335-341.</w:t>
      </w:r>
    </w:p>
    <w:p w:rsidR="000209A5" w:rsidRPr="003C5A84" w:rsidRDefault="000209A5" w:rsidP="00F2010C">
      <w:pPr>
        <w:spacing w:line="360" w:lineRule="auto"/>
        <w:ind w:left="360" w:hanging="360"/>
        <w:rPr>
          <w:lang w:val="en-US"/>
        </w:rPr>
      </w:pPr>
    </w:p>
    <w:p w:rsidR="000209A5" w:rsidRPr="003C5A84"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0209A5" w:rsidRPr="003C5A84"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A82722" w:rsidRDefault="00A82722" w:rsidP="00F2010C">
      <w:pPr>
        <w:spacing w:line="360" w:lineRule="auto"/>
        <w:ind w:left="360" w:hanging="360"/>
        <w:rPr>
          <w:lang w:val="en-US"/>
        </w:rPr>
      </w:pPr>
    </w:p>
    <w:p w:rsidR="00A82722" w:rsidRDefault="00A82722" w:rsidP="00F2010C">
      <w:pPr>
        <w:spacing w:line="360" w:lineRule="auto"/>
        <w:ind w:left="360" w:hanging="360"/>
        <w:rPr>
          <w:lang w:val="en-US"/>
        </w:rPr>
      </w:pPr>
    </w:p>
    <w:p w:rsidR="00A82722" w:rsidRDefault="00A82722" w:rsidP="00F2010C">
      <w:pPr>
        <w:spacing w:line="360" w:lineRule="auto"/>
        <w:ind w:left="360" w:hanging="360"/>
        <w:rPr>
          <w:lang w:val="en-US"/>
        </w:rPr>
      </w:pPr>
    </w:p>
    <w:p w:rsidR="00A82722" w:rsidRDefault="00A82722" w:rsidP="00F2010C">
      <w:pPr>
        <w:spacing w:line="360" w:lineRule="auto"/>
        <w:ind w:left="360" w:hanging="360"/>
        <w:rPr>
          <w:lang w:val="en-US"/>
        </w:rPr>
      </w:pPr>
    </w:p>
    <w:p w:rsidR="00A82722" w:rsidRDefault="00A82722" w:rsidP="00F2010C">
      <w:pPr>
        <w:spacing w:line="360" w:lineRule="auto"/>
        <w:ind w:left="360" w:hanging="360"/>
        <w:rPr>
          <w:lang w:val="en-US"/>
        </w:rPr>
      </w:pPr>
    </w:p>
    <w:p w:rsidR="000209A5" w:rsidRPr="003C5A84" w:rsidRDefault="000209A5" w:rsidP="00F2010C">
      <w:pPr>
        <w:spacing w:line="360" w:lineRule="auto"/>
        <w:ind w:left="360" w:hanging="360"/>
        <w:rPr>
          <w:lang w:val="en-US"/>
        </w:rPr>
      </w:pPr>
    </w:p>
    <w:p w:rsidR="000209A5" w:rsidRDefault="000209A5" w:rsidP="00B94344">
      <w:pPr>
        <w:jc w:val="center"/>
        <w:rPr>
          <w:lang w:val="en-GB"/>
        </w:rPr>
      </w:pPr>
      <w:r>
        <w:rPr>
          <w:lang w:val="en-GB"/>
        </w:rPr>
        <w:lastRenderedPageBreak/>
        <w:t>Table 1. Captured direct and total influences, multipliers</w:t>
      </w:r>
    </w:p>
    <w:p w:rsidR="000209A5" w:rsidRDefault="000209A5" w:rsidP="00B94344">
      <w:pPr>
        <w:jc w:val="center"/>
        <w:rPr>
          <w:lang w:val="en-GB"/>
        </w:rPr>
      </w:pPr>
      <w:r>
        <w:rPr>
          <w:lang w:val="en-GB"/>
        </w:rPr>
        <w:t>and captured shares in overall influence by paths</w:t>
      </w:r>
    </w:p>
    <w:tbl>
      <w:tblPr>
        <w:tblW w:w="10778" w:type="dxa"/>
        <w:tblInd w:w="-497" w:type="dxa"/>
        <w:tblCellMar>
          <w:left w:w="70" w:type="dxa"/>
          <w:right w:w="70" w:type="dxa"/>
        </w:tblCellMar>
        <w:tblLook w:val="00A0"/>
      </w:tblPr>
      <w:tblGrid>
        <w:gridCol w:w="343"/>
        <w:gridCol w:w="200"/>
        <w:gridCol w:w="1584"/>
        <w:gridCol w:w="1060"/>
        <w:gridCol w:w="160"/>
        <w:gridCol w:w="1060"/>
        <w:gridCol w:w="146"/>
        <w:gridCol w:w="1060"/>
        <w:gridCol w:w="146"/>
        <w:gridCol w:w="1060"/>
        <w:gridCol w:w="146"/>
        <w:gridCol w:w="1060"/>
        <w:gridCol w:w="146"/>
        <w:gridCol w:w="1060"/>
        <w:gridCol w:w="146"/>
        <w:gridCol w:w="1255"/>
        <w:gridCol w:w="146"/>
      </w:tblGrid>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60"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46"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46"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46"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Captured</w:t>
            </w:r>
          </w:p>
        </w:tc>
        <w:tc>
          <w:tcPr>
            <w:tcW w:w="146"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Captured</w:t>
            </w:r>
          </w:p>
        </w:tc>
        <w:tc>
          <w:tcPr>
            <w:tcW w:w="146"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Captured</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Captured</w:t>
            </w:r>
          </w:p>
        </w:tc>
        <w:tc>
          <w:tcPr>
            <w:tcW w:w="1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Captured</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direct</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total</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sector total</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direct</w:t>
            </w:r>
          </w:p>
        </w:tc>
        <w:tc>
          <w:tcPr>
            <w:tcW w:w="1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total</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Multiplier</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Pr>
                <w:rFonts w:ascii="Calibri" w:hAnsi="Calibri" w:cs="Calibri"/>
                <w:color w:val="000000"/>
                <w:sz w:val="20"/>
                <w:szCs w:val="20"/>
              </w:rPr>
              <w:t>O</w:t>
            </w:r>
            <w:r w:rsidRPr="0005031F">
              <w:rPr>
                <w:rFonts w:ascii="Calibri" w:hAnsi="Calibri" w:cs="Calibri"/>
                <w:color w:val="000000"/>
                <w:sz w:val="20"/>
                <w:szCs w:val="20"/>
              </w:rPr>
              <w:t>verall</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in overall</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in overall</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 xml:space="preserve">in economy </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influence</w:t>
            </w:r>
          </w:p>
        </w:tc>
        <w:tc>
          <w:tcPr>
            <w:tcW w:w="1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influence</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Pr>
                <w:rFonts w:ascii="Calibri" w:hAnsi="Calibri" w:cs="Calibri"/>
                <w:color w:val="000000"/>
                <w:sz w:val="20"/>
                <w:szCs w:val="20"/>
              </w:rPr>
              <w:t>(</w:t>
            </w:r>
            <w:r w:rsidRPr="0005031F">
              <w:rPr>
                <w:rFonts w:ascii="Calibri" w:hAnsi="Calibri" w:cs="Calibri"/>
                <w:color w:val="000000"/>
                <w:sz w:val="20"/>
                <w:szCs w:val="20"/>
              </w:rPr>
              <w:t>direct/</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influence</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influence</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influence</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overall</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r w:rsidRPr="0005031F">
              <w:rPr>
                <w:rFonts w:ascii="Calibri" w:hAnsi="Calibri" w:cs="Calibri"/>
                <w:color w:val="000000"/>
                <w:sz w:val="20"/>
                <w:szCs w:val="20"/>
              </w:rPr>
              <w:t>Path</w:t>
            </w:r>
            <w:r>
              <w:rPr>
                <w:rFonts w:ascii="Calibri" w:hAnsi="Calibri" w:cs="Calibri"/>
                <w:color w:val="000000"/>
                <w:sz w:val="20"/>
                <w:szCs w:val="20"/>
              </w:rPr>
              <w:t>s</w:t>
            </w: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 persons)</w:t>
            </w:r>
          </w:p>
        </w:tc>
        <w:tc>
          <w:tcPr>
            <w:tcW w:w="1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 persons)</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Pr>
                <w:rFonts w:ascii="Calibri" w:hAnsi="Calibri" w:cs="Calibri"/>
                <w:color w:val="000000"/>
                <w:sz w:val="20"/>
                <w:szCs w:val="20"/>
              </w:rPr>
              <w:t>t</w:t>
            </w:r>
            <w:r w:rsidRPr="0005031F">
              <w:rPr>
                <w:rFonts w:ascii="Calibri" w:hAnsi="Calibri" w:cs="Calibri"/>
                <w:color w:val="000000"/>
                <w:sz w:val="20"/>
                <w:szCs w:val="20"/>
              </w:rPr>
              <w:t>otal</w:t>
            </w:r>
            <w:r>
              <w:rPr>
                <w:rFonts w:ascii="Calibri" w:hAnsi="Calibri" w:cs="Calibri"/>
                <w:color w:val="000000"/>
                <w:sz w:val="20"/>
                <w:szCs w:val="20"/>
              </w:rPr>
              <w:t>)</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 persons)</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w:t>
            </w:r>
          </w:p>
        </w:tc>
        <w:tc>
          <w:tcPr>
            <w:tcW w:w="146"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w:t>
            </w:r>
          </w:p>
        </w:tc>
      </w:tr>
      <w:tr w:rsidR="000209A5" w:rsidRPr="0005031F" w:rsidTr="00A82722">
        <w:trPr>
          <w:gridAfter w:val="1"/>
          <w:wAfter w:w="146" w:type="dxa"/>
          <w:trHeight w:val="168"/>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rPr>
            </w:pPr>
          </w:p>
        </w:tc>
        <w:tc>
          <w:tcPr>
            <w:tcW w:w="1060" w:type="dxa"/>
            <w:tcBorders>
              <w:top w:val="nil"/>
              <w:left w:val="nil"/>
              <w:bottom w:val="nil"/>
              <w:right w:val="nil"/>
            </w:tcBorders>
            <w:noWrap/>
            <w:vAlign w:val="bottom"/>
          </w:tcPr>
          <w:p w:rsidR="000209A5" w:rsidRPr="0005031F" w:rsidRDefault="000209A5" w:rsidP="00CE68B3">
            <w:pPr>
              <w:rPr>
                <w:rFonts w:ascii="Calibri" w:hAnsi="Calibri" w:cs="Calibri"/>
                <w:color w:val="000000"/>
              </w:rPr>
            </w:pPr>
          </w:p>
        </w:tc>
        <w:tc>
          <w:tcPr>
            <w:tcW w:w="160" w:type="dxa"/>
            <w:tcBorders>
              <w:top w:val="nil"/>
              <w:left w:val="nil"/>
              <w:bottom w:val="nil"/>
              <w:right w:val="nil"/>
            </w:tcBorders>
            <w:noWrap/>
            <w:vAlign w:val="bottom"/>
          </w:tcPr>
          <w:p w:rsidR="000209A5" w:rsidRPr="0005031F" w:rsidRDefault="000209A5" w:rsidP="00CE68B3">
            <w:pPr>
              <w:rPr>
                <w:rFonts w:ascii="Calibri" w:hAnsi="Calibri" w:cs="Calibri"/>
                <w:color w:val="000000"/>
              </w:rPr>
            </w:pPr>
          </w:p>
        </w:tc>
        <w:tc>
          <w:tcPr>
            <w:tcW w:w="1060" w:type="dxa"/>
            <w:tcBorders>
              <w:top w:val="nil"/>
              <w:left w:val="nil"/>
              <w:bottom w:val="nil"/>
              <w:right w:val="nil"/>
            </w:tcBorders>
            <w:noWrap/>
            <w:vAlign w:val="bottom"/>
          </w:tcPr>
          <w:p w:rsidR="000209A5" w:rsidRPr="0005031F" w:rsidRDefault="000209A5" w:rsidP="00CE68B3">
            <w:pPr>
              <w:rPr>
                <w:rFonts w:ascii="Calibri" w:hAnsi="Calibri" w:cs="Calibri"/>
                <w:color w:val="000000"/>
              </w:rPr>
            </w:pPr>
          </w:p>
        </w:tc>
        <w:tc>
          <w:tcPr>
            <w:tcW w:w="146" w:type="dxa"/>
            <w:tcBorders>
              <w:top w:val="nil"/>
              <w:left w:val="nil"/>
              <w:bottom w:val="nil"/>
              <w:right w:val="nil"/>
            </w:tcBorders>
            <w:noWrap/>
            <w:vAlign w:val="bottom"/>
          </w:tcPr>
          <w:p w:rsidR="000209A5" w:rsidRPr="0005031F" w:rsidRDefault="000209A5" w:rsidP="00CE68B3">
            <w:pPr>
              <w:rPr>
                <w:rFonts w:ascii="Calibri" w:hAnsi="Calibri" w:cs="Calibri"/>
                <w:color w:val="000000"/>
              </w:rPr>
            </w:pPr>
          </w:p>
        </w:tc>
        <w:tc>
          <w:tcPr>
            <w:tcW w:w="1060" w:type="dxa"/>
            <w:tcBorders>
              <w:top w:val="nil"/>
              <w:left w:val="nil"/>
              <w:bottom w:val="nil"/>
              <w:right w:val="nil"/>
            </w:tcBorders>
            <w:noWrap/>
            <w:vAlign w:val="bottom"/>
          </w:tcPr>
          <w:p w:rsidR="000209A5" w:rsidRPr="0005031F" w:rsidRDefault="000209A5" w:rsidP="00CE68B3">
            <w:pPr>
              <w:rPr>
                <w:rFonts w:ascii="Calibri" w:hAnsi="Calibri" w:cs="Calibri"/>
                <w:color w:val="000000"/>
              </w:rPr>
            </w:pPr>
          </w:p>
        </w:tc>
        <w:tc>
          <w:tcPr>
            <w:tcW w:w="146" w:type="dxa"/>
            <w:tcBorders>
              <w:top w:val="nil"/>
              <w:left w:val="nil"/>
              <w:bottom w:val="nil"/>
              <w:right w:val="nil"/>
            </w:tcBorders>
            <w:noWrap/>
            <w:vAlign w:val="bottom"/>
          </w:tcPr>
          <w:p w:rsidR="000209A5" w:rsidRPr="0005031F" w:rsidRDefault="000209A5" w:rsidP="00CE68B3">
            <w:pPr>
              <w:rPr>
                <w:rFonts w:ascii="Calibri" w:hAnsi="Calibri" w:cs="Calibri"/>
                <w:color w:val="000000"/>
              </w:rPr>
            </w:pPr>
          </w:p>
        </w:tc>
        <w:tc>
          <w:tcPr>
            <w:tcW w:w="1060" w:type="dxa"/>
            <w:tcBorders>
              <w:top w:val="nil"/>
              <w:left w:val="nil"/>
              <w:bottom w:val="nil"/>
              <w:right w:val="nil"/>
            </w:tcBorders>
            <w:noWrap/>
            <w:vAlign w:val="bottom"/>
          </w:tcPr>
          <w:p w:rsidR="000209A5" w:rsidRPr="0005031F" w:rsidRDefault="000209A5" w:rsidP="00CE68B3">
            <w:pPr>
              <w:rPr>
                <w:rFonts w:ascii="Calibri" w:hAnsi="Calibri" w:cs="Calibri"/>
                <w:color w:val="000000"/>
              </w:rPr>
            </w:pPr>
          </w:p>
        </w:tc>
        <w:tc>
          <w:tcPr>
            <w:tcW w:w="146" w:type="dxa"/>
            <w:tcBorders>
              <w:top w:val="nil"/>
              <w:left w:val="nil"/>
              <w:bottom w:val="nil"/>
              <w:right w:val="nil"/>
            </w:tcBorders>
            <w:noWrap/>
            <w:vAlign w:val="bottom"/>
          </w:tcPr>
          <w:p w:rsidR="000209A5" w:rsidRPr="0005031F" w:rsidRDefault="000209A5" w:rsidP="00CE68B3">
            <w:pPr>
              <w:rPr>
                <w:rFonts w:ascii="Calibri" w:hAnsi="Calibri" w:cs="Calibri"/>
                <w:color w:val="000000"/>
              </w:rPr>
            </w:pPr>
          </w:p>
        </w:tc>
        <w:tc>
          <w:tcPr>
            <w:tcW w:w="1060" w:type="dxa"/>
            <w:tcBorders>
              <w:top w:val="nil"/>
              <w:left w:val="nil"/>
              <w:bottom w:val="nil"/>
              <w:right w:val="nil"/>
            </w:tcBorders>
            <w:noWrap/>
            <w:vAlign w:val="bottom"/>
          </w:tcPr>
          <w:p w:rsidR="000209A5" w:rsidRPr="0005031F" w:rsidRDefault="000209A5" w:rsidP="00CE68B3">
            <w:pPr>
              <w:rPr>
                <w:rFonts w:ascii="Calibri" w:hAnsi="Calibri" w:cs="Calibri"/>
                <w:color w:val="000000"/>
              </w:rPr>
            </w:pPr>
          </w:p>
        </w:tc>
        <w:tc>
          <w:tcPr>
            <w:tcW w:w="146" w:type="dxa"/>
            <w:tcBorders>
              <w:top w:val="nil"/>
              <w:left w:val="nil"/>
              <w:bottom w:val="nil"/>
              <w:right w:val="nil"/>
            </w:tcBorders>
            <w:noWrap/>
            <w:vAlign w:val="bottom"/>
          </w:tcPr>
          <w:p w:rsidR="000209A5" w:rsidRPr="0005031F" w:rsidRDefault="000209A5" w:rsidP="00CE68B3">
            <w:pPr>
              <w:rPr>
                <w:rFonts w:ascii="Calibri" w:hAnsi="Calibri" w:cs="Calibri"/>
                <w:color w:val="000000"/>
              </w:rPr>
            </w:pPr>
          </w:p>
        </w:tc>
        <w:tc>
          <w:tcPr>
            <w:tcW w:w="1060" w:type="dxa"/>
            <w:tcBorders>
              <w:top w:val="nil"/>
              <w:left w:val="nil"/>
              <w:bottom w:val="nil"/>
              <w:right w:val="nil"/>
            </w:tcBorders>
            <w:noWrap/>
            <w:vAlign w:val="bottom"/>
          </w:tcPr>
          <w:p w:rsidR="000209A5" w:rsidRPr="0005031F" w:rsidRDefault="000209A5" w:rsidP="00CE68B3">
            <w:pPr>
              <w:rPr>
                <w:rFonts w:ascii="Calibri" w:hAnsi="Calibri" w:cs="Calibri"/>
                <w:color w:val="000000"/>
              </w:rPr>
            </w:pPr>
          </w:p>
        </w:tc>
        <w:tc>
          <w:tcPr>
            <w:tcW w:w="146" w:type="dxa"/>
            <w:tcBorders>
              <w:top w:val="nil"/>
              <w:left w:val="nil"/>
              <w:bottom w:val="nil"/>
              <w:right w:val="nil"/>
            </w:tcBorders>
            <w:noWrap/>
            <w:vAlign w:val="bottom"/>
          </w:tcPr>
          <w:p w:rsidR="000209A5" w:rsidRPr="0005031F" w:rsidRDefault="000209A5" w:rsidP="00CE68B3">
            <w:pPr>
              <w:rPr>
                <w:rFonts w:ascii="Calibri" w:hAnsi="Calibri" w:cs="Calibri"/>
                <w:color w:val="000000"/>
              </w:rPr>
            </w:pPr>
          </w:p>
        </w:tc>
        <w:tc>
          <w:tcPr>
            <w:tcW w:w="1255" w:type="dxa"/>
            <w:tcBorders>
              <w:top w:val="nil"/>
              <w:left w:val="nil"/>
              <w:bottom w:val="nil"/>
              <w:right w:val="nil"/>
            </w:tcBorders>
            <w:noWrap/>
            <w:vAlign w:val="bottom"/>
          </w:tcPr>
          <w:p w:rsidR="000209A5" w:rsidRPr="0005031F" w:rsidRDefault="000209A5" w:rsidP="00CE68B3">
            <w:pPr>
              <w:rPr>
                <w:rFonts w:ascii="Calibri" w:hAnsi="Calibri" w:cs="Calibri"/>
                <w:color w:val="000000"/>
              </w:rPr>
            </w:pP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1</w:t>
            </w: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r w:rsidRPr="0005031F">
              <w:rPr>
                <w:rFonts w:ascii="Calibri" w:hAnsi="Calibri" w:cs="Calibri"/>
                <w:color w:val="000000"/>
                <w:sz w:val="20"/>
                <w:szCs w:val="20"/>
              </w:rPr>
              <w:t>CON→CON</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29531,5</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30033,1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1,0170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30084,1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98,2</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99,8</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62,7</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Pr>
                <w:rFonts w:ascii="Calibri" w:hAnsi="Calibri" w:cs="Calibri"/>
                <w:color w:val="000000"/>
                <w:sz w:val="20"/>
                <w:szCs w:val="20"/>
              </w:rPr>
              <w:t>2</w:t>
            </w: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r w:rsidRPr="0005031F">
              <w:rPr>
                <w:rFonts w:ascii="Calibri" w:hAnsi="Calibri" w:cs="Calibri"/>
                <w:color w:val="000000"/>
                <w:sz w:val="20"/>
                <w:szCs w:val="20"/>
              </w:rPr>
              <w:t>CON→NMT</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1875,4</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2164,1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1,1539</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2344,8</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80,0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92,3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4,5</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Pr>
                <w:rFonts w:ascii="Calibri" w:hAnsi="Calibri" w:cs="Calibri"/>
                <w:color w:val="000000"/>
                <w:sz w:val="20"/>
                <w:szCs w:val="20"/>
              </w:rPr>
              <w:t>3</w:t>
            </w: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r w:rsidRPr="0005031F">
              <w:rPr>
                <w:rFonts w:ascii="Calibri" w:hAnsi="Calibri" w:cs="Calibri"/>
                <w:color w:val="000000"/>
                <w:sz w:val="20"/>
                <w:szCs w:val="20"/>
              </w:rPr>
              <w:t>CON→MPR</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1886,8</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1976,5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1,0475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2163,4</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87,2</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91,4</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4,1</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Pr>
                <w:rFonts w:ascii="Calibri" w:hAnsi="Calibri" w:cs="Calibri"/>
                <w:color w:val="000000"/>
                <w:sz w:val="20"/>
                <w:szCs w:val="20"/>
              </w:rPr>
              <w:t>4</w:t>
            </w: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r w:rsidRPr="0005031F">
              <w:rPr>
                <w:rFonts w:ascii="Calibri" w:hAnsi="Calibri" w:cs="Calibri"/>
                <w:color w:val="000000"/>
                <w:sz w:val="20"/>
                <w:szCs w:val="20"/>
              </w:rPr>
              <w:t>CON→WOD</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586,7</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683,3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1,1646</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752,7</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78,0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90,8</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1,4</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Pr>
                <w:rFonts w:ascii="Calibri" w:hAnsi="Calibri" w:cs="Calibri"/>
                <w:color w:val="000000"/>
                <w:sz w:val="20"/>
                <w:szCs w:val="20"/>
              </w:rPr>
              <w:t>5</w:t>
            </w: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r w:rsidRPr="0005031F">
              <w:rPr>
                <w:rFonts w:ascii="Calibri" w:hAnsi="Calibri" w:cs="Calibri"/>
                <w:color w:val="000000"/>
                <w:sz w:val="20"/>
                <w:szCs w:val="20"/>
              </w:rPr>
              <w:t>CON→EMC</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298,0</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298,0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377,5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78,9</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78,9</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0,6</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Pr>
                <w:rFonts w:ascii="Calibri" w:hAnsi="Calibri" w:cs="Calibri"/>
                <w:color w:val="000000"/>
                <w:sz w:val="20"/>
                <w:szCs w:val="20"/>
              </w:rPr>
              <w:t>6</w:t>
            </w: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r w:rsidRPr="0005031F">
              <w:rPr>
                <w:rFonts w:ascii="Calibri" w:hAnsi="Calibri" w:cs="Calibri"/>
                <w:color w:val="000000"/>
                <w:sz w:val="20"/>
                <w:szCs w:val="20"/>
              </w:rPr>
              <w:t>CON→R+P</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245,3</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245,3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400,3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61,3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61,3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0,5</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Pr>
                <w:rFonts w:ascii="Calibri" w:hAnsi="Calibri" w:cs="Calibri"/>
                <w:color w:val="000000"/>
                <w:sz w:val="20"/>
                <w:szCs w:val="20"/>
              </w:rPr>
              <w:t>7</w:t>
            </w: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r w:rsidRPr="0005031F">
              <w:rPr>
                <w:rFonts w:ascii="Calibri" w:hAnsi="Calibri" w:cs="Calibri"/>
                <w:color w:val="000000"/>
                <w:sz w:val="20"/>
                <w:szCs w:val="20"/>
              </w:rPr>
              <w:t>CON→MCH</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212,3</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212,3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336,2</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63,1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63,1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0,4</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Pr>
                <w:rFonts w:ascii="Calibri" w:hAnsi="Calibri" w:cs="Calibri"/>
                <w:color w:val="000000"/>
                <w:sz w:val="20"/>
                <w:szCs w:val="20"/>
              </w:rPr>
              <w:t>8</w:t>
            </w: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r w:rsidRPr="0005031F">
              <w:rPr>
                <w:rFonts w:ascii="Calibri" w:hAnsi="Calibri" w:cs="Calibri"/>
                <w:color w:val="000000"/>
                <w:sz w:val="20"/>
                <w:szCs w:val="20"/>
              </w:rPr>
              <w:t>CON→CHM</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65,0</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65,0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201,2</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32,3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32,3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0,1</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Pr>
                <w:rFonts w:ascii="Calibri" w:hAnsi="Calibri" w:cs="Calibri"/>
                <w:color w:val="000000"/>
                <w:sz w:val="20"/>
                <w:szCs w:val="20"/>
              </w:rPr>
              <w:t>9</w:t>
            </w: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r w:rsidRPr="0005031F">
              <w:rPr>
                <w:rFonts w:ascii="Calibri" w:hAnsi="Calibri" w:cs="Calibri"/>
                <w:color w:val="000000"/>
                <w:sz w:val="20"/>
                <w:szCs w:val="20"/>
              </w:rPr>
              <w:t>CON→EGW</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56,2</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56,2</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229,8</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24,5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24,5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0,1</w:t>
            </w:r>
          </w:p>
        </w:tc>
      </w:tr>
      <w:tr w:rsidR="000209A5" w:rsidRPr="0005031F" w:rsidTr="00A82722">
        <w:trPr>
          <w:gridAfter w:val="1"/>
          <w:wAfter w:w="146" w:type="dxa"/>
          <w:trHeight w:val="312"/>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1</w:t>
            </w:r>
            <w:r>
              <w:rPr>
                <w:rFonts w:ascii="Calibri" w:hAnsi="Calibri" w:cs="Calibri"/>
                <w:color w:val="000000"/>
                <w:sz w:val="20"/>
                <w:szCs w:val="20"/>
              </w:rPr>
              <w:t>0</w:t>
            </w: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r w:rsidRPr="0005031F">
              <w:rPr>
                <w:rFonts w:ascii="Calibri" w:hAnsi="Calibri" w:cs="Calibri"/>
                <w:color w:val="000000"/>
                <w:sz w:val="20"/>
                <w:szCs w:val="20"/>
              </w:rPr>
              <w:t xml:space="preserve">CON→BMT </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532,2</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664,3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814,5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65,3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81,6</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1,4</w:t>
            </w:r>
          </w:p>
        </w:tc>
      </w:tr>
      <w:tr w:rsidR="000209A5" w:rsidRPr="0005031F" w:rsidTr="00A82722">
        <w:trPr>
          <w:gridAfter w:val="1"/>
          <w:wAfter w:w="146" w:type="dxa"/>
          <w:trHeight w:val="312"/>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CON→MPR→BMT</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116,4</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121,9</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1,0474</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14,3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15,0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0,3</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CON→BMT</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415,8</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542,4</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1,3044</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51,1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66,6</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1,1</w:t>
            </w:r>
          </w:p>
        </w:tc>
      </w:tr>
      <w:tr w:rsidR="000209A5" w:rsidRPr="0005031F" w:rsidTr="00A82722">
        <w:trPr>
          <w:gridAfter w:val="1"/>
          <w:wAfter w:w="146" w:type="dxa"/>
          <w:trHeight w:val="312"/>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11</w:t>
            </w: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r w:rsidRPr="0005031F">
              <w:rPr>
                <w:rFonts w:ascii="Calibri" w:hAnsi="Calibri" w:cs="Calibri"/>
                <w:color w:val="000000"/>
                <w:sz w:val="20"/>
                <w:szCs w:val="20"/>
              </w:rPr>
              <w:t xml:space="preserve">CON→MNG </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654,6</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693,1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932,3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70,2</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74,3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1,4</w:t>
            </w:r>
          </w:p>
        </w:tc>
      </w:tr>
      <w:tr w:rsidR="000209A5" w:rsidRPr="0005031F" w:rsidTr="00A82722">
        <w:trPr>
          <w:gridAfter w:val="1"/>
          <w:wAfter w:w="146" w:type="dxa"/>
          <w:trHeight w:val="312"/>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CON→NMT→MNG</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250,7</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289,2</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1,1537</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26,9</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31,0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0,6</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CON→MNG</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403,9</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403,9</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20"/>
                <w:szCs w:val="20"/>
              </w:rPr>
              <w:t>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43,3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43,3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0,8</w:t>
            </w:r>
          </w:p>
        </w:tc>
      </w:tr>
      <w:tr w:rsidR="000209A5" w:rsidRPr="0005031F" w:rsidTr="00A82722">
        <w:trPr>
          <w:gridAfter w:val="1"/>
          <w:wAfter w:w="146" w:type="dxa"/>
          <w:trHeight w:val="276"/>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1</w:t>
            </w:r>
            <w:r>
              <w:rPr>
                <w:rFonts w:ascii="Calibri" w:hAnsi="Calibri" w:cs="Calibri"/>
                <w:color w:val="000000"/>
                <w:sz w:val="20"/>
                <w:szCs w:val="20"/>
              </w:rPr>
              <w:t>2</w:t>
            </w: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r w:rsidRPr="0005031F">
              <w:rPr>
                <w:rFonts w:ascii="Calibri" w:hAnsi="Calibri" w:cs="Calibri"/>
                <w:color w:val="000000"/>
                <w:sz w:val="20"/>
                <w:szCs w:val="20"/>
              </w:rPr>
              <w:t xml:space="preserve">CON→AGR </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408,9</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457,4</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1375,9</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29,7</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33,2</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1,0</w:t>
            </w:r>
          </w:p>
        </w:tc>
      </w:tr>
      <w:tr w:rsidR="000209A5" w:rsidRPr="0005031F" w:rsidTr="00A82722">
        <w:trPr>
          <w:gridAfter w:val="1"/>
          <w:wAfter w:w="146" w:type="dxa"/>
          <w:trHeight w:val="288"/>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CON→WOD→AGR</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226,8</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264,2</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1,1650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16,5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19,2</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0,6</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CON→TRD→AGR</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182,1</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193,1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1,0606</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13,2</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14,0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0,4</w:t>
            </w:r>
          </w:p>
        </w:tc>
      </w:tr>
      <w:tr w:rsidR="000209A5" w:rsidRPr="0005031F" w:rsidTr="00A82722">
        <w:trPr>
          <w:gridAfter w:val="1"/>
          <w:wAfter w:w="146" w:type="dxa"/>
          <w:trHeight w:val="312"/>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13</w:t>
            </w: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r w:rsidRPr="0005031F">
              <w:rPr>
                <w:rFonts w:ascii="Calibri" w:hAnsi="Calibri" w:cs="Calibri"/>
                <w:color w:val="000000"/>
                <w:sz w:val="20"/>
                <w:szCs w:val="20"/>
              </w:rPr>
              <w:t xml:space="preserve">CON→FNC </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359,3</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362,4</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692,4</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51,9</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52,3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0,8</w:t>
            </w:r>
          </w:p>
        </w:tc>
      </w:tr>
      <w:tr w:rsidR="000209A5" w:rsidRPr="0005031F" w:rsidTr="00A82722">
        <w:trPr>
          <w:gridAfter w:val="1"/>
          <w:wAfter w:w="146" w:type="dxa"/>
          <w:trHeight w:val="312"/>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CON→TRD→FNC</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51,5</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54,5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1,0599</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7,4</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7,9</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0,1</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CON→FNC</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307,9</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307,9</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20"/>
                <w:szCs w:val="20"/>
              </w:rPr>
              <w:t>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44,5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44,5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0,6</w:t>
            </w:r>
          </w:p>
        </w:tc>
      </w:tr>
      <w:tr w:rsidR="000209A5" w:rsidRPr="0005031F" w:rsidTr="00A82722">
        <w:trPr>
          <w:gridAfter w:val="1"/>
          <w:wAfter w:w="146" w:type="dxa"/>
          <w:trHeight w:val="312"/>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14</w:t>
            </w: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r w:rsidRPr="0005031F">
              <w:rPr>
                <w:rFonts w:ascii="Calibri" w:hAnsi="Calibri" w:cs="Calibri"/>
                <w:color w:val="000000"/>
                <w:sz w:val="20"/>
                <w:szCs w:val="20"/>
              </w:rPr>
              <w:t xml:space="preserve">CON→TRN </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561,0</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694,8</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1090,5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51,4</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63,7</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1,5</w:t>
            </w:r>
          </w:p>
        </w:tc>
      </w:tr>
      <w:tr w:rsidR="000209A5" w:rsidRPr="0005031F" w:rsidTr="00A82722">
        <w:trPr>
          <w:gridAfter w:val="1"/>
          <w:wAfter w:w="146" w:type="dxa"/>
          <w:trHeight w:val="312"/>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CON→NMT→TRN</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62,5</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87,3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1,3958</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5,7</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8,0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0,2</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CON→TRD→TRN</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49,1</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63,0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1,2822</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5,8</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0,1</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CON→TRN</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449,4</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544,6</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1,2118</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41,2</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49,9</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1,1</w:t>
            </w:r>
          </w:p>
        </w:tc>
      </w:tr>
      <w:tr w:rsidR="000209A5" w:rsidRPr="0005031F" w:rsidTr="00A82722">
        <w:trPr>
          <w:gridAfter w:val="1"/>
          <w:wAfter w:w="146" w:type="dxa"/>
          <w:trHeight w:val="312"/>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20"/>
                <w:szCs w:val="20"/>
              </w:rPr>
            </w:pPr>
            <w:r w:rsidRPr="0005031F">
              <w:rPr>
                <w:rFonts w:ascii="Calibri" w:hAnsi="Calibri" w:cs="Calibri"/>
                <w:color w:val="000000"/>
                <w:sz w:val="20"/>
                <w:szCs w:val="20"/>
              </w:rPr>
              <w:t>15</w:t>
            </w: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sz w:val="20"/>
                <w:szCs w:val="20"/>
              </w:rPr>
            </w:pPr>
            <w:r w:rsidRPr="0005031F">
              <w:rPr>
                <w:rFonts w:ascii="Calibri" w:hAnsi="Calibri" w:cs="Calibri"/>
                <w:color w:val="000000"/>
                <w:sz w:val="20"/>
                <w:szCs w:val="20"/>
              </w:rPr>
              <w:t>CON→TRD</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3917,0</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4282,8</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5328,3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73,5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80,4</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20"/>
                <w:szCs w:val="20"/>
              </w:rPr>
            </w:pPr>
            <w:r w:rsidRPr="0005031F">
              <w:rPr>
                <w:rFonts w:ascii="Calibri" w:hAnsi="Calibri" w:cs="Calibri"/>
                <w:color w:val="000000"/>
                <w:sz w:val="20"/>
                <w:szCs w:val="20"/>
              </w:rPr>
              <w:t>8,9</w:t>
            </w:r>
          </w:p>
        </w:tc>
      </w:tr>
      <w:tr w:rsidR="000209A5" w:rsidRPr="0005031F" w:rsidTr="00A82722">
        <w:trPr>
          <w:gridAfter w:val="1"/>
          <w:wAfter w:w="146" w:type="dxa"/>
          <w:trHeight w:val="312"/>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CON→MNG→TRD</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53,0</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53,0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20"/>
                <w:szCs w:val="20"/>
              </w:rPr>
              <w:t>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0,1</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CON→WOD→TRD</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67,2</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82,9</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1,2338</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1,6</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0,2</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CON→R+P→TRD</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48,0</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48,0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20"/>
                <w:szCs w:val="20"/>
              </w:rPr>
              <w:t>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0,9</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0,9</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0,1</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CON→BMT→TRD</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165,3</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221,0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1,3370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3,1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0,5</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CON→MPR→TRD</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215,6</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239,3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1,1098</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4,5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0,5</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CON→NMT→TRD</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318,2</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388,6</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1,2212</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6,0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7,3</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0,8</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CON→EMC→TRD</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78,8</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78,8</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20"/>
                <w:szCs w:val="20"/>
              </w:rPr>
              <w:t>1</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0,2</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CON→TRN→TRD</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104,7</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134,2</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1,2825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2,0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2,5</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0,3</w:t>
            </w:r>
          </w:p>
        </w:tc>
      </w:tr>
      <w:tr w:rsidR="000209A5" w:rsidRPr="0005031F" w:rsidTr="00A82722">
        <w:trPr>
          <w:gridAfter w:val="1"/>
          <w:wAfter w:w="146" w:type="dxa"/>
          <w:trHeight w:val="264"/>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sz w:val="18"/>
                <w:szCs w:val="18"/>
              </w:rPr>
            </w:pPr>
          </w:p>
        </w:tc>
        <w:tc>
          <w:tcPr>
            <w:tcW w:w="200"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p>
        </w:tc>
        <w:tc>
          <w:tcPr>
            <w:tcW w:w="1584" w:type="dxa"/>
            <w:tcBorders>
              <w:top w:val="nil"/>
              <w:left w:val="nil"/>
              <w:bottom w:val="nil"/>
              <w:right w:val="nil"/>
            </w:tcBorders>
            <w:noWrap/>
            <w:vAlign w:val="bottom"/>
          </w:tcPr>
          <w:p w:rsidR="000209A5" w:rsidRPr="0005031F" w:rsidRDefault="000209A5" w:rsidP="00CE68B3">
            <w:pPr>
              <w:rPr>
                <w:rFonts w:ascii="Calibri" w:hAnsi="Calibri" w:cs="Calibri"/>
                <w:color w:val="000000"/>
                <w:sz w:val="18"/>
                <w:szCs w:val="18"/>
              </w:rPr>
            </w:pPr>
            <w:r w:rsidRPr="0005031F">
              <w:rPr>
                <w:rFonts w:ascii="Calibri" w:hAnsi="Calibri" w:cs="Calibri"/>
                <w:color w:val="000000"/>
                <w:sz w:val="18"/>
                <w:szCs w:val="18"/>
              </w:rPr>
              <w:t>CON→TRD</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2866,2</w:t>
            </w: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3037,0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1,0596</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53,8</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57,0</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sz w:val="18"/>
                <w:szCs w:val="18"/>
              </w:rPr>
            </w:pPr>
            <w:r w:rsidRPr="0005031F">
              <w:rPr>
                <w:rFonts w:ascii="Calibri" w:hAnsi="Calibri" w:cs="Calibri"/>
                <w:color w:val="000000"/>
                <w:sz w:val="18"/>
                <w:szCs w:val="18"/>
              </w:rPr>
              <w:t>6,3</w:t>
            </w:r>
          </w:p>
        </w:tc>
      </w:tr>
      <w:tr w:rsidR="000209A5" w:rsidRPr="0005031F" w:rsidTr="00A82722">
        <w:trPr>
          <w:trHeight w:val="360"/>
        </w:trPr>
        <w:tc>
          <w:tcPr>
            <w:tcW w:w="343" w:type="dxa"/>
            <w:tcBorders>
              <w:top w:val="nil"/>
              <w:left w:val="nil"/>
              <w:bottom w:val="nil"/>
              <w:right w:val="nil"/>
            </w:tcBorders>
            <w:noWrap/>
            <w:vAlign w:val="bottom"/>
          </w:tcPr>
          <w:p w:rsidR="000209A5" w:rsidRPr="0005031F" w:rsidRDefault="000209A5" w:rsidP="00CE68B3">
            <w:pPr>
              <w:jc w:val="center"/>
              <w:rPr>
                <w:rFonts w:ascii="Calibri" w:hAnsi="Calibri" w:cs="Calibri"/>
                <w:color w:val="000000"/>
              </w:rPr>
            </w:pPr>
          </w:p>
        </w:tc>
        <w:tc>
          <w:tcPr>
            <w:tcW w:w="1784" w:type="dxa"/>
            <w:gridSpan w:val="2"/>
            <w:tcBorders>
              <w:top w:val="nil"/>
              <w:left w:val="nil"/>
              <w:bottom w:val="nil"/>
              <w:right w:val="nil"/>
            </w:tcBorders>
            <w:noWrap/>
            <w:vAlign w:val="bottom"/>
          </w:tcPr>
          <w:p w:rsidR="000209A5" w:rsidRPr="0005031F" w:rsidRDefault="000209A5" w:rsidP="00CE68B3">
            <w:pPr>
              <w:rPr>
                <w:rFonts w:ascii="Calibri" w:hAnsi="Calibri" w:cs="Calibri"/>
                <w:color w:val="000000"/>
              </w:rPr>
            </w:pPr>
            <w:r w:rsidRPr="0005031F">
              <w:rPr>
                <w:rFonts w:ascii="Calibri" w:hAnsi="Calibri" w:cs="Calibri"/>
                <w:color w:val="000000"/>
              </w:rPr>
              <w:t xml:space="preserve">CON→Economy </w:t>
            </w: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rPr>
            </w:pPr>
          </w:p>
        </w:tc>
        <w:tc>
          <w:tcPr>
            <w:tcW w:w="1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rPr>
            </w:pPr>
            <w:r w:rsidRPr="0005031F">
              <w:rPr>
                <w:rFonts w:ascii="Calibri" w:hAnsi="Calibri" w:cs="Calibri"/>
                <w:color w:val="000000"/>
              </w:rPr>
              <w:t>42888,6</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rPr>
            </w:pPr>
            <w:r w:rsidRPr="0005031F">
              <w:rPr>
                <w:rFonts w:ascii="Calibri" w:hAnsi="Calibri" w:cs="Calibri"/>
                <w:color w:val="000000"/>
              </w:rPr>
              <w:t>47912,2</w:t>
            </w: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rPr>
            </w:pPr>
          </w:p>
        </w:tc>
        <w:tc>
          <w:tcPr>
            <w:tcW w:w="1060"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rPr>
            </w:pPr>
          </w:p>
        </w:tc>
        <w:tc>
          <w:tcPr>
            <w:tcW w:w="146"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rPr>
            </w:pPr>
          </w:p>
        </w:tc>
        <w:tc>
          <w:tcPr>
            <w:tcW w:w="1255" w:type="dxa"/>
            <w:tcBorders>
              <w:top w:val="nil"/>
              <w:left w:val="nil"/>
              <w:bottom w:val="nil"/>
              <w:right w:val="nil"/>
            </w:tcBorders>
            <w:noWrap/>
            <w:vAlign w:val="bottom"/>
          </w:tcPr>
          <w:p w:rsidR="000209A5" w:rsidRPr="0005031F" w:rsidRDefault="000209A5" w:rsidP="00CE68B3">
            <w:pPr>
              <w:jc w:val="right"/>
              <w:rPr>
                <w:rFonts w:ascii="Calibri" w:hAnsi="Calibri" w:cs="Calibri"/>
                <w:color w:val="000000"/>
              </w:rPr>
            </w:pPr>
            <w:r w:rsidRPr="0005031F">
              <w:rPr>
                <w:rFonts w:ascii="Calibri" w:hAnsi="Calibri" w:cs="Calibri"/>
                <w:color w:val="000000"/>
              </w:rPr>
              <w:t>89,5</w:t>
            </w:r>
          </w:p>
        </w:tc>
        <w:tc>
          <w:tcPr>
            <w:tcW w:w="146" w:type="dxa"/>
            <w:vAlign w:val="bottom"/>
          </w:tcPr>
          <w:p w:rsidR="000209A5" w:rsidRPr="0005031F" w:rsidRDefault="000209A5" w:rsidP="00CE68B3">
            <w:pPr>
              <w:jc w:val="right"/>
              <w:rPr>
                <w:rFonts w:ascii="Calibri" w:hAnsi="Calibri" w:cs="Calibri"/>
                <w:color w:val="000000"/>
              </w:rPr>
            </w:pPr>
          </w:p>
        </w:tc>
      </w:tr>
    </w:tbl>
    <w:p w:rsidR="000209A5" w:rsidRDefault="000209A5" w:rsidP="00B94344">
      <w:pPr>
        <w:rPr>
          <w:lang w:val="en-GB"/>
        </w:rPr>
      </w:pPr>
    </w:p>
    <w:p w:rsidR="000209A5" w:rsidRDefault="000209A5" w:rsidP="00B94344">
      <w:pPr>
        <w:jc w:val="both"/>
        <w:rPr>
          <w:lang w:val="en-GB"/>
        </w:rPr>
      </w:pPr>
    </w:p>
    <w:p w:rsidR="000209A5" w:rsidRDefault="000209A5" w:rsidP="00B94344">
      <w:pPr>
        <w:jc w:val="both"/>
        <w:rPr>
          <w:lang w:val="en-GB"/>
        </w:rPr>
      </w:pPr>
    </w:p>
    <w:p w:rsidR="000209A5" w:rsidRDefault="000209A5" w:rsidP="00B94344">
      <w:pPr>
        <w:jc w:val="both"/>
        <w:rPr>
          <w:lang w:val="en-GB"/>
        </w:rPr>
      </w:pPr>
    </w:p>
    <w:p w:rsidR="000209A5" w:rsidRDefault="000209A5" w:rsidP="00B94344">
      <w:pPr>
        <w:jc w:val="both"/>
        <w:rPr>
          <w:lang w:val="en-GB"/>
        </w:rPr>
      </w:pPr>
    </w:p>
    <w:p w:rsidR="000209A5" w:rsidRDefault="000209A5" w:rsidP="00B94344">
      <w:pPr>
        <w:jc w:val="both"/>
        <w:rPr>
          <w:lang w:val="en-GB"/>
        </w:rPr>
      </w:pPr>
    </w:p>
    <w:p w:rsidR="000209A5" w:rsidRDefault="000209A5" w:rsidP="00B94344">
      <w:pPr>
        <w:jc w:val="both"/>
        <w:rPr>
          <w:lang w:val="en-GB"/>
        </w:rPr>
      </w:pPr>
      <w:r>
        <w:rPr>
          <w:lang w:val="en-GB"/>
        </w:rPr>
        <w:lastRenderedPageBreak/>
        <w:t>Figure 1. Gross value added in Construction sector, %, 1998 prices</w:t>
      </w:r>
    </w:p>
    <w:p w:rsidR="000209A5" w:rsidRDefault="0029483C" w:rsidP="00B94344">
      <w:pPr>
        <w:rPr>
          <w:lang w:val="en-GB"/>
        </w:rPr>
      </w:pPr>
      <w:r>
        <w:rPr>
          <w:noProof/>
        </w:rPr>
        <w:drawing>
          <wp:inline distT="0" distB="0" distL="0" distR="0">
            <wp:extent cx="4924425" cy="2762250"/>
            <wp:effectExtent l="19050" t="0" r="9525" b="0"/>
            <wp:docPr id="8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44"/>
                    <a:srcRect/>
                    <a:stretch>
                      <a:fillRect/>
                    </a:stretch>
                  </pic:blipFill>
                  <pic:spPr bwMode="auto">
                    <a:xfrm>
                      <a:off x="0" y="0"/>
                      <a:ext cx="4924425" cy="2762250"/>
                    </a:xfrm>
                    <a:prstGeom prst="rect">
                      <a:avLst/>
                    </a:prstGeom>
                    <a:noFill/>
                    <a:ln w="9525">
                      <a:noFill/>
                      <a:miter lim="800000"/>
                      <a:headEnd/>
                      <a:tailEnd/>
                    </a:ln>
                  </pic:spPr>
                </pic:pic>
              </a:graphicData>
            </a:graphic>
          </wp:inline>
        </w:drawing>
      </w: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r>
        <w:rPr>
          <w:lang w:val="en-GB"/>
        </w:rPr>
        <w:t>Figure2. GDP share of Construction sector, %, 1998 prices</w:t>
      </w:r>
    </w:p>
    <w:p w:rsidR="000209A5" w:rsidRDefault="0029483C" w:rsidP="00B94344">
      <w:pPr>
        <w:rPr>
          <w:lang w:val="en-GB"/>
        </w:rPr>
      </w:pPr>
      <w:r>
        <w:rPr>
          <w:noProof/>
        </w:rPr>
        <w:drawing>
          <wp:inline distT="0" distB="0" distL="0" distR="0">
            <wp:extent cx="4733925" cy="2752725"/>
            <wp:effectExtent l="19050" t="0" r="9525" b="0"/>
            <wp:docPr id="8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45"/>
                    <a:srcRect/>
                    <a:stretch>
                      <a:fillRect/>
                    </a:stretch>
                  </pic:blipFill>
                  <pic:spPr bwMode="auto">
                    <a:xfrm>
                      <a:off x="0" y="0"/>
                      <a:ext cx="4733925" cy="2752725"/>
                    </a:xfrm>
                    <a:prstGeom prst="rect">
                      <a:avLst/>
                    </a:prstGeom>
                    <a:noFill/>
                    <a:ln w="9525">
                      <a:noFill/>
                      <a:miter lim="800000"/>
                      <a:headEnd/>
                      <a:tailEnd/>
                    </a:ln>
                  </pic:spPr>
                </pic:pic>
              </a:graphicData>
            </a:graphic>
          </wp:inline>
        </w:drawing>
      </w: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Pr="00DC4F0C" w:rsidRDefault="000209A5" w:rsidP="00B94344">
      <w:pPr>
        <w:rPr>
          <w:lang w:val="en-GB"/>
        </w:rPr>
      </w:pPr>
      <w:r>
        <w:rPr>
          <w:lang w:val="en-GB"/>
        </w:rPr>
        <w:lastRenderedPageBreak/>
        <w:t>F</w:t>
      </w:r>
      <w:r w:rsidRPr="00DC4F0C">
        <w:rPr>
          <w:lang w:val="en-GB"/>
        </w:rPr>
        <w:t>igure 3. Share of Construction sector in employment, %</w:t>
      </w:r>
    </w:p>
    <w:p w:rsidR="000209A5" w:rsidRDefault="0029483C" w:rsidP="00B94344">
      <w:pPr>
        <w:rPr>
          <w:lang w:val="en-GB"/>
        </w:rPr>
      </w:pPr>
      <w:r>
        <w:rPr>
          <w:noProof/>
        </w:rPr>
        <w:drawing>
          <wp:inline distT="0" distB="0" distL="0" distR="0">
            <wp:extent cx="4581525" cy="2752725"/>
            <wp:effectExtent l="19050" t="0" r="9525" b="0"/>
            <wp:docPr id="8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6"/>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0209A5" w:rsidRDefault="000209A5" w:rsidP="00B94344">
      <w:pPr>
        <w:ind w:left="992" w:hanging="992"/>
        <w:jc w:val="both"/>
        <w:rPr>
          <w:lang w:val="en-GB"/>
        </w:rPr>
      </w:pPr>
    </w:p>
    <w:p w:rsidR="000209A5" w:rsidRDefault="000209A5" w:rsidP="00B94344">
      <w:pPr>
        <w:ind w:left="992" w:hanging="992"/>
        <w:jc w:val="both"/>
        <w:rPr>
          <w:lang w:val="en-GB"/>
        </w:rPr>
      </w:pPr>
    </w:p>
    <w:p w:rsidR="000209A5" w:rsidRDefault="000209A5" w:rsidP="00B94344">
      <w:pPr>
        <w:ind w:left="992" w:hanging="992"/>
        <w:jc w:val="both"/>
        <w:rPr>
          <w:lang w:val="en-GB"/>
        </w:rPr>
      </w:pPr>
    </w:p>
    <w:p w:rsidR="000209A5" w:rsidRDefault="000209A5" w:rsidP="00B94344">
      <w:pPr>
        <w:ind w:left="992" w:hanging="992"/>
        <w:jc w:val="both"/>
        <w:rPr>
          <w:lang w:val="en-GB"/>
        </w:rPr>
      </w:pPr>
    </w:p>
    <w:p w:rsidR="000209A5" w:rsidRDefault="000209A5" w:rsidP="00B94344">
      <w:pPr>
        <w:ind w:left="992" w:hanging="992"/>
        <w:jc w:val="both"/>
        <w:rPr>
          <w:lang w:val="en-GB"/>
        </w:rPr>
      </w:pPr>
      <w:r>
        <w:rPr>
          <w:lang w:val="en-GB"/>
        </w:rPr>
        <w:t xml:space="preserve">Figure 4. </w:t>
      </w:r>
      <w:r w:rsidRPr="00717FD0">
        <w:rPr>
          <w:lang w:val="en-GB"/>
        </w:rPr>
        <w:t>Percentage of employment induced in major sectors by a unit change in final demand of Construction sector</w:t>
      </w:r>
      <w:r>
        <w:rPr>
          <w:lang w:val="en-GB"/>
        </w:rPr>
        <w:t xml:space="preserve"> (Eq. 3)</w:t>
      </w:r>
    </w:p>
    <w:p w:rsidR="000209A5" w:rsidRDefault="0029483C" w:rsidP="00B94344">
      <w:pPr>
        <w:rPr>
          <w:lang w:val="en-GB"/>
        </w:rPr>
      </w:pPr>
      <w:r>
        <w:rPr>
          <w:noProof/>
        </w:rPr>
        <w:drawing>
          <wp:inline distT="0" distB="0" distL="0" distR="0">
            <wp:extent cx="5791200" cy="3486150"/>
            <wp:effectExtent l="19050" t="0" r="0" b="0"/>
            <wp:docPr id="89"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47"/>
                    <a:srcRect/>
                    <a:stretch>
                      <a:fillRect/>
                    </a:stretch>
                  </pic:blipFill>
                  <pic:spPr bwMode="auto">
                    <a:xfrm>
                      <a:off x="0" y="0"/>
                      <a:ext cx="5791200" cy="3486150"/>
                    </a:xfrm>
                    <a:prstGeom prst="rect">
                      <a:avLst/>
                    </a:prstGeom>
                    <a:noFill/>
                    <a:ln w="9525">
                      <a:noFill/>
                      <a:miter lim="800000"/>
                      <a:headEnd/>
                      <a:tailEnd/>
                    </a:ln>
                  </pic:spPr>
                </pic:pic>
              </a:graphicData>
            </a:graphic>
          </wp:inline>
        </w:drawing>
      </w: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Pr="00F82191" w:rsidRDefault="000209A5" w:rsidP="00B94344">
      <w:pPr>
        <w:rPr>
          <w:lang w:val="en-GB"/>
        </w:rPr>
      </w:pPr>
      <w:r>
        <w:rPr>
          <w:lang w:val="en-GB"/>
        </w:rPr>
        <w:lastRenderedPageBreak/>
        <w:t xml:space="preserve">Figure 5. </w:t>
      </w:r>
      <w:r w:rsidRPr="00F82191">
        <w:rPr>
          <w:lang w:val="en-GB"/>
        </w:rPr>
        <w:t>Captured share of sectoral total in overall in</w:t>
      </w:r>
      <w:r>
        <w:rPr>
          <w:lang w:val="en-GB"/>
        </w:rPr>
        <w:t>fluence in the whole economy (%)  SPA</w:t>
      </w:r>
    </w:p>
    <w:p w:rsidR="000209A5" w:rsidRDefault="0029483C" w:rsidP="00B94344">
      <w:pPr>
        <w:rPr>
          <w:lang w:val="en-GB"/>
        </w:rPr>
      </w:pPr>
      <w:r>
        <w:rPr>
          <w:noProof/>
        </w:rPr>
        <w:drawing>
          <wp:inline distT="0" distB="0" distL="0" distR="0">
            <wp:extent cx="5448300" cy="3467100"/>
            <wp:effectExtent l="19050" t="0" r="0" b="0"/>
            <wp:docPr id="90"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48"/>
                    <a:srcRect/>
                    <a:stretch>
                      <a:fillRect/>
                    </a:stretch>
                  </pic:blipFill>
                  <pic:spPr bwMode="auto">
                    <a:xfrm>
                      <a:off x="0" y="0"/>
                      <a:ext cx="5448300" cy="3467100"/>
                    </a:xfrm>
                    <a:prstGeom prst="rect">
                      <a:avLst/>
                    </a:prstGeom>
                    <a:noFill/>
                    <a:ln w="9525">
                      <a:noFill/>
                      <a:miter lim="800000"/>
                      <a:headEnd/>
                      <a:tailEnd/>
                    </a:ln>
                  </pic:spPr>
                </pic:pic>
              </a:graphicData>
            </a:graphic>
          </wp:inline>
        </w:drawing>
      </w:r>
    </w:p>
    <w:p w:rsidR="000209A5" w:rsidRDefault="000209A5" w:rsidP="00B94344">
      <w:pPr>
        <w:rPr>
          <w:lang w:val="en-GB"/>
        </w:rPr>
      </w:pPr>
    </w:p>
    <w:p w:rsidR="000209A5" w:rsidRDefault="000209A5" w:rsidP="00B94344">
      <w:pPr>
        <w:rPr>
          <w:lang w:val="en-GB"/>
        </w:rPr>
      </w:pPr>
    </w:p>
    <w:p w:rsidR="000209A5" w:rsidRDefault="000209A5" w:rsidP="00B94344">
      <w:pPr>
        <w:rPr>
          <w:lang w:val="en-GB"/>
        </w:rPr>
      </w:pPr>
    </w:p>
    <w:p w:rsidR="000209A5" w:rsidRDefault="000209A5" w:rsidP="00B94344">
      <w:pPr>
        <w:jc w:val="both"/>
        <w:rPr>
          <w:lang w:val="en-GB"/>
        </w:rPr>
      </w:pPr>
      <w:r>
        <w:rPr>
          <w:lang w:val="en-GB"/>
        </w:rPr>
        <w:t xml:space="preserve">Figure 6. Direct, </w:t>
      </w:r>
      <w:r w:rsidR="005D4087">
        <w:rPr>
          <w:lang w:val="en-GB"/>
        </w:rPr>
        <w:t>multiplier</w:t>
      </w:r>
      <w:r>
        <w:rPr>
          <w:lang w:val="en-GB"/>
        </w:rPr>
        <w:t xml:space="preserve"> (i.e. total – direct) and uncaptured (i.e. overall – total) parts of influences of each path, ordered by the size of total captured influence (# jobs)</w:t>
      </w:r>
    </w:p>
    <w:p w:rsidR="000209A5" w:rsidRDefault="005D4087" w:rsidP="00B94344">
      <w:pPr>
        <w:jc w:val="both"/>
        <w:rPr>
          <w:lang w:val="en-GB"/>
        </w:rPr>
      </w:pPr>
      <w:r w:rsidRPr="005D4087">
        <w:drawing>
          <wp:inline distT="0" distB="0" distL="0" distR="0">
            <wp:extent cx="5381625" cy="3233450"/>
            <wp:effectExtent l="19050" t="0" r="9525" b="0"/>
            <wp:docPr id="93" name="Resi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9"/>
                    <a:srcRect/>
                    <a:stretch>
                      <a:fillRect/>
                    </a:stretch>
                  </pic:blipFill>
                  <pic:spPr bwMode="auto">
                    <a:xfrm>
                      <a:off x="0" y="0"/>
                      <a:ext cx="5381625" cy="3233450"/>
                    </a:xfrm>
                    <a:prstGeom prst="rect">
                      <a:avLst/>
                    </a:prstGeom>
                    <a:noFill/>
                    <a:ln w="9525">
                      <a:noFill/>
                      <a:miter lim="800000"/>
                      <a:headEnd/>
                      <a:tailEnd/>
                    </a:ln>
                  </pic:spPr>
                </pic:pic>
              </a:graphicData>
            </a:graphic>
          </wp:inline>
        </w:drawing>
      </w:r>
    </w:p>
    <w:p w:rsidR="000209A5" w:rsidRDefault="000209A5" w:rsidP="00F2010C">
      <w:pPr>
        <w:spacing w:line="360" w:lineRule="auto"/>
        <w:ind w:left="360" w:hanging="360"/>
        <w:rPr>
          <w:lang w:val="en-US"/>
        </w:rPr>
      </w:pPr>
    </w:p>
    <w:p w:rsidR="000209A5" w:rsidRDefault="000209A5" w:rsidP="00F2010C">
      <w:pPr>
        <w:spacing w:line="360" w:lineRule="auto"/>
        <w:ind w:left="360" w:hanging="360"/>
        <w:rPr>
          <w:lang w:val="en-US"/>
        </w:rPr>
      </w:pPr>
    </w:p>
    <w:p w:rsidR="00CE4CBA" w:rsidRDefault="00CE4CBA" w:rsidP="00F2010C">
      <w:pPr>
        <w:spacing w:line="360" w:lineRule="auto"/>
        <w:ind w:left="360" w:hanging="360"/>
        <w:rPr>
          <w:lang w:val="en-US"/>
        </w:rPr>
      </w:pPr>
    </w:p>
    <w:p w:rsidR="00CE4CBA" w:rsidRDefault="00CE4CBA" w:rsidP="00F2010C">
      <w:pPr>
        <w:spacing w:line="360" w:lineRule="auto"/>
        <w:ind w:left="360" w:hanging="360"/>
        <w:rPr>
          <w:lang w:val="en-US"/>
        </w:rPr>
      </w:pPr>
    </w:p>
    <w:p w:rsidR="000209A5" w:rsidRPr="003C5A84" w:rsidRDefault="000209A5" w:rsidP="00F2010C">
      <w:pPr>
        <w:spacing w:line="360" w:lineRule="auto"/>
        <w:ind w:left="360" w:hanging="360"/>
        <w:rPr>
          <w:lang w:val="en-US"/>
        </w:rPr>
      </w:pPr>
      <w:r w:rsidRPr="003C5A84">
        <w:rPr>
          <w:lang w:val="en-US"/>
        </w:rPr>
        <w:lastRenderedPageBreak/>
        <w:t xml:space="preserve">ACKNOWLEDGEMENTS   </w:t>
      </w:r>
    </w:p>
    <w:p w:rsidR="000209A5" w:rsidRPr="004C3679" w:rsidRDefault="000209A5" w:rsidP="00F2010C">
      <w:pPr>
        <w:spacing w:line="360" w:lineRule="auto"/>
        <w:rPr>
          <w:color w:val="FF0000"/>
          <w:lang w:val="en-US"/>
        </w:rPr>
      </w:pPr>
      <w:r>
        <w:rPr>
          <w:lang w:val="en-US"/>
        </w:rPr>
        <w:t xml:space="preserve">We thank </w:t>
      </w:r>
      <w:r w:rsidRPr="00160F37">
        <w:rPr>
          <w:lang w:val="en-US"/>
        </w:rPr>
        <w:t xml:space="preserve">Cemre Senesen, Tunca </w:t>
      </w:r>
      <w:r>
        <w:rPr>
          <w:lang w:val="en-US"/>
        </w:rPr>
        <w:t>Ulubilge and</w:t>
      </w:r>
      <w:r w:rsidRPr="004C3679">
        <w:rPr>
          <w:color w:val="FF0000"/>
          <w:lang w:val="en-US"/>
        </w:rPr>
        <w:t xml:space="preserve"> </w:t>
      </w:r>
      <w:r>
        <w:rPr>
          <w:lang w:val="en-US"/>
        </w:rPr>
        <w:t>Murat E. Unal</w:t>
      </w:r>
      <w:r>
        <w:rPr>
          <w:color w:val="FF0000"/>
          <w:lang w:val="en-US"/>
        </w:rPr>
        <w:t xml:space="preserve"> </w:t>
      </w:r>
      <w:r w:rsidRPr="004C3679">
        <w:rPr>
          <w:lang w:val="en-US"/>
        </w:rPr>
        <w:t xml:space="preserve">for </w:t>
      </w:r>
      <w:r>
        <w:rPr>
          <w:lang w:val="en-US"/>
        </w:rPr>
        <w:t xml:space="preserve">their help at the early stages of model formulation. </w:t>
      </w:r>
    </w:p>
    <w:sectPr w:rsidR="000209A5" w:rsidRPr="004C3679" w:rsidSect="00734D6F">
      <w:footerReference w:type="default" r:id="rId50"/>
      <w:endnotePr>
        <w:numFmt w:val="decimal"/>
      </w:endnotePr>
      <w:pgSz w:w="11906" w:h="16838" w:code="9"/>
      <w:pgMar w:top="1411" w:right="1411" w:bottom="1411" w:left="1411"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651" w:rsidRDefault="00F52651">
      <w:r>
        <w:separator/>
      </w:r>
    </w:p>
  </w:endnote>
  <w:endnote w:type="continuationSeparator" w:id="1">
    <w:p w:rsidR="00F52651" w:rsidRDefault="00F52651">
      <w:r>
        <w:continuationSeparator/>
      </w:r>
    </w:p>
  </w:endnote>
  <w:endnote w:id="2">
    <w:p w:rsidR="000209A5" w:rsidRDefault="000209A5" w:rsidP="00E55CFA">
      <w:pPr>
        <w:pStyle w:val="SonnotMetni"/>
      </w:pPr>
      <w:r>
        <w:t>ENDNOTES:</w:t>
      </w:r>
    </w:p>
    <w:p w:rsidR="000209A5" w:rsidRDefault="000209A5" w:rsidP="00E55CFA">
      <w:pPr>
        <w:pStyle w:val="SonnotMetni"/>
      </w:pPr>
    </w:p>
    <w:p w:rsidR="000209A5" w:rsidRDefault="000209A5" w:rsidP="00E55CFA">
      <w:pPr>
        <w:pStyle w:val="SonnotMetni"/>
      </w:pPr>
      <w:r>
        <w:rPr>
          <w:rStyle w:val="SonnotBavurusu"/>
        </w:rPr>
        <w:endnoteRef/>
      </w:r>
      <w:r>
        <w:t xml:space="preserve"> </w:t>
      </w:r>
      <w:hyperlink r:id="rId1" w:history="1">
        <w:r w:rsidRPr="00BC2E13">
          <w:rPr>
            <w:rStyle w:val="Kpr"/>
          </w:rPr>
          <w:t>www.toki.gov.tr</w:t>
        </w:r>
      </w:hyperlink>
      <w:r>
        <w:t>; April 15, 2012.</w:t>
      </w:r>
    </w:p>
  </w:endnote>
  <w:endnote w:id="3">
    <w:p w:rsidR="000209A5" w:rsidRDefault="000209A5" w:rsidP="00E55CFA">
      <w:pPr>
        <w:pStyle w:val="SonnotMetni"/>
      </w:pPr>
      <w:r w:rsidRPr="00813004">
        <w:rPr>
          <w:rStyle w:val="SonnotBavurusu"/>
        </w:rPr>
        <w:endnoteRef/>
      </w:r>
      <w:r w:rsidRPr="00813004">
        <w:t xml:space="preserve"> e.g. see </w:t>
      </w:r>
      <w:r w:rsidRPr="00813004">
        <w:rPr>
          <w:i/>
          <w:iCs/>
        </w:rPr>
        <w:t>Construction Management and Economics</w:t>
      </w:r>
      <w:r w:rsidRPr="00813004">
        <w:t xml:space="preserve"> by Taylor &amp; Francis Ltd.   Though not many, articles using input-output analysis of the construction sector involves simple linkages for various countries.</w:t>
      </w:r>
    </w:p>
  </w:endnote>
  <w:endnote w:id="4">
    <w:p w:rsidR="000209A5" w:rsidRDefault="000209A5" w:rsidP="00967793">
      <w:r w:rsidRPr="00813004">
        <w:rPr>
          <w:rStyle w:val="SonnotBavurusu"/>
          <w:sz w:val="20"/>
          <w:szCs w:val="20"/>
        </w:rPr>
        <w:endnoteRef/>
      </w:r>
      <w:r w:rsidRPr="00813004">
        <w:rPr>
          <w:sz w:val="20"/>
          <w:szCs w:val="20"/>
        </w:rPr>
        <w:t xml:space="preserve"> </w:t>
      </w:r>
      <w:r w:rsidRPr="00813004">
        <w:rPr>
          <w:sz w:val="20"/>
          <w:szCs w:val="20"/>
          <w:lang w:val="en-US"/>
        </w:rPr>
        <w:t xml:space="preserve">Bon et al. (1999) and Gundes (2011a) studied the dynamics of the Turkish construction sector based on simple I-O linkages for 1973-1990 and 1973-2002, respectively.  Since the 1998 I-O data was the first one compiled in basic prices, hence </w:t>
      </w:r>
      <w:r>
        <w:rPr>
          <w:sz w:val="20"/>
          <w:szCs w:val="20"/>
          <w:lang w:val="en-US"/>
        </w:rPr>
        <w:t xml:space="preserve">the only one </w:t>
      </w:r>
      <w:r w:rsidRPr="00813004">
        <w:rPr>
          <w:sz w:val="20"/>
          <w:szCs w:val="20"/>
          <w:lang w:val="en-US"/>
        </w:rPr>
        <w:t xml:space="preserve">comparable to the most recent available I-O data for 2002, we will not elaborate more on their findings.  Besides, we focus on unraveling the structure of backward linkages in 2002.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A5" w:rsidRDefault="003B5D60" w:rsidP="00906E59">
    <w:pPr>
      <w:pStyle w:val="Altbilgi"/>
      <w:framePr w:wrap="auto" w:vAnchor="text" w:hAnchor="margin" w:xAlign="right" w:y="1"/>
      <w:rPr>
        <w:rStyle w:val="SayfaNumaras"/>
      </w:rPr>
    </w:pPr>
    <w:r>
      <w:rPr>
        <w:rStyle w:val="SayfaNumaras"/>
      </w:rPr>
      <w:fldChar w:fldCharType="begin"/>
    </w:r>
    <w:r w:rsidR="000209A5">
      <w:rPr>
        <w:rStyle w:val="SayfaNumaras"/>
      </w:rPr>
      <w:instrText xml:space="preserve">PAGE  </w:instrText>
    </w:r>
    <w:r>
      <w:rPr>
        <w:rStyle w:val="SayfaNumaras"/>
      </w:rPr>
      <w:fldChar w:fldCharType="separate"/>
    </w:r>
    <w:r w:rsidR="00CE4CBA">
      <w:rPr>
        <w:rStyle w:val="SayfaNumaras"/>
        <w:noProof/>
      </w:rPr>
      <w:t>16</w:t>
    </w:r>
    <w:r>
      <w:rPr>
        <w:rStyle w:val="SayfaNumaras"/>
      </w:rPr>
      <w:fldChar w:fldCharType="end"/>
    </w:r>
  </w:p>
  <w:p w:rsidR="000209A5" w:rsidRDefault="000209A5" w:rsidP="00341C30">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651" w:rsidRDefault="00F52651">
      <w:r>
        <w:separator/>
      </w:r>
    </w:p>
  </w:footnote>
  <w:footnote w:type="continuationSeparator" w:id="1">
    <w:p w:rsidR="00F52651" w:rsidRDefault="00F526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numFmt w:val="decimal"/>
    <w:endnote w:id="0"/>
    <w:endnote w:id="1"/>
  </w:endnotePr>
  <w:compat/>
  <w:rsids>
    <w:rsidRoot w:val="0058045D"/>
    <w:rsid w:val="00003982"/>
    <w:rsid w:val="0001766E"/>
    <w:rsid w:val="000209A5"/>
    <w:rsid w:val="00030881"/>
    <w:rsid w:val="00036FC0"/>
    <w:rsid w:val="0004465F"/>
    <w:rsid w:val="0005031F"/>
    <w:rsid w:val="00054CF7"/>
    <w:rsid w:val="00056FFC"/>
    <w:rsid w:val="00061BAA"/>
    <w:rsid w:val="000755C0"/>
    <w:rsid w:val="00094D49"/>
    <w:rsid w:val="000B1212"/>
    <w:rsid w:val="000C1EE1"/>
    <w:rsid w:val="000C44E5"/>
    <w:rsid w:val="000C6E81"/>
    <w:rsid w:val="000D1ED9"/>
    <w:rsid w:val="000D228A"/>
    <w:rsid w:val="000D2B58"/>
    <w:rsid w:val="000D36E2"/>
    <w:rsid w:val="000D4748"/>
    <w:rsid w:val="000E3854"/>
    <w:rsid w:val="000F036F"/>
    <w:rsid w:val="00116A6D"/>
    <w:rsid w:val="0012266C"/>
    <w:rsid w:val="00135103"/>
    <w:rsid w:val="001371E4"/>
    <w:rsid w:val="00160F37"/>
    <w:rsid w:val="001963E6"/>
    <w:rsid w:val="001A1F1E"/>
    <w:rsid w:val="001C12F3"/>
    <w:rsid w:val="001C457C"/>
    <w:rsid w:val="001D1B32"/>
    <w:rsid w:val="001F7BA3"/>
    <w:rsid w:val="00215B18"/>
    <w:rsid w:val="00220B54"/>
    <w:rsid w:val="00233AFC"/>
    <w:rsid w:val="00237F31"/>
    <w:rsid w:val="0025764E"/>
    <w:rsid w:val="00266BB3"/>
    <w:rsid w:val="00275E0C"/>
    <w:rsid w:val="0027793B"/>
    <w:rsid w:val="0029483C"/>
    <w:rsid w:val="002A2B87"/>
    <w:rsid w:val="002A4FAD"/>
    <w:rsid w:val="002A5999"/>
    <w:rsid w:val="002B4C41"/>
    <w:rsid w:val="002C1E87"/>
    <w:rsid w:val="002D599C"/>
    <w:rsid w:val="002D7396"/>
    <w:rsid w:val="002E040E"/>
    <w:rsid w:val="003007FD"/>
    <w:rsid w:val="0030171E"/>
    <w:rsid w:val="00306FB5"/>
    <w:rsid w:val="00314890"/>
    <w:rsid w:val="00323B7C"/>
    <w:rsid w:val="00324ACF"/>
    <w:rsid w:val="00327FE5"/>
    <w:rsid w:val="00331DAA"/>
    <w:rsid w:val="003363FA"/>
    <w:rsid w:val="003375BF"/>
    <w:rsid w:val="00341C30"/>
    <w:rsid w:val="00344B6C"/>
    <w:rsid w:val="00353129"/>
    <w:rsid w:val="00353CCB"/>
    <w:rsid w:val="0035437A"/>
    <w:rsid w:val="00362F29"/>
    <w:rsid w:val="003643AA"/>
    <w:rsid w:val="00374376"/>
    <w:rsid w:val="003A026E"/>
    <w:rsid w:val="003A656F"/>
    <w:rsid w:val="003A65AB"/>
    <w:rsid w:val="003A6CC2"/>
    <w:rsid w:val="003B5D60"/>
    <w:rsid w:val="003C5A84"/>
    <w:rsid w:val="003E57F8"/>
    <w:rsid w:val="003F573D"/>
    <w:rsid w:val="00403BED"/>
    <w:rsid w:val="00417C33"/>
    <w:rsid w:val="00420256"/>
    <w:rsid w:val="00460861"/>
    <w:rsid w:val="004613DC"/>
    <w:rsid w:val="004638FB"/>
    <w:rsid w:val="004755E0"/>
    <w:rsid w:val="00485201"/>
    <w:rsid w:val="004871BD"/>
    <w:rsid w:val="00492622"/>
    <w:rsid w:val="00496610"/>
    <w:rsid w:val="004A0E97"/>
    <w:rsid w:val="004A6C1F"/>
    <w:rsid w:val="004C3679"/>
    <w:rsid w:val="004E2A5A"/>
    <w:rsid w:val="004E2FCD"/>
    <w:rsid w:val="004E3A62"/>
    <w:rsid w:val="004F0A6E"/>
    <w:rsid w:val="004F4159"/>
    <w:rsid w:val="00503541"/>
    <w:rsid w:val="0051793E"/>
    <w:rsid w:val="00531D14"/>
    <w:rsid w:val="00540211"/>
    <w:rsid w:val="00554B24"/>
    <w:rsid w:val="0058045D"/>
    <w:rsid w:val="00584AB4"/>
    <w:rsid w:val="00590F9F"/>
    <w:rsid w:val="005B5F94"/>
    <w:rsid w:val="005C0B60"/>
    <w:rsid w:val="005C319D"/>
    <w:rsid w:val="005D4087"/>
    <w:rsid w:val="005F4202"/>
    <w:rsid w:val="005F4A41"/>
    <w:rsid w:val="0063770D"/>
    <w:rsid w:val="006454A3"/>
    <w:rsid w:val="00647B95"/>
    <w:rsid w:val="00663BE6"/>
    <w:rsid w:val="00664B64"/>
    <w:rsid w:val="0067416A"/>
    <w:rsid w:val="00685CB3"/>
    <w:rsid w:val="006D04B8"/>
    <w:rsid w:val="006D2878"/>
    <w:rsid w:val="006D45BC"/>
    <w:rsid w:val="006D689C"/>
    <w:rsid w:val="006E3B3B"/>
    <w:rsid w:val="006E4484"/>
    <w:rsid w:val="006F16C1"/>
    <w:rsid w:val="00707CC2"/>
    <w:rsid w:val="00711911"/>
    <w:rsid w:val="007169B2"/>
    <w:rsid w:val="00717FD0"/>
    <w:rsid w:val="0073356B"/>
    <w:rsid w:val="00734D6F"/>
    <w:rsid w:val="00742BFD"/>
    <w:rsid w:val="007518E2"/>
    <w:rsid w:val="00761B7C"/>
    <w:rsid w:val="00792B54"/>
    <w:rsid w:val="007B12E8"/>
    <w:rsid w:val="007B1652"/>
    <w:rsid w:val="007B4561"/>
    <w:rsid w:val="007B6A74"/>
    <w:rsid w:val="007B7B08"/>
    <w:rsid w:val="007C34EA"/>
    <w:rsid w:val="007D1BA9"/>
    <w:rsid w:val="007E2BF8"/>
    <w:rsid w:val="00804E5B"/>
    <w:rsid w:val="00810B55"/>
    <w:rsid w:val="00811D98"/>
    <w:rsid w:val="00813004"/>
    <w:rsid w:val="00817239"/>
    <w:rsid w:val="00832DBC"/>
    <w:rsid w:val="00861D31"/>
    <w:rsid w:val="00867D28"/>
    <w:rsid w:val="00867DCC"/>
    <w:rsid w:val="00872A87"/>
    <w:rsid w:val="008921E8"/>
    <w:rsid w:val="008A1443"/>
    <w:rsid w:val="008B4E49"/>
    <w:rsid w:val="008F093F"/>
    <w:rsid w:val="008F3CE3"/>
    <w:rsid w:val="009034C7"/>
    <w:rsid w:val="00906E59"/>
    <w:rsid w:val="009118A9"/>
    <w:rsid w:val="009148C4"/>
    <w:rsid w:val="00917DA0"/>
    <w:rsid w:val="0092097B"/>
    <w:rsid w:val="00935AB5"/>
    <w:rsid w:val="0095328B"/>
    <w:rsid w:val="00955BFA"/>
    <w:rsid w:val="009564F3"/>
    <w:rsid w:val="00967793"/>
    <w:rsid w:val="0097026D"/>
    <w:rsid w:val="0099196B"/>
    <w:rsid w:val="00993A79"/>
    <w:rsid w:val="009A5190"/>
    <w:rsid w:val="009A5FEA"/>
    <w:rsid w:val="009E6F4F"/>
    <w:rsid w:val="009F42E3"/>
    <w:rsid w:val="00A05A87"/>
    <w:rsid w:val="00A24C36"/>
    <w:rsid w:val="00A25D0A"/>
    <w:rsid w:val="00A31170"/>
    <w:rsid w:val="00A41FA3"/>
    <w:rsid w:val="00A44504"/>
    <w:rsid w:val="00A45249"/>
    <w:rsid w:val="00A71B60"/>
    <w:rsid w:val="00A729F3"/>
    <w:rsid w:val="00A741C1"/>
    <w:rsid w:val="00A82722"/>
    <w:rsid w:val="00AB5463"/>
    <w:rsid w:val="00AC5B11"/>
    <w:rsid w:val="00AC7FF3"/>
    <w:rsid w:val="00AD4CCC"/>
    <w:rsid w:val="00AD78F0"/>
    <w:rsid w:val="00AE3EAF"/>
    <w:rsid w:val="00AE7DB5"/>
    <w:rsid w:val="00AF4C26"/>
    <w:rsid w:val="00B03440"/>
    <w:rsid w:val="00B13782"/>
    <w:rsid w:val="00B221F0"/>
    <w:rsid w:val="00B244EA"/>
    <w:rsid w:val="00B250FE"/>
    <w:rsid w:val="00B34A6B"/>
    <w:rsid w:val="00B352C5"/>
    <w:rsid w:val="00B44565"/>
    <w:rsid w:val="00B5375B"/>
    <w:rsid w:val="00B615F4"/>
    <w:rsid w:val="00B84092"/>
    <w:rsid w:val="00B94344"/>
    <w:rsid w:val="00B9572B"/>
    <w:rsid w:val="00BA17E8"/>
    <w:rsid w:val="00BB4CA2"/>
    <w:rsid w:val="00BC2E13"/>
    <w:rsid w:val="00BC436A"/>
    <w:rsid w:val="00BD6666"/>
    <w:rsid w:val="00BF5804"/>
    <w:rsid w:val="00C05E7E"/>
    <w:rsid w:val="00C13F3B"/>
    <w:rsid w:val="00C3164D"/>
    <w:rsid w:val="00C32F8B"/>
    <w:rsid w:val="00C377C8"/>
    <w:rsid w:val="00C408A7"/>
    <w:rsid w:val="00C40E6E"/>
    <w:rsid w:val="00C477F1"/>
    <w:rsid w:val="00C80A4F"/>
    <w:rsid w:val="00C9211D"/>
    <w:rsid w:val="00C959FB"/>
    <w:rsid w:val="00CA1AE1"/>
    <w:rsid w:val="00CB0DFE"/>
    <w:rsid w:val="00CB4B54"/>
    <w:rsid w:val="00CB6F6B"/>
    <w:rsid w:val="00CD14E3"/>
    <w:rsid w:val="00CD72F8"/>
    <w:rsid w:val="00CE4CBA"/>
    <w:rsid w:val="00CE68B3"/>
    <w:rsid w:val="00CF799F"/>
    <w:rsid w:val="00D04388"/>
    <w:rsid w:val="00D04ECA"/>
    <w:rsid w:val="00D20060"/>
    <w:rsid w:val="00D32431"/>
    <w:rsid w:val="00D36398"/>
    <w:rsid w:val="00D60DAD"/>
    <w:rsid w:val="00D654A0"/>
    <w:rsid w:val="00D85195"/>
    <w:rsid w:val="00DA7366"/>
    <w:rsid w:val="00DB2EB5"/>
    <w:rsid w:val="00DC4883"/>
    <w:rsid w:val="00DC4F0C"/>
    <w:rsid w:val="00E059A7"/>
    <w:rsid w:val="00E071CF"/>
    <w:rsid w:val="00E11AC9"/>
    <w:rsid w:val="00E23608"/>
    <w:rsid w:val="00E37847"/>
    <w:rsid w:val="00E534F8"/>
    <w:rsid w:val="00E55CFA"/>
    <w:rsid w:val="00E74A7B"/>
    <w:rsid w:val="00E95531"/>
    <w:rsid w:val="00E96293"/>
    <w:rsid w:val="00EA560A"/>
    <w:rsid w:val="00EC0FAA"/>
    <w:rsid w:val="00ED4A4A"/>
    <w:rsid w:val="00EE2B22"/>
    <w:rsid w:val="00EE6EF7"/>
    <w:rsid w:val="00EE70B5"/>
    <w:rsid w:val="00EF1543"/>
    <w:rsid w:val="00EF37FA"/>
    <w:rsid w:val="00EF7345"/>
    <w:rsid w:val="00F11A60"/>
    <w:rsid w:val="00F2010C"/>
    <w:rsid w:val="00F3015C"/>
    <w:rsid w:val="00F32C84"/>
    <w:rsid w:val="00F36721"/>
    <w:rsid w:val="00F52651"/>
    <w:rsid w:val="00F62246"/>
    <w:rsid w:val="00F75CB7"/>
    <w:rsid w:val="00F80851"/>
    <w:rsid w:val="00F82191"/>
    <w:rsid w:val="00F8509A"/>
    <w:rsid w:val="00F873BF"/>
    <w:rsid w:val="00F968A6"/>
    <w:rsid w:val="00FB00FC"/>
    <w:rsid w:val="00FC3331"/>
    <w:rsid w:val="00FC6A2C"/>
    <w:rsid w:val="00FF7D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A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F80851"/>
    <w:rPr>
      <w:rFonts w:ascii="Tahoma" w:hAnsi="Tahoma" w:cs="Tahoma"/>
      <w:sz w:val="16"/>
      <w:szCs w:val="16"/>
    </w:rPr>
  </w:style>
  <w:style w:type="character" w:customStyle="1" w:styleId="BalonMetniChar">
    <w:name w:val="Balon Metni Char"/>
    <w:basedOn w:val="VarsaylanParagrafYazTipi"/>
    <w:link w:val="BalonMetni"/>
    <w:uiPriority w:val="99"/>
    <w:semiHidden/>
    <w:rsid w:val="003A75D5"/>
    <w:rPr>
      <w:sz w:val="0"/>
      <w:szCs w:val="0"/>
    </w:rPr>
  </w:style>
  <w:style w:type="table" w:styleId="TabloKlavuzu">
    <w:name w:val="Table Grid"/>
    <w:basedOn w:val="NormalTablo"/>
    <w:uiPriority w:val="99"/>
    <w:rsid w:val="000E38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rsid w:val="00341C30"/>
    <w:pPr>
      <w:tabs>
        <w:tab w:val="center" w:pos="4536"/>
        <w:tab w:val="right" w:pos="9072"/>
      </w:tabs>
    </w:pPr>
  </w:style>
  <w:style w:type="character" w:customStyle="1" w:styleId="AltbilgiChar">
    <w:name w:val="Altbilgi Char"/>
    <w:basedOn w:val="VarsaylanParagrafYazTipi"/>
    <w:link w:val="Altbilgi"/>
    <w:uiPriority w:val="99"/>
    <w:semiHidden/>
    <w:rsid w:val="003A75D5"/>
    <w:rPr>
      <w:sz w:val="24"/>
      <w:szCs w:val="24"/>
    </w:rPr>
  </w:style>
  <w:style w:type="character" w:styleId="SayfaNumaras">
    <w:name w:val="page number"/>
    <w:basedOn w:val="VarsaylanParagrafYazTipi"/>
    <w:uiPriority w:val="99"/>
    <w:rsid w:val="00341C30"/>
  </w:style>
  <w:style w:type="paragraph" w:styleId="SonnotMetni">
    <w:name w:val="endnote text"/>
    <w:basedOn w:val="Normal"/>
    <w:link w:val="SonnotMetniChar"/>
    <w:uiPriority w:val="99"/>
    <w:semiHidden/>
    <w:rsid w:val="001C457C"/>
    <w:rPr>
      <w:sz w:val="20"/>
      <w:szCs w:val="20"/>
    </w:rPr>
  </w:style>
  <w:style w:type="character" w:customStyle="1" w:styleId="SonnotMetniChar">
    <w:name w:val="Sonnot Metni Char"/>
    <w:basedOn w:val="VarsaylanParagrafYazTipi"/>
    <w:link w:val="SonnotMetni"/>
    <w:uiPriority w:val="99"/>
    <w:semiHidden/>
    <w:rsid w:val="003A75D5"/>
    <w:rPr>
      <w:sz w:val="20"/>
      <w:szCs w:val="20"/>
    </w:rPr>
  </w:style>
  <w:style w:type="character" w:styleId="SonnotBavurusu">
    <w:name w:val="endnote reference"/>
    <w:basedOn w:val="VarsaylanParagrafYazTipi"/>
    <w:uiPriority w:val="99"/>
    <w:semiHidden/>
    <w:rsid w:val="001C457C"/>
    <w:rPr>
      <w:vertAlign w:val="superscript"/>
    </w:rPr>
  </w:style>
  <w:style w:type="paragraph" w:styleId="DipnotMetni">
    <w:name w:val="footnote text"/>
    <w:basedOn w:val="Normal"/>
    <w:link w:val="DipnotMetniChar"/>
    <w:uiPriority w:val="99"/>
    <w:semiHidden/>
    <w:rsid w:val="00135103"/>
    <w:rPr>
      <w:sz w:val="20"/>
      <w:szCs w:val="20"/>
    </w:rPr>
  </w:style>
  <w:style w:type="character" w:customStyle="1" w:styleId="DipnotMetniChar">
    <w:name w:val="Dipnot Metni Char"/>
    <w:basedOn w:val="VarsaylanParagrafYazTipi"/>
    <w:link w:val="DipnotMetni"/>
    <w:uiPriority w:val="99"/>
    <w:semiHidden/>
    <w:rsid w:val="003A75D5"/>
    <w:rPr>
      <w:sz w:val="20"/>
      <w:szCs w:val="20"/>
    </w:rPr>
  </w:style>
  <w:style w:type="character" w:styleId="DipnotBavurusu">
    <w:name w:val="footnote reference"/>
    <w:basedOn w:val="VarsaylanParagrafYazTipi"/>
    <w:uiPriority w:val="99"/>
    <w:semiHidden/>
    <w:rsid w:val="00135103"/>
    <w:rPr>
      <w:vertAlign w:val="superscript"/>
    </w:rPr>
  </w:style>
  <w:style w:type="character" w:styleId="Kpr">
    <w:name w:val="Hyperlink"/>
    <w:basedOn w:val="VarsaylanParagrafYazTipi"/>
    <w:uiPriority w:val="99"/>
    <w:rsid w:val="00647B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emf"/><Relationship Id="rId50"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emf"/><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emf"/><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emf"/><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emf"/><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emf"/><Relationship Id="rId8" Type="http://schemas.openxmlformats.org/officeDocument/2006/relationships/image" Target="media/image3.png"/><Relationship Id="rId51"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toki.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4187</Words>
  <Characters>23872</Characters>
  <Application>Microsoft Office Word</Application>
  <DocSecurity>0</DocSecurity>
  <Lines>198</Lines>
  <Paragraphs>56</Paragraphs>
  <ScaleCrop>false</ScaleCrop>
  <Company/>
  <LinksUpToDate>false</LinksUpToDate>
  <CharactersWithSpaces>28003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Structural Path Analysis of the Employment and Import Linkages of the Construction Sector in Turkey</dc:title>
  <dc:creator>GULAY</dc:creator>
  <cp:lastModifiedBy>senesen</cp:lastModifiedBy>
  <cp:revision>6</cp:revision>
  <cp:lastPrinted>2012-05-01T12:32:00Z</cp:lastPrinted>
  <dcterms:created xsi:type="dcterms:W3CDTF">2012-05-01T13:44:00Z</dcterms:created>
  <dcterms:modified xsi:type="dcterms:W3CDTF">2012-05-01T13:59:00Z</dcterms:modified>
</cp:coreProperties>
</file>