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B64" w:rsidRPr="007231E4" w:rsidRDefault="00797B64" w:rsidP="00350A65">
      <w:pPr>
        <w:spacing w:line="360" w:lineRule="auto"/>
        <w:jc w:val="both"/>
      </w:pPr>
    </w:p>
    <w:p w:rsidR="00797B64" w:rsidRPr="007231E4" w:rsidRDefault="00797B64" w:rsidP="00350A65">
      <w:pPr>
        <w:spacing w:line="360" w:lineRule="auto"/>
        <w:jc w:val="both"/>
      </w:pPr>
    </w:p>
    <w:p w:rsidR="00797B64" w:rsidRPr="007231E4" w:rsidRDefault="007231E4" w:rsidP="00350A65">
      <w:pPr>
        <w:spacing w:line="360" w:lineRule="auto"/>
        <w:jc w:val="center"/>
        <w:rPr>
          <w:b/>
          <w:sz w:val="40"/>
          <w:szCs w:val="44"/>
        </w:rPr>
      </w:pPr>
      <w:r w:rsidRPr="007231E4">
        <w:rPr>
          <w:b/>
          <w:sz w:val="40"/>
          <w:szCs w:val="44"/>
        </w:rPr>
        <w:t>AUSTRALIA</w:t>
      </w:r>
      <w:r w:rsidR="007F26B5">
        <w:rPr>
          <w:b/>
          <w:sz w:val="40"/>
          <w:szCs w:val="44"/>
        </w:rPr>
        <w:t>N</w:t>
      </w:r>
      <w:r w:rsidRPr="007231E4">
        <w:rPr>
          <w:b/>
          <w:sz w:val="40"/>
          <w:szCs w:val="44"/>
        </w:rPr>
        <w:t xml:space="preserve"> GREENHOUSE</w:t>
      </w:r>
      <w:r w:rsidR="002532F9">
        <w:rPr>
          <w:b/>
          <w:sz w:val="40"/>
          <w:szCs w:val="44"/>
        </w:rPr>
        <w:t xml:space="preserve"> GAS</w:t>
      </w:r>
      <w:r w:rsidRPr="007231E4">
        <w:rPr>
          <w:b/>
          <w:sz w:val="40"/>
          <w:szCs w:val="44"/>
        </w:rPr>
        <w:t xml:space="preserve"> EMISSIONS</w:t>
      </w:r>
      <w:r w:rsidR="00FF14D0">
        <w:rPr>
          <w:b/>
          <w:sz w:val="40"/>
          <w:szCs w:val="44"/>
        </w:rPr>
        <w:t xml:space="preserve">: </w:t>
      </w:r>
      <w:r w:rsidR="009A1839">
        <w:rPr>
          <w:b/>
          <w:sz w:val="40"/>
          <w:szCs w:val="44"/>
        </w:rPr>
        <w:t xml:space="preserve">EXPERIMENTAL </w:t>
      </w:r>
      <w:r w:rsidR="002059F4">
        <w:rPr>
          <w:b/>
          <w:sz w:val="40"/>
          <w:szCs w:val="44"/>
        </w:rPr>
        <w:t xml:space="preserve">CONSUMPTION-BASED </w:t>
      </w:r>
      <w:r w:rsidR="0025145F">
        <w:rPr>
          <w:b/>
          <w:sz w:val="40"/>
          <w:szCs w:val="44"/>
        </w:rPr>
        <w:t>ESTIMATES</w:t>
      </w:r>
      <w:r w:rsidRPr="007231E4">
        <w:rPr>
          <w:b/>
          <w:sz w:val="40"/>
          <w:szCs w:val="44"/>
        </w:rPr>
        <w:t xml:space="preserve"> VIA INPUT-OUTPUT ANALYSIS</w:t>
      </w:r>
    </w:p>
    <w:p w:rsidR="00797B64" w:rsidRDefault="00797B64" w:rsidP="00350A65">
      <w:pPr>
        <w:spacing w:line="360" w:lineRule="auto"/>
        <w:jc w:val="center"/>
        <w:rPr>
          <w:szCs w:val="32"/>
        </w:rPr>
      </w:pPr>
    </w:p>
    <w:p w:rsidR="007231E4" w:rsidRPr="007231E4" w:rsidRDefault="007231E4" w:rsidP="00350A65">
      <w:pPr>
        <w:spacing w:line="360" w:lineRule="auto"/>
        <w:jc w:val="center"/>
        <w:rPr>
          <w:szCs w:val="3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97B64" w:rsidRPr="003E3E4B" w:rsidTr="009E2741">
        <w:trPr>
          <w:tblCellSpacing w:w="15" w:type="dxa"/>
        </w:trPr>
        <w:tc>
          <w:tcPr>
            <w:tcW w:w="0" w:type="auto"/>
            <w:hideMark/>
          </w:tcPr>
          <w:p w:rsidR="00797B64" w:rsidRPr="00650D8F" w:rsidRDefault="00797B64" w:rsidP="00350A65">
            <w:pPr>
              <w:spacing w:line="360" w:lineRule="auto"/>
              <w:jc w:val="center"/>
            </w:pPr>
          </w:p>
        </w:tc>
      </w:tr>
    </w:tbl>
    <w:p w:rsidR="00797B64" w:rsidRPr="003E3E4B" w:rsidRDefault="009E2741" w:rsidP="00350A65">
      <w:pPr>
        <w:spacing w:line="360" w:lineRule="auto"/>
        <w:jc w:val="center"/>
        <w:rPr>
          <w:sz w:val="28"/>
          <w:szCs w:val="28"/>
        </w:rPr>
      </w:pPr>
      <w:r w:rsidRPr="003E3E4B">
        <w:rPr>
          <w:rFonts w:ascii="Arial" w:hAnsi="Arial" w:cs="Arial"/>
          <w:noProof/>
          <w:color w:val="0000FF"/>
          <w:sz w:val="27"/>
          <w:szCs w:val="27"/>
          <w:shd w:val="clear" w:color="auto" w:fill="CCCCCC"/>
        </w:rPr>
        <w:drawing>
          <wp:inline distT="0" distB="0" distL="0" distR="0" wp14:anchorId="7F4C27C5" wp14:editId="279EADD9">
            <wp:extent cx="2067560" cy="1494790"/>
            <wp:effectExtent l="0" t="0" r="8890" b="0"/>
            <wp:docPr id="4" name="Picture 4" descr="http://t3.gstatic.com/images?q=tbn:ANd9GcRDnayfNLDJNZVkYli9z3s8nOiZPcfNE7ycAbicIrgvdjLsxIJkC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DnayfNLDJNZVkYli9z3s8nOiZPcfNE7ycAbicIrgvdjLsxIJkC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560" cy="149479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97B64" w:rsidRPr="003E3E4B" w:rsidTr="009E2741">
        <w:trPr>
          <w:tblCellSpacing w:w="15" w:type="dxa"/>
        </w:trPr>
        <w:tc>
          <w:tcPr>
            <w:tcW w:w="0" w:type="auto"/>
            <w:hideMark/>
          </w:tcPr>
          <w:p w:rsidR="00797B64" w:rsidRPr="003E3E4B" w:rsidRDefault="00797B64" w:rsidP="00350A65">
            <w:pPr>
              <w:spacing w:line="360" w:lineRule="auto"/>
              <w:jc w:val="center"/>
              <w:rPr>
                <w:rFonts w:ascii="Segoe UI" w:hAnsi="Segoe UI" w:cs="Segoe UI"/>
                <w:sz w:val="18"/>
                <w:szCs w:val="18"/>
              </w:rPr>
            </w:pPr>
          </w:p>
        </w:tc>
      </w:tr>
    </w:tbl>
    <w:p w:rsidR="007231E4" w:rsidRPr="003E3E4B" w:rsidRDefault="007231E4" w:rsidP="00350A65">
      <w:pPr>
        <w:spacing w:line="360" w:lineRule="auto"/>
        <w:jc w:val="center"/>
      </w:pPr>
    </w:p>
    <w:p w:rsidR="007231E4" w:rsidRPr="006A76C7" w:rsidRDefault="007231E4" w:rsidP="00350A65">
      <w:pPr>
        <w:spacing w:line="360" w:lineRule="auto"/>
        <w:jc w:val="center"/>
        <w:rPr>
          <w:b/>
          <w:bCs/>
          <w:color w:val="000000"/>
          <w:sz w:val="28"/>
        </w:rPr>
      </w:pPr>
      <w:proofErr w:type="spellStart"/>
      <w:r w:rsidRPr="006A76C7">
        <w:rPr>
          <w:b/>
          <w:bCs/>
          <w:color w:val="000000"/>
          <w:sz w:val="28"/>
        </w:rPr>
        <w:t>Shuo</w:t>
      </w:r>
      <w:proofErr w:type="spellEnd"/>
      <w:r w:rsidRPr="006A76C7">
        <w:rPr>
          <w:b/>
          <w:bCs/>
          <w:color w:val="000000"/>
          <w:sz w:val="28"/>
        </w:rPr>
        <w:t xml:space="preserve"> (Manson) </w:t>
      </w:r>
      <w:proofErr w:type="spellStart"/>
      <w:r w:rsidRPr="006A76C7">
        <w:rPr>
          <w:b/>
          <w:bCs/>
          <w:color w:val="000000"/>
          <w:sz w:val="28"/>
        </w:rPr>
        <w:t>Hao</w:t>
      </w:r>
      <w:proofErr w:type="spellEnd"/>
      <w:r w:rsidR="00FF14D0" w:rsidRPr="006A76C7">
        <w:rPr>
          <w:rStyle w:val="FootnoteReference"/>
          <w:b/>
          <w:bCs/>
          <w:color w:val="000000"/>
          <w:sz w:val="28"/>
        </w:rPr>
        <w:footnoteReference w:customMarkFollows="1" w:id="2"/>
        <w:t>*</w:t>
      </w:r>
      <w:r w:rsidRPr="006A76C7">
        <w:rPr>
          <w:b/>
          <w:bCs/>
          <w:color w:val="000000"/>
          <w:sz w:val="28"/>
        </w:rPr>
        <w:t xml:space="preserve">, Gregory </w:t>
      </w:r>
      <w:proofErr w:type="spellStart"/>
      <w:r w:rsidRPr="006A76C7">
        <w:rPr>
          <w:b/>
          <w:bCs/>
          <w:color w:val="000000"/>
          <w:sz w:val="28"/>
        </w:rPr>
        <w:t>Legoff</w:t>
      </w:r>
      <w:proofErr w:type="spellEnd"/>
      <w:r w:rsidRPr="006A76C7">
        <w:rPr>
          <w:b/>
          <w:bCs/>
          <w:color w:val="000000"/>
          <w:sz w:val="28"/>
        </w:rPr>
        <w:t xml:space="preserve">, </w:t>
      </w:r>
      <w:proofErr w:type="spellStart"/>
      <w:r w:rsidRPr="006A76C7">
        <w:rPr>
          <w:b/>
          <w:bCs/>
          <w:color w:val="000000"/>
          <w:sz w:val="28"/>
        </w:rPr>
        <w:t>Kuru</w:t>
      </w:r>
      <w:proofErr w:type="spellEnd"/>
      <w:r w:rsidRPr="006A76C7">
        <w:rPr>
          <w:b/>
          <w:bCs/>
          <w:color w:val="000000"/>
          <w:sz w:val="28"/>
        </w:rPr>
        <w:t xml:space="preserve"> </w:t>
      </w:r>
      <w:proofErr w:type="spellStart"/>
      <w:r w:rsidRPr="006A76C7">
        <w:rPr>
          <w:b/>
          <w:bCs/>
          <w:color w:val="000000"/>
          <w:sz w:val="28"/>
        </w:rPr>
        <w:t>Mahadeva</w:t>
      </w:r>
      <w:proofErr w:type="spellEnd"/>
      <w:r w:rsidRPr="006A76C7">
        <w:rPr>
          <w:b/>
          <w:bCs/>
          <w:color w:val="000000"/>
          <w:sz w:val="28"/>
        </w:rPr>
        <w:t>,</w:t>
      </w:r>
    </w:p>
    <w:p w:rsidR="00BD2CB3" w:rsidRPr="006A76C7" w:rsidRDefault="007231E4" w:rsidP="00350A65">
      <w:pPr>
        <w:spacing w:line="360" w:lineRule="auto"/>
        <w:jc w:val="center"/>
        <w:rPr>
          <w:b/>
          <w:bCs/>
          <w:color w:val="000000"/>
          <w:sz w:val="28"/>
        </w:rPr>
      </w:pPr>
      <w:r w:rsidRPr="006A76C7">
        <w:rPr>
          <w:b/>
          <w:bCs/>
          <w:color w:val="000000"/>
          <w:sz w:val="28"/>
        </w:rPr>
        <w:t xml:space="preserve">Nathan Chia and Andrew </w:t>
      </w:r>
      <w:proofErr w:type="spellStart"/>
      <w:r w:rsidRPr="006A76C7">
        <w:rPr>
          <w:b/>
          <w:bCs/>
          <w:color w:val="000000"/>
          <w:sz w:val="28"/>
        </w:rPr>
        <w:t>Cadogan</w:t>
      </w:r>
      <w:proofErr w:type="spellEnd"/>
      <w:r w:rsidRPr="006A76C7">
        <w:rPr>
          <w:b/>
          <w:bCs/>
          <w:color w:val="000000"/>
          <w:sz w:val="28"/>
        </w:rPr>
        <w:t>-Cowper</w:t>
      </w:r>
      <w:r w:rsidR="00A12F65">
        <w:rPr>
          <w:b/>
          <w:bCs/>
          <w:color w:val="000000"/>
          <w:sz w:val="28"/>
        </w:rPr>
        <w:t>**</w:t>
      </w:r>
    </w:p>
    <w:p w:rsidR="00593F8F" w:rsidRDefault="00593F8F" w:rsidP="00350A65">
      <w:pPr>
        <w:spacing w:line="360" w:lineRule="auto"/>
        <w:jc w:val="both"/>
      </w:pPr>
    </w:p>
    <w:p w:rsidR="00A1542C" w:rsidRPr="003E3E4B" w:rsidRDefault="00A1542C" w:rsidP="00350A65">
      <w:pPr>
        <w:spacing w:line="360" w:lineRule="auto"/>
        <w:jc w:val="both"/>
      </w:pPr>
    </w:p>
    <w:p w:rsidR="00650D8F" w:rsidRDefault="004A2B18" w:rsidP="00350A65">
      <w:pPr>
        <w:spacing w:line="360" w:lineRule="auto"/>
        <w:jc w:val="center"/>
      </w:pPr>
      <w:r>
        <w:t xml:space="preserve">May </w:t>
      </w:r>
      <w:r w:rsidR="00650D8F">
        <w:t>2012</w:t>
      </w:r>
    </w:p>
    <w:p w:rsidR="00593F8F" w:rsidRDefault="00593F8F" w:rsidP="00350A65">
      <w:pPr>
        <w:spacing w:line="360" w:lineRule="auto"/>
        <w:jc w:val="both"/>
      </w:pPr>
    </w:p>
    <w:p w:rsidR="007231E4" w:rsidRPr="003E3E4B" w:rsidRDefault="007231E4" w:rsidP="00350A65">
      <w:pPr>
        <w:spacing w:line="360" w:lineRule="auto"/>
        <w:jc w:val="both"/>
      </w:pPr>
    </w:p>
    <w:p w:rsidR="00641169" w:rsidRPr="00641169" w:rsidRDefault="007231E4" w:rsidP="00641169">
      <w:pPr>
        <w:tabs>
          <w:tab w:val="left" w:pos="4153"/>
          <w:tab w:val="left" w:pos="8306"/>
        </w:tabs>
        <w:autoSpaceDE w:val="0"/>
        <w:autoSpaceDN w:val="0"/>
        <w:adjustRightInd w:val="0"/>
        <w:spacing w:line="360" w:lineRule="auto"/>
        <w:jc w:val="both"/>
        <w:rPr>
          <w:sz w:val="22"/>
          <w:szCs w:val="22"/>
        </w:rPr>
      </w:pPr>
      <w:r w:rsidRPr="006A76C7">
        <w:rPr>
          <w:sz w:val="22"/>
          <w:szCs w:val="22"/>
        </w:rPr>
        <w:t>The authors would like to give s</w:t>
      </w:r>
      <w:r w:rsidR="00593F8F" w:rsidRPr="006A76C7">
        <w:rPr>
          <w:sz w:val="22"/>
          <w:szCs w:val="22"/>
        </w:rPr>
        <w:t xml:space="preserve">pecial thanks to </w:t>
      </w:r>
      <w:r w:rsidR="00593F8F" w:rsidRPr="006A76C7">
        <w:rPr>
          <w:b/>
          <w:sz w:val="22"/>
          <w:szCs w:val="22"/>
        </w:rPr>
        <w:t>Tony Johnson, Steve Hilly</w:t>
      </w:r>
      <w:r w:rsidR="00CA42D9" w:rsidRPr="006A76C7">
        <w:rPr>
          <w:b/>
          <w:sz w:val="22"/>
          <w:szCs w:val="22"/>
        </w:rPr>
        <w:t>, Kevin Donovan</w:t>
      </w:r>
      <w:r w:rsidR="00560116">
        <w:rPr>
          <w:b/>
          <w:sz w:val="22"/>
          <w:szCs w:val="22"/>
        </w:rPr>
        <w:t xml:space="preserve">, </w:t>
      </w:r>
      <w:r w:rsidR="00560116" w:rsidRPr="00560116">
        <w:rPr>
          <w:b/>
          <w:sz w:val="22"/>
          <w:szCs w:val="22"/>
        </w:rPr>
        <w:t xml:space="preserve">Karen </w:t>
      </w:r>
      <w:proofErr w:type="spellStart"/>
      <w:r w:rsidR="00560116" w:rsidRPr="00560116">
        <w:rPr>
          <w:b/>
          <w:sz w:val="22"/>
          <w:szCs w:val="22"/>
        </w:rPr>
        <w:t>Connaughton</w:t>
      </w:r>
      <w:proofErr w:type="spellEnd"/>
      <w:r w:rsidRPr="00560116">
        <w:rPr>
          <w:b/>
          <w:sz w:val="22"/>
          <w:szCs w:val="22"/>
        </w:rPr>
        <w:t xml:space="preserve"> </w:t>
      </w:r>
      <w:r w:rsidRPr="006A76C7">
        <w:rPr>
          <w:sz w:val="22"/>
          <w:szCs w:val="22"/>
        </w:rPr>
        <w:t xml:space="preserve">and </w:t>
      </w:r>
      <w:r w:rsidRPr="006A76C7">
        <w:rPr>
          <w:b/>
          <w:sz w:val="22"/>
          <w:szCs w:val="22"/>
        </w:rPr>
        <w:t>Sean Lawson</w:t>
      </w:r>
      <w:r w:rsidRPr="006A76C7">
        <w:rPr>
          <w:sz w:val="22"/>
          <w:szCs w:val="22"/>
        </w:rPr>
        <w:t xml:space="preserve"> </w:t>
      </w:r>
      <w:r w:rsidR="00EE2A3F">
        <w:rPr>
          <w:sz w:val="22"/>
          <w:szCs w:val="22"/>
        </w:rPr>
        <w:t xml:space="preserve">from </w:t>
      </w:r>
      <w:r w:rsidR="00670F08">
        <w:rPr>
          <w:sz w:val="22"/>
          <w:szCs w:val="22"/>
        </w:rPr>
        <w:t xml:space="preserve">the </w:t>
      </w:r>
      <w:r w:rsidR="00EE2A3F">
        <w:rPr>
          <w:sz w:val="22"/>
          <w:szCs w:val="22"/>
        </w:rPr>
        <w:t xml:space="preserve">ABS </w:t>
      </w:r>
      <w:r w:rsidRPr="006A76C7">
        <w:rPr>
          <w:sz w:val="22"/>
          <w:szCs w:val="22"/>
        </w:rPr>
        <w:t xml:space="preserve">for </w:t>
      </w:r>
      <w:r w:rsidR="00A1542C" w:rsidRPr="006A76C7">
        <w:rPr>
          <w:sz w:val="22"/>
          <w:szCs w:val="22"/>
        </w:rPr>
        <w:t xml:space="preserve">helpful advice, </w:t>
      </w:r>
      <w:r w:rsidRPr="006A76C7">
        <w:rPr>
          <w:sz w:val="22"/>
          <w:szCs w:val="22"/>
        </w:rPr>
        <w:t>comments</w:t>
      </w:r>
      <w:r w:rsidR="00A1542C" w:rsidRPr="006A76C7">
        <w:rPr>
          <w:sz w:val="22"/>
          <w:szCs w:val="22"/>
        </w:rPr>
        <w:t xml:space="preserve"> and discussions</w:t>
      </w:r>
      <w:r w:rsidR="00593F8F" w:rsidRPr="006A76C7">
        <w:rPr>
          <w:sz w:val="22"/>
          <w:szCs w:val="22"/>
        </w:rPr>
        <w:t>.</w:t>
      </w:r>
      <w:r w:rsidRPr="006A76C7">
        <w:rPr>
          <w:sz w:val="22"/>
          <w:szCs w:val="22"/>
        </w:rPr>
        <w:t xml:space="preserve"> </w:t>
      </w:r>
      <w:r w:rsidR="00641169" w:rsidRPr="00641169">
        <w:rPr>
          <w:sz w:val="22"/>
          <w:szCs w:val="22"/>
        </w:rPr>
        <w:t xml:space="preserve">The authors acknowledge the technical assistance provided by </w:t>
      </w:r>
      <w:r w:rsidR="00641169" w:rsidRPr="00EE2A3F">
        <w:rPr>
          <w:b/>
          <w:sz w:val="22"/>
          <w:szCs w:val="22"/>
        </w:rPr>
        <w:t>Glen Whitehead</w:t>
      </w:r>
      <w:r w:rsidR="00670F08">
        <w:rPr>
          <w:sz w:val="22"/>
          <w:szCs w:val="22"/>
        </w:rPr>
        <w:t>,</w:t>
      </w:r>
      <w:r w:rsidR="00641169">
        <w:rPr>
          <w:sz w:val="22"/>
          <w:szCs w:val="22"/>
        </w:rPr>
        <w:t xml:space="preserve"> </w:t>
      </w:r>
      <w:r w:rsidR="00641169" w:rsidRPr="00EE2A3F">
        <w:rPr>
          <w:b/>
          <w:sz w:val="22"/>
          <w:szCs w:val="22"/>
        </w:rPr>
        <w:t xml:space="preserve">Mark </w:t>
      </w:r>
      <w:proofErr w:type="spellStart"/>
      <w:r w:rsidR="00641169" w:rsidRPr="00EE2A3F">
        <w:rPr>
          <w:b/>
          <w:sz w:val="22"/>
          <w:szCs w:val="22"/>
        </w:rPr>
        <w:t>Hunstone</w:t>
      </w:r>
      <w:proofErr w:type="spellEnd"/>
      <w:r w:rsidR="00670F08">
        <w:rPr>
          <w:b/>
          <w:sz w:val="22"/>
          <w:szCs w:val="22"/>
        </w:rPr>
        <w:t>,</w:t>
      </w:r>
      <w:r w:rsidR="00641169" w:rsidRPr="00641169">
        <w:rPr>
          <w:sz w:val="22"/>
          <w:szCs w:val="22"/>
        </w:rPr>
        <w:t xml:space="preserve"> </w:t>
      </w:r>
      <w:r w:rsidR="00670F08" w:rsidRPr="00670F08">
        <w:rPr>
          <w:b/>
          <w:sz w:val="22"/>
          <w:szCs w:val="22"/>
        </w:rPr>
        <w:t xml:space="preserve">Matt </w:t>
      </w:r>
      <w:proofErr w:type="spellStart"/>
      <w:r w:rsidR="00670F08" w:rsidRPr="00670F08">
        <w:rPr>
          <w:b/>
          <w:sz w:val="22"/>
          <w:szCs w:val="22"/>
        </w:rPr>
        <w:t>Searson</w:t>
      </w:r>
      <w:proofErr w:type="spellEnd"/>
      <w:r w:rsidR="00670F08" w:rsidRPr="00670F08">
        <w:rPr>
          <w:b/>
          <w:sz w:val="22"/>
          <w:szCs w:val="22"/>
        </w:rPr>
        <w:t xml:space="preserve">, </w:t>
      </w:r>
      <w:r w:rsidR="00670F08" w:rsidRPr="00670F08">
        <w:rPr>
          <w:sz w:val="22"/>
          <w:szCs w:val="22"/>
        </w:rPr>
        <w:t>and</w:t>
      </w:r>
      <w:r w:rsidR="00670F08">
        <w:rPr>
          <w:b/>
          <w:sz w:val="22"/>
          <w:szCs w:val="22"/>
        </w:rPr>
        <w:t xml:space="preserve"> </w:t>
      </w:r>
      <w:r w:rsidR="00670F08" w:rsidRPr="00670F08">
        <w:rPr>
          <w:b/>
          <w:sz w:val="22"/>
          <w:szCs w:val="22"/>
        </w:rPr>
        <w:t xml:space="preserve">Nicholas Giles </w:t>
      </w:r>
      <w:r w:rsidR="00641169" w:rsidRPr="00641169">
        <w:rPr>
          <w:sz w:val="22"/>
          <w:szCs w:val="22"/>
        </w:rPr>
        <w:t>from the Department of Climate Change and Energy Efficiency</w:t>
      </w:r>
      <w:r w:rsidR="00670F08">
        <w:rPr>
          <w:sz w:val="22"/>
          <w:szCs w:val="22"/>
        </w:rPr>
        <w:t>,</w:t>
      </w:r>
      <w:r w:rsidR="00641169" w:rsidRPr="00641169">
        <w:rPr>
          <w:sz w:val="22"/>
          <w:szCs w:val="22"/>
        </w:rPr>
        <w:t xml:space="preserve"> wh</w:t>
      </w:r>
      <w:r w:rsidR="00670F08">
        <w:rPr>
          <w:sz w:val="22"/>
          <w:szCs w:val="22"/>
        </w:rPr>
        <w:t>ich</w:t>
      </w:r>
      <w:r w:rsidR="00641169" w:rsidRPr="00641169">
        <w:rPr>
          <w:sz w:val="22"/>
          <w:szCs w:val="22"/>
        </w:rPr>
        <w:t xml:space="preserve"> assisted us to gain a better understanding of the greenhouse data.</w:t>
      </w:r>
    </w:p>
    <w:p w:rsidR="00670F08" w:rsidRDefault="00670F08" w:rsidP="006B5952">
      <w:pPr>
        <w:spacing w:line="360" w:lineRule="auto"/>
        <w:jc w:val="both"/>
        <w:rPr>
          <w:b/>
          <w:sz w:val="22"/>
          <w:szCs w:val="22"/>
        </w:rPr>
      </w:pPr>
    </w:p>
    <w:p w:rsidR="00670F08" w:rsidRDefault="00670F08" w:rsidP="006B5952">
      <w:pPr>
        <w:spacing w:line="360" w:lineRule="auto"/>
        <w:jc w:val="both"/>
        <w:rPr>
          <w:b/>
          <w:sz w:val="22"/>
          <w:szCs w:val="22"/>
        </w:rPr>
      </w:pPr>
    </w:p>
    <w:p w:rsidR="006B5952" w:rsidRPr="003E3E4B" w:rsidRDefault="006B5952" w:rsidP="006B5952">
      <w:pPr>
        <w:spacing w:line="360" w:lineRule="auto"/>
        <w:jc w:val="both"/>
        <w:rPr>
          <w:b/>
          <w:sz w:val="28"/>
          <w:szCs w:val="28"/>
        </w:rPr>
      </w:pPr>
      <w:r w:rsidRPr="003E3E4B">
        <w:rPr>
          <w:b/>
          <w:sz w:val="28"/>
          <w:szCs w:val="28"/>
        </w:rPr>
        <w:t>TABLE OF CONTENTS</w:t>
      </w:r>
    </w:p>
    <w:p w:rsidR="006B5952" w:rsidRPr="003E3E4B" w:rsidRDefault="006B5952" w:rsidP="006B5952">
      <w:pPr>
        <w:spacing w:line="360" w:lineRule="auto"/>
        <w:jc w:val="both"/>
        <w:rPr>
          <w:b/>
        </w:rPr>
      </w:pPr>
    </w:p>
    <w:p w:rsidR="006B5952" w:rsidRPr="00A1542C" w:rsidRDefault="006B5952" w:rsidP="006B5952">
      <w:pPr>
        <w:spacing w:line="360" w:lineRule="auto"/>
        <w:jc w:val="both"/>
      </w:pPr>
      <w:r w:rsidRPr="00A1542C">
        <w:t>1.</w:t>
      </w:r>
      <w:r w:rsidRPr="00A1542C">
        <w:tab/>
        <w:t>Introduction</w:t>
      </w:r>
      <w:r w:rsidRPr="00A1542C">
        <w:tab/>
      </w:r>
      <w:r w:rsidRPr="00A1542C">
        <w:tab/>
      </w:r>
      <w:r w:rsidRPr="00A1542C">
        <w:tab/>
      </w:r>
      <w:r w:rsidRPr="00A1542C">
        <w:tab/>
      </w:r>
      <w:r w:rsidRPr="00A1542C">
        <w:tab/>
      </w:r>
      <w:r w:rsidRPr="00A1542C">
        <w:tab/>
      </w:r>
      <w:r w:rsidRPr="00A1542C">
        <w:tab/>
      </w:r>
      <w:r w:rsidRPr="00A1542C">
        <w:tab/>
      </w:r>
      <w:r w:rsidRPr="00A1542C">
        <w:tab/>
      </w:r>
      <w:r>
        <w:tab/>
        <w:t>3</w:t>
      </w:r>
    </w:p>
    <w:p w:rsidR="006B5952" w:rsidRPr="00A1542C" w:rsidRDefault="006B5952" w:rsidP="006B5952">
      <w:pPr>
        <w:spacing w:line="360" w:lineRule="auto"/>
        <w:jc w:val="both"/>
      </w:pPr>
    </w:p>
    <w:p w:rsidR="006B5952" w:rsidRPr="00A1542C" w:rsidRDefault="006B5952" w:rsidP="006B5952">
      <w:pPr>
        <w:spacing w:line="360" w:lineRule="auto"/>
        <w:jc w:val="both"/>
      </w:pPr>
      <w:r w:rsidRPr="00A1542C">
        <w:t>2.</w:t>
      </w:r>
      <w:r w:rsidRPr="00A1542C">
        <w:tab/>
        <w:t>Literature review</w:t>
      </w:r>
      <w:r w:rsidRPr="00A1542C">
        <w:tab/>
      </w:r>
      <w:r w:rsidRPr="00A1542C">
        <w:tab/>
      </w:r>
      <w:r w:rsidRPr="00A1542C">
        <w:tab/>
      </w:r>
      <w:r w:rsidRPr="00A1542C">
        <w:tab/>
      </w:r>
      <w:r w:rsidRPr="00A1542C">
        <w:tab/>
      </w:r>
      <w:r w:rsidRPr="00A1542C">
        <w:tab/>
      </w:r>
      <w:r w:rsidRPr="00A1542C">
        <w:tab/>
      </w:r>
      <w:r w:rsidRPr="00A1542C">
        <w:tab/>
      </w:r>
      <w:r>
        <w:tab/>
      </w:r>
      <w:r w:rsidR="00317F88">
        <w:t>4</w:t>
      </w:r>
    </w:p>
    <w:p w:rsidR="006B5952" w:rsidRPr="00A1542C" w:rsidRDefault="006B5952" w:rsidP="006B5952">
      <w:pPr>
        <w:spacing w:line="360" w:lineRule="auto"/>
        <w:jc w:val="both"/>
      </w:pPr>
    </w:p>
    <w:p w:rsidR="006B5952" w:rsidRPr="00A1542C" w:rsidRDefault="006B5952" w:rsidP="006B5952">
      <w:pPr>
        <w:spacing w:line="360" w:lineRule="auto"/>
        <w:jc w:val="both"/>
      </w:pPr>
      <w:r w:rsidRPr="00A1542C">
        <w:t>3.</w:t>
      </w:r>
      <w:r w:rsidRPr="00A1542C">
        <w:tab/>
      </w:r>
      <w:r>
        <w:t>Concepts and Methodology</w:t>
      </w:r>
      <w:r>
        <w:tab/>
      </w:r>
      <w:r>
        <w:tab/>
      </w:r>
      <w:r>
        <w:tab/>
      </w:r>
      <w:r>
        <w:tab/>
      </w:r>
      <w:r>
        <w:tab/>
      </w:r>
      <w:r>
        <w:tab/>
      </w:r>
      <w:r>
        <w:tab/>
      </w:r>
      <w:r>
        <w:tab/>
      </w:r>
      <w:r w:rsidR="00317F88">
        <w:t>5</w:t>
      </w:r>
    </w:p>
    <w:p w:rsidR="006B5952" w:rsidRPr="00AB2519" w:rsidRDefault="006B5952" w:rsidP="006B5952">
      <w:pPr>
        <w:spacing w:line="360" w:lineRule="auto"/>
        <w:jc w:val="both"/>
      </w:pPr>
      <w:r w:rsidRPr="00AB2519">
        <w:tab/>
        <w:t>3.1</w:t>
      </w:r>
      <w:r w:rsidRPr="00AB2519">
        <w:tab/>
        <w:t>Consumption-based Emission</w:t>
      </w:r>
      <w:r w:rsidR="002655E8">
        <w:t>s</w:t>
      </w:r>
      <w:r w:rsidRPr="00AB2519">
        <w:t xml:space="preserve"> Concepts</w:t>
      </w:r>
      <w:r w:rsidRPr="00AB2519">
        <w:tab/>
      </w:r>
      <w:r w:rsidRPr="00AB2519">
        <w:tab/>
      </w:r>
      <w:r w:rsidRPr="00AB2519">
        <w:tab/>
      </w:r>
      <w:r w:rsidRPr="00AB2519">
        <w:tab/>
      </w:r>
      <w:r w:rsidRPr="00AB2519">
        <w:tab/>
      </w:r>
      <w:r w:rsidR="00891294">
        <w:t>6</w:t>
      </w:r>
    </w:p>
    <w:p w:rsidR="006B5952" w:rsidRPr="00AB2519" w:rsidRDefault="006B5952" w:rsidP="006B5952">
      <w:pPr>
        <w:spacing w:line="360" w:lineRule="auto"/>
        <w:jc w:val="both"/>
      </w:pPr>
      <w:r w:rsidRPr="00AB2519">
        <w:tab/>
        <w:t>3.2</w:t>
      </w:r>
      <w:r w:rsidRPr="00AB2519">
        <w:tab/>
        <w:t>Improvements</w:t>
      </w:r>
      <w:r w:rsidRPr="00AB2519">
        <w:tab/>
      </w:r>
      <w:r w:rsidRPr="00AB2519">
        <w:tab/>
      </w:r>
      <w:r w:rsidRPr="00AB2519">
        <w:tab/>
      </w:r>
      <w:r w:rsidRPr="00AB2519">
        <w:tab/>
      </w:r>
      <w:r w:rsidRPr="00AB2519">
        <w:tab/>
      </w:r>
      <w:r w:rsidRPr="00AB2519">
        <w:tab/>
      </w:r>
      <w:r w:rsidRPr="00AB2519">
        <w:tab/>
      </w:r>
      <w:r w:rsidRPr="00AB2519">
        <w:tab/>
      </w:r>
      <w:r w:rsidRPr="00AB2519">
        <w:tab/>
      </w:r>
      <w:r w:rsidR="00891294">
        <w:t>7</w:t>
      </w:r>
    </w:p>
    <w:p w:rsidR="006B5952" w:rsidRPr="00AB2519" w:rsidRDefault="006B5952" w:rsidP="006B5952">
      <w:pPr>
        <w:spacing w:line="360" w:lineRule="auto"/>
        <w:jc w:val="both"/>
      </w:pPr>
      <w:r w:rsidRPr="00AB2519">
        <w:tab/>
        <w:t>3.3</w:t>
      </w:r>
      <w:r w:rsidRPr="00AB2519">
        <w:tab/>
        <w:t>SEEA Adjustments</w:t>
      </w:r>
      <w:r w:rsidRPr="00AB2519">
        <w:tab/>
      </w:r>
      <w:r w:rsidRPr="00AB2519">
        <w:tab/>
      </w:r>
      <w:r w:rsidRPr="00AB2519">
        <w:tab/>
      </w:r>
      <w:r w:rsidRPr="00AB2519">
        <w:tab/>
      </w:r>
      <w:r w:rsidRPr="00AB2519">
        <w:tab/>
      </w:r>
      <w:r w:rsidRPr="00AB2519">
        <w:tab/>
      </w:r>
      <w:r w:rsidRPr="00AB2519">
        <w:tab/>
      </w:r>
      <w:r w:rsidRPr="00AB2519">
        <w:tab/>
        <w:t>7</w:t>
      </w:r>
    </w:p>
    <w:p w:rsidR="006B5952" w:rsidRPr="00AB2519" w:rsidRDefault="006B5952" w:rsidP="006B5952">
      <w:pPr>
        <w:spacing w:line="360" w:lineRule="auto"/>
        <w:jc w:val="both"/>
      </w:pPr>
      <w:r w:rsidRPr="00AB2519">
        <w:tab/>
        <w:t>3.4</w:t>
      </w:r>
      <w:r w:rsidRPr="00AB2519">
        <w:tab/>
      </w:r>
      <w:r w:rsidR="00054964" w:rsidRPr="00054964">
        <w:t>Dissection of the input data</w:t>
      </w:r>
      <w:r w:rsidR="00054964">
        <w:tab/>
      </w:r>
      <w:r w:rsidR="00054964">
        <w:tab/>
      </w:r>
      <w:r w:rsidR="00054964">
        <w:tab/>
      </w:r>
      <w:r w:rsidR="00054964">
        <w:tab/>
      </w:r>
      <w:r w:rsidR="00054964">
        <w:tab/>
      </w:r>
      <w:r w:rsidR="00054964">
        <w:tab/>
      </w:r>
      <w:r w:rsidR="00054964">
        <w:tab/>
      </w:r>
      <w:r w:rsidR="0020795E">
        <w:t>9</w:t>
      </w:r>
    </w:p>
    <w:p w:rsidR="006B5952" w:rsidRPr="00AB2519" w:rsidRDefault="006B5952" w:rsidP="006B5952">
      <w:pPr>
        <w:spacing w:line="360" w:lineRule="auto"/>
        <w:jc w:val="both"/>
      </w:pPr>
      <w:r w:rsidRPr="00AB2519">
        <w:tab/>
        <w:t>3.5</w:t>
      </w:r>
      <w:r w:rsidRPr="00AB2519">
        <w:tab/>
        <w:t>Input-Output Model</w:t>
      </w:r>
      <w:r w:rsidRPr="00AB2519">
        <w:tab/>
      </w:r>
      <w:r w:rsidRPr="00AB2519">
        <w:tab/>
      </w:r>
      <w:r w:rsidRPr="00AB2519">
        <w:tab/>
      </w:r>
      <w:r w:rsidRPr="00AB2519">
        <w:tab/>
      </w:r>
      <w:r w:rsidRPr="00AB2519">
        <w:tab/>
      </w:r>
      <w:r w:rsidRPr="00AB2519">
        <w:tab/>
      </w:r>
      <w:r w:rsidRPr="00AB2519">
        <w:tab/>
      </w:r>
      <w:r w:rsidRPr="00AB2519">
        <w:tab/>
        <w:t>1</w:t>
      </w:r>
      <w:r w:rsidR="0020795E">
        <w:t>1</w:t>
      </w:r>
    </w:p>
    <w:p w:rsidR="006B5952" w:rsidRPr="00A1542C" w:rsidRDefault="006B5952" w:rsidP="006B5952">
      <w:pPr>
        <w:spacing w:line="360" w:lineRule="auto"/>
        <w:jc w:val="both"/>
      </w:pPr>
    </w:p>
    <w:p w:rsidR="006B5952" w:rsidRPr="00A1542C" w:rsidRDefault="006B5952" w:rsidP="006B5952">
      <w:pPr>
        <w:spacing w:line="360" w:lineRule="auto"/>
        <w:jc w:val="both"/>
      </w:pPr>
      <w:r w:rsidRPr="00A1542C">
        <w:t>4.</w:t>
      </w:r>
      <w:r w:rsidRPr="00A1542C">
        <w:tab/>
        <w:t>Results</w:t>
      </w:r>
      <w:r w:rsidRPr="00A1542C">
        <w:tab/>
      </w:r>
      <w:r w:rsidRPr="00A1542C">
        <w:tab/>
      </w:r>
      <w:r w:rsidRPr="00A1542C">
        <w:tab/>
      </w:r>
      <w:r w:rsidRPr="00A1542C">
        <w:tab/>
      </w:r>
      <w:r w:rsidRPr="00A1542C">
        <w:tab/>
      </w:r>
      <w:r w:rsidRPr="00A1542C">
        <w:tab/>
      </w:r>
      <w:r>
        <w:tab/>
      </w:r>
      <w:r>
        <w:tab/>
      </w:r>
      <w:r>
        <w:tab/>
      </w:r>
      <w:r>
        <w:tab/>
      </w:r>
      <w:r>
        <w:tab/>
        <w:t>1</w:t>
      </w:r>
      <w:r w:rsidR="00891294">
        <w:t>5</w:t>
      </w:r>
    </w:p>
    <w:p w:rsidR="006B5952" w:rsidRPr="00A1542C" w:rsidRDefault="006B5952" w:rsidP="006B5952">
      <w:pPr>
        <w:spacing w:line="360" w:lineRule="auto"/>
        <w:jc w:val="both"/>
      </w:pPr>
    </w:p>
    <w:p w:rsidR="006B5952" w:rsidRPr="00A1542C" w:rsidRDefault="006B5952" w:rsidP="006B5952">
      <w:pPr>
        <w:spacing w:line="360" w:lineRule="auto"/>
        <w:jc w:val="both"/>
      </w:pPr>
      <w:r w:rsidRPr="00A1542C">
        <w:t>5.</w:t>
      </w:r>
      <w:r w:rsidRPr="00A1542C">
        <w:tab/>
        <w:t>Conclusion</w:t>
      </w:r>
      <w:r>
        <w:tab/>
      </w:r>
      <w:r>
        <w:tab/>
      </w:r>
      <w:r>
        <w:tab/>
      </w:r>
      <w:r>
        <w:tab/>
      </w:r>
      <w:r>
        <w:tab/>
      </w:r>
      <w:r>
        <w:tab/>
      </w:r>
      <w:r>
        <w:tab/>
      </w:r>
      <w:r>
        <w:tab/>
      </w:r>
      <w:r>
        <w:tab/>
      </w:r>
      <w:r>
        <w:tab/>
        <w:t>2</w:t>
      </w:r>
      <w:r w:rsidR="0020795E">
        <w:t>4</w:t>
      </w:r>
    </w:p>
    <w:p w:rsidR="006B5952" w:rsidRPr="00A1542C" w:rsidRDefault="006B5952" w:rsidP="006B5952">
      <w:pPr>
        <w:spacing w:line="360" w:lineRule="auto"/>
        <w:jc w:val="both"/>
      </w:pPr>
    </w:p>
    <w:p w:rsidR="006B5952" w:rsidRDefault="006B5952" w:rsidP="006B5952">
      <w:pPr>
        <w:spacing w:line="360" w:lineRule="auto"/>
        <w:jc w:val="both"/>
      </w:pPr>
      <w:r w:rsidRPr="00A1542C">
        <w:t>Appendix</w:t>
      </w:r>
    </w:p>
    <w:p w:rsidR="006B5952" w:rsidRPr="00D101EC" w:rsidRDefault="006B5952" w:rsidP="006B5952">
      <w:pPr>
        <w:keepNext/>
        <w:autoSpaceDE w:val="0"/>
        <w:autoSpaceDN w:val="0"/>
        <w:adjustRightInd w:val="0"/>
        <w:spacing w:after="200"/>
        <w:jc w:val="both"/>
        <w:rPr>
          <w:rFonts w:eastAsiaTheme="minorHAnsi"/>
          <w:bCs/>
          <w:lang w:eastAsia="en-US"/>
        </w:rPr>
      </w:pPr>
      <w:r w:rsidRPr="00D101EC">
        <w:tab/>
      </w:r>
      <w:r w:rsidRPr="00D101EC">
        <w:rPr>
          <w:rFonts w:eastAsiaTheme="minorHAnsi"/>
          <w:bCs/>
          <w:lang w:eastAsia="en-US"/>
        </w:rPr>
        <w:t>Appendix 1: Flow cha</w:t>
      </w:r>
      <w:r>
        <w:rPr>
          <w:rFonts w:eastAsiaTheme="minorHAnsi"/>
          <w:bCs/>
          <w:lang w:eastAsia="en-US"/>
        </w:rPr>
        <w:t>rt for adjustments and model</w:t>
      </w:r>
      <w:r>
        <w:rPr>
          <w:rFonts w:eastAsiaTheme="minorHAnsi"/>
          <w:bCs/>
          <w:lang w:eastAsia="en-US"/>
        </w:rPr>
        <w:tab/>
      </w:r>
      <w:r>
        <w:rPr>
          <w:rFonts w:eastAsiaTheme="minorHAnsi"/>
          <w:bCs/>
          <w:lang w:eastAsia="en-US"/>
        </w:rPr>
        <w:tab/>
      </w:r>
      <w:r>
        <w:rPr>
          <w:rFonts w:eastAsiaTheme="minorHAnsi"/>
          <w:bCs/>
          <w:lang w:eastAsia="en-US"/>
        </w:rPr>
        <w:tab/>
      </w:r>
      <w:r>
        <w:rPr>
          <w:rFonts w:eastAsiaTheme="minorHAnsi"/>
          <w:bCs/>
          <w:lang w:eastAsia="en-US"/>
        </w:rPr>
        <w:tab/>
      </w:r>
      <w:r>
        <w:rPr>
          <w:rFonts w:eastAsiaTheme="minorHAnsi"/>
          <w:bCs/>
          <w:lang w:eastAsia="en-US"/>
        </w:rPr>
        <w:tab/>
      </w:r>
      <w:r w:rsidR="00085A00">
        <w:rPr>
          <w:rFonts w:eastAsiaTheme="minorHAnsi"/>
          <w:bCs/>
          <w:lang w:eastAsia="en-US"/>
        </w:rPr>
        <w:t>2</w:t>
      </w:r>
      <w:r w:rsidR="0020795E">
        <w:rPr>
          <w:rFonts w:eastAsiaTheme="minorHAnsi"/>
          <w:bCs/>
          <w:lang w:eastAsia="en-US"/>
        </w:rPr>
        <w:t>6</w:t>
      </w:r>
    </w:p>
    <w:p w:rsidR="006B5952" w:rsidRPr="00D101EC" w:rsidRDefault="006B5952" w:rsidP="006B5952">
      <w:pPr>
        <w:autoSpaceDE w:val="0"/>
        <w:autoSpaceDN w:val="0"/>
        <w:adjustRightInd w:val="0"/>
        <w:spacing w:line="360" w:lineRule="auto"/>
        <w:rPr>
          <w:rFonts w:eastAsiaTheme="minorHAnsi"/>
          <w:bCs/>
          <w:lang w:eastAsia="en-US"/>
        </w:rPr>
      </w:pPr>
      <w:r w:rsidRPr="00D101EC">
        <w:rPr>
          <w:rFonts w:eastAsiaTheme="minorHAnsi"/>
          <w:bCs/>
          <w:lang w:eastAsia="en-US"/>
        </w:rPr>
        <w:tab/>
      </w:r>
      <w:r>
        <w:rPr>
          <w:rFonts w:eastAsiaTheme="minorHAnsi"/>
          <w:bCs/>
          <w:lang w:eastAsia="en-US"/>
        </w:rPr>
        <w:t>Appendix 2: GHG emission</w:t>
      </w:r>
      <w:r>
        <w:rPr>
          <w:rFonts w:eastAsiaTheme="minorHAnsi"/>
          <w:bCs/>
          <w:lang w:eastAsia="en-US"/>
        </w:rPr>
        <w:tab/>
      </w:r>
      <w:r>
        <w:rPr>
          <w:rFonts w:eastAsiaTheme="minorHAnsi"/>
          <w:bCs/>
          <w:lang w:eastAsia="en-US"/>
        </w:rPr>
        <w:tab/>
      </w:r>
      <w:r>
        <w:rPr>
          <w:rFonts w:eastAsiaTheme="minorHAnsi"/>
          <w:bCs/>
          <w:lang w:eastAsia="en-US"/>
        </w:rPr>
        <w:tab/>
      </w:r>
      <w:r>
        <w:rPr>
          <w:rFonts w:eastAsiaTheme="minorHAnsi"/>
          <w:bCs/>
          <w:lang w:eastAsia="en-US"/>
        </w:rPr>
        <w:tab/>
      </w:r>
      <w:r>
        <w:rPr>
          <w:rFonts w:eastAsiaTheme="minorHAnsi"/>
          <w:bCs/>
          <w:lang w:eastAsia="en-US"/>
        </w:rPr>
        <w:tab/>
      </w:r>
      <w:r>
        <w:rPr>
          <w:rFonts w:eastAsiaTheme="minorHAnsi"/>
          <w:bCs/>
          <w:lang w:eastAsia="en-US"/>
        </w:rPr>
        <w:tab/>
      </w:r>
      <w:r>
        <w:rPr>
          <w:rFonts w:eastAsiaTheme="minorHAnsi"/>
          <w:bCs/>
          <w:lang w:eastAsia="en-US"/>
        </w:rPr>
        <w:tab/>
      </w:r>
      <w:r>
        <w:rPr>
          <w:rFonts w:eastAsiaTheme="minorHAnsi"/>
          <w:bCs/>
          <w:lang w:eastAsia="en-US"/>
        </w:rPr>
        <w:tab/>
      </w:r>
      <w:r w:rsidRPr="00D101EC">
        <w:rPr>
          <w:rFonts w:eastAsiaTheme="minorHAnsi"/>
          <w:bCs/>
          <w:lang w:eastAsia="en-US"/>
        </w:rPr>
        <w:t>2</w:t>
      </w:r>
      <w:r w:rsidR="0020795E">
        <w:rPr>
          <w:rFonts w:eastAsiaTheme="minorHAnsi"/>
          <w:bCs/>
          <w:lang w:eastAsia="en-US"/>
        </w:rPr>
        <w:t>7</w:t>
      </w:r>
    </w:p>
    <w:p w:rsidR="006B5952" w:rsidRPr="00D101EC" w:rsidRDefault="006B5952" w:rsidP="0020795E">
      <w:pPr>
        <w:autoSpaceDE w:val="0"/>
        <w:autoSpaceDN w:val="0"/>
        <w:adjustRightInd w:val="0"/>
        <w:spacing w:line="360" w:lineRule="auto"/>
        <w:jc w:val="both"/>
        <w:rPr>
          <w:rFonts w:eastAsiaTheme="minorHAnsi"/>
          <w:bCs/>
          <w:lang w:eastAsia="en-US"/>
        </w:rPr>
      </w:pPr>
      <w:r w:rsidRPr="00D101EC">
        <w:rPr>
          <w:rFonts w:eastAsiaTheme="minorHAnsi"/>
          <w:bCs/>
          <w:lang w:eastAsia="en-US"/>
        </w:rPr>
        <w:tab/>
      </w:r>
      <w:r w:rsidR="00E11C69">
        <w:rPr>
          <w:rFonts w:eastAsiaTheme="minorHAnsi"/>
          <w:bCs/>
          <w:lang w:eastAsia="en-US"/>
        </w:rPr>
        <w:t>Appendix 3:</w:t>
      </w:r>
      <w:r w:rsidR="00E11C69" w:rsidRPr="0020795E">
        <w:rPr>
          <w:rFonts w:eastAsiaTheme="minorHAnsi"/>
          <w:bCs/>
          <w:sz w:val="22"/>
          <w:lang w:eastAsia="en-US"/>
        </w:rPr>
        <w:t xml:space="preserve"> Concordance</w:t>
      </w:r>
      <w:r w:rsidR="0020795E" w:rsidRPr="0020795E">
        <w:rPr>
          <w:rFonts w:eastAsiaTheme="minorHAnsi"/>
          <w:bCs/>
          <w:sz w:val="22"/>
          <w:lang w:eastAsia="en-US"/>
        </w:rPr>
        <w:t xml:space="preserve"> DCCEE Industry Classification and IOIG classification</w:t>
      </w:r>
      <w:r>
        <w:rPr>
          <w:rFonts w:eastAsiaTheme="minorHAnsi"/>
          <w:bCs/>
          <w:lang w:eastAsia="en-US"/>
        </w:rPr>
        <w:tab/>
      </w:r>
      <w:r w:rsidRPr="00D101EC">
        <w:rPr>
          <w:rFonts w:eastAsiaTheme="minorHAnsi"/>
          <w:bCs/>
          <w:lang w:eastAsia="en-US"/>
        </w:rPr>
        <w:t>2</w:t>
      </w:r>
      <w:r w:rsidR="0020795E">
        <w:rPr>
          <w:rFonts w:eastAsiaTheme="minorHAnsi"/>
          <w:bCs/>
          <w:lang w:eastAsia="en-US"/>
        </w:rPr>
        <w:t>8</w:t>
      </w:r>
    </w:p>
    <w:p w:rsidR="006B5952" w:rsidRDefault="006B5952" w:rsidP="00054964">
      <w:pPr>
        <w:autoSpaceDE w:val="0"/>
        <w:autoSpaceDN w:val="0"/>
        <w:adjustRightInd w:val="0"/>
        <w:spacing w:line="360" w:lineRule="auto"/>
        <w:rPr>
          <w:rFonts w:eastAsiaTheme="minorHAnsi"/>
          <w:bCs/>
          <w:lang w:eastAsia="en-US"/>
        </w:rPr>
      </w:pPr>
      <w:r w:rsidRPr="00D101EC">
        <w:rPr>
          <w:rFonts w:ascii="TimesNewRoman" w:eastAsiaTheme="minorHAnsi" w:hAnsi="TimesNewRoman" w:cs="TimesNewRoman"/>
          <w:bCs/>
          <w:lang w:eastAsia="en-US"/>
        </w:rPr>
        <w:tab/>
      </w:r>
      <w:r w:rsidRPr="00054964">
        <w:rPr>
          <w:rFonts w:eastAsiaTheme="minorHAnsi"/>
          <w:bCs/>
          <w:lang w:eastAsia="en-US"/>
        </w:rPr>
        <w:t xml:space="preserve">Appendix 4: </w:t>
      </w:r>
      <w:r w:rsidR="0020795E" w:rsidRPr="0020795E">
        <w:rPr>
          <w:rFonts w:eastAsiaTheme="minorHAnsi"/>
          <w:bCs/>
          <w:sz w:val="22"/>
          <w:lang w:eastAsia="en-US"/>
        </w:rPr>
        <w:t>Concordance DCCEE Industry Classification and IOIG classification</w:t>
      </w:r>
      <w:r w:rsidRPr="0020795E">
        <w:rPr>
          <w:rFonts w:eastAsiaTheme="minorHAnsi"/>
          <w:bCs/>
          <w:sz w:val="22"/>
          <w:lang w:eastAsia="en-US"/>
        </w:rPr>
        <w:tab/>
      </w:r>
      <w:r w:rsidRPr="00D101EC">
        <w:rPr>
          <w:rFonts w:eastAsiaTheme="minorHAnsi"/>
          <w:bCs/>
          <w:lang w:eastAsia="en-US"/>
        </w:rPr>
        <w:t>3</w:t>
      </w:r>
      <w:r w:rsidR="0020795E">
        <w:rPr>
          <w:rFonts w:eastAsiaTheme="minorHAnsi"/>
          <w:bCs/>
          <w:lang w:eastAsia="en-US"/>
        </w:rPr>
        <w:t>2</w:t>
      </w:r>
    </w:p>
    <w:p w:rsidR="006B5952" w:rsidRPr="00D101EC" w:rsidRDefault="006B5952" w:rsidP="006B5952">
      <w:pPr>
        <w:autoSpaceDE w:val="0"/>
        <w:autoSpaceDN w:val="0"/>
        <w:adjustRightInd w:val="0"/>
        <w:spacing w:line="360" w:lineRule="auto"/>
        <w:jc w:val="both"/>
        <w:rPr>
          <w:rFonts w:eastAsiaTheme="minorHAnsi"/>
          <w:bCs/>
          <w:lang w:eastAsia="en-US"/>
        </w:rPr>
      </w:pPr>
    </w:p>
    <w:p w:rsidR="006B5952" w:rsidRPr="00A1542C" w:rsidRDefault="006B5952" w:rsidP="006B5952">
      <w:pPr>
        <w:spacing w:line="360" w:lineRule="auto"/>
        <w:jc w:val="both"/>
        <w:rPr>
          <w:sz w:val="26"/>
          <w:szCs w:val="26"/>
        </w:rPr>
      </w:pPr>
      <w:r w:rsidRPr="00A1542C">
        <w:t>Bibliography</w:t>
      </w:r>
      <w:r>
        <w:tab/>
      </w:r>
      <w:r>
        <w:tab/>
      </w:r>
      <w:r>
        <w:tab/>
      </w:r>
      <w:r>
        <w:tab/>
      </w:r>
      <w:r>
        <w:tab/>
      </w:r>
      <w:r>
        <w:tab/>
      </w:r>
      <w:r>
        <w:tab/>
      </w:r>
      <w:r>
        <w:tab/>
      </w:r>
      <w:r>
        <w:tab/>
      </w:r>
      <w:r>
        <w:tab/>
      </w:r>
      <w:r>
        <w:tab/>
        <w:t>3</w:t>
      </w:r>
      <w:r w:rsidR="0020795E">
        <w:t>5</w:t>
      </w:r>
    </w:p>
    <w:p w:rsidR="006B5952" w:rsidRPr="003E3E4B" w:rsidRDefault="006B5952" w:rsidP="006B5952">
      <w:pPr>
        <w:spacing w:line="360" w:lineRule="auto"/>
        <w:jc w:val="both"/>
        <w:rPr>
          <w:sz w:val="26"/>
          <w:szCs w:val="26"/>
        </w:rPr>
      </w:pPr>
    </w:p>
    <w:p w:rsidR="00F12DB0" w:rsidRDefault="00F12DB0" w:rsidP="00350A65">
      <w:pPr>
        <w:spacing w:line="360" w:lineRule="auto"/>
        <w:jc w:val="both"/>
        <w:rPr>
          <w:b/>
          <w:sz w:val="28"/>
          <w:szCs w:val="28"/>
        </w:rPr>
      </w:pPr>
    </w:p>
    <w:p w:rsidR="00F12DB0" w:rsidRDefault="00F12DB0" w:rsidP="00350A65">
      <w:pPr>
        <w:spacing w:line="360" w:lineRule="auto"/>
        <w:jc w:val="both"/>
        <w:rPr>
          <w:b/>
          <w:sz w:val="28"/>
          <w:szCs w:val="28"/>
        </w:rPr>
      </w:pPr>
    </w:p>
    <w:p w:rsidR="00D12523" w:rsidRDefault="00D12523" w:rsidP="00350A65">
      <w:pPr>
        <w:spacing w:line="360" w:lineRule="auto"/>
        <w:jc w:val="both"/>
        <w:rPr>
          <w:b/>
          <w:sz w:val="28"/>
          <w:szCs w:val="28"/>
        </w:rPr>
      </w:pPr>
    </w:p>
    <w:p w:rsidR="006B5952" w:rsidRDefault="006B5952" w:rsidP="00350A65">
      <w:pPr>
        <w:spacing w:line="360" w:lineRule="auto"/>
        <w:jc w:val="both"/>
        <w:rPr>
          <w:b/>
          <w:sz w:val="28"/>
          <w:szCs w:val="28"/>
        </w:rPr>
      </w:pPr>
    </w:p>
    <w:p w:rsidR="0020795E" w:rsidRDefault="0020795E" w:rsidP="00350A65">
      <w:pPr>
        <w:spacing w:line="360" w:lineRule="auto"/>
        <w:jc w:val="both"/>
        <w:rPr>
          <w:b/>
          <w:sz w:val="28"/>
          <w:szCs w:val="28"/>
        </w:rPr>
      </w:pPr>
    </w:p>
    <w:p w:rsidR="00F12DB0" w:rsidRDefault="00F12DB0" w:rsidP="00350A65">
      <w:pPr>
        <w:spacing w:line="360" w:lineRule="auto"/>
        <w:jc w:val="both"/>
        <w:rPr>
          <w:b/>
          <w:sz w:val="28"/>
          <w:szCs w:val="28"/>
        </w:rPr>
      </w:pPr>
    </w:p>
    <w:p w:rsidR="00BA098E" w:rsidRPr="00BD2CB3" w:rsidRDefault="00BA098E" w:rsidP="00BA098E">
      <w:pPr>
        <w:spacing w:line="360" w:lineRule="auto"/>
        <w:jc w:val="both"/>
        <w:rPr>
          <w:b/>
          <w:sz w:val="28"/>
          <w:szCs w:val="28"/>
        </w:rPr>
      </w:pPr>
      <w:r w:rsidRPr="00BD2CB3">
        <w:rPr>
          <w:b/>
          <w:sz w:val="28"/>
          <w:szCs w:val="28"/>
        </w:rPr>
        <w:lastRenderedPageBreak/>
        <w:t>1.</w:t>
      </w:r>
      <w:r w:rsidRPr="00BD2CB3">
        <w:rPr>
          <w:b/>
          <w:sz w:val="28"/>
          <w:szCs w:val="28"/>
        </w:rPr>
        <w:tab/>
      </w:r>
      <w:r>
        <w:rPr>
          <w:b/>
          <w:sz w:val="28"/>
          <w:szCs w:val="28"/>
        </w:rPr>
        <w:t>INTRODUCTION</w:t>
      </w:r>
    </w:p>
    <w:p w:rsidR="00BA098E" w:rsidRDefault="00BA098E" w:rsidP="00D12523">
      <w:pPr>
        <w:tabs>
          <w:tab w:val="left" w:pos="4153"/>
          <w:tab w:val="left" w:pos="8306"/>
        </w:tabs>
        <w:autoSpaceDE w:val="0"/>
        <w:autoSpaceDN w:val="0"/>
        <w:adjustRightInd w:val="0"/>
        <w:spacing w:line="360" w:lineRule="auto"/>
        <w:jc w:val="both"/>
        <w:rPr>
          <w:rFonts w:eastAsiaTheme="minorHAnsi"/>
          <w:lang w:eastAsia="en-US"/>
        </w:rPr>
      </w:pPr>
    </w:p>
    <w:p w:rsidR="00CF1CA9" w:rsidRDefault="00503E53" w:rsidP="00D12523">
      <w:pPr>
        <w:tabs>
          <w:tab w:val="left" w:pos="4153"/>
          <w:tab w:val="left" w:pos="8306"/>
        </w:tabs>
        <w:autoSpaceDE w:val="0"/>
        <w:autoSpaceDN w:val="0"/>
        <w:adjustRightInd w:val="0"/>
        <w:spacing w:line="360" w:lineRule="auto"/>
        <w:jc w:val="both"/>
        <w:rPr>
          <w:rFonts w:eastAsiaTheme="minorHAnsi"/>
          <w:lang w:eastAsia="en-US"/>
        </w:rPr>
      </w:pPr>
      <w:r w:rsidRPr="00503E53">
        <w:rPr>
          <w:rFonts w:eastAsiaTheme="minorHAnsi"/>
          <w:lang w:eastAsia="en-US"/>
        </w:rPr>
        <w:t>This study attempts to construct an environmentally extended Input-Output (IO) table for Australian greenhouse gas (GHG) emissions</w:t>
      </w:r>
      <w:r w:rsidR="00810518">
        <w:rPr>
          <w:rStyle w:val="FootnoteReference"/>
          <w:rFonts w:eastAsiaTheme="minorHAnsi"/>
          <w:lang w:eastAsia="en-US"/>
        </w:rPr>
        <w:footnoteReference w:id="3"/>
      </w:r>
      <w:r w:rsidRPr="00503E53">
        <w:rPr>
          <w:rFonts w:eastAsiaTheme="minorHAnsi"/>
          <w:lang w:eastAsia="en-US"/>
        </w:rPr>
        <w:t xml:space="preserve"> induced by final demand</w:t>
      </w:r>
      <w:r w:rsidR="009A1839">
        <w:rPr>
          <w:rFonts w:eastAsiaTheme="minorHAnsi"/>
          <w:lang w:eastAsia="en-US"/>
        </w:rPr>
        <w:t xml:space="preserve"> </w:t>
      </w:r>
      <w:r w:rsidR="001C76D0">
        <w:rPr>
          <w:rFonts w:eastAsiaTheme="minorHAnsi"/>
          <w:lang w:eastAsia="en-US"/>
        </w:rPr>
        <w:t>at the industry group level</w:t>
      </w:r>
      <w:r w:rsidRPr="00503E53">
        <w:rPr>
          <w:rFonts w:eastAsiaTheme="minorHAnsi"/>
          <w:lang w:eastAsia="en-US"/>
        </w:rPr>
        <w:t>. The work is part of a pilot project to produce GHG emissions accounts according to the System of Environmental-Economic Accounting (SEEA)</w:t>
      </w:r>
      <w:r w:rsidRPr="00503E53">
        <w:rPr>
          <w:rFonts w:eastAsiaTheme="minorHAnsi"/>
          <w:vertAlign w:val="superscript"/>
          <w:lang w:eastAsia="en-US"/>
        </w:rPr>
        <w:footnoteReference w:id="4"/>
      </w:r>
      <w:r w:rsidR="001C76D0">
        <w:rPr>
          <w:rFonts w:eastAsiaTheme="minorHAnsi"/>
          <w:lang w:eastAsia="en-US"/>
        </w:rPr>
        <w:t>.</w:t>
      </w:r>
    </w:p>
    <w:p w:rsidR="00CF1CA9" w:rsidRDefault="00CF1CA9" w:rsidP="00D12523">
      <w:pPr>
        <w:tabs>
          <w:tab w:val="left" w:pos="4153"/>
          <w:tab w:val="left" w:pos="8306"/>
        </w:tabs>
        <w:autoSpaceDE w:val="0"/>
        <w:autoSpaceDN w:val="0"/>
        <w:adjustRightInd w:val="0"/>
        <w:spacing w:line="360" w:lineRule="auto"/>
        <w:jc w:val="both"/>
        <w:rPr>
          <w:rFonts w:eastAsiaTheme="minorHAnsi"/>
          <w:lang w:eastAsia="en-US"/>
        </w:rPr>
      </w:pPr>
    </w:p>
    <w:p w:rsidR="001C76D0" w:rsidRDefault="00503E53" w:rsidP="00D12523">
      <w:pPr>
        <w:tabs>
          <w:tab w:val="left" w:pos="4153"/>
          <w:tab w:val="left" w:pos="8306"/>
        </w:tabs>
        <w:autoSpaceDE w:val="0"/>
        <w:autoSpaceDN w:val="0"/>
        <w:adjustRightInd w:val="0"/>
        <w:spacing w:line="360" w:lineRule="auto"/>
        <w:jc w:val="both"/>
        <w:rPr>
          <w:rFonts w:eastAsiaTheme="minorHAnsi"/>
          <w:lang w:eastAsia="en-US"/>
        </w:rPr>
      </w:pPr>
      <w:r w:rsidRPr="00503E53">
        <w:rPr>
          <w:rFonts w:eastAsiaTheme="minorHAnsi"/>
          <w:lang w:eastAsia="en-US"/>
        </w:rPr>
        <w:t>The paper outlines the methodolo</w:t>
      </w:r>
      <w:r w:rsidR="001C76D0">
        <w:rPr>
          <w:rFonts w:eastAsiaTheme="minorHAnsi"/>
          <w:lang w:eastAsia="en-US"/>
        </w:rPr>
        <w:t>gy, presents some early results</w:t>
      </w:r>
      <w:r w:rsidRPr="00503E53">
        <w:rPr>
          <w:rFonts w:eastAsiaTheme="minorHAnsi"/>
          <w:lang w:eastAsia="en-US"/>
        </w:rPr>
        <w:t xml:space="preserve"> and identifies some of the practical challenges </w:t>
      </w:r>
      <w:r w:rsidR="00D12523" w:rsidRPr="00503E53">
        <w:rPr>
          <w:rFonts w:eastAsiaTheme="minorHAnsi"/>
          <w:lang w:eastAsia="en-US"/>
        </w:rPr>
        <w:t xml:space="preserve">encountered. </w:t>
      </w:r>
      <w:r w:rsidR="001C76D0">
        <w:rPr>
          <w:rFonts w:eastAsiaTheme="minorHAnsi"/>
          <w:lang w:eastAsia="en-US"/>
        </w:rPr>
        <w:t>Another objective of this paper</w:t>
      </w:r>
      <w:r w:rsidRPr="00503E53">
        <w:rPr>
          <w:rFonts w:eastAsiaTheme="minorHAnsi"/>
          <w:lang w:eastAsia="en-US"/>
        </w:rPr>
        <w:t xml:space="preserve"> is to seek feedback </w:t>
      </w:r>
      <w:r w:rsidR="001C76D0">
        <w:rPr>
          <w:rFonts w:eastAsiaTheme="minorHAnsi"/>
          <w:lang w:eastAsia="en-US"/>
        </w:rPr>
        <w:t>from stakeholders in order to inform internal ABS consideration of its future work program for environmental statistics and</w:t>
      </w:r>
      <w:r w:rsidR="001C76D0" w:rsidRPr="001C76D0">
        <w:rPr>
          <w:rFonts w:eastAsiaTheme="minorHAnsi"/>
          <w:lang w:eastAsia="en-US"/>
        </w:rPr>
        <w:t xml:space="preserve"> </w:t>
      </w:r>
      <w:r w:rsidR="001C76D0" w:rsidRPr="00503E53">
        <w:rPr>
          <w:rFonts w:eastAsiaTheme="minorHAnsi"/>
          <w:lang w:eastAsia="en-US"/>
        </w:rPr>
        <w:t>future release</w:t>
      </w:r>
      <w:r w:rsidR="00641169">
        <w:rPr>
          <w:rFonts w:eastAsiaTheme="minorHAnsi"/>
          <w:lang w:eastAsia="en-US"/>
        </w:rPr>
        <w:t>s</w:t>
      </w:r>
      <w:r w:rsidR="001C76D0" w:rsidRPr="00503E53">
        <w:rPr>
          <w:rFonts w:eastAsiaTheme="minorHAnsi"/>
          <w:lang w:eastAsia="en-US"/>
        </w:rPr>
        <w:t xml:space="preserve"> of these experimental </w:t>
      </w:r>
      <w:r w:rsidR="001C76D0">
        <w:rPr>
          <w:rFonts w:eastAsiaTheme="minorHAnsi"/>
          <w:lang w:eastAsia="en-US"/>
        </w:rPr>
        <w:t>data</w:t>
      </w:r>
      <w:r w:rsidRPr="00503E53">
        <w:rPr>
          <w:rFonts w:eastAsiaTheme="minorHAnsi"/>
          <w:lang w:eastAsia="en-US"/>
        </w:rPr>
        <w:t>. It is not an official ABS release of data</w:t>
      </w:r>
      <w:r w:rsidR="00EB4B46">
        <w:rPr>
          <w:rFonts w:eastAsiaTheme="minorHAnsi"/>
          <w:lang w:eastAsia="en-US"/>
        </w:rPr>
        <w:t>.</w:t>
      </w:r>
      <w:r w:rsidRPr="00503E53">
        <w:rPr>
          <w:rFonts w:eastAsiaTheme="minorHAnsi"/>
          <w:lang w:eastAsia="en-US"/>
        </w:rPr>
        <w:t xml:space="preserve"> </w:t>
      </w:r>
      <w:r w:rsidR="00597591">
        <w:rPr>
          <w:rFonts w:eastAsiaTheme="minorHAnsi"/>
          <w:lang w:eastAsia="en-US"/>
        </w:rPr>
        <w:t>In particular, the ABS has a project underway to review and improve the energy related columns and rows of the IO tables. These improvements once implemented would likely impact on the results presented here, particularly the industry dimension of emissions induced by final demand products.</w:t>
      </w:r>
    </w:p>
    <w:p w:rsidR="00503E53" w:rsidRPr="00503E53" w:rsidRDefault="00503E53" w:rsidP="00503E53">
      <w:pPr>
        <w:tabs>
          <w:tab w:val="left" w:pos="4153"/>
          <w:tab w:val="left" w:pos="8306"/>
        </w:tabs>
        <w:autoSpaceDE w:val="0"/>
        <w:autoSpaceDN w:val="0"/>
        <w:adjustRightInd w:val="0"/>
        <w:spacing w:line="360" w:lineRule="auto"/>
        <w:jc w:val="both"/>
        <w:rPr>
          <w:rFonts w:eastAsiaTheme="minorHAnsi"/>
          <w:lang w:eastAsia="en-US"/>
        </w:rPr>
      </w:pPr>
    </w:p>
    <w:p w:rsidR="00503E53" w:rsidRPr="00503E53" w:rsidRDefault="00CF7B81" w:rsidP="00503E53">
      <w:pPr>
        <w:spacing w:line="360" w:lineRule="auto"/>
        <w:jc w:val="both"/>
        <w:rPr>
          <w:rFonts w:eastAsiaTheme="minorHAnsi"/>
          <w:lang w:eastAsia="en-US"/>
        </w:rPr>
      </w:pPr>
      <w:r w:rsidRPr="00CE7AEF">
        <w:rPr>
          <w:rFonts w:eastAsiaTheme="minorHAnsi"/>
          <w:lang w:eastAsia="en-US"/>
        </w:rPr>
        <w:t>E</w:t>
      </w:r>
      <w:r w:rsidR="00503E53" w:rsidRPr="00CE7AEF">
        <w:rPr>
          <w:rFonts w:eastAsiaTheme="minorHAnsi"/>
          <w:lang w:eastAsia="en-US"/>
        </w:rPr>
        <w:t xml:space="preserve">stimates of </w:t>
      </w:r>
      <w:r w:rsidR="00BF5B7C" w:rsidRPr="00CE7AEF">
        <w:rPr>
          <w:rFonts w:eastAsiaTheme="minorHAnsi"/>
          <w:lang w:eastAsia="en-US"/>
        </w:rPr>
        <w:t xml:space="preserve">emissions induced by final demand (often referred to as </w:t>
      </w:r>
      <w:r w:rsidR="00503E53" w:rsidRPr="00CE7AEF">
        <w:rPr>
          <w:rFonts w:eastAsiaTheme="minorHAnsi"/>
          <w:lang w:eastAsia="en-US"/>
        </w:rPr>
        <w:t>consumption-based emissions</w:t>
      </w:r>
      <w:r w:rsidR="00EB4B46" w:rsidRPr="00CE7AEF">
        <w:rPr>
          <w:rFonts w:eastAsiaTheme="minorHAnsi"/>
          <w:lang w:eastAsia="en-US"/>
        </w:rPr>
        <w:t>) can</w:t>
      </w:r>
      <w:r w:rsidRPr="00CE7AEF">
        <w:rPr>
          <w:rFonts w:eastAsiaTheme="minorHAnsi"/>
          <w:lang w:eastAsia="en-US"/>
        </w:rPr>
        <w:t xml:space="preserve"> be seen as</w:t>
      </w:r>
      <w:r w:rsidR="00503E53" w:rsidRPr="00CE7AEF">
        <w:rPr>
          <w:rFonts w:eastAsiaTheme="minorHAnsi"/>
          <w:lang w:eastAsia="en-US"/>
        </w:rPr>
        <w:t xml:space="preserve"> complement</w:t>
      </w:r>
      <w:r w:rsidRPr="00CE7AEF">
        <w:rPr>
          <w:rFonts w:eastAsiaTheme="minorHAnsi"/>
          <w:lang w:eastAsia="en-US"/>
        </w:rPr>
        <w:t>ing</w:t>
      </w:r>
      <w:r w:rsidR="00503E53" w:rsidRPr="00CE7AEF">
        <w:rPr>
          <w:rFonts w:eastAsiaTheme="minorHAnsi"/>
          <w:lang w:eastAsia="en-US"/>
        </w:rPr>
        <w:t xml:space="preserve"> the National Greenhouse Accounts prepared by the Department of Climate Change and Energy Efficiency (DCCEE)</w:t>
      </w:r>
      <w:r w:rsidR="00EB4B46">
        <w:rPr>
          <w:rStyle w:val="FootnoteReference"/>
          <w:rFonts w:eastAsiaTheme="minorHAnsi"/>
          <w:lang w:eastAsia="en-US"/>
        </w:rPr>
        <w:footnoteReference w:id="5"/>
      </w:r>
      <w:r w:rsidR="00503E53" w:rsidRPr="00CE7AEF">
        <w:rPr>
          <w:rFonts w:eastAsiaTheme="minorHAnsi"/>
          <w:lang w:eastAsia="en-US"/>
        </w:rPr>
        <w:t xml:space="preserve">. </w:t>
      </w:r>
      <w:r w:rsidRPr="00CE7AEF">
        <w:rPr>
          <w:rFonts w:eastAsiaTheme="minorHAnsi"/>
          <w:lang w:eastAsia="en-US"/>
        </w:rPr>
        <w:t xml:space="preserve">They are designed to enable GHG emissions to be viewed from a </w:t>
      </w:r>
      <w:r w:rsidR="00641169">
        <w:rPr>
          <w:rFonts w:eastAsiaTheme="minorHAnsi"/>
          <w:lang w:eastAsia="en-US"/>
        </w:rPr>
        <w:t>consumption</w:t>
      </w:r>
      <w:r w:rsidRPr="00CE7AEF">
        <w:rPr>
          <w:rFonts w:eastAsiaTheme="minorHAnsi"/>
          <w:lang w:eastAsia="en-US"/>
        </w:rPr>
        <w:t xml:space="preserve"> perspective and to answer some policy questions. </w:t>
      </w:r>
      <w:r w:rsidR="00503E53" w:rsidRPr="00CE7AEF">
        <w:rPr>
          <w:rFonts w:eastAsiaTheme="minorHAnsi"/>
          <w:lang w:eastAsia="en-US"/>
        </w:rPr>
        <w:t>The DCCEE produces the National Greenhouse Accounts to meet the Australian Government’s reporting obligations</w:t>
      </w:r>
      <w:r w:rsidR="00503E53" w:rsidRPr="00503E53">
        <w:rPr>
          <w:rFonts w:eastAsiaTheme="minorHAnsi"/>
          <w:lang w:eastAsia="en-US"/>
        </w:rPr>
        <w:t xml:space="preserve"> under the UN Framework Convention on Climate Change and</w:t>
      </w:r>
      <w:r w:rsidR="00EE41FF">
        <w:rPr>
          <w:rFonts w:eastAsiaTheme="minorHAnsi"/>
          <w:lang w:eastAsia="en-US"/>
        </w:rPr>
        <w:t xml:space="preserve"> under</w:t>
      </w:r>
      <w:r w:rsidR="00503E53" w:rsidRPr="00503E53">
        <w:rPr>
          <w:rFonts w:eastAsiaTheme="minorHAnsi"/>
          <w:lang w:eastAsia="en-US"/>
        </w:rPr>
        <w:t xml:space="preserve"> the Kyoto Protocol</w:t>
      </w:r>
      <w:r w:rsidR="00641169">
        <w:rPr>
          <w:rFonts w:eastAsiaTheme="minorHAnsi"/>
          <w:lang w:eastAsia="en-US"/>
        </w:rPr>
        <w:t>,</w:t>
      </w:r>
      <w:r w:rsidR="00503E53" w:rsidRPr="00503E53">
        <w:rPr>
          <w:rFonts w:eastAsiaTheme="minorHAnsi"/>
          <w:lang w:eastAsia="en-US"/>
        </w:rPr>
        <w:t xml:space="preserve"> and to fulfil accounting obligations in relation to the Government’s national </w:t>
      </w:r>
      <w:r w:rsidR="000B5BC5">
        <w:rPr>
          <w:rFonts w:eastAsiaTheme="minorHAnsi"/>
          <w:lang w:eastAsia="en-US"/>
        </w:rPr>
        <w:t>emission reduction commitments.</w:t>
      </w:r>
      <w:r w:rsidR="00503E53" w:rsidRPr="00503E53">
        <w:rPr>
          <w:rFonts w:eastAsiaTheme="minorHAnsi"/>
          <w:lang w:eastAsia="en-US"/>
        </w:rPr>
        <w:t> </w:t>
      </w:r>
      <w:r w:rsidR="00D12523" w:rsidRPr="00503E53">
        <w:rPr>
          <w:rFonts w:eastAsiaTheme="minorHAnsi"/>
          <w:lang w:eastAsia="en-US"/>
        </w:rPr>
        <w:t>The National</w:t>
      </w:r>
      <w:r w:rsidR="00503E53" w:rsidRPr="00503E53">
        <w:rPr>
          <w:rFonts w:eastAsiaTheme="minorHAnsi"/>
          <w:lang w:eastAsia="en-US"/>
        </w:rPr>
        <w:t xml:space="preserve"> Greenhouse Accounts also provide emissions data associated with production processes in the Australian economy at national and state levels according to both </w:t>
      </w:r>
      <w:r w:rsidR="00641169">
        <w:rPr>
          <w:rFonts w:eastAsiaTheme="minorHAnsi"/>
          <w:lang w:eastAsia="en-US"/>
        </w:rPr>
        <w:t xml:space="preserve">the </w:t>
      </w:r>
      <w:r w:rsidR="00503E53" w:rsidRPr="00503E53">
        <w:rPr>
          <w:rFonts w:eastAsiaTheme="minorHAnsi"/>
          <w:lang w:eastAsia="en-US"/>
        </w:rPr>
        <w:t xml:space="preserve">Intergovernmental Panel on Climate Change (IPCC) and </w:t>
      </w:r>
      <w:r w:rsidR="00641169">
        <w:rPr>
          <w:rFonts w:eastAsiaTheme="minorHAnsi"/>
          <w:lang w:eastAsia="en-US"/>
        </w:rPr>
        <w:t xml:space="preserve">based on </w:t>
      </w:r>
      <w:r w:rsidR="00503E53" w:rsidRPr="005751A3">
        <w:rPr>
          <w:rFonts w:eastAsiaTheme="minorHAnsi"/>
          <w:lang w:eastAsia="en-US"/>
        </w:rPr>
        <w:t xml:space="preserve">Australian and New Zealand Standard Industrial </w:t>
      </w:r>
      <w:r w:rsidR="00503E53" w:rsidRPr="005751A3">
        <w:rPr>
          <w:rFonts w:eastAsiaTheme="minorHAnsi"/>
          <w:lang w:eastAsia="en-US"/>
        </w:rPr>
        <w:lastRenderedPageBreak/>
        <w:t>Classification 06 (ANZSIC 06)</w:t>
      </w:r>
      <w:r w:rsidR="00503E53" w:rsidRPr="00503E53">
        <w:rPr>
          <w:rFonts w:eastAsiaTheme="minorHAnsi"/>
          <w:lang w:eastAsia="en-US"/>
        </w:rPr>
        <w:t xml:space="preserve"> systems.  Integral to the accounting framework developed by DCCEE is the design of policies to manage emissions at the point of production in a manner consistent with the National Greenhouse Accounts including policies such as the Carbon Price Mechanism and the Carbon Farming Initiative.  </w:t>
      </w:r>
    </w:p>
    <w:p w:rsidR="00BA098E" w:rsidRDefault="00BA098E" w:rsidP="00BA098E">
      <w:pPr>
        <w:tabs>
          <w:tab w:val="left" w:pos="4153"/>
          <w:tab w:val="left" w:pos="8306"/>
        </w:tabs>
        <w:autoSpaceDE w:val="0"/>
        <w:autoSpaceDN w:val="0"/>
        <w:adjustRightInd w:val="0"/>
        <w:spacing w:line="360" w:lineRule="auto"/>
        <w:jc w:val="both"/>
        <w:rPr>
          <w:rFonts w:eastAsiaTheme="minorHAnsi"/>
          <w:lang w:eastAsia="en-US"/>
        </w:rPr>
      </w:pPr>
    </w:p>
    <w:p w:rsidR="005C1CBD" w:rsidRPr="00EB4B46" w:rsidRDefault="00EB4B46" w:rsidP="00EB4B46">
      <w:pPr>
        <w:tabs>
          <w:tab w:val="left" w:pos="4153"/>
          <w:tab w:val="left" w:pos="8306"/>
        </w:tabs>
        <w:autoSpaceDE w:val="0"/>
        <w:autoSpaceDN w:val="0"/>
        <w:adjustRightInd w:val="0"/>
        <w:spacing w:line="360" w:lineRule="auto"/>
        <w:jc w:val="both"/>
        <w:rPr>
          <w:rFonts w:eastAsiaTheme="minorHAnsi"/>
          <w:lang w:eastAsia="en-US"/>
        </w:rPr>
      </w:pPr>
      <w:r>
        <w:rPr>
          <w:rFonts w:eastAsiaTheme="minorHAnsi"/>
          <w:lang w:eastAsia="en-US"/>
        </w:rPr>
        <w:t>While t</w:t>
      </w:r>
      <w:r w:rsidR="00BF5B7C" w:rsidRPr="00CE7AEF">
        <w:rPr>
          <w:rFonts w:eastAsiaTheme="minorHAnsi"/>
          <w:lang w:eastAsia="en-US"/>
        </w:rPr>
        <w:t>he data compiled by the DCCEE are production based estimates</w:t>
      </w:r>
      <w:r>
        <w:rPr>
          <w:rFonts w:eastAsiaTheme="minorHAnsi"/>
          <w:lang w:eastAsia="en-US"/>
        </w:rPr>
        <w:t xml:space="preserve">, the </w:t>
      </w:r>
      <w:r w:rsidRPr="00503E53">
        <w:rPr>
          <w:rFonts w:eastAsiaTheme="minorHAnsi"/>
          <w:lang w:eastAsia="en-US"/>
        </w:rPr>
        <w:t xml:space="preserve">environmentally extended IO model </w:t>
      </w:r>
      <w:r>
        <w:rPr>
          <w:rFonts w:eastAsiaTheme="minorHAnsi"/>
          <w:lang w:eastAsia="en-US"/>
        </w:rPr>
        <w:t xml:space="preserve">provides a different perspective by allocating </w:t>
      </w:r>
      <w:r w:rsidRPr="00CE7AEF">
        <w:rPr>
          <w:rFonts w:eastAsiaTheme="minorHAnsi"/>
          <w:lang w:eastAsia="en-US"/>
        </w:rPr>
        <w:t>production based</w:t>
      </w:r>
      <w:r>
        <w:rPr>
          <w:rFonts w:eastAsiaTheme="minorHAnsi"/>
          <w:lang w:eastAsia="en-US"/>
        </w:rPr>
        <w:t xml:space="preserve"> emissions to final users. </w:t>
      </w:r>
      <w:r w:rsidR="00B62D42">
        <w:rPr>
          <w:rFonts w:eastAsiaTheme="minorHAnsi"/>
          <w:lang w:eastAsia="en-US"/>
        </w:rPr>
        <w:t>The resulting consumption-based emissions</w:t>
      </w:r>
      <w:r w:rsidRPr="00503E53">
        <w:rPr>
          <w:rFonts w:eastAsiaTheme="minorHAnsi"/>
          <w:lang w:eastAsia="en-US"/>
        </w:rPr>
        <w:t xml:space="preserve"> estimate the economy’s cumulative GHG emissions</w:t>
      </w:r>
      <w:r w:rsidRPr="00503E53">
        <w:rPr>
          <w:rFonts w:eastAsiaTheme="minorHAnsi"/>
          <w:vertAlign w:val="superscript"/>
          <w:lang w:eastAsia="en-US"/>
        </w:rPr>
        <w:footnoteReference w:id="6"/>
      </w:r>
      <w:r w:rsidRPr="00503E53">
        <w:rPr>
          <w:rFonts w:eastAsiaTheme="minorHAnsi"/>
          <w:lang w:eastAsia="en-US"/>
        </w:rPr>
        <w:t xml:space="preserve"> embodied in final products consumed, used in </w:t>
      </w:r>
      <w:r w:rsidR="00212094">
        <w:rPr>
          <w:rFonts w:eastAsiaTheme="minorHAnsi"/>
          <w:lang w:eastAsia="en-US"/>
        </w:rPr>
        <w:t>gross capital formation</w:t>
      </w:r>
      <w:r>
        <w:rPr>
          <w:rStyle w:val="FootnoteReference"/>
          <w:rFonts w:eastAsiaTheme="minorHAnsi"/>
          <w:lang w:eastAsia="en-US"/>
        </w:rPr>
        <w:footnoteReference w:id="7"/>
      </w:r>
      <w:r w:rsidRPr="00503E53">
        <w:rPr>
          <w:rFonts w:eastAsiaTheme="minorHAnsi"/>
          <w:lang w:eastAsia="en-US"/>
        </w:rPr>
        <w:t xml:space="preserve"> or exported. </w:t>
      </w:r>
    </w:p>
    <w:p w:rsidR="005751A3" w:rsidRDefault="005751A3" w:rsidP="005C1CBD">
      <w:pPr>
        <w:autoSpaceDE w:val="0"/>
        <w:autoSpaceDN w:val="0"/>
        <w:adjustRightInd w:val="0"/>
        <w:spacing w:line="360" w:lineRule="auto"/>
        <w:jc w:val="both"/>
      </w:pPr>
    </w:p>
    <w:p w:rsidR="005C1CBD" w:rsidRPr="00EB4B46" w:rsidRDefault="00EB4B46" w:rsidP="00EB4B46">
      <w:pPr>
        <w:autoSpaceDE w:val="0"/>
        <w:autoSpaceDN w:val="0"/>
        <w:adjustRightInd w:val="0"/>
        <w:spacing w:line="360" w:lineRule="auto"/>
        <w:jc w:val="both"/>
      </w:pPr>
      <w:r>
        <w:rPr>
          <w:rFonts w:eastAsiaTheme="minorHAnsi"/>
          <w:lang w:eastAsia="en-US"/>
        </w:rPr>
        <w:t xml:space="preserve">A </w:t>
      </w:r>
      <w:r w:rsidRPr="00F75489">
        <w:rPr>
          <w:rFonts w:eastAsiaTheme="minorHAnsi"/>
          <w:lang w:eastAsia="en-US"/>
        </w:rPr>
        <w:t>consumption</w:t>
      </w:r>
      <w:r>
        <w:rPr>
          <w:rFonts w:eastAsiaTheme="minorHAnsi"/>
          <w:lang w:eastAsia="en-US"/>
        </w:rPr>
        <w:t>-</w:t>
      </w:r>
      <w:r w:rsidRPr="00F75489">
        <w:rPr>
          <w:rFonts w:eastAsiaTheme="minorHAnsi"/>
          <w:lang w:eastAsia="en-US"/>
        </w:rPr>
        <w:t>based emission</w:t>
      </w:r>
      <w:r>
        <w:rPr>
          <w:rFonts w:eastAsiaTheme="minorHAnsi"/>
          <w:lang w:eastAsia="en-US"/>
        </w:rPr>
        <w:t>s</w:t>
      </w:r>
      <w:r w:rsidRPr="00F75489">
        <w:rPr>
          <w:rFonts w:eastAsiaTheme="minorHAnsi"/>
          <w:lang w:eastAsia="en-US"/>
        </w:rPr>
        <w:t xml:space="preserve"> data set could</w:t>
      </w:r>
      <w:r>
        <w:rPr>
          <w:rFonts w:eastAsiaTheme="minorHAnsi"/>
          <w:lang w:eastAsia="en-US"/>
        </w:rPr>
        <w:t xml:space="preserve"> be very</w:t>
      </w:r>
      <w:r w:rsidRPr="00F75489">
        <w:rPr>
          <w:rFonts w:eastAsiaTheme="minorHAnsi"/>
          <w:lang w:eastAsia="en-US"/>
        </w:rPr>
        <w:t xml:space="preserve"> informative for policy makers</w:t>
      </w:r>
      <w:r>
        <w:t>. Global</w:t>
      </w:r>
      <w:r w:rsidR="005C1CBD">
        <w:t xml:space="preserve"> efforts to reduce greenhouse gas emissions, such as the Kyoto Protocol, will prove </w:t>
      </w:r>
      <w:r w:rsidR="00BF5B7C">
        <w:t>less</w:t>
      </w:r>
      <w:r w:rsidR="00054964">
        <w:t xml:space="preserve"> </w:t>
      </w:r>
      <w:r w:rsidR="005C1CBD">
        <w:t>effective if they fail to account for the relocation of GHG-intensive production processes fro</w:t>
      </w:r>
      <w:r w:rsidR="00641169">
        <w:t>m countries which have emission</w:t>
      </w:r>
      <w:r w:rsidR="005C1CBD">
        <w:t xml:space="preserve"> restrictions, to non-restricted countries. In addition, free trade agreements and cross-border supply chains ha</w:t>
      </w:r>
      <w:r w:rsidR="00BF5B7C">
        <w:t>ve</w:t>
      </w:r>
      <w:r w:rsidR="005C1CBD">
        <w:t xml:space="preserve"> resulted in increasing volumes of international</w:t>
      </w:r>
      <w:r w:rsidR="00CE7AEF">
        <w:t>ly</w:t>
      </w:r>
      <w:r w:rsidR="005C1CBD">
        <w:t xml:space="preserve"> traded goods and services. In order to comprehensively measure the GHG emissions directly attributable to a particular country, analysts must take a global perspective and consider the feedback effects and GHG emissions embodied</w:t>
      </w:r>
      <w:r>
        <w:t xml:space="preserve"> in traded goods and services. </w:t>
      </w:r>
    </w:p>
    <w:p w:rsidR="00CF7B81" w:rsidRDefault="00CF7B81" w:rsidP="00BA098E">
      <w:pPr>
        <w:tabs>
          <w:tab w:val="left" w:pos="4153"/>
          <w:tab w:val="left" w:pos="8306"/>
        </w:tabs>
        <w:autoSpaceDE w:val="0"/>
        <w:autoSpaceDN w:val="0"/>
        <w:adjustRightInd w:val="0"/>
        <w:spacing w:line="360" w:lineRule="auto"/>
        <w:jc w:val="both"/>
        <w:rPr>
          <w:rFonts w:eastAsiaTheme="minorHAnsi"/>
          <w:lang w:eastAsia="en-US"/>
        </w:rPr>
      </w:pPr>
    </w:p>
    <w:p w:rsidR="00BA098E" w:rsidRPr="00F12DB0" w:rsidRDefault="00BA098E" w:rsidP="00BA098E">
      <w:pPr>
        <w:autoSpaceDE w:val="0"/>
        <w:autoSpaceDN w:val="0"/>
        <w:adjustRightInd w:val="0"/>
        <w:spacing w:line="360" w:lineRule="auto"/>
        <w:jc w:val="both"/>
        <w:rPr>
          <w:b/>
          <w:sz w:val="28"/>
          <w:szCs w:val="28"/>
        </w:rPr>
      </w:pPr>
      <w:r w:rsidRPr="00D12523">
        <w:rPr>
          <w:b/>
          <w:sz w:val="28"/>
          <w:szCs w:val="28"/>
        </w:rPr>
        <w:t>2.</w:t>
      </w:r>
      <w:r w:rsidRPr="00D12523">
        <w:rPr>
          <w:b/>
          <w:sz w:val="28"/>
          <w:szCs w:val="28"/>
        </w:rPr>
        <w:tab/>
        <w:t>LITERATURE REVIEW</w:t>
      </w:r>
    </w:p>
    <w:p w:rsidR="00BA098E" w:rsidRPr="00F75489" w:rsidRDefault="00BA098E" w:rsidP="00BA098E">
      <w:pPr>
        <w:autoSpaceDE w:val="0"/>
        <w:autoSpaceDN w:val="0"/>
        <w:adjustRightInd w:val="0"/>
        <w:spacing w:line="360" w:lineRule="auto"/>
        <w:jc w:val="both"/>
        <w:rPr>
          <w:rFonts w:eastAsiaTheme="minorHAnsi"/>
          <w:lang w:eastAsia="en-US"/>
        </w:rPr>
      </w:pPr>
    </w:p>
    <w:p w:rsidR="00BA098E" w:rsidRPr="00F75489" w:rsidRDefault="00BA098E" w:rsidP="00BA098E">
      <w:pPr>
        <w:autoSpaceDE w:val="0"/>
        <w:autoSpaceDN w:val="0"/>
        <w:adjustRightInd w:val="0"/>
        <w:spacing w:line="360" w:lineRule="auto"/>
        <w:jc w:val="both"/>
        <w:rPr>
          <w:rFonts w:eastAsiaTheme="minorHAnsi"/>
          <w:lang w:eastAsia="en-US"/>
        </w:rPr>
      </w:pPr>
      <w:r w:rsidRPr="00F75489">
        <w:rPr>
          <w:rFonts w:eastAsiaTheme="minorHAnsi"/>
          <w:lang w:eastAsia="en-US"/>
        </w:rPr>
        <w:t xml:space="preserve">Previous </w:t>
      </w:r>
      <w:r w:rsidR="003C75A7">
        <w:rPr>
          <w:rFonts w:eastAsiaTheme="minorHAnsi"/>
          <w:lang w:eastAsia="en-US"/>
        </w:rPr>
        <w:t xml:space="preserve">international </w:t>
      </w:r>
      <w:r w:rsidRPr="00F75489">
        <w:rPr>
          <w:rFonts w:eastAsiaTheme="minorHAnsi"/>
          <w:lang w:eastAsia="en-US"/>
        </w:rPr>
        <w:t xml:space="preserve">studies </w:t>
      </w:r>
      <w:r>
        <w:rPr>
          <w:rFonts w:eastAsiaTheme="minorHAnsi"/>
          <w:lang w:eastAsia="en-US"/>
        </w:rPr>
        <w:t>which</w:t>
      </w:r>
      <w:r w:rsidRPr="00F75489">
        <w:rPr>
          <w:rFonts w:eastAsiaTheme="minorHAnsi"/>
          <w:lang w:eastAsia="en-US"/>
        </w:rPr>
        <w:t xml:space="preserve"> have estimated final demand induced carbon emissions </w:t>
      </w:r>
      <w:r w:rsidRPr="00C53D32">
        <w:rPr>
          <w:rFonts w:eastAsiaTheme="minorHAnsi"/>
          <w:lang w:eastAsia="en-US"/>
        </w:rPr>
        <w:t xml:space="preserve">using IO tables include Cumberland (1966), Ayres and </w:t>
      </w:r>
      <w:proofErr w:type="spellStart"/>
      <w:r w:rsidRPr="00C53D32">
        <w:rPr>
          <w:rFonts w:eastAsiaTheme="minorHAnsi"/>
          <w:lang w:eastAsia="en-US"/>
        </w:rPr>
        <w:t>Kneese</w:t>
      </w:r>
      <w:proofErr w:type="spellEnd"/>
      <w:r w:rsidRPr="00C53D32">
        <w:rPr>
          <w:rFonts w:eastAsiaTheme="minorHAnsi"/>
          <w:lang w:eastAsia="en-US"/>
        </w:rPr>
        <w:t xml:space="preserve"> (1969), Bullard and </w:t>
      </w:r>
      <w:proofErr w:type="spellStart"/>
      <w:r w:rsidRPr="00C53D32">
        <w:rPr>
          <w:rFonts w:eastAsiaTheme="minorHAnsi"/>
          <w:lang w:eastAsia="en-US"/>
        </w:rPr>
        <w:t>Herendeen</w:t>
      </w:r>
      <w:proofErr w:type="spellEnd"/>
      <w:r w:rsidRPr="00C53D32">
        <w:rPr>
          <w:rFonts w:eastAsiaTheme="minorHAnsi"/>
          <w:lang w:eastAsia="en-US"/>
        </w:rPr>
        <w:t xml:space="preserve"> (1975), and Griffin (1976). </w:t>
      </w:r>
      <w:r w:rsidR="00A94B81" w:rsidRPr="00C53D32">
        <w:rPr>
          <w:rFonts w:eastAsiaTheme="minorHAnsi"/>
          <w:lang w:eastAsia="en-US"/>
        </w:rPr>
        <w:t xml:space="preserve">A number of national statistical agencies and other official bodies in Europe </w:t>
      </w:r>
      <w:r w:rsidR="00C53D32">
        <w:rPr>
          <w:rFonts w:eastAsiaTheme="minorHAnsi"/>
          <w:lang w:eastAsia="en-US"/>
        </w:rPr>
        <w:t xml:space="preserve">including </w:t>
      </w:r>
      <w:proofErr w:type="spellStart"/>
      <w:r w:rsidR="002E6526" w:rsidRPr="00C53D32">
        <w:rPr>
          <w:rFonts w:eastAsiaTheme="minorHAnsi"/>
          <w:lang w:eastAsia="en-US"/>
        </w:rPr>
        <w:t>Carlsson</w:t>
      </w:r>
      <w:proofErr w:type="spellEnd"/>
      <w:r w:rsidR="002E6526" w:rsidRPr="00C53D32">
        <w:rPr>
          <w:rFonts w:eastAsiaTheme="minorHAnsi"/>
          <w:lang w:eastAsia="en-US"/>
        </w:rPr>
        <w:t>, A. et al. (2006)</w:t>
      </w:r>
      <w:r w:rsidR="00C53D32">
        <w:rPr>
          <w:rFonts w:eastAsiaTheme="minorHAnsi"/>
          <w:lang w:eastAsia="en-US"/>
        </w:rPr>
        <w:t>,</w:t>
      </w:r>
      <w:r w:rsidR="002E6526" w:rsidRPr="00C53D32">
        <w:rPr>
          <w:rFonts w:eastAsiaTheme="minorHAnsi"/>
          <w:lang w:eastAsia="en-US"/>
        </w:rPr>
        <w:t xml:space="preserve"> </w:t>
      </w:r>
      <w:r w:rsidR="00C53D32">
        <w:rPr>
          <w:bCs/>
        </w:rPr>
        <w:t xml:space="preserve">Francis (2004), </w:t>
      </w:r>
      <w:proofErr w:type="spellStart"/>
      <w:r w:rsidR="00C53D32">
        <w:rPr>
          <w:bCs/>
        </w:rPr>
        <w:t>Ro</w:t>
      </w:r>
      <w:r w:rsidR="00C53D32" w:rsidRPr="00A808E7">
        <w:rPr>
          <w:rFonts w:ascii="MetaNormalLF-Roman" w:hAnsi="MetaNormalLF-Roman" w:cs="MetaNormalLF-Roman"/>
          <w:bCs/>
        </w:rPr>
        <w:t>rmose</w:t>
      </w:r>
      <w:proofErr w:type="spellEnd"/>
      <w:r w:rsidR="00C53D32">
        <w:rPr>
          <w:bCs/>
        </w:rPr>
        <w:t xml:space="preserve"> et al. (2009), </w:t>
      </w:r>
      <w:proofErr w:type="spellStart"/>
      <w:r w:rsidR="00C53D32">
        <w:rPr>
          <w:bCs/>
        </w:rPr>
        <w:t>Rormose</w:t>
      </w:r>
      <w:proofErr w:type="spellEnd"/>
      <w:r w:rsidR="00C53D32">
        <w:rPr>
          <w:bCs/>
        </w:rPr>
        <w:t xml:space="preserve"> (2010) and </w:t>
      </w:r>
      <w:r w:rsidR="00C53D32" w:rsidRPr="00A93244">
        <w:t>Federa</w:t>
      </w:r>
      <w:r w:rsidR="00C53D32">
        <w:t xml:space="preserve">l Statistical Office of Germany </w:t>
      </w:r>
      <w:r w:rsidR="00C53D32" w:rsidRPr="00A93244">
        <w:t>(2011)</w:t>
      </w:r>
      <w:r w:rsidR="000B5BC5">
        <w:t xml:space="preserve"> </w:t>
      </w:r>
      <w:r w:rsidR="00A94B81" w:rsidRPr="00C53D32">
        <w:rPr>
          <w:rFonts w:eastAsiaTheme="minorHAnsi"/>
          <w:lang w:eastAsia="en-US"/>
        </w:rPr>
        <w:t>and also Canada</w:t>
      </w:r>
      <w:r w:rsidR="000B5BC5">
        <w:rPr>
          <w:rFonts w:eastAsiaTheme="minorHAnsi"/>
          <w:lang w:eastAsia="en-US"/>
        </w:rPr>
        <w:t xml:space="preserve"> </w:t>
      </w:r>
      <w:r w:rsidR="000B5BC5">
        <w:rPr>
          <w:rFonts w:eastAsiaTheme="minorHAnsi"/>
          <w:lang w:eastAsia="en-US"/>
        </w:rPr>
        <w:lastRenderedPageBreak/>
        <w:t xml:space="preserve">such as </w:t>
      </w:r>
      <w:r w:rsidR="00A94B81" w:rsidRPr="00C53D32">
        <w:rPr>
          <w:rFonts w:eastAsiaTheme="minorHAnsi"/>
          <w:lang w:eastAsia="en-US"/>
        </w:rPr>
        <w:t xml:space="preserve"> </w:t>
      </w:r>
      <w:r w:rsidR="00C53D32">
        <w:rPr>
          <w:rFonts w:eastAsiaTheme="minorHAnsi"/>
          <w:lang w:eastAsia="en-US"/>
        </w:rPr>
        <w:t>Gaston</w:t>
      </w:r>
      <w:r w:rsidR="009853C4" w:rsidRPr="00C53D32">
        <w:rPr>
          <w:rFonts w:eastAsiaTheme="minorHAnsi"/>
          <w:lang w:eastAsia="en-US"/>
        </w:rPr>
        <w:t xml:space="preserve"> (2011) </w:t>
      </w:r>
      <w:r w:rsidR="00A94B81" w:rsidRPr="00C53D32">
        <w:rPr>
          <w:rFonts w:eastAsiaTheme="minorHAnsi"/>
          <w:lang w:eastAsia="en-US"/>
        </w:rPr>
        <w:t>have produced da</w:t>
      </w:r>
      <w:r w:rsidR="00A94B81" w:rsidRPr="000B5BC5">
        <w:rPr>
          <w:rFonts w:eastAsiaTheme="minorHAnsi"/>
          <w:sz w:val="22"/>
          <w:lang w:eastAsia="en-US"/>
        </w:rPr>
        <w:t>t</w:t>
      </w:r>
      <w:r w:rsidR="00A94B81" w:rsidRPr="00C53D32">
        <w:rPr>
          <w:rFonts w:eastAsiaTheme="minorHAnsi"/>
          <w:lang w:eastAsia="en-US"/>
        </w:rPr>
        <w:t xml:space="preserve">a for consumption based emissions using IO model. </w:t>
      </w:r>
      <w:r w:rsidRPr="00C53D32">
        <w:rPr>
          <w:rFonts w:eastAsiaTheme="minorHAnsi"/>
          <w:lang w:eastAsia="en-US"/>
        </w:rPr>
        <w:t xml:space="preserve">Recent work by </w:t>
      </w:r>
      <w:proofErr w:type="spellStart"/>
      <w:r w:rsidRPr="00C53D32">
        <w:rPr>
          <w:rFonts w:eastAsiaTheme="minorHAnsi"/>
          <w:lang w:eastAsia="en-US"/>
        </w:rPr>
        <w:t>Edens</w:t>
      </w:r>
      <w:proofErr w:type="spellEnd"/>
      <w:r w:rsidRPr="00C53D32">
        <w:rPr>
          <w:rFonts w:eastAsiaTheme="minorHAnsi"/>
          <w:lang w:eastAsia="en-US"/>
        </w:rPr>
        <w:t xml:space="preserve"> et al.</w:t>
      </w:r>
      <w:r>
        <w:rPr>
          <w:rFonts w:eastAsiaTheme="minorHAnsi"/>
          <w:lang w:eastAsia="en-US"/>
        </w:rPr>
        <w:t xml:space="preserve"> (</w:t>
      </w:r>
      <w:r w:rsidRPr="00F75489">
        <w:rPr>
          <w:rFonts w:eastAsiaTheme="minorHAnsi"/>
          <w:lang w:eastAsia="en-US"/>
        </w:rPr>
        <w:t>2011)</w:t>
      </w:r>
      <w:r>
        <w:rPr>
          <w:rFonts w:eastAsiaTheme="minorHAnsi"/>
          <w:lang w:eastAsia="en-US"/>
        </w:rPr>
        <w:t xml:space="preserve"> </w:t>
      </w:r>
      <w:r w:rsidRPr="00F75489">
        <w:rPr>
          <w:rFonts w:eastAsiaTheme="minorHAnsi"/>
          <w:lang w:eastAsia="en-US"/>
        </w:rPr>
        <w:t xml:space="preserve">on </w:t>
      </w:r>
      <w:r>
        <w:rPr>
          <w:rFonts w:eastAsiaTheme="minorHAnsi"/>
          <w:lang w:eastAsia="en-US"/>
        </w:rPr>
        <w:t xml:space="preserve">Dutch </w:t>
      </w:r>
      <w:r w:rsidRPr="00F75489">
        <w:rPr>
          <w:rFonts w:eastAsiaTheme="minorHAnsi"/>
          <w:lang w:eastAsia="en-US"/>
        </w:rPr>
        <w:t>GHG emiss</w:t>
      </w:r>
      <w:r>
        <w:rPr>
          <w:rFonts w:eastAsiaTheme="minorHAnsi"/>
          <w:lang w:eastAsia="en-US"/>
        </w:rPr>
        <w:t xml:space="preserve">ions account and IO analysis </w:t>
      </w:r>
      <w:r w:rsidRPr="00F75489">
        <w:rPr>
          <w:rFonts w:eastAsiaTheme="minorHAnsi"/>
          <w:lang w:eastAsia="en-US"/>
        </w:rPr>
        <w:t>is perhaps the most comprehensive study to date</w:t>
      </w:r>
      <w:r w:rsidR="00A75007">
        <w:rPr>
          <w:rFonts w:eastAsiaTheme="minorHAnsi"/>
          <w:lang w:eastAsia="en-US"/>
        </w:rPr>
        <w:t>. It</w:t>
      </w:r>
      <w:r w:rsidRPr="00F75489">
        <w:rPr>
          <w:rFonts w:eastAsiaTheme="minorHAnsi"/>
          <w:lang w:eastAsia="en-US"/>
        </w:rPr>
        <w:t xml:space="preserve"> utilise</w:t>
      </w:r>
      <w:r w:rsidR="00A75007">
        <w:rPr>
          <w:rFonts w:eastAsiaTheme="minorHAnsi"/>
          <w:lang w:eastAsia="en-US"/>
        </w:rPr>
        <w:t>s</w:t>
      </w:r>
      <w:r w:rsidRPr="00F75489">
        <w:rPr>
          <w:rFonts w:eastAsiaTheme="minorHAnsi"/>
          <w:lang w:eastAsia="en-US"/>
        </w:rPr>
        <w:t xml:space="preserve"> a greater level of disaggregation (60 industries) and </w:t>
      </w:r>
      <w:r w:rsidR="00A75007">
        <w:rPr>
          <w:rFonts w:eastAsiaTheme="minorHAnsi"/>
          <w:lang w:eastAsia="en-US"/>
        </w:rPr>
        <w:t xml:space="preserve">a </w:t>
      </w:r>
      <w:r w:rsidRPr="00F75489">
        <w:rPr>
          <w:rFonts w:eastAsiaTheme="minorHAnsi"/>
          <w:lang w:eastAsia="en-US"/>
        </w:rPr>
        <w:t>broader scope of emissions (the whole Intergovernmental Panel on Climate Change (IPCC) reporting scope). In addition, it also adjusts for the difference between the SEEA and IPCC framework on emissions accounting.</w:t>
      </w:r>
    </w:p>
    <w:p w:rsidR="00BA098E" w:rsidRDefault="00BA098E" w:rsidP="00BA098E">
      <w:pPr>
        <w:autoSpaceDE w:val="0"/>
        <w:autoSpaceDN w:val="0"/>
        <w:adjustRightInd w:val="0"/>
        <w:spacing w:line="360" w:lineRule="auto"/>
        <w:jc w:val="both"/>
        <w:rPr>
          <w:rFonts w:eastAsiaTheme="minorHAnsi"/>
          <w:lang w:eastAsia="en-US"/>
        </w:rPr>
      </w:pPr>
    </w:p>
    <w:p w:rsidR="00C02F87" w:rsidRDefault="00BA098E" w:rsidP="00BA098E">
      <w:pPr>
        <w:autoSpaceDE w:val="0"/>
        <w:autoSpaceDN w:val="0"/>
        <w:adjustRightInd w:val="0"/>
        <w:spacing w:line="360" w:lineRule="auto"/>
        <w:jc w:val="both"/>
        <w:rPr>
          <w:rFonts w:eastAsiaTheme="minorHAnsi"/>
          <w:lang w:eastAsia="en-US"/>
        </w:rPr>
      </w:pPr>
      <w:r w:rsidRPr="00F75489">
        <w:rPr>
          <w:rFonts w:eastAsiaTheme="minorHAnsi"/>
          <w:lang w:eastAsia="en-US"/>
        </w:rPr>
        <w:t xml:space="preserve">Within an Australian context, Common and Salma (1992) were pioneers in utilising the IO framework to allocate the </w:t>
      </w: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sidRPr="00F75489">
        <w:rPr>
          <w:rFonts w:eastAsiaTheme="minorHAnsi"/>
          <w:lang w:eastAsia="en-US"/>
        </w:rPr>
        <w:t xml:space="preserve"> emissions from the combustion process of primary fuel sources towards final demand. They </w:t>
      </w:r>
      <w:r>
        <w:rPr>
          <w:rFonts w:eastAsiaTheme="minorHAnsi"/>
          <w:lang w:eastAsia="en-US"/>
        </w:rPr>
        <w:t>contende</w:t>
      </w:r>
      <w:r w:rsidRPr="00F75489">
        <w:rPr>
          <w:rFonts w:eastAsiaTheme="minorHAnsi"/>
          <w:lang w:eastAsia="en-US"/>
        </w:rPr>
        <w:t xml:space="preserve">d that carbon generally enters the economy as primary fuels (that is, coal, crude oil, and natural gas) and is used either as intermediate inputs or as final products. Most primary fuels are transformed into other forms of energy before being used (for example, coal into electricity and crude oil into refined petroleum). This transformed energy is then used to produce downstream products (for example, electricity used in factories or petroleum used in transport). An economy’s carbon content can therefore be </w:t>
      </w:r>
      <w:r w:rsidRPr="003D657E">
        <w:rPr>
          <w:rFonts w:eastAsiaTheme="minorHAnsi"/>
          <w:lang w:eastAsia="en-US"/>
        </w:rPr>
        <w:t>measured at final demand stage</w:t>
      </w:r>
      <w:r w:rsidRPr="00F75489">
        <w:rPr>
          <w:rFonts w:eastAsiaTheme="minorHAnsi"/>
          <w:lang w:eastAsia="en-US"/>
        </w:rPr>
        <w:t xml:space="preserve">. </w:t>
      </w:r>
      <w:proofErr w:type="spellStart"/>
      <w:r w:rsidRPr="00F75489">
        <w:rPr>
          <w:rFonts w:eastAsiaTheme="minorHAnsi"/>
          <w:lang w:eastAsia="en-US"/>
        </w:rPr>
        <w:t>Lenzen</w:t>
      </w:r>
      <w:proofErr w:type="spellEnd"/>
      <w:r w:rsidRPr="00F75489">
        <w:rPr>
          <w:rFonts w:eastAsiaTheme="minorHAnsi"/>
          <w:lang w:eastAsia="en-US"/>
        </w:rPr>
        <w:t xml:space="preserve"> (</w:t>
      </w:r>
      <w:r>
        <w:rPr>
          <w:rFonts w:eastAsiaTheme="minorHAnsi"/>
          <w:lang w:eastAsia="en-US"/>
        </w:rPr>
        <w:t>1998</w:t>
      </w:r>
      <w:r w:rsidRPr="00F75489">
        <w:rPr>
          <w:rFonts w:eastAsiaTheme="minorHAnsi"/>
          <w:lang w:eastAsia="en-US"/>
        </w:rPr>
        <w:t>) extended Common and</w:t>
      </w:r>
      <w:r>
        <w:rPr>
          <w:rFonts w:eastAsiaTheme="minorHAnsi"/>
          <w:lang w:eastAsia="en-US"/>
        </w:rPr>
        <w:t xml:space="preserve"> </w:t>
      </w:r>
      <w:r w:rsidRPr="00F75489">
        <w:rPr>
          <w:rFonts w:eastAsiaTheme="minorHAnsi"/>
          <w:lang w:eastAsia="en-US"/>
        </w:rPr>
        <w:t>Salma</w:t>
      </w:r>
      <w:r>
        <w:rPr>
          <w:rFonts w:eastAsiaTheme="minorHAnsi"/>
          <w:lang w:eastAsia="en-US"/>
        </w:rPr>
        <w:t>’s</w:t>
      </w:r>
      <w:r w:rsidRPr="00F75489">
        <w:rPr>
          <w:rFonts w:eastAsiaTheme="minorHAnsi"/>
          <w:lang w:eastAsia="en-US"/>
        </w:rPr>
        <w:t xml:space="preserve"> </w:t>
      </w:r>
      <w:r>
        <w:rPr>
          <w:rFonts w:eastAsiaTheme="minorHAnsi"/>
          <w:lang w:eastAsia="en-US"/>
        </w:rPr>
        <w:t xml:space="preserve">work </w:t>
      </w:r>
      <w:r w:rsidRPr="00F75489">
        <w:rPr>
          <w:rFonts w:eastAsiaTheme="minorHAnsi"/>
          <w:lang w:eastAsia="en-US"/>
        </w:rPr>
        <w:t xml:space="preserve">by taking into account </w:t>
      </w:r>
      <m:oMath>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oMath>
      <w:r w:rsidRPr="00F75489">
        <w:rPr>
          <w:rFonts w:eastAsiaTheme="minorHAnsi"/>
          <w:lang w:eastAsia="en-US"/>
        </w:rPr>
        <w:t xml:space="preserve"> </w:t>
      </w:r>
      <w:proofErr w:type="gramStart"/>
      <w:r w:rsidRPr="00F75489">
        <w:rPr>
          <w:rFonts w:eastAsiaTheme="minorHAnsi"/>
          <w:lang w:eastAsia="en-US"/>
        </w:rPr>
        <w:t xml:space="preserve">and </w:t>
      </w:r>
      <w:proofErr w:type="gramEnd"/>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oMath>
      <w:r w:rsidRPr="00F75489">
        <w:rPr>
          <w:rFonts w:eastAsiaTheme="minorHAnsi"/>
          <w:lang w:eastAsia="en-US"/>
        </w:rPr>
        <w:t xml:space="preserve">; taking </w:t>
      </w:r>
      <w:r>
        <w:rPr>
          <w:rFonts w:eastAsiaTheme="minorHAnsi"/>
          <w:lang w:eastAsia="en-US"/>
        </w:rPr>
        <w:t>a</w:t>
      </w:r>
      <w:r w:rsidRPr="00F75489">
        <w:rPr>
          <w:rFonts w:eastAsiaTheme="minorHAnsi"/>
          <w:lang w:eastAsia="en-US"/>
        </w:rPr>
        <w:t xml:space="preserve"> consumption perspective rather than </w:t>
      </w:r>
      <w:r>
        <w:rPr>
          <w:rFonts w:eastAsiaTheme="minorHAnsi"/>
          <w:lang w:eastAsia="en-US"/>
        </w:rPr>
        <w:t>a</w:t>
      </w:r>
      <w:r w:rsidRPr="00F75489">
        <w:rPr>
          <w:rFonts w:eastAsiaTheme="minorHAnsi"/>
          <w:lang w:eastAsia="en-US"/>
        </w:rPr>
        <w:t xml:space="preserve"> production perspective; singling out </w:t>
      </w:r>
      <w:r w:rsidR="00212094">
        <w:rPr>
          <w:rFonts w:eastAsiaTheme="minorHAnsi"/>
          <w:lang w:eastAsia="en-US"/>
        </w:rPr>
        <w:t>gross capital formation</w:t>
      </w:r>
      <w:r w:rsidRPr="00F75489">
        <w:rPr>
          <w:rFonts w:eastAsiaTheme="minorHAnsi"/>
          <w:lang w:eastAsia="en-US"/>
        </w:rPr>
        <w:t xml:space="preserve"> from final demand; and taking into account electricity price differential</w:t>
      </w:r>
      <w:r w:rsidR="00FF282F">
        <w:rPr>
          <w:rFonts w:eastAsiaTheme="minorHAnsi"/>
          <w:lang w:eastAsia="en-US"/>
        </w:rPr>
        <w:t>s</w:t>
      </w:r>
      <w:r w:rsidRPr="00F75489">
        <w:rPr>
          <w:rFonts w:eastAsiaTheme="minorHAnsi"/>
          <w:lang w:eastAsia="en-US"/>
        </w:rPr>
        <w:t xml:space="preserve">. </w:t>
      </w:r>
    </w:p>
    <w:p w:rsidR="00A94B81" w:rsidRDefault="00A94B81" w:rsidP="00BA098E">
      <w:pPr>
        <w:autoSpaceDE w:val="0"/>
        <w:autoSpaceDN w:val="0"/>
        <w:adjustRightInd w:val="0"/>
        <w:spacing w:line="360" w:lineRule="auto"/>
        <w:jc w:val="both"/>
        <w:rPr>
          <w:rFonts w:eastAsiaTheme="minorHAnsi"/>
          <w:lang w:eastAsia="en-US"/>
        </w:rPr>
      </w:pPr>
    </w:p>
    <w:p w:rsidR="00BA098E" w:rsidRDefault="00C02F87" w:rsidP="00BA098E">
      <w:pPr>
        <w:autoSpaceDE w:val="0"/>
        <w:autoSpaceDN w:val="0"/>
        <w:adjustRightInd w:val="0"/>
        <w:spacing w:line="360" w:lineRule="auto"/>
        <w:jc w:val="both"/>
        <w:rPr>
          <w:rFonts w:eastAsiaTheme="minorHAnsi"/>
          <w:lang w:eastAsia="en-US"/>
        </w:rPr>
      </w:pPr>
      <w:r>
        <w:rPr>
          <w:rFonts w:eastAsiaTheme="minorHAnsi"/>
          <w:lang w:eastAsia="en-US"/>
        </w:rPr>
        <w:t xml:space="preserve">The ABS produced experimental estimates of </w:t>
      </w:r>
      <w:r w:rsidR="00545D9C">
        <w:rPr>
          <w:rFonts w:eastAsiaTheme="minorHAnsi"/>
          <w:lang w:eastAsia="en-US"/>
        </w:rPr>
        <w:t xml:space="preserve">final demand driven GHG emissions </w:t>
      </w:r>
      <w:r>
        <w:rPr>
          <w:rFonts w:eastAsiaTheme="minorHAnsi"/>
          <w:lang w:eastAsia="en-US"/>
        </w:rPr>
        <w:t>for</w:t>
      </w:r>
      <w:r w:rsidR="00545D9C">
        <w:rPr>
          <w:rFonts w:eastAsiaTheme="minorHAnsi"/>
          <w:lang w:eastAsia="en-US"/>
        </w:rPr>
        <w:t xml:space="preserve"> Australia i</w:t>
      </w:r>
      <w:r>
        <w:rPr>
          <w:rFonts w:eastAsiaTheme="minorHAnsi"/>
          <w:lang w:eastAsia="en-US"/>
        </w:rPr>
        <w:t>n</w:t>
      </w:r>
      <w:r w:rsidR="00C31A9F">
        <w:rPr>
          <w:rFonts w:eastAsiaTheme="minorHAnsi"/>
          <w:lang w:eastAsia="en-US"/>
        </w:rPr>
        <w:t xml:space="preserve"> the</w:t>
      </w:r>
      <w:r w:rsidR="00BA098E">
        <w:rPr>
          <w:rFonts w:eastAsiaTheme="minorHAnsi"/>
          <w:lang w:eastAsia="en-US"/>
        </w:rPr>
        <w:t xml:space="preserve"> </w:t>
      </w:r>
      <w:r w:rsidR="00BA098E" w:rsidRPr="00B37B74">
        <w:rPr>
          <w:rFonts w:eastAsiaTheme="minorHAnsi"/>
          <w:lang w:eastAsia="en-US"/>
        </w:rPr>
        <w:t xml:space="preserve">Energy and Greenhouse Gas Emissions Accounts, Australia 1992–93 to 1997–98 </w:t>
      </w:r>
      <w:r w:rsidR="00BA098E" w:rsidRPr="00F75489">
        <w:rPr>
          <w:rFonts w:eastAsiaTheme="minorHAnsi"/>
          <w:lang w:eastAsia="en-US"/>
        </w:rPr>
        <w:t>ABS (2001) (</w:t>
      </w:r>
      <w:r w:rsidR="007556EC" w:rsidRPr="00F75489">
        <w:rPr>
          <w:rFonts w:eastAsiaTheme="minorHAnsi"/>
          <w:lang w:eastAsia="en-US"/>
        </w:rPr>
        <w:t>cat</w:t>
      </w:r>
      <w:r w:rsidR="007556EC">
        <w:rPr>
          <w:rFonts w:eastAsiaTheme="minorHAnsi"/>
          <w:lang w:eastAsia="en-US"/>
        </w:rPr>
        <w:t>.</w:t>
      </w:r>
      <w:r w:rsidR="007556EC" w:rsidRPr="00F75489">
        <w:rPr>
          <w:rFonts w:eastAsiaTheme="minorHAnsi"/>
          <w:lang w:eastAsia="en-US"/>
        </w:rPr>
        <w:t xml:space="preserve"> </w:t>
      </w:r>
      <w:r w:rsidR="00BA098E" w:rsidRPr="00F75489">
        <w:rPr>
          <w:rFonts w:eastAsiaTheme="minorHAnsi"/>
          <w:lang w:eastAsia="en-US"/>
        </w:rPr>
        <w:t>4604</w:t>
      </w:r>
      <w:r w:rsidR="007556EC">
        <w:rPr>
          <w:rFonts w:eastAsiaTheme="minorHAnsi"/>
          <w:lang w:eastAsia="en-US"/>
        </w:rPr>
        <w:t>.0</w:t>
      </w:r>
      <w:r w:rsidR="00BA098E" w:rsidRPr="00F75489">
        <w:rPr>
          <w:rFonts w:eastAsiaTheme="minorHAnsi"/>
          <w:lang w:eastAsia="en-US"/>
        </w:rPr>
        <w:t>)</w:t>
      </w:r>
      <w:r>
        <w:rPr>
          <w:rFonts w:eastAsiaTheme="minorHAnsi"/>
          <w:lang w:eastAsia="en-US"/>
        </w:rPr>
        <w:t xml:space="preserve"> in 2001</w:t>
      </w:r>
      <w:r w:rsidR="00BA098E">
        <w:rPr>
          <w:rFonts w:eastAsiaTheme="minorHAnsi"/>
          <w:lang w:eastAsia="en-US"/>
        </w:rPr>
        <w:t>.</w:t>
      </w:r>
      <w:r w:rsidR="00545D9C" w:rsidRPr="00545D9C">
        <w:rPr>
          <w:rFonts w:eastAsiaTheme="minorHAnsi"/>
          <w:lang w:eastAsia="en-US"/>
        </w:rPr>
        <w:t xml:space="preserve"> </w:t>
      </w:r>
      <w:r w:rsidR="00545D9C" w:rsidRPr="00D12523">
        <w:rPr>
          <w:rFonts w:eastAsiaTheme="minorHAnsi"/>
          <w:lang w:eastAsia="en-US"/>
        </w:rPr>
        <w:t xml:space="preserve">While the work was well received, it has </w:t>
      </w:r>
      <w:r w:rsidR="00CF1CA9">
        <w:rPr>
          <w:rFonts w:eastAsiaTheme="minorHAnsi"/>
          <w:lang w:eastAsia="en-US"/>
        </w:rPr>
        <w:t>not been updated.</w:t>
      </w:r>
      <w:r w:rsidR="00545D9C">
        <w:rPr>
          <w:rFonts w:eastAsiaTheme="minorHAnsi"/>
          <w:lang w:eastAsia="en-US"/>
        </w:rPr>
        <w:t xml:space="preserve"> This study build</w:t>
      </w:r>
      <w:r w:rsidR="007B0E5A">
        <w:rPr>
          <w:rFonts w:eastAsiaTheme="minorHAnsi"/>
          <w:lang w:eastAsia="en-US"/>
        </w:rPr>
        <w:t>s</w:t>
      </w:r>
      <w:r w:rsidR="00545D9C">
        <w:rPr>
          <w:rFonts w:eastAsiaTheme="minorHAnsi"/>
          <w:lang w:eastAsia="en-US"/>
        </w:rPr>
        <w:t xml:space="preserve"> on the </w:t>
      </w:r>
      <w:r w:rsidR="00545D9C" w:rsidRPr="00F75489">
        <w:rPr>
          <w:rFonts w:eastAsiaTheme="minorHAnsi"/>
          <w:lang w:eastAsia="en-US"/>
        </w:rPr>
        <w:t>ABS (2001)</w:t>
      </w:r>
      <w:r w:rsidR="00CF1CA9">
        <w:rPr>
          <w:rFonts w:eastAsiaTheme="minorHAnsi"/>
          <w:lang w:eastAsia="en-US"/>
        </w:rPr>
        <w:t xml:space="preserve"> work, and more particularly, </w:t>
      </w:r>
      <w:r w:rsidR="007B0E5A">
        <w:rPr>
          <w:rFonts w:eastAsiaTheme="minorHAnsi"/>
          <w:lang w:eastAsia="en-US"/>
        </w:rPr>
        <w:t xml:space="preserve">it </w:t>
      </w:r>
      <w:r w:rsidR="00CF1CA9">
        <w:rPr>
          <w:rFonts w:eastAsiaTheme="minorHAnsi"/>
          <w:lang w:eastAsia="en-US"/>
        </w:rPr>
        <w:t>utilise</w:t>
      </w:r>
      <w:r w:rsidR="007B0E5A">
        <w:rPr>
          <w:rFonts w:eastAsiaTheme="minorHAnsi"/>
          <w:lang w:eastAsia="en-US"/>
        </w:rPr>
        <w:t>s</w:t>
      </w:r>
      <w:r w:rsidR="00CF1CA9">
        <w:rPr>
          <w:rFonts w:eastAsiaTheme="minorHAnsi"/>
          <w:lang w:eastAsia="en-US"/>
        </w:rPr>
        <w:t xml:space="preserve"> the extensive data base now available from the Australian Greenho</w:t>
      </w:r>
      <w:r w:rsidR="00EB7A06">
        <w:rPr>
          <w:rFonts w:eastAsiaTheme="minorHAnsi"/>
          <w:lang w:eastAsia="en-US"/>
        </w:rPr>
        <w:t>use Emissions Inventory</w:t>
      </w:r>
      <w:r w:rsidR="00E94016" w:rsidRPr="00E94016">
        <w:rPr>
          <w:rFonts w:eastAsiaTheme="minorHAnsi"/>
          <w:lang w:eastAsia="en-US"/>
        </w:rPr>
        <w:t xml:space="preserve"> </w:t>
      </w:r>
      <w:r w:rsidR="00E94016">
        <w:rPr>
          <w:rFonts w:eastAsiaTheme="minorHAnsi"/>
          <w:lang w:eastAsia="en-US"/>
        </w:rPr>
        <w:t>developed and maintained by DCCEE.</w:t>
      </w:r>
    </w:p>
    <w:p w:rsidR="00A94B81" w:rsidRDefault="00A94B81" w:rsidP="00BA098E">
      <w:pPr>
        <w:autoSpaceDE w:val="0"/>
        <w:autoSpaceDN w:val="0"/>
        <w:adjustRightInd w:val="0"/>
        <w:spacing w:line="360" w:lineRule="auto"/>
        <w:jc w:val="both"/>
        <w:rPr>
          <w:rFonts w:eastAsiaTheme="minorHAnsi"/>
          <w:lang w:eastAsia="en-US"/>
        </w:rPr>
      </w:pPr>
    </w:p>
    <w:p w:rsidR="00BA098E" w:rsidRPr="0000513B" w:rsidRDefault="00BA098E" w:rsidP="00BA098E">
      <w:pPr>
        <w:spacing w:line="360" w:lineRule="auto"/>
        <w:jc w:val="both"/>
        <w:rPr>
          <w:b/>
          <w:sz w:val="28"/>
          <w:szCs w:val="28"/>
        </w:rPr>
      </w:pPr>
      <w:r w:rsidRPr="0000513B">
        <w:rPr>
          <w:b/>
          <w:sz w:val="28"/>
          <w:szCs w:val="28"/>
        </w:rPr>
        <w:t>3.</w:t>
      </w:r>
      <w:r w:rsidRPr="0000513B">
        <w:rPr>
          <w:b/>
          <w:sz w:val="28"/>
          <w:szCs w:val="28"/>
        </w:rPr>
        <w:tab/>
      </w:r>
      <w:r w:rsidR="005C1CBD">
        <w:rPr>
          <w:b/>
          <w:sz w:val="28"/>
          <w:szCs w:val="28"/>
        </w:rPr>
        <w:t xml:space="preserve">CONCEPTS AND </w:t>
      </w:r>
      <w:r w:rsidRPr="0000513B">
        <w:rPr>
          <w:b/>
          <w:sz w:val="28"/>
          <w:szCs w:val="28"/>
        </w:rPr>
        <w:t>METHODOLOGY</w:t>
      </w:r>
    </w:p>
    <w:p w:rsidR="00BA098E" w:rsidRDefault="00BA098E" w:rsidP="00BA098E">
      <w:pPr>
        <w:autoSpaceDE w:val="0"/>
        <w:autoSpaceDN w:val="0"/>
        <w:adjustRightInd w:val="0"/>
        <w:spacing w:line="360" w:lineRule="auto"/>
        <w:jc w:val="both"/>
        <w:rPr>
          <w:rFonts w:eastAsiaTheme="minorHAnsi"/>
          <w:lang w:eastAsia="en-US"/>
        </w:rPr>
      </w:pPr>
    </w:p>
    <w:p w:rsidR="00BA098E" w:rsidRDefault="007B0E5A" w:rsidP="00A75007">
      <w:pPr>
        <w:autoSpaceDE w:val="0"/>
        <w:autoSpaceDN w:val="0"/>
        <w:adjustRightInd w:val="0"/>
        <w:spacing w:line="360" w:lineRule="auto"/>
        <w:jc w:val="both"/>
        <w:rPr>
          <w:rFonts w:eastAsiaTheme="minorHAnsi"/>
          <w:lang w:eastAsia="en-US"/>
        </w:rPr>
      </w:pPr>
      <w:r>
        <w:rPr>
          <w:rFonts w:eastAsiaTheme="minorHAnsi"/>
          <w:lang w:eastAsia="en-US"/>
        </w:rPr>
        <w:t>T</w:t>
      </w:r>
      <w:r w:rsidR="00BA098E">
        <w:rPr>
          <w:rFonts w:eastAsiaTheme="minorHAnsi"/>
          <w:lang w:eastAsia="en-US"/>
        </w:rPr>
        <w:t>h</w:t>
      </w:r>
      <w:r w:rsidR="00EB7A06">
        <w:rPr>
          <w:rFonts w:eastAsiaTheme="minorHAnsi"/>
          <w:lang w:eastAsia="en-US"/>
        </w:rPr>
        <w:t>e main data inputs for this</w:t>
      </w:r>
      <w:r w:rsidR="00BA098E">
        <w:rPr>
          <w:rFonts w:eastAsiaTheme="minorHAnsi"/>
          <w:lang w:eastAsia="en-US"/>
        </w:rPr>
        <w:t xml:space="preserve"> study</w:t>
      </w:r>
      <w:r w:rsidR="00BA098E" w:rsidRPr="00F75489">
        <w:rPr>
          <w:rFonts w:eastAsiaTheme="minorHAnsi"/>
          <w:lang w:eastAsia="en-US"/>
        </w:rPr>
        <w:t xml:space="preserve"> </w:t>
      </w:r>
      <w:r w:rsidR="00EB7A06">
        <w:rPr>
          <w:rFonts w:eastAsiaTheme="minorHAnsi"/>
          <w:lang w:eastAsia="en-US"/>
        </w:rPr>
        <w:t>are the</w:t>
      </w:r>
      <w:r w:rsidR="00BA098E" w:rsidRPr="00F75489">
        <w:rPr>
          <w:rFonts w:eastAsiaTheme="minorHAnsi"/>
          <w:lang w:eastAsia="en-US"/>
        </w:rPr>
        <w:t xml:space="preserve"> 2007-08 </w:t>
      </w:r>
      <w:r w:rsidRPr="00E94016">
        <w:rPr>
          <w:rFonts w:eastAsiaTheme="minorHAnsi"/>
          <w:i/>
          <w:lang w:eastAsia="en-US"/>
        </w:rPr>
        <w:t>N</w:t>
      </w:r>
      <w:r w:rsidR="00BA098E" w:rsidRPr="00E94016">
        <w:rPr>
          <w:rFonts w:eastAsiaTheme="minorHAnsi"/>
          <w:i/>
          <w:lang w:eastAsia="en-US"/>
        </w:rPr>
        <w:t>ational G</w:t>
      </w:r>
      <w:r w:rsidRPr="00E94016">
        <w:rPr>
          <w:rFonts w:eastAsiaTheme="minorHAnsi"/>
          <w:i/>
          <w:lang w:eastAsia="en-US"/>
        </w:rPr>
        <w:t>reenhouse</w:t>
      </w:r>
      <w:r w:rsidR="00BA098E" w:rsidRPr="00E94016">
        <w:rPr>
          <w:rFonts w:eastAsiaTheme="minorHAnsi"/>
          <w:i/>
          <w:lang w:eastAsia="en-US"/>
        </w:rPr>
        <w:t xml:space="preserve"> </w:t>
      </w:r>
      <w:r w:rsidRPr="00E94016">
        <w:rPr>
          <w:rFonts w:eastAsiaTheme="minorHAnsi"/>
          <w:i/>
          <w:lang w:eastAsia="en-US"/>
        </w:rPr>
        <w:t>I</w:t>
      </w:r>
      <w:r w:rsidR="00BA098E" w:rsidRPr="00E94016">
        <w:rPr>
          <w:rFonts w:eastAsiaTheme="minorHAnsi"/>
          <w:i/>
          <w:lang w:eastAsia="en-US"/>
        </w:rPr>
        <w:t>nventory</w:t>
      </w:r>
      <w:r w:rsidR="00E94016">
        <w:rPr>
          <w:rFonts w:eastAsiaTheme="minorHAnsi"/>
          <w:lang w:eastAsia="en-US"/>
        </w:rPr>
        <w:t xml:space="preserve"> </w:t>
      </w:r>
      <w:r w:rsidR="00E94016" w:rsidRPr="00E94016">
        <w:rPr>
          <w:rFonts w:eastAsiaTheme="minorHAnsi"/>
          <w:i/>
          <w:lang w:eastAsia="en-US"/>
        </w:rPr>
        <w:t>by Economic Sector</w:t>
      </w:r>
      <w:r w:rsidR="00BA098E" w:rsidRPr="00F75489">
        <w:rPr>
          <w:rFonts w:eastAsiaTheme="minorHAnsi"/>
          <w:lang w:eastAsia="en-US"/>
        </w:rPr>
        <w:t xml:space="preserve"> data and </w:t>
      </w:r>
      <w:r w:rsidR="00BA098E">
        <w:rPr>
          <w:rFonts w:eastAsiaTheme="minorHAnsi"/>
          <w:lang w:eastAsia="en-US"/>
        </w:rPr>
        <w:t xml:space="preserve">the </w:t>
      </w:r>
      <w:r w:rsidR="00BA098E" w:rsidRPr="00F75489">
        <w:rPr>
          <w:rFonts w:eastAsiaTheme="minorHAnsi"/>
          <w:lang w:eastAsia="en-US"/>
        </w:rPr>
        <w:t xml:space="preserve">2007-08 </w:t>
      </w:r>
      <w:proofErr w:type="gramStart"/>
      <w:r>
        <w:rPr>
          <w:rFonts w:eastAsiaTheme="minorHAnsi"/>
          <w:lang w:eastAsia="en-US"/>
        </w:rPr>
        <w:t>suit</w:t>
      </w:r>
      <w:r w:rsidR="00A9738F">
        <w:rPr>
          <w:rFonts w:eastAsiaTheme="minorHAnsi"/>
          <w:lang w:eastAsia="en-US"/>
        </w:rPr>
        <w:t>e</w:t>
      </w:r>
      <w:proofErr w:type="gramEnd"/>
      <w:r>
        <w:rPr>
          <w:rFonts w:eastAsiaTheme="minorHAnsi"/>
          <w:lang w:eastAsia="en-US"/>
        </w:rPr>
        <w:t xml:space="preserve"> of </w:t>
      </w:r>
      <w:r w:rsidR="00BA098E" w:rsidRPr="00F75489">
        <w:rPr>
          <w:rFonts w:eastAsiaTheme="minorHAnsi"/>
          <w:lang w:eastAsia="en-US"/>
        </w:rPr>
        <w:t>IO table</w:t>
      </w:r>
      <w:r>
        <w:rPr>
          <w:rFonts w:eastAsiaTheme="minorHAnsi"/>
          <w:lang w:eastAsia="en-US"/>
        </w:rPr>
        <w:t>s for Australia</w:t>
      </w:r>
      <w:r w:rsidR="00BA098E" w:rsidRPr="00F75489">
        <w:rPr>
          <w:rFonts w:eastAsiaTheme="minorHAnsi"/>
          <w:lang w:eastAsia="en-US"/>
        </w:rPr>
        <w:t xml:space="preserve">. </w:t>
      </w:r>
    </w:p>
    <w:p w:rsidR="00891294" w:rsidRDefault="00891294" w:rsidP="00A75007">
      <w:pPr>
        <w:autoSpaceDE w:val="0"/>
        <w:autoSpaceDN w:val="0"/>
        <w:adjustRightInd w:val="0"/>
        <w:spacing w:line="360" w:lineRule="auto"/>
        <w:jc w:val="both"/>
      </w:pPr>
    </w:p>
    <w:p w:rsidR="00BA098E" w:rsidRDefault="00BA098E" w:rsidP="00BA098E">
      <w:pPr>
        <w:autoSpaceDE w:val="0"/>
        <w:autoSpaceDN w:val="0"/>
        <w:adjustRightInd w:val="0"/>
        <w:spacing w:line="360" w:lineRule="auto"/>
        <w:jc w:val="both"/>
      </w:pPr>
    </w:p>
    <w:p w:rsidR="00A75007" w:rsidRPr="00A75007" w:rsidRDefault="00A75007" w:rsidP="00A75007">
      <w:pPr>
        <w:pStyle w:val="ListParagraph"/>
        <w:numPr>
          <w:ilvl w:val="0"/>
          <w:numId w:val="49"/>
        </w:numPr>
        <w:spacing w:line="360" w:lineRule="auto"/>
        <w:jc w:val="both"/>
        <w:rPr>
          <w:b/>
          <w:vanish/>
          <w:sz w:val="28"/>
          <w:szCs w:val="28"/>
        </w:rPr>
      </w:pPr>
    </w:p>
    <w:p w:rsidR="00A75007" w:rsidRPr="00A75007" w:rsidRDefault="00A75007" w:rsidP="00A75007">
      <w:pPr>
        <w:pStyle w:val="ListParagraph"/>
        <w:numPr>
          <w:ilvl w:val="0"/>
          <w:numId w:val="49"/>
        </w:numPr>
        <w:spacing w:line="360" w:lineRule="auto"/>
        <w:jc w:val="both"/>
        <w:rPr>
          <w:b/>
          <w:vanish/>
          <w:sz w:val="28"/>
          <w:szCs w:val="28"/>
        </w:rPr>
      </w:pPr>
    </w:p>
    <w:p w:rsidR="00A75007" w:rsidRPr="00A75007" w:rsidRDefault="00A75007" w:rsidP="00A75007">
      <w:pPr>
        <w:pStyle w:val="ListParagraph"/>
        <w:numPr>
          <w:ilvl w:val="0"/>
          <w:numId w:val="49"/>
        </w:numPr>
        <w:spacing w:line="360" w:lineRule="auto"/>
        <w:jc w:val="both"/>
        <w:rPr>
          <w:b/>
          <w:vanish/>
          <w:sz w:val="28"/>
          <w:szCs w:val="28"/>
        </w:rPr>
      </w:pPr>
    </w:p>
    <w:p w:rsidR="005C1CBD" w:rsidRPr="00BC31A6" w:rsidRDefault="00A75007" w:rsidP="00BC31A6">
      <w:pPr>
        <w:numPr>
          <w:ilvl w:val="1"/>
          <w:numId w:val="49"/>
        </w:numPr>
        <w:spacing w:line="360" w:lineRule="auto"/>
        <w:ind w:left="0" w:firstLine="0"/>
        <w:jc w:val="both"/>
        <w:rPr>
          <w:b/>
          <w:szCs w:val="28"/>
        </w:rPr>
      </w:pPr>
      <w:r w:rsidRPr="00BC31A6">
        <w:rPr>
          <w:b/>
          <w:szCs w:val="28"/>
        </w:rPr>
        <w:t xml:space="preserve"> </w:t>
      </w:r>
      <w:r w:rsidR="005C1CBD" w:rsidRPr="00BC31A6">
        <w:rPr>
          <w:b/>
          <w:szCs w:val="28"/>
        </w:rPr>
        <w:t>C</w:t>
      </w:r>
      <w:r w:rsidR="000F3BCA" w:rsidRPr="00BC31A6">
        <w:rPr>
          <w:b/>
          <w:szCs w:val="28"/>
        </w:rPr>
        <w:t>onsumption</w:t>
      </w:r>
      <w:r w:rsidR="005C1CBD" w:rsidRPr="00BC31A6">
        <w:rPr>
          <w:b/>
          <w:szCs w:val="28"/>
        </w:rPr>
        <w:t>-</w:t>
      </w:r>
      <w:r w:rsidR="000F3BCA" w:rsidRPr="00BC31A6">
        <w:rPr>
          <w:b/>
          <w:szCs w:val="28"/>
        </w:rPr>
        <w:t>based</w:t>
      </w:r>
      <w:r w:rsidR="005C1CBD" w:rsidRPr="00BC31A6">
        <w:rPr>
          <w:b/>
          <w:szCs w:val="28"/>
        </w:rPr>
        <w:t xml:space="preserve"> </w:t>
      </w:r>
      <w:r w:rsidR="000F3BCA" w:rsidRPr="00BC31A6">
        <w:rPr>
          <w:b/>
          <w:szCs w:val="28"/>
        </w:rPr>
        <w:t>emissions concepts</w:t>
      </w:r>
    </w:p>
    <w:p w:rsidR="005C1CBD" w:rsidRPr="00A9738F" w:rsidRDefault="005C1CBD" w:rsidP="00BA098E">
      <w:pPr>
        <w:autoSpaceDE w:val="0"/>
        <w:autoSpaceDN w:val="0"/>
        <w:adjustRightInd w:val="0"/>
        <w:spacing w:line="360" w:lineRule="auto"/>
        <w:jc w:val="both"/>
        <w:rPr>
          <w:sz w:val="12"/>
        </w:rPr>
      </w:pPr>
    </w:p>
    <w:p w:rsidR="00BC31A6" w:rsidRDefault="00BA098E" w:rsidP="00BC31A6">
      <w:pPr>
        <w:autoSpaceDE w:val="0"/>
        <w:autoSpaceDN w:val="0"/>
        <w:adjustRightInd w:val="0"/>
        <w:spacing w:line="360" w:lineRule="auto"/>
        <w:jc w:val="both"/>
      </w:pPr>
      <w:r>
        <w:t>Consumption-based emissions consist of the cumulative emissions resulting from domestic final demands. Production-based emissions consist of direct emissions incurred during domestic production</w:t>
      </w:r>
      <w:r w:rsidR="00EB7A06">
        <w:rPr>
          <w:rStyle w:val="FootnoteReference"/>
        </w:rPr>
        <w:footnoteReference w:id="8"/>
      </w:r>
      <w:r>
        <w:t xml:space="preserve">. </w:t>
      </w:r>
      <w:r w:rsidR="00BC31A6">
        <w:t>The formulas below and Figure 1 both illustrate this relationship.</w:t>
      </w:r>
    </w:p>
    <w:p w:rsidR="00BC31A6" w:rsidRDefault="00BC31A6" w:rsidP="00BC31A6">
      <w:pPr>
        <w:autoSpaceDE w:val="0"/>
        <w:autoSpaceDN w:val="0"/>
        <w:adjustRightInd w:val="0"/>
        <w:spacing w:line="360" w:lineRule="auto"/>
        <w:jc w:val="both"/>
      </w:pPr>
    </w:p>
    <w:p w:rsidR="00937062" w:rsidRPr="00937062" w:rsidRDefault="00BC31A6" w:rsidP="00937062">
      <w:pPr>
        <w:autoSpaceDE w:val="0"/>
        <w:autoSpaceDN w:val="0"/>
        <w:adjustRightInd w:val="0"/>
        <w:spacing w:line="360" w:lineRule="auto"/>
      </w:pPr>
      <m:oMathPara>
        <m:oMathParaPr>
          <m:jc m:val="left"/>
        </m:oMathParaPr>
        <m:oMath>
          <m:r>
            <m:rPr>
              <m:sty m:val="p"/>
            </m:rPr>
            <w:rPr>
              <w:rFonts w:ascii="Cambria Math" w:hAnsi="Cambria Math"/>
            </w:rPr>
            <m:t xml:space="preserve">Consumption based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 xml:space="preserve"> emissions</m:t>
          </m:r>
        </m:oMath>
      </m:oMathPara>
    </w:p>
    <w:p w:rsidR="00937062" w:rsidRPr="00937062" w:rsidRDefault="00BC31A6" w:rsidP="00BC31A6">
      <w:pPr>
        <w:autoSpaceDE w:val="0"/>
        <w:autoSpaceDN w:val="0"/>
        <w:adjustRightInd w:val="0"/>
        <w:spacing w:line="360" w:lineRule="auto"/>
        <w:jc w:val="both"/>
      </w:pPr>
      <m:oMathPara>
        <m:oMathParaPr>
          <m:jc m:val="left"/>
        </m:oMathParaPr>
        <m:oMath>
          <m:r>
            <m:rPr>
              <m:sty m:val="p"/>
            </m:rPr>
            <w:rPr>
              <w:rFonts w:ascii="Cambria Math" w:hAnsi="Cambria Math"/>
            </w:rPr>
            <m:t>=Production based emissions</m:t>
          </m:r>
        </m:oMath>
      </m:oMathPara>
    </w:p>
    <w:p w:rsidR="00937062" w:rsidRPr="00937062" w:rsidRDefault="00937062" w:rsidP="00BC31A6">
      <w:pPr>
        <w:autoSpaceDE w:val="0"/>
        <w:autoSpaceDN w:val="0"/>
        <w:adjustRightInd w:val="0"/>
        <w:spacing w:line="360" w:lineRule="auto"/>
        <w:jc w:val="both"/>
      </w:pPr>
      <m:oMathPara>
        <m:oMathParaPr>
          <m:jc m:val="left"/>
        </m:oMathParaPr>
        <m:oMath>
          <m:r>
            <m:rPr>
              <m:sty m:val="p"/>
            </m:rPr>
            <w:rPr>
              <w:rFonts w:ascii="Cambria Math" w:hAnsi="Cambria Math"/>
            </w:rPr>
            <m:t xml:space="preserve">    +Emissions embodied in imports</m:t>
          </m:r>
        </m:oMath>
      </m:oMathPara>
    </w:p>
    <w:p w:rsidR="00BC31A6" w:rsidRPr="00937062" w:rsidRDefault="00937062" w:rsidP="00BC31A6">
      <w:pPr>
        <w:autoSpaceDE w:val="0"/>
        <w:autoSpaceDN w:val="0"/>
        <w:adjustRightInd w:val="0"/>
        <w:spacing w:line="360" w:lineRule="auto"/>
        <w:jc w:val="both"/>
      </w:pPr>
      <m:oMathPara>
        <m:oMathParaPr>
          <m:jc m:val="left"/>
        </m:oMathParaPr>
        <m:oMath>
          <m:r>
            <m:rPr>
              <m:sty m:val="p"/>
            </m:rPr>
            <w:rPr>
              <w:rFonts w:ascii="Cambria Math" w:hAnsi="Cambria Math"/>
            </w:rPr>
            <m:t xml:space="preserve">    -Emissions embodied in exports</m:t>
          </m:r>
        </m:oMath>
      </m:oMathPara>
    </w:p>
    <w:p w:rsidR="00BC31A6" w:rsidRPr="007A68CB" w:rsidRDefault="00BC31A6" w:rsidP="00BC31A6">
      <w:pPr>
        <w:autoSpaceDE w:val="0"/>
        <w:autoSpaceDN w:val="0"/>
        <w:adjustRightInd w:val="0"/>
        <w:spacing w:line="360" w:lineRule="auto"/>
        <w:jc w:val="both"/>
      </w:pPr>
      <w:r w:rsidRPr="007A68CB">
        <w:tab/>
      </w:r>
    </w:p>
    <w:p w:rsidR="00BC31A6" w:rsidRDefault="00BC31A6" w:rsidP="00BC31A6">
      <w:pPr>
        <w:autoSpaceDE w:val="0"/>
        <w:autoSpaceDN w:val="0"/>
        <w:adjustRightInd w:val="0"/>
        <w:spacing w:line="360" w:lineRule="auto"/>
      </w:pPr>
      <w:r>
        <w:t>Or alternatively,</w:t>
      </w:r>
    </w:p>
    <w:p w:rsidR="00937062" w:rsidRDefault="00937062" w:rsidP="00BC31A6">
      <w:pPr>
        <w:autoSpaceDE w:val="0"/>
        <w:autoSpaceDN w:val="0"/>
        <w:adjustRightInd w:val="0"/>
        <w:spacing w:line="360" w:lineRule="auto"/>
      </w:pPr>
    </w:p>
    <w:p w:rsidR="00937062" w:rsidRPr="00937062" w:rsidRDefault="00BC31A6" w:rsidP="00937062">
      <w:pPr>
        <w:autoSpaceDE w:val="0"/>
        <w:autoSpaceDN w:val="0"/>
        <w:adjustRightInd w:val="0"/>
        <w:spacing w:line="360" w:lineRule="auto"/>
      </w:pPr>
      <m:oMathPara>
        <m:oMathParaPr>
          <m:jc m:val="left"/>
        </m:oMathParaPr>
        <m:oMath>
          <m:r>
            <m:rPr>
              <m:sty m:val="p"/>
            </m:rPr>
            <w:rPr>
              <w:rFonts w:ascii="Cambria Math" w:hAnsi="Cambria Math"/>
            </w:rPr>
            <m:t xml:space="preserve">Consumption based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 xml:space="preserve"> emissions</m:t>
          </m:r>
        </m:oMath>
      </m:oMathPara>
    </w:p>
    <w:p w:rsidR="00BC31A6" w:rsidRPr="007A68CB" w:rsidRDefault="00BC31A6" w:rsidP="00937062">
      <w:pPr>
        <w:autoSpaceDE w:val="0"/>
        <w:autoSpaceDN w:val="0"/>
        <w:adjustRightInd w:val="0"/>
        <w:spacing w:line="360" w:lineRule="auto"/>
      </w:pPr>
      <m:oMath>
        <m:r>
          <m:rPr>
            <m:sty m:val="p"/>
          </m:rPr>
          <w:rPr>
            <w:rFonts w:ascii="Cambria Math" w:hAnsi="Cambria Math"/>
          </w:rPr>
          <m:t>=Emissions induced producing</m:t>
        </m:r>
      </m:oMath>
      <w:r w:rsidRPr="00937062">
        <w:t xml:space="preserve"> </w:t>
      </w:r>
      <m:oMath>
        <m:r>
          <m:rPr>
            <m:sty m:val="p"/>
          </m:rPr>
          <w:rPr>
            <w:rFonts w:ascii="Cambria Math" w:hAnsi="Cambria Math"/>
          </w:rPr>
          <m:t>domestic and imported goods and services</m:t>
        </m:r>
      </m:oMath>
    </w:p>
    <w:p w:rsidR="00BC31A6" w:rsidRPr="00937062" w:rsidRDefault="00937062" w:rsidP="00BC31A6">
      <w:pPr>
        <w:autoSpaceDE w:val="0"/>
        <w:autoSpaceDN w:val="0"/>
        <w:adjustRightInd w:val="0"/>
        <w:spacing w:line="360" w:lineRule="auto"/>
      </w:pPr>
      <w:r>
        <w:t xml:space="preserve">    </w:t>
      </w:r>
      <m:oMath>
        <m:r>
          <m:rPr>
            <m:sty m:val="p"/>
          </m:rPr>
          <w:rPr>
            <w:rFonts w:ascii="Cambria Math" w:hAnsi="Cambria Math"/>
          </w:rPr>
          <m:t xml:space="preserve">to satisfy the domestic final demand </m:t>
        </m:r>
      </m:oMath>
    </w:p>
    <w:p w:rsidR="00BC31A6" w:rsidRPr="007A68CB" w:rsidRDefault="00937062" w:rsidP="00BC31A6">
      <w:pPr>
        <w:autoSpaceDE w:val="0"/>
        <w:autoSpaceDN w:val="0"/>
        <w:adjustRightInd w:val="0"/>
        <w:spacing w:line="360" w:lineRule="auto"/>
      </w:pPr>
      <w:r>
        <w:t xml:space="preserve">    </w:t>
      </w:r>
      <m:oMath>
        <m:r>
          <m:rPr>
            <m:sty m:val="p"/>
          </m:rPr>
          <w:rPr>
            <w:rFonts w:ascii="Cambria Math" w:hAnsi="Cambria Math"/>
          </w:rPr>
          <m:t>+Emissions due to combustions of fuel in household</m:t>
        </m:r>
      </m:oMath>
      <w:proofErr w:type="gramStart"/>
      <w:r w:rsidR="00C31A9F">
        <w:t>s</w:t>
      </w:r>
      <w:proofErr w:type="gramEnd"/>
    </w:p>
    <w:p w:rsidR="00BA098E" w:rsidRPr="0069769E" w:rsidRDefault="00BA098E" w:rsidP="00BC31A6">
      <w:pPr>
        <w:autoSpaceDE w:val="0"/>
        <w:autoSpaceDN w:val="0"/>
        <w:adjustRightInd w:val="0"/>
        <w:spacing w:line="360" w:lineRule="auto"/>
        <w:jc w:val="both"/>
        <w:rPr>
          <w:sz w:val="22"/>
        </w:rPr>
      </w:pPr>
    </w:p>
    <w:p w:rsidR="00BA098E" w:rsidRDefault="00BA098E" w:rsidP="00BA098E">
      <w:pPr>
        <w:spacing w:line="360" w:lineRule="auto"/>
        <w:jc w:val="both"/>
        <w:rPr>
          <w:rFonts w:cstheme="minorHAnsi"/>
        </w:rPr>
      </w:pPr>
      <w:r>
        <w:rPr>
          <w:rFonts w:cstheme="minorHAnsi"/>
          <w:b/>
          <w:i/>
        </w:rPr>
        <w:t>Figure 1:</w:t>
      </w:r>
      <w:r w:rsidRPr="00600A3F">
        <w:rPr>
          <w:rFonts w:cstheme="minorHAnsi"/>
          <w:b/>
          <w:i/>
        </w:rPr>
        <w:t xml:space="preserve"> Production and consumption approaches to GHG measurement</w:t>
      </w:r>
      <w:r w:rsidRPr="00600A3F">
        <w:rPr>
          <w:b/>
          <w:i/>
          <w:vertAlign w:val="superscript"/>
        </w:rPr>
        <w:footnoteReference w:id="9"/>
      </w:r>
    </w:p>
    <w:p w:rsidR="00BA098E" w:rsidRPr="001135B0" w:rsidRDefault="00BA098E" w:rsidP="00BA098E">
      <w:pPr>
        <w:spacing w:line="360" w:lineRule="auto"/>
        <w:jc w:val="both"/>
        <w:rPr>
          <w:rFonts w:cstheme="minorHAnsi"/>
        </w:rPr>
      </w:pPr>
    </w:p>
    <w:p w:rsidR="00A94B81" w:rsidRDefault="00BA098E" w:rsidP="00A9738F">
      <w:pPr>
        <w:autoSpaceDE w:val="0"/>
        <w:autoSpaceDN w:val="0"/>
        <w:adjustRightInd w:val="0"/>
        <w:spacing w:line="360" w:lineRule="auto"/>
        <w:jc w:val="center"/>
        <w:rPr>
          <w:rFonts w:cstheme="minorHAnsi"/>
          <w:color w:val="4F81BD" w:themeColor="accent1"/>
        </w:rPr>
      </w:pPr>
      <w:r w:rsidRPr="00B60837">
        <w:rPr>
          <w:rFonts w:cstheme="minorHAnsi"/>
          <w:noProof/>
          <w:color w:val="4F81BD" w:themeColor="accent1"/>
        </w:rPr>
        <w:drawing>
          <wp:inline distT="0" distB="0" distL="0" distR="0" wp14:anchorId="371901D6" wp14:editId="55684728">
            <wp:extent cx="4901184" cy="233562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905902" cy="2337873"/>
                    </a:xfrm>
                    <a:prstGeom prst="rect">
                      <a:avLst/>
                    </a:prstGeom>
                  </pic:spPr>
                </pic:pic>
              </a:graphicData>
            </a:graphic>
          </wp:inline>
        </w:drawing>
      </w:r>
    </w:p>
    <w:p w:rsidR="00E94016" w:rsidRDefault="00E94016" w:rsidP="00A9738F">
      <w:pPr>
        <w:autoSpaceDE w:val="0"/>
        <w:autoSpaceDN w:val="0"/>
        <w:adjustRightInd w:val="0"/>
        <w:spacing w:line="360" w:lineRule="auto"/>
        <w:jc w:val="center"/>
        <w:rPr>
          <w:rFonts w:cstheme="minorHAnsi"/>
          <w:color w:val="4F81BD" w:themeColor="accent1"/>
        </w:rPr>
      </w:pPr>
    </w:p>
    <w:p w:rsidR="00891294" w:rsidRDefault="00891294" w:rsidP="00A9738F">
      <w:pPr>
        <w:autoSpaceDE w:val="0"/>
        <w:autoSpaceDN w:val="0"/>
        <w:adjustRightInd w:val="0"/>
        <w:spacing w:line="360" w:lineRule="auto"/>
        <w:jc w:val="center"/>
        <w:rPr>
          <w:rFonts w:cstheme="minorHAnsi"/>
          <w:color w:val="4F81BD" w:themeColor="accent1"/>
        </w:rPr>
      </w:pPr>
    </w:p>
    <w:p w:rsidR="00A75007" w:rsidRPr="00BC31A6" w:rsidRDefault="00A75007" w:rsidP="00BC31A6">
      <w:pPr>
        <w:numPr>
          <w:ilvl w:val="1"/>
          <w:numId w:val="49"/>
        </w:numPr>
        <w:spacing w:line="360" w:lineRule="auto"/>
        <w:ind w:left="0" w:firstLine="0"/>
        <w:jc w:val="both"/>
        <w:rPr>
          <w:b/>
          <w:szCs w:val="28"/>
        </w:rPr>
      </w:pPr>
      <w:r w:rsidRPr="00BC31A6">
        <w:rPr>
          <w:b/>
          <w:szCs w:val="28"/>
        </w:rPr>
        <w:lastRenderedPageBreak/>
        <w:t xml:space="preserve"> Improvements </w:t>
      </w:r>
    </w:p>
    <w:p w:rsidR="005751A3" w:rsidRDefault="005751A3" w:rsidP="00BA098E">
      <w:pPr>
        <w:autoSpaceDE w:val="0"/>
        <w:autoSpaceDN w:val="0"/>
        <w:adjustRightInd w:val="0"/>
        <w:spacing w:line="360" w:lineRule="auto"/>
        <w:jc w:val="both"/>
        <w:rPr>
          <w:rFonts w:eastAsiaTheme="minorHAnsi"/>
          <w:lang w:eastAsia="en-US"/>
        </w:rPr>
      </w:pPr>
    </w:p>
    <w:p w:rsidR="00BC31A6" w:rsidRDefault="00BA098E" w:rsidP="00BA098E">
      <w:pPr>
        <w:autoSpaceDE w:val="0"/>
        <w:autoSpaceDN w:val="0"/>
        <w:adjustRightInd w:val="0"/>
        <w:spacing w:line="360" w:lineRule="auto"/>
        <w:jc w:val="both"/>
        <w:rPr>
          <w:rFonts w:eastAsiaTheme="minorHAnsi"/>
          <w:lang w:eastAsia="en-US"/>
        </w:rPr>
      </w:pPr>
      <w:r>
        <w:rPr>
          <w:rFonts w:eastAsiaTheme="minorHAnsi"/>
          <w:lang w:eastAsia="en-US"/>
        </w:rPr>
        <w:t>This paper improves on previous ABS work in five areas.</w:t>
      </w:r>
      <w:r w:rsidRPr="00F75489">
        <w:rPr>
          <w:rFonts w:eastAsiaTheme="minorHAnsi"/>
          <w:lang w:eastAsia="en-US"/>
        </w:rPr>
        <w:t xml:space="preserve"> </w:t>
      </w:r>
    </w:p>
    <w:p w:rsidR="005751A3" w:rsidRDefault="005751A3" w:rsidP="00BA098E">
      <w:pPr>
        <w:autoSpaceDE w:val="0"/>
        <w:autoSpaceDN w:val="0"/>
        <w:adjustRightInd w:val="0"/>
        <w:spacing w:line="360" w:lineRule="auto"/>
        <w:jc w:val="both"/>
        <w:rPr>
          <w:rFonts w:eastAsiaTheme="minorHAnsi"/>
          <w:lang w:eastAsia="en-US"/>
        </w:rPr>
      </w:pPr>
    </w:p>
    <w:p w:rsidR="00A75007" w:rsidRPr="00A75007" w:rsidRDefault="00A75007" w:rsidP="00A75007">
      <w:pPr>
        <w:pStyle w:val="ListParagraph"/>
        <w:numPr>
          <w:ilvl w:val="0"/>
          <w:numId w:val="46"/>
        </w:numPr>
        <w:autoSpaceDE w:val="0"/>
        <w:autoSpaceDN w:val="0"/>
        <w:adjustRightInd w:val="0"/>
        <w:spacing w:line="360" w:lineRule="auto"/>
        <w:jc w:val="both"/>
        <w:rPr>
          <w:rFonts w:eastAsiaTheme="minorHAnsi"/>
          <w:vanish/>
          <w:lang w:eastAsia="en-US"/>
        </w:rPr>
      </w:pPr>
    </w:p>
    <w:p w:rsidR="00A75007" w:rsidRPr="00A75007" w:rsidRDefault="00A75007" w:rsidP="00A75007">
      <w:pPr>
        <w:pStyle w:val="ListParagraph"/>
        <w:numPr>
          <w:ilvl w:val="0"/>
          <w:numId w:val="46"/>
        </w:numPr>
        <w:autoSpaceDE w:val="0"/>
        <w:autoSpaceDN w:val="0"/>
        <w:adjustRightInd w:val="0"/>
        <w:spacing w:line="360" w:lineRule="auto"/>
        <w:jc w:val="both"/>
        <w:rPr>
          <w:rFonts w:eastAsiaTheme="minorHAnsi"/>
          <w:vanish/>
          <w:lang w:eastAsia="en-US"/>
        </w:rPr>
      </w:pPr>
    </w:p>
    <w:p w:rsidR="00A75007" w:rsidRPr="00A75007" w:rsidRDefault="00A75007" w:rsidP="00A75007">
      <w:pPr>
        <w:pStyle w:val="ListParagraph"/>
        <w:numPr>
          <w:ilvl w:val="0"/>
          <w:numId w:val="46"/>
        </w:numPr>
        <w:autoSpaceDE w:val="0"/>
        <w:autoSpaceDN w:val="0"/>
        <w:adjustRightInd w:val="0"/>
        <w:spacing w:line="360" w:lineRule="auto"/>
        <w:jc w:val="both"/>
        <w:rPr>
          <w:rFonts w:eastAsiaTheme="minorHAnsi"/>
          <w:vanish/>
          <w:lang w:eastAsia="en-US"/>
        </w:rPr>
      </w:pPr>
    </w:p>
    <w:p w:rsidR="00A75007" w:rsidRPr="00A75007" w:rsidRDefault="00A75007" w:rsidP="00A75007">
      <w:pPr>
        <w:pStyle w:val="ListParagraph"/>
        <w:numPr>
          <w:ilvl w:val="1"/>
          <w:numId w:val="46"/>
        </w:numPr>
        <w:autoSpaceDE w:val="0"/>
        <w:autoSpaceDN w:val="0"/>
        <w:adjustRightInd w:val="0"/>
        <w:spacing w:line="360" w:lineRule="auto"/>
        <w:jc w:val="both"/>
        <w:rPr>
          <w:rFonts w:eastAsiaTheme="minorHAnsi"/>
          <w:vanish/>
          <w:lang w:eastAsia="en-US"/>
        </w:rPr>
      </w:pPr>
    </w:p>
    <w:p w:rsidR="00A75007" w:rsidRPr="00A75007" w:rsidRDefault="00A75007" w:rsidP="00A75007">
      <w:pPr>
        <w:pStyle w:val="ListParagraph"/>
        <w:numPr>
          <w:ilvl w:val="1"/>
          <w:numId w:val="46"/>
        </w:numPr>
        <w:autoSpaceDE w:val="0"/>
        <w:autoSpaceDN w:val="0"/>
        <w:adjustRightInd w:val="0"/>
        <w:spacing w:line="360" w:lineRule="auto"/>
        <w:jc w:val="both"/>
        <w:rPr>
          <w:rFonts w:eastAsiaTheme="minorHAnsi"/>
          <w:vanish/>
          <w:lang w:eastAsia="en-US"/>
        </w:rPr>
      </w:pPr>
    </w:p>
    <w:p w:rsidR="00BA098E" w:rsidRDefault="00BA098E" w:rsidP="00BC31A6">
      <w:pPr>
        <w:pStyle w:val="ListParagraph"/>
        <w:numPr>
          <w:ilvl w:val="2"/>
          <w:numId w:val="46"/>
        </w:numPr>
        <w:tabs>
          <w:tab w:val="clear" w:pos="360"/>
        </w:tabs>
        <w:autoSpaceDE w:val="0"/>
        <w:autoSpaceDN w:val="0"/>
        <w:adjustRightInd w:val="0"/>
        <w:spacing w:line="360" w:lineRule="auto"/>
        <w:ind w:left="720" w:hanging="360"/>
        <w:jc w:val="both"/>
        <w:rPr>
          <w:rFonts w:eastAsiaTheme="minorHAnsi"/>
          <w:lang w:eastAsia="en-US"/>
        </w:rPr>
      </w:pPr>
      <w:r>
        <w:rPr>
          <w:rFonts w:eastAsiaTheme="minorHAnsi"/>
          <w:lang w:eastAsia="en-US"/>
        </w:rPr>
        <w:t>T</w:t>
      </w:r>
      <w:r w:rsidRPr="001135B0">
        <w:rPr>
          <w:rFonts w:eastAsiaTheme="minorHAnsi"/>
          <w:lang w:eastAsia="en-US"/>
        </w:rPr>
        <w:t xml:space="preserve">he scope of the emissions has been extended from combustion-process-only to include GHG emissions under the Kyoto framework comprising all </w:t>
      </w:r>
      <w:r w:rsidR="009301BD">
        <w:rPr>
          <w:rFonts w:eastAsiaTheme="minorHAnsi"/>
          <w:lang w:eastAsia="en-US"/>
        </w:rPr>
        <w:t xml:space="preserve">IPCC </w:t>
      </w:r>
      <w:r w:rsidRPr="001135B0">
        <w:rPr>
          <w:rFonts w:eastAsiaTheme="minorHAnsi"/>
          <w:lang w:eastAsia="en-US"/>
        </w:rPr>
        <w:t>energy sectors (including stationary energy and transport); industrial processes; solvent and other product use; agriculture; waste; and land use, land use change and forestry (LULUCF).</w:t>
      </w:r>
      <w:r w:rsidRPr="00A9738F">
        <w:rPr>
          <w:rFonts w:eastAsiaTheme="minorHAnsi"/>
          <w:vertAlign w:val="superscript"/>
          <w:lang w:eastAsia="en-US"/>
        </w:rPr>
        <w:footnoteReference w:id="10"/>
      </w:r>
      <w:r w:rsidRPr="001135B0">
        <w:rPr>
          <w:rFonts w:eastAsiaTheme="minorHAnsi"/>
          <w:lang w:eastAsia="en-US"/>
        </w:rPr>
        <w:t xml:space="preserve"> </w:t>
      </w:r>
    </w:p>
    <w:p w:rsidR="00BA098E" w:rsidRDefault="00555555" w:rsidP="00BC31A6">
      <w:pPr>
        <w:pStyle w:val="ListParagraph"/>
        <w:numPr>
          <w:ilvl w:val="2"/>
          <w:numId w:val="46"/>
        </w:numPr>
        <w:tabs>
          <w:tab w:val="clear" w:pos="360"/>
        </w:tabs>
        <w:autoSpaceDE w:val="0"/>
        <w:autoSpaceDN w:val="0"/>
        <w:adjustRightInd w:val="0"/>
        <w:spacing w:line="360" w:lineRule="auto"/>
        <w:ind w:left="720" w:hanging="360"/>
        <w:jc w:val="both"/>
        <w:rPr>
          <w:rFonts w:eastAsiaTheme="minorHAnsi"/>
          <w:lang w:eastAsia="en-US"/>
        </w:rPr>
      </w:pPr>
      <w:r>
        <w:rPr>
          <w:rFonts w:eastAsiaTheme="minorHAnsi"/>
          <w:lang w:eastAsia="en-US"/>
        </w:rPr>
        <w:t>It uses the Australian</w:t>
      </w:r>
      <w:r w:rsidR="00BA098E" w:rsidRPr="001135B0">
        <w:rPr>
          <w:rFonts w:eastAsiaTheme="minorHAnsi"/>
          <w:lang w:eastAsia="en-US"/>
        </w:rPr>
        <w:t xml:space="preserve"> Greenhouse</w:t>
      </w:r>
      <w:r>
        <w:rPr>
          <w:rFonts w:eastAsiaTheme="minorHAnsi"/>
          <w:lang w:eastAsia="en-US"/>
        </w:rPr>
        <w:t xml:space="preserve"> Emissions Inventory</w:t>
      </w:r>
      <w:r w:rsidR="00BA098E" w:rsidRPr="00A9738F">
        <w:rPr>
          <w:rFonts w:eastAsiaTheme="minorHAnsi"/>
          <w:vertAlign w:val="superscript"/>
          <w:lang w:eastAsia="en-US"/>
        </w:rPr>
        <w:footnoteReference w:id="11"/>
      </w:r>
      <w:r>
        <w:rPr>
          <w:rFonts w:eastAsiaTheme="minorHAnsi"/>
          <w:lang w:eastAsia="en-US"/>
        </w:rPr>
        <w:t xml:space="preserve"> as the primary data source</w:t>
      </w:r>
      <w:r w:rsidR="00BA098E" w:rsidRPr="001135B0">
        <w:rPr>
          <w:rFonts w:eastAsiaTheme="minorHAnsi"/>
          <w:lang w:eastAsia="en-US"/>
        </w:rPr>
        <w:t xml:space="preserve">. </w:t>
      </w:r>
      <w:r>
        <w:rPr>
          <w:rFonts w:eastAsiaTheme="minorHAnsi"/>
          <w:lang w:eastAsia="en-US"/>
        </w:rPr>
        <w:t xml:space="preserve">The previous study used an indirect approach that involved the application of emissions intensity factors to energy use data. </w:t>
      </w:r>
    </w:p>
    <w:p w:rsidR="00BA098E" w:rsidRDefault="00BA098E" w:rsidP="00BC31A6">
      <w:pPr>
        <w:pStyle w:val="ListParagraph"/>
        <w:numPr>
          <w:ilvl w:val="2"/>
          <w:numId w:val="46"/>
        </w:numPr>
        <w:tabs>
          <w:tab w:val="clear" w:pos="360"/>
        </w:tabs>
        <w:autoSpaceDE w:val="0"/>
        <w:autoSpaceDN w:val="0"/>
        <w:adjustRightInd w:val="0"/>
        <w:spacing w:line="360" w:lineRule="auto"/>
        <w:ind w:left="720" w:hanging="360"/>
        <w:jc w:val="both"/>
        <w:rPr>
          <w:rFonts w:eastAsiaTheme="minorHAnsi"/>
          <w:lang w:eastAsia="en-US"/>
        </w:rPr>
      </w:pPr>
      <w:r>
        <w:rPr>
          <w:rFonts w:eastAsiaTheme="minorHAnsi"/>
          <w:lang w:eastAsia="en-US"/>
        </w:rPr>
        <w:t>T</w:t>
      </w:r>
      <w:r w:rsidRPr="001135B0">
        <w:rPr>
          <w:rFonts w:eastAsiaTheme="minorHAnsi"/>
          <w:lang w:eastAsia="en-US"/>
        </w:rPr>
        <w:t xml:space="preserve">he transport and electricity </w:t>
      </w:r>
      <w:r w:rsidR="00555555">
        <w:rPr>
          <w:rFonts w:eastAsiaTheme="minorHAnsi"/>
          <w:lang w:eastAsia="en-US"/>
        </w:rPr>
        <w:t xml:space="preserve">activity based </w:t>
      </w:r>
      <w:r w:rsidRPr="001135B0">
        <w:rPr>
          <w:rFonts w:eastAsiaTheme="minorHAnsi"/>
          <w:lang w:eastAsia="en-US"/>
        </w:rPr>
        <w:t xml:space="preserve">data has been reallocated </w:t>
      </w:r>
      <w:r w:rsidR="00555555">
        <w:rPr>
          <w:rFonts w:eastAsiaTheme="minorHAnsi"/>
          <w:lang w:eastAsia="en-US"/>
        </w:rPr>
        <w:t>to an industry basis</w:t>
      </w:r>
      <w:r w:rsidRPr="001135B0">
        <w:rPr>
          <w:rFonts w:eastAsiaTheme="minorHAnsi"/>
          <w:lang w:eastAsia="en-US"/>
        </w:rPr>
        <w:t>.</w:t>
      </w:r>
      <w:r w:rsidRPr="00A9738F">
        <w:rPr>
          <w:rFonts w:eastAsiaTheme="minorHAnsi"/>
          <w:vertAlign w:val="superscript"/>
          <w:lang w:eastAsia="en-US"/>
        </w:rPr>
        <w:footnoteReference w:id="12"/>
      </w:r>
      <w:r w:rsidRPr="00A9738F">
        <w:rPr>
          <w:rFonts w:eastAsiaTheme="minorHAnsi"/>
          <w:vertAlign w:val="superscript"/>
          <w:lang w:eastAsia="en-US"/>
        </w:rPr>
        <w:t xml:space="preserve"> </w:t>
      </w:r>
    </w:p>
    <w:p w:rsidR="00BA098E" w:rsidRDefault="00BA098E" w:rsidP="00BC31A6">
      <w:pPr>
        <w:pStyle w:val="ListParagraph"/>
        <w:numPr>
          <w:ilvl w:val="2"/>
          <w:numId w:val="46"/>
        </w:numPr>
        <w:tabs>
          <w:tab w:val="clear" w:pos="360"/>
        </w:tabs>
        <w:autoSpaceDE w:val="0"/>
        <w:autoSpaceDN w:val="0"/>
        <w:adjustRightInd w:val="0"/>
        <w:spacing w:line="360" w:lineRule="auto"/>
        <w:ind w:left="720" w:hanging="360"/>
        <w:jc w:val="both"/>
        <w:rPr>
          <w:rFonts w:eastAsiaTheme="minorHAnsi"/>
          <w:lang w:eastAsia="en-US"/>
        </w:rPr>
      </w:pPr>
      <w:r>
        <w:rPr>
          <w:rFonts w:eastAsiaTheme="minorHAnsi"/>
          <w:lang w:eastAsia="en-US"/>
        </w:rPr>
        <w:t>I</w:t>
      </w:r>
      <w:r w:rsidRPr="001135B0">
        <w:rPr>
          <w:rFonts w:eastAsiaTheme="minorHAnsi"/>
          <w:lang w:eastAsia="en-US"/>
        </w:rPr>
        <w:t>n linking the emissions data, which consists of 40 sectors, with the</w:t>
      </w:r>
      <w:r w:rsidR="005B43B7">
        <w:rPr>
          <w:rFonts w:eastAsiaTheme="minorHAnsi"/>
          <w:lang w:eastAsia="en-US"/>
        </w:rPr>
        <w:t xml:space="preserve"> Australian</w:t>
      </w:r>
      <w:r w:rsidRPr="001135B0">
        <w:rPr>
          <w:rFonts w:eastAsiaTheme="minorHAnsi"/>
          <w:lang w:eastAsia="en-US"/>
        </w:rPr>
        <w:t xml:space="preserve"> IO matrix by 111 Input-Output Industry Group (IOIG)</w:t>
      </w:r>
      <w:r w:rsidRPr="00A9738F">
        <w:rPr>
          <w:rFonts w:eastAsiaTheme="minorHAnsi"/>
          <w:vertAlign w:val="superscript"/>
          <w:lang w:eastAsia="en-US"/>
        </w:rPr>
        <w:footnoteReference w:id="13"/>
      </w:r>
      <w:r w:rsidRPr="001135B0">
        <w:rPr>
          <w:rFonts w:eastAsiaTheme="minorHAnsi"/>
          <w:lang w:eastAsia="en-US"/>
        </w:rPr>
        <w:t xml:space="preserve">, this study adopts a </w:t>
      </w:r>
      <w:r w:rsidR="008E6060">
        <w:rPr>
          <w:rFonts w:eastAsiaTheme="minorHAnsi"/>
          <w:lang w:eastAsia="en-US"/>
        </w:rPr>
        <w:t xml:space="preserve">two-stage </w:t>
      </w:r>
      <w:r w:rsidRPr="001135B0">
        <w:rPr>
          <w:rFonts w:eastAsiaTheme="minorHAnsi"/>
          <w:lang w:eastAsia="en-US"/>
        </w:rPr>
        <w:t xml:space="preserve">four-factor dissection </w:t>
      </w:r>
      <w:r>
        <w:rPr>
          <w:rFonts w:eastAsiaTheme="minorHAnsi"/>
          <w:lang w:eastAsia="en-US"/>
        </w:rPr>
        <w:t>technique</w:t>
      </w:r>
      <w:r w:rsidRPr="00A9738F">
        <w:rPr>
          <w:rFonts w:eastAsiaTheme="minorHAnsi"/>
          <w:vertAlign w:val="superscript"/>
          <w:lang w:eastAsia="en-US"/>
        </w:rPr>
        <w:footnoteReference w:id="14"/>
      </w:r>
      <w:r w:rsidRPr="001135B0">
        <w:rPr>
          <w:rFonts w:eastAsiaTheme="minorHAnsi"/>
          <w:lang w:eastAsia="en-US"/>
        </w:rPr>
        <w:t xml:space="preserve">. </w:t>
      </w:r>
    </w:p>
    <w:p w:rsidR="00BA098E" w:rsidRPr="00BC31A6" w:rsidRDefault="00BA098E" w:rsidP="00BC31A6">
      <w:pPr>
        <w:pStyle w:val="ListParagraph"/>
        <w:numPr>
          <w:ilvl w:val="2"/>
          <w:numId w:val="46"/>
        </w:numPr>
        <w:tabs>
          <w:tab w:val="clear" w:pos="360"/>
        </w:tabs>
        <w:autoSpaceDE w:val="0"/>
        <w:autoSpaceDN w:val="0"/>
        <w:adjustRightInd w:val="0"/>
        <w:spacing w:line="360" w:lineRule="auto"/>
        <w:ind w:left="720" w:hanging="360"/>
        <w:jc w:val="both"/>
        <w:rPr>
          <w:rFonts w:eastAsiaTheme="minorHAnsi"/>
          <w:lang w:eastAsia="en-US"/>
        </w:rPr>
      </w:pPr>
      <w:r w:rsidRPr="00BC31A6">
        <w:rPr>
          <w:rFonts w:eastAsiaTheme="minorHAnsi"/>
          <w:lang w:eastAsia="en-US"/>
        </w:rPr>
        <w:t xml:space="preserve">The emissions </w:t>
      </w:r>
      <w:r w:rsidR="00D3791A" w:rsidRPr="00BC31A6">
        <w:rPr>
          <w:rFonts w:eastAsiaTheme="minorHAnsi"/>
          <w:lang w:eastAsia="en-US"/>
        </w:rPr>
        <w:t>data</w:t>
      </w:r>
      <w:r w:rsidRPr="00BC31A6">
        <w:rPr>
          <w:rFonts w:eastAsiaTheme="minorHAnsi"/>
          <w:lang w:eastAsia="en-US"/>
        </w:rPr>
        <w:t xml:space="preserve"> from the </w:t>
      </w:r>
      <w:r w:rsidR="00C45375" w:rsidRPr="00E94016">
        <w:rPr>
          <w:rFonts w:eastAsiaTheme="minorHAnsi"/>
          <w:i/>
          <w:lang w:eastAsia="en-US"/>
        </w:rPr>
        <w:t>National Greenhouse Inventory</w:t>
      </w:r>
      <w:r w:rsidR="00C45375">
        <w:rPr>
          <w:rFonts w:eastAsiaTheme="minorHAnsi"/>
          <w:lang w:eastAsia="en-US"/>
        </w:rPr>
        <w:t xml:space="preserve"> </w:t>
      </w:r>
      <w:r w:rsidR="00C45375" w:rsidRPr="00E94016">
        <w:rPr>
          <w:rFonts w:eastAsiaTheme="minorHAnsi"/>
          <w:i/>
          <w:lang w:eastAsia="en-US"/>
        </w:rPr>
        <w:t>by Economic Sector</w:t>
      </w:r>
      <w:r w:rsidR="00C45375" w:rsidRPr="00F75489">
        <w:rPr>
          <w:rFonts w:eastAsiaTheme="minorHAnsi"/>
          <w:lang w:eastAsia="en-US"/>
        </w:rPr>
        <w:t xml:space="preserve"> </w:t>
      </w:r>
      <w:r w:rsidR="00D3791A" w:rsidRPr="00BC31A6">
        <w:rPr>
          <w:rFonts w:eastAsiaTheme="minorHAnsi"/>
          <w:lang w:eastAsia="en-US"/>
        </w:rPr>
        <w:t>is</w:t>
      </w:r>
      <w:r w:rsidRPr="00BC31A6">
        <w:rPr>
          <w:rFonts w:eastAsiaTheme="minorHAnsi"/>
          <w:lang w:eastAsia="en-US"/>
        </w:rPr>
        <w:t xml:space="preserve"> adjusted </w:t>
      </w:r>
      <w:r w:rsidR="00D3791A" w:rsidRPr="00BC31A6">
        <w:rPr>
          <w:rFonts w:eastAsiaTheme="minorHAnsi"/>
          <w:lang w:eastAsia="en-US"/>
        </w:rPr>
        <w:t>to</w:t>
      </w:r>
      <w:r w:rsidRPr="00BC31A6">
        <w:rPr>
          <w:rFonts w:eastAsiaTheme="minorHAnsi"/>
          <w:lang w:eastAsia="en-US"/>
        </w:rPr>
        <w:t xml:space="preserve"> SEEA </w:t>
      </w:r>
      <w:r w:rsidR="00D3791A" w:rsidRPr="00BC31A6">
        <w:rPr>
          <w:rFonts w:eastAsiaTheme="minorHAnsi"/>
          <w:lang w:eastAsia="en-US"/>
        </w:rPr>
        <w:t>concepts</w:t>
      </w:r>
      <w:r w:rsidRPr="00BC31A6">
        <w:rPr>
          <w:rFonts w:eastAsiaTheme="minorHAnsi"/>
          <w:lang w:eastAsia="en-US"/>
        </w:rPr>
        <w:t xml:space="preserve">. Such transformation shifts the territorial-based dataset towards a resident-based dataset, which enables compatibility between the emissions data and </w:t>
      </w:r>
      <w:r w:rsidR="00D3791A" w:rsidRPr="00BC31A6">
        <w:rPr>
          <w:rFonts w:eastAsiaTheme="minorHAnsi"/>
          <w:lang w:eastAsia="en-US"/>
        </w:rPr>
        <w:t xml:space="preserve">the </w:t>
      </w:r>
      <w:r w:rsidRPr="00BC31A6">
        <w:rPr>
          <w:rFonts w:eastAsiaTheme="minorHAnsi"/>
          <w:lang w:eastAsia="en-US"/>
        </w:rPr>
        <w:t xml:space="preserve">economic </w:t>
      </w:r>
      <w:r w:rsidR="00D3791A" w:rsidRPr="00BC31A6">
        <w:rPr>
          <w:rFonts w:eastAsiaTheme="minorHAnsi"/>
          <w:lang w:eastAsia="en-US"/>
        </w:rPr>
        <w:t>data in the IO tables</w:t>
      </w:r>
      <w:r w:rsidRPr="00BC31A6">
        <w:rPr>
          <w:rFonts w:eastAsiaTheme="minorHAnsi"/>
          <w:lang w:eastAsia="en-US"/>
        </w:rPr>
        <w:t xml:space="preserve">. </w:t>
      </w:r>
    </w:p>
    <w:p w:rsidR="00BA098E" w:rsidRDefault="00BA098E" w:rsidP="00BA098E">
      <w:pPr>
        <w:autoSpaceDE w:val="0"/>
        <w:autoSpaceDN w:val="0"/>
        <w:adjustRightInd w:val="0"/>
        <w:spacing w:line="360" w:lineRule="auto"/>
        <w:jc w:val="both"/>
        <w:rPr>
          <w:rFonts w:ascii="TimesNewRoman" w:eastAsiaTheme="minorHAnsi" w:hAnsi="TimesNewRoman" w:cs="TimesNewRoman"/>
          <w:lang w:eastAsia="en-US"/>
        </w:rPr>
      </w:pPr>
    </w:p>
    <w:p w:rsidR="00C3622F" w:rsidRPr="00BC31A6" w:rsidRDefault="00C3622F" w:rsidP="00BC31A6">
      <w:pPr>
        <w:numPr>
          <w:ilvl w:val="1"/>
          <w:numId w:val="49"/>
        </w:numPr>
        <w:spacing w:line="360" w:lineRule="auto"/>
        <w:ind w:left="0" w:firstLine="0"/>
        <w:jc w:val="both"/>
        <w:rPr>
          <w:b/>
          <w:szCs w:val="28"/>
        </w:rPr>
      </w:pPr>
      <w:r w:rsidRPr="00BC31A6">
        <w:rPr>
          <w:b/>
          <w:szCs w:val="28"/>
        </w:rPr>
        <w:t xml:space="preserve"> SEEA adjustments </w:t>
      </w:r>
    </w:p>
    <w:p w:rsidR="005751A3" w:rsidRDefault="005751A3" w:rsidP="00D2247B">
      <w:pPr>
        <w:autoSpaceDE w:val="0"/>
        <w:autoSpaceDN w:val="0"/>
        <w:adjustRightInd w:val="0"/>
        <w:spacing w:line="360" w:lineRule="auto"/>
        <w:jc w:val="both"/>
        <w:rPr>
          <w:rFonts w:eastAsiaTheme="minorHAnsi"/>
          <w:lang w:eastAsia="en-US"/>
        </w:rPr>
      </w:pPr>
    </w:p>
    <w:p w:rsidR="0004150B" w:rsidRDefault="00BA098E" w:rsidP="00D2247B">
      <w:pPr>
        <w:autoSpaceDE w:val="0"/>
        <w:autoSpaceDN w:val="0"/>
        <w:adjustRightInd w:val="0"/>
        <w:spacing w:line="360" w:lineRule="auto"/>
        <w:jc w:val="both"/>
        <w:rPr>
          <w:rFonts w:eastAsiaTheme="minorHAnsi"/>
          <w:lang w:eastAsia="en-US"/>
        </w:rPr>
      </w:pPr>
      <w:r w:rsidRPr="001D0222">
        <w:rPr>
          <w:rFonts w:eastAsiaTheme="minorHAnsi"/>
          <w:lang w:eastAsia="en-US"/>
        </w:rPr>
        <w:t xml:space="preserve">In order to represent the emission information on a </w:t>
      </w:r>
      <w:r w:rsidR="000E76E1" w:rsidRPr="001D0222">
        <w:rPr>
          <w:rFonts w:eastAsiaTheme="minorHAnsi"/>
          <w:lang w:eastAsia="en-US"/>
        </w:rPr>
        <w:t xml:space="preserve">SEEA </w:t>
      </w:r>
      <w:r w:rsidRPr="001D0222">
        <w:rPr>
          <w:rFonts w:eastAsiaTheme="minorHAnsi"/>
          <w:lang w:eastAsia="en-US"/>
        </w:rPr>
        <w:t>basis</w:t>
      </w:r>
      <w:r w:rsidR="004C2C76" w:rsidRPr="001D0222">
        <w:rPr>
          <w:rFonts w:eastAsiaTheme="minorHAnsi"/>
          <w:lang w:eastAsia="en-US"/>
        </w:rPr>
        <w:t xml:space="preserve">, several adjustments </w:t>
      </w:r>
      <w:r w:rsidR="000E76E1" w:rsidRPr="001D0222">
        <w:rPr>
          <w:rFonts w:eastAsiaTheme="minorHAnsi"/>
          <w:lang w:eastAsia="en-US"/>
        </w:rPr>
        <w:t>to the Kyoto accounting data are required</w:t>
      </w:r>
      <w:r w:rsidR="004C2C76" w:rsidRPr="001D0222">
        <w:rPr>
          <w:rFonts w:eastAsiaTheme="minorHAnsi"/>
          <w:lang w:eastAsia="en-US"/>
        </w:rPr>
        <w:t>.</w:t>
      </w:r>
    </w:p>
    <w:p w:rsidR="005751A3" w:rsidRPr="001D0222" w:rsidRDefault="005751A3" w:rsidP="00D2247B">
      <w:pPr>
        <w:autoSpaceDE w:val="0"/>
        <w:autoSpaceDN w:val="0"/>
        <w:adjustRightInd w:val="0"/>
        <w:spacing w:line="360" w:lineRule="auto"/>
        <w:jc w:val="both"/>
        <w:rPr>
          <w:rFonts w:eastAsiaTheme="minorHAnsi"/>
          <w:lang w:eastAsia="en-US"/>
        </w:rPr>
      </w:pPr>
    </w:p>
    <w:p w:rsidR="00C3622F" w:rsidRPr="00C3622F" w:rsidRDefault="00C3622F" w:rsidP="00C3622F">
      <w:pPr>
        <w:pStyle w:val="ListParagraph"/>
        <w:numPr>
          <w:ilvl w:val="1"/>
          <w:numId w:val="46"/>
        </w:numPr>
        <w:autoSpaceDE w:val="0"/>
        <w:autoSpaceDN w:val="0"/>
        <w:adjustRightInd w:val="0"/>
        <w:spacing w:line="360" w:lineRule="auto"/>
        <w:jc w:val="both"/>
        <w:rPr>
          <w:rFonts w:ascii="TimesNewRoman" w:eastAsiaTheme="minorHAnsi" w:hAnsi="TimesNewRoman" w:cs="TimesNewRoman"/>
          <w:vanish/>
          <w:lang w:eastAsia="en-US"/>
        </w:rPr>
      </w:pPr>
    </w:p>
    <w:p w:rsidR="00A9738F" w:rsidRDefault="00BA098E" w:rsidP="00BC31A6">
      <w:pPr>
        <w:pStyle w:val="ListParagraph"/>
        <w:numPr>
          <w:ilvl w:val="2"/>
          <w:numId w:val="46"/>
        </w:numPr>
        <w:tabs>
          <w:tab w:val="clear" w:pos="360"/>
        </w:tabs>
        <w:autoSpaceDE w:val="0"/>
        <w:autoSpaceDN w:val="0"/>
        <w:adjustRightInd w:val="0"/>
        <w:spacing w:line="360" w:lineRule="auto"/>
        <w:ind w:left="720" w:hanging="360"/>
        <w:jc w:val="both"/>
        <w:rPr>
          <w:rFonts w:eastAsiaTheme="minorHAnsi"/>
          <w:lang w:eastAsia="en-US"/>
        </w:rPr>
      </w:pPr>
      <w:r w:rsidRPr="001D0222">
        <w:rPr>
          <w:rFonts w:eastAsiaTheme="minorHAnsi"/>
          <w:lang w:eastAsia="en-US"/>
        </w:rPr>
        <w:t xml:space="preserve">The first adjustment is the </w:t>
      </w:r>
      <w:r w:rsidR="00D27B99">
        <w:rPr>
          <w:rFonts w:eastAsiaTheme="minorHAnsi"/>
          <w:lang w:eastAsia="en-US"/>
        </w:rPr>
        <w:t>travellers</w:t>
      </w:r>
      <w:r w:rsidR="00350EDC" w:rsidRPr="001D0222">
        <w:rPr>
          <w:rFonts w:eastAsiaTheme="minorHAnsi"/>
          <w:lang w:eastAsia="en-US"/>
        </w:rPr>
        <w:t xml:space="preserve"> abroad </w:t>
      </w:r>
      <w:r w:rsidRPr="001D0222">
        <w:rPr>
          <w:rFonts w:eastAsiaTheme="minorHAnsi"/>
          <w:lang w:eastAsia="en-US"/>
        </w:rPr>
        <w:t xml:space="preserve">adjustment based on the Tourism </w:t>
      </w:r>
    </w:p>
    <w:p w:rsidR="00BA098E" w:rsidRPr="001D0222" w:rsidRDefault="00BA098E" w:rsidP="00A9738F">
      <w:pPr>
        <w:pStyle w:val="ListParagraph"/>
        <w:autoSpaceDE w:val="0"/>
        <w:autoSpaceDN w:val="0"/>
        <w:adjustRightInd w:val="0"/>
        <w:spacing w:line="360" w:lineRule="auto"/>
        <w:jc w:val="both"/>
        <w:rPr>
          <w:rFonts w:eastAsiaTheme="minorHAnsi"/>
          <w:lang w:eastAsia="en-US"/>
        </w:rPr>
      </w:pPr>
      <w:r w:rsidRPr="001D0222">
        <w:rPr>
          <w:rFonts w:eastAsiaTheme="minorHAnsi"/>
          <w:lang w:eastAsia="en-US"/>
        </w:rPr>
        <w:lastRenderedPageBreak/>
        <w:t>Satellite Account</w:t>
      </w:r>
      <w:r w:rsidRPr="00A9738F">
        <w:rPr>
          <w:rFonts w:eastAsiaTheme="minorHAnsi"/>
          <w:vertAlign w:val="superscript"/>
          <w:lang w:eastAsia="en-US"/>
        </w:rPr>
        <w:footnoteReference w:id="15"/>
      </w:r>
      <w:r w:rsidRPr="001D0222">
        <w:rPr>
          <w:rFonts w:eastAsiaTheme="minorHAnsi"/>
          <w:lang w:eastAsia="en-US"/>
        </w:rPr>
        <w:t xml:space="preserve"> where the</w:t>
      </w:r>
      <w:r w:rsidR="00350EDC" w:rsidRPr="001D0222">
        <w:rPr>
          <w:rFonts w:eastAsiaTheme="minorHAnsi"/>
          <w:lang w:eastAsia="en-US"/>
        </w:rPr>
        <w:t xml:space="preserve"> direct</w:t>
      </w:r>
      <w:r w:rsidRPr="001D0222">
        <w:rPr>
          <w:rFonts w:eastAsiaTheme="minorHAnsi"/>
          <w:lang w:eastAsia="en-US"/>
        </w:rPr>
        <w:t xml:space="preserve"> emissions related to road transport activities by residents abroad are added</w:t>
      </w:r>
      <w:r w:rsidR="00350EDC" w:rsidRPr="001D0222">
        <w:rPr>
          <w:rFonts w:eastAsiaTheme="minorHAnsi"/>
          <w:lang w:eastAsia="en-US"/>
        </w:rPr>
        <w:t xml:space="preserve"> and</w:t>
      </w:r>
      <w:r w:rsidRPr="001D0222">
        <w:rPr>
          <w:rFonts w:eastAsiaTheme="minorHAnsi"/>
          <w:lang w:eastAsia="en-US"/>
        </w:rPr>
        <w:t xml:space="preserve"> the emissions related to non-residents within Australian territory are subtracted.</w:t>
      </w:r>
      <w:r w:rsidR="00254A98">
        <w:rPr>
          <w:rFonts w:eastAsiaTheme="minorHAnsi"/>
          <w:lang w:eastAsia="en-US"/>
        </w:rPr>
        <w:t xml:space="preserve"> Due to the net effect, the result is marginal for the reference year.</w:t>
      </w:r>
    </w:p>
    <w:p w:rsidR="00BA098E" w:rsidRPr="001D0222" w:rsidRDefault="00D3791A" w:rsidP="00BC31A6">
      <w:pPr>
        <w:pStyle w:val="ListParagraph"/>
        <w:numPr>
          <w:ilvl w:val="2"/>
          <w:numId w:val="46"/>
        </w:numPr>
        <w:tabs>
          <w:tab w:val="clear" w:pos="360"/>
        </w:tabs>
        <w:autoSpaceDE w:val="0"/>
        <w:autoSpaceDN w:val="0"/>
        <w:adjustRightInd w:val="0"/>
        <w:spacing w:line="360" w:lineRule="auto"/>
        <w:ind w:left="720" w:hanging="360"/>
        <w:jc w:val="both"/>
        <w:rPr>
          <w:rFonts w:eastAsiaTheme="minorHAnsi"/>
          <w:lang w:eastAsia="en-US"/>
        </w:rPr>
      </w:pPr>
      <w:r w:rsidRPr="001D0222">
        <w:rPr>
          <w:rFonts w:eastAsiaTheme="minorHAnsi"/>
          <w:lang w:eastAsia="en-US"/>
        </w:rPr>
        <w:t>I</w:t>
      </w:r>
      <w:r w:rsidR="00BA098E" w:rsidRPr="001D0222">
        <w:rPr>
          <w:rFonts w:eastAsiaTheme="minorHAnsi"/>
          <w:lang w:eastAsia="en-US"/>
        </w:rPr>
        <w:t>nternational bunkering</w:t>
      </w:r>
      <w:r w:rsidR="00BA098E" w:rsidRPr="00A9738F">
        <w:rPr>
          <w:rFonts w:eastAsiaTheme="minorHAnsi"/>
          <w:vertAlign w:val="superscript"/>
          <w:lang w:eastAsia="en-US"/>
        </w:rPr>
        <w:footnoteReference w:id="16"/>
      </w:r>
      <w:r w:rsidR="00BA098E" w:rsidRPr="001D0222">
        <w:rPr>
          <w:rFonts w:eastAsiaTheme="minorHAnsi"/>
          <w:lang w:eastAsia="en-US"/>
        </w:rPr>
        <w:t xml:space="preserve"> and </w:t>
      </w:r>
      <m:oMath>
        <m:sSub>
          <m:sSubPr>
            <m:ctrlPr>
              <w:rPr>
                <w:rFonts w:ascii="Cambria Math" w:eastAsiaTheme="minorHAnsi" w:hAnsi="Cambria Math"/>
                <w:lang w:eastAsia="en-US"/>
              </w:rPr>
            </m:ctrlPr>
          </m:sSubPr>
          <m:e>
            <m:r>
              <m:rPr>
                <m:sty m:val="p"/>
              </m:rPr>
              <w:rPr>
                <w:rFonts w:ascii="Cambria Math" w:eastAsiaTheme="minorHAnsi" w:hAnsi="Cambria Math"/>
                <w:lang w:eastAsia="en-US"/>
              </w:rPr>
              <m:t>CO</m:t>
            </m:r>
          </m:e>
          <m:sub>
            <m:r>
              <m:rPr>
                <m:sty m:val="p"/>
              </m:rPr>
              <w:rPr>
                <w:rFonts w:ascii="Cambria Math" w:eastAsiaTheme="minorHAnsi" w:hAnsi="Cambria Math"/>
                <w:lang w:eastAsia="en-US"/>
              </w:rPr>
              <m:t>2</m:t>
            </m:r>
          </m:sub>
        </m:sSub>
      </m:oMath>
      <w:r w:rsidR="0078606F">
        <w:rPr>
          <w:rFonts w:eastAsiaTheme="minorHAnsi"/>
          <w:lang w:eastAsia="en-US"/>
        </w:rPr>
        <w:t xml:space="preserve"> </w:t>
      </w:r>
      <w:r w:rsidR="00254A98">
        <w:rPr>
          <w:rStyle w:val="FootnoteReference"/>
          <w:rFonts w:eastAsiaTheme="minorHAnsi"/>
          <w:lang w:eastAsia="en-US"/>
        </w:rPr>
        <w:footnoteReference w:id="17"/>
      </w:r>
      <w:r w:rsidR="0078606F">
        <w:rPr>
          <w:rFonts w:eastAsiaTheme="minorHAnsi"/>
          <w:lang w:eastAsia="en-US"/>
        </w:rPr>
        <w:t>e</w:t>
      </w:r>
      <w:r w:rsidR="00BA098E" w:rsidRPr="001D0222">
        <w:rPr>
          <w:rFonts w:eastAsiaTheme="minorHAnsi"/>
          <w:lang w:eastAsia="en-US"/>
        </w:rPr>
        <w:t>missions from burning of biomass are added</w:t>
      </w:r>
      <w:r w:rsidRPr="001D0222">
        <w:rPr>
          <w:rFonts w:eastAsiaTheme="minorHAnsi"/>
          <w:lang w:eastAsia="en-US"/>
        </w:rPr>
        <w:t>.</w:t>
      </w:r>
      <w:r w:rsidR="00BA098E" w:rsidRPr="001D0222">
        <w:rPr>
          <w:rFonts w:eastAsiaTheme="minorHAnsi"/>
          <w:lang w:eastAsia="en-US"/>
        </w:rPr>
        <w:t xml:space="preserve"> </w:t>
      </w:r>
      <w:r w:rsidR="0070468D" w:rsidRPr="001D0222">
        <w:rPr>
          <w:rFonts w:eastAsiaTheme="minorHAnsi"/>
          <w:lang w:eastAsia="en-US"/>
        </w:rPr>
        <w:t xml:space="preserve">The data are taken from the UNFCCC memo items data from the DCCEE. </w:t>
      </w:r>
    </w:p>
    <w:p w:rsidR="00BA098E" w:rsidRPr="001D0222" w:rsidRDefault="00BA098E" w:rsidP="00BC31A6">
      <w:pPr>
        <w:pStyle w:val="ListParagraph"/>
        <w:numPr>
          <w:ilvl w:val="2"/>
          <w:numId w:val="46"/>
        </w:numPr>
        <w:tabs>
          <w:tab w:val="clear" w:pos="360"/>
        </w:tabs>
        <w:autoSpaceDE w:val="0"/>
        <w:autoSpaceDN w:val="0"/>
        <w:adjustRightInd w:val="0"/>
        <w:spacing w:line="360" w:lineRule="auto"/>
        <w:ind w:left="720" w:hanging="360"/>
        <w:jc w:val="both"/>
        <w:rPr>
          <w:rFonts w:eastAsiaTheme="minorHAnsi"/>
          <w:lang w:eastAsia="en-US"/>
        </w:rPr>
      </w:pPr>
      <w:r w:rsidRPr="001D0222">
        <w:rPr>
          <w:rFonts w:eastAsiaTheme="minorHAnsi"/>
          <w:lang w:eastAsia="en-US"/>
        </w:rPr>
        <w:t>The “Carbon Dioxide Equivalent E</w:t>
      </w:r>
      <w:r w:rsidR="0078606F">
        <w:rPr>
          <w:rFonts w:eastAsiaTheme="minorHAnsi"/>
          <w:lang w:eastAsia="en-US"/>
        </w:rPr>
        <w:t>missions sink” associated with a</w:t>
      </w:r>
      <w:r w:rsidRPr="001D0222">
        <w:rPr>
          <w:rFonts w:eastAsiaTheme="minorHAnsi"/>
          <w:lang w:eastAsia="en-US"/>
        </w:rPr>
        <w:t>fforestation an</w:t>
      </w:r>
      <w:r w:rsidR="00D27B99">
        <w:rPr>
          <w:rFonts w:eastAsiaTheme="minorHAnsi"/>
          <w:lang w:eastAsia="en-US"/>
        </w:rPr>
        <w:t xml:space="preserve">d reforestation (-23081.08 </w:t>
      </w:r>
      <w:proofErr w:type="spellStart"/>
      <w:r w:rsidR="00D27B99">
        <w:rPr>
          <w:rFonts w:eastAsiaTheme="minorHAnsi"/>
          <w:lang w:eastAsia="en-US"/>
        </w:rPr>
        <w:t>kilo</w:t>
      </w:r>
      <w:r w:rsidRPr="001D0222">
        <w:rPr>
          <w:rFonts w:eastAsiaTheme="minorHAnsi"/>
          <w:lang w:eastAsia="en-US"/>
        </w:rPr>
        <w:t>tonne</w:t>
      </w:r>
      <w:proofErr w:type="spellEnd"/>
      <w:r w:rsidRPr="001D0222">
        <w:rPr>
          <w:rFonts w:eastAsiaTheme="minorHAnsi"/>
          <w:lang w:eastAsia="en-US"/>
        </w:rPr>
        <w:t xml:space="preserve"> for the year 2007-08)</w:t>
      </w:r>
      <w:r w:rsidR="0070468D" w:rsidRPr="001D0222">
        <w:rPr>
          <w:rFonts w:eastAsiaTheme="minorHAnsi"/>
          <w:lang w:eastAsia="en-US"/>
        </w:rPr>
        <w:t xml:space="preserve"> in the Kyoto data</w:t>
      </w:r>
      <w:r w:rsidRPr="001D0222">
        <w:rPr>
          <w:rFonts w:eastAsiaTheme="minorHAnsi"/>
          <w:lang w:eastAsia="en-US"/>
        </w:rPr>
        <w:t xml:space="preserve"> is reversed</w:t>
      </w:r>
      <w:r w:rsidR="00350EDC" w:rsidRPr="001D0222">
        <w:rPr>
          <w:rFonts w:eastAsiaTheme="minorHAnsi"/>
          <w:lang w:eastAsia="en-US"/>
        </w:rPr>
        <w:t>.</w:t>
      </w:r>
      <w:r w:rsidRPr="001D0222">
        <w:rPr>
          <w:rFonts w:eastAsiaTheme="minorHAnsi"/>
          <w:lang w:eastAsia="en-US"/>
        </w:rPr>
        <w:t xml:space="preserve"> </w:t>
      </w:r>
      <w:r w:rsidR="00350EDC" w:rsidRPr="001D0222">
        <w:rPr>
          <w:rFonts w:eastAsiaTheme="minorHAnsi"/>
          <w:lang w:eastAsia="en-US"/>
        </w:rPr>
        <w:t>Air emissions accounting does not allow for carbon offsets.</w:t>
      </w:r>
      <w:r w:rsidRPr="001D0222">
        <w:rPr>
          <w:rFonts w:eastAsiaTheme="minorHAnsi"/>
          <w:lang w:eastAsia="en-US"/>
        </w:rPr>
        <w:t xml:space="preserve"> SEEA stipulates that capture or embodiment of gases by </w:t>
      </w:r>
      <w:r w:rsidR="00D3791A" w:rsidRPr="001D0222">
        <w:rPr>
          <w:rFonts w:eastAsiaTheme="minorHAnsi"/>
          <w:lang w:eastAsia="en-US"/>
        </w:rPr>
        <w:t xml:space="preserve">plants </w:t>
      </w:r>
      <w:r w:rsidR="0070468D" w:rsidRPr="001D0222">
        <w:rPr>
          <w:rFonts w:eastAsiaTheme="minorHAnsi"/>
          <w:lang w:eastAsia="en-US"/>
        </w:rPr>
        <w:t xml:space="preserve">or other sinks </w:t>
      </w:r>
      <w:r w:rsidR="00D3791A" w:rsidRPr="001D0222">
        <w:rPr>
          <w:rFonts w:eastAsiaTheme="minorHAnsi"/>
          <w:lang w:eastAsia="en-US"/>
        </w:rPr>
        <w:t>should</w:t>
      </w:r>
      <w:r w:rsidRPr="001D0222">
        <w:rPr>
          <w:rFonts w:eastAsiaTheme="minorHAnsi"/>
          <w:lang w:eastAsia="en-US"/>
        </w:rPr>
        <w:t xml:space="preserve"> not be </w:t>
      </w:r>
      <w:r w:rsidR="00D3791A" w:rsidRPr="001D0222">
        <w:rPr>
          <w:rFonts w:eastAsiaTheme="minorHAnsi"/>
          <w:lang w:eastAsia="en-US"/>
        </w:rPr>
        <w:t>included in the</w:t>
      </w:r>
      <w:r w:rsidR="0070468D" w:rsidRPr="001D0222">
        <w:rPr>
          <w:rFonts w:eastAsiaTheme="minorHAnsi"/>
          <w:lang w:eastAsia="en-US"/>
        </w:rPr>
        <w:t xml:space="preserve"> air</w:t>
      </w:r>
      <w:r w:rsidRPr="001D0222">
        <w:rPr>
          <w:rFonts w:eastAsiaTheme="minorHAnsi"/>
          <w:lang w:eastAsia="en-US"/>
        </w:rPr>
        <w:t xml:space="preserve"> emission</w:t>
      </w:r>
      <w:r w:rsidR="00D3791A" w:rsidRPr="001D0222">
        <w:rPr>
          <w:rFonts w:eastAsiaTheme="minorHAnsi"/>
          <w:lang w:eastAsia="en-US"/>
        </w:rPr>
        <w:t>s</w:t>
      </w:r>
      <w:r w:rsidRPr="001D0222">
        <w:rPr>
          <w:rFonts w:eastAsiaTheme="minorHAnsi"/>
          <w:lang w:eastAsia="en-US"/>
        </w:rPr>
        <w:t xml:space="preserve"> account.</w:t>
      </w:r>
    </w:p>
    <w:p w:rsidR="00BA098E" w:rsidRPr="001D0222" w:rsidRDefault="00BA098E" w:rsidP="00BC31A6">
      <w:pPr>
        <w:pStyle w:val="ListParagraph"/>
        <w:numPr>
          <w:ilvl w:val="2"/>
          <w:numId w:val="46"/>
        </w:numPr>
        <w:tabs>
          <w:tab w:val="clear" w:pos="360"/>
        </w:tabs>
        <w:autoSpaceDE w:val="0"/>
        <w:autoSpaceDN w:val="0"/>
        <w:adjustRightInd w:val="0"/>
        <w:spacing w:line="360" w:lineRule="auto"/>
        <w:ind w:left="720" w:hanging="360"/>
        <w:jc w:val="both"/>
        <w:rPr>
          <w:rFonts w:eastAsiaTheme="minorHAnsi"/>
          <w:lang w:eastAsia="en-US"/>
        </w:rPr>
      </w:pPr>
      <w:r w:rsidRPr="001D0222">
        <w:rPr>
          <w:rFonts w:eastAsiaTheme="minorHAnsi"/>
          <w:lang w:eastAsia="en-US"/>
        </w:rPr>
        <w:t xml:space="preserve">The electricity emissions data </w:t>
      </w:r>
      <w:r w:rsidR="00EC3777" w:rsidRPr="001D0222">
        <w:rPr>
          <w:rFonts w:eastAsiaTheme="minorHAnsi"/>
          <w:lang w:eastAsia="en-US"/>
        </w:rPr>
        <w:t xml:space="preserve">are </w:t>
      </w:r>
      <w:r w:rsidRPr="001D0222">
        <w:rPr>
          <w:rFonts w:eastAsiaTheme="minorHAnsi"/>
          <w:lang w:eastAsia="en-US"/>
        </w:rPr>
        <w:t xml:space="preserve">reallocated from </w:t>
      </w:r>
      <w:r w:rsidR="00EC3777" w:rsidRPr="001D0222">
        <w:rPr>
          <w:rFonts w:eastAsiaTheme="minorHAnsi"/>
          <w:lang w:eastAsia="en-US"/>
        </w:rPr>
        <w:t xml:space="preserve">an </w:t>
      </w:r>
      <w:r w:rsidRPr="001D0222">
        <w:rPr>
          <w:rFonts w:eastAsiaTheme="minorHAnsi"/>
          <w:lang w:eastAsia="en-US"/>
        </w:rPr>
        <w:t>activity-</w:t>
      </w:r>
      <w:r w:rsidR="00EC3777" w:rsidRPr="001D0222">
        <w:rPr>
          <w:rFonts w:eastAsiaTheme="minorHAnsi"/>
          <w:lang w:eastAsia="en-US"/>
        </w:rPr>
        <w:t xml:space="preserve">basis </w:t>
      </w:r>
      <w:r w:rsidRPr="001D0222">
        <w:rPr>
          <w:rFonts w:eastAsiaTheme="minorHAnsi"/>
          <w:lang w:eastAsia="en-US"/>
        </w:rPr>
        <w:t xml:space="preserve">to </w:t>
      </w:r>
      <w:r w:rsidR="00EC3777" w:rsidRPr="001D0222">
        <w:rPr>
          <w:rFonts w:eastAsiaTheme="minorHAnsi"/>
          <w:lang w:eastAsia="en-US"/>
        </w:rPr>
        <w:t>a standard industry classification basis</w:t>
      </w:r>
      <w:r w:rsidRPr="001D0222">
        <w:rPr>
          <w:rFonts w:eastAsiaTheme="minorHAnsi"/>
          <w:lang w:eastAsia="en-US"/>
        </w:rPr>
        <w:t xml:space="preserve">. For example, the self-generated electricity </w:t>
      </w:r>
      <w:r w:rsidR="0070468D" w:rsidRPr="001D0222">
        <w:rPr>
          <w:rFonts w:eastAsiaTheme="minorHAnsi"/>
          <w:lang w:eastAsia="en-US"/>
        </w:rPr>
        <w:t>by an enterprise in the manufacturing industry</w:t>
      </w:r>
      <w:r w:rsidRPr="001D0222">
        <w:rPr>
          <w:rFonts w:eastAsiaTheme="minorHAnsi"/>
          <w:lang w:eastAsia="en-US"/>
        </w:rPr>
        <w:t xml:space="preserve"> is </w:t>
      </w:r>
      <w:r w:rsidR="00EC3777" w:rsidRPr="001D0222">
        <w:rPr>
          <w:rFonts w:eastAsiaTheme="minorHAnsi"/>
          <w:lang w:eastAsia="en-US"/>
        </w:rPr>
        <w:t>included in</w:t>
      </w:r>
      <w:r w:rsidRPr="001D0222">
        <w:rPr>
          <w:rFonts w:eastAsiaTheme="minorHAnsi"/>
          <w:lang w:eastAsia="en-US"/>
        </w:rPr>
        <w:t xml:space="preserve"> the </w:t>
      </w:r>
      <w:r w:rsidR="002F0FD1" w:rsidRPr="001D0222">
        <w:rPr>
          <w:rFonts w:eastAsiaTheme="minorHAnsi"/>
          <w:lang w:eastAsia="en-US"/>
        </w:rPr>
        <w:t>manufacturing</w:t>
      </w:r>
      <w:r w:rsidR="0070468D" w:rsidRPr="001D0222">
        <w:rPr>
          <w:rFonts w:eastAsiaTheme="minorHAnsi"/>
          <w:lang w:eastAsia="en-US"/>
        </w:rPr>
        <w:t xml:space="preserve"> industry, not the </w:t>
      </w:r>
      <w:r w:rsidRPr="001D0222">
        <w:rPr>
          <w:rFonts w:eastAsiaTheme="minorHAnsi"/>
          <w:lang w:eastAsia="en-US"/>
        </w:rPr>
        <w:t>electricity</w:t>
      </w:r>
      <w:r w:rsidR="00D27B99">
        <w:rPr>
          <w:rFonts w:eastAsiaTheme="minorHAnsi"/>
          <w:lang w:eastAsia="en-US"/>
        </w:rPr>
        <w:t xml:space="preserve">-generation </w:t>
      </w:r>
      <w:r w:rsidR="00D27B99" w:rsidRPr="001D0222">
        <w:rPr>
          <w:rFonts w:eastAsiaTheme="minorHAnsi"/>
          <w:lang w:eastAsia="en-US"/>
        </w:rPr>
        <w:t>industry</w:t>
      </w:r>
      <w:r w:rsidRPr="001D0222">
        <w:rPr>
          <w:rFonts w:eastAsiaTheme="minorHAnsi"/>
          <w:lang w:eastAsia="en-US"/>
        </w:rPr>
        <w:t xml:space="preserve">. This </w:t>
      </w:r>
      <w:r w:rsidR="00EC3777" w:rsidRPr="001D0222">
        <w:rPr>
          <w:rFonts w:eastAsiaTheme="minorHAnsi"/>
          <w:lang w:eastAsia="en-US"/>
        </w:rPr>
        <w:t>ensure</w:t>
      </w:r>
      <w:r w:rsidR="0070468D" w:rsidRPr="001D0222">
        <w:rPr>
          <w:rFonts w:eastAsiaTheme="minorHAnsi"/>
          <w:lang w:eastAsia="en-US"/>
        </w:rPr>
        <w:t>s</w:t>
      </w:r>
      <w:r w:rsidR="00EC3777" w:rsidRPr="001D0222">
        <w:rPr>
          <w:rFonts w:eastAsiaTheme="minorHAnsi"/>
          <w:lang w:eastAsia="en-US"/>
        </w:rPr>
        <w:t xml:space="preserve"> compatibility with the IO table</w:t>
      </w:r>
      <w:r w:rsidRPr="001D0222">
        <w:rPr>
          <w:rFonts w:eastAsiaTheme="minorHAnsi"/>
          <w:lang w:eastAsia="en-US"/>
        </w:rPr>
        <w:t xml:space="preserve">. This reallocation is facilitated by the ABS Energy, Water and Environment Management </w:t>
      </w:r>
      <w:r w:rsidR="0051140A" w:rsidRPr="001D0222">
        <w:rPr>
          <w:rFonts w:eastAsiaTheme="minorHAnsi"/>
          <w:lang w:eastAsia="en-US"/>
        </w:rPr>
        <w:t>S</w:t>
      </w:r>
      <w:r w:rsidRPr="001D0222">
        <w:rPr>
          <w:rFonts w:eastAsiaTheme="minorHAnsi"/>
          <w:lang w:eastAsia="en-US"/>
        </w:rPr>
        <w:t>urvey (EWE) survey</w:t>
      </w:r>
      <w:r w:rsidRPr="00A9738F">
        <w:rPr>
          <w:rFonts w:eastAsiaTheme="minorHAnsi"/>
          <w:vertAlign w:val="superscript"/>
          <w:lang w:eastAsia="en-US"/>
        </w:rPr>
        <w:footnoteReference w:id="18"/>
      </w:r>
      <w:r w:rsidRPr="001D0222">
        <w:rPr>
          <w:rFonts w:eastAsiaTheme="minorHAnsi"/>
          <w:lang w:eastAsia="en-US"/>
        </w:rPr>
        <w:t xml:space="preserve">. The difference between the EWES energy consumption and the </w:t>
      </w:r>
      <w:r w:rsidR="00EC3777" w:rsidRPr="001D0222">
        <w:rPr>
          <w:rFonts w:eastAsiaTheme="minorHAnsi"/>
          <w:lang w:eastAsia="en-US"/>
        </w:rPr>
        <w:t xml:space="preserve">activity based </w:t>
      </w:r>
      <w:r w:rsidRPr="001D0222">
        <w:rPr>
          <w:rFonts w:eastAsiaTheme="minorHAnsi"/>
          <w:lang w:eastAsia="en-US"/>
        </w:rPr>
        <w:t>energy consumption</w:t>
      </w:r>
      <w:r w:rsidR="00EC3777" w:rsidRPr="001D0222">
        <w:rPr>
          <w:rFonts w:eastAsiaTheme="minorHAnsi"/>
          <w:lang w:eastAsia="en-US"/>
        </w:rPr>
        <w:t xml:space="preserve"> data</w:t>
      </w:r>
      <w:r w:rsidRPr="001D0222">
        <w:rPr>
          <w:rFonts w:eastAsiaTheme="minorHAnsi"/>
          <w:lang w:eastAsia="en-US"/>
        </w:rPr>
        <w:t xml:space="preserve"> are transformed into emission </w:t>
      </w:r>
      <w:r w:rsidR="0062321A">
        <w:rPr>
          <w:rFonts w:eastAsiaTheme="minorHAnsi"/>
          <w:lang w:eastAsia="en-US"/>
        </w:rPr>
        <w:t>estimate</w:t>
      </w:r>
      <w:r w:rsidRPr="001D0222">
        <w:rPr>
          <w:rFonts w:eastAsiaTheme="minorHAnsi"/>
          <w:lang w:eastAsia="en-US"/>
        </w:rPr>
        <w:t xml:space="preserve">s via weighted emission conversion factors. Heterogeneous electricity production processes are incorporated when calculating the </w:t>
      </w:r>
      <w:r w:rsidR="00DB5486">
        <w:rPr>
          <w:rFonts w:eastAsiaTheme="minorHAnsi"/>
          <w:lang w:eastAsia="en-US"/>
        </w:rPr>
        <w:t>industry emissions estimate</w:t>
      </w:r>
      <w:r w:rsidRPr="001D0222">
        <w:rPr>
          <w:rFonts w:eastAsiaTheme="minorHAnsi"/>
          <w:lang w:eastAsia="en-US"/>
        </w:rPr>
        <w:t xml:space="preserve">. For example, the emissions from the burning of bagasse (residue of sugar cane production) are associated with the sugar cane industry. </w:t>
      </w:r>
    </w:p>
    <w:p w:rsidR="00BA098E" w:rsidRDefault="00BA098E" w:rsidP="00BA098E">
      <w:pPr>
        <w:autoSpaceDE w:val="0"/>
        <w:autoSpaceDN w:val="0"/>
        <w:adjustRightInd w:val="0"/>
        <w:spacing w:line="360" w:lineRule="auto"/>
        <w:jc w:val="both"/>
        <w:rPr>
          <w:rFonts w:eastAsiaTheme="minorHAnsi"/>
          <w:lang w:eastAsia="en-US"/>
        </w:rPr>
      </w:pPr>
    </w:p>
    <w:p w:rsidR="000F3BCA" w:rsidRPr="001D0222" w:rsidRDefault="00BA098E" w:rsidP="00BA098E">
      <w:pPr>
        <w:autoSpaceDE w:val="0"/>
        <w:autoSpaceDN w:val="0"/>
        <w:adjustRightInd w:val="0"/>
        <w:spacing w:line="360" w:lineRule="auto"/>
        <w:jc w:val="both"/>
        <w:rPr>
          <w:rFonts w:eastAsiaTheme="minorHAnsi"/>
          <w:lang w:eastAsia="en-US"/>
        </w:rPr>
      </w:pPr>
      <w:r>
        <w:rPr>
          <w:rFonts w:eastAsiaTheme="minorHAnsi"/>
          <w:lang w:eastAsia="en-US"/>
        </w:rPr>
        <w:t>As a result, the total SE</w:t>
      </w:r>
      <w:r w:rsidR="0078606F">
        <w:rPr>
          <w:rFonts w:eastAsiaTheme="minorHAnsi"/>
          <w:lang w:eastAsia="en-US"/>
        </w:rPr>
        <w:t>EA adjustment</w:t>
      </w:r>
      <w:r w:rsidR="00F11B86">
        <w:rPr>
          <w:rFonts w:eastAsiaTheme="minorHAnsi"/>
          <w:lang w:eastAsia="en-US"/>
        </w:rPr>
        <w:t>s</w:t>
      </w:r>
      <w:r w:rsidR="0078606F">
        <w:rPr>
          <w:rFonts w:eastAsiaTheme="minorHAnsi"/>
          <w:lang w:eastAsia="en-US"/>
        </w:rPr>
        <w:t xml:space="preserve"> comprise 19 </w:t>
      </w:r>
      <w:proofErr w:type="spellStart"/>
      <w:r w:rsidR="0078606F">
        <w:rPr>
          <w:rFonts w:eastAsiaTheme="minorHAnsi"/>
          <w:lang w:eastAsia="en-US"/>
        </w:rPr>
        <w:t>mega</w:t>
      </w:r>
      <w:r>
        <w:rPr>
          <w:rFonts w:eastAsiaTheme="minorHAnsi"/>
          <w:lang w:eastAsia="en-US"/>
        </w:rPr>
        <w:t>tonne</w:t>
      </w:r>
      <w:proofErr w:type="spellEnd"/>
      <w:r>
        <w:rPr>
          <w:rFonts w:eastAsiaTheme="minorHAnsi"/>
          <w:lang w:eastAsia="en-US"/>
        </w:rPr>
        <w:t xml:space="preserve"> (Mt) </w:t>
      </w: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Pr>
          <w:rFonts w:eastAsiaTheme="minorHAnsi"/>
          <w:lang w:eastAsia="en-US"/>
        </w:rPr>
        <w:t xml:space="preserve"> from burning of biomass, 12</w:t>
      </w:r>
      <w:r w:rsidRPr="00D52284">
        <w:rPr>
          <w:rFonts w:eastAsiaTheme="minorHAnsi"/>
          <w:lang w:eastAsia="en-US"/>
        </w:rPr>
        <w:t xml:space="preserve"> </w:t>
      </w:r>
      <w:r>
        <w:rPr>
          <w:rFonts w:eastAsiaTheme="minorHAnsi"/>
          <w:lang w:eastAsia="en-US"/>
        </w:rPr>
        <w:t xml:space="preserve">Mt </w:t>
      </w: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Pr>
          <w:rFonts w:eastAsiaTheme="minorHAnsi"/>
          <w:lang w:eastAsia="en-US"/>
        </w:rPr>
        <w:t xml:space="preserve">-e from international bunkering activity and 23 Mt </w:t>
      </w: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Pr>
          <w:rFonts w:eastAsiaTheme="minorHAnsi"/>
          <w:lang w:eastAsia="en-US"/>
        </w:rPr>
        <w:t xml:space="preserve">-e </w:t>
      </w:r>
      <w:r w:rsidR="0051140A">
        <w:rPr>
          <w:rFonts w:eastAsiaTheme="minorHAnsi"/>
          <w:lang w:eastAsia="en-US"/>
        </w:rPr>
        <w:t>from</w:t>
      </w:r>
      <w:r w:rsidR="00EC3777">
        <w:rPr>
          <w:rFonts w:eastAsiaTheme="minorHAnsi"/>
          <w:lang w:eastAsia="en-US"/>
        </w:rPr>
        <w:t xml:space="preserve"> add</w:t>
      </w:r>
      <w:r w:rsidR="0051140A">
        <w:rPr>
          <w:rFonts w:eastAsiaTheme="minorHAnsi"/>
          <w:lang w:eastAsia="en-US"/>
        </w:rPr>
        <w:t>ing</w:t>
      </w:r>
      <w:r w:rsidR="00EC3777">
        <w:rPr>
          <w:rFonts w:eastAsiaTheme="minorHAnsi"/>
          <w:lang w:eastAsia="en-US"/>
        </w:rPr>
        <w:t xml:space="preserve"> back </w:t>
      </w:r>
      <w:r>
        <w:rPr>
          <w:rFonts w:eastAsiaTheme="minorHAnsi"/>
          <w:lang w:eastAsia="en-US"/>
        </w:rPr>
        <w:t>afforestation and reforestation</w:t>
      </w:r>
      <w:r w:rsidR="00EC3777">
        <w:rPr>
          <w:rFonts w:eastAsiaTheme="minorHAnsi"/>
          <w:lang w:eastAsia="en-US"/>
        </w:rPr>
        <w:t xml:space="preserve"> offsets</w:t>
      </w:r>
      <w:r>
        <w:rPr>
          <w:rFonts w:eastAsiaTheme="minorHAnsi"/>
          <w:lang w:eastAsia="en-US"/>
        </w:rPr>
        <w:t xml:space="preserve">. All up, the total </w:t>
      </w:r>
      <w:r w:rsidR="00184B70">
        <w:rPr>
          <w:rFonts w:eastAsiaTheme="minorHAnsi"/>
          <w:lang w:eastAsia="en-US"/>
        </w:rPr>
        <w:t xml:space="preserve">Kyoto </w:t>
      </w:r>
      <w:r>
        <w:rPr>
          <w:rFonts w:eastAsiaTheme="minorHAnsi"/>
          <w:lang w:eastAsia="en-US"/>
        </w:rPr>
        <w:t xml:space="preserve">domestic emissions </w:t>
      </w:r>
      <w:r w:rsidR="00184B70">
        <w:rPr>
          <w:rFonts w:eastAsiaTheme="minorHAnsi"/>
          <w:lang w:eastAsia="en-US"/>
        </w:rPr>
        <w:t xml:space="preserve">583 Mt </w:t>
      </w:r>
      <w:r>
        <w:rPr>
          <w:rFonts w:eastAsiaTheme="minorHAnsi"/>
          <w:lang w:eastAsia="en-US"/>
        </w:rPr>
        <w:t xml:space="preserve">are adjusted upward by 54 Mt </w:t>
      </w: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Pr>
          <w:rFonts w:eastAsiaTheme="minorHAnsi"/>
          <w:lang w:eastAsia="en-US"/>
        </w:rPr>
        <w:t xml:space="preserve">-e, </w:t>
      </w:r>
      <w:r w:rsidR="00184B70">
        <w:rPr>
          <w:rFonts w:eastAsiaTheme="minorHAnsi"/>
          <w:lang w:eastAsia="en-US"/>
        </w:rPr>
        <w:t>(</w:t>
      </w:r>
      <w:r>
        <w:rPr>
          <w:rFonts w:eastAsiaTheme="minorHAnsi"/>
          <w:lang w:eastAsia="en-US"/>
        </w:rPr>
        <w:t>a 9% increase</w:t>
      </w:r>
      <w:r w:rsidR="00184B70">
        <w:rPr>
          <w:rFonts w:eastAsiaTheme="minorHAnsi"/>
          <w:lang w:eastAsia="en-US"/>
        </w:rPr>
        <w:t>)</w:t>
      </w:r>
      <w:r>
        <w:rPr>
          <w:rFonts w:eastAsiaTheme="minorHAnsi"/>
          <w:lang w:eastAsia="en-US"/>
        </w:rPr>
        <w:t xml:space="preserve">. </w:t>
      </w:r>
      <w:r w:rsidR="00184B70">
        <w:rPr>
          <w:rFonts w:eastAsiaTheme="minorHAnsi"/>
          <w:lang w:eastAsia="en-US"/>
        </w:rPr>
        <w:t>This results in total SEEA production-based emissions at 636 Mt</w:t>
      </w:r>
      <w:r w:rsidRPr="001D0222">
        <w:rPr>
          <w:rFonts w:eastAsiaTheme="minorHAnsi"/>
          <w:lang w:eastAsia="en-US"/>
        </w:rPr>
        <w:t xml:space="preserve"> represent</w:t>
      </w:r>
      <w:r w:rsidR="00184B70">
        <w:rPr>
          <w:rFonts w:eastAsiaTheme="minorHAnsi"/>
          <w:lang w:eastAsia="en-US"/>
        </w:rPr>
        <w:t>ing</w:t>
      </w:r>
      <w:r w:rsidRPr="001D0222">
        <w:rPr>
          <w:rFonts w:eastAsiaTheme="minorHAnsi"/>
          <w:lang w:eastAsia="en-US"/>
        </w:rPr>
        <w:t xml:space="preserve"> the </w:t>
      </w:r>
      <w:r w:rsidR="0051140A" w:rsidRPr="001D0222">
        <w:rPr>
          <w:rFonts w:eastAsiaTheme="minorHAnsi"/>
          <w:lang w:eastAsia="en-US"/>
        </w:rPr>
        <w:t xml:space="preserve">direct </w:t>
      </w:r>
      <w:r w:rsidR="001D0222" w:rsidRPr="001D0222">
        <w:rPr>
          <w:rFonts w:eastAsiaTheme="minorHAnsi"/>
          <w:lang w:eastAsia="en-US"/>
        </w:rPr>
        <w:t xml:space="preserve">emissions </w:t>
      </w:r>
      <w:r w:rsidR="00184B70">
        <w:rPr>
          <w:rFonts w:eastAsiaTheme="minorHAnsi"/>
          <w:lang w:eastAsia="en-US"/>
        </w:rPr>
        <w:t>as a result of Australian economic activity</w:t>
      </w:r>
      <w:r w:rsidRPr="001D0222">
        <w:rPr>
          <w:rFonts w:eastAsiaTheme="minorHAnsi"/>
          <w:lang w:eastAsia="en-US"/>
        </w:rPr>
        <w:t>.</w:t>
      </w:r>
    </w:p>
    <w:p w:rsidR="003C2A5D" w:rsidRDefault="003C2A5D" w:rsidP="00BA098E">
      <w:pPr>
        <w:autoSpaceDE w:val="0"/>
        <w:autoSpaceDN w:val="0"/>
        <w:adjustRightInd w:val="0"/>
        <w:spacing w:line="360" w:lineRule="auto"/>
        <w:jc w:val="both"/>
        <w:rPr>
          <w:rFonts w:ascii="TimesNewRoman" w:eastAsiaTheme="minorHAnsi" w:hAnsi="TimesNewRoman" w:cs="TimesNewRoman"/>
          <w:lang w:eastAsia="en-US"/>
        </w:rPr>
      </w:pPr>
    </w:p>
    <w:p w:rsidR="000F3BCA" w:rsidRDefault="000F3BCA" w:rsidP="00BA098E">
      <w:pPr>
        <w:numPr>
          <w:ilvl w:val="1"/>
          <w:numId w:val="49"/>
        </w:numPr>
        <w:autoSpaceDE w:val="0"/>
        <w:autoSpaceDN w:val="0"/>
        <w:adjustRightInd w:val="0"/>
        <w:spacing w:line="360" w:lineRule="auto"/>
        <w:ind w:left="0" w:firstLine="0"/>
        <w:jc w:val="both"/>
        <w:rPr>
          <w:rFonts w:eastAsiaTheme="minorHAnsi"/>
          <w:b/>
          <w:lang w:eastAsia="en-US"/>
        </w:rPr>
      </w:pPr>
      <w:r w:rsidRPr="00BC31A6">
        <w:rPr>
          <w:rFonts w:eastAsiaTheme="minorHAnsi"/>
          <w:b/>
          <w:lang w:eastAsia="en-US"/>
        </w:rPr>
        <w:lastRenderedPageBreak/>
        <w:t xml:space="preserve">Dissection of the input data </w:t>
      </w:r>
    </w:p>
    <w:p w:rsidR="003C2A5D" w:rsidRPr="00BC31A6" w:rsidRDefault="003C2A5D" w:rsidP="003C2A5D">
      <w:pPr>
        <w:autoSpaceDE w:val="0"/>
        <w:autoSpaceDN w:val="0"/>
        <w:adjustRightInd w:val="0"/>
        <w:spacing w:line="360" w:lineRule="auto"/>
        <w:jc w:val="both"/>
        <w:rPr>
          <w:rFonts w:eastAsiaTheme="minorHAnsi"/>
          <w:b/>
          <w:lang w:eastAsia="en-US"/>
        </w:rPr>
      </w:pPr>
    </w:p>
    <w:p w:rsidR="0061565E" w:rsidRDefault="004E7E8D" w:rsidP="00BA098E">
      <w:pPr>
        <w:autoSpaceDE w:val="0"/>
        <w:autoSpaceDN w:val="0"/>
        <w:adjustRightInd w:val="0"/>
        <w:spacing w:line="360" w:lineRule="auto"/>
        <w:jc w:val="both"/>
        <w:rPr>
          <w:rFonts w:eastAsiaTheme="minorHAnsi"/>
          <w:lang w:eastAsia="en-US"/>
        </w:rPr>
      </w:pPr>
      <w:r w:rsidRPr="00297C55">
        <w:rPr>
          <w:rFonts w:eastAsiaTheme="minorHAnsi"/>
          <w:lang w:eastAsia="en-US"/>
        </w:rPr>
        <w:t>When matching different levels of disaggregation between the direct emissions intensity data and the IO table, t</w:t>
      </w:r>
      <w:r>
        <w:rPr>
          <w:rFonts w:eastAsiaTheme="minorHAnsi"/>
          <w:lang w:eastAsia="en-US"/>
        </w:rPr>
        <w:t>here are two schools of thought</w:t>
      </w:r>
      <w:r w:rsidRPr="00297C55">
        <w:rPr>
          <w:rFonts w:eastAsiaTheme="minorHAnsi"/>
          <w:lang w:eastAsia="en-US"/>
        </w:rPr>
        <w:t xml:space="preserve">. Machado (2000) contends that the finer IO data needs to be collapsed to match the environmental data while </w:t>
      </w:r>
      <w:proofErr w:type="spellStart"/>
      <w:r w:rsidRPr="00297C55">
        <w:rPr>
          <w:rFonts w:eastAsiaTheme="minorHAnsi"/>
          <w:lang w:eastAsia="en-US"/>
        </w:rPr>
        <w:t>Lenzen</w:t>
      </w:r>
      <w:proofErr w:type="spellEnd"/>
      <w:r w:rsidRPr="00297C55">
        <w:rPr>
          <w:rFonts w:eastAsiaTheme="minorHAnsi"/>
          <w:lang w:eastAsia="en-US"/>
        </w:rPr>
        <w:t xml:space="preserve"> et al. (2004) postulates that the energy data should be dissected further so as to match the IO data. This study adopts the latter approach </w:t>
      </w:r>
      <w:r w:rsidR="00FF282F">
        <w:rPr>
          <w:rFonts w:eastAsiaTheme="minorHAnsi"/>
          <w:lang w:eastAsia="en-US"/>
        </w:rPr>
        <w:t>requir</w:t>
      </w:r>
      <w:r w:rsidR="0078606F">
        <w:rPr>
          <w:rFonts w:eastAsiaTheme="minorHAnsi"/>
          <w:lang w:eastAsia="en-US"/>
        </w:rPr>
        <w:t>ing</w:t>
      </w:r>
      <w:r w:rsidR="00FF282F">
        <w:rPr>
          <w:rFonts w:eastAsiaTheme="minorHAnsi"/>
          <w:lang w:eastAsia="en-US"/>
        </w:rPr>
        <w:t xml:space="preserve"> the splitting of data using </w:t>
      </w:r>
      <w:r w:rsidR="00474CB3">
        <w:rPr>
          <w:rFonts w:eastAsiaTheme="minorHAnsi"/>
          <w:lang w:eastAsia="en-US"/>
        </w:rPr>
        <w:t>indicators</w:t>
      </w:r>
      <w:r w:rsidR="00FE3A4E">
        <w:rPr>
          <w:rFonts w:eastAsiaTheme="minorHAnsi"/>
          <w:lang w:eastAsia="en-US"/>
        </w:rPr>
        <w:t xml:space="preserve"> as it avoids the aggregation error</w:t>
      </w:r>
      <w:r w:rsidR="00FE3A4E">
        <w:rPr>
          <w:rStyle w:val="FootnoteReference"/>
          <w:rFonts w:eastAsiaTheme="minorHAnsi"/>
          <w:lang w:eastAsia="en-US"/>
        </w:rPr>
        <w:footnoteReference w:id="19"/>
      </w:r>
      <w:r w:rsidR="00FE3A4E">
        <w:rPr>
          <w:rFonts w:eastAsiaTheme="minorHAnsi"/>
          <w:lang w:eastAsia="en-US"/>
        </w:rPr>
        <w:t xml:space="preserve"> as a result of grouping industries with disparate emission intensities</w:t>
      </w:r>
      <w:r w:rsidR="00474CB3">
        <w:rPr>
          <w:rFonts w:eastAsiaTheme="minorHAnsi"/>
          <w:lang w:eastAsia="en-US"/>
        </w:rPr>
        <w:t xml:space="preserve">. </w:t>
      </w:r>
      <w:r w:rsidR="00474CB3" w:rsidRPr="00297C55">
        <w:rPr>
          <w:rFonts w:eastAsiaTheme="minorHAnsi"/>
          <w:lang w:eastAsia="en-US"/>
        </w:rPr>
        <w:t>It</w:t>
      </w:r>
      <w:r w:rsidRPr="00297C55">
        <w:rPr>
          <w:rFonts w:eastAsiaTheme="minorHAnsi"/>
          <w:lang w:eastAsia="en-US"/>
        </w:rPr>
        <w:t xml:space="preserve"> retains the full information of IO industrial linkage while the e</w:t>
      </w:r>
      <w:r w:rsidR="00FF282F">
        <w:rPr>
          <w:rFonts w:eastAsiaTheme="minorHAnsi"/>
          <w:lang w:eastAsia="en-US"/>
        </w:rPr>
        <w:t>missions</w:t>
      </w:r>
      <w:r w:rsidRPr="00297C55">
        <w:rPr>
          <w:rFonts w:eastAsiaTheme="minorHAnsi"/>
          <w:lang w:eastAsia="en-US"/>
        </w:rPr>
        <w:t xml:space="preserve"> information can be augmented by the knowledge of particular engineering processes and reasonable assumptions.</w:t>
      </w:r>
      <w:r w:rsidRPr="004E7E8D">
        <w:rPr>
          <w:rFonts w:eastAsiaTheme="minorHAnsi"/>
          <w:lang w:eastAsia="en-US"/>
        </w:rPr>
        <w:t xml:space="preserve"> </w:t>
      </w:r>
    </w:p>
    <w:p w:rsidR="0061565E" w:rsidRDefault="0061565E" w:rsidP="00BA098E">
      <w:pPr>
        <w:autoSpaceDE w:val="0"/>
        <w:autoSpaceDN w:val="0"/>
        <w:adjustRightInd w:val="0"/>
        <w:spacing w:line="360" w:lineRule="auto"/>
        <w:jc w:val="both"/>
        <w:rPr>
          <w:rFonts w:eastAsiaTheme="minorHAnsi"/>
          <w:lang w:eastAsia="en-US"/>
        </w:rPr>
      </w:pPr>
    </w:p>
    <w:p w:rsidR="00172202" w:rsidRPr="008E6060" w:rsidRDefault="000E0B61" w:rsidP="008E6060">
      <w:pPr>
        <w:pStyle w:val="ListParagraph"/>
        <w:numPr>
          <w:ilvl w:val="0"/>
          <w:numId w:val="55"/>
        </w:numPr>
        <w:autoSpaceDE w:val="0"/>
        <w:autoSpaceDN w:val="0"/>
        <w:adjustRightInd w:val="0"/>
        <w:spacing w:line="360" w:lineRule="auto"/>
        <w:jc w:val="both"/>
        <w:rPr>
          <w:rFonts w:eastAsiaTheme="minorHAnsi"/>
          <w:lang w:eastAsia="en-US"/>
        </w:rPr>
      </w:pPr>
      <w:r w:rsidRPr="008E6060">
        <w:rPr>
          <w:rFonts w:eastAsiaTheme="minorHAnsi"/>
          <w:lang w:eastAsia="en-US"/>
        </w:rPr>
        <w:t>A concordance table is constructed between the DCCEE industries (predominantly based on ANSZIG 06) with the IOIG industries</w:t>
      </w:r>
      <w:r>
        <w:rPr>
          <w:rStyle w:val="FootnoteReference"/>
          <w:rFonts w:eastAsiaTheme="minorHAnsi"/>
          <w:lang w:eastAsia="en-US"/>
        </w:rPr>
        <w:footnoteReference w:id="20"/>
      </w:r>
      <w:r w:rsidRPr="008E6060">
        <w:rPr>
          <w:rFonts w:eastAsiaTheme="minorHAnsi"/>
          <w:lang w:eastAsia="en-US"/>
        </w:rPr>
        <w:t xml:space="preserve">. </w:t>
      </w:r>
      <w:r w:rsidR="004E7E8D" w:rsidRPr="008E6060">
        <w:rPr>
          <w:rFonts w:eastAsiaTheme="minorHAnsi"/>
          <w:lang w:eastAsia="en-US"/>
        </w:rPr>
        <w:t>The</w:t>
      </w:r>
      <w:r w:rsidRPr="008E6060">
        <w:rPr>
          <w:rFonts w:eastAsiaTheme="minorHAnsi"/>
          <w:lang w:eastAsia="en-US"/>
        </w:rPr>
        <w:t xml:space="preserve"> matched</w:t>
      </w:r>
      <w:r w:rsidR="004E7E8D" w:rsidRPr="008E6060">
        <w:rPr>
          <w:rFonts w:eastAsiaTheme="minorHAnsi"/>
          <w:lang w:eastAsia="en-US"/>
        </w:rPr>
        <w:t xml:space="preserve"> emissions data </w:t>
      </w:r>
      <w:r w:rsidR="0061565E" w:rsidRPr="008E6060">
        <w:rPr>
          <w:rFonts w:eastAsiaTheme="minorHAnsi"/>
          <w:lang w:eastAsia="en-US"/>
        </w:rPr>
        <w:t>are</w:t>
      </w:r>
      <w:r w:rsidR="00054964" w:rsidRPr="008E6060">
        <w:rPr>
          <w:rFonts w:eastAsiaTheme="minorHAnsi"/>
          <w:lang w:eastAsia="en-US"/>
        </w:rPr>
        <w:t xml:space="preserve"> </w:t>
      </w:r>
      <w:r w:rsidR="004E7E8D" w:rsidRPr="008E6060">
        <w:rPr>
          <w:rFonts w:eastAsiaTheme="minorHAnsi"/>
          <w:lang w:eastAsia="en-US"/>
        </w:rPr>
        <w:t xml:space="preserve">dissected according to a four-factor dissection technique. </w:t>
      </w:r>
      <w:r w:rsidR="00A75007" w:rsidRPr="008E6060">
        <w:rPr>
          <w:rFonts w:eastAsiaTheme="minorHAnsi"/>
          <w:lang w:eastAsia="en-US"/>
        </w:rPr>
        <w:t>The first factor is the actual emission</w:t>
      </w:r>
      <w:r w:rsidR="002655E8" w:rsidRPr="008E6060">
        <w:rPr>
          <w:rFonts w:eastAsiaTheme="minorHAnsi"/>
          <w:lang w:eastAsia="en-US"/>
        </w:rPr>
        <w:t>s</w:t>
      </w:r>
      <w:r w:rsidR="00A75007" w:rsidRPr="008E6060">
        <w:rPr>
          <w:rFonts w:eastAsiaTheme="minorHAnsi"/>
          <w:lang w:eastAsia="en-US"/>
        </w:rPr>
        <w:t xml:space="preserve"> figures from the IPCC emission categories, which can be found through the DCCEE </w:t>
      </w:r>
      <w:r w:rsidR="00C45375" w:rsidRPr="008E6060">
        <w:rPr>
          <w:rFonts w:eastAsiaTheme="minorHAnsi"/>
          <w:lang w:eastAsia="en-US"/>
        </w:rPr>
        <w:t>AGEIS</w:t>
      </w:r>
      <w:r w:rsidR="00A75007" w:rsidRPr="008E6060">
        <w:rPr>
          <w:rFonts w:eastAsiaTheme="minorHAnsi"/>
          <w:lang w:eastAsia="en-US"/>
        </w:rPr>
        <w:t xml:space="preserve"> reporting interface</w:t>
      </w:r>
      <w:r w:rsidR="00A75007" w:rsidRPr="002D3A87">
        <w:rPr>
          <w:rStyle w:val="FootnoteReference"/>
          <w:rFonts w:eastAsiaTheme="minorHAnsi"/>
          <w:lang w:eastAsia="en-US"/>
        </w:rPr>
        <w:footnoteReference w:id="21"/>
      </w:r>
      <w:r w:rsidR="00A75007" w:rsidRPr="008E6060">
        <w:rPr>
          <w:rFonts w:eastAsiaTheme="minorHAnsi"/>
          <w:lang w:eastAsia="en-US"/>
        </w:rPr>
        <w:t xml:space="preserve">. This dataset is used to </w:t>
      </w:r>
      <w:r w:rsidR="008E6060" w:rsidRPr="008E6060">
        <w:rPr>
          <w:rFonts w:eastAsiaTheme="minorHAnsi"/>
          <w:lang w:eastAsia="en-US"/>
        </w:rPr>
        <w:t>reallocate</w:t>
      </w:r>
      <w:r w:rsidR="00A75007" w:rsidRPr="008E6060">
        <w:rPr>
          <w:rFonts w:eastAsiaTheme="minorHAnsi"/>
          <w:lang w:eastAsia="en-US"/>
        </w:rPr>
        <w:t xml:space="preserve"> the emission</w:t>
      </w:r>
      <w:r w:rsidR="002655E8" w:rsidRPr="008E6060">
        <w:rPr>
          <w:rFonts w:eastAsiaTheme="minorHAnsi"/>
          <w:lang w:eastAsia="en-US"/>
        </w:rPr>
        <w:t>s</w:t>
      </w:r>
      <w:r w:rsidR="00A75007" w:rsidRPr="008E6060">
        <w:rPr>
          <w:rFonts w:eastAsiaTheme="minorHAnsi"/>
          <w:lang w:eastAsia="en-US"/>
        </w:rPr>
        <w:t xml:space="preserve"> data for the Agriculture</w:t>
      </w:r>
      <w:r w:rsidR="000E76E1" w:rsidRPr="008E6060">
        <w:rPr>
          <w:rFonts w:eastAsiaTheme="minorHAnsi"/>
          <w:lang w:eastAsia="en-US"/>
        </w:rPr>
        <w:t xml:space="preserve"> </w:t>
      </w:r>
      <w:r w:rsidR="0004150B" w:rsidRPr="008E6060">
        <w:rPr>
          <w:rFonts w:eastAsiaTheme="minorHAnsi"/>
          <w:lang w:eastAsia="en-US"/>
        </w:rPr>
        <w:t>industries and</w:t>
      </w:r>
      <w:r w:rsidR="00A75007" w:rsidRPr="008E6060">
        <w:rPr>
          <w:rFonts w:eastAsiaTheme="minorHAnsi"/>
          <w:lang w:eastAsia="en-US"/>
        </w:rPr>
        <w:t xml:space="preserve"> the Cement, Lime, Plaster and Concrete Product Manufacturing</w:t>
      </w:r>
      <w:r w:rsidR="00A75007" w:rsidRPr="008E6060">
        <w:rPr>
          <w:rStyle w:val="FootnoteReference"/>
          <w:rFonts w:eastAsiaTheme="minorHAnsi"/>
          <w:vertAlign w:val="baseline"/>
          <w:lang w:eastAsia="en-US"/>
        </w:rPr>
        <w:t xml:space="preserve"> </w:t>
      </w:r>
      <w:r w:rsidR="00A75007" w:rsidRPr="008E6060">
        <w:rPr>
          <w:rFonts w:eastAsiaTheme="minorHAnsi"/>
          <w:lang w:eastAsia="en-US"/>
        </w:rPr>
        <w:t>industries</w:t>
      </w:r>
      <w:r w:rsidR="00A75007" w:rsidRPr="002D3A87">
        <w:rPr>
          <w:rStyle w:val="FootnoteReference"/>
          <w:rFonts w:eastAsiaTheme="minorHAnsi"/>
          <w:lang w:eastAsia="en-US"/>
        </w:rPr>
        <w:footnoteReference w:id="22"/>
      </w:r>
      <w:r w:rsidR="00A75007" w:rsidRPr="008E6060">
        <w:rPr>
          <w:rFonts w:eastAsiaTheme="minorHAnsi"/>
          <w:lang w:eastAsia="en-US"/>
        </w:rPr>
        <w:t xml:space="preserve">. A concordance table is created to link the most detailed categories and the </w:t>
      </w:r>
      <w:r w:rsidR="007A393C" w:rsidRPr="008E6060">
        <w:rPr>
          <w:rFonts w:eastAsiaTheme="minorHAnsi"/>
          <w:lang w:eastAsia="en-US"/>
        </w:rPr>
        <w:t xml:space="preserve">agriculture </w:t>
      </w:r>
      <w:r w:rsidR="00A75007" w:rsidRPr="008E6060">
        <w:rPr>
          <w:rFonts w:eastAsiaTheme="minorHAnsi"/>
          <w:lang w:eastAsia="en-US"/>
        </w:rPr>
        <w:t>IOIG industries</w:t>
      </w:r>
      <w:r w:rsidR="00A75007">
        <w:rPr>
          <w:rStyle w:val="FootnoteReference"/>
          <w:rFonts w:eastAsiaTheme="minorHAnsi"/>
          <w:lang w:eastAsia="en-US"/>
        </w:rPr>
        <w:footnoteReference w:id="23"/>
      </w:r>
      <w:r w:rsidR="00A75007" w:rsidRPr="008E6060">
        <w:rPr>
          <w:rFonts w:eastAsiaTheme="minorHAnsi"/>
          <w:lang w:eastAsia="en-US"/>
        </w:rPr>
        <w:t xml:space="preserve">. </w:t>
      </w:r>
    </w:p>
    <w:p w:rsidR="00172202" w:rsidRDefault="00172202" w:rsidP="00D12523">
      <w:pPr>
        <w:autoSpaceDE w:val="0"/>
        <w:autoSpaceDN w:val="0"/>
        <w:adjustRightInd w:val="0"/>
        <w:spacing w:line="360" w:lineRule="auto"/>
        <w:jc w:val="both"/>
        <w:rPr>
          <w:rFonts w:eastAsiaTheme="minorHAnsi"/>
          <w:lang w:eastAsia="en-US"/>
        </w:rPr>
      </w:pPr>
    </w:p>
    <w:p w:rsidR="00706173" w:rsidRPr="008E6060" w:rsidRDefault="00A75007" w:rsidP="008E6060">
      <w:pPr>
        <w:pStyle w:val="ListParagraph"/>
        <w:numPr>
          <w:ilvl w:val="0"/>
          <w:numId w:val="55"/>
        </w:numPr>
        <w:autoSpaceDE w:val="0"/>
        <w:autoSpaceDN w:val="0"/>
        <w:adjustRightInd w:val="0"/>
        <w:spacing w:line="360" w:lineRule="auto"/>
        <w:jc w:val="both"/>
        <w:rPr>
          <w:rFonts w:eastAsiaTheme="minorHAnsi"/>
          <w:lang w:eastAsia="en-US"/>
        </w:rPr>
      </w:pPr>
      <w:r w:rsidRPr="008E6060">
        <w:rPr>
          <w:rFonts w:eastAsiaTheme="minorHAnsi"/>
          <w:lang w:eastAsia="en-US"/>
        </w:rPr>
        <w:t xml:space="preserve">The residuals </w:t>
      </w:r>
      <w:r w:rsidR="009C3CD5" w:rsidRPr="008E6060">
        <w:rPr>
          <w:rFonts w:eastAsiaTheme="minorHAnsi"/>
          <w:lang w:eastAsia="en-US"/>
        </w:rPr>
        <w:t>resulting from</w:t>
      </w:r>
      <w:r w:rsidRPr="008E6060">
        <w:rPr>
          <w:rFonts w:eastAsiaTheme="minorHAnsi"/>
          <w:lang w:eastAsia="en-US"/>
        </w:rPr>
        <w:t xml:space="preserve"> the first </w:t>
      </w:r>
      <w:r w:rsidR="008E6060" w:rsidRPr="008E6060">
        <w:rPr>
          <w:rFonts w:eastAsiaTheme="minorHAnsi"/>
          <w:lang w:eastAsia="en-US"/>
        </w:rPr>
        <w:t>stage</w:t>
      </w:r>
      <w:r w:rsidRPr="008E6060">
        <w:rPr>
          <w:rFonts w:eastAsiaTheme="minorHAnsi"/>
          <w:lang w:eastAsia="en-US"/>
        </w:rPr>
        <w:t xml:space="preserve"> of the </w:t>
      </w:r>
      <w:r w:rsidR="008E6060" w:rsidRPr="008E6060">
        <w:rPr>
          <w:rFonts w:eastAsiaTheme="minorHAnsi"/>
          <w:lang w:eastAsia="en-US"/>
        </w:rPr>
        <w:t>re</w:t>
      </w:r>
      <w:r w:rsidRPr="008E6060">
        <w:rPr>
          <w:rFonts w:eastAsiaTheme="minorHAnsi"/>
          <w:lang w:eastAsia="en-US"/>
        </w:rPr>
        <w:t xml:space="preserve">allocation </w:t>
      </w:r>
      <w:r w:rsidR="009C3CD5" w:rsidRPr="008E6060">
        <w:rPr>
          <w:rFonts w:eastAsiaTheme="minorHAnsi"/>
          <w:lang w:eastAsia="en-US"/>
        </w:rPr>
        <w:t>are</w:t>
      </w:r>
      <w:r w:rsidR="008E6060" w:rsidRPr="008E6060">
        <w:rPr>
          <w:rFonts w:eastAsiaTheme="minorHAnsi"/>
          <w:lang w:eastAsia="en-US"/>
        </w:rPr>
        <w:t xml:space="preserve"> then dissec</w:t>
      </w:r>
      <w:r w:rsidR="008E6060">
        <w:rPr>
          <w:rFonts w:eastAsiaTheme="minorHAnsi"/>
          <w:lang w:eastAsia="en-US"/>
        </w:rPr>
        <w:t>ted based on a second-stage</w:t>
      </w:r>
      <w:r w:rsidRPr="008E6060">
        <w:rPr>
          <w:rFonts w:eastAsiaTheme="minorHAnsi"/>
          <w:lang w:eastAsia="en-US"/>
        </w:rPr>
        <w:t xml:space="preserve"> al</w:t>
      </w:r>
      <w:r w:rsidR="00A865F8">
        <w:rPr>
          <w:rFonts w:eastAsiaTheme="minorHAnsi"/>
          <w:lang w:eastAsia="en-US"/>
        </w:rPr>
        <w:t>location ratio. This ratio is</w:t>
      </w:r>
      <w:r w:rsidRPr="008E6060">
        <w:rPr>
          <w:rFonts w:eastAsiaTheme="minorHAnsi"/>
          <w:lang w:eastAsia="en-US"/>
        </w:rPr>
        <w:t xml:space="preserve"> based on the direct energy consumption ratio combined with the weighted emissions convers</w:t>
      </w:r>
      <w:r w:rsidR="00A865F8">
        <w:rPr>
          <w:rFonts w:eastAsiaTheme="minorHAnsi"/>
          <w:lang w:eastAsia="en-US"/>
        </w:rPr>
        <w:t>ion factor</w:t>
      </w:r>
      <w:r w:rsidRPr="008E6060">
        <w:rPr>
          <w:rFonts w:eastAsiaTheme="minorHAnsi"/>
          <w:lang w:eastAsia="en-US"/>
        </w:rPr>
        <w:t xml:space="preserve"> and industry total </w:t>
      </w:r>
      <w:r w:rsidR="00F11B86" w:rsidRPr="008E6060">
        <w:rPr>
          <w:rFonts w:eastAsiaTheme="minorHAnsi"/>
          <w:lang w:eastAsia="en-US"/>
        </w:rPr>
        <w:t>domestic output</w:t>
      </w:r>
      <w:r w:rsidR="00F11B86">
        <w:rPr>
          <w:rStyle w:val="FootnoteReference"/>
          <w:rFonts w:eastAsiaTheme="minorHAnsi"/>
          <w:lang w:eastAsia="en-US"/>
        </w:rPr>
        <w:footnoteReference w:id="24"/>
      </w:r>
      <w:r w:rsidRPr="008E6060">
        <w:rPr>
          <w:rFonts w:eastAsiaTheme="minorHAnsi"/>
          <w:lang w:eastAsia="en-US"/>
        </w:rPr>
        <w:t xml:space="preserve">. The direct energy consumption weighting is obtained from the IO </w:t>
      </w:r>
      <w:r>
        <w:lastRenderedPageBreak/>
        <w:t>Table 9 - Direct Requirement Coefficients (Indirect Allocation of Imports</w:t>
      </w:r>
      <w:r w:rsidR="009470CA">
        <w:rPr>
          <w:rStyle w:val="FootnoteReference"/>
        </w:rPr>
        <w:footnoteReference w:id="25"/>
      </w:r>
      <w:r>
        <w:t>)</w:t>
      </w:r>
      <w:r w:rsidRPr="008E6060">
        <w:rPr>
          <w:rFonts w:eastAsiaTheme="minorHAnsi"/>
          <w:lang w:eastAsia="en-US"/>
        </w:rPr>
        <w:t xml:space="preserve"> table </w:t>
      </w:r>
      <w:r w:rsidR="009C3CD5" w:rsidRPr="008E6060">
        <w:rPr>
          <w:rFonts w:eastAsiaTheme="minorHAnsi"/>
          <w:lang w:eastAsia="en-US"/>
        </w:rPr>
        <w:t xml:space="preserve">(Cat. </w:t>
      </w:r>
      <w:r w:rsidR="009C3CD5">
        <w:t>5209.0.55.001</w:t>
      </w:r>
      <w:r w:rsidR="009C3CD5" w:rsidRPr="008E6060">
        <w:rPr>
          <w:rFonts w:eastAsiaTheme="minorHAnsi"/>
          <w:lang w:eastAsia="en-US"/>
        </w:rPr>
        <w:t xml:space="preserve">) </w:t>
      </w:r>
      <w:r w:rsidRPr="008E6060">
        <w:rPr>
          <w:rFonts w:eastAsiaTheme="minorHAnsi"/>
          <w:lang w:eastAsia="en-US"/>
        </w:rPr>
        <w:t>by dividing the total use from each energy industry by the total intermediate use figures</w:t>
      </w:r>
      <w:r>
        <w:rPr>
          <w:rStyle w:val="FootnoteReference"/>
          <w:rFonts w:eastAsiaTheme="minorHAnsi"/>
          <w:lang w:eastAsia="en-US"/>
        </w:rPr>
        <w:footnoteReference w:id="26"/>
      </w:r>
      <w:r w:rsidRPr="008E6060">
        <w:rPr>
          <w:rFonts w:eastAsiaTheme="minorHAnsi"/>
          <w:lang w:eastAsia="en-US"/>
        </w:rPr>
        <w:t xml:space="preserve">. For example, the direct energy consumption intensity ratio for the </w:t>
      </w:r>
      <w:r w:rsidR="00F11B86" w:rsidRPr="008E6060">
        <w:rPr>
          <w:rFonts w:eastAsiaTheme="minorHAnsi"/>
          <w:lang w:eastAsia="en-US"/>
        </w:rPr>
        <w:t>Sheep, Grains, Beef and Dairy Cattle</w:t>
      </w:r>
      <w:r w:rsidRPr="008E6060">
        <w:rPr>
          <w:rFonts w:eastAsiaTheme="minorHAnsi"/>
          <w:lang w:eastAsia="en-US"/>
        </w:rPr>
        <w:t xml:space="preserve"> industry (IOIG 0601) should be the sum of Coal Mining (IOIG 0601), Oil and Gas Extraction (IOIG 0701), Petroleum and Coal Production (IOIG 1701), and Gas Supply (IOIG 2701) divided by the total intermediate use. </w:t>
      </w:r>
    </w:p>
    <w:p w:rsidR="00F11B86" w:rsidRDefault="00F11B86" w:rsidP="00D12523">
      <w:pPr>
        <w:autoSpaceDE w:val="0"/>
        <w:autoSpaceDN w:val="0"/>
        <w:adjustRightInd w:val="0"/>
        <w:spacing w:line="360" w:lineRule="auto"/>
        <w:jc w:val="both"/>
        <w:rPr>
          <w:rFonts w:eastAsiaTheme="minorHAnsi"/>
          <w:lang w:eastAsia="en-US"/>
        </w:rPr>
      </w:pPr>
    </w:p>
    <w:p w:rsidR="00F63813" w:rsidRDefault="00A75007" w:rsidP="008E6060">
      <w:pPr>
        <w:autoSpaceDE w:val="0"/>
        <w:autoSpaceDN w:val="0"/>
        <w:adjustRightInd w:val="0"/>
        <w:spacing w:line="360" w:lineRule="auto"/>
        <w:ind w:left="720"/>
        <w:jc w:val="both"/>
        <w:rPr>
          <w:rFonts w:eastAsiaTheme="minorHAnsi"/>
          <w:lang w:eastAsia="en-US"/>
        </w:rPr>
      </w:pPr>
      <w:r w:rsidRPr="001135B0">
        <w:rPr>
          <w:rFonts w:eastAsiaTheme="minorHAnsi"/>
          <w:lang w:eastAsia="en-US"/>
        </w:rPr>
        <w:t xml:space="preserve">The </w:t>
      </w:r>
      <w:r w:rsidR="00A865F8" w:rsidRPr="008E6060">
        <w:rPr>
          <w:rFonts w:eastAsiaTheme="minorHAnsi"/>
          <w:lang w:eastAsia="en-US"/>
        </w:rPr>
        <w:t>weighted emissions convers</w:t>
      </w:r>
      <w:r w:rsidR="00A865F8">
        <w:rPr>
          <w:rFonts w:eastAsiaTheme="minorHAnsi"/>
          <w:lang w:eastAsia="en-US"/>
        </w:rPr>
        <w:t>ion factor</w:t>
      </w:r>
      <w:r w:rsidR="00A865F8" w:rsidRPr="008E6060">
        <w:rPr>
          <w:rFonts w:eastAsiaTheme="minorHAnsi"/>
          <w:lang w:eastAsia="en-US"/>
        </w:rPr>
        <w:t xml:space="preserve"> </w:t>
      </w:r>
      <w:r w:rsidRPr="001135B0">
        <w:rPr>
          <w:rFonts w:eastAsiaTheme="minorHAnsi"/>
          <w:lang w:eastAsia="en-US"/>
        </w:rPr>
        <w:t>is derived from the National Greenhouse Accounts (NGA) Factors</w:t>
      </w:r>
      <w:r>
        <w:rPr>
          <w:rStyle w:val="FootnoteReference"/>
          <w:rFonts w:eastAsiaTheme="minorHAnsi"/>
          <w:lang w:eastAsia="en-US"/>
        </w:rPr>
        <w:footnoteReference w:id="27"/>
      </w:r>
      <w:r w:rsidRPr="001135B0">
        <w:rPr>
          <w:rFonts w:eastAsiaTheme="minorHAnsi"/>
          <w:lang w:eastAsia="en-US"/>
        </w:rPr>
        <w:t xml:space="preserve"> and the Bureau of Resources and Energy Economics (BREE) - </w:t>
      </w:r>
      <w:r w:rsidRPr="00855CB3">
        <w:rPr>
          <w:rFonts w:eastAsiaTheme="minorHAnsi"/>
          <w:lang w:eastAsia="en-US"/>
        </w:rPr>
        <w:t>Table A - Australian</w:t>
      </w:r>
      <w:r w:rsidR="00A865F8">
        <w:rPr>
          <w:rFonts w:eastAsiaTheme="minorHAnsi"/>
          <w:lang w:eastAsia="en-US"/>
        </w:rPr>
        <w:t xml:space="preserve"> energy supply and consumption </w:t>
      </w:r>
      <w:r w:rsidRPr="00855CB3">
        <w:rPr>
          <w:rFonts w:eastAsiaTheme="minorHAnsi"/>
          <w:lang w:eastAsia="en-US"/>
        </w:rPr>
        <w:t>- energy units</w:t>
      </w:r>
      <w:r w:rsidRPr="001135B0">
        <w:rPr>
          <w:rFonts w:eastAsiaTheme="minorHAnsi"/>
          <w:lang w:eastAsia="en-US"/>
        </w:rPr>
        <w:t xml:space="preserve">. This </w:t>
      </w:r>
      <w:r>
        <w:rPr>
          <w:rFonts w:eastAsiaTheme="minorHAnsi"/>
          <w:lang w:eastAsia="en-US"/>
        </w:rPr>
        <w:t xml:space="preserve">information </w:t>
      </w:r>
      <w:r w:rsidRPr="001135B0">
        <w:rPr>
          <w:rFonts w:eastAsiaTheme="minorHAnsi"/>
          <w:lang w:eastAsia="en-US"/>
        </w:rPr>
        <w:t xml:space="preserve">is used to obtain the weighted average emission conversion factor for the relevant </w:t>
      </w:r>
      <w:r w:rsidR="00A865F8">
        <w:rPr>
          <w:rFonts w:eastAsiaTheme="minorHAnsi"/>
          <w:lang w:eastAsia="en-US"/>
        </w:rPr>
        <w:t>energy inputs</w:t>
      </w:r>
      <w:r w:rsidRPr="001135B0">
        <w:rPr>
          <w:rFonts w:eastAsiaTheme="minorHAnsi"/>
          <w:lang w:eastAsia="en-US"/>
        </w:rPr>
        <w:t xml:space="preserve">. </w:t>
      </w:r>
    </w:p>
    <w:p w:rsidR="00F63813" w:rsidRDefault="00F63813" w:rsidP="008E6060">
      <w:pPr>
        <w:autoSpaceDE w:val="0"/>
        <w:autoSpaceDN w:val="0"/>
        <w:adjustRightInd w:val="0"/>
        <w:spacing w:line="360" w:lineRule="auto"/>
        <w:ind w:left="720"/>
        <w:jc w:val="both"/>
        <w:rPr>
          <w:rFonts w:eastAsiaTheme="minorHAnsi"/>
          <w:lang w:eastAsia="en-US"/>
        </w:rPr>
      </w:pPr>
    </w:p>
    <w:p w:rsidR="00A75007" w:rsidRPr="00706173" w:rsidRDefault="00A75007" w:rsidP="008E6060">
      <w:pPr>
        <w:autoSpaceDE w:val="0"/>
        <w:autoSpaceDN w:val="0"/>
        <w:adjustRightInd w:val="0"/>
        <w:spacing w:line="360" w:lineRule="auto"/>
        <w:ind w:left="720"/>
        <w:jc w:val="both"/>
        <w:rPr>
          <w:rFonts w:ascii="TimesNewRoman" w:eastAsiaTheme="minorHAnsi" w:hAnsi="TimesNewRoman" w:cs="TimesNewRoman"/>
          <w:lang w:eastAsia="en-US"/>
        </w:rPr>
      </w:pPr>
      <w:r w:rsidRPr="001135B0">
        <w:rPr>
          <w:rFonts w:eastAsiaTheme="minorHAnsi"/>
          <w:lang w:eastAsia="en-US"/>
        </w:rPr>
        <w:t xml:space="preserve">The total industry </w:t>
      </w:r>
      <w:r w:rsidR="008E6060">
        <w:rPr>
          <w:rFonts w:eastAsiaTheme="minorHAnsi"/>
          <w:lang w:eastAsia="en-US"/>
        </w:rPr>
        <w:t xml:space="preserve">domestic output </w:t>
      </w:r>
      <w:r w:rsidRPr="001135B0">
        <w:rPr>
          <w:rFonts w:eastAsiaTheme="minorHAnsi"/>
          <w:lang w:eastAsia="en-US"/>
        </w:rPr>
        <w:t xml:space="preserve">can be obtained from the </w:t>
      </w:r>
      <w:r>
        <w:t>Australian Supply Table - Supply by Product Group by Industry</w:t>
      </w:r>
      <w:r w:rsidRPr="001135B0">
        <w:rPr>
          <w:rFonts w:eastAsiaTheme="minorHAnsi"/>
          <w:lang w:eastAsia="en-US"/>
        </w:rPr>
        <w:t xml:space="preserve">. These three parameters are combined to compute the reallocation ratios, which </w:t>
      </w:r>
      <w:r>
        <w:rPr>
          <w:rFonts w:eastAsiaTheme="minorHAnsi"/>
          <w:lang w:eastAsia="en-US"/>
        </w:rPr>
        <w:t>are</w:t>
      </w:r>
      <w:r w:rsidRPr="001135B0">
        <w:rPr>
          <w:rFonts w:eastAsiaTheme="minorHAnsi"/>
          <w:lang w:eastAsia="en-US"/>
        </w:rPr>
        <w:t xml:space="preserve"> used as a secondary reallocation measure. </w:t>
      </w:r>
    </w:p>
    <w:p w:rsidR="00D12523" w:rsidRPr="001135B0" w:rsidRDefault="00D12523" w:rsidP="00891294">
      <w:pPr>
        <w:autoSpaceDE w:val="0"/>
        <w:autoSpaceDN w:val="0"/>
        <w:adjustRightInd w:val="0"/>
        <w:spacing w:line="360" w:lineRule="auto"/>
        <w:rPr>
          <w:rFonts w:eastAsiaTheme="minorHAnsi"/>
          <w:lang w:eastAsia="en-US"/>
        </w:rPr>
      </w:pPr>
    </w:p>
    <w:p w:rsidR="00A75007" w:rsidRPr="00C1666C" w:rsidRDefault="00506B82" w:rsidP="00A865F8">
      <w:pPr>
        <w:spacing w:line="360" w:lineRule="auto"/>
        <w:rPr>
          <w:rFonts w:asciiTheme="minorHAnsi" w:eastAsiaTheme="minorHAnsi" w:hAnsiTheme="minorHAnsi" w:cstheme="minorBidi"/>
          <w:lang w:eastAsia="en-US"/>
        </w:rPr>
      </w:pPr>
      <m:oMathPara>
        <m:oMathParaPr>
          <m:jc m:val="left"/>
        </m:oMathParaPr>
        <m:oMath>
          <m:sSub>
            <m:sSubPr>
              <m:ctrlPr>
                <w:rPr>
                  <w:rFonts w:ascii="Cambria Math" w:eastAsiaTheme="minorHAnsi" w:hAnsi="Cambria Math" w:cstheme="minorBidi"/>
                  <w:i/>
                  <w:lang w:eastAsia="en-US"/>
                </w:rPr>
              </m:ctrlPr>
            </m:sSubPr>
            <m:e>
              <m:r>
                <w:rPr>
                  <w:rFonts w:ascii="Cambria Math" w:eastAsiaTheme="minorHAnsi" w:hAnsi="Cambria Math" w:cstheme="minorBidi"/>
                  <w:lang w:eastAsia="en-US"/>
                </w:rPr>
                <m:t>Secondary Allocation Ratio</m:t>
              </m:r>
            </m:e>
            <m:sub>
              <m:r>
                <w:rPr>
                  <w:rFonts w:ascii="Cambria Math" w:eastAsiaTheme="minorHAnsi" w:hAnsi="Cambria Math" w:cstheme="minorBidi"/>
                  <w:lang w:eastAsia="en-US"/>
                </w:rPr>
                <m:t>ij</m:t>
              </m:r>
            </m:sub>
          </m:sSub>
          <m:r>
            <w:rPr>
              <w:rFonts w:ascii="Cambria Math" w:eastAsiaTheme="minorHAnsi" w:hAnsi="Cambria Math" w:cstheme="minorBidi"/>
              <w:lang w:eastAsia="en-US"/>
            </w:rPr>
            <m:t xml:space="preserve">= </m:t>
          </m:r>
          <m:f>
            <m:fPr>
              <m:ctrlPr>
                <w:rPr>
                  <w:rFonts w:ascii="Cambria Math" w:eastAsiaTheme="minorHAnsi" w:hAnsi="Cambria Math" w:cstheme="minorBidi"/>
                  <w:i/>
                  <w:lang w:eastAsia="en-US"/>
                </w:rPr>
              </m:ctrlPr>
            </m:fPr>
            <m:num>
              <m:r>
                <w:rPr>
                  <w:rFonts w:ascii="Cambria Math" w:eastAsiaTheme="minorHAnsi" w:hAnsi="Cambria Math" w:cstheme="minorBidi"/>
                  <w:lang w:eastAsia="en-US"/>
                </w:rPr>
                <m:t xml:space="preserve">weighted </m:t>
              </m:r>
              <m:sSub>
                <m:sSubPr>
                  <m:ctrlPr>
                    <w:rPr>
                      <w:rFonts w:ascii="Cambria Math" w:eastAsiaTheme="minorHAnsi" w:hAnsi="Cambria Math" w:cstheme="minorBidi"/>
                      <w:i/>
                      <w:lang w:eastAsia="en-US"/>
                    </w:rPr>
                  </m:ctrlPr>
                </m:sSubPr>
                <m:e>
                  <m:r>
                    <w:rPr>
                      <w:rFonts w:ascii="Cambria Math" w:eastAsiaTheme="minorHAnsi" w:hAnsi="Cambria Math" w:cstheme="minorBidi"/>
                      <w:lang w:eastAsia="en-US"/>
                    </w:rPr>
                    <m:t>emission conversion factor</m:t>
                  </m:r>
                </m:e>
                <m:sub>
                  <m:r>
                    <w:rPr>
                      <w:rFonts w:ascii="Cambria Math" w:eastAsiaTheme="minorHAnsi" w:hAnsi="Cambria Math" w:cstheme="minorBidi"/>
                      <w:lang w:eastAsia="en-US"/>
                    </w:rPr>
                    <m:t>ij</m:t>
                  </m:r>
                </m:sub>
              </m:sSub>
              <m:r>
                <w:rPr>
                  <w:rFonts w:ascii="Cambria Math" w:eastAsiaTheme="minorHAnsi" w:hAnsi="Cambria Math" w:cstheme="minorBidi"/>
                  <w:lang w:eastAsia="en-US"/>
                </w:rPr>
                <m:t>×</m:t>
              </m:r>
              <m:sSub>
                <m:sSubPr>
                  <m:ctrlPr>
                    <w:rPr>
                      <w:rFonts w:ascii="Cambria Math" w:eastAsiaTheme="minorHAnsi" w:hAnsi="Cambria Math" w:cstheme="minorBidi"/>
                      <w:i/>
                      <w:lang w:eastAsia="en-US"/>
                    </w:rPr>
                  </m:ctrlPr>
                </m:sSubPr>
                <m:e>
                  <m:r>
                    <w:rPr>
                      <w:rFonts w:ascii="Cambria Math" w:eastAsiaTheme="minorHAnsi" w:hAnsi="Cambria Math" w:cstheme="minorBidi"/>
                      <w:lang w:eastAsia="en-US"/>
                    </w:rPr>
                    <m:t>energy use ratio</m:t>
                  </m:r>
                </m:e>
                <m:sub>
                  <m:r>
                    <w:rPr>
                      <w:rFonts w:ascii="Cambria Math" w:eastAsiaTheme="minorHAnsi" w:hAnsi="Cambria Math" w:cstheme="minorBidi"/>
                      <w:lang w:eastAsia="en-US"/>
                    </w:rPr>
                    <m:t xml:space="preserve"> ij</m:t>
                  </m:r>
                </m:sub>
              </m:sSub>
              <m:r>
                <w:rPr>
                  <w:rFonts w:ascii="Cambria Math" w:eastAsiaTheme="minorHAnsi" w:hAnsi="Cambria Math" w:cstheme="minorBidi"/>
                  <w:lang w:eastAsia="en-US"/>
                </w:rPr>
                <m:t>×</m:t>
              </m:r>
              <m:sSub>
                <m:sSubPr>
                  <m:ctrlPr>
                    <w:rPr>
                      <w:rFonts w:ascii="Cambria Math" w:eastAsiaTheme="minorHAnsi" w:hAnsi="Cambria Math" w:cstheme="minorBidi"/>
                      <w:i/>
                      <w:lang w:eastAsia="en-US"/>
                    </w:rPr>
                  </m:ctrlPr>
                </m:sSubPr>
                <m:e>
                  <m:r>
                    <w:rPr>
                      <w:rFonts w:ascii="Cambria Math" w:eastAsiaTheme="minorHAnsi" w:hAnsi="Cambria Math" w:cstheme="minorBidi"/>
                      <w:lang w:eastAsia="en-US"/>
                    </w:rPr>
                    <m:t xml:space="preserve">total </m:t>
                  </m:r>
                  <m:r>
                    <w:rPr>
                      <w:rFonts w:ascii="Cambria Math" w:eastAsiaTheme="minorHAnsi" w:hAnsi="Cambria Math" w:cstheme="minorBidi"/>
                      <w:lang w:eastAsia="en-US"/>
                    </w:rPr>
                    <m:t>domestic output</m:t>
                  </m:r>
                </m:e>
                <m:sub>
                  <m:r>
                    <w:rPr>
                      <w:rFonts w:ascii="Cambria Math" w:eastAsiaTheme="minorHAnsi" w:hAnsi="Cambria Math" w:cstheme="minorBidi"/>
                      <w:lang w:eastAsia="en-US"/>
                    </w:rPr>
                    <m:t>ij</m:t>
                  </m:r>
                </m:sub>
              </m:sSub>
            </m:num>
            <m:den>
              <m:nary>
                <m:naryPr>
                  <m:chr m:val="∑"/>
                  <m:limLoc m:val="undOvr"/>
                  <m:subHide m:val="1"/>
                  <m:supHide m:val="1"/>
                  <m:ctrlPr>
                    <w:rPr>
                      <w:rFonts w:ascii="Cambria Math" w:eastAsiaTheme="minorHAnsi" w:hAnsi="Cambria Math" w:cstheme="minorBidi"/>
                      <w:i/>
                      <w:lang w:eastAsia="en-US"/>
                    </w:rPr>
                  </m:ctrlPr>
                </m:naryPr>
                <m:sub/>
                <m:sup/>
                <m:e>
                  <m:r>
                    <w:rPr>
                      <w:rFonts w:ascii="Cambria Math" w:eastAsiaTheme="minorHAnsi" w:hAnsi="Cambria Math" w:cstheme="minorBidi"/>
                      <w:lang w:eastAsia="en-US"/>
                    </w:rPr>
                    <m:t xml:space="preserve">weighted </m:t>
                  </m:r>
                  <m:sSub>
                    <m:sSubPr>
                      <m:ctrlPr>
                        <w:rPr>
                          <w:rFonts w:ascii="Cambria Math" w:eastAsiaTheme="minorHAnsi" w:hAnsi="Cambria Math" w:cstheme="minorBidi"/>
                          <w:i/>
                          <w:lang w:eastAsia="en-US"/>
                        </w:rPr>
                      </m:ctrlPr>
                    </m:sSubPr>
                    <m:e>
                      <m:r>
                        <w:rPr>
                          <w:rFonts w:ascii="Cambria Math" w:eastAsiaTheme="minorHAnsi" w:hAnsi="Cambria Math" w:cstheme="minorBidi"/>
                          <w:lang w:eastAsia="en-US"/>
                        </w:rPr>
                        <m:t>emission conversion factor</m:t>
                      </m:r>
                    </m:e>
                    <m:sub>
                      <m:r>
                        <w:rPr>
                          <w:rFonts w:ascii="Cambria Math" w:eastAsiaTheme="minorHAnsi" w:hAnsi="Cambria Math" w:cstheme="minorBidi"/>
                          <w:lang w:eastAsia="en-US"/>
                        </w:rPr>
                        <m:t>ij</m:t>
                      </m:r>
                    </m:sub>
                  </m:sSub>
                  <m:r>
                    <w:rPr>
                      <w:rFonts w:ascii="Cambria Math" w:eastAsiaTheme="minorHAnsi" w:hAnsi="Cambria Math" w:cstheme="minorBidi"/>
                      <w:lang w:eastAsia="en-US"/>
                    </w:rPr>
                    <m:t>×</m:t>
                  </m:r>
                  <m:sSub>
                    <m:sSubPr>
                      <m:ctrlPr>
                        <w:rPr>
                          <w:rFonts w:ascii="Cambria Math" w:eastAsiaTheme="minorHAnsi" w:hAnsi="Cambria Math" w:cstheme="minorBidi"/>
                          <w:i/>
                          <w:lang w:eastAsia="en-US"/>
                        </w:rPr>
                      </m:ctrlPr>
                    </m:sSubPr>
                    <m:e>
                      <m:r>
                        <w:rPr>
                          <w:rFonts w:ascii="Cambria Math" w:eastAsiaTheme="minorHAnsi" w:hAnsi="Cambria Math" w:cstheme="minorBidi"/>
                          <w:lang w:eastAsia="en-US"/>
                        </w:rPr>
                        <m:t>energy use ratio</m:t>
                      </m:r>
                    </m:e>
                    <m:sub>
                      <m:r>
                        <w:rPr>
                          <w:rFonts w:ascii="Cambria Math" w:eastAsiaTheme="minorHAnsi" w:hAnsi="Cambria Math" w:cstheme="minorBidi"/>
                          <w:lang w:eastAsia="en-US"/>
                        </w:rPr>
                        <m:t xml:space="preserve"> ij</m:t>
                      </m:r>
                    </m:sub>
                  </m:sSub>
                  <m:r>
                    <w:rPr>
                      <w:rFonts w:ascii="Cambria Math" w:eastAsiaTheme="minorHAnsi" w:hAnsi="Cambria Math" w:cstheme="minorBidi"/>
                      <w:lang w:eastAsia="en-US"/>
                    </w:rPr>
                    <m:t>×</m:t>
                  </m:r>
                  <m:sSub>
                    <m:sSubPr>
                      <m:ctrlPr>
                        <w:rPr>
                          <w:rFonts w:ascii="Cambria Math" w:eastAsiaTheme="minorHAnsi" w:hAnsi="Cambria Math" w:cstheme="minorBidi"/>
                          <w:i/>
                          <w:lang w:eastAsia="en-US"/>
                        </w:rPr>
                      </m:ctrlPr>
                    </m:sSubPr>
                    <m:e>
                      <m:r>
                        <w:rPr>
                          <w:rFonts w:ascii="Cambria Math" w:eastAsiaTheme="minorHAnsi" w:hAnsi="Cambria Math" w:cstheme="minorBidi"/>
                          <w:lang w:eastAsia="en-US"/>
                        </w:rPr>
                        <m:t xml:space="preserve">total </m:t>
                      </m:r>
                      <m:r>
                        <w:rPr>
                          <w:rFonts w:ascii="Cambria Math" w:eastAsiaTheme="minorHAnsi" w:hAnsi="Cambria Math" w:cstheme="minorBidi"/>
                          <w:lang w:eastAsia="en-US"/>
                        </w:rPr>
                        <m:t>domestic output</m:t>
                      </m:r>
                    </m:e>
                    <m:sub>
                      <m:r>
                        <w:rPr>
                          <w:rFonts w:ascii="Cambria Math" w:eastAsiaTheme="minorHAnsi" w:hAnsi="Cambria Math" w:cstheme="minorBidi"/>
                          <w:lang w:eastAsia="en-US"/>
                        </w:rPr>
                        <m:t>ij</m:t>
                      </m:r>
                    </m:sub>
                  </m:sSub>
                </m:e>
              </m:nary>
            </m:den>
          </m:f>
        </m:oMath>
      </m:oMathPara>
    </w:p>
    <w:p w:rsidR="00A75007" w:rsidRDefault="00A75007" w:rsidP="00891294">
      <w:pPr>
        <w:autoSpaceDE w:val="0"/>
        <w:autoSpaceDN w:val="0"/>
        <w:adjustRightInd w:val="0"/>
        <w:spacing w:line="360" w:lineRule="auto"/>
        <w:rPr>
          <w:rFonts w:ascii="TimesNewRoman" w:eastAsiaTheme="minorHAnsi" w:hAnsi="TimesNewRoman" w:cs="TimesNewRoman"/>
          <w:lang w:eastAsia="en-US"/>
        </w:rPr>
      </w:pPr>
    </w:p>
    <w:p w:rsidR="00F05974" w:rsidRDefault="00BE1727" w:rsidP="008E6060">
      <w:pPr>
        <w:autoSpaceDE w:val="0"/>
        <w:autoSpaceDN w:val="0"/>
        <w:adjustRightInd w:val="0"/>
        <w:spacing w:line="360" w:lineRule="auto"/>
        <w:ind w:left="720"/>
        <w:jc w:val="both"/>
        <w:rPr>
          <w:rFonts w:ascii="TimesNewRoman" w:eastAsiaTheme="minorHAnsi" w:hAnsi="TimesNewRoman" w:cs="TimesNewRoman"/>
          <w:b/>
          <w:i/>
          <w:lang w:eastAsia="en-US"/>
        </w:rPr>
      </w:pPr>
      <w:r>
        <w:rPr>
          <w:rFonts w:ascii="TimesNewRoman" w:eastAsiaTheme="minorHAnsi" w:hAnsi="TimesNewRoman" w:cs="TimesNewRoman"/>
          <w:lang w:eastAsia="en-US"/>
        </w:rPr>
        <w:t>The</w:t>
      </w:r>
      <w:r w:rsidR="00F05974">
        <w:rPr>
          <w:rFonts w:ascii="TimesNewRoman" w:eastAsiaTheme="minorHAnsi" w:hAnsi="TimesNewRoman" w:cs="TimesNewRoman"/>
          <w:lang w:eastAsia="en-US"/>
        </w:rPr>
        <w:t xml:space="preserve"> </w:t>
      </w:r>
      <w:proofErr w:type="spellStart"/>
      <w:r w:rsidR="00F05974" w:rsidRPr="00F05974">
        <w:rPr>
          <w:rFonts w:ascii="TimesNewRoman" w:eastAsiaTheme="minorHAnsi" w:hAnsi="TimesNewRoman" w:cs="TimesNewRoman"/>
          <w:b/>
          <w:i/>
          <w:lang w:eastAsia="en-US"/>
        </w:rPr>
        <w:t>i</w:t>
      </w:r>
      <w:proofErr w:type="spellEnd"/>
      <w:r w:rsidR="00F05974">
        <w:rPr>
          <w:rFonts w:ascii="TimesNewRoman" w:eastAsiaTheme="minorHAnsi" w:hAnsi="TimesNewRoman" w:cs="TimesNewRoman"/>
          <w:lang w:eastAsia="en-US"/>
        </w:rPr>
        <w:t xml:space="preserve"> is the number of the iteration for dissection whenever there is one DCCEE industry matching with</w:t>
      </w:r>
      <w:r>
        <w:rPr>
          <w:rFonts w:ascii="TimesNewRoman" w:eastAsiaTheme="minorHAnsi" w:hAnsi="TimesNewRoman" w:cs="TimesNewRoman"/>
          <w:lang w:eastAsia="en-US"/>
        </w:rPr>
        <w:t xml:space="preserve"> more than one IOIG industries and </w:t>
      </w:r>
      <w:r w:rsidRPr="00BE1727">
        <w:rPr>
          <w:rFonts w:ascii="TimesNewRoman" w:eastAsiaTheme="minorHAnsi" w:hAnsi="TimesNewRoman" w:cs="TimesNewRoman"/>
          <w:b/>
          <w:i/>
          <w:lang w:eastAsia="en-US"/>
        </w:rPr>
        <w:t>j</w:t>
      </w:r>
      <w:r>
        <w:rPr>
          <w:rFonts w:ascii="TimesNewRoman" w:eastAsiaTheme="minorHAnsi" w:hAnsi="TimesNewRoman" w:cs="TimesNewRoman"/>
          <w:b/>
          <w:i/>
          <w:lang w:eastAsia="en-US"/>
        </w:rPr>
        <w:t xml:space="preserve"> </w:t>
      </w:r>
      <w:r w:rsidRPr="00BE1727">
        <w:rPr>
          <w:rFonts w:ascii="TimesNewRoman" w:eastAsiaTheme="minorHAnsi" w:hAnsi="TimesNewRoman" w:cs="TimesNewRoman"/>
          <w:lang w:eastAsia="en-US"/>
        </w:rPr>
        <w:t>is the number of IOIG industry that are matched with one DCCEE industry in any part</w:t>
      </w:r>
      <w:r>
        <w:rPr>
          <w:rFonts w:ascii="TimesNewRoman" w:eastAsiaTheme="minorHAnsi" w:hAnsi="TimesNewRoman" w:cs="TimesNewRoman"/>
          <w:lang w:eastAsia="en-US"/>
        </w:rPr>
        <w:t>icular iteration of dissection.</w:t>
      </w:r>
    </w:p>
    <w:p w:rsidR="00BE1727" w:rsidRDefault="00BE1727" w:rsidP="00BA098E">
      <w:pPr>
        <w:autoSpaceDE w:val="0"/>
        <w:autoSpaceDN w:val="0"/>
        <w:adjustRightInd w:val="0"/>
        <w:spacing w:line="360" w:lineRule="auto"/>
        <w:jc w:val="both"/>
        <w:rPr>
          <w:rFonts w:ascii="TimesNewRoman" w:eastAsiaTheme="minorHAnsi" w:hAnsi="TimesNewRoman" w:cs="TimesNewRoman"/>
          <w:lang w:eastAsia="en-US"/>
        </w:rPr>
      </w:pPr>
    </w:p>
    <w:p w:rsidR="00172202" w:rsidRDefault="00172202" w:rsidP="00BA098E">
      <w:pPr>
        <w:autoSpaceDE w:val="0"/>
        <w:autoSpaceDN w:val="0"/>
        <w:adjustRightInd w:val="0"/>
        <w:spacing w:line="360" w:lineRule="auto"/>
        <w:jc w:val="both"/>
        <w:rPr>
          <w:rFonts w:ascii="TimesNewRoman" w:eastAsiaTheme="minorHAnsi" w:hAnsi="TimesNewRoman" w:cs="TimesNewRoman"/>
          <w:lang w:eastAsia="en-US"/>
        </w:rPr>
      </w:pPr>
      <w:r>
        <w:rPr>
          <w:rFonts w:ascii="TimesNewRoman" w:eastAsiaTheme="minorHAnsi" w:hAnsi="TimesNewRoman" w:cs="TimesNewRoman"/>
          <w:lang w:eastAsia="en-US"/>
        </w:rPr>
        <w:t>In addition</w:t>
      </w:r>
      <w:r w:rsidR="008E6060">
        <w:rPr>
          <w:rFonts w:ascii="TimesNewRoman" w:eastAsiaTheme="minorHAnsi" w:hAnsi="TimesNewRoman" w:cs="TimesNewRoman"/>
          <w:lang w:eastAsia="en-US"/>
        </w:rPr>
        <w:t xml:space="preserve"> to the four-factor dissection technique</w:t>
      </w:r>
      <w:r>
        <w:rPr>
          <w:rFonts w:ascii="TimesNewRoman" w:eastAsiaTheme="minorHAnsi" w:hAnsi="TimesNewRoman" w:cs="TimesNewRoman"/>
          <w:lang w:eastAsia="en-US"/>
        </w:rPr>
        <w:t xml:space="preserve">, there are allocations based on the idiosyncratic characteristics of the industries. </w:t>
      </w:r>
      <w:r w:rsidR="00891294">
        <w:rPr>
          <w:rFonts w:ascii="TimesNewRoman" w:eastAsiaTheme="minorHAnsi" w:hAnsi="TimesNewRoman" w:cs="TimesNewRoman"/>
          <w:lang w:eastAsia="en-US"/>
        </w:rPr>
        <w:t xml:space="preserve">For instance, the </w:t>
      </w:r>
      <w:r w:rsidR="00506B82">
        <w:rPr>
          <w:rFonts w:ascii="TimesNewRoman" w:eastAsiaTheme="minorHAnsi" w:hAnsi="TimesNewRoman" w:cs="TimesNewRoman"/>
          <w:lang w:eastAsia="en-US"/>
        </w:rPr>
        <w:t xml:space="preserve">direct </w:t>
      </w:r>
      <w:r w:rsidR="00891294">
        <w:rPr>
          <w:rFonts w:ascii="TimesNewRoman" w:eastAsiaTheme="minorHAnsi" w:hAnsi="TimesNewRoman" w:cs="TimesNewRoman"/>
          <w:lang w:eastAsia="en-US"/>
        </w:rPr>
        <w:t>emissions for</w:t>
      </w:r>
      <w:r w:rsidRPr="00172202">
        <w:rPr>
          <w:rFonts w:ascii="TimesNewRoman" w:eastAsiaTheme="minorHAnsi" w:hAnsi="TimesNewRoman" w:cs="TimesNewRoman"/>
          <w:lang w:eastAsia="en-US"/>
        </w:rPr>
        <w:t xml:space="preserve"> Electricity Supply</w:t>
      </w:r>
      <w:r>
        <w:rPr>
          <w:rFonts w:ascii="TimesNewRoman" w:eastAsiaTheme="minorHAnsi" w:hAnsi="TimesNewRoman" w:cs="TimesNewRoman"/>
          <w:lang w:eastAsia="en-US"/>
        </w:rPr>
        <w:t xml:space="preserve"> is entirely allocated towards the 2601 </w:t>
      </w:r>
      <w:r w:rsidRPr="00172202">
        <w:rPr>
          <w:rFonts w:ascii="TimesNewRoman" w:eastAsiaTheme="minorHAnsi" w:hAnsi="TimesNewRoman" w:cs="TimesNewRoman"/>
          <w:lang w:eastAsia="en-US"/>
        </w:rPr>
        <w:lastRenderedPageBreak/>
        <w:t>Electricity Generation</w:t>
      </w:r>
      <w:r>
        <w:rPr>
          <w:rFonts w:ascii="TimesNewRoman" w:eastAsiaTheme="minorHAnsi" w:hAnsi="TimesNewRoman" w:cs="TimesNewRoman"/>
          <w:lang w:eastAsia="en-US"/>
        </w:rPr>
        <w:t xml:space="preserve"> with no direct emissions assigned to 2605 </w:t>
      </w:r>
      <w:r w:rsidRPr="00172202">
        <w:rPr>
          <w:rFonts w:ascii="TimesNewRoman" w:eastAsiaTheme="minorHAnsi" w:hAnsi="TimesNewRoman" w:cs="TimesNewRoman"/>
          <w:lang w:eastAsia="en-US"/>
        </w:rPr>
        <w:t>Electricity Transmission, Distribution, On Selling and Electricity Market Operation</w:t>
      </w:r>
      <w:r>
        <w:rPr>
          <w:rFonts w:ascii="TimesNewRoman" w:eastAsiaTheme="minorHAnsi" w:hAnsi="TimesNewRoman" w:cs="TimesNewRoman"/>
          <w:lang w:eastAsia="en-US"/>
        </w:rPr>
        <w:t xml:space="preserve">. Another example is the emissions due to the industrial process </w:t>
      </w:r>
      <w:r w:rsidR="00891294">
        <w:rPr>
          <w:rFonts w:ascii="TimesNewRoman" w:eastAsiaTheme="minorHAnsi" w:hAnsi="TimesNewRoman" w:cs="TimesNewRoman"/>
          <w:lang w:eastAsia="en-US"/>
        </w:rPr>
        <w:t xml:space="preserve">for </w:t>
      </w:r>
      <w:r w:rsidR="00891294" w:rsidRPr="00172202">
        <w:rPr>
          <w:rFonts w:ascii="TimesNewRoman" w:eastAsiaTheme="minorHAnsi" w:hAnsi="TimesNewRoman" w:cs="TimesNewRoman"/>
          <w:lang w:eastAsia="en-US"/>
        </w:rPr>
        <w:t>Cement</w:t>
      </w:r>
      <w:r w:rsidRPr="00172202">
        <w:rPr>
          <w:rFonts w:ascii="TimesNewRoman" w:eastAsiaTheme="minorHAnsi" w:hAnsi="TimesNewRoman" w:cs="TimesNewRoman"/>
          <w:lang w:eastAsia="en-US"/>
        </w:rPr>
        <w:t>, Lime, Plaster and Concrete Product Manufacturing</w:t>
      </w:r>
      <w:r>
        <w:rPr>
          <w:rFonts w:ascii="TimesNewRoman" w:eastAsiaTheme="minorHAnsi" w:hAnsi="TimesNewRoman" w:cs="TimesNewRoman"/>
          <w:lang w:eastAsia="en-US"/>
        </w:rPr>
        <w:t xml:space="preserve"> is entirely assigned to the 2003 </w:t>
      </w:r>
      <w:r w:rsidRPr="00172202">
        <w:rPr>
          <w:rFonts w:ascii="TimesNewRoman" w:eastAsiaTheme="minorHAnsi" w:hAnsi="TimesNewRoman" w:cs="TimesNewRoman"/>
          <w:lang w:eastAsia="en-US"/>
        </w:rPr>
        <w:t>Cement, Lime and Ready-Mixed Concrete Manufacturing</w:t>
      </w:r>
      <w:r>
        <w:rPr>
          <w:rFonts w:ascii="TimesNewRoman" w:eastAsiaTheme="minorHAnsi" w:hAnsi="TimesNewRoman" w:cs="TimesNewRoman"/>
          <w:lang w:eastAsia="en-US"/>
        </w:rPr>
        <w:t>.</w:t>
      </w:r>
    </w:p>
    <w:p w:rsidR="00891294" w:rsidRDefault="00891294" w:rsidP="00BA098E">
      <w:pPr>
        <w:autoSpaceDE w:val="0"/>
        <w:autoSpaceDN w:val="0"/>
        <w:adjustRightInd w:val="0"/>
        <w:spacing w:line="360" w:lineRule="auto"/>
        <w:jc w:val="both"/>
        <w:rPr>
          <w:rFonts w:ascii="TimesNewRoman" w:eastAsiaTheme="minorHAnsi" w:hAnsi="TimesNewRoman" w:cs="TimesNewRoman"/>
          <w:lang w:eastAsia="en-US"/>
        </w:rPr>
      </w:pPr>
    </w:p>
    <w:p w:rsidR="004E7E8D" w:rsidRPr="00BC31A6" w:rsidRDefault="00BC31A6" w:rsidP="00BC31A6">
      <w:pPr>
        <w:spacing w:line="360" w:lineRule="auto"/>
        <w:contextualSpacing/>
        <w:rPr>
          <w:b/>
          <w:szCs w:val="28"/>
        </w:rPr>
      </w:pPr>
      <w:r w:rsidRPr="00BC31A6">
        <w:rPr>
          <w:b/>
          <w:szCs w:val="28"/>
        </w:rPr>
        <w:t>3.5</w:t>
      </w:r>
      <w:r w:rsidRPr="00BC31A6">
        <w:rPr>
          <w:b/>
          <w:szCs w:val="28"/>
        </w:rPr>
        <w:tab/>
        <w:t>Input-Output Model</w:t>
      </w:r>
    </w:p>
    <w:p w:rsidR="00054964" w:rsidRDefault="00054964" w:rsidP="00BA098E">
      <w:pPr>
        <w:spacing w:line="360" w:lineRule="auto"/>
        <w:contextualSpacing/>
        <w:jc w:val="both"/>
        <w:rPr>
          <w:rFonts w:eastAsiaTheme="minorHAnsi"/>
          <w:lang w:eastAsia="en-US"/>
        </w:rPr>
      </w:pPr>
    </w:p>
    <w:p w:rsidR="00BA098E" w:rsidRDefault="00BA098E" w:rsidP="00BA098E">
      <w:pPr>
        <w:spacing w:line="360" w:lineRule="auto"/>
        <w:contextualSpacing/>
        <w:jc w:val="both"/>
        <w:rPr>
          <w:rFonts w:eastAsiaTheme="minorHAnsi"/>
          <w:lang w:eastAsia="en-US"/>
        </w:rPr>
      </w:pPr>
      <w:r w:rsidRPr="00331247">
        <w:rPr>
          <w:rFonts w:eastAsiaTheme="minorHAnsi"/>
          <w:lang w:eastAsia="en-US"/>
        </w:rPr>
        <w:t xml:space="preserve">This paper follows the standard approach of </w:t>
      </w:r>
      <w:r>
        <w:rPr>
          <w:rFonts w:eastAsiaTheme="minorHAnsi"/>
          <w:lang w:eastAsia="en-US"/>
        </w:rPr>
        <w:t xml:space="preserve">IO analysis by </w:t>
      </w:r>
      <w:r w:rsidR="009B18F2">
        <w:rPr>
          <w:rFonts w:eastAsiaTheme="minorHAnsi"/>
          <w:lang w:eastAsia="en-US"/>
        </w:rPr>
        <w:t>applying</w:t>
      </w:r>
      <w:r>
        <w:rPr>
          <w:rFonts w:eastAsiaTheme="minorHAnsi"/>
          <w:lang w:eastAsia="en-US"/>
        </w:rPr>
        <w:t xml:space="preserve"> the </w:t>
      </w:r>
      <w:r w:rsidR="00506B82">
        <w:rPr>
          <w:rFonts w:eastAsiaTheme="minorHAnsi"/>
          <w:lang w:eastAsia="en-US"/>
        </w:rPr>
        <w:t xml:space="preserve">domestic direct </w:t>
      </w:r>
      <w:r>
        <w:rPr>
          <w:rFonts w:eastAsiaTheme="minorHAnsi"/>
          <w:lang w:eastAsia="en-US"/>
        </w:rPr>
        <w:t xml:space="preserve">emission intensity vector to the Leontief inverse and direct requirement matrix </w:t>
      </w:r>
      <w:r w:rsidR="009B18F2">
        <w:rPr>
          <w:rFonts w:eastAsiaTheme="minorHAnsi"/>
          <w:lang w:eastAsia="en-US"/>
        </w:rPr>
        <w:t xml:space="preserve">of </w:t>
      </w:r>
      <w:r>
        <w:rPr>
          <w:rFonts w:eastAsiaTheme="minorHAnsi"/>
          <w:lang w:eastAsia="en-US"/>
        </w:rPr>
        <w:t>final demand.</w:t>
      </w:r>
    </w:p>
    <w:p w:rsidR="00BA098E" w:rsidRDefault="00BA098E" w:rsidP="00BA098E">
      <w:pPr>
        <w:autoSpaceDE w:val="0"/>
        <w:autoSpaceDN w:val="0"/>
        <w:adjustRightInd w:val="0"/>
        <w:spacing w:line="360" w:lineRule="auto"/>
        <w:jc w:val="both"/>
        <w:rPr>
          <w:rFonts w:eastAsiaTheme="minorHAnsi"/>
          <w:lang w:eastAsia="en-US"/>
        </w:rPr>
      </w:pPr>
    </w:p>
    <w:p w:rsidR="00BA098E" w:rsidRDefault="00BA098E" w:rsidP="00BA098E">
      <w:pPr>
        <w:autoSpaceDE w:val="0"/>
        <w:autoSpaceDN w:val="0"/>
        <w:adjustRightInd w:val="0"/>
        <w:spacing w:line="360" w:lineRule="auto"/>
        <w:jc w:val="both"/>
        <w:rPr>
          <w:rFonts w:eastAsiaTheme="minorHAnsi"/>
          <w:lang w:eastAsia="en-US"/>
        </w:rPr>
      </w:pPr>
      <w:r>
        <w:t xml:space="preserve">The </w:t>
      </w:r>
      <w:r w:rsidR="004E7E8D">
        <w:t xml:space="preserve">Australian </w:t>
      </w:r>
      <w:r>
        <w:t xml:space="preserve">IO Table 8 - Industry by Industry Flow Table (Indirect Allocation of Imports) </w:t>
      </w:r>
      <w:r w:rsidR="009C3CD5">
        <w:rPr>
          <w:rFonts w:eastAsiaTheme="minorHAnsi"/>
          <w:lang w:eastAsia="en-US"/>
        </w:rPr>
        <w:t xml:space="preserve">(Cat. </w:t>
      </w:r>
      <w:r w:rsidR="009C3CD5">
        <w:t>5209.0.55.001</w:t>
      </w:r>
      <w:r w:rsidR="009C3CD5">
        <w:rPr>
          <w:rFonts w:eastAsiaTheme="minorHAnsi"/>
          <w:lang w:eastAsia="en-US"/>
        </w:rPr>
        <w:t>)</w:t>
      </w:r>
      <w:r w:rsidR="009C3CD5">
        <w:t xml:space="preserve"> </w:t>
      </w:r>
      <w:r>
        <w:rPr>
          <w:rFonts w:eastAsiaTheme="minorHAnsi"/>
          <w:lang w:eastAsia="en-US"/>
        </w:rPr>
        <w:t>is employed to incorporate the embodied emission</w:t>
      </w:r>
      <w:r w:rsidR="002655E8">
        <w:rPr>
          <w:rFonts w:eastAsiaTheme="minorHAnsi"/>
          <w:lang w:eastAsia="en-US"/>
        </w:rPr>
        <w:t>s</w:t>
      </w:r>
      <w:r>
        <w:rPr>
          <w:rFonts w:eastAsiaTheme="minorHAnsi"/>
          <w:lang w:eastAsia="en-US"/>
        </w:rPr>
        <w:t xml:space="preserve"> from imports. This method </w:t>
      </w:r>
      <w:r w:rsidRPr="003457CA">
        <w:rPr>
          <w:rFonts w:eastAsiaTheme="minorHAnsi"/>
          <w:lang w:eastAsia="en-US"/>
        </w:rPr>
        <w:t>treats imports as though they were produced by Australian industries (referred to as indirect allocation of imports).  It does this by grossing up inputs by the amount of imports</w:t>
      </w:r>
      <w:r>
        <w:rPr>
          <w:rFonts w:eastAsiaTheme="minorHAnsi"/>
          <w:lang w:eastAsia="en-US"/>
        </w:rPr>
        <w:t xml:space="preserve"> based on the</w:t>
      </w:r>
      <w:r w:rsidRPr="003457CA">
        <w:rPr>
          <w:rFonts w:eastAsiaTheme="minorHAnsi"/>
          <w:lang w:eastAsia="en-US"/>
        </w:rPr>
        <w:t xml:space="preserve"> characteristic of that industry's products. This treatment flows through to the derived IO tables 9</w:t>
      </w:r>
      <w:r w:rsidR="004E7E8D" w:rsidRPr="004E7E8D">
        <w:t xml:space="preserve"> </w:t>
      </w:r>
      <w:r w:rsidR="004E7E8D">
        <w:t>- Direct Requirement Coefficients (Indirect Allocation of Imports)</w:t>
      </w:r>
      <w:r w:rsidRPr="003457CA">
        <w:rPr>
          <w:rFonts w:eastAsiaTheme="minorHAnsi"/>
          <w:lang w:eastAsia="en-US"/>
        </w:rPr>
        <w:t xml:space="preserve"> and 10</w:t>
      </w:r>
      <w:r w:rsidR="004E7E8D">
        <w:rPr>
          <w:rFonts w:eastAsiaTheme="minorHAnsi"/>
          <w:lang w:eastAsia="en-US"/>
        </w:rPr>
        <w:t xml:space="preserve"> - </w:t>
      </w:r>
      <w:r w:rsidR="004E7E8D">
        <w:t>Total Requirement Coefficients (Indirect Allocation of Imports)</w:t>
      </w:r>
      <w:r w:rsidR="009C3CD5" w:rsidRPr="009C3CD5">
        <w:rPr>
          <w:rFonts w:eastAsiaTheme="minorHAnsi"/>
          <w:lang w:eastAsia="en-US"/>
        </w:rPr>
        <w:t xml:space="preserve"> </w:t>
      </w:r>
      <w:r w:rsidR="009C3CD5">
        <w:rPr>
          <w:rFonts w:eastAsiaTheme="minorHAnsi"/>
          <w:lang w:eastAsia="en-US"/>
        </w:rPr>
        <w:t xml:space="preserve">(Cat. </w:t>
      </w:r>
      <w:r w:rsidR="009C3CD5">
        <w:t>5209.0.55.001</w:t>
      </w:r>
      <w:r w:rsidR="009C3CD5">
        <w:rPr>
          <w:rFonts w:eastAsiaTheme="minorHAnsi"/>
          <w:lang w:eastAsia="en-US"/>
        </w:rPr>
        <w:t>)</w:t>
      </w:r>
      <w:r w:rsidRPr="003457CA">
        <w:rPr>
          <w:rFonts w:eastAsiaTheme="minorHAnsi"/>
          <w:lang w:eastAsia="en-US"/>
        </w:rPr>
        <w:t xml:space="preserve">. </w:t>
      </w:r>
    </w:p>
    <w:p w:rsidR="00BA098E" w:rsidRDefault="00BA098E" w:rsidP="00BA098E">
      <w:pPr>
        <w:autoSpaceDE w:val="0"/>
        <w:autoSpaceDN w:val="0"/>
        <w:adjustRightInd w:val="0"/>
        <w:spacing w:line="360" w:lineRule="auto"/>
        <w:jc w:val="both"/>
        <w:rPr>
          <w:rFonts w:eastAsiaTheme="minorHAnsi"/>
          <w:lang w:eastAsia="en-US"/>
        </w:rPr>
      </w:pPr>
    </w:p>
    <w:p w:rsidR="00BA098E" w:rsidRDefault="00BA098E" w:rsidP="00BA098E">
      <w:pPr>
        <w:autoSpaceDE w:val="0"/>
        <w:autoSpaceDN w:val="0"/>
        <w:adjustRightInd w:val="0"/>
        <w:spacing w:line="360" w:lineRule="auto"/>
        <w:jc w:val="both"/>
        <w:rPr>
          <w:rFonts w:eastAsiaTheme="minorHAnsi"/>
          <w:lang w:eastAsia="en-US"/>
        </w:rPr>
      </w:pPr>
      <w:r w:rsidRPr="00EC5FA4">
        <w:rPr>
          <w:rFonts w:eastAsiaTheme="minorHAnsi"/>
          <w:lang w:eastAsia="en-US"/>
        </w:rPr>
        <w:t>The simplest environmental extension of the IO model is through a pre-multiplication of the monetary IO table by a vector of “emissions intensity” coefficients. This study embraces the same basic IO model from the ABS (2001).</w:t>
      </w:r>
      <w:r w:rsidR="00506B82">
        <w:rPr>
          <w:rFonts w:eastAsiaTheme="minorHAnsi"/>
          <w:lang w:eastAsia="en-US"/>
        </w:rPr>
        <w:t xml:space="preserve"> </w:t>
      </w:r>
      <w:r w:rsidRPr="00EC5FA4">
        <w:rPr>
          <w:rFonts w:eastAsiaTheme="minorHAnsi"/>
          <w:lang w:eastAsia="en-US"/>
        </w:rPr>
        <w:t>The underlying monetary input-output tables have an indirect allocation of competing imports, and the theoretical model is developed accordingly.  The model is represented by the following identities of IO variables:</w:t>
      </w:r>
    </w:p>
    <w:p w:rsidR="00BA098E" w:rsidRPr="001F4871" w:rsidRDefault="00BA098E" w:rsidP="00BA098E">
      <w:pPr>
        <w:autoSpaceDE w:val="0"/>
        <w:autoSpaceDN w:val="0"/>
        <w:adjustRightInd w:val="0"/>
        <w:spacing w:line="360" w:lineRule="auto"/>
        <w:jc w:val="both"/>
        <w:rPr>
          <w:rFonts w:eastAsiaTheme="minorHAnsi"/>
          <w:lang w:eastAsia="en-US"/>
        </w:rPr>
      </w:pPr>
    </w:p>
    <w:p w:rsidR="00BC1189" w:rsidRDefault="00BC1189" w:rsidP="00BC31A6">
      <w:pPr>
        <w:keepNext/>
        <w:autoSpaceDE w:val="0"/>
        <w:autoSpaceDN w:val="0"/>
        <w:adjustRightInd w:val="0"/>
        <w:spacing w:line="360" w:lineRule="auto"/>
        <w:outlineLvl w:val="6"/>
        <w:rPr>
          <w:b/>
          <w:bCs/>
          <w:color w:val="000000"/>
          <w:lang w:val="en-US" w:eastAsia="en-US"/>
        </w:rPr>
      </w:pPr>
      <w:r>
        <w:rPr>
          <w:bCs/>
          <w:color w:val="000000"/>
          <w:lang w:val="en-US" w:eastAsia="en-US"/>
        </w:rPr>
        <w:t xml:space="preserve">Denote </w:t>
      </w:r>
      <w:r w:rsidRPr="00BC1189">
        <w:rPr>
          <w:bCs/>
          <w:color w:val="000000"/>
          <w:lang w:val="en-US" w:eastAsia="en-US"/>
        </w:rPr>
        <w:t>Supply</w:t>
      </w:r>
      <w:r>
        <w:rPr>
          <w:bCs/>
          <w:color w:val="000000"/>
          <w:lang w:val="en-US" w:eastAsia="en-US"/>
        </w:rPr>
        <w:t xml:space="preserve"> as </w:t>
      </w:r>
      <w:r w:rsidRPr="00BC1189">
        <w:rPr>
          <w:b/>
          <w:bCs/>
          <w:color w:val="000000"/>
          <w:lang w:val="en-US" w:eastAsia="en-US"/>
        </w:rPr>
        <w:t>S</w:t>
      </w:r>
      <w:r w:rsidR="0020795E">
        <w:rPr>
          <w:bCs/>
          <w:color w:val="000000"/>
          <w:lang w:val="en-US" w:eastAsia="en-US"/>
        </w:rPr>
        <w:t>, U</w:t>
      </w:r>
      <w:r>
        <w:rPr>
          <w:bCs/>
          <w:color w:val="000000"/>
          <w:lang w:val="en-US" w:eastAsia="en-US"/>
        </w:rPr>
        <w:t xml:space="preserve">se as </w:t>
      </w:r>
      <w:r w:rsidRPr="00BC1189">
        <w:rPr>
          <w:b/>
          <w:bCs/>
          <w:color w:val="000000"/>
          <w:lang w:val="en-US" w:eastAsia="en-US"/>
        </w:rPr>
        <w:t>U</w:t>
      </w:r>
      <w:r w:rsidR="0020795E">
        <w:rPr>
          <w:bCs/>
          <w:color w:val="000000"/>
          <w:lang w:val="en-US" w:eastAsia="en-US"/>
        </w:rPr>
        <w:t>, Intermediate C</w:t>
      </w:r>
      <w:r>
        <w:rPr>
          <w:bCs/>
          <w:color w:val="000000"/>
          <w:lang w:val="en-US" w:eastAsia="en-US"/>
        </w:rPr>
        <w:t xml:space="preserve">onsumption as </w:t>
      </w:r>
      <w:r w:rsidRPr="00506B82">
        <w:rPr>
          <w:b/>
          <w:bCs/>
          <w:color w:val="000000"/>
          <w:lang w:val="en-US" w:eastAsia="en-US"/>
        </w:rPr>
        <w:t>Z</w:t>
      </w:r>
      <w:r>
        <w:rPr>
          <w:bCs/>
          <w:color w:val="000000"/>
          <w:lang w:val="en-US" w:eastAsia="en-US"/>
        </w:rPr>
        <w:t xml:space="preserve">, Household final consumption as </w:t>
      </w:r>
      <w:r w:rsidRPr="00BC1189">
        <w:rPr>
          <w:b/>
          <w:bCs/>
          <w:color w:val="000000"/>
          <w:lang w:val="en-US" w:eastAsia="en-US"/>
        </w:rPr>
        <w:t>H</w:t>
      </w:r>
      <w:r>
        <w:rPr>
          <w:bCs/>
          <w:color w:val="000000"/>
          <w:lang w:val="en-US" w:eastAsia="en-US"/>
        </w:rPr>
        <w:t xml:space="preserve">, Government final consumption as </w:t>
      </w:r>
      <w:r w:rsidRPr="00BC1189">
        <w:rPr>
          <w:b/>
          <w:bCs/>
          <w:color w:val="000000"/>
          <w:lang w:val="en-US" w:eastAsia="en-US"/>
        </w:rPr>
        <w:t>G</w:t>
      </w:r>
      <w:r>
        <w:rPr>
          <w:bCs/>
          <w:color w:val="000000"/>
          <w:lang w:val="en-US" w:eastAsia="en-US"/>
        </w:rPr>
        <w:t xml:space="preserve">, </w:t>
      </w:r>
      <w:r w:rsidR="00212094">
        <w:rPr>
          <w:bCs/>
          <w:color w:val="000000"/>
          <w:lang w:val="en-US" w:eastAsia="en-US"/>
        </w:rPr>
        <w:t>Gross capital formation</w:t>
      </w:r>
      <w:r>
        <w:rPr>
          <w:bCs/>
          <w:color w:val="000000"/>
          <w:lang w:val="en-US" w:eastAsia="en-US"/>
        </w:rPr>
        <w:t xml:space="preserve"> as </w:t>
      </w:r>
      <w:r w:rsidRPr="00BC1189">
        <w:rPr>
          <w:b/>
          <w:bCs/>
          <w:color w:val="000000"/>
          <w:lang w:val="en-US" w:eastAsia="en-US"/>
        </w:rPr>
        <w:t>K</w:t>
      </w:r>
      <w:r w:rsidR="0020795E">
        <w:rPr>
          <w:b/>
          <w:bCs/>
          <w:color w:val="000000"/>
          <w:lang w:val="en-US" w:eastAsia="en-US"/>
        </w:rPr>
        <w:t>,</w:t>
      </w:r>
      <w:r>
        <w:rPr>
          <w:bCs/>
          <w:color w:val="000000"/>
          <w:lang w:val="en-US" w:eastAsia="en-US"/>
        </w:rPr>
        <w:t xml:space="preserve"> and Exports as </w:t>
      </w:r>
      <w:r w:rsidRPr="00BC1189">
        <w:rPr>
          <w:b/>
          <w:bCs/>
          <w:color w:val="000000"/>
          <w:lang w:val="en-US" w:eastAsia="en-US"/>
        </w:rPr>
        <w:t>X</w:t>
      </w:r>
      <w:r>
        <w:rPr>
          <w:b/>
          <w:bCs/>
          <w:color w:val="000000"/>
          <w:lang w:val="en-US" w:eastAsia="en-US"/>
        </w:rPr>
        <w:t>.</w:t>
      </w:r>
    </w:p>
    <w:p w:rsidR="00BC1189" w:rsidRDefault="00BC1189" w:rsidP="00BC31A6">
      <w:pPr>
        <w:keepNext/>
        <w:autoSpaceDE w:val="0"/>
        <w:autoSpaceDN w:val="0"/>
        <w:adjustRightInd w:val="0"/>
        <w:spacing w:line="360" w:lineRule="auto"/>
        <w:outlineLvl w:val="6"/>
        <w:rPr>
          <w:bCs/>
          <w:color w:val="000000"/>
          <w:lang w:val="en-US" w:eastAsia="en-US"/>
        </w:rPr>
      </w:pPr>
    </w:p>
    <w:p w:rsidR="00BC31A6" w:rsidRPr="00BC31A6" w:rsidRDefault="00BC31A6" w:rsidP="00BC31A6">
      <w:pPr>
        <w:keepNext/>
        <w:autoSpaceDE w:val="0"/>
        <w:autoSpaceDN w:val="0"/>
        <w:adjustRightInd w:val="0"/>
        <w:spacing w:line="360" w:lineRule="auto"/>
        <w:outlineLvl w:val="6"/>
        <w:rPr>
          <w:bCs/>
          <w:color w:val="000000"/>
          <w:lang w:val="en-US" w:eastAsia="en-US"/>
        </w:rPr>
      </w:pPr>
      <w:r w:rsidRPr="00BC31A6">
        <w:rPr>
          <w:bCs/>
          <w:color w:val="000000"/>
          <w:lang w:val="en-US" w:eastAsia="en-US"/>
        </w:rPr>
        <w:t>(3.</w:t>
      </w:r>
      <w:r w:rsidR="00404B2F">
        <w:rPr>
          <w:bCs/>
          <w:color w:val="000000"/>
          <w:lang w:val="en-US" w:eastAsia="en-US"/>
        </w:rPr>
        <w:t>1</w:t>
      </w:r>
      <w:r w:rsidRPr="00BC31A6">
        <w:rPr>
          <w:bCs/>
          <w:color w:val="000000"/>
          <w:lang w:val="en-US" w:eastAsia="en-US"/>
        </w:rPr>
        <w:t>)</w:t>
      </w:r>
      <w:r w:rsidRPr="00BC31A6">
        <w:rPr>
          <w:bCs/>
          <w:color w:val="000000"/>
          <w:lang w:val="en-US" w:eastAsia="en-US"/>
        </w:rPr>
        <w:tab/>
      </w:r>
      <w:r w:rsidRPr="00BC31A6">
        <w:rPr>
          <w:bCs/>
          <w:color w:val="000000"/>
          <w:lang w:val="en-US" w:eastAsia="en-US"/>
        </w:rPr>
        <w:tab/>
      </w:r>
      <m:oMath>
        <m:r>
          <m:rPr>
            <m:sty m:val="b"/>
          </m:rPr>
          <w:rPr>
            <w:rFonts w:ascii="Cambria Math" w:hAnsi="Cambria Math"/>
            <w:color w:val="000000"/>
            <w:lang w:val="en-US" w:eastAsia="en-US"/>
          </w:rPr>
          <m:t>Supply=Use</m:t>
        </m:r>
      </m:oMath>
    </w:p>
    <w:p w:rsidR="00BC31A6" w:rsidRPr="00BC31A6" w:rsidRDefault="00BC31A6" w:rsidP="00BC31A6">
      <w:pPr>
        <w:keepNext/>
        <w:autoSpaceDE w:val="0"/>
        <w:autoSpaceDN w:val="0"/>
        <w:adjustRightInd w:val="0"/>
        <w:spacing w:line="360" w:lineRule="auto"/>
        <w:outlineLvl w:val="6"/>
        <w:rPr>
          <w:rFonts w:ascii="Arial" w:hAnsi="Arial" w:cs="Arial"/>
          <w:bCs/>
          <w:color w:val="000000"/>
          <w:lang w:val="en-US" w:eastAsia="en-US"/>
        </w:rPr>
      </w:pPr>
      <w:r w:rsidRPr="00BC31A6">
        <w:rPr>
          <w:rFonts w:ascii="Arial" w:hAnsi="Arial" w:cs="Arial"/>
          <w:b/>
          <w:bCs/>
          <w:color w:val="000000"/>
          <w:lang w:val="en-US" w:eastAsia="en-US"/>
        </w:rPr>
        <w:tab/>
      </w:r>
      <w:r w:rsidRPr="00BC31A6">
        <w:rPr>
          <w:rFonts w:ascii="Arial" w:hAnsi="Arial" w:cs="Arial"/>
          <w:b/>
          <w:bCs/>
          <w:color w:val="000000"/>
          <w:lang w:val="en-US" w:eastAsia="en-US"/>
        </w:rPr>
        <w:tab/>
      </w:r>
      <m:oMath>
        <m:r>
          <m:rPr>
            <m:sty m:val="b"/>
          </m:rPr>
          <w:rPr>
            <w:rFonts w:ascii="Cambria Math" w:hAnsi="Cambria Math" w:cs="Arial"/>
            <w:color w:val="000000"/>
            <w:lang w:val="en-US" w:eastAsia="en-US"/>
          </w:rPr>
          <m:t>or S=U</m:t>
        </m:r>
      </m:oMath>
    </w:p>
    <w:p w:rsidR="00BC31A6" w:rsidRPr="00BC31A6" w:rsidRDefault="00BC31A6" w:rsidP="00BC31A6">
      <w:pPr>
        <w:keepNext/>
        <w:autoSpaceDE w:val="0"/>
        <w:autoSpaceDN w:val="0"/>
        <w:adjustRightInd w:val="0"/>
        <w:spacing w:line="360" w:lineRule="auto"/>
        <w:outlineLvl w:val="6"/>
        <w:rPr>
          <w:rFonts w:ascii="Arial" w:hAnsi="Arial" w:cs="Arial"/>
          <w:bCs/>
          <w:color w:val="000000"/>
          <w:sz w:val="20"/>
          <w:szCs w:val="20"/>
          <w:lang w:val="en-US" w:eastAsia="en-US"/>
        </w:rPr>
      </w:pPr>
    </w:p>
    <w:p w:rsidR="00BC31A6" w:rsidRPr="00BC31A6" w:rsidRDefault="00BC31A6" w:rsidP="00BC31A6">
      <w:pPr>
        <w:keepNext/>
        <w:autoSpaceDE w:val="0"/>
        <w:autoSpaceDN w:val="0"/>
        <w:adjustRightInd w:val="0"/>
        <w:spacing w:line="360" w:lineRule="auto"/>
        <w:outlineLvl w:val="6"/>
        <w:rPr>
          <w:b/>
          <w:bCs/>
          <w:color w:val="000000"/>
          <w:lang w:val="en-US" w:eastAsia="en-US"/>
        </w:rPr>
      </w:pPr>
      <w:r w:rsidRPr="00BC31A6">
        <w:rPr>
          <w:bCs/>
          <w:color w:val="000000"/>
          <w:lang w:val="en-US" w:eastAsia="en-US"/>
        </w:rPr>
        <w:t>(3.3)</w:t>
      </w:r>
      <w:r w:rsidRPr="00BC31A6">
        <w:rPr>
          <w:bCs/>
          <w:color w:val="000000"/>
          <w:lang w:val="en-US" w:eastAsia="en-US"/>
        </w:rPr>
        <w:tab/>
      </w:r>
      <w:r w:rsidRPr="00BC31A6">
        <w:rPr>
          <w:bCs/>
          <w:color w:val="000000"/>
          <w:lang w:val="en-US" w:eastAsia="en-US"/>
        </w:rPr>
        <w:tab/>
      </w:r>
      <m:oMath>
        <m:r>
          <m:rPr>
            <m:sty m:val="b"/>
          </m:rPr>
          <w:rPr>
            <w:rFonts w:ascii="Cambria Math" w:hAnsi="Cambria Math"/>
            <w:color w:val="000000"/>
            <w:lang w:val="en-US" w:eastAsia="en-US"/>
          </w:rPr>
          <m:t>Use= Intermediate consumpti</m:t>
        </m:r>
        <m:r>
          <m:rPr>
            <m:sty m:val="b"/>
          </m:rPr>
          <w:rPr>
            <w:rFonts w:ascii="Cambria Math" w:hAnsi="Cambria Math"/>
            <w:color w:val="000000"/>
            <w:lang w:val="en-US" w:eastAsia="en-US"/>
          </w:rPr>
          <m:t>on</m:t>
        </m:r>
      </m:oMath>
    </w:p>
    <w:p w:rsidR="00BC31A6" w:rsidRPr="00BC31A6" w:rsidRDefault="00BC31A6" w:rsidP="00BC31A6">
      <w:pPr>
        <w:keepNext/>
        <w:autoSpaceDE w:val="0"/>
        <w:autoSpaceDN w:val="0"/>
        <w:adjustRightInd w:val="0"/>
        <w:spacing w:line="360" w:lineRule="auto"/>
        <w:outlineLvl w:val="6"/>
        <w:rPr>
          <w:b/>
          <w:bCs/>
          <w:color w:val="000000"/>
          <w:lang w:val="en-US" w:eastAsia="en-US"/>
        </w:rPr>
      </w:pPr>
      <m:oMath>
        <m:r>
          <m:rPr>
            <m:sty m:val="b"/>
          </m:rPr>
          <w:rPr>
            <w:rFonts w:ascii="Cambria Math" w:hAnsi="Cambria Math"/>
            <w:color w:val="000000"/>
            <w:lang w:val="en-US" w:eastAsia="en-US"/>
          </w:rPr>
          <m:t xml:space="preserve">                          +Household final consumption</m:t>
        </m:r>
      </m:oMath>
      <w:r w:rsidRPr="00BC31A6">
        <w:rPr>
          <w:bCs/>
          <w:color w:val="000000"/>
          <w:lang w:val="en-US" w:eastAsia="en-US"/>
        </w:rPr>
        <w:tab/>
      </w:r>
      <w:r w:rsidRPr="00BC31A6">
        <w:rPr>
          <w:bCs/>
          <w:color w:val="000000"/>
          <w:lang w:val="en-US" w:eastAsia="en-US"/>
        </w:rPr>
        <w:tab/>
      </w:r>
      <m:oMath>
        <m:r>
          <m:rPr>
            <m:sty m:val="bi"/>
          </m:rPr>
          <w:rPr>
            <w:rFonts w:ascii="Cambria Math" w:hAnsi="Cambria Math"/>
            <w:color w:val="000000"/>
            <w:lang w:val="en-US" w:eastAsia="en-US"/>
          </w:rPr>
          <m:t xml:space="preserve">            </m:t>
        </m:r>
        <m:r>
          <m:rPr>
            <m:sty m:val="b"/>
          </m:rPr>
          <w:rPr>
            <w:rFonts w:ascii="Cambria Math" w:hAnsi="Cambria Math"/>
            <w:color w:val="000000"/>
            <w:lang w:val="en-US" w:eastAsia="en-US"/>
          </w:rPr>
          <m:t>+ Government final consumption</m:t>
        </m:r>
      </m:oMath>
    </w:p>
    <w:p w:rsidR="00BC31A6" w:rsidRPr="00BC31A6" w:rsidRDefault="00BC31A6" w:rsidP="00BC31A6">
      <w:pPr>
        <w:keepNext/>
        <w:autoSpaceDE w:val="0"/>
        <w:autoSpaceDN w:val="0"/>
        <w:adjustRightInd w:val="0"/>
        <w:spacing w:line="360" w:lineRule="auto"/>
        <w:outlineLvl w:val="6"/>
        <w:rPr>
          <w:bCs/>
          <w:color w:val="000000"/>
          <w:lang w:val="en-US" w:eastAsia="en-US"/>
        </w:rPr>
      </w:pPr>
      <m:oMathPara>
        <m:oMathParaPr>
          <m:jc m:val="left"/>
        </m:oMathParaPr>
        <m:oMath>
          <m:r>
            <m:rPr>
              <m:sty m:val="b"/>
            </m:rPr>
            <w:rPr>
              <w:rFonts w:ascii="Cambria Math" w:hAnsi="Cambria Math"/>
              <w:color w:val="000000"/>
              <w:lang w:val="en-US" w:eastAsia="en-US"/>
            </w:rPr>
            <m:t xml:space="preserve">                          + Gross capital formation+ Exports</m:t>
          </m:r>
        </m:oMath>
      </m:oMathPara>
    </w:p>
    <w:p w:rsidR="00BC31A6" w:rsidRPr="00BC31A6" w:rsidRDefault="00BC31A6" w:rsidP="00BC31A6">
      <w:pPr>
        <w:keepNext/>
        <w:autoSpaceDE w:val="0"/>
        <w:autoSpaceDN w:val="0"/>
        <w:adjustRightInd w:val="0"/>
        <w:spacing w:line="360" w:lineRule="auto"/>
        <w:outlineLvl w:val="6"/>
        <w:rPr>
          <w:bCs/>
          <w:color w:val="000000"/>
          <w:lang w:val="en-US" w:eastAsia="en-US"/>
        </w:rPr>
      </w:pPr>
      <w:r w:rsidRPr="00BC31A6">
        <w:rPr>
          <w:bCs/>
          <w:color w:val="000000"/>
          <w:lang w:val="en-US" w:eastAsia="en-US"/>
        </w:rPr>
        <w:tab/>
      </w:r>
      <w:r w:rsidRPr="00BC31A6">
        <w:rPr>
          <w:bCs/>
          <w:color w:val="000000"/>
          <w:lang w:val="en-US" w:eastAsia="en-US"/>
        </w:rPr>
        <w:tab/>
      </w:r>
      <m:oMath>
        <m:r>
          <m:rPr>
            <m:sty m:val="b"/>
          </m:rPr>
          <w:rPr>
            <w:rFonts w:ascii="Cambria Math" w:hAnsi="Cambria Math"/>
            <w:color w:val="000000"/>
            <w:lang w:val="en-US" w:eastAsia="en-US"/>
          </w:rPr>
          <m:t>or U = Z + H + G + K + X</m:t>
        </m:r>
      </m:oMath>
    </w:p>
    <w:p w:rsidR="00BC31A6" w:rsidRPr="00BC31A6" w:rsidRDefault="00BC31A6" w:rsidP="00BC31A6">
      <w:pPr>
        <w:rPr>
          <w:lang w:val="en-US" w:eastAsia="en-US"/>
        </w:rPr>
      </w:pPr>
    </w:p>
    <w:p w:rsidR="009C3CD5" w:rsidRDefault="00213C8C" w:rsidP="00BC31A6">
      <w:pPr>
        <w:keepNext/>
        <w:autoSpaceDE w:val="0"/>
        <w:autoSpaceDN w:val="0"/>
        <w:adjustRightInd w:val="0"/>
        <w:spacing w:line="360" w:lineRule="auto"/>
        <w:outlineLvl w:val="6"/>
        <w:rPr>
          <w:bCs/>
          <w:color w:val="000000"/>
          <w:lang w:val="en-US" w:eastAsia="en-US"/>
        </w:rPr>
      </w:pPr>
      <w:r w:rsidRPr="00BC31A6">
        <w:rPr>
          <w:bCs/>
          <w:color w:val="000000"/>
          <w:lang w:val="en-US" w:eastAsia="en-US"/>
        </w:rPr>
        <w:t xml:space="preserve"> </w:t>
      </w:r>
      <w:r w:rsidR="00BC31A6" w:rsidRPr="00BC31A6">
        <w:rPr>
          <w:bCs/>
          <w:color w:val="000000"/>
          <w:lang w:val="en-US" w:eastAsia="en-US"/>
        </w:rPr>
        <w:t>(3.4)</w:t>
      </w:r>
      <w:r w:rsidR="00BC31A6" w:rsidRPr="00BC31A6">
        <w:rPr>
          <w:bCs/>
          <w:color w:val="000000"/>
          <w:lang w:val="en-US" w:eastAsia="en-US"/>
        </w:rPr>
        <w:tab/>
      </w:r>
      <w:r w:rsidR="00BC31A6" w:rsidRPr="00BC31A6">
        <w:rPr>
          <w:bCs/>
          <w:color w:val="000000"/>
          <w:lang w:val="en-US" w:eastAsia="en-US"/>
        </w:rPr>
        <w:tab/>
      </w:r>
      <w:r w:rsidR="009C3CD5">
        <w:rPr>
          <w:bCs/>
          <w:color w:val="000000"/>
          <w:lang w:val="en-US" w:eastAsia="en-US"/>
        </w:rPr>
        <w:t xml:space="preserve">Denote </w:t>
      </w:r>
      <m:oMath>
        <m:r>
          <m:rPr>
            <m:sty m:val="b"/>
          </m:rPr>
          <w:rPr>
            <w:rFonts w:ascii="Cambria Math" w:hAnsi="Cambria Math"/>
            <w:color w:val="000000"/>
            <w:lang w:val="en-US" w:eastAsia="en-US"/>
          </w:rPr>
          <m:t>A</m:t>
        </m:r>
      </m:oMath>
      <w:r w:rsidR="009C3CD5" w:rsidRPr="00BC31A6">
        <w:rPr>
          <w:bCs/>
          <w:color w:val="000000"/>
          <w:lang w:val="en-US" w:eastAsia="en-US"/>
        </w:rPr>
        <w:t xml:space="preserve"> </w:t>
      </w:r>
      <w:r w:rsidR="009C3CD5">
        <w:rPr>
          <w:bCs/>
          <w:color w:val="000000"/>
          <w:lang w:val="en-US" w:eastAsia="en-US"/>
        </w:rPr>
        <w:t xml:space="preserve">as the </w:t>
      </w:r>
      <w:r w:rsidR="009C3CD5" w:rsidRPr="00BC31A6">
        <w:rPr>
          <w:bCs/>
          <w:color w:val="000000"/>
          <w:lang w:val="en-US" w:eastAsia="en-US"/>
        </w:rPr>
        <w:t xml:space="preserve">direct requirement coefficients matrix </w:t>
      </w:r>
      <w:r w:rsidR="00BC31A6" w:rsidRPr="00BC31A6">
        <w:rPr>
          <w:bCs/>
          <w:color w:val="000000"/>
          <w:lang w:val="en-US" w:eastAsia="en-US"/>
        </w:rPr>
        <w:t xml:space="preserve">with indirect allocation </w:t>
      </w:r>
    </w:p>
    <w:p w:rsidR="00F73553" w:rsidRDefault="009C3CD5" w:rsidP="00BC31A6">
      <w:pPr>
        <w:keepNext/>
        <w:autoSpaceDE w:val="0"/>
        <w:autoSpaceDN w:val="0"/>
        <w:adjustRightInd w:val="0"/>
        <w:spacing w:line="360" w:lineRule="auto"/>
        <w:outlineLvl w:val="6"/>
        <w:rPr>
          <w:bCs/>
          <w:color w:val="000000"/>
          <w:lang w:val="en-US" w:eastAsia="en-US"/>
        </w:rPr>
      </w:pPr>
      <w:r>
        <w:rPr>
          <w:bCs/>
          <w:color w:val="000000"/>
          <w:lang w:val="en-US" w:eastAsia="en-US"/>
        </w:rPr>
        <w:t xml:space="preserve">                        </w:t>
      </w:r>
      <w:r w:rsidR="00BC31A6" w:rsidRPr="00BC31A6">
        <w:rPr>
          <w:bCs/>
          <w:color w:val="000000"/>
          <w:lang w:val="en-US" w:eastAsia="en-US"/>
        </w:rPr>
        <w:t>of imports at basic prices,</w:t>
      </w:r>
      <w:r w:rsidR="00F73553">
        <w:rPr>
          <w:bCs/>
          <w:color w:val="000000"/>
          <w:lang w:val="en-US" w:eastAsia="en-US"/>
        </w:rPr>
        <w:t xml:space="preserve"> </w:t>
      </w:r>
      <w:r w:rsidR="00BC31A6" w:rsidRPr="00BC31A6">
        <w:rPr>
          <w:bCs/>
          <w:color w:val="000000"/>
          <w:lang w:val="en-US" w:eastAsia="en-US"/>
        </w:rPr>
        <w:t xml:space="preserve">and using the same terms as 3.1 to 3.3 above, the </w:t>
      </w:r>
    </w:p>
    <w:p w:rsidR="00BC31A6" w:rsidRPr="00BC31A6" w:rsidRDefault="00F73553" w:rsidP="00BC31A6">
      <w:pPr>
        <w:keepNext/>
        <w:autoSpaceDE w:val="0"/>
        <w:autoSpaceDN w:val="0"/>
        <w:adjustRightInd w:val="0"/>
        <w:spacing w:line="360" w:lineRule="auto"/>
        <w:outlineLvl w:val="6"/>
        <w:rPr>
          <w:bCs/>
          <w:color w:val="000000"/>
          <w:lang w:val="en-US" w:eastAsia="en-US"/>
        </w:rPr>
      </w:pPr>
      <w:r>
        <w:rPr>
          <w:bCs/>
          <w:color w:val="000000"/>
          <w:lang w:val="en-US" w:eastAsia="en-US"/>
        </w:rPr>
        <w:t xml:space="preserve">                        </w:t>
      </w:r>
      <w:r w:rsidR="00BC31A6" w:rsidRPr="00BC31A6">
        <w:rPr>
          <w:bCs/>
          <w:color w:val="000000"/>
          <w:lang w:val="en-US" w:eastAsia="en-US"/>
        </w:rPr>
        <w:t xml:space="preserve">following equations are </w:t>
      </w:r>
      <w:r w:rsidR="009C3CD5">
        <w:rPr>
          <w:bCs/>
          <w:color w:val="000000"/>
          <w:lang w:val="en-US" w:eastAsia="en-US"/>
        </w:rPr>
        <w:t xml:space="preserve">can be </w:t>
      </w:r>
      <w:r w:rsidR="00BC31A6" w:rsidRPr="00BC31A6">
        <w:rPr>
          <w:bCs/>
          <w:color w:val="000000"/>
          <w:lang w:val="en-US" w:eastAsia="en-US"/>
        </w:rPr>
        <w:t>derived:</w:t>
      </w:r>
    </w:p>
    <w:p w:rsidR="00BC31A6" w:rsidRPr="00BC31A6" w:rsidRDefault="00BC31A6" w:rsidP="00BC31A6">
      <w:pPr>
        <w:keepNext/>
        <w:autoSpaceDE w:val="0"/>
        <w:autoSpaceDN w:val="0"/>
        <w:adjustRightInd w:val="0"/>
        <w:spacing w:line="360" w:lineRule="auto"/>
        <w:ind w:left="1440"/>
        <w:outlineLvl w:val="6"/>
        <w:rPr>
          <w:rFonts w:ascii="Cambria Math" w:hAnsi="Cambria Math"/>
          <w:color w:val="000000"/>
          <w:lang w:val="en-US" w:eastAsia="en-US"/>
          <w:oMath/>
        </w:rPr>
      </w:pPr>
      <m:oMathPara>
        <m:oMathParaPr>
          <m:jc m:val="left"/>
        </m:oMathParaPr>
        <m:oMath>
          <m:r>
            <m:rPr>
              <m:sty m:val="b"/>
            </m:rPr>
            <w:rPr>
              <w:rFonts w:ascii="Cambria Math" w:hAnsi="Cambria Math"/>
              <w:color w:val="000000"/>
              <w:lang w:val="en-US" w:eastAsia="en-US"/>
            </w:rPr>
            <m:t>Z = AS</m:t>
          </m:r>
        </m:oMath>
      </m:oMathPara>
    </w:p>
    <w:p w:rsidR="00BC31A6" w:rsidRPr="00BC31A6" w:rsidRDefault="00BC31A6" w:rsidP="00BC31A6">
      <w:pPr>
        <w:keepNext/>
        <w:autoSpaceDE w:val="0"/>
        <w:autoSpaceDN w:val="0"/>
        <w:adjustRightInd w:val="0"/>
        <w:spacing w:line="360" w:lineRule="auto"/>
        <w:ind w:left="1440"/>
        <w:outlineLvl w:val="6"/>
        <w:rPr>
          <w:rFonts w:ascii="Cambria Math" w:hAnsi="Cambria Math"/>
          <w:color w:val="000000"/>
          <w:lang w:val="en-US" w:eastAsia="en-US"/>
          <w:oMath/>
        </w:rPr>
      </w:pPr>
      <m:oMathPara>
        <m:oMathParaPr>
          <m:jc m:val="left"/>
        </m:oMathParaPr>
        <m:oMath>
          <m:r>
            <m:rPr>
              <m:sty m:val="b"/>
            </m:rPr>
            <w:rPr>
              <w:rFonts w:ascii="Cambria Math" w:hAnsi="Cambria Math"/>
              <w:color w:val="000000"/>
              <w:lang w:val="en-US" w:eastAsia="en-US"/>
            </w:rPr>
            <m:t>S = U = AS + H + G + K + E</m:t>
          </m:r>
        </m:oMath>
      </m:oMathPara>
    </w:p>
    <w:p w:rsidR="00BC31A6" w:rsidRPr="00BC31A6" w:rsidRDefault="00BC31A6" w:rsidP="00BC31A6">
      <w:pPr>
        <w:autoSpaceDE w:val="0"/>
        <w:autoSpaceDN w:val="0"/>
        <w:adjustRightInd w:val="0"/>
        <w:spacing w:line="360" w:lineRule="auto"/>
        <w:jc w:val="both"/>
        <w:rPr>
          <w:b/>
          <w:color w:val="000000"/>
          <w:lang w:val="en-US" w:eastAsia="en-US"/>
        </w:rPr>
      </w:pPr>
    </w:p>
    <w:p w:rsidR="00BC31A6" w:rsidRPr="00BC31A6" w:rsidRDefault="00BC31A6" w:rsidP="00BC31A6">
      <w:pPr>
        <w:autoSpaceDE w:val="0"/>
        <w:autoSpaceDN w:val="0"/>
        <w:adjustRightInd w:val="0"/>
        <w:spacing w:line="360" w:lineRule="auto"/>
        <w:jc w:val="both"/>
        <w:rPr>
          <w:color w:val="000000"/>
          <w:lang w:val="en-US" w:eastAsia="en-US"/>
        </w:rPr>
      </w:pPr>
      <w:r w:rsidRPr="00BC31A6">
        <w:rPr>
          <w:color w:val="000000"/>
          <w:lang w:val="en-US" w:eastAsia="en-US"/>
        </w:rPr>
        <w:t>(3.5)</w:t>
      </w:r>
      <w:r w:rsidRPr="00BC31A6">
        <w:rPr>
          <w:color w:val="000000"/>
          <w:lang w:val="en-US" w:eastAsia="en-US"/>
        </w:rPr>
        <w:tab/>
      </w:r>
      <w:r w:rsidRPr="00BC31A6">
        <w:rPr>
          <w:color w:val="000000"/>
          <w:lang w:val="en-US" w:eastAsia="en-US"/>
        </w:rPr>
        <w:tab/>
      </w:r>
      <w:proofErr w:type="gramStart"/>
      <w:r w:rsidRPr="00BC31A6">
        <w:rPr>
          <w:color w:val="000000"/>
          <w:lang w:val="en-US" w:eastAsia="en-US"/>
        </w:rPr>
        <w:t>In</w:t>
      </w:r>
      <w:proofErr w:type="gramEnd"/>
      <w:r w:rsidRPr="00BC31A6">
        <w:rPr>
          <w:color w:val="000000"/>
          <w:lang w:val="en-US" w:eastAsia="en-US"/>
        </w:rPr>
        <w:t xml:space="preserve"> a steady condition, balance of system requires</w:t>
      </w:r>
    </w:p>
    <w:p w:rsidR="00BC31A6" w:rsidRPr="00BC31A6" w:rsidRDefault="00BC31A6" w:rsidP="00BC31A6">
      <w:pPr>
        <w:autoSpaceDE w:val="0"/>
        <w:autoSpaceDN w:val="0"/>
        <w:adjustRightInd w:val="0"/>
        <w:spacing w:line="360" w:lineRule="auto"/>
        <w:jc w:val="both"/>
        <w:rPr>
          <w:b/>
          <w:color w:val="000000"/>
          <w:lang w:val="en-US" w:eastAsia="en-US"/>
        </w:rPr>
      </w:pPr>
      <w:r w:rsidRPr="00BC31A6">
        <w:rPr>
          <w:b/>
          <w:color w:val="000000"/>
          <w:lang w:val="en-US" w:eastAsia="en-US"/>
        </w:rPr>
        <w:tab/>
      </w:r>
      <w:r w:rsidRPr="00BC31A6">
        <w:rPr>
          <w:b/>
          <w:color w:val="000000"/>
          <w:lang w:val="en-US" w:eastAsia="en-US"/>
        </w:rPr>
        <w:tab/>
      </w:r>
      <m:oMath>
        <m:r>
          <m:rPr>
            <m:sty m:val="b"/>
          </m:rPr>
          <w:rPr>
            <w:rFonts w:ascii="Cambria Math" w:hAnsi="Cambria Math"/>
            <w:color w:val="000000"/>
            <w:lang w:val="en-US" w:eastAsia="en-US"/>
          </w:rPr>
          <m:t>S = AS +</m:t>
        </m:r>
        <m:r>
          <m:rPr>
            <m:sty m:val="p"/>
          </m:rPr>
          <w:rPr>
            <w:rFonts w:ascii="Cambria Math" w:hAnsi="Cambria Math"/>
            <w:color w:val="000000"/>
            <w:lang w:val="en-US" w:eastAsia="en-US"/>
          </w:rPr>
          <m:t xml:space="preserve"> </m:t>
        </m:r>
        <m:d>
          <m:dPr>
            <m:ctrlPr>
              <w:rPr>
                <w:rFonts w:ascii="Cambria Math" w:hAnsi="Cambria Math"/>
                <w:b/>
                <w:color w:val="000000"/>
                <w:lang w:val="en-US" w:eastAsia="en-US"/>
              </w:rPr>
            </m:ctrlPr>
          </m:dPr>
          <m:e>
            <m:r>
              <m:rPr>
                <m:sty m:val="b"/>
              </m:rPr>
              <w:rPr>
                <w:rFonts w:ascii="Cambria Math" w:hAnsi="Cambria Math"/>
                <w:color w:val="000000"/>
                <w:lang w:val="en-US" w:eastAsia="en-US"/>
              </w:rPr>
              <m:t>H + K + G + E</m:t>
            </m:r>
          </m:e>
        </m:d>
      </m:oMath>
    </w:p>
    <w:p w:rsidR="00BC31A6" w:rsidRPr="00BC31A6" w:rsidRDefault="00BC31A6" w:rsidP="00BC31A6">
      <w:pPr>
        <w:autoSpaceDE w:val="0"/>
        <w:autoSpaceDN w:val="0"/>
        <w:adjustRightInd w:val="0"/>
        <w:spacing w:line="360" w:lineRule="auto"/>
        <w:jc w:val="both"/>
        <w:rPr>
          <w:color w:val="000000"/>
          <w:lang w:val="en-US" w:eastAsia="en-US"/>
        </w:rPr>
      </w:pPr>
    </w:p>
    <w:p w:rsidR="00BC31A6" w:rsidRPr="00BC31A6" w:rsidRDefault="00BC31A6" w:rsidP="00BC31A6">
      <w:pPr>
        <w:autoSpaceDE w:val="0"/>
        <w:autoSpaceDN w:val="0"/>
        <w:adjustRightInd w:val="0"/>
        <w:spacing w:line="360" w:lineRule="auto"/>
        <w:jc w:val="both"/>
        <w:rPr>
          <w:b/>
          <w:color w:val="000000"/>
          <w:lang w:val="en-US" w:eastAsia="en-US"/>
        </w:rPr>
      </w:pPr>
      <w:r w:rsidRPr="00BC31A6">
        <w:rPr>
          <w:color w:val="000000"/>
          <w:lang w:val="en-US" w:eastAsia="en-US"/>
        </w:rPr>
        <w:lastRenderedPageBreak/>
        <w:t xml:space="preserve">When coefficient matrix </w:t>
      </w:r>
      <m:oMath>
        <m:r>
          <m:rPr>
            <m:sty m:val="bi"/>
          </m:rPr>
          <w:rPr>
            <w:rFonts w:ascii="Cambria Math" w:hAnsi="Cambria Math"/>
            <w:color w:val="000000"/>
            <w:lang w:val="en-US" w:eastAsia="en-US"/>
          </w:rPr>
          <m:t>A</m:t>
        </m:r>
      </m:oMath>
      <w:r w:rsidRPr="00BC31A6">
        <w:rPr>
          <w:color w:val="000000"/>
          <w:lang w:val="en-US" w:eastAsia="en-US"/>
        </w:rPr>
        <w:t xml:space="preserve"> and final demand</w:t>
      </w:r>
      <w:r w:rsidRPr="00BC31A6">
        <w:rPr>
          <w:color w:val="000000"/>
          <w:vertAlign w:val="superscript"/>
          <w:lang w:val="en-US" w:eastAsia="en-US"/>
        </w:rPr>
        <w:footnoteReference w:id="28"/>
      </w:r>
      <w:r w:rsidRPr="00BC31A6">
        <w:rPr>
          <w:color w:val="000000"/>
          <w:lang w:val="en-US" w:eastAsia="en-US"/>
        </w:rPr>
        <w:t xml:space="preserve"> vector are given, the solution for Gross Output </w:t>
      </w:r>
      <m:oMath>
        <m:r>
          <m:rPr>
            <m:sty m:val="bi"/>
          </m:rPr>
          <w:rPr>
            <w:rFonts w:ascii="Cambria Math" w:hAnsi="Cambria Math"/>
            <w:color w:val="000000"/>
            <w:lang w:val="en-US" w:eastAsia="en-US"/>
          </w:rPr>
          <m:t>X</m:t>
        </m:r>
      </m:oMath>
      <w:r w:rsidRPr="00BC31A6">
        <w:rPr>
          <w:color w:val="000000"/>
          <w:lang w:val="en-US" w:eastAsia="en-US"/>
        </w:rPr>
        <w:t xml:space="preserve"> is available as follows (in the case that </w:t>
      </w:r>
      <m:oMath>
        <m:r>
          <w:rPr>
            <w:rFonts w:ascii="Cambria Math" w:hAnsi="Cambria Math"/>
            <w:color w:val="000000"/>
            <w:lang w:val="en-US" w:eastAsia="en-US"/>
          </w:rPr>
          <m:t>A</m:t>
        </m:r>
      </m:oMath>
      <w:r w:rsidRPr="00BC31A6">
        <w:rPr>
          <w:color w:val="000000"/>
          <w:lang w:val="en-US" w:eastAsia="en-US"/>
        </w:rPr>
        <w:t xml:space="preserve"> is square matrix):</w:t>
      </w:r>
    </w:p>
    <w:p w:rsidR="00BC31A6" w:rsidRPr="00BC31A6" w:rsidRDefault="00BC31A6" w:rsidP="00BC31A6">
      <w:pPr>
        <w:autoSpaceDE w:val="0"/>
        <w:autoSpaceDN w:val="0"/>
        <w:adjustRightInd w:val="0"/>
        <w:spacing w:line="360" w:lineRule="auto"/>
        <w:jc w:val="both"/>
        <w:rPr>
          <w:b/>
          <w:color w:val="000000"/>
          <w:lang w:val="en-US" w:eastAsia="en-US"/>
        </w:rPr>
      </w:pPr>
      <w:r w:rsidRPr="00BC31A6">
        <w:rPr>
          <w:b/>
          <w:color w:val="000000"/>
          <w:lang w:val="en-US" w:eastAsia="en-US"/>
        </w:rPr>
        <w:tab/>
      </w:r>
      <w:r w:rsidRPr="00BC31A6">
        <w:rPr>
          <w:b/>
          <w:color w:val="000000"/>
          <w:lang w:val="en-US" w:eastAsia="en-US"/>
        </w:rPr>
        <w:tab/>
      </w:r>
      <m:oMath>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[I-A]</m:t>
            </m:r>
          </m:e>
          <m:sup>
            <m:r>
              <m:rPr>
                <m:sty m:val="b"/>
              </m:rPr>
              <w:rPr>
                <w:rFonts w:ascii="Cambria Math" w:eastAsiaTheme="minorHAnsi" w:hAnsi="Cambria Math"/>
                <w:color w:val="000000"/>
                <w:lang w:val="en-US" w:eastAsia="en-US"/>
              </w:rPr>
              <m:t>-1</m:t>
            </m:r>
          </m:sup>
        </m:sSup>
        <m:r>
          <m:rPr>
            <m:sty m:val="b"/>
          </m:rPr>
          <w:rPr>
            <w:rFonts w:ascii="Cambria Math" w:hAnsi="Cambria Math"/>
            <w:color w:val="000000"/>
            <w:lang w:val="en-US" w:eastAsia="en-US"/>
          </w:rPr>
          <m:t>: Leontief inverse</m:t>
        </m:r>
      </m:oMath>
      <w:r w:rsidRPr="00BC31A6">
        <w:rPr>
          <w:b/>
          <w:color w:val="000000"/>
          <w:lang w:val="en-US" w:eastAsia="en-US"/>
        </w:rPr>
        <w:tab/>
      </w:r>
    </w:p>
    <w:p w:rsidR="00BC31A6" w:rsidRPr="00BC31A6" w:rsidRDefault="00BC31A6" w:rsidP="00BC31A6">
      <w:pPr>
        <w:autoSpaceDE w:val="0"/>
        <w:autoSpaceDN w:val="0"/>
        <w:adjustRightInd w:val="0"/>
        <w:spacing w:line="360" w:lineRule="auto"/>
        <w:jc w:val="both"/>
        <w:rPr>
          <w:b/>
          <w:color w:val="000000"/>
          <w:lang w:val="en-US" w:eastAsia="en-US"/>
        </w:rPr>
      </w:pPr>
      <w:r w:rsidRPr="00BC31A6">
        <w:rPr>
          <w:b/>
          <w:color w:val="000000"/>
          <w:lang w:val="en-US" w:eastAsia="en-US"/>
        </w:rPr>
        <w:tab/>
      </w:r>
      <w:r w:rsidRPr="00BC31A6">
        <w:rPr>
          <w:b/>
          <w:color w:val="000000"/>
          <w:lang w:val="en-US" w:eastAsia="en-US"/>
        </w:rPr>
        <w:tab/>
      </w:r>
      <m:oMath>
        <m:r>
          <m:rPr>
            <m:sty m:val="b"/>
          </m:rPr>
          <w:rPr>
            <w:rFonts w:ascii="Cambria Math" w:hAnsi="Cambria Math"/>
            <w:color w:val="000000"/>
            <w:lang w:val="en-US" w:eastAsia="en-US"/>
          </w:rPr>
          <m:t>S</m:t>
        </m:r>
        <m:r>
          <m:rPr>
            <m:sty m:val="b"/>
          </m:rPr>
          <w:rPr>
            <w:rFonts w:ascii="Cambria Math" w:eastAsiaTheme="minorHAnsi" w:hAnsi="Cambria Math"/>
            <w:color w:val="000000"/>
            <w:lang w:val="en-US" w:eastAsia="en-US"/>
          </w:rPr>
          <m:t>=</m:t>
        </m:r>
        <m:sSup>
          <m:sSupPr>
            <m:ctrlPr>
              <w:rPr>
                <w:rFonts w:ascii="Cambria Math" w:eastAsiaTheme="minorHAnsi" w:hAnsi="Cambria Math"/>
                <w:b/>
                <w:color w:val="000000"/>
                <w:lang w:val="en-US" w:eastAsia="en-US"/>
              </w:rPr>
            </m:ctrlPr>
          </m:sSupPr>
          <m:e>
            <m:d>
              <m:dPr>
                <m:begChr m:val="["/>
                <m:endChr m:val="]"/>
                <m:ctrlPr>
                  <w:rPr>
                    <w:rFonts w:ascii="Cambria Math" w:eastAsiaTheme="minorHAnsi" w:hAnsi="Cambria Math"/>
                    <w:b/>
                    <w:color w:val="000000"/>
                    <w:lang w:val="en-US" w:eastAsia="en-US"/>
                  </w:rPr>
                </m:ctrlPr>
              </m:dPr>
              <m:e>
                <m:r>
                  <m:rPr>
                    <m:sty m:val="b"/>
                  </m:rPr>
                  <w:rPr>
                    <w:rFonts w:ascii="Cambria Math" w:eastAsiaTheme="minorHAnsi" w:hAnsi="Cambria Math"/>
                    <w:color w:val="000000"/>
                    <w:lang w:val="en-US" w:eastAsia="en-US"/>
                  </w:rPr>
                  <m:t>I-A</m:t>
                </m:r>
              </m:e>
            </m:d>
          </m:e>
          <m:sup>
            <m:r>
              <m:rPr>
                <m:sty m:val="b"/>
              </m:rPr>
              <w:rPr>
                <w:rFonts w:ascii="Cambria Math" w:eastAsiaTheme="minorHAnsi" w:hAnsi="Cambria Math"/>
                <w:color w:val="000000"/>
                <w:lang w:val="en-US" w:eastAsia="en-US"/>
              </w:rPr>
              <m:t>-1</m:t>
            </m:r>
          </m:sup>
        </m:sSup>
        <m:d>
          <m:dPr>
            <m:ctrlPr>
              <w:rPr>
                <w:rFonts w:ascii="Cambria Math" w:eastAsiaTheme="minorHAnsi" w:hAnsi="Cambria Math"/>
                <w:b/>
                <w:color w:val="000000"/>
                <w:lang w:val="en-US" w:eastAsia="en-US"/>
              </w:rPr>
            </m:ctrlPr>
          </m:dPr>
          <m:e>
            <m:r>
              <m:rPr>
                <m:sty m:val="b"/>
              </m:rPr>
              <w:rPr>
                <w:rFonts w:ascii="Cambria Math" w:eastAsiaTheme="minorHAnsi" w:hAnsi="Cambria Math"/>
                <w:color w:val="000000"/>
                <w:lang w:val="en-US" w:eastAsia="en-US"/>
              </w:rPr>
              <m:t>H+K+G+E</m:t>
            </m:r>
          </m:e>
        </m:d>
      </m:oMath>
    </w:p>
    <w:p w:rsidR="00BC31A6" w:rsidRPr="00BC31A6" w:rsidRDefault="00BC31A6" w:rsidP="00BC31A6">
      <w:pPr>
        <w:autoSpaceDE w:val="0"/>
        <w:autoSpaceDN w:val="0"/>
        <w:adjustRightInd w:val="0"/>
        <w:spacing w:line="360" w:lineRule="auto"/>
        <w:jc w:val="both"/>
        <w:rPr>
          <w:b/>
          <w:color w:val="000000"/>
          <w:lang w:val="en-US" w:eastAsia="en-US"/>
        </w:rPr>
      </w:pPr>
      <w:r w:rsidRPr="00BC31A6">
        <w:rPr>
          <w:b/>
          <w:color w:val="000000"/>
          <w:lang w:val="en-US" w:eastAsia="en-US"/>
        </w:rPr>
        <w:t xml:space="preserve"> </w:t>
      </w:r>
      <w:r w:rsidRPr="00BC31A6">
        <w:rPr>
          <w:b/>
          <w:color w:val="000000"/>
          <w:lang w:val="en-US" w:eastAsia="en-US"/>
        </w:rPr>
        <w:tab/>
        <w:t xml:space="preserve">    </w:t>
      </w:r>
      <w:r w:rsidRPr="00BC31A6">
        <w:rPr>
          <w:b/>
          <w:color w:val="000000"/>
          <w:lang w:val="en-US" w:eastAsia="en-US"/>
        </w:rPr>
        <w:tab/>
        <w:t xml:space="preserve">   </w:t>
      </w:r>
      <m:oMath>
        <m:r>
          <m:rPr>
            <m:sty m:val="b"/>
          </m:rPr>
          <w:rPr>
            <w:rFonts w:ascii="Cambria Math" w:hAnsi="Cambria Math"/>
            <w:color w:val="000000"/>
            <w:lang w:val="en-US" w:eastAsia="en-US"/>
          </w:rPr>
          <m:t>=</m:t>
        </m:r>
        <m:d>
          <m:dPr>
            <m:ctrlPr>
              <w:rPr>
                <w:rFonts w:ascii="Cambria Math" w:hAnsi="Cambria Math"/>
                <w:b/>
                <w:color w:val="000000"/>
                <w:lang w:val="en-US" w:eastAsia="en-US"/>
              </w:rPr>
            </m:ctrlPr>
          </m:dPr>
          <m:e>
            <m:r>
              <m:rPr>
                <m:sty m:val="b"/>
              </m:rPr>
              <w:rPr>
                <w:rFonts w:ascii="Cambria Math" w:hAnsi="Cambria Math"/>
                <w:color w:val="000000"/>
                <w:lang w:val="en-US" w:eastAsia="en-US"/>
              </w:rPr>
              <m:t>I+A+</m:t>
            </m:r>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A</m:t>
                </m:r>
              </m:e>
              <m:sup>
                <m:r>
                  <m:rPr>
                    <m:sty m:val="b"/>
                  </m:rPr>
                  <w:rPr>
                    <w:rFonts w:ascii="Cambria Math" w:eastAsiaTheme="minorHAnsi" w:hAnsi="Cambria Math"/>
                    <w:color w:val="000000"/>
                    <w:lang w:val="en-US" w:eastAsia="en-US"/>
                  </w:rPr>
                  <m:t>2</m:t>
                </m:r>
              </m:sup>
            </m:sSup>
            <m:r>
              <m:rPr>
                <m:sty m:val="b"/>
              </m:rPr>
              <w:rPr>
                <w:rFonts w:ascii="Cambria Math" w:hAnsi="Cambria Math"/>
                <w:color w:val="000000"/>
                <w:lang w:val="en-US" w:eastAsia="en-US"/>
              </w:rPr>
              <m:t>+</m:t>
            </m:r>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A</m:t>
                </m:r>
              </m:e>
              <m:sup>
                <m:r>
                  <m:rPr>
                    <m:sty m:val="b"/>
                  </m:rPr>
                  <w:rPr>
                    <w:rFonts w:ascii="Cambria Math" w:eastAsiaTheme="minorHAnsi" w:hAnsi="Cambria Math"/>
                    <w:color w:val="000000"/>
                    <w:lang w:val="en-US" w:eastAsia="en-US"/>
                  </w:rPr>
                  <m:t>3</m:t>
                </m:r>
              </m:sup>
            </m:sSup>
            <m:r>
              <m:rPr>
                <m:sty m:val="b"/>
              </m:rPr>
              <w:rPr>
                <w:rFonts w:ascii="Cambria Math" w:hAnsi="Cambria Math"/>
                <w:color w:val="000000"/>
                <w:lang w:val="en-US" w:eastAsia="en-US"/>
              </w:rPr>
              <m:t>+</m:t>
            </m:r>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A</m:t>
                </m:r>
              </m:e>
              <m:sup>
                <m:r>
                  <m:rPr>
                    <m:sty m:val="b"/>
                  </m:rPr>
                  <w:rPr>
                    <w:rFonts w:ascii="Cambria Math" w:eastAsiaTheme="minorHAnsi" w:hAnsi="Cambria Math"/>
                    <w:color w:val="000000"/>
                    <w:lang w:val="en-US" w:eastAsia="en-US"/>
                  </w:rPr>
                  <m:t>4</m:t>
                </m:r>
              </m:sup>
            </m:sSup>
            <m:r>
              <m:rPr>
                <m:sty m:val="b"/>
              </m:rPr>
              <w:rPr>
                <w:rFonts w:ascii="Cambria Math" w:hAnsi="Cambria Math"/>
                <w:color w:val="000000"/>
                <w:lang w:val="en-US" w:eastAsia="en-US"/>
              </w:rPr>
              <m:t>…</m:t>
            </m:r>
          </m:e>
        </m:d>
        <m:d>
          <m:dPr>
            <m:ctrlPr>
              <w:rPr>
                <w:rFonts w:ascii="Cambria Math" w:eastAsiaTheme="minorHAnsi" w:hAnsi="Cambria Math"/>
                <w:b/>
                <w:color w:val="000000"/>
                <w:lang w:val="en-US" w:eastAsia="en-US"/>
              </w:rPr>
            </m:ctrlPr>
          </m:dPr>
          <m:e>
            <m:r>
              <m:rPr>
                <m:sty m:val="b"/>
              </m:rPr>
              <w:rPr>
                <w:rFonts w:ascii="Cambria Math" w:eastAsiaTheme="minorHAnsi" w:hAnsi="Cambria Math"/>
                <w:color w:val="000000"/>
                <w:lang w:val="en-US" w:eastAsia="en-US"/>
              </w:rPr>
              <m:t>H+K+G+E</m:t>
            </m:r>
          </m:e>
        </m:d>
      </m:oMath>
    </w:p>
    <w:p w:rsidR="00BC31A6" w:rsidRPr="00BC31A6" w:rsidRDefault="00BC31A6" w:rsidP="00BC31A6">
      <w:pPr>
        <w:autoSpaceDE w:val="0"/>
        <w:autoSpaceDN w:val="0"/>
        <w:adjustRightInd w:val="0"/>
        <w:spacing w:line="360" w:lineRule="auto"/>
        <w:jc w:val="both"/>
        <w:rPr>
          <w:b/>
          <w:color w:val="000000"/>
          <w:lang w:val="en-US" w:eastAsia="en-US"/>
        </w:rPr>
      </w:pPr>
      <w:r w:rsidRPr="00BC31A6">
        <w:rPr>
          <w:b/>
          <w:color w:val="000000"/>
          <w:lang w:val="en-US" w:eastAsia="en-US"/>
        </w:rPr>
        <w:tab/>
      </w:r>
      <w:r w:rsidRPr="00BC31A6">
        <w:rPr>
          <w:b/>
          <w:color w:val="000000"/>
          <w:lang w:val="en-US" w:eastAsia="en-US"/>
        </w:rPr>
        <w:tab/>
      </w:r>
      <m:oMath>
        <m:r>
          <m:rPr>
            <m:sty m:val="bi"/>
          </m:rPr>
          <w:rPr>
            <w:rFonts w:ascii="Cambria Math" w:hAnsi="Cambria Math"/>
            <w:color w:val="000000"/>
            <w:lang w:val="en-US" w:eastAsia="en-US"/>
          </w:rPr>
          <m:t xml:space="preserve">    </m:t>
        </m:r>
        <m:r>
          <m:rPr>
            <m:sty m:val="b"/>
          </m:rPr>
          <w:rPr>
            <w:rFonts w:ascii="Cambria Math" w:hAnsi="Cambria Math"/>
            <w:color w:val="000000"/>
            <w:lang w:val="en-US" w:eastAsia="en-US"/>
          </w:rPr>
          <m:t>=</m:t>
        </m:r>
        <m:d>
          <m:dPr>
            <m:ctrlPr>
              <w:rPr>
                <w:rFonts w:ascii="Cambria Math" w:eastAsiaTheme="minorHAnsi" w:hAnsi="Cambria Math"/>
                <w:b/>
                <w:color w:val="000000"/>
                <w:lang w:val="en-US" w:eastAsia="en-US"/>
              </w:rPr>
            </m:ctrlPr>
          </m:dPr>
          <m:e>
            <m:r>
              <m:rPr>
                <m:sty m:val="b"/>
              </m:rPr>
              <w:rPr>
                <w:rFonts w:ascii="Cambria Math" w:eastAsiaTheme="minorHAnsi" w:hAnsi="Cambria Math"/>
                <w:color w:val="000000"/>
                <w:lang w:val="en-US" w:eastAsia="en-US"/>
              </w:rPr>
              <m:t>H+K+G+E</m:t>
            </m:r>
          </m:e>
        </m:d>
        <m:r>
          <m:rPr>
            <m:sty m:val="b"/>
          </m:rPr>
          <w:rPr>
            <w:rFonts w:ascii="Cambria Math" w:hAnsi="Cambria Math"/>
            <w:color w:val="000000"/>
            <w:lang w:val="en-US" w:eastAsia="en-US"/>
          </w:rPr>
          <m:t>+A</m:t>
        </m:r>
        <m:d>
          <m:dPr>
            <m:ctrlPr>
              <w:rPr>
                <w:rFonts w:ascii="Cambria Math" w:eastAsiaTheme="minorHAnsi" w:hAnsi="Cambria Math"/>
                <w:b/>
                <w:color w:val="000000"/>
                <w:lang w:val="en-US" w:eastAsia="en-US"/>
              </w:rPr>
            </m:ctrlPr>
          </m:dPr>
          <m:e>
            <m:r>
              <m:rPr>
                <m:sty m:val="b"/>
              </m:rPr>
              <w:rPr>
                <w:rFonts w:ascii="Cambria Math" w:eastAsiaTheme="minorHAnsi" w:hAnsi="Cambria Math"/>
                <w:color w:val="000000"/>
                <w:lang w:val="en-US" w:eastAsia="en-US"/>
              </w:rPr>
              <m:t>H+K+G+E</m:t>
            </m:r>
          </m:e>
        </m:d>
        <m:r>
          <m:rPr>
            <m:sty m:val="b"/>
          </m:rPr>
          <w:rPr>
            <w:rFonts w:ascii="Cambria Math" w:hAnsi="Cambria Math"/>
            <w:color w:val="000000"/>
            <w:lang w:val="en-US" w:eastAsia="en-US"/>
          </w:rPr>
          <m:t>+</m:t>
        </m:r>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A</m:t>
            </m:r>
          </m:e>
          <m:sup>
            <m:r>
              <m:rPr>
                <m:sty m:val="b"/>
              </m:rPr>
              <w:rPr>
                <w:rFonts w:ascii="Cambria Math" w:eastAsiaTheme="minorHAnsi" w:hAnsi="Cambria Math"/>
                <w:color w:val="000000"/>
                <w:lang w:val="en-US" w:eastAsia="en-US"/>
              </w:rPr>
              <m:t>2</m:t>
            </m:r>
          </m:sup>
        </m:sSup>
        <m:d>
          <m:dPr>
            <m:ctrlPr>
              <w:rPr>
                <w:rFonts w:ascii="Cambria Math" w:eastAsiaTheme="minorHAnsi" w:hAnsi="Cambria Math"/>
                <w:b/>
                <w:color w:val="000000"/>
                <w:lang w:val="en-US" w:eastAsia="en-US"/>
              </w:rPr>
            </m:ctrlPr>
          </m:dPr>
          <m:e>
            <m:r>
              <m:rPr>
                <m:sty m:val="b"/>
              </m:rPr>
              <w:rPr>
                <w:rFonts w:ascii="Cambria Math" w:eastAsiaTheme="minorHAnsi" w:hAnsi="Cambria Math"/>
                <w:color w:val="000000"/>
                <w:lang w:val="en-US" w:eastAsia="en-US"/>
              </w:rPr>
              <m:t>H+K+G+E</m:t>
            </m:r>
          </m:e>
        </m:d>
      </m:oMath>
    </w:p>
    <w:p w:rsidR="00BC31A6" w:rsidRPr="00BC31A6" w:rsidRDefault="00BC31A6" w:rsidP="00BC31A6">
      <w:pPr>
        <w:autoSpaceDE w:val="0"/>
        <w:autoSpaceDN w:val="0"/>
        <w:adjustRightInd w:val="0"/>
        <w:spacing w:line="360" w:lineRule="auto"/>
        <w:jc w:val="both"/>
        <w:rPr>
          <w:b/>
          <w:color w:val="000000"/>
          <w:lang w:val="en-US" w:eastAsia="en-US"/>
        </w:rPr>
      </w:pPr>
      <m:oMathPara>
        <m:oMath>
          <m:r>
            <m:rPr>
              <m:sty m:val="b"/>
            </m:rPr>
            <w:rPr>
              <w:rFonts w:ascii="Cambria Math" w:hAnsi="Cambria Math"/>
              <w:color w:val="000000"/>
              <w:lang w:val="en-US" w:eastAsia="en-US"/>
            </w:rPr>
            <m:t xml:space="preserve">+ </m:t>
          </m:r>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A</m:t>
              </m:r>
            </m:e>
            <m:sup>
              <m:r>
                <m:rPr>
                  <m:sty m:val="b"/>
                </m:rPr>
                <w:rPr>
                  <w:rFonts w:ascii="Cambria Math" w:eastAsiaTheme="minorHAnsi" w:hAnsi="Cambria Math"/>
                  <w:color w:val="000000"/>
                  <w:lang w:val="en-US" w:eastAsia="en-US"/>
                </w:rPr>
                <m:t>3</m:t>
              </m:r>
            </m:sup>
          </m:sSup>
          <m:d>
            <m:dPr>
              <m:ctrlPr>
                <w:rPr>
                  <w:rFonts w:ascii="Cambria Math" w:hAnsi="Cambria Math"/>
                  <w:b/>
                  <w:color w:val="000000"/>
                  <w:lang w:val="en-US" w:eastAsia="en-US"/>
                </w:rPr>
              </m:ctrlPr>
            </m:dPr>
            <m:e>
              <m:r>
                <m:rPr>
                  <m:sty m:val="b"/>
                </m:rPr>
                <w:rPr>
                  <w:rFonts w:ascii="Cambria Math" w:hAnsi="Cambria Math"/>
                  <w:color w:val="000000"/>
                  <w:lang w:val="en-US" w:eastAsia="en-US"/>
                </w:rPr>
                <m:t>H + K + G + E</m:t>
              </m:r>
            </m:e>
          </m:d>
          <m:r>
            <m:rPr>
              <m:sty m:val="b"/>
            </m:rPr>
            <w:rPr>
              <w:rFonts w:ascii="Cambria Math" w:hAnsi="Cambria Math"/>
              <w:color w:val="000000"/>
              <w:lang w:val="en-US" w:eastAsia="en-US"/>
            </w:rPr>
            <m:t xml:space="preserve">+ </m:t>
          </m:r>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A</m:t>
              </m:r>
            </m:e>
            <m:sup>
              <m:r>
                <m:rPr>
                  <m:sty m:val="b"/>
                </m:rPr>
                <w:rPr>
                  <w:rFonts w:ascii="Cambria Math" w:eastAsiaTheme="minorHAnsi" w:hAnsi="Cambria Math"/>
                  <w:color w:val="000000"/>
                  <w:lang w:val="en-US" w:eastAsia="en-US"/>
                </w:rPr>
                <m:t>4</m:t>
              </m:r>
            </m:sup>
          </m:sSup>
          <m:d>
            <m:dPr>
              <m:ctrlPr>
                <w:rPr>
                  <w:rFonts w:ascii="Cambria Math" w:hAnsi="Cambria Math"/>
                  <w:b/>
                  <w:color w:val="000000"/>
                  <w:lang w:val="en-US" w:eastAsia="en-US"/>
                </w:rPr>
              </m:ctrlPr>
            </m:dPr>
            <m:e>
              <m:r>
                <m:rPr>
                  <m:sty m:val="b"/>
                </m:rPr>
                <w:rPr>
                  <w:rFonts w:ascii="Cambria Math" w:hAnsi="Cambria Math"/>
                  <w:color w:val="000000"/>
                  <w:lang w:val="en-US" w:eastAsia="en-US"/>
                </w:rPr>
                <m:t>H + K + G + E</m:t>
              </m:r>
            </m:e>
          </m:d>
          <m:r>
            <m:rPr>
              <m:sty m:val="bi"/>
            </m:rPr>
            <w:rPr>
              <w:rFonts w:ascii="Cambria Math" w:hAnsi="Cambria Math"/>
              <w:color w:val="000000"/>
              <w:lang w:val="en-US" w:eastAsia="en-US"/>
            </w:rPr>
            <m:t>……</m:t>
          </m:r>
        </m:oMath>
      </m:oMathPara>
    </w:p>
    <w:p w:rsidR="00BC31A6" w:rsidRPr="00BC31A6" w:rsidRDefault="00BC31A6" w:rsidP="00BC31A6">
      <w:pPr>
        <w:autoSpaceDE w:val="0"/>
        <w:autoSpaceDN w:val="0"/>
        <w:adjustRightInd w:val="0"/>
        <w:spacing w:line="360" w:lineRule="auto"/>
        <w:jc w:val="both"/>
        <w:rPr>
          <w:b/>
          <w:color w:val="000000"/>
          <w:lang w:val="en-US" w:eastAsia="en-US"/>
        </w:rPr>
      </w:pPr>
      <m:oMath>
        <m:r>
          <m:rPr>
            <m:sty m:val="p"/>
          </m:rPr>
          <w:rPr>
            <w:rFonts w:ascii="Cambria Math" w:hAnsi="Cambria Math"/>
            <w:color w:val="000000"/>
            <w:lang w:val="en-US" w:eastAsia="en-US"/>
          </w:rPr>
          <m:t>where</m:t>
        </m:r>
      </m:oMath>
      <w:r w:rsidRPr="00BC31A6">
        <w:rPr>
          <w:color w:val="000000"/>
          <w:lang w:val="en-US" w:eastAsia="en-US"/>
        </w:rPr>
        <w:t>,</w:t>
      </w:r>
    </w:p>
    <w:p w:rsidR="00BC31A6" w:rsidRPr="00BC31A6" w:rsidRDefault="00506B82" w:rsidP="00BC31A6">
      <w:pPr>
        <w:autoSpaceDE w:val="0"/>
        <w:autoSpaceDN w:val="0"/>
        <w:adjustRightInd w:val="0"/>
        <w:spacing w:line="360" w:lineRule="auto"/>
        <w:rPr>
          <w:color w:val="000000"/>
          <w:lang w:val="en-US" w:eastAsia="en-US"/>
        </w:rPr>
      </w:pPr>
      <m:oMath>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A</m:t>
            </m:r>
          </m:e>
          <m:sup>
            <m:r>
              <m:rPr>
                <m:sty m:val="b"/>
              </m:rPr>
              <w:rPr>
                <w:rFonts w:ascii="Cambria Math" w:eastAsiaTheme="minorHAnsi" w:hAnsi="Cambria Math"/>
                <w:color w:val="000000"/>
                <w:lang w:val="en-US" w:eastAsia="en-US"/>
              </w:rPr>
              <m:t>3</m:t>
            </m:r>
          </m:sup>
        </m:sSup>
        <m:d>
          <m:dPr>
            <m:ctrlPr>
              <w:rPr>
                <w:rFonts w:ascii="Cambria Math" w:hAnsi="Cambria Math"/>
                <w:b/>
                <w:color w:val="000000"/>
                <w:lang w:val="en-US" w:eastAsia="en-US"/>
              </w:rPr>
            </m:ctrlPr>
          </m:dPr>
          <m:e>
            <m:r>
              <m:rPr>
                <m:sty m:val="b"/>
              </m:rPr>
              <w:rPr>
                <w:rFonts w:ascii="Cambria Math" w:hAnsi="Cambria Math"/>
                <w:color w:val="000000"/>
                <w:lang w:val="en-US" w:eastAsia="en-US"/>
              </w:rPr>
              <m:t>H + K + G + E</m:t>
            </m:r>
          </m:e>
        </m:d>
        <m:r>
          <m:rPr>
            <m:sty m:val="b"/>
          </m:rPr>
          <w:rPr>
            <w:rFonts w:ascii="Cambria Math" w:hAnsi="Cambria Math"/>
            <w:color w:val="000000"/>
            <w:lang w:val="en-US" w:eastAsia="en-US"/>
          </w:rPr>
          <m:t>+</m:t>
        </m:r>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A</m:t>
            </m:r>
          </m:e>
          <m:sup>
            <m:r>
              <m:rPr>
                <m:sty m:val="b"/>
              </m:rPr>
              <w:rPr>
                <w:rFonts w:ascii="Cambria Math" w:eastAsiaTheme="minorHAnsi" w:hAnsi="Cambria Math"/>
                <w:color w:val="000000"/>
                <w:lang w:val="en-US" w:eastAsia="en-US"/>
              </w:rPr>
              <m:t>4</m:t>
            </m:r>
          </m:sup>
        </m:sSup>
        <m:d>
          <m:dPr>
            <m:ctrlPr>
              <w:rPr>
                <w:rFonts w:ascii="Cambria Math" w:hAnsi="Cambria Math"/>
                <w:b/>
                <w:color w:val="000000"/>
                <w:lang w:val="en-US" w:eastAsia="en-US"/>
              </w:rPr>
            </m:ctrlPr>
          </m:dPr>
          <m:e>
            <m:r>
              <m:rPr>
                <m:sty m:val="b"/>
              </m:rPr>
              <w:rPr>
                <w:rFonts w:ascii="Cambria Math" w:hAnsi="Cambria Math"/>
                <w:color w:val="000000"/>
                <w:lang w:val="en-US" w:eastAsia="en-US"/>
              </w:rPr>
              <m:t>H + K + G + E</m:t>
            </m:r>
          </m:e>
        </m:d>
        <m:r>
          <m:rPr>
            <m:sty m:val="b"/>
          </m:rPr>
          <w:rPr>
            <w:rFonts w:ascii="Cambria Math" w:hAnsi="Cambria Math"/>
            <w:color w:val="000000"/>
            <w:lang w:val="en-US" w:eastAsia="en-US"/>
          </w:rPr>
          <m:t>…</m:t>
        </m:r>
      </m:oMath>
      <w:r w:rsidR="00BC31A6" w:rsidRPr="00BC31A6">
        <w:rPr>
          <w:color w:val="000000"/>
          <w:lang w:val="en-US" w:eastAsia="en-US"/>
        </w:rPr>
        <w:t xml:space="preserve"> </w:t>
      </w:r>
      <m:oMath>
        <m:r>
          <m:rPr>
            <m:sty m:val="p"/>
          </m:rPr>
          <w:rPr>
            <w:rFonts w:ascii="Cambria Math" w:hAnsi="Cambria Math"/>
            <w:color w:val="000000"/>
            <w:lang w:val="en-US" w:eastAsia="en-US"/>
          </w:rPr>
          <m:t>is the indirect and infinity repercussion</m:t>
        </m:r>
      </m:oMath>
    </w:p>
    <w:p w:rsidR="00BC31A6" w:rsidRPr="00BC31A6" w:rsidRDefault="00BC31A6" w:rsidP="00BC31A6">
      <w:pPr>
        <w:autoSpaceDE w:val="0"/>
        <w:autoSpaceDN w:val="0"/>
        <w:adjustRightInd w:val="0"/>
        <w:spacing w:line="360" w:lineRule="auto"/>
        <w:jc w:val="both"/>
        <w:rPr>
          <w:color w:val="000000"/>
          <w:lang w:val="en-US" w:eastAsia="en-US"/>
        </w:rPr>
      </w:pPr>
      <m:oMathPara>
        <m:oMathParaPr>
          <m:jc m:val="left"/>
        </m:oMathParaPr>
        <m:oMath>
          <m:r>
            <m:rPr>
              <m:sty m:val="b"/>
            </m:rPr>
            <w:rPr>
              <w:rFonts w:ascii="Cambria Math" w:hAnsi="Cambria Math"/>
              <w:color w:val="000000"/>
              <w:lang w:val="en-US" w:eastAsia="en-US"/>
            </w:rPr>
            <m:t>A</m:t>
          </m:r>
          <m:d>
            <m:dPr>
              <m:ctrlPr>
                <w:rPr>
                  <w:rFonts w:ascii="Cambria Math" w:eastAsiaTheme="minorHAnsi" w:hAnsi="Cambria Math"/>
                  <w:b/>
                  <w:color w:val="000000"/>
                  <w:lang w:val="en-US" w:eastAsia="en-US"/>
                </w:rPr>
              </m:ctrlPr>
            </m:dPr>
            <m:e>
              <m:r>
                <m:rPr>
                  <m:sty m:val="b"/>
                </m:rPr>
                <w:rPr>
                  <w:rFonts w:ascii="Cambria Math" w:eastAsiaTheme="minorHAnsi" w:hAnsi="Cambria Math"/>
                  <w:color w:val="000000"/>
                  <w:lang w:val="en-US" w:eastAsia="en-US"/>
                </w:rPr>
                <m:t>H+K+G+E</m:t>
              </m:r>
            </m:e>
          </m:d>
          <m:r>
            <m:rPr>
              <m:sty m:val="p"/>
            </m:rPr>
            <w:rPr>
              <w:rFonts w:ascii="Cambria Math" w:hAnsi="Cambria Math"/>
              <w:color w:val="000000"/>
              <w:lang w:val="en-US" w:eastAsia="en-US"/>
            </w:rPr>
            <m:t xml:space="preserve"> is the Primary Repercussion</m:t>
          </m:r>
        </m:oMath>
      </m:oMathPara>
    </w:p>
    <w:p w:rsidR="00BC31A6" w:rsidRPr="00BC31A6" w:rsidRDefault="00506B82" w:rsidP="00BC31A6">
      <w:pPr>
        <w:autoSpaceDE w:val="0"/>
        <w:autoSpaceDN w:val="0"/>
        <w:adjustRightInd w:val="0"/>
        <w:spacing w:line="360" w:lineRule="auto"/>
        <w:jc w:val="both"/>
        <w:rPr>
          <w:color w:val="000000"/>
          <w:lang w:val="en-US" w:eastAsia="en-US"/>
        </w:rPr>
      </w:pPr>
      <m:oMathPara>
        <m:oMathParaPr>
          <m:jc m:val="left"/>
        </m:oMathParaPr>
        <m:oMath>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A</m:t>
              </m:r>
            </m:e>
            <m:sup>
              <m:r>
                <m:rPr>
                  <m:sty m:val="b"/>
                </m:rPr>
                <w:rPr>
                  <w:rFonts w:ascii="Cambria Math" w:eastAsiaTheme="minorHAnsi" w:hAnsi="Cambria Math"/>
                  <w:color w:val="000000"/>
                  <w:lang w:val="en-US" w:eastAsia="en-US"/>
                </w:rPr>
                <m:t>2</m:t>
              </m:r>
            </m:sup>
          </m:sSup>
          <m:d>
            <m:dPr>
              <m:ctrlPr>
                <w:rPr>
                  <w:rFonts w:ascii="Cambria Math" w:eastAsiaTheme="minorHAnsi" w:hAnsi="Cambria Math"/>
                  <w:b/>
                  <w:color w:val="000000"/>
                  <w:lang w:val="en-US" w:eastAsia="en-US"/>
                </w:rPr>
              </m:ctrlPr>
            </m:dPr>
            <m:e>
              <m:r>
                <m:rPr>
                  <m:sty m:val="b"/>
                </m:rPr>
                <w:rPr>
                  <w:rFonts w:ascii="Cambria Math" w:eastAsiaTheme="minorHAnsi" w:hAnsi="Cambria Math"/>
                  <w:color w:val="000000"/>
                  <w:lang w:val="en-US" w:eastAsia="en-US"/>
                </w:rPr>
                <m:t>H+K+G+E</m:t>
              </m:r>
            </m:e>
          </m:d>
          <m:r>
            <m:rPr>
              <m:sty m:val="p"/>
            </m:rPr>
            <w:rPr>
              <w:rFonts w:ascii="Cambria Math" w:hAnsi="Cambria Math"/>
              <w:color w:val="000000"/>
              <w:lang w:val="en-US" w:eastAsia="en-US"/>
            </w:rPr>
            <m:t xml:space="preserve"> is the Secondary Repercussion</m:t>
          </m:r>
        </m:oMath>
      </m:oMathPara>
    </w:p>
    <w:p w:rsidR="00BC31A6" w:rsidRPr="00BC31A6" w:rsidRDefault="00BC31A6" w:rsidP="00BC31A6">
      <w:pPr>
        <w:autoSpaceDE w:val="0"/>
        <w:autoSpaceDN w:val="0"/>
        <w:adjustRightInd w:val="0"/>
        <w:spacing w:line="360" w:lineRule="auto"/>
        <w:jc w:val="both"/>
        <w:rPr>
          <w:b/>
          <w:color w:val="000000"/>
          <w:szCs w:val="20"/>
          <w:vertAlign w:val="superscript"/>
          <w:lang w:val="en-US" w:eastAsia="en-US"/>
        </w:rPr>
      </w:pPr>
      <w:r w:rsidRPr="00BC31A6">
        <w:rPr>
          <w:color w:val="000000"/>
          <w:szCs w:val="20"/>
          <w:lang w:val="en-US" w:eastAsia="en-US"/>
        </w:rPr>
        <w:tab/>
      </w:r>
      <w:r w:rsidRPr="00BC31A6">
        <w:rPr>
          <w:color w:val="000000"/>
          <w:szCs w:val="20"/>
          <w:lang w:val="en-US" w:eastAsia="en-US"/>
        </w:rPr>
        <w:tab/>
      </w:r>
      <m:oMath>
        <m:r>
          <m:rPr>
            <m:sty m:val="p"/>
          </m:rPr>
          <w:rPr>
            <w:rFonts w:ascii="Cambria Math" w:hAnsi="Cambria Math" w:cs="Arial"/>
            <w:color w:val="000000"/>
            <w:szCs w:val="20"/>
            <w:lang w:val="en-US" w:eastAsia="en-US"/>
          </w:rPr>
          <m:t>Let</m:t>
        </m:r>
        <m:r>
          <m:rPr>
            <m:sty m:val="b"/>
          </m:rPr>
          <w:rPr>
            <w:rFonts w:ascii="Cambria Math" w:hAnsi="Cambria Math" w:cs="Arial"/>
            <w:color w:val="000000"/>
            <w:szCs w:val="20"/>
            <w:lang w:val="en-US" w:eastAsia="en-US"/>
          </w:rPr>
          <m:t xml:space="preserve"> D=</m:t>
        </m:r>
        <m:sSup>
          <m:sSupPr>
            <m:ctrlPr>
              <w:rPr>
                <w:rFonts w:ascii="Cambria Math" w:eastAsiaTheme="minorHAnsi" w:hAnsi="Cambria Math"/>
                <w:b/>
                <w:color w:val="000000"/>
                <w:lang w:val="en-US" w:eastAsia="en-US"/>
              </w:rPr>
            </m:ctrlPr>
          </m:sSupPr>
          <m:e>
            <m:r>
              <m:rPr>
                <m:sty m:val="b"/>
              </m:rPr>
              <w:rPr>
                <w:rFonts w:ascii="Cambria Math" w:eastAsiaTheme="minorHAnsi" w:hAnsi="Cambria Math"/>
                <w:color w:val="000000"/>
                <w:lang w:val="en-US" w:eastAsia="en-US"/>
              </w:rPr>
              <m:t>[I-A]</m:t>
            </m:r>
          </m:e>
          <m:sup>
            <m:r>
              <m:rPr>
                <m:sty m:val="b"/>
              </m:rPr>
              <w:rPr>
                <w:rFonts w:ascii="Cambria Math" w:eastAsiaTheme="minorHAnsi" w:hAnsi="Cambria Math"/>
                <w:color w:val="000000"/>
                <w:lang w:val="en-US" w:eastAsia="en-US"/>
              </w:rPr>
              <m:t>-1</m:t>
            </m:r>
          </m:sup>
        </m:sSup>
      </m:oMath>
    </w:p>
    <w:p w:rsidR="00BC31A6" w:rsidRPr="00F73553" w:rsidRDefault="00BC31A6" w:rsidP="00F73553">
      <w:pPr>
        <w:autoSpaceDE w:val="0"/>
        <w:autoSpaceDN w:val="0"/>
        <w:adjustRightInd w:val="0"/>
        <w:spacing w:line="360" w:lineRule="auto"/>
        <w:jc w:val="both"/>
        <w:rPr>
          <w:b/>
          <w:color w:val="000000"/>
          <w:sz w:val="32"/>
          <w:lang w:val="en-US" w:eastAsia="en-US"/>
        </w:rPr>
      </w:pPr>
      <w:r w:rsidRPr="00BC31A6">
        <w:rPr>
          <w:color w:val="000000"/>
          <w:szCs w:val="20"/>
          <w:lang w:val="en-US" w:eastAsia="en-US"/>
        </w:rPr>
        <w:tab/>
      </w:r>
      <w:r w:rsidRPr="00BC31A6">
        <w:rPr>
          <w:color w:val="000000"/>
          <w:szCs w:val="20"/>
          <w:lang w:val="en-US" w:eastAsia="en-US"/>
        </w:rPr>
        <w:tab/>
      </w:r>
      <m:oMath>
        <m:r>
          <m:rPr>
            <m:sty m:val="p"/>
          </m:rPr>
          <w:rPr>
            <w:rFonts w:ascii="Cambria Math" w:hAnsi="Cambria Math" w:cs="Arial"/>
            <w:color w:val="000000"/>
            <w:szCs w:val="20"/>
            <w:lang w:val="en-US" w:eastAsia="en-US"/>
          </w:rPr>
          <m:t xml:space="preserve">Then </m:t>
        </m:r>
        <m:r>
          <m:rPr>
            <m:sty m:val="b"/>
          </m:rPr>
          <w:rPr>
            <w:rFonts w:ascii="Cambria Math" w:hAnsi="Cambria Math" w:cs="Arial"/>
            <w:color w:val="000000"/>
            <w:szCs w:val="20"/>
            <w:lang w:val="en-US" w:eastAsia="en-US"/>
          </w:rPr>
          <m:t>S=D(H+K+G+E)</m:t>
        </m:r>
      </m:oMath>
    </w:p>
    <w:p w:rsidR="00BC31A6" w:rsidRPr="00BC31A6" w:rsidRDefault="00BC31A6" w:rsidP="00BC31A6">
      <w:pPr>
        <w:spacing w:line="360" w:lineRule="auto"/>
        <w:rPr>
          <w:b/>
        </w:rPr>
      </w:pPr>
    </w:p>
    <w:p w:rsidR="00BC31A6" w:rsidRPr="00BC31A6" w:rsidRDefault="00BC1189" w:rsidP="00BC31A6">
      <w:pPr>
        <w:autoSpaceDE w:val="0"/>
        <w:autoSpaceDN w:val="0"/>
        <w:adjustRightInd w:val="0"/>
        <w:spacing w:line="360" w:lineRule="auto"/>
        <w:jc w:val="both"/>
        <w:rPr>
          <w:color w:val="000000"/>
          <w:lang w:val="en-US" w:eastAsia="en-US"/>
        </w:rPr>
      </w:pPr>
      <w:r w:rsidRPr="00BC31A6">
        <w:rPr>
          <w:color w:val="000000"/>
          <w:lang w:val="en-US" w:eastAsia="en-US"/>
        </w:rPr>
        <w:t xml:space="preserve"> </w:t>
      </w:r>
      <w:r w:rsidR="00BC31A6" w:rsidRPr="00BC31A6">
        <w:rPr>
          <w:color w:val="000000"/>
          <w:lang w:val="en-US" w:eastAsia="en-US"/>
        </w:rPr>
        <w:t>(3.7)</w:t>
      </w:r>
      <w:r w:rsidR="00BC31A6" w:rsidRPr="00BC31A6">
        <w:rPr>
          <w:b/>
          <w:color w:val="000000"/>
          <w:lang w:val="en-US" w:eastAsia="en-US"/>
        </w:rPr>
        <w:tab/>
      </w:r>
      <w:r w:rsidR="00BC31A6" w:rsidRPr="00BC31A6">
        <w:rPr>
          <w:b/>
          <w:color w:val="000000"/>
          <w:lang w:val="en-US" w:eastAsia="en-US"/>
        </w:rPr>
        <w:tab/>
      </w:r>
      <w:proofErr w:type="gramStart"/>
      <w:r w:rsidR="00BC31A6" w:rsidRPr="00BC31A6">
        <w:rPr>
          <w:color w:val="000000"/>
          <w:lang w:val="en-US" w:eastAsia="en-US"/>
        </w:rPr>
        <w:t>Similarly</w:t>
      </w:r>
      <w:proofErr w:type="gramEnd"/>
      <w:r w:rsidR="00BC31A6" w:rsidRPr="00BC31A6">
        <w:rPr>
          <w:color w:val="000000"/>
          <w:lang w:val="en-US" w:eastAsia="en-US"/>
        </w:rPr>
        <w:t xml:space="preserve">, emissions induced by final demand can be calculated using the </w:t>
      </w:r>
      <w:r w:rsidR="00BC31A6" w:rsidRPr="00BC31A6">
        <w:rPr>
          <w:color w:val="000000"/>
          <w:lang w:val="en-US" w:eastAsia="en-US"/>
        </w:rPr>
        <w:tab/>
      </w:r>
      <w:r w:rsidR="00BC31A6" w:rsidRPr="00BC31A6">
        <w:rPr>
          <w:color w:val="000000"/>
          <w:lang w:val="en-US" w:eastAsia="en-US"/>
        </w:rPr>
        <w:tab/>
      </w:r>
      <w:r w:rsidR="00BC31A6" w:rsidRPr="00BC31A6">
        <w:rPr>
          <w:color w:val="000000"/>
          <w:lang w:val="en-US" w:eastAsia="en-US"/>
        </w:rPr>
        <w:tab/>
        <w:t xml:space="preserve">model in 3.6. This is the traditional-method model, and emissions produced </w:t>
      </w:r>
      <w:r w:rsidR="00BC31A6" w:rsidRPr="00BC31A6">
        <w:rPr>
          <w:color w:val="000000"/>
          <w:lang w:val="en-US" w:eastAsia="en-US"/>
        </w:rPr>
        <w:tab/>
      </w:r>
      <w:r w:rsidR="00BC31A6" w:rsidRPr="00BC31A6">
        <w:rPr>
          <w:color w:val="000000"/>
          <w:lang w:val="en-US" w:eastAsia="en-US"/>
        </w:rPr>
        <w:tab/>
        <w:t>induced by final demand can be calculated as follows:</w:t>
      </w:r>
    </w:p>
    <w:p w:rsidR="00BC31A6" w:rsidRPr="00BC31A6" w:rsidRDefault="00BC31A6" w:rsidP="00BC31A6">
      <w:pPr>
        <w:autoSpaceDE w:val="0"/>
        <w:autoSpaceDN w:val="0"/>
        <w:adjustRightInd w:val="0"/>
        <w:spacing w:line="360" w:lineRule="auto"/>
        <w:rPr>
          <w:color w:val="000000"/>
          <w:lang w:val="en-US" w:eastAsia="en-US"/>
        </w:rPr>
      </w:pPr>
    </w:p>
    <w:p w:rsidR="00BC31A6" w:rsidRDefault="00BC31A6" w:rsidP="00BC31A6">
      <w:pPr>
        <w:autoSpaceDE w:val="0"/>
        <w:autoSpaceDN w:val="0"/>
        <w:adjustRightInd w:val="0"/>
        <w:spacing w:line="360" w:lineRule="auto"/>
        <w:rPr>
          <w:color w:val="000000"/>
          <w:lang w:val="en-US" w:eastAsia="en-US"/>
        </w:rPr>
      </w:pPr>
      <w:r w:rsidRPr="00BC31A6">
        <w:rPr>
          <w:color w:val="000000"/>
          <w:lang w:val="en-US" w:eastAsia="en-US"/>
        </w:rPr>
        <w:t xml:space="preserve">Let </w:t>
      </w: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D</m:t>
            </m:r>
          </m:sub>
        </m:sSub>
      </m:oMath>
      <w:r w:rsidRPr="00BC31A6">
        <w:rPr>
          <w:color w:val="000000"/>
          <w:lang w:val="en-US" w:eastAsia="en-US"/>
        </w:rPr>
        <w:t xml:space="preserve"> be a </w:t>
      </w:r>
      <w:proofErr w:type="spellStart"/>
      <w:r w:rsidRPr="00BC31A6">
        <w:rPr>
          <w:color w:val="000000"/>
          <w:lang w:val="en-US" w:eastAsia="en-US"/>
        </w:rPr>
        <w:t>diagonal</w:t>
      </w:r>
      <w:r w:rsidR="00697BBC">
        <w:rPr>
          <w:color w:val="000000"/>
          <w:lang w:val="en-US" w:eastAsia="en-US"/>
        </w:rPr>
        <w:t>ised</w:t>
      </w:r>
      <w:proofErr w:type="spellEnd"/>
      <w:r w:rsidR="00697BBC">
        <w:rPr>
          <w:rStyle w:val="FootnoteReference"/>
          <w:color w:val="000000"/>
          <w:lang w:val="en-US" w:eastAsia="en-US"/>
        </w:rPr>
        <w:footnoteReference w:id="29"/>
      </w:r>
      <w:r w:rsidRPr="00BC31A6">
        <w:rPr>
          <w:color w:val="000000"/>
          <w:lang w:val="en-US" w:eastAsia="en-US"/>
        </w:rPr>
        <w:t xml:space="preserve"> matrix of industry direct emission intensities or emissions coefficients, which is defined as </w:t>
      </w:r>
      <m:oMath>
        <m:r>
          <m:rPr>
            <m:sty m:val="b"/>
          </m:rPr>
          <w:rPr>
            <w:rFonts w:ascii="Cambria Math" w:hAnsi="Cambria Math"/>
            <w:color w:val="000000"/>
            <w:lang w:val="en-US" w:eastAsia="en-US"/>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D</m:t>
            </m:r>
          </m:sub>
        </m:sSub>
        <m:r>
          <m:rPr>
            <m:sty m:val="b"/>
          </m:rPr>
          <w:rPr>
            <w:rFonts w:ascii="Cambria Math" w:hAnsi="Cambria Math"/>
            <w:color w:val="000000"/>
            <w:lang w:val="en-US" w:eastAsia="en-US"/>
          </w:rPr>
          <m:t>/</m:t>
        </m:r>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D</m:t>
            </m:r>
          </m:sub>
        </m:sSub>
        <m:r>
          <m:rPr>
            <m:sty m:val="p"/>
          </m:rPr>
          <w:rPr>
            <w:rFonts w:ascii="Cambria Math" w:eastAsiaTheme="minorHAnsi" w:hAnsi="Cambria Math"/>
            <w:lang w:eastAsia="en-US"/>
          </w:rPr>
          <m:t xml:space="preserve"> </m:t>
        </m:r>
        <m:r>
          <m:rPr>
            <m:sty m:val="b"/>
          </m:rPr>
          <w:rPr>
            <w:rFonts w:ascii="Cambria Math" w:hAnsi="Cambria Math"/>
            <w:color w:val="000000"/>
            <w:lang w:val="en-US" w:eastAsia="en-US"/>
          </w:rPr>
          <m:t>)</m:t>
        </m:r>
      </m:oMath>
      <w:r w:rsidRPr="00BC31A6">
        <w:rPr>
          <w:color w:val="000000"/>
          <w:lang w:val="en-US" w:eastAsia="en-US"/>
        </w:rPr>
        <w:t xml:space="preserve"> where </w:t>
      </w: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D</m:t>
            </m:r>
          </m:sub>
        </m:sSub>
      </m:oMath>
      <w:r w:rsidRPr="00BC31A6">
        <w:rPr>
          <w:color w:val="000000"/>
          <w:lang w:val="en-US" w:eastAsia="en-US"/>
        </w:rPr>
        <w:t xml:space="preserve"> is the vector of </w:t>
      </w:r>
      <w:r w:rsidR="00BC1189">
        <w:rPr>
          <w:color w:val="000000"/>
          <w:lang w:val="en-US" w:eastAsia="en-US"/>
        </w:rPr>
        <w:t xml:space="preserve">domestic </w:t>
      </w:r>
      <w:r w:rsidRPr="00BC31A6">
        <w:rPr>
          <w:color w:val="000000"/>
          <w:lang w:val="en-US" w:eastAsia="en-US"/>
        </w:rPr>
        <w:t>direct emissions</w:t>
      </w:r>
      <w:r w:rsidR="00D839B3">
        <w:rPr>
          <w:color w:val="000000"/>
          <w:lang w:val="en-US" w:eastAsia="en-US"/>
        </w:rPr>
        <w:t xml:space="preserve"> (The SEEA production-based emissions by 111 IOIG industries)</w:t>
      </w:r>
      <w:r w:rsidRPr="00BC31A6">
        <w:rPr>
          <w:color w:val="000000"/>
          <w:lang w:val="en-US" w:eastAsia="en-US"/>
        </w:rPr>
        <w:t xml:space="preserve"> produced and </w:t>
      </w:r>
      <m:oMath>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D</m:t>
            </m:r>
          </m:sub>
        </m:sSub>
      </m:oMath>
      <w:r w:rsidRPr="00BC31A6">
        <w:rPr>
          <w:color w:val="000000"/>
          <w:lang w:val="en-US" w:eastAsia="en-US"/>
        </w:rPr>
        <w:t xml:space="preserve"> is the vector of total </w:t>
      </w:r>
      <w:r w:rsidR="00BC1189">
        <w:rPr>
          <w:color w:val="000000"/>
          <w:lang w:val="en-US" w:eastAsia="en-US"/>
        </w:rPr>
        <w:t>domestic output</w:t>
      </w:r>
      <w:r w:rsidRPr="00BC31A6">
        <w:rPr>
          <w:color w:val="000000"/>
          <w:lang w:val="en-US" w:eastAsia="en-US"/>
        </w:rPr>
        <w:t xml:space="preserve"> from the industry. Then:</w:t>
      </w:r>
    </w:p>
    <w:p w:rsidR="00B47F85" w:rsidRPr="00BC31A6" w:rsidRDefault="00B47F85" w:rsidP="00BC31A6">
      <w:pPr>
        <w:autoSpaceDE w:val="0"/>
        <w:autoSpaceDN w:val="0"/>
        <w:adjustRightInd w:val="0"/>
        <w:spacing w:line="360" w:lineRule="auto"/>
        <w:rPr>
          <w:color w:val="000000"/>
          <w:lang w:val="en-US" w:eastAsia="en-US"/>
        </w:rPr>
      </w:pPr>
    </w:p>
    <w:p w:rsidR="00BC1189" w:rsidRPr="00BC31A6" w:rsidRDefault="00506B82" w:rsidP="00BC1189">
      <w:pPr>
        <w:autoSpaceDE w:val="0"/>
        <w:autoSpaceDN w:val="0"/>
        <w:adjustRightInd w:val="0"/>
        <w:spacing w:line="360" w:lineRule="auto"/>
        <w:rPr>
          <w:color w:val="000000"/>
          <w:lang w:val="en-US" w:eastAsia="en-US"/>
        </w:rPr>
      </w:pPr>
      <m:oMathPara>
        <m:oMathParaPr>
          <m:jc m:val="center"/>
        </m:oMathParaP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D</m:t>
              </m:r>
            </m:sub>
          </m:sSub>
          <m:r>
            <m:rPr>
              <m:sty m:val="p"/>
            </m:rPr>
            <w:rPr>
              <w:rFonts w:ascii="Cambria Math" w:hAnsi="Cambria Math" w:cs="Arial"/>
              <w:color w:val="000000"/>
              <w:lang w:val="en-US" w:eastAsia="en-US"/>
            </w:rPr>
            <m:t xml:space="preserve">= </m:t>
          </m:r>
          <m:d>
            <m:dPr>
              <m:begChr m:val="["/>
              <m:endChr m:val="]"/>
              <m:ctrlPr>
                <w:rPr>
                  <w:rFonts w:ascii="Cambria Math" w:hAnsi="Cambria Math" w:cs="Arial"/>
                  <w:color w:val="000000"/>
                  <w:lang w:val="en-US" w:eastAsia="en-US"/>
                </w:rPr>
              </m:ctrlPr>
            </m:dPr>
            <m:e>
              <m:m>
                <m:mPr>
                  <m:mcs>
                    <m:mc>
                      <m:mcPr>
                        <m:count m:val="6"/>
                        <m:mcJc m:val="center"/>
                      </m:mcPr>
                    </m:mc>
                  </m:mcs>
                  <m:ctrlPr>
                    <w:rPr>
                      <w:rFonts w:ascii="Cambria Math" w:hAnsi="Cambria Math" w:cs="Arial"/>
                      <w:color w:val="000000"/>
                      <w:lang w:val="en-US" w:eastAsia="en-US"/>
                    </w:rPr>
                  </m:ctrlPr>
                </m:mPr>
                <m:mr>
                  <m:e>
                    <m:sSub>
                      <m:sSubPr>
                        <m:ctrlPr>
                          <w:rPr>
                            <w:rFonts w:ascii="Cambria Math" w:hAnsi="Cambria Math" w:cs="Arial"/>
                            <w:color w:val="000000"/>
                            <w:lang w:val="en-US" w:eastAsia="en-US"/>
                          </w:rPr>
                        </m:ctrlPr>
                      </m:sSubPr>
                      <m:e>
                        <m:r>
                          <m:rPr>
                            <m:sty m:val="p"/>
                          </m:rPr>
                          <w:rPr>
                            <w:rFonts w:ascii="Cambria Math" w:hAnsi="Cambria Math" w:cs="Arial"/>
                            <w:color w:val="000000"/>
                            <w:lang w:val="en-US" w:eastAsia="en-US"/>
                          </w:rPr>
                          <m:t>P</m:t>
                        </m:r>
                      </m:e>
                      <m:sub>
                        <m:r>
                          <m:rPr>
                            <m:sty m:val="p"/>
                          </m:rPr>
                          <w:rPr>
                            <w:rFonts w:ascii="Cambria Math" w:hAnsi="Cambria Math" w:cs="Arial"/>
                            <w:color w:val="000000"/>
                            <w:lang w:val="en-US" w:eastAsia="en-US"/>
                          </w:rPr>
                          <m:t>1</m:t>
                        </m:r>
                      </m:sub>
                    </m:sSub>
                    <m:ctrlPr>
                      <w:rPr>
                        <w:rFonts w:ascii="Cambria Math" w:eastAsia="Cambria Math" w:hAnsi="Cambria Math" w:cs="Arial"/>
                        <w:color w:val="000000"/>
                        <w:lang w:val="en-US" w:eastAsia="en-US"/>
                      </w:rPr>
                    </m:ctrlPr>
                  </m:e>
                  <m:e>
                    <m:r>
                      <m:rPr>
                        <m:sty m:val="p"/>
                      </m:rPr>
                      <w:rPr>
                        <w:rFonts w:ascii="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m:t>
                    </m:r>
                    <m:ctrlPr>
                      <w:rPr>
                        <w:rFonts w:ascii="Cambria Math" w:eastAsia="Cambria Math" w:hAnsi="Cambria Math" w:cs="Arial"/>
                        <w:color w:val="000000"/>
                        <w:lang w:val="en-US" w:eastAsia="en-US"/>
                      </w:rPr>
                    </m:ctrlPr>
                  </m:e>
                  <m:e>
                    <m:r>
                      <m:rPr>
                        <m:sty m:val="p"/>
                      </m:rPr>
                      <w:rPr>
                        <w:rFonts w:ascii="Cambria Math" w:hAnsi="Cambria Math" w:cs="Arial"/>
                        <w:color w:val="000000"/>
                        <w:lang w:val="en-US" w:eastAsia="en-US"/>
                      </w:rPr>
                      <m:t>0</m:t>
                    </m:r>
                    <m:ctrlPr>
                      <w:rPr>
                        <w:rFonts w:ascii="Cambria Math" w:eastAsia="Cambria Math" w:hAnsi="Cambria Math" w:cs="Arial"/>
                        <w:color w:val="000000"/>
                        <w:lang w:val="en-US" w:eastAsia="en-US"/>
                      </w:rPr>
                    </m:ctrlPr>
                  </m:e>
                </m:mr>
                <m:mr>
                  <m:e>
                    <m:r>
                      <m:rPr>
                        <m:sty m:val="p"/>
                      </m:rPr>
                      <w:rPr>
                        <w:rFonts w:ascii="Cambria Math" w:hAnsi="Cambria Math" w:cs="Arial"/>
                        <w:color w:val="000000"/>
                        <w:lang w:val="en-US" w:eastAsia="en-US"/>
                      </w:rPr>
                      <m:t>0</m:t>
                    </m:r>
                    <m:ctrlPr>
                      <w:rPr>
                        <w:rFonts w:ascii="Cambria Math" w:eastAsia="Cambria Math" w:hAnsi="Cambria Math" w:cs="Arial"/>
                        <w:color w:val="000000"/>
                        <w:lang w:val="en-US" w:eastAsia="en-US"/>
                      </w:rPr>
                    </m:ctrlPr>
                  </m:e>
                  <m:e>
                    <m:sSub>
                      <m:sSubPr>
                        <m:ctrlPr>
                          <w:rPr>
                            <w:rFonts w:ascii="Cambria Math" w:hAnsi="Cambria Math" w:cs="Arial"/>
                            <w:color w:val="000000"/>
                            <w:lang w:val="en-US" w:eastAsia="en-US"/>
                          </w:rPr>
                        </m:ctrlPr>
                      </m:sSubPr>
                      <m:e>
                        <m:r>
                          <m:rPr>
                            <m:sty m:val="p"/>
                          </m:rPr>
                          <w:rPr>
                            <w:rFonts w:ascii="Cambria Math" w:hAnsi="Cambria Math" w:cs="Arial"/>
                            <w:color w:val="000000"/>
                            <w:lang w:val="en-US" w:eastAsia="en-US"/>
                          </w:rPr>
                          <m:t>P</m:t>
                        </m:r>
                      </m:e>
                      <m:sub>
                        <m:r>
                          <m:rPr>
                            <m:sty m:val="p"/>
                          </m:rPr>
                          <w:rPr>
                            <w:rFonts w:ascii="Cambria Math" w:hAnsi="Cambria Math" w:cs="Arial"/>
                            <w:color w:val="000000"/>
                            <w:lang w:val="en-US" w:eastAsia="en-US"/>
                          </w:rPr>
                          <m:t>2</m:t>
                        </m:r>
                      </m:sub>
                    </m:sSub>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m:t>
                    </m:r>
                    <m:ctrlPr>
                      <w:rPr>
                        <w:rFonts w:ascii="Cambria Math" w:eastAsia="Cambria Math" w:hAnsi="Cambria Math" w:cs="Arial"/>
                        <w:color w:val="000000"/>
                        <w:lang w:val="en-US" w:eastAsia="en-US"/>
                      </w:rPr>
                    </m:ctrlPr>
                  </m:e>
                  <m:e>
                    <m:r>
                      <m:rPr>
                        <m:sty m:val="p"/>
                      </m:rPr>
                      <w:rPr>
                        <w:rFonts w:ascii="Cambria Math" w:hAnsi="Cambria Math" w:cs="Arial"/>
                        <w:color w:val="000000"/>
                        <w:lang w:val="en-US" w:eastAsia="en-US"/>
                      </w:rPr>
                      <m:t>0</m:t>
                    </m:r>
                    <m:ctrlPr>
                      <w:rPr>
                        <w:rFonts w:ascii="Cambria Math" w:eastAsia="Cambria Math" w:hAnsi="Cambria Math" w:cs="Arial"/>
                        <w:color w:val="000000"/>
                        <w:lang w:val="en-US" w:eastAsia="en-US"/>
                      </w:rPr>
                    </m:ctrlPr>
                  </m:e>
                </m:mr>
                <m:mr>
                  <m:e>
                    <m:r>
                      <m:rPr>
                        <m:sty m:val="p"/>
                      </m:rPr>
                      <w:rPr>
                        <w:rFonts w:ascii="Cambria Math" w:eastAsia="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0</m:t>
                    </m:r>
                    <m:ctrlPr>
                      <w:rPr>
                        <w:rFonts w:ascii="Cambria Math" w:eastAsia="Cambria Math" w:hAnsi="Cambria Math" w:cs="Arial"/>
                        <w:color w:val="000000"/>
                        <w:lang w:val="en-US" w:eastAsia="en-US"/>
                      </w:rPr>
                    </m:ctrlPr>
                  </m:e>
                  <m:e>
                    <m:sSub>
                      <m:sSubPr>
                        <m:ctrlPr>
                          <w:rPr>
                            <w:rFonts w:ascii="Cambria Math" w:hAnsi="Cambria Math" w:cs="Arial"/>
                            <w:color w:val="000000"/>
                            <w:lang w:val="en-US" w:eastAsia="en-US"/>
                          </w:rPr>
                        </m:ctrlPr>
                      </m:sSubPr>
                      <m:e>
                        <m:r>
                          <m:rPr>
                            <m:sty m:val="p"/>
                          </m:rPr>
                          <w:rPr>
                            <w:rFonts w:ascii="Cambria Math" w:hAnsi="Cambria Math" w:cs="Arial"/>
                            <w:color w:val="000000"/>
                            <w:lang w:val="en-US" w:eastAsia="en-US"/>
                          </w:rPr>
                          <m:t>P</m:t>
                        </m:r>
                      </m:e>
                      <m:sub>
                        <m:r>
                          <m:rPr>
                            <m:sty m:val="p"/>
                          </m:rPr>
                          <w:rPr>
                            <w:rFonts w:ascii="Cambria Math" w:hAnsi="Cambria Math" w:cs="Arial"/>
                            <w:color w:val="000000"/>
                            <w:lang w:val="en-US" w:eastAsia="en-US"/>
                          </w:rPr>
                          <m:t>3</m:t>
                        </m:r>
                      </m:sub>
                    </m:sSub>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0</m:t>
                    </m:r>
                    <m:ctrlPr>
                      <w:rPr>
                        <w:rFonts w:ascii="Cambria Math" w:eastAsia="Cambria Math" w:hAnsi="Cambria Math" w:cs="Arial"/>
                        <w:color w:val="000000"/>
                        <w:lang w:val="en-US" w:eastAsia="en-US"/>
                      </w:rPr>
                    </m:ctrlPr>
                  </m:e>
                </m:mr>
                <m:mr>
                  <m:e>
                    <m:r>
                      <m:rPr>
                        <m:sty m:val="p"/>
                      </m:rPr>
                      <w:rPr>
                        <w:rFonts w:ascii="Cambria Math" w:eastAsia="Cambria Math" w:hAnsi="Cambria Math" w:cs="Arial"/>
                        <w:color w:val="000000"/>
                        <w:lang w:val="en-US" w:eastAsia="en-US"/>
                      </w:rPr>
                      <m:t>⋮</m:t>
                    </m:r>
                  </m:e>
                  <m:e>
                    <m:r>
                      <m:rPr>
                        <m:sty m:val="p"/>
                      </m:rPr>
                      <w:rPr>
                        <w:rFonts w:ascii="Cambria Math" w:eastAsia="Cambria Math" w:hAnsi="Cambria Math" w:cs="Arial"/>
                        <w:color w:val="000000"/>
                        <w:lang w:val="en-US" w:eastAsia="en-US"/>
                      </w:rPr>
                      <m:t>⋮</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m:t>
                    </m:r>
                  </m:e>
                </m:mr>
                <m:mr>
                  <m:e>
                    <m:r>
                      <m:rPr>
                        <m:sty m:val="p"/>
                      </m:rPr>
                      <w:rPr>
                        <w:rFonts w:ascii="Cambria Math" w:hAnsi="Cambria Math" w:cs="Arial"/>
                        <w:color w:val="000000"/>
                        <w:lang w:val="en-US" w:eastAsia="en-US"/>
                      </w:rPr>
                      <m:t>0</m:t>
                    </m:r>
                  </m:e>
                  <m:e>
                    <m:r>
                      <m:rPr>
                        <m:sty m:val="p"/>
                      </m:rPr>
                      <w:rPr>
                        <w:rFonts w:ascii="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hAnsi="Cambria Math" w:cs="Arial"/>
                        <w:color w:val="000000"/>
                        <w:lang w:val="en-US" w:eastAsia="en-US"/>
                      </w:rPr>
                      <m:t>0</m:t>
                    </m:r>
                    <m:ctrlPr>
                      <w:rPr>
                        <w:rFonts w:ascii="Cambria Math" w:eastAsia="Cambria Math" w:hAnsi="Cambria Math" w:cs="Arial"/>
                        <w:color w:val="000000"/>
                        <w:lang w:val="en-US" w:eastAsia="en-US"/>
                      </w:rPr>
                    </m:ctrlPr>
                  </m:e>
                  <m:e>
                    <m:r>
                      <m:rPr>
                        <m:sty m:val="p"/>
                      </m:rPr>
                      <w:rPr>
                        <w:rFonts w:ascii="Cambria Math" w:eastAsia="Cambria Math" w:hAnsi="Cambria Math" w:cs="Arial"/>
                        <w:color w:val="000000"/>
                        <w:lang w:val="en-US" w:eastAsia="en-US"/>
                      </w:rPr>
                      <m:t>⋯</m:t>
                    </m:r>
                    <m:ctrlPr>
                      <w:rPr>
                        <w:rFonts w:ascii="Cambria Math" w:eastAsia="Cambria Math" w:hAnsi="Cambria Math" w:cs="Arial"/>
                        <w:color w:val="000000"/>
                        <w:lang w:val="en-US" w:eastAsia="en-US"/>
                      </w:rPr>
                    </m:ctrlPr>
                  </m:e>
                  <m:e>
                    <m:sSub>
                      <m:sSubPr>
                        <m:ctrlPr>
                          <w:rPr>
                            <w:rFonts w:ascii="Cambria Math" w:hAnsi="Cambria Math" w:cs="Arial"/>
                            <w:color w:val="000000"/>
                            <w:lang w:val="en-US" w:eastAsia="en-US"/>
                          </w:rPr>
                        </m:ctrlPr>
                      </m:sSubPr>
                      <m:e>
                        <m:r>
                          <m:rPr>
                            <m:sty m:val="p"/>
                          </m:rPr>
                          <w:rPr>
                            <w:rFonts w:ascii="Cambria Math" w:hAnsi="Cambria Math" w:cs="Arial"/>
                            <w:color w:val="000000"/>
                            <w:lang w:val="en-US" w:eastAsia="en-US"/>
                          </w:rPr>
                          <m:t>P</m:t>
                        </m:r>
                      </m:e>
                      <m:sub>
                        <m:r>
                          <m:rPr>
                            <m:sty m:val="p"/>
                          </m:rPr>
                          <w:rPr>
                            <w:rFonts w:ascii="Cambria Math" w:hAnsi="Cambria Math" w:cs="Arial"/>
                            <w:color w:val="000000"/>
                            <w:lang w:val="en-US" w:eastAsia="en-US"/>
                          </w:rPr>
                          <m:t>111</m:t>
                        </m:r>
                      </m:sub>
                    </m:sSub>
                  </m:e>
                </m:mr>
              </m:m>
            </m:e>
          </m:d>
        </m:oMath>
      </m:oMathPara>
    </w:p>
    <w:p w:rsidR="00B47F85" w:rsidRDefault="00B47F85" w:rsidP="00BC31A6">
      <w:pPr>
        <w:autoSpaceDE w:val="0"/>
        <w:autoSpaceDN w:val="0"/>
        <w:adjustRightInd w:val="0"/>
        <w:spacing w:line="360" w:lineRule="auto"/>
        <w:rPr>
          <w:color w:val="000000"/>
          <w:lang w:val="en-US" w:eastAsia="en-US"/>
        </w:rPr>
      </w:pPr>
    </w:p>
    <w:p w:rsidR="00B47F85" w:rsidRDefault="00B47F85" w:rsidP="00BC31A6">
      <w:pPr>
        <w:autoSpaceDE w:val="0"/>
        <w:autoSpaceDN w:val="0"/>
        <w:adjustRightInd w:val="0"/>
        <w:spacing w:line="360" w:lineRule="auto"/>
        <w:rPr>
          <w:rFonts w:eastAsiaTheme="minorEastAsia"/>
          <w:b/>
        </w:rPr>
      </w:pPr>
      <w:r>
        <w:rPr>
          <w:color w:val="000000"/>
          <w:lang w:val="en-US" w:eastAsia="en-US"/>
        </w:rPr>
        <w:lastRenderedPageBreak/>
        <w:t xml:space="preserve">The inherent assumption of the indirect allocation method is that the imports </w:t>
      </w:r>
      <w:r w:rsidRPr="0006650C">
        <w:rPr>
          <w:rFonts w:eastAsiaTheme="minorHAnsi"/>
          <w:lang w:eastAsia="en-US"/>
        </w:rPr>
        <w:t>share the same technolog</w:t>
      </w:r>
      <w:r>
        <w:rPr>
          <w:rFonts w:eastAsiaTheme="minorHAnsi"/>
          <w:lang w:eastAsia="en-US"/>
        </w:rPr>
        <w:t>y of production with the same or similar domestically produced goods and services</w:t>
      </w:r>
      <w:r w:rsidRPr="0006650C">
        <w:rPr>
          <w:rFonts w:eastAsiaTheme="minorHAnsi"/>
          <w:lang w:eastAsia="en-US"/>
        </w:rPr>
        <w:t>.</w:t>
      </w:r>
      <w:r>
        <w:rPr>
          <w:rFonts w:eastAsiaTheme="minorHAnsi"/>
          <w:lang w:eastAsia="en-US"/>
        </w:rPr>
        <w:t xml:space="preserve"> Denote the direct emission intensity of imports as </w:t>
      </w: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M</m:t>
            </m:r>
          </m:sub>
        </m:sSub>
      </m:oMath>
    </w:p>
    <w:p w:rsidR="00B47F85" w:rsidRDefault="00B47F85" w:rsidP="00BC31A6">
      <w:pPr>
        <w:autoSpaceDE w:val="0"/>
        <w:autoSpaceDN w:val="0"/>
        <w:adjustRightInd w:val="0"/>
        <w:spacing w:line="360" w:lineRule="auto"/>
        <w:rPr>
          <w:rFonts w:eastAsiaTheme="minorHAnsi"/>
          <w:lang w:eastAsia="en-US"/>
        </w:rPr>
      </w:pPr>
    </w:p>
    <w:p w:rsidR="00B47F85" w:rsidRDefault="00506B82" w:rsidP="00BC31A6">
      <w:pPr>
        <w:autoSpaceDE w:val="0"/>
        <w:autoSpaceDN w:val="0"/>
        <w:adjustRightInd w:val="0"/>
        <w:spacing w:line="360" w:lineRule="auto"/>
        <w:rPr>
          <w:color w:val="000000"/>
          <w:lang w:val="en-US" w:eastAsia="en-US"/>
        </w:rPr>
      </w:pPr>
      <m:oMathPara>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D</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M</m:t>
              </m:r>
            </m:sub>
          </m:sSub>
        </m:oMath>
      </m:oMathPara>
    </w:p>
    <w:p w:rsidR="00B47F85" w:rsidRPr="00506B82" w:rsidRDefault="00506B82" w:rsidP="00BC31A6">
      <w:pPr>
        <w:autoSpaceDE w:val="0"/>
        <w:autoSpaceDN w:val="0"/>
        <w:adjustRightInd w:val="0"/>
        <w:spacing w:line="360" w:lineRule="auto"/>
        <w:rPr>
          <w:color w:val="000000"/>
          <w:lang w:val="en-US" w:eastAsia="en-US"/>
        </w:rPr>
      </w:pP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D</m:t>
            </m:r>
          </m:sub>
        </m:sSub>
        <m:r>
          <m:rPr>
            <m:sty m:val="b"/>
          </m:rPr>
          <w:rPr>
            <w:rFonts w:ascii="Cambria Math" w:hAnsi="Cambria Math" w:cs="Arial"/>
            <w:color w:val="000000"/>
            <w:lang w:val="en-US" w:eastAsia="en-US"/>
          </w:rPr>
          <m:t>D</m:t>
        </m:r>
      </m:oMath>
      <w:r>
        <w:rPr>
          <w:b/>
          <w:color w:val="000000"/>
          <w:lang w:val="en-US" w:eastAsia="en-US"/>
        </w:rPr>
        <w:t xml:space="preserve"> </w:t>
      </w:r>
      <w:r w:rsidRPr="00506B82">
        <w:rPr>
          <w:color w:val="000000"/>
          <w:lang w:val="en-US" w:eastAsia="en-US"/>
        </w:rPr>
        <w:t>is the cumulative emissions intensity</w:t>
      </w:r>
      <w:r>
        <w:rPr>
          <w:color w:val="000000"/>
          <w:lang w:val="en-US" w:eastAsia="en-US"/>
        </w:rPr>
        <w:t xml:space="preserve"> which represents the globally induced emissions per dollar of total outputs including competing imports</w:t>
      </w:r>
      <w:r w:rsidR="00E175E7">
        <w:rPr>
          <w:color w:val="000000"/>
          <w:lang w:val="en-US" w:eastAsia="en-US"/>
        </w:rPr>
        <w:t>.</w:t>
      </w:r>
    </w:p>
    <w:p w:rsidR="00BC31A6" w:rsidRPr="00BC31A6" w:rsidRDefault="00506B82" w:rsidP="00BC31A6">
      <w:pPr>
        <w:autoSpaceDE w:val="0"/>
        <w:autoSpaceDN w:val="0"/>
        <w:adjustRightInd w:val="0"/>
        <w:spacing w:line="360" w:lineRule="auto"/>
        <w:rPr>
          <w:color w:val="000000"/>
          <w:lang w:val="en-US" w:eastAsia="en-US"/>
        </w:rPr>
      </w:pPr>
      <m:oMathPara>
        <m:oMathParaPr>
          <m:jc m:val="left"/>
        </m:oMathParaP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D</m:t>
              </m:r>
            </m:sub>
          </m:sSub>
          <m:r>
            <m:rPr>
              <m:sty m:val="b"/>
            </m:rPr>
            <w:rPr>
              <w:rFonts w:ascii="Cambria Math" w:hAnsi="Cambria Math" w:cs="Arial"/>
              <w:color w:val="000000"/>
              <w:lang w:val="en-US" w:eastAsia="en-US"/>
            </w:rPr>
            <m:t xml:space="preserve">DH </m:t>
          </m:r>
          <m:r>
            <m:rPr>
              <m:sty m:val="p"/>
            </m:rPr>
            <w:rPr>
              <w:rFonts w:ascii="Cambria Math" w:hAnsi="Cambria Math" w:cs="Arial"/>
              <w:color w:val="000000"/>
              <w:lang w:val="en-US" w:eastAsia="en-US"/>
            </w:rPr>
            <m:t>is cumulative emissions induced by Household final consumption</m:t>
          </m:r>
          <m:r>
            <m:rPr>
              <m:sty m:val="p"/>
            </m:rPr>
            <w:rPr>
              <w:rFonts w:ascii="Cambria Math" w:hAnsi="Cambria Math" w:cs="Arial"/>
              <w:color w:val="000000"/>
              <w:lang w:val="en-US" w:eastAsia="en-US"/>
            </w:rPr>
            <m:t>.</m:t>
          </m:r>
          <m:r>
            <m:rPr>
              <m:sty m:val="p"/>
            </m:rPr>
            <w:rPr>
              <w:rFonts w:ascii="Cambria Math" w:hAnsi="Cambria Math" w:cs="Arial"/>
              <w:color w:val="000000"/>
              <w:lang w:val="en-US" w:eastAsia="en-US"/>
            </w:rPr>
            <m:t xml:space="preserve"> </m:t>
          </m:r>
        </m:oMath>
      </m:oMathPara>
    </w:p>
    <w:p w:rsidR="00BC31A6" w:rsidRPr="00BC31A6" w:rsidRDefault="00506B82" w:rsidP="00BC31A6">
      <w:pPr>
        <w:autoSpaceDE w:val="0"/>
        <w:autoSpaceDN w:val="0"/>
        <w:adjustRightInd w:val="0"/>
        <w:spacing w:line="360" w:lineRule="auto"/>
        <w:rPr>
          <w:rFonts w:ascii="Arial" w:hAnsi="Arial" w:cs="Arial"/>
          <w:color w:val="000000"/>
          <w:lang w:val="en-US" w:eastAsia="en-US"/>
        </w:rPr>
      </w:pP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D</m:t>
            </m:r>
          </m:sub>
        </m:sSub>
        <m:r>
          <m:rPr>
            <m:sty m:val="b"/>
          </m:rPr>
          <w:rPr>
            <w:rFonts w:ascii="Cambria Math" w:hAnsi="Cambria Math" w:cs="Arial"/>
            <w:color w:val="000000"/>
            <w:lang w:val="en-US" w:eastAsia="en-US"/>
          </w:rPr>
          <m:t xml:space="preserve">DK </m:t>
        </m:r>
        <m:r>
          <m:rPr>
            <m:sty m:val="p"/>
          </m:rPr>
          <w:rPr>
            <w:rFonts w:ascii="Cambria Math" w:hAnsi="Cambria Math" w:cs="Arial"/>
            <w:color w:val="000000"/>
            <w:lang w:val="en-US" w:eastAsia="en-US"/>
          </w:rPr>
          <m:t>is cumulative emissions induced by Gross</m:t>
        </m:r>
      </m:oMath>
      <w:r w:rsidR="00BC31A6" w:rsidRPr="00BC31A6">
        <w:rPr>
          <w:rFonts w:ascii="Arial" w:hAnsi="Arial" w:cs="Arial"/>
          <w:color w:val="000000"/>
          <w:lang w:val="en-US" w:eastAsia="en-US"/>
        </w:rPr>
        <w:t xml:space="preserve">  </w:t>
      </w:r>
      <m:oMath>
        <m:r>
          <m:rPr>
            <m:sty m:val="p"/>
          </m:rPr>
          <w:rPr>
            <w:rFonts w:ascii="Cambria Math" w:hAnsi="Cambria Math" w:cs="Arial"/>
            <w:color w:val="000000"/>
            <w:lang w:val="en-US" w:eastAsia="en-US"/>
          </w:rPr>
          <m:t>fixed capital formation</m:t>
        </m:r>
      </m:oMath>
      <w:r w:rsidR="00BC31A6" w:rsidRPr="00BC31A6">
        <w:rPr>
          <w:rFonts w:ascii="Arial" w:hAnsi="Arial" w:cs="Arial"/>
          <w:color w:val="000000"/>
          <w:lang w:val="en-US" w:eastAsia="en-US"/>
        </w:rPr>
        <w:t>.</w:t>
      </w:r>
    </w:p>
    <w:p w:rsidR="00BC31A6" w:rsidRPr="00BC31A6" w:rsidRDefault="00506B82" w:rsidP="00BC31A6">
      <w:pPr>
        <w:autoSpaceDE w:val="0"/>
        <w:autoSpaceDN w:val="0"/>
        <w:adjustRightInd w:val="0"/>
        <w:spacing w:line="360" w:lineRule="auto"/>
        <w:rPr>
          <w:color w:val="000000"/>
          <w:lang w:val="en-US" w:eastAsia="en-US"/>
        </w:rPr>
      </w:pPr>
      <m:oMathPara>
        <m:oMathParaPr>
          <m:jc m:val="left"/>
        </m:oMathParaP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D</m:t>
              </m:r>
            </m:sub>
          </m:sSub>
          <m:r>
            <m:rPr>
              <m:sty m:val="b"/>
            </m:rPr>
            <w:rPr>
              <w:rFonts w:ascii="Cambria Math" w:hAnsi="Cambria Math" w:cs="Arial"/>
              <w:color w:val="000000"/>
              <w:lang w:val="en-US" w:eastAsia="en-US"/>
            </w:rPr>
            <m:t xml:space="preserve">DG </m:t>
          </m:r>
          <m:r>
            <m:rPr>
              <m:sty m:val="p"/>
            </m:rPr>
            <w:rPr>
              <w:rFonts w:ascii="Cambria Math" w:hAnsi="Cambria Math" w:cs="Arial"/>
              <w:color w:val="000000"/>
              <w:lang w:val="en-US" w:eastAsia="en-US"/>
            </w:rPr>
            <m:t>is cumulative emissions induced by General government final consumption</m:t>
          </m:r>
          <m:r>
            <m:rPr>
              <m:sty m:val="p"/>
            </m:rPr>
            <w:rPr>
              <w:rFonts w:ascii="Cambria Math" w:hAnsi="Cambria Math" w:cs="Arial"/>
              <w:color w:val="000000"/>
              <w:lang w:val="en-US" w:eastAsia="en-US"/>
            </w:rPr>
            <m:t>.</m:t>
          </m:r>
        </m:oMath>
      </m:oMathPara>
    </w:p>
    <w:p w:rsidR="00BC31A6" w:rsidRPr="00BC31A6" w:rsidRDefault="00506B82" w:rsidP="00BC31A6">
      <w:pPr>
        <w:autoSpaceDE w:val="0"/>
        <w:autoSpaceDN w:val="0"/>
        <w:adjustRightInd w:val="0"/>
        <w:spacing w:line="360" w:lineRule="auto"/>
        <w:rPr>
          <w:color w:val="000000"/>
          <w:lang w:val="en-US" w:eastAsia="en-US"/>
        </w:rPr>
      </w:pP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D</m:t>
            </m:r>
          </m:sub>
        </m:sSub>
        <m:r>
          <m:rPr>
            <m:sty m:val="b"/>
          </m:rPr>
          <w:rPr>
            <w:rFonts w:ascii="Cambria Math" w:hAnsi="Cambria Math" w:cs="Arial"/>
            <w:color w:val="000000"/>
            <w:lang w:val="en-US" w:eastAsia="en-US"/>
          </w:rPr>
          <m:t xml:space="preserve">DX </m:t>
        </m:r>
        <m:r>
          <m:rPr>
            <m:sty m:val="p"/>
          </m:rPr>
          <w:rPr>
            <w:rFonts w:ascii="Cambria Math" w:hAnsi="Cambria Math" w:cs="Arial"/>
            <w:color w:val="000000"/>
            <w:lang w:val="en-US" w:eastAsia="en-US"/>
          </w:rPr>
          <m:t xml:space="preserve">is cumulative emissions induced by </m:t>
        </m:r>
      </m:oMath>
      <w:r w:rsidR="00BC31A6" w:rsidRPr="00BC31A6">
        <w:rPr>
          <w:rFonts w:ascii="Arial" w:hAnsi="Arial" w:cs="Arial"/>
          <w:color w:val="000000"/>
          <w:sz w:val="20"/>
          <w:szCs w:val="20"/>
          <w:lang w:val="en-US" w:eastAsia="en-US"/>
        </w:rPr>
        <w:t xml:space="preserve"> </w:t>
      </w:r>
      <m:oMath>
        <m:r>
          <m:rPr>
            <m:sty m:val="p"/>
          </m:rPr>
          <w:rPr>
            <w:rFonts w:ascii="Cambria Math" w:hAnsi="Cambria Math" w:cs="Arial"/>
            <w:color w:val="000000"/>
            <w:lang w:val="en-US" w:eastAsia="en-US"/>
          </w:rPr>
          <m:t>Exports</m:t>
        </m:r>
      </m:oMath>
      <w:r w:rsidR="00BC31A6" w:rsidRPr="00BC31A6">
        <w:rPr>
          <w:rFonts w:ascii="Arial" w:hAnsi="Arial" w:cs="Arial"/>
          <w:color w:val="000000"/>
          <w:sz w:val="20"/>
          <w:szCs w:val="20"/>
          <w:lang w:val="en-US" w:eastAsia="en-US"/>
        </w:rPr>
        <w:t>.</w:t>
      </w:r>
    </w:p>
    <w:p w:rsidR="00BC31A6" w:rsidRPr="00BC31A6" w:rsidRDefault="00506B82" w:rsidP="00BC31A6">
      <w:pPr>
        <w:autoSpaceDE w:val="0"/>
        <w:autoSpaceDN w:val="0"/>
        <w:adjustRightInd w:val="0"/>
        <w:spacing w:line="360" w:lineRule="auto"/>
        <w:rPr>
          <w:color w:val="000000"/>
          <w:lang w:val="en-US" w:eastAsia="en-US"/>
        </w:rPr>
      </w:pP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D</m:t>
            </m:r>
          </m:sub>
        </m:sSub>
        <m:r>
          <m:rPr>
            <m:sty m:val="b"/>
          </m:rPr>
          <w:rPr>
            <w:rFonts w:ascii="Cambria Math" w:hAnsi="Cambria Math" w:cs="Arial"/>
            <w:color w:val="000000"/>
            <w:lang w:val="en-US" w:eastAsia="en-US"/>
          </w:rPr>
          <m:t xml:space="preserve">DM </m:t>
        </m:r>
        <m:r>
          <m:rPr>
            <m:sty m:val="p"/>
          </m:rPr>
          <w:rPr>
            <w:rFonts w:ascii="Cambria Math" w:hAnsi="Cambria Math" w:cs="Arial"/>
            <w:color w:val="000000"/>
            <w:lang w:val="en-US" w:eastAsia="en-US"/>
          </w:rPr>
          <m:t>is cumulative emissions induced in order to produce the Imports</m:t>
        </m:r>
      </m:oMath>
      <w:r w:rsidR="00BC31A6" w:rsidRPr="00BC31A6">
        <w:rPr>
          <w:color w:val="000000"/>
          <w:lang w:val="en-US" w:eastAsia="en-US"/>
        </w:rPr>
        <w:t>,</w:t>
      </w:r>
    </w:p>
    <w:p w:rsidR="00BC31A6" w:rsidRPr="00BC31A6" w:rsidRDefault="00BC31A6" w:rsidP="00BC31A6">
      <w:pPr>
        <w:autoSpaceDE w:val="0"/>
        <w:autoSpaceDN w:val="0"/>
        <w:adjustRightInd w:val="0"/>
        <w:spacing w:line="360" w:lineRule="auto"/>
        <w:rPr>
          <w:color w:val="000000"/>
          <w:lang w:val="en-US" w:eastAsia="en-US"/>
        </w:rPr>
      </w:pPr>
      <m:oMath>
        <m:r>
          <m:rPr>
            <m:sty m:val="p"/>
          </m:rPr>
          <w:rPr>
            <w:rFonts w:ascii="Cambria Math" w:hAnsi="Cambria Math" w:cs="Arial"/>
            <w:color w:val="000000"/>
            <w:lang w:val="en-US" w:eastAsia="en-US"/>
          </w:rPr>
          <m:t xml:space="preserve">where </m:t>
        </m:r>
        <m:r>
          <m:rPr>
            <m:sty m:val="b"/>
          </m:rPr>
          <w:rPr>
            <w:rFonts w:ascii="Cambria Math" w:hAnsi="Cambria Math" w:cs="Arial"/>
            <w:color w:val="000000"/>
            <w:lang w:val="en-US" w:eastAsia="en-US"/>
          </w:rPr>
          <m:t>M</m:t>
        </m:r>
        <m:r>
          <m:rPr>
            <m:sty m:val="p"/>
          </m:rPr>
          <w:rPr>
            <w:rFonts w:ascii="Cambria Math" w:hAnsi="Cambria Math" w:cs="Arial"/>
            <w:color w:val="000000"/>
            <w:lang w:val="en-US" w:eastAsia="en-US"/>
          </w:rPr>
          <m:t xml:space="preserve"> is the vector for the value of total competing imports by industry</m:t>
        </m:r>
        <m:r>
          <m:rPr>
            <m:sty m:val="p"/>
          </m:rPr>
          <w:rPr>
            <w:rFonts w:ascii="Cambria Math" w:hAnsi="Cambria Math" w:cs="Arial"/>
            <w:color w:val="000000"/>
            <w:sz w:val="20"/>
            <w:szCs w:val="20"/>
            <w:vertAlign w:val="superscript"/>
            <w:lang w:val="en-US" w:eastAsia="en-US"/>
          </w:rPr>
          <w:footnoteReference w:id="30"/>
        </m:r>
      </m:oMath>
      <w:r w:rsidR="008634C3">
        <w:rPr>
          <w:color w:val="000000"/>
          <w:lang w:val="en-US" w:eastAsia="en-US"/>
        </w:rPr>
        <w:t>.</w:t>
      </w:r>
    </w:p>
    <w:p w:rsidR="00BC31A6" w:rsidRDefault="00BC31A6" w:rsidP="00BC31A6">
      <w:pPr>
        <w:autoSpaceDE w:val="0"/>
        <w:autoSpaceDN w:val="0"/>
        <w:adjustRightInd w:val="0"/>
        <w:spacing w:line="360" w:lineRule="auto"/>
        <w:rPr>
          <w:color w:val="000000"/>
          <w:lang w:val="en-US" w:eastAsia="en-US"/>
        </w:rPr>
      </w:pPr>
    </w:p>
    <w:p w:rsidR="00506B82" w:rsidRDefault="00506B82" w:rsidP="00506B82">
      <w:pPr>
        <w:autoSpaceDE w:val="0"/>
        <w:autoSpaceDN w:val="0"/>
        <w:adjustRightInd w:val="0"/>
        <w:spacing w:line="360" w:lineRule="auto"/>
        <w:jc w:val="both"/>
      </w:pPr>
      <w:r>
        <w:rPr>
          <w:rFonts w:eastAsiaTheme="minorHAnsi"/>
          <w:lang w:eastAsia="en-US"/>
        </w:rPr>
        <w:t xml:space="preserve">The resulting matrix will be an industry by final demand category emissions matrix. Household direct emissions need to be added to the total emissions induced by final use to derive the total consumption based emissions. </w:t>
      </w:r>
      <w:r>
        <w:t>Direct e</w:t>
      </w:r>
      <w:r w:rsidRPr="00055A26">
        <w:t>missions by households</w:t>
      </w:r>
      <w:r>
        <w:t xml:space="preserve"> cannot be derived within the standard IO model as it is neither captured by the intermediate production matrix nor the domestic emissions intensity. </w:t>
      </w:r>
      <w:r>
        <w:rPr>
          <w:rFonts w:eastAsiaTheme="minorHAnsi"/>
          <w:lang w:eastAsia="en-US"/>
        </w:rPr>
        <w:t>Therefore the household direct emissions due to the combustion process of petroleum products needs to be manually adjusted.</w:t>
      </w:r>
    </w:p>
    <w:p w:rsidR="00506B82" w:rsidRDefault="00506B82" w:rsidP="00506B82">
      <w:pPr>
        <w:autoSpaceDE w:val="0"/>
        <w:autoSpaceDN w:val="0"/>
        <w:adjustRightInd w:val="0"/>
        <w:spacing w:line="360" w:lineRule="auto"/>
        <w:jc w:val="both"/>
      </w:pPr>
    </w:p>
    <w:p w:rsidR="00506B82" w:rsidRDefault="00506B82" w:rsidP="00506B82">
      <w:pPr>
        <w:autoSpaceDE w:val="0"/>
        <w:autoSpaceDN w:val="0"/>
        <w:adjustRightInd w:val="0"/>
        <w:spacing w:line="360" w:lineRule="auto"/>
        <w:jc w:val="both"/>
        <w:rPr>
          <w:rFonts w:eastAsiaTheme="minorHAnsi"/>
          <w:lang w:eastAsia="en-US"/>
        </w:rPr>
      </w:pPr>
      <w:r>
        <w:rPr>
          <w:rFonts w:eastAsiaTheme="minorHAnsi"/>
          <w:lang w:eastAsia="en-US"/>
        </w:rPr>
        <w:t>Exported energy products such as coal, gas, crude oil and petroleum only have induced emissions up to the point when the products are exported. The potential emissions as a result of the combustion of the energy products in another country are not captured by this model. This is consistent with the economic resident principle.</w:t>
      </w:r>
    </w:p>
    <w:p w:rsidR="00506B82" w:rsidRDefault="00506B82" w:rsidP="00506B82">
      <w:pPr>
        <w:autoSpaceDE w:val="0"/>
        <w:autoSpaceDN w:val="0"/>
        <w:adjustRightInd w:val="0"/>
        <w:spacing w:line="360" w:lineRule="auto"/>
        <w:jc w:val="both"/>
        <w:rPr>
          <w:rFonts w:eastAsiaTheme="minorHAnsi"/>
          <w:lang w:eastAsia="en-US"/>
        </w:rPr>
      </w:pPr>
    </w:p>
    <w:p w:rsidR="00506B82" w:rsidRDefault="00506B82" w:rsidP="00506B82">
      <w:pPr>
        <w:autoSpaceDE w:val="0"/>
        <w:autoSpaceDN w:val="0"/>
        <w:adjustRightInd w:val="0"/>
        <w:spacing w:line="360" w:lineRule="auto"/>
        <w:jc w:val="both"/>
        <w:rPr>
          <w:rFonts w:eastAsiaTheme="minorHAnsi"/>
          <w:lang w:eastAsia="en-US"/>
        </w:rPr>
      </w:pPr>
      <w:r>
        <w:rPr>
          <w:rFonts w:eastAsiaTheme="minorHAnsi"/>
          <w:lang w:eastAsia="en-US"/>
        </w:rPr>
        <w:t xml:space="preserve">On the supply side, the cumulative emissions induced in order to produce the imports is computed by assigning the cumulative emission intensity towards the total competing imports by industry, which can be found at the </w:t>
      </w:r>
      <w:r>
        <w:t>IO Table 8 - Industry by Industry Flow Table (Indirect Allocation of Imports).</w:t>
      </w:r>
    </w:p>
    <w:p w:rsidR="00506B82" w:rsidRPr="00BC31A6" w:rsidRDefault="00506B82" w:rsidP="00BC31A6">
      <w:pPr>
        <w:autoSpaceDE w:val="0"/>
        <w:autoSpaceDN w:val="0"/>
        <w:adjustRightInd w:val="0"/>
        <w:spacing w:line="360" w:lineRule="auto"/>
        <w:rPr>
          <w:color w:val="000000"/>
          <w:lang w:val="en-US" w:eastAsia="en-US"/>
        </w:rPr>
      </w:pPr>
    </w:p>
    <w:p w:rsidR="00BA098E" w:rsidRDefault="00BA098E" w:rsidP="00BA098E">
      <w:pPr>
        <w:autoSpaceDE w:val="0"/>
        <w:autoSpaceDN w:val="0"/>
        <w:adjustRightInd w:val="0"/>
        <w:spacing w:line="360" w:lineRule="auto"/>
        <w:jc w:val="both"/>
        <w:rPr>
          <w:rFonts w:eastAsiaTheme="minorHAnsi"/>
          <w:lang w:eastAsia="en-US"/>
        </w:rPr>
      </w:pPr>
      <w:r>
        <w:rPr>
          <w:rFonts w:eastAsiaTheme="minorHAnsi"/>
          <w:lang w:eastAsia="en-US"/>
        </w:rPr>
        <w:t xml:space="preserve">Among </w:t>
      </w:r>
      <w:r w:rsidR="004E7E8D">
        <w:rPr>
          <w:rFonts w:eastAsiaTheme="minorHAnsi"/>
          <w:lang w:eastAsia="en-US"/>
        </w:rPr>
        <w:t xml:space="preserve">the </w:t>
      </w:r>
      <w:r>
        <w:rPr>
          <w:rFonts w:eastAsiaTheme="minorHAnsi"/>
          <w:lang w:eastAsia="en-US"/>
        </w:rPr>
        <w:t xml:space="preserve">many assumptions that are inherent </w:t>
      </w:r>
      <w:r w:rsidR="00C41624">
        <w:rPr>
          <w:rFonts w:eastAsiaTheme="minorHAnsi"/>
          <w:lang w:eastAsia="en-US"/>
        </w:rPr>
        <w:t xml:space="preserve">in </w:t>
      </w:r>
      <w:r>
        <w:rPr>
          <w:rFonts w:eastAsiaTheme="minorHAnsi"/>
          <w:lang w:eastAsia="en-US"/>
        </w:rPr>
        <w:t xml:space="preserve">the IO </w:t>
      </w:r>
      <w:r w:rsidR="00C41624">
        <w:rPr>
          <w:rFonts w:eastAsiaTheme="minorHAnsi"/>
          <w:lang w:eastAsia="en-US"/>
        </w:rPr>
        <w:t>model</w:t>
      </w:r>
      <w:r>
        <w:rPr>
          <w:rFonts w:eastAsiaTheme="minorHAnsi"/>
          <w:lang w:eastAsia="en-US"/>
        </w:rPr>
        <w:t xml:space="preserve">, two assumptions </w:t>
      </w:r>
      <w:r w:rsidR="00C41624">
        <w:rPr>
          <w:rFonts w:eastAsiaTheme="minorHAnsi"/>
          <w:lang w:eastAsia="en-US"/>
        </w:rPr>
        <w:t>in particular are relevant to</w:t>
      </w:r>
      <w:r w:rsidR="00A75510">
        <w:rPr>
          <w:rFonts w:eastAsiaTheme="minorHAnsi"/>
          <w:lang w:eastAsia="en-US"/>
        </w:rPr>
        <w:t xml:space="preserve"> the results of this study.</w:t>
      </w:r>
    </w:p>
    <w:p w:rsidR="00BA098E" w:rsidRPr="0027332F" w:rsidRDefault="00C41624" w:rsidP="0027332F">
      <w:pPr>
        <w:pStyle w:val="ListParagraph"/>
        <w:numPr>
          <w:ilvl w:val="0"/>
          <w:numId w:val="54"/>
        </w:numPr>
        <w:autoSpaceDE w:val="0"/>
        <w:autoSpaceDN w:val="0"/>
        <w:adjustRightInd w:val="0"/>
        <w:spacing w:line="360" w:lineRule="auto"/>
        <w:jc w:val="both"/>
        <w:rPr>
          <w:rFonts w:eastAsiaTheme="minorHAnsi"/>
          <w:lang w:eastAsia="en-US"/>
        </w:rPr>
      </w:pPr>
      <w:r w:rsidRPr="0027332F">
        <w:rPr>
          <w:rFonts w:eastAsiaTheme="minorHAnsi"/>
          <w:lang w:eastAsia="en-US"/>
        </w:rPr>
        <w:t>A</w:t>
      </w:r>
      <w:r w:rsidR="00BA098E" w:rsidRPr="0027332F">
        <w:rPr>
          <w:rFonts w:eastAsiaTheme="minorHAnsi"/>
          <w:lang w:eastAsia="en-US"/>
        </w:rPr>
        <w:t>ll electricity users are assumed to be paying the same average price. In the real world, this is not</w:t>
      </w:r>
      <w:r w:rsidRPr="0027332F">
        <w:rPr>
          <w:rFonts w:eastAsiaTheme="minorHAnsi"/>
          <w:lang w:eastAsia="en-US"/>
        </w:rPr>
        <w:t xml:space="preserve"> likely to be</w:t>
      </w:r>
      <w:r w:rsidR="00BA098E" w:rsidRPr="0027332F">
        <w:rPr>
          <w:rFonts w:eastAsiaTheme="minorHAnsi"/>
          <w:lang w:eastAsia="en-US"/>
        </w:rPr>
        <w:t xml:space="preserve"> true. </w:t>
      </w:r>
      <w:r w:rsidRPr="0027332F">
        <w:rPr>
          <w:rFonts w:eastAsiaTheme="minorHAnsi"/>
          <w:lang w:eastAsia="en-US"/>
        </w:rPr>
        <w:t xml:space="preserve">Heavy users of electricity are likely to negotiate </w:t>
      </w:r>
      <w:r w:rsidR="005C0C25" w:rsidRPr="0027332F">
        <w:rPr>
          <w:rFonts w:eastAsiaTheme="minorHAnsi"/>
          <w:lang w:eastAsia="en-US"/>
        </w:rPr>
        <w:t>more favourable</w:t>
      </w:r>
      <w:r w:rsidRPr="0027332F">
        <w:rPr>
          <w:rFonts w:eastAsiaTheme="minorHAnsi"/>
          <w:lang w:eastAsia="en-US"/>
        </w:rPr>
        <w:t xml:space="preserve"> prices. This could distort the attribution of GHG emissions to final demand</w:t>
      </w:r>
      <w:r w:rsidR="005C0C25" w:rsidRPr="0027332F">
        <w:rPr>
          <w:rFonts w:eastAsiaTheme="minorHAnsi"/>
          <w:lang w:eastAsia="en-US"/>
        </w:rPr>
        <w:t xml:space="preserve"> categories by type of product, but should not affect the total induced emissions estimate</w:t>
      </w:r>
      <w:r w:rsidRPr="0027332F">
        <w:rPr>
          <w:rFonts w:eastAsiaTheme="minorHAnsi"/>
          <w:lang w:eastAsia="en-US"/>
        </w:rPr>
        <w:t xml:space="preserve">. </w:t>
      </w:r>
      <w:r w:rsidR="00BA098E" w:rsidRPr="0027332F">
        <w:rPr>
          <w:rFonts w:eastAsiaTheme="minorHAnsi"/>
          <w:lang w:eastAsia="en-US"/>
        </w:rPr>
        <w:t xml:space="preserve"> In future work, physical flow of electricity </w:t>
      </w:r>
      <w:r w:rsidRPr="0027332F">
        <w:rPr>
          <w:rFonts w:eastAsiaTheme="minorHAnsi"/>
          <w:lang w:eastAsia="en-US"/>
        </w:rPr>
        <w:t xml:space="preserve">could </w:t>
      </w:r>
      <w:r w:rsidR="00BA098E" w:rsidRPr="0027332F">
        <w:rPr>
          <w:rFonts w:eastAsiaTheme="minorHAnsi"/>
          <w:lang w:eastAsia="en-US"/>
        </w:rPr>
        <w:t>be linked to the monetary IO table to overcome such problems.</w:t>
      </w:r>
    </w:p>
    <w:p w:rsidR="00BA098E" w:rsidRDefault="00BA098E" w:rsidP="00BA098E">
      <w:pPr>
        <w:autoSpaceDE w:val="0"/>
        <w:autoSpaceDN w:val="0"/>
        <w:adjustRightInd w:val="0"/>
        <w:spacing w:line="360" w:lineRule="auto"/>
        <w:jc w:val="both"/>
        <w:rPr>
          <w:rFonts w:eastAsiaTheme="minorHAnsi"/>
          <w:lang w:eastAsia="en-US"/>
        </w:rPr>
      </w:pPr>
    </w:p>
    <w:p w:rsidR="00BA098E" w:rsidRPr="0027332F" w:rsidRDefault="00C41624" w:rsidP="0027332F">
      <w:pPr>
        <w:pStyle w:val="ListParagraph"/>
        <w:numPr>
          <w:ilvl w:val="0"/>
          <w:numId w:val="54"/>
        </w:numPr>
        <w:autoSpaceDE w:val="0"/>
        <w:autoSpaceDN w:val="0"/>
        <w:adjustRightInd w:val="0"/>
        <w:spacing w:line="360" w:lineRule="auto"/>
        <w:jc w:val="both"/>
        <w:rPr>
          <w:rFonts w:eastAsiaTheme="minorHAnsi"/>
          <w:lang w:eastAsia="en-US"/>
        </w:rPr>
      </w:pPr>
      <w:r w:rsidRPr="0027332F">
        <w:rPr>
          <w:rFonts w:eastAsiaTheme="minorHAnsi"/>
          <w:lang w:eastAsia="en-US"/>
        </w:rPr>
        <w:t>I</w:t>
      </w:r>
      <w:r w:rsidR="00BA098E" w:rsidRPr="0027332F">
        <w:rPr>
          <w:rFonts w:eastAsiaTheme="minorHAnsi"/>
          <w:lang w:eastAsia="en-US"/>
        </w:rPr>
        <w:t xml:space="preserve">mports </w:t>
      </w:r>
      <w:r w:rsidRPr="0027332F">
        <w:rPr>
          <w:rFonts w:eastAsiaTheme="minorHAnsi"/>
          <w:lang w:eastAsia="en-US"/>
        </w:rPr>
        <w:t xml:space="preserve">are assumed to </w:t>
      </w:r>
      <w:r w:rsidR="00BA098E" w:rsidRPr="0027332F">
        <w:rPr>
          <w:rFonts w:eastAsiaTheme="minorHAnsi"/>
          <w:lang w:eastAsia="en-US"/>
        </w:rPr>
        <w:t>share the same technolog</w:t>
      </w:r>
      <w:r w:rsidR="005C0C25" w:rsidRPr="0027332F">
        <w:rPr>
          <w:rFonts w:eastAsiaTheme="minorHAnsi"/>
          <w:lang w:eastAsia="en-US"/>
        </w:rPr>
        <w:t>y</w:t>
      </w:r>
      <w:r w:rsidRPr="0027332F">
        <w:rPr>
          <w:rFonts w:eastAsiaTheme="minorHAnsi"/>
          <w:lang w:eastAsia="en-US"/>
        </w:rPr>
        <w:t xml:space="preserve"> of production</w:t>
      </w:r>
      <w:r w:rsidR="005C0C25" w:rsidRPr="0027332F">
        <w:rPr>
          <w:rFonts w:eastAsiaTheme="minorHAnsi"/>
          <w:lang w:eastAsia="en-US"/>
        </w:rPr>
        <w:t xml:space="preserve"> with</w:t>
      </w:r>
      <w:r w:rsidRPr="0027332F">
        <w:rPr>
          <w:rFonts w:eastAsiaTheme="minorHAnsi"/>
          <w:lang w:eastAsia="en-US"/>
        </w:rPr>
        <w:t xml:space="preserve"> the same or similar domestically produced goods and services</w:t>
      </w:r>
      <w:r w:rsidR="00BA098E" w:rsidRPr="0027332F">
        <w:rPr>
          <w:rFonts w:eastAsiaTheme="minorHAnsi"/>
          <w:lang w:eastAsia="en-US"/>
        </w:rPr>
        <w:t xml:space="preserve">. </w:t>
      </w:r>
      <w:r w:rsidRPr="0027332F">
        <w:rPr>
          <w:rFonts w:eastAsiaTheme="minorHAnsi"/>
          <w:lang w:eastAsia="en-US"/>
        </w:rPr>
        <w:t xml:space="preserve">This </w:t>
      </w:r>
      <w:r w:rsidR="00BA098E" w:rsidRPr="0027332F">
        <w:rPr>
          <w:rFonts w:eastAsiaTheme="minorHAnsi"/>
          <w:lang w:eastAsia="en-US"/>
        </w:rPr>
        <w:t xml:space="preserve">assumption may be unsatisfactory </w:t>
      </w:r>
      <w:r w:rsidRPr="0027332F">
        <w:rPr>
          <w:rFonts w:eastAsiaTheme="minorHAnsi"/>
          <w:lang w:eastAsia="en-US"/>
        </w:rPr>
        <w:t xml:space="preserve">where imports are produced using energy sources </w:t>
      </w:r>
      <w:r w:rsidR="005C0C25" w:rsidRPr="0027332F">
        <w:rPr>
          <w:rFonts w:eastAsiaTheme="minorHAnsi"/>
          <w:lang w:eastAsia="en-US"/>
        </w:rPr>
        <w:t xml:space="preserve">or practices </w:t>
      </w:r>
      <w:r w:rsidRPr="0027332F">
        <w:rPr>
          <w:rFonts w:eastAsiaTheme="minorHAnsi"/>
          <w:lang w:eastAsia="en-US"/>
        </w:rPr>
        <w:t>that are more or less GHG intensive</w:t>
      </w:r>
      <w:r w:rsidR="005C0C25" w:rsidRPr="0027332F">
        <w:rPr>
          <w:rFonts w:eastAsiaTheme="minorHAnsi"/>
          <w:lang w:eastAsia="en-US"/>
        </w:rPr>
        <w:t xml:space="preserve"> than in Australia</w:t>
      </w:r>
      <w:r w:rsidR="00BA098E" w:rsidRPr="0027332F">
        <w:rPr>
          <w:rFonts w:eastAsiaTheme="minorHAnsi"/>
          <w:lang w:eastAsia="en-US"/>
        </w:rPr>
        <w:t xml:space="preserve">. </w:t>
      </w:r>
      <w:r w:rsidR="00054964" w:rsidRPr="0027332F">
        <w:rPr>
          <w:rFonts w:eastAsiaTheme="minorHAnsi"/>
          <w:lang w:eastAsia="en-US"/>
        </w:rPr>
        <w:t>In future</w:t>
      </w:r>
      <w:r w:rsidR="005C0C25" w:rsidRPr="0027332F">
        <w:rPr>
          <w:rFonts w:eastAsiaTheme="minorHAnsi"/>
          <w:lang w:eastAsia="en-US"/>
        </w:rPr>
        <w:t xml:space="preserve"> work</w:t>
      </w:r>
      <w:r w:rsidR="00BA098E" w:rsidRPr="0027332F">
        <w:rPr>
          <w:rFonts w:eastAsiaTheme="minorHAnsi"/>
          <w:lang w:eastAsia="en-US"/>
        </w:rPr>
        <w:t xml:space="preserve">, a more sophisticated multi-regional IO model </w:t>
      </w:r>
      <w:r w:rsidRPr="0027332F">
        <w:rPr>
          <w:rFonts w:eastAsiaTheme="minorHAnsi"/>
          <w:lang w:eastAsia="en-US"/>
        </w:rPr>
        <w:t xml:space="preserve">could </w:t>
      </w:r>
      <w:r w:rsidR="00BA098E" w:rsidRPr="0027332F">
        <w:rPr>
          <w:rFonts w:eastAsiaTheme="minorHAnsi"/>
          <w:lang w:eastAsia="en-US"/>
        </w:rPr>
        <w:t>be used</w:t>
      </w:r>
      <w:r w:rsidRPr="0027332F">
        <w:rPr>
          <w:rFonts w:eastAsiaTheme="minorHAnsi"/>
          <w:lang w:eastAsia="en-US"/>
        </w:rPr>
        <w:t xml:space="preserve"> to take into account the production technologies of key trading partners</w:t>
      </w:r>
      <w:r w:rsidR="00BA098E" w:rsidRPr="0027332F">
        <w:rPr>
          <w:rFonts w:eastAsiaTheme="minorHAnsi"/>
          <w:lang w:eastAsia="en-US"/>
        </w:rPr>
        <w:t xml:space="preserve">.   </w:t>
      </w:r>
    </w:p>
    <w:p w:rsidR="00BA098E" w:rsidRDefault="00BA098E" w:rsidP="00BA098E">
      <w:pPr>
        <w:spacing w:line="360" w:lineRule="auto"/>
        <w:jc w:val="both"/>
        <w:rPr>
          <w:b/>
          <w:sz w:val="28"/>
          <w:szCs w:val="28"/>
        </w:rPr>
      </w:pPr>
    </w:p>
    <w:p w:rsidR="00D2247B" w:rsidRDefault="00D2247B" w:rsidP="00D2247B">
      <w:pPr>
        <w:spacing w:line="360" w:lineRule="auto"/>
        <w:jc w:val="both"/>
        <w:rPr>
          <w:b/>
          <w:sz w:val="28"/>
          <w:szCs w:val="28"/>
        </w:rPr>
      </w:pPr>
      <w:r>
        <w:rPr>
          <w:b/>
          <w:sz w:val="28"/>
          <w:szCs w:val="28"/>
        </w:rPr>
        <w:t>4.</w:t>
      </w:r>
      <w:r>
        <w:rPr>
          <w:b/>
          <w:sz w:val="28"/>
          <w:szCs w:val="28"/>
        </w:rPr>
        <w:tab/>
        <w:t>RESULTS</w:t>
      </w:r>
    </w:p>
    <w:p w:rsidR="00D2247B" w:rsidRDefault="00D2247B" w:rsidP="00D2247B">
      <w:pPr>
        <w:spacing w:line="360" w:lineRule="auto"/>
        <w:jc w:val="both"/>
        <w:rPr>
          <w:b/>
          <w:sz w:val="28"/>
          <w:szCs w:val="28"/>
        </w:rPr>
      </w:pPr>
    </w:p>
    <w:p w:rsidR="00D2247B" w:rsidRDefault="00D2247B" w:rsidP="00D2247B">
      <w:pPr>
        <w:spacing w:line="360" w:lineRule="auto"/>
        <w:jc w:val="both"/>
        <w:rPr>
          <w:rFonts w:eastAsiaTheme="minorHAnsi"/>
          <w:lang w:eastAsia="en-US"/>
        </w:rPr>
      </w:pPr>
      <w:r>
        <w:rPr>
          <w:rFonts w:eastAsiaTheme="minorHAnsi"/>
          <w:lang w:eastAsia="en-US"/>
        </w:rPr>
        <w:t>Due to the experimental nature of this study, only aggregated results are presented here for key industries. Investigations are continuing to further review the results. The data are presented here as part of the review process.</w:t>
      </w:r>
    </w:p>
    <w:p w:rsidR="00D2247B" w:rsidRDefault="00D2247B" w:rsidP="00D2247B">
      <w:pPr>
        <w:spacing w:line="360" w:lineRule="auto"/>
        <w:jc w:val="both"/>
        <w:rPr>
          <w:rFonts w:eastAsiaTheme="minorHAnsi"/>
          <w:lang w:eastAsia="en-US"/>
        </w:rPr>
      </w:pPr>
    </w:p>
    <w:p w:rsidR="00D2247B" w:rsidRPr="00E11B50" w:rsidRDefault="00D2247B" w:rsidP="00D2247B">
      <w:pPr>
        <w:spacing w:line="360" w:lineRule="auto"/>
        <w:jc w:val="both"/>
        <w:rPr>
          <w:rFonts w:eastAsiaTheme="minorHAnsi"/>
          <w:lang w:eastAsia="en-US"/>
        </w:rPr>
      </w:pPr>
      <w:r>
        <w:rPr>
          <w:rFonts w:eastAsiaTheme="minorHAnsi"/>
          <w:lang w:eastAsia="en-US"/>
        </w:rPr>
        <w:t>Figure 2 shows the i</w:t>
      </w:r>
      <w:r w:rsidRPr="00C92DB7">
        <w:rPr>
          <w:rFonts w:eastAsiaTheme="minorHAnsi"/>
          <w:lang w:eastAsia="en-US"/>
        </w:rPr>
        <w:t>ndirect emission</w:t>
      </w:r>
      <w:r w:rsidR="002655E8">
        <w:rPr>
          <w:rFonts w:eastAsiaTheme="minorHAnsi"/>
          <w:lang w:eastAsia="en-US"/>
        </w:rPr>
        <w:t>s</w:t>
      </w:r>
      <w:r w:rsidRPr="00C92DB7">
        <w:rPr>
          <w:rFonts w:eastAsiaTheme="minorHAnsi"/>
          <w:lang w:eastAsia="en-US"/>
        </w:rPr>
        <w:t xml:space="preserve"> embedded in imports totalling 172 Mt is derived from the</w:t>
      </w:r>
      <w:r>
        <w:rPr>
          <w:rFonts w:eastAsiaTheme="minorHAnsi"/>
          <w:lang w:eastAsia="en-US"/>
        </w:rPr>
        <w:t xml:space="preserve"> IO model through the</w:t>
      </w:r>
      <w:r w:rsidRPr="00C92DB7">
        <w:rPr>
          <w:rFonts w:eastAsiaTheme="minorHAnsi"/>
          <w:lang w:eastAsia="en-US"/>
        </w:rPr>
        <w:t xml:space="preserve"> indirect allocation of imports</w:t>
      </w:r>
      <w:r>
        <w:rPr>
          <w:rFonts w:eastAsiaTheme="minorHAnsi"/>
          <w:lang w:eastAsia="en-US"/>
        </w:rPr>
        <w:t xml:space="preserve"> with the assumption that imports </w:t>
      </w:r>
      <w:r w:rsidRPr="00C92DB7">
        <w:rPr>
          <w:rFonts w:eastAsiaTheme="minorHAnsi"/>
          <w:lang w:eastAsia="en-US"/>
        </w:rPr>
        <w:t>share the same technology requirement as domestic products</w:t>
      </w:r>
      <w:r>
        <w:rPr>
          <w:rFonts w:eastAsiaTheme="minorHAnsi"/>
          <w:lang w:eastAsia="en-US"/>
        </w:rPr>
        <w:t xml:space="preserve"> of the same or similar types. The </w:t>
      </w:r>
      <w:r w:rsidR="00545EA5">
        <w:rPr>
          <w:rFonts w:eastAsiaTheme="minorHAnsi"/>
          <w:lang w:eastAsia="en-US"/>
        </w:rPr>
        <w:t xml:space="preserve">SEEA </w:t>
      </w:r>
      <w:r w:rsidRPr="00E11B50">
        <w:rPr>
          <w:rFonts w:eastAsiaTheme="minorHAnsi"/>
          <w:lang w:eastAsia="en-US"/>
        </w:rPr>
        <w:t>Production based emissions</w:t>
      </w:r>
      <w:r>
        <w:rPr>
          <w:rFonts w:eastAsiaTheme="minorHAnsi"/>
          <w:lang w:eastAsia="en-US"/>
        </w:rPr>
        <w:t xml:space="preserve"> plus the embedded emissions in imports (172 Mt) give rise to the total emissions supply of 809 Mt. On the use side, the total supply is allocated towards households (377 Mt including the direct emissions from households), government final consumption expenditure (41 Mt), capital formation and change of inventories (174 Mt) and exports (217 Mt). The total consumption based emissions by Australian economic residents is 592 Mt, which is 45 Mt lower than the production based emissions. This is due to the 45 Mt of emissions embedded in net trade balance. </w:t>
      </w:r>
    </w:p>
    <w:p w:rsidR="00D2247B" w:rsidRPr="00BA098E" w:rsidRDefault="00D2247B" w:rsidP="00D2247B">
      <w:pPr>
        <w:autoSpaceDE w:val="0"/>
        <w:autoSpaceDN w:val="0"/>
        <w:adjustRightInd w:val="0"/>
        <w:spacing w:line="360" w:lineRule="auto"/>
        <w:jc w:val="both"/>
        <w:rPr>
          <w:rFonts w:eastAsiaTheme="minorHAnsi"/>
          <w:lang w:eastAsia="en-US"/>
        </w:rPr>
        <w:sectPr w:rsidR="00D2247B" w:rsidRPr="00BA098E" w:rsidSect="005751A3">
          <w:footerReference w:type="default" r:id="rId12"/>
          <w:pgSz w:w="11906" w:h="16838"/>
          <w:pgMar w:top="1440" w:right="1440" w:bottom="1440" w:left="1440" w:header="709" w:footer="709" w:gutter="0"/>
          <w:cols w:space="708"/>
          <w:titlePg/>
          <w:docGrid w:linePitch="360"/>
        </w:sectPr>
      </w:pPr>
    </w:p>
    <w:p w:rsidR="00D2247B" w:rsidRPr="00CF685A" w:rsidRDefault="00D2247B" w:rsidP="00D2247B">
      <w:pPr>
        <w:pStyle w:val="ListParagraph"/>
        <w:numPr>
          <w:ilvl w:val="0"/>
          <w:numId w:val="33"/>
        </w:numPr>
        <w:autoSpaceDE w:val="0"/>
        <w:autoSpaceDN w:val="0"/>
        <w:adjustRightInd w:val="0"/>
        <w:spacing w:line="360" w:lineRule="auto"/>
        <w:contextualSpacing w:val="0"/>
        <w:jc w:val="both"/>
        <w:rPr>
          <w:b/>
          <w:i/>
          <w:vanish/>
          <w:u w:val="single"/>
          <w:lang w:eastAsia="en-US"/>
        </w:rPr>
      </w:pPr>
    </w:p>
    <w:p w:rsidR="00D2247B" w:rsidRPr="00CF685A" w:rsidRDefault="00D2247B" w:rsidP="00D2247B">
      <w:pPr>
        <w:pStyle w:val="ListParagraph"/>
        <w:numPr>
          <w:ilvl w:val="0"/>
          <w:numId w:val="33"/>
        </w:numPr>
        <w:autoSpaceDE w:val="0"/>
        <w:autoSpaceDN w:val="0"/>
        <w:adjustRightInd w:val="0"/>
        <w:spacing w:line="360" w:lineRule="auto"/>
        <w:contextualSpacing w:val="0"/>
        <w:jc w:val="both"/>
        <w:rPr>
          <w:b/>
          <w:i/>
          <w:vanish/>
          <w:u w:val="single"/>
          <w:lang w:eastAsia="en-US"/>
        </w:rPr>
      </w:pPr>
    </w:p>
    <w:p w:rsidR="00D2247B" w:rsidRPr="00CF685A" w:rsidRDefault="00D2247B" w:rsidP="00D2247B">
      <w:pPr>
        <w:pStyle w:val="ListParagraph"/>
        <w:numPr>
          <w:ilvl w:val="0"/>
          <w:numId w:val="33"/>
        </w:numPr>
        <w:autoSpaceDE w:val="0"/>
        <w:autoSpaceDN w:val="0"/>
        <w:adjustRightInd w:val="0"/>
        <w:spacing w:line="360" w:lineRule="auto"/>
        <w:contextualSpacing w:val="0"/>
        <w:jc w:val="both"/>
        <w:rPr>
          <w:b/>
          <w:i/>
          <w:vanish/>
          <w:u w:val="single"/>
          <w:lang w:eastAsia="en-US"/>
        </w:rPr>
      </w:pPr>
    </w:p>
    <w:p w:rsidR="00D2247B" w:rsidRPr="0077209A" w:rsidRDefault="00D2247B" w:rsidP="00D2247B">
      <w:pPr>
        <w:pStyle w:val="Caption"/>
        <w:keepNext/>
        <w:jc w:val="both"/>
        <w:rPr>
          <w:color w:val="auto"/>
          <w:sz w:val="24"/>
        </w:rPr>
      </w:pPr>
      <w:r w:rsidRPr="0077209A">
        <w:rPr>
          <w:color w:val="auto"/>
          <w:sz w:val="24"/>
        </w:rPr>
        <w:t xml:space="preserve">Figure </w:t>
      </w:r>
      <w:r>
        <w:rPr>
          <w:color w:val="auto"/>
          <w:sz w:val="24"/>
        </w:rPr>
        <w:t xml:space="preserve">2: </w:t>
      </w:r>
      <w:r w:rsidRPr="0077209A">
        <w:rPr>
          <w:color w:val="auto"/>
          <w:sz w:val="24"/>
        </w:rPr>
        <w:t>GHG Emissions flow supply and use</w:t>
      </w:r>
      <w:r w:rsidR="00A75510">
        <w:rPr>
          <w:color w:val="auto"/>
          <w:sz w:val="24"/>
        </w:rPr>
        <w:t xml:space="preserve"> 2007-2008</w:t>
      </w:r>
    </w:p>
    <w:p w:rsidR="00D2247B" w:rsidRDefault="00D2247B" w:rsidP="00D2247B">
      <w:pPr>
        <w:keepNext/>
        <w:spacing w:line="360" w:lineRule="auto"/>
        <w:jc w:val="center"/>
      </w:pPr>
      <w:r>
        <w:rPr>
          <w:noProof/>
        </w:rPr>
        <w:drawing>
          <wp:inline distT="0" distB="0" distL="0" distR="0" wp14:anchorId="05F9642A" wp14:editId="4B846611">
            <wp:extent cx="9206860" cy="580445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211948" cy="5807661"/>
                    </a:xfrm>
                    <a:prstGeom prst="rect">
                      <a:avLst/>
                    </a:prstGeom>
                  </pic:spPr>
                </pic:pic>
              </a:graphicData>
            </a:graphic>
          </wp:inline>
        </w:drawing>
      </w:r>
    </w:p>
    <w:p w:rsidR="00D2247B" w:rsidRDefault="00D2247B" w:rsidP="00D2247B">
      <w:pPr>
        <w:spacing w:line="360" w:lineRule="auto"/>
        <w:jc w:val="both"/>
        <w:rPr>
          <w:noProof/>
        </w:rPr>
      </w:pPr>
    </w:p>
    <w:p w:rsidR="00D2247B" w:rsidRDefault="00D2247B" w:rsidP="00D2247B">
      <w:pPr>
        <w:spacing w:line="360" w:lineRule="auto"/>
        <w:jc w:val="both"/>
        <w:rPr>
          <w:noProof/>
        </w:rPr>
      </w:pPr>
    </w:p>
    <w:tbl>
      <w:tblPr>
        <w:tblW w:w="4560" w:type="pct"/>
        <w:jc w:val="center"/>
        <w:tblLook w:val="04A0" w:firstRow="1" w:lastRow="0" w:firstColumn="1" w:lastColumn="0" w:noHBand="0" w:noVBand="1"/>
      </w:tblPr>
      <w:tblGrid>
        <w:gridCol w:w="4904"/>
        <w:gridCol w:w="2116"/>
        <w:gridCol w:w="2116"/>
        <w:gridCol w:w="1643"/>
        <w:gridCol w:w="1490"/>
        <w:gridCol w:w="1122"/>
        <w:gridCol w:w="849"/>
      </w:tblGrid>
      <w:tr w:rsidR="00D2247B" w:rsidRPr="008765C1" w:rsidTr="009A1839">
        <w:trPr>
          <w:trHeight w:val="315"/>
          <w:jc w:val="center"/>
        </w:trPr>
        <w:tc>
          <w:tcPr>
            <w:tcW w:w="5000" w:type="pct"/>
            <w:gridSpan w:val="7"/>
            <w:tcBorders>
              <w:top w:val="single" w:sz="12" w:space="0" w:color="auto"/>
              <w:bottom w:val="single" w:sz="12" w:space="0" w:color="auto"/>
            </w:tcBorders>
            <w:shd w:val="clear" w:color="auto" w:fill="auto"/>
            <w:noWrap/>
            <w:vAlign w:val="bottom"/>
            <w:hideMark/>
          </w:tcPr>
          <w:p w:rsidR="00D2247B" w:rsidRPr="008765C1" w:rsidRDefault="00D2247B" w:rsidP="009A1839">
            <w:pPr>
              <w:jc w:val="center"/>
              <w:rPr>
                <w:b/>
                <w:color w:val="000000"/>
              </w:rPr>
            </w:pPr>
            <w:r>
              <w:rPr>
                <w:b/>
                <w:color w:val="000000"/>
              </w:rPr>
              <w:t>Table 1: Greenhouse Gas Emissions Induced by Final D</w:t>
            </w:r>
            <w:r w:rsidRPr="008765C1">
              <w:rPr>
                <w:b/>
                <w:color w:val="000000"/>
              </w:rPr>
              <w:t xml:space="preserve">emand, (Mt </w:t>
            </w: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sidR="00C31A9F" w:rsidRPr="00F75489">
              <w:rPr>
                <w:rFonts w:eastAsiaTheme="minorHAnsi"/>
                <w:lang w:eastAsia="en-US"/>
              </w:rPr>
              <w:t xml:space="preserve"> </w:t>
            </w:r>
            <w:r w:rsidRPr="008765C1">
              <w:rPr>
                <w:b/>
                <w:color w:val="000000"/>
              </w:rPr>
              <w:t>-e) 2007-2008</w:t>
            </w:r>
          </w:p>
        </w:tc>
      </w:tr>
      <w:tr w:rsidR="00D2247B" w:rsidRPr="00FA33CF" w:rsidTr="009A1839">
        <w:trPr>
          <w:trHeight w:val="1020"/>
          <w:jc w:val="center"/>
        </w:trPr>
        <w:tc>
          <w:tcPr>
            <w:tcW w:w="1722" w:type="pct"/>
            <w:tcBorders>
              <w:top w:val="single" w:sz="12" w:space="0" w:color="auto"/>
              <w:bottom w:val="single" w:sz="8" w:space="0" w:color="auto"/>
              <w:right w:val="single" w:sz="8" w:space="0" w:color="auto"/>
            </w:tcBorders>
            <w:shd w:val="clear" w:color="auto" w:fill="auto"/>
            <w:noWrap/>
            <w:vAlign w:val="bottom"/>
            <w:hideMark/>
          </w:tcPr>
          <w:p w:rsidR="00D2247B" w:rsidRPr="00FA33CF" w:rsidRDefault="00D2247B" w:rsidP="009A1839">
            <w:pPr>
              <w:rPr>
                <w:b/>
                <w:color w:val="000000"/>
              </w:rPr>
            </w:pPr>
            <w:r w:rsidRPr="00FA33CF">
              <w:rPr>
                <w:b/>
                <w:color w:val="000000"/>
              </w:rPr>
              <w:t> </w:t>
            </w:r>
          </w:p>
        </w:tc>
        <w:tc>
          <w:tcPr>
            <w:tcW w:w="743" w:type="pct"/>
            <w:tcBorders>
              <w:top w:val="single" w:sz="12" w:space="0" w:color="auto"/>
              <w:left w:val="nil"/>
              <w:bottom w:val="single" w:sz="8" w:space="0" w:color="auto"/>
              <w:right w:val="single" w:sz="8" w:space="0" w:color="auto"/>
            </w:tcBorders>
            <w:shd w:val="clear" w:color="auto" w:fill="auto"/>
            <w:vAlign w:val="center"/>
            <w:hideMark/>
          </w:tcPr>
          <w:p w:rsidR="00D2247B" w:rsidRPr="00FA33CF" w:rsidRDefault="007A21D1" w:rsidP="009A1839">
            <w:pPr>
              <w:jc w:val="center"/>
              <w:rPr>
                <w:b/>
                <w:color w:val="000000"/>
              </w:rPr>
            </w:pPr>
            <w:r>
              <w:rPr>
                <w:b/>
                <w:color w:val="000000"/>
              </w:rPr>
              <w:t>Household</w:t>
            </w:r>
            <w:r w:rsidR="00D2247B" w:rsidRPr="00FA33CF">
              <w:rPr>
                <w:b/>
                <w:color w:val="000000"/>
              </w:rPr>
              <w:t xml:space="preserve"> final consumption </w:t>
            </w:r>
          </w:p>
        </w:tc>
        <w:tc>
          <w:tcPr>
            <w:tcW w:w="743" w:type="pct"/>
            <w:tcBorders>
              <w:top w:val="single" w:sz="12" w:space="0" w:color="auto"/>
              <w:left w:val="nil"/>
              <w:bottom w:val="single" w:sz="8" w:space="0" w:color="auto"/>
              <w:right w:val="single" w:sz="8" w:space="0" w:color="auto"/>
            </w:tcBorders>
            <w:shd w:val="clear" w:color="auto" w:fill="auto"/>
            <w:vAlign w:val="center"/>
            <w:hideMark/>
          </w:tcPr>
          <w:p w:rsidR="00D2247B" w:rsidRPr="00FA33CF" w:rsidRDefault="00D2247B" w:rsidP="009A1839">
            <w:pPr>
              <w:jc w:val="center"/>
              <w:rPr>
                <w:b/>
                <w:color w:val="000000"/>
              </w:rPr>
            </w:pPr>
            <w:r w:rsidRPr="00FA33CF">
              <w:rPr>
                <w:b/>
                <w:color w:val="000000"/>
              </w:rPr>
              <w:t>Government final consumption</w:t>
            </w:r>
          </w:p>
        </w:tc>
        <w:tc>
          <w:tcPr>
            <w:tcW w:w="577" w:type="pct"/>
            <w:tcBorders>
              <w:top w:val="single" w:sz="12" w:space="0" w:color="auto"/>
              <w:left w:val="nil"/>
              <w:bottom w:val="single" w:sz="8" w:space="0" w:color="auto"/>
              <w:right w:val="single" w:sz="8" w:space="0" w:color="auto"/>
            </w:tcBorders>
            <w:shd w:val="clear" w:color="auto" w:fill="auto"/>
            <w:vAlign w:val="center"/>
            <w:hideMark/>
          </w:tcPr>
          <w:p w:rsidR="00D2247B" w:rsidRPr="00FA33CF" w:rsidRDefault="00212094" w:rsidP="00E47024">
            <w:pPr>
              <w:jc w:val="center"/>
              <w:rPr>
                <w:b/>
                <w:color w:val="000000"/>
              </w:rPr>
            </w:pPr>
            <w:r>
              <w:rPr>
                <w:b/>
                <w:color w:val="000000"/>
              </w:rPr>
              <w:t>Gross capital formation</w:t>
            </w:r>
          </w:p>
        </w:tc>
        <w:tc>
          <w:tcPr>
            <w:tcW w:w="523" w:type="pct"/>
            <w:tcBorders>
              <w:top w:val="single" w:sz="12" w:space="0" w:color="auto"/>
              <w:left w:val="nil"/>
              <w:bottom w:val="single" w:sz="8" w:space="0" w:color="auto"/>
              <w:right w:val="single" w:sz="8" w:space="0" w:color="auto"/>
            </w:tcBorders>
            <w:shd w:val="clear" w:color="auto" w:fill="auto"/>
            <w:vAlign w:val="center"/>
            <w:hideMark/>
          </w:tcPr>
          <w:p w:rsidR="00D2247B" w:rsidRPr="00FA33CF" w:rsidRDefault="00D2247B" w:rsidP="009A1839">
            <w:pPr>
              <w:jc w:val="center"/>
              <w:rPr>
                <w:b/>
                <w:color w:val="000000"/>
              </w:rPr>
            </w:pPr>
            <w:r w:rsidRPr="00FA33CF">
              <w:rPr>
                <w:b/>
                <w:color w:val="000000"/>
              </w:rPr>
              <w:t>Total domestic use</w:t>
            </w:r>
          </w:p>
        </w:tc>
        <w:tc>
          <w:tcPr>
            <w:tcW w:w="394" w:type="pct"/>
            <w:tcBorders>
              <w:top w:val="single" w:sz="12" w:space="0" w:color="auto"/>
              <w:left w:val="nil"/>
              <w:bottom w:val="single" w:sz="8" w:space="0" w:color="auto"/>
              <w:right w:val="single" w:sz="8" w:space="0" w:color="auto"/>
            </w:tcBorders>
            <w:shd w:val="clear" w:color="auto" w:fill="auto"/>
            <w:vAlign w:val="center"/>
            <w:hideMark/>
          </w:tcPr>
          <w:p w:rsidR="00D2247B" w:rsidRPr="00FA33CF" w:rsidRDefault="00D2247B" w:rsidP="009A1839">
            <w:pPr>
              <w:jc w:val="center"/>
              <w:rPr>
                <w:b/>
                <w:color w:val="000000"/>
              </w:rPr>
            </w:pPr>
            <w:r w:rsidRPr="00FA33CF">
              <w:rPr>
                <w:b/>
                <w:color w:val="000000"/>
              </w:rPr>
              <w:t>Export</w:t>
            </w:r>
            <w:r w:rsidR="007A21D1">
              <w:rPr>
                <w:b/>
                <w:color w:val="000000"/>
              </w:rPr>
              <w:t>s</w:t>
            </w:r>
          </w:p>
        </w:tc>
        <w:tc>
          <w:tcPr>
            <w:tcW w:w="298" w:type="pct"/>
            <w:tcBorders>
              <w:top w:val="single" w:sz="12" w:space="0" w:color="auto"/>
              <w:left w:val="nil"/>
              <w:bottom w:val="single" w:sz="8" w:space="0" w:color="auto"/>
            </w:tcBorders>
            <w:shd w:val="clear" w:color="auto" w:fill="auto"/>
            <w:vAlign w:val="center"/>
            <w:hideMark/>
          </w:tcPr>
          <w:p w:rsidR="00D2247B" w:rsidRPr="00FA33CF" w:rsidRDefault="00D2247B" w:rsidP="009A1839">
            <w:pPr>
              <w:jc w:val="center"/>
              <w:rPr>
                <w:b/>
                <w:color w:val="000000"/>
              </w:rPr>
            </w:pPr>
            <w:r w:rsidRPr="00FA33CF">
              <w:rPr>
                <w:b/>
                <w:color w:val="000000"/>
              </w:rPr>
              <w:t>Total use</w:t>
            </w:r>
            <w:r w:rsidR="007A21D1">
              <w:rPr>
                <w:b/>
                <w:color w:val="000000"/>
              </w:rPr>
              <w:t>s</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rPr>
                <w:bCs/>
                <w:color w:val="000000"/>
              </w:rPr>
            </w:pPr>
            <w:r w:rsidRPr="0077209A">
              <w:rPr>
                <w:bCs/>
                <w:color w:val="000000"/>
              </w:rPr>
              <w:t>Agriculture, forestry and fishing</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15</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16</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31</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31</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62</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rPr>
                <w:bCs/>
                <w:color w:val="000000"/>
              </w:rPr>
            </w:pPr>
            <w:r w:rsidRPr="0077209A">
              <w:rPr>
                <w:bCs/>
                <w:color w:val="000000"/>
              </w:rPr>
              <w:t>Mining</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6</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7</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58</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65</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rPr>
                <w:bCs/>
                <w:color w:val="000000"/>
              </w:rPr>
            </w:pPr>
            <w:r w:rsidRPr="0077209A">
              <w:rPr>
                <w:bCs/>
                <w:color w:val="000000"/>
              </w:rPr>
              <w:t>Manufacturing</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 </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 </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 </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 </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 </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 </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ind w:firstLineChars="200" w:firstLine="480"/>
              <w:rPr>
                <w:i/>
                <w:color w:val="000000"/>
              </w:rPr>
            </w:pPr>
            <w:r w:rsidRPr="0077209A">
              <w:rPr>
                <w:i/>
                <w:color w:val="000000"/>
              </w:rPr>
              <w:t>Food, beverages and tobacco</w:t>
            </w:r>
          </w:p>
        </w:tc>
        <w:tc>
          <w:tcPr>
            <w:tcW w:w="743" w:type="pct"/>
            <w:tcBorders>
              <w:top w:val="nil"/>
              <w:left w:val="nil"/>
              <w:bottom w:val="nil"/>
              <w:right w:val="single" w:sz="8" w:space="0" w:color="auto"/>
            </w:tcBorders>
            <w:shd w:val="clear" w:color="auto" w:fill="auto"/>
            <w:noWrap/>
            <w:vAlign w:val="center"/>
            <w:hideMark/>
          </w:tcPr>
          <w:p w:rsidR="00D2247B" w:rsidRPr="00A75510" w:rsidRDefault="00D2247B" w:rsidP="009A1839">
            <w:pPr>
              <w:jc w:val="center"/>
              <w:rPr>
                <w:i/>
                <w:color w:val="000000"/>
              </w:rPr>
            </w:pPr>
            <w:r w:rsidRPr="00A75510">
              <w:rPr>
                <w:i/>
                <w:color w:val="000000"/>
              </w:rPr>
              <w:t>57</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2</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59</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31</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90</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ind w:firstLineChars="200" w:firstLine="480"/>
              <w:rPr>
                <w:i/>
                <w:color w:val="000000"/>
              </w:rPr>
            </w:pPr>
            <w:r w:rsidRPr="0077209A">
              <w:rPr>
                <w:i/>
                <w:color w:val="000000"/>
              </w:rPr>
              <w:t>Textile, wood, paper and printing</w:t>
            </w:r>
          </w:p>
        </w:tc>
        <w:tc>
          <w:tcPr>
            <w:tcW w:w="743" w:type="pct"/>
            <w:tcBorders>
              <w:top w:val="nil"/>
              <w:left w:val="nil"/>
              <w:bottom w:val="nil"/>
              <w:right w:val="single" w:sz="8" w:space="0" w:color="auto"/>
            </w:tcBorders>
            <w:shd w:val="clear" w:color="auto" w:fill="auto"/>
            <w:noWrap/>
            <w:vAlign w:val="center"/>
            <w:hideMark/>
          </w:tcPr>
          <w:p w:rsidR="00D2247B" w:rsidRPr="00A75510" w:rsidRDefault="00D2247B" w:rsidP="009A1839">
            <w:pPr>
              <w:jc w:val="center"/>
              <w:rPr>
                <w:i/>
                <w:color w:val="000000"/>
              </w:rPr>
            </w:pPr>
            <w:r w:rsidRPr="00A75510">
              <w:rPr>
                <w:i/>
                <w:color w:val="000000"/>
              </w:rPr>
              <w:t>7</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8</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4</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11</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ind w:firstLineChars="200" w:firstLine="480"/>
              <w:rPr>
                <w:i/>
                <w:color w:val="000000"/>
              </w:rPr>
            </w:pPr>
            <w:r w:rsidRPr="0077209A">
              <w:rPr>
                <w:i/>
                <w:color w:val="000000"/>
              </w:rPr>
              <w:t>Petroleum, coal and chemical products</w:t>
            </w:r>
          </w:p>
        </w:tc>
        <w:tc>
          <w:tcPr>
            <w:tcW w:w="743" w:type="pct"/>
            <w:tcBorders>
              <w:top w:val="nil"/>
              <w:left w:val="nil"/>
              <w:bottom w:val="nil"/>
              <w:right w:val="single" w:sz="8" w:space="0" w:color="auto"/>
            </w:tcBorders>
            <w:shd w:val="clear" w:color="auto" w:fill="auto"/>
            <w:noWrap/>
            <w:vAlign w:val="center"/>
            <w:hideMark/>
          </w:tcPr>
          <w:p w:rsidR="00D2247B" w:rsidRPr="00A75510" w:rsidRDefault="00D2247B" w:rsidP="009A1839">
            <w:pPr>
              <w:jc w:val="center"/>
              <w:rPr>
                <w:i/>
                <w:color w:val="000000"/>
              </w:rPr>
            </w:pPr>
            <w:r w:rsidRPr="00A75510">
              <w:rPr>
                <w:i/>
                <w:color w:val="000000"/>
              </w:rPr>
              <w:t>15</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2</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8</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25</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9</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33</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ind w:firstLineChars="200" w:firstLine="480"/>
              <w:rPr>
                <w:i/>
                <w:color w:val="000000"/>
              </w:rPr>
            </w:pPr>
            <w:r w:rsidRPr="0077209A">
              <w:rPr>
                <w:i/>
                <w:color w:val="000000"/>
              </w:rPr>
              <w:t>Non-metallic mineral products</w:t>
            </w:r>
          </w:p>
        </w:tc>
        <w:tc>
          <w:tcPr>
            <w:tcW w:w="743" w:type="pct"/>
            <w:tcBorders>
              <w:top w:val="nil"/>
              <w:left w:val="nil"/>
              <w:bottom w:val="nil"/>
              <w:right w:val="single" w:sz="8" w:space="0" w:color="auto"/>
            </w:tcBorders>
            <w:shd w:val="clear" w:color="auto" w:fill="auto"/>
            <w:noWrap/>
            <w:vAlign w:val="center"/>
            <w:hideMark/>
          </w:tcPr>
          <w:p w:rsidR="00D2247B" w:rsidRPr="00A75510" w:rsidRDefault="00D2247B" w:rsidP="009A1839">
            <w:pPr>
              <w:jc w:val="center"/>
              <w:rPr>
                <w:i/>
                <w:color w:val="000000"/>
              </w:rPr>
            </w:pPr>
            <w:r w:rsidRPr="00A75510">
              <w:rPr>
                <w:i/>
                <w:color w:val="000000"/>
              </w:rPr>
              <w:t>1</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2</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2</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ind w:firstLineChars="200" w:firstLine="480"/>
              <w:rPr>
                <w:i/>
                <w:color w:val="000000"/>
              </w:rPr>
            </w:pPr>
            <w:r w:rsidRPr="0077209A">
              <w:rPr>
                <w:i/>
                <w:color w:val="000000"/>
              </w:rPr>
              <w:t>Metal products</w:t>
            </w:r>
          </w:p>
        </w:tc>
        <w:tc>
          <w:tcPr>
            <w:tcW w:w="743" w:type="pct"/>
            <w:tcBorders>
              <w:top w:val="nil"/>
              <w:left w:val="nil"/>
              <w:bottom w:val="nil"/>
              <w:right w:val="single" w:sz="8" w:space="0" w:color="auto"/>
            </w:tcBorders>
            <w:shd w:val="clear" w:color="auto" w:fill="auto"/>
            <w:noWrap/>
            <w:vAlign w:val="center"/>
            <w:hideMark/>
          </w:tcPr>
          <w:p w:rsidR="00D2247B" w:rsidRPr="00A75510" w:rsidRDefault="00D2247B" w:rsidP="009A1839">
            <w:pPr>
              <w:jc w:val="center"/>
              <w:rPr>
                <w:i/>
                <w:color w:val="000000"/>
              </w:rPr>
            </w:pPr>
            <w:r w:rsidRPr="00A75510">
              <w:rPr>
                <w:i/>
                <w:color w:val="000000"/>
              </w:rPr>
              <w:t>1</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5</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6</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45</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51</w:t>
            </w:r>
          </w:p>
        </w:tc>
      </w:tr>
      <w:tr w:rsidR="00D2247B" w:rsidRPr="008765C1" w:rsidTr="009A1839">
        <w:trPr>
          <w:trHeight w:val="300"/>
          <w:jc w:val="center"/>
        </w:trPr>
        <w:tc>
          <w:tcPr>
            <w:tcW w:w="1722" w:type="pct"/>
            <w:tcBorders>
              <w:top w:val="nil"/>
              <w:bottom w:val="single" w:sz="8" w:space="0" w:color="auto"/>
              <w:right w:val="single" w:sz="8" w:space="0" w:color="auto"/>
            </w:tcBorders>
            <w:shd w:val="clear" w:color="auto" w:fill="auto"/>
            <w:noWrap/>
            <w:vAlign w:val="bottom"/>
            <w:hideMark/>
          </w:tcPr>
          <w:p w:rsidR="00D2247B" w:rsidRPr="0077209A" w:rsidRDefault="00D2247B" w:rsidP="009A1839">
            <w:pPr>
              <w:ind w:firstLineChars="200" w:firstLine="480"/>
              <w:rPr>
                <w:i/>
                <w:color w:val="000000"/>
              </w:rPr>
            </w:pPr>
            <w:r w:rsidRPr="0077209A">
              <w:rPr>
                <w:i/>
                <w:color w:val="000000"/>
              </w:rPr>
              <w:t>Machinery and equipment</w:t>
            </w:r>
          </w:p>
        </w:tc>
        <w:tc>
          <w:tcPr>
            <w:tcW w:w="743" w:type="pct"/>
            <w:tcBorders>
              <w:top w:val="nil"/>
              <w:left w:val="nil"/>
              <w:bottom w:val="single" w:sz="8" w:space="0" w:color="auto"/>
              <w:right w:val="single" w:sz="8" w:space="0" w:color="auto"/>
            </w:tcBorders>
            <w:shd w:val="clear" w:color="auto" w:fill="auto"/>
            <w:noWrap/>
            <w:vAlign w:val="center"/>
            <w:hideMark/>
          </w:tcPr>
          <w:p w:rsidR="00D2247B" w:rsidRPr="00A75510" w:rsidRDefault="00D2247B" w:rsidP="009A1839">
            <w:pPr>
              <w:jc w:val="center"/>
              <w:rPr>
                <w:i/>
                <w:color w:val="000000"/>
              </w:rPr>
            </w:pPr>
            <w:r w:rsidRPr="00A75510">
              <w:rPr>
                <w:i/>
                <w:color w:val="000000"/>
              </w:rPr>
              <w:t>20</w:t>
            </w:r>
          </w:p>
        </w:tc>
        <w:tc>
          <w:tcPr>
            <w:tcW w:w="743" w:type="pct"/>
            <w:tcBorders>
              <w:top w:val="nil"/>
              <w:left w:val="nil"/>
              <w:bottom w:val="single" w:sz="8" w:space="0" w:color="auto"/>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577" w:type="pct"/>
            <w:tcBorders>
              <w:top w:val="nil"/>
              <w:left w:val="nil"/>
              <w:bottom w:val="single" w:sz="8" w:space="0" w:color="auto"/>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34</w:t>
            </w:r>
          </w:p>
        </w:tc>
        <w:tc>
          <w:tcPr>
            <w:tcW w:w="523" w:type="pct"/>
            <w:tcBorders>
              <w:top w:val="nil"/>
              <w:left w:val="nil"/>
              <w:bottom w:val="single" w:sz="8" w:space="0" w:color="auto"/>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54</w:t>
            </w:r>
          </w:p>
        </w:tc>
        <w:tc>
          <w:tcPr>
            <w:tcW w:w="394" w:type="pct"/>
            <w:tcBorders>
              <w:top w:val="nil"/>
              <w:left w:val="nil"/>
              <w:bottom w:val="single" w:sz="8" w:space="0" w:color="auto"/>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7</w:t>
            </w:r>
          </w:p>
        </w:tc>
        <w:tc>
          <w:tcPr>
            <w:tcW w:w="298" w:type="pct"/>
            <w:tcBorders>
              <w:top w:val="nil"/>
              <w:left w:val="nil"/>
              <w:bottom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60</w:t>
            </w:r>
          </w:p>
        </w:tc>
      </w:tr>
      <w:tr w:rsidR="00D2247B" w:rsidRPr="0077209A" w:rsidTr="009A1839">
        <w:trPr>
          <w:trHeight w:val="300"/>
          <w:jc w:val="center"/>
        </w:trPr>
        <w:tc>
          <w:tcPr>
            <w:tcW w:w="1722" w:type="pct"/>
            <w:tcBorders>
              <w:top w:val="single" w:sz="8" w:space="0" w:color="auto"/>
              <w:bottom w:val="single" w:sz="8" w:space="0" w:color="auto"/>
              <w:right w:val="single" w:sz="8" w:space="0" w:color="auto"/>
            </w:tcBorders>
            <w:shd w:val="clear" w:color="auto" w:fill="auto"/>
            <w:noWrap/>
            <w:vAlign w:val="bottom"/>
            <w:hideMark/>
          </w:tcPr>
          <w:p w:rsidR="00D2247B" w:rsidRPr="0077209A" w:rsidRDefault="00D2247B" w:rsidP="009A1839">
            <w:pPr>
              <w:ind w:firstLineChars="9" w:firstLine="22"/>
              <w:rPr>
                <w:iCs/>
                <w:color w:val="000000"/>
              </w:rPr>
            </w:pPr>
            <w:r w:rsidRPr="0077209A">
              <w:rPr>
                <w:iCs/>
                <w:color w:val="000000"/>
              </w:rPr>
              <w:t>Total manufacturing</w:t>
            </w:r>
          </w:p>
        </w:tc>
        <w:tc>
          <w:tcPr>
            <w:tcW w:w="743" w:type="pct"/>
            <w:tcBorders>
              <w:top w:val="single" w:sz="8" w:space="0" w:color="auto"/>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100</w:t>
            </w:r>
          </w:p>
        </w:tc>
        <w:tc>
          <w:tcPr>
            <w:tcW w:w="743" w:type="pct"/>
            <w:tcBorders>
              <w:top w:val="single" w:sz="8" w:space="0" w:color="auto"/>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2</w:t>
            </w:r>
          </w:p>
        </w:tc>
        <w:tc>
          <w:tcPr>
            <w:tcW w:w="577" w:type="pct"/>
            <w:tcBorders>
              <w:top w:val="single" w:sz="8" w:space="0" w:color="auto"/>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52</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153</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96</w:t>
            </w:r>
          </w:p>
        </w:tc>
        <w:tc>
          <w:tcPr>
            <w:tcW w:w="298" w:type="pct"/>
            <w:tcBorders>
              <w:top w:val="single" w:sz="8" w:space="0" w:color="auto"/>
              <w:left w:val="nil"/>
              <w:bottom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249</w:t>
            </w:r>
          </w:p>
        </w:tc>
      </w:tr>
      <w:tr w:rsidR="00D2247B" w:rsidRPr="008765C1" w:rsidTr="009A1839">
        <w:trPr>
          <w:trHeight w:val="300"/>
          <w:jc w:val="center"/>
        </w:trPr>
        <w:tc>
          <w:tcPr>
            <w:tcW w:w="1722" w:type="pct"/>
            <w:tcBorders>
              <w:top w:val="single" w:sz="8" w:space="0" w:color="auto"/>
              <w:bottom w:val="nil"/>
              <w:right w:val="single" w:sz="8" w:space="0" w:color="auto"/>
            </w:tcBorders>
            <w:shd w:val="clear" w:color="auto" w:fill="auto"/>
            <w:noWrap/>
            <w:vAlign w:val="bottom"/>
            <w:hideMark/>
          </w:tcPr>
          <w:p w:rsidR="00D2247B" w:rsidRPr="0077209A" w:rsidRDefault="00D2247B" w:rsidP="009A1839">
            <w:pPr>
              <w:rPr>
                <w:bCs/>
                <w:color w:val="000000"/>
              </w:rPr>
            </w:pPr>
            <w:r w:rsidRPr="0077209A">
              <w:rPr>
                <w:bCs/>
                <w:color w:val="000000"/>
              </w:rPr>
              <w:t>Electricity, gas, water and waste services</w:t>
            </w:r>
          </w:p>
        </w:tc>
        <w:tc>
          <w:tcPr>
            <w:tcW w:w="743" w:type="pct"/>
            <w:tcBorders>
              <w:top w:val="single" w:sz="8" w:space="0" w:color="auto"/>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80</w:t>
            </w:r>
          </w:p>
        </w:tc>
        <w:tc>
          <w:tcPr>
            <w:tcW w:w="743" w:type="pct"/>
            <w:tcBorders>
              <w:top w:val="single" w:sz="8" w:space="0" w:color="auto"/>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577" w:type="pct"/>
            <w:tcBorders>
              <w:top w:val="single" w:sz="8" w:space="0" w:color="auto"/>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18</w:t>
            </w:r>
          </w:p>
        </w:tc>
        <w:tc>
          <w:tcPr>
            <w:tcW w:w="523" w:type="pct"/>
            <w:tcBorders>
              <w:top w:val="single" w:sz="8" w:space="0" w:color="auto"/>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99</w:t>
            </w:r>
          </w:p>
        </w:tc>
        <w:tc>
          <w:tcPr>
            <w:tcW w:w="394" w:type="pct"/>
            <w:tcBorders>
              <w:top w:val="single" w:sz="8" w:space="0" w:color="auto"/>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298" w:type="pct"/>
            <w:tcBorders>
              <w:top w:val="single" w:sz="8" w:space="0" w:color="auto"/>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100</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rPr>
                <w:bCs/>
                <w:color w:val="000000"/>
              </w:rPr>
            </w:pPr>
            <w:r w:rsidRPr="0077209A">
              <w:rPr>
                <w:bCs/>
                <w:color w:val="000000"/>
              </w:rPr>
              <w:t>Construction</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66</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68</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0</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69</w:t>
            </w:r>
          </w:p>
        </w:tc>
      </w:tr>
      <w:tr w:rsidR="00D2247B" w:rsidRPr="008765C1" w:rsidTr="009A1839">
        <w:trPr>
          <w:trHeight w:val="300"/>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jc w:val="both"/>
              <w:rPr>
                <w:iCs/>
                <w:color w:val="000000"/>
              </w:rPr>
            </w:pPr>
            <w:r w:rsidRPr="0077209A">
              <w:rPr>
                <w:bCs/>
                <w:color w:val="000000"/>
              </w:rPr>
              <w:t>Transport</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22</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2</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26</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18</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44</w:t>
            </w:r>
          </w:p>
        </w:tc>
      </w:tr>
      <w:tr w:rsidR="00D2247B" w:rsidRPr="008765C1" w:rsidTr="009A1839">
        <w:trPr>
          <w:trHeight w:val="315"/>
          <w:jc w:val="center"/>
        </w:trPr>
        <w:tc>
          <w:tcPr>
            <w:tcW w:w="1722" w:type="pct"/>
            <w:tcBorders>
              <w:top w:val="nil"/>
              <w:bottom w:val="nil"/>
              <w:right w:val="single" w:sz="8" w:space="0" w:color="auto"/>
            </w:tcBorders>
            <w:shd w:val="clear" w:color="auto" w:fill="auto"/>
            <w:noWrap/>
            <w:vAlign w:val="bottom"/>
            <w:hideMark/>
          </w:tcPr>
          <w:p w:rsidR="00D2247B" w:rsidRPr="0077209A" w:rsidRDefault="00D2247B" w:rsidP="009A1839">
            <w:pPr>
              <w:rPr>
                <w:bCs/>
                <w:color w:val="000000"/>
              </w:rPr>
            </w:pPr>
            <w:r w:rsidRPr="0077209A">
              <w:rPr>
                <w:bCs/>
                <w:color w:val="000000"/>
              </w:rPr>
              <w:t>Commercial and</w:t>
            </w:r>
            <w:r>
              <w:rPr>
                <w:bCs/>
                <w:color w:val="000000"/>
              </w:rPr>
              <w:t xml:space="preserve"> other</w:t>
            </w:r>
            <w:r w:rsidRPr="0077209A">
              <w:rPr>
                <w:bCs/>
                <w:color w:val="000000"/>
              </w:rPr>
              <w:t xml:space="preserve"> services</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106</w:t>
            </w:r>
          </w:p>
        </w:tc>
        <w:tc>
          <w:tcPr>
            <w:tcW w:w="74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35</w:t>
            </w:r>
          </w:p>
        </w:tc>
        <w:tc>
          <w:tcPr>
            <w:tcW w:w="577"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15</w:t>
            </w:r>
          </w:p>
        </w:tc>
        <w:tc>
          <w:tcPr>
            <w:tcW w:w="523"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156</w:t>
            </w:r>
          </w:p>
        </w:tc>
        <w:tc>
          <w:tcPr>
            <w:tcW w:w="394" w:type="pct"/>
            <w:tcBorders>
              <w:top w:val="nil"/>
              <w:left w:val="nil"/>
              <w:bottom w:val="nil"/>
              <w:right w:val="single" w:sz="8" w:space="0" w:color="auto"/>
            </w:tcBorders>
            <w:shd w:val="clear" w:color="auto" w:fill="auto"/>
            <w:noWrap/>
            <w:vAlign w:val="center"/>
            <w:hideMark/>
          </w:tcPr>
          <w:p w:rsidR="00D2247B" w:rsidRPr="008765C1" w:rsidRDefault="00D2247B" w:rsidP="009A1839">
            <w:pPr>
              <w:jc w:val="center"/>
              <w:rPr>
                <w:color w:val="000000"/>
              </w:rPr>
            </w:pPr>
            <w:r w:rsidRPr="008765C1">
              <w:rPr>
                <w:color w:val="000000"/>
              </w:rPr>
              <w:t>13</w:t>
            </w:r>
          </w:p>
        </w:tc>
        <w:tc>
          <w:tcPr>
            <w:tcW w:w="298" w:type="pct"/>
            <w:tcBorders>
              <w:top w:val="nil"/>
              <w:left w:val="nil"/>
              <w:bottom w:val="nil"/>
            </w:tcBorders>
            <w:shd w:val="clear" w:color="auto" w:fill="auto"/>
            <w:noWrap/>
            <w:vAlign w:val="center"/>
            <w:hideMark/>
          </w:tcPr>
          <w:p w:rsidR="00D2247B" w:rsidRPr="008765C1" w:rsidRDefault="00D2247B" w:rsidP="009A1839">
            <w:pPr>
              <w:jc w:val="center"/>
              <w:rPr>
                <w:color w:val="000000"/>
              </w:rPr>
            </w:pPr>
            <w:r w:rsidRPr="008765C1">
              <w:rPr>
                <w:color w:val="000000"/>
              </w:rPr>
              <w:t>169</w:t>
            </w:r>
          </w:p>
        </w:tc>
      </w:tr>
      <w:tr w:rsidR="00D2247B" w:rsidRPr="008765C1" w:rsidTr="009A1839">
        <w:trPr>
          <w:trHeight w:val="315"/>
          <w:jc w:val="center"/>
        </w:trPr>
        <w:tc>
          <w:tcPr>
            <w:tcW w:w="1722" w:type="pct"/>
            <w:tcBorders>
              <w:top w:val="single" w:sz="8" w:space="0" w:color="auto"/>
              <w:bottom w:val="single" w:sz="8" w:space="0" w:color="auto"/>
              <w:right w:val="single" w:sz="8" w:space="0" w:color="auto"/>
            </w:tcBorders>
            <w:shd w:val="clear" w:color="auto" w:fill="auto"/>
            <w:noWrap/>
            <w:vAlign w:val="bottom"/>
            <w:hideMark/>
          </w:tcPr>
          <w:p w:rsidR="00D2247B" w:rsidRPr="008765C1" w:rsidRDefault="00D2247B" w:rsidP="009A1839">
            <w:pPr>
              <w:rPr>
                <w:b/>
                <w:bCs/>
                <w:color w:val="000000"/>
              </w:rPr>
            </w:pPr>
            <w:r w:rsidRPr="008765C1">
              <w:rPr>
                <w:b/>
                <w:bCs/>
                <w:color w:val="000000"/>
              </w:rPr>
              <w:t>Total indirect emissions by industries</w:t>
            </w:r>
          </w:p>
        </w:tc>
        <w:tc>
          <w:tcPr>
            <w:tcW w:w="743" w:type="pct"/>
            <w:tcBorders>
              <w:top w:val="single" w:sz="8" w:space="0" w:color="auto"/>
              <w:left w:val="nil"/>
              <w:bottom w:val="single" w:sz="8"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325</w:t>
            </w:r>
          </w:p>
        </w:tc>
        <w:tc>
          <w:tcPr>
            <w:tcW w:w="743" w:type="pct"/>
            <w:tcBorders>
              <w:top w:val="single" w:sz="8" w:space="0" w:color="auto"/>
              <w:left w:val="nil"/>
              <w:bottom w:val="single" w:sz="8"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41</w:t>
            </w:r>
          </w:p>
        </w:tc>
        <w:tc>
          <w:tcPr>
            <w:tcW w:w="577" w:type="pct"/>
            <w:tcBorders>
              <w:top w:val="single" w:sz="8" w:space="0" w:color="auto"/>
              <w:left w:val="nil"/>
              <w:bottom w:val="single" w:sz="8"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174</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540</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217</w:t>
            </w:r>
          </w:p>
        </w:tc>
        <w:tc>
          <w:tcPr>
            <w:tcW w:w="298" w:type="pct"/>
            <w:tcBorders>
              <w:top w:val="single" w:sz="8" w:space="0" w:color="auto"/>
              <w:left w:val="nil"/>
              <w:bottom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757</w:t>
            </w:r>
          </w:p>
        </w:tc>
      </w:tr>
      <w:tr w:rsidR="00D2247B" w:rsidRPr="0077209A" w:rsidTr="009A1839">
        <w:trPr>
          <w:trHeight w:val="315"/>
          <w:jc w:val="center"/>
        </w:trPr>
        <w:tc>
          <w:tcPr>
            <w:tcW w:w="1722" w:type="pct"/>
            <w:tcBorders>
              <w:top w:val="nil"/>
              <w:bottom w:val="single" w:sz="8" w:space="0" w:color="auto"/>
              <w:right w:val="single" w:sz="8" w:space="0" w:color="auto"/>
            </w:tcBorders>
            <w:shd w:val="clear" w:color="auto" w:fill="auto"/>
            <w:noWrap/>
            <w:vAlign w:val="bottom"/>
            <w:hideMark/>
          </w:tcPr>
          <w:p w:rsidR="00D2247B" w:rsidRPr="0077209A" w:rsidRDefault="00D2247B" w:rsidP="009A1839">
            <w:pPr>
              <w:rPr>
                <w:bCs/>
                <w:color w:val="000000"/>
              </w:rPr>
            </w:pPr>
            <w:r w:rsidRPr="0077209A">
              <w:rPr>
                <w:bCs/>
                <w:color w:val="000000"/>
              </w:rPr>
              <w:t>Direct Emissions by households</w:t>
            </w:r>
          </w:p>
        </w:tc>
        <w:tc>
          <w:tcPr>
            <w:tcW w:w="743" w:type="pct"/>
            <w:tcBorders>
              <w:top w:val="nil"/>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52</w:t>
            </w:r>
          </w:p>
        </w:tc>
        <w:tc>
          <w:tcPr>
            <w:tcW w:w="743" w:type="pct"/>
            <w:tcBorders>
              <w:top w:val="nil"/>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 </w:t>
            </w:r>
          </w:p>
        </w:tc>
        <w:tc>
          <w:tcPr>
            <w:tcW w:w="577" w:type="pct"/>
            <w:tcBorders>
              <w:top w:val="nil"/>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 </w:t>
            </w:r>
          </w:p>
        </w:tc>
        <w:tc>
          <w:tcPr>
            <w:tcW w:w="523" w:type="pct"/>
            <w:tcBorders>
              <w:top w:val="nil"/>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52</w:t>
            </w:r>
          </w:p>
        </w:tc>
        <w:tc>
          <w:tcPr>
            <w:tcW w:w="394" w:type="pct"/>
            <w:tcBorders>
              <w:top w:val="nil"/>
              <w:left w:val="nil"/>
              <w:bottom w:val="single" w:sz="8" w:space="0" w:color="auto"/>
              <w:right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 </w:t>
            </w:r>
          </w:p>
        </w:tc>
        <w:tc>
          <w:tcPr>
            <w:tcW w:w="298" w:type="pct"/>
            <w:tcBorders>
              <w:top w:val="nil"/>
              <w:left w:val="nil"/>
              <w:bottom w:val="single" w:sz="8" w:space="0" w:color="auto"/>
            </w:tcBorders>
            <w:shd w:val="clear" w:color="auto" w:fill="auto"/>
            <w:noWrap/>
            <w:vAlign w:val="center"/>
            <w:hideMark/>
          </w:tcPr>
          <w:p w:rsidR="00D2247B" w:rsidRPr="0077209A" w:rsidRDefault="00D2247B" w:rsidP="009A1839">
            <w:pPr>
              <w:jc w:val="center"/>
              <w:rPr>
                <w:color w:val="000000"/>
              </w:rPr>
            </w:pPr>
            <w:r w:rsidRPr="0077209A">
              <w:rPr>
                <w:color w:val="000000"/>
              </w:rPr>
              <w:t>52</w:t>
            </w:r>
          </w:p>
        </w:tc>
      </w:tr>
      <w:tr w:rsidR="00D2247B" w:rsidRPr="008765C1" w:rsidTr="009A1839">
        <w:trPr>
          <w:trHeight w:val="315"/>
          <w:jc w:val="center"/>
        </w:trPr>
        <w:tc>
          <w:tcPr>
            <w:tcW w:w="1722" w:type="pct"/>
            <w:tcBorders>
              <w:top w:val="single" w:sz="8" w:space="0" w:color="auto"/>
              <w:bottom w:val="single" w:sz="12" w:space="0" w:color="auto"/>
              <w:right w:val="single" w:sz="8" w:space="0" w:color="auto"/>
            </w:tcBorders>
            <w:shd w:val="clear" w:color="auto" w:fill="auto"/>
            <w:noWrap/>
            <w:vAlign w:val="bottom"/>
            <w:hideMark/>
          </w:tcPr>
          <w:p w:rsidR="00D2247B" w:rsidRPr="008765C1" w:rsidRDefault="00D2247B" w:rsidP="009A1839">
            <w:pPr>
              <w:rPr>
                <w:b/>
                <w:bCs/>
                <w:color w:val="000000"/>
              </w:rPr>
            </w:pPr>
            <w:r w:rsidRPr="008765C1">
              <w:rPr>
                <w:b/>
                <w:bCs/>
                <w:color w:val="000000"/>
              </w:rPr>
              <w:t>Total direct and indirect emissions Australia</w:t>
            </w:r>
          </w:p>
        </w:tc>
        <w:tc>
          <w:tcPr>
            <w:tcW w:w="743" w:type="pct"/>
            <w:tcBorders>
              <w:top w:val="single" w:sz="8" w:space="0" w:color="auto"/>
              <w:left w:val="nil"/>
              <w:bottom w:val="single" w:sz="12"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377</w:t>
            </w:r>
          </w:p>
        </w:tc>
        <w:tc>
          <w:tcPr>
            <w:tcW w:w="743" w:type="pct"/>
            <w:tcBorders>
              <w:top w:val="single" w:sz="8" w:space="0" w:color="auto"/>
              <w:left w:val="nil"/>
              <w:bottom w:val="single" w:sz="12"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41</w:t>
            </w:r>
          </w:p>
        </w:tc>
        <w:tc>
          <w:tcPr>
            <w:tcW w:w="577" w:type="pct"/>
            <w:tcBorders>
              <w:top w:val="single" w:sz="8" w:space="0" w:color="auto"/>
              <w:left w:val="nil"/>
              <w:bottom w:val="single" w:sz="12"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174</w:t>
            </w:r>
          </w:p>
        </w:tc>
        <w:tc>
          <w:tcPr>
            <w:tcW w:w="523" w:type="pct"/>
            <w:tcBorders>
              <w:top w:val="single" w:sz="8" w:space="0" w:color="auto"/>
              <w:left w:val="nil"/>
              <w:bottom w:val="single" w:sz="12"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592</w:t>
            </w:r>
          </w:p>
        </w:tc>
        <w:tc>
          <w:tcPr>
            <w:tcW w:w="394" w:type="pct"/>
            <w:tcBorders>
              <w:top w:val="single" w:sz="8" w:space="0" w:color="auto"/>
              <w:left w:val="nil"/>
              <w:bottom w:val="single" w:sz="12" w:space="0" w:color="auto"/>
              <w:right w:val="single" w:sz="8"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217</w:t>
            </w:r>
          </w:p>
        </w:tc>
        <w:tc>
          <w:tcPr>
            <w:tcW w:w="298" w:type="pct"/>
            <w:tcBorders>
              <w:top w:val="single" w:sz="8" w:space="0" w:color="auto"/>
              <w:left w:val="nil"/>
              <w:bottom w:val="single" w:sz="12" w:space="0" w:color="auto"/>
            </w:tcBorders>
            <w:shd w:val="clear" w:color="auto" w:fill="auto"/>
            <w:noWrap/>
            <w:vAlign w:val="center"/>
            <w:hideMark/>
          </w:tcPr>
          <w:p w:rsidR="00D2247B" w:rsidRPr="008765C1" w:rsidRDefault="00D2247B" w:rsidP="009A1839">
            <w:pPr>
              <w:jc w:val="center"/>
              <w:rPr>
                <w:b/>
                <w:bCs/>
                <w:color w:val="000000"/>
              </w:rPr>
            </w:pPr>
            <w:r w:rsidRPr="008765C1">
              <w:rPr>
                <w:b/>
                <w:bCs/>
                <w:color w:val="000000"/>
              </w:rPr>
              <w:t>809</w:t>
            </w:r>
          </w:p>
        </w:tc>
      </w:tr>
      <w:tr w:rsidR="00D2247B" w:rsidRPr="008765C1" w:rsidTr="009A1839">
        <w:trPr>
          <w:trHeight w:val="315"/>
          <w:jc w:val="center"/>
        </w:trPr>
        <w:tc>
          <w:tcPr>
            <w:tcW w:w="5000" w:type="pct"/>
            <w:gridSpan w:val="7"/>
            <w:tcBorders>
              <w:top w:val="single" w:sz="12" w:space="0" w:color="auto"/>
              <w:bottom w:val="single" w:sz="12" w:space="0" w:color="auto"/>
            </w:tcBorders>
            <w:shd w:val="clear" w:color="auto" w:fill="auto"/>
            <w:noWrap/>
            <w:vAlign w:val="bottom"/>
          </w:tcPr>
          <w:p w:rsidR="00D2247B" w:rsidRPr="008765C1" w:rsidRDefault="00D2247B" w:rsidP="009A1839">
            <w:pPr>
              <w:rPr>
                <w:b/>
                <w:bCs/>
                <w:color w:val="000000"/>
              </w:rPr>
            </w:pPr>
            <w:r>
              <w:rPr>
                <w:color w:val="000000"/>
              </w:rPr>
              <w:t>Note: Figures are for d</w:t>
            </w:r>
            <w:r w:rsidRPr="008765C1">
              <w:rPr>
                <w:color w:val="000000"/>
              </w:rPr>
              <w:t>irect and indirect emissions</w:t>
            </w:r>
          </w:p>
        </w:tc>
      </w:tr>
    </w:tbl>
    <w:p w:rsidR="00D2247B" w:rsidRDefault="00D2247B" w:rsidP="00D2247B">
      <w:pPr>
        <w:spacing w:line="360" w:lineRule="auto"/>
        <w:jc w:val="both"/>
        <w:rPr>
          <w:u w:val="single"/>
        </w:rPr>
      </w:pPr>
    </w:p>
    <w:p w:rsidR="00D2247B" w:rsidRDefault="00D2247B" w:rsidP="00D2247B">
      <w:pPr>
        <w:spacing w:line="360" w:lineRule="auto"/>
        <w:jc w:val="both"/>
        <w:rPr>
          <w:u w:val="single"/>
        </w:rPr>
      </w:pPr>
    </w:p>
    <w:p w:rsidR="00D2247B" w:rsidRDefault="00D2247B" w:rsidP="00D2247B">
      <w:pPr>
        <w:spacing w:line="360" w:lineRule="auto"/>
        <w:jc w:val="both"/>
        <w:rPr>
          <w:u w:val="single"/>
        </w:rPr>
        <w:sectPr w:rsidR="00D2247B" w:rsidSect="005751A3">
          <w:footerReference w:type="default" r:id="rId14"/>
          <w:pgSz w:w="16838" w:h="11906" w:orient="landscape"/>
          <w:pgMar w:top="720" w:right="720" w:bottom="720" w:left="720" w:header="709" w:footer="709" w:gutter="0"/>
          <w:cols w:space="708"/>
          <w:docGrid w:linePitch="360"/>
        </w:sectPr>
      </w:pPr>
    </w:p>
    <w:p w:rsidR="00D2247B" w:rsidRDefault="00D2247B" w:rsidP="00D2247B">
      <w:pPr>
        <w:autoSpaceDE w:val="0"/>
        <w:autoSpaceDN w:val="0"/>
        <w:adjustRightInd w:val="0"/>
        <w:spacing w:line="360" w:lineRule="auto"/>
        <w:jc w:val="both"/>
      </w:pPr>
      <w:r>
        <w:lastRenderedPageBreak/>
        <w:t>T</w:t>
      </w:r>
      <w:r w:rsidRPr="00277182">
        <w:t xml:space="preserve">able </w:t>
      </w:r>
      <w:r>
        <w:t>1 above</w:t>
      </w:r>
      <w:r w:rsidRPr="00277182">
        <w:t xml:space="preserve"> displays the direct and indirect emissions induced by final </w:t>
      </w:r>
      <w:r>
        <w:t>demand</w:t>
      </w:r>
      <w:r w:rsidRPr="00277182">
        <w:t xml:space="preserve"> </w:t>
      </w:r>
      <w:r>
        <w:t>category. This</w:t>
      </w:r>
      <w:r w:rsidRPr="00277182">
        <w:t xml:space="preserve"> table also shows that of the 80</w:t>
      </w:r>
      <w:r>
        <w:t>9</w:t>
      </w:r>
      <w:r w:rsidRPr="00277182">
        <w:t xml:space="preserve"> Mt of GHG emissions induced by the Australian economy, </w:t>
      </w:r>
      <w:r>
        <w:t>592</w:t>
      </w:r>
      <w:r w:rsidRPr="00277182">
        <w:t xml:space="preserve"> Mt of GHG emissions are induced </w:t>
      </w:r>
      <w:r>
        <w:t>to satisfy domestic expenditure</w:t>
      </w:r>
      <w:r w:rsidRPr="00277182">
        <w:t xml:space="preserve"> while 217 Mt emissions are induced by exports. </w:t>
      </w:r>
      <w:r>
        <w:t>A</w:t>
      </w:r>
      <w:r w:rsidRPr="00277182">
        <w:t xml:space="preserve">pproximately 90% of total induced emissions from the mining category and 40% of total induced emissions from the manufacturing category are induced by exports. Household expenditure constitutes </w:t>
      </w:r>
      <w:r>
        <w:t xml:space="preserve">just </w:t>
      </w:r>
      <w:proofErr w:type="gramStart"/>
      <w:r>
        <w:t>under</w:t>
      </w:r>
      <w:proofErr w:type="gramEnd"/>
      <w:r w:rsidRPr="00277182">
        <w:t xml:space="preserve"> 50% of the total induced emissions mainly </w:t>
      </w:r>
      <w:r>
        <w:t>through</w:t>
      </w:r>
      <w:r w:rsidRPr="00277182">
        <w:t xml:space="preserve"> ‘Food, beverages and tobacco’, ‘Electricity, gas, water and waste services’ and ‘Commercial and</w:t>
      </w:r>
      <w:r>
        <w:t xml:space="preserve"> other</w:t>
      </w:r>
      <w:r w:rsidRPr="00277182">
        <w:t xml:space="preserve"> </w:t>
      </w:r>
      <w:r>
        <w:t>s</w:t>
      </w:r>
      <w:r w:rsidRPr="00277182">
        <w:t>ervices’.</w:t>
      </w:r>
    </w:p>
    <w:p w:rsidR="00BC31A6" w:rsidRPr="00545EA5" w:rsidRDefault="00BC31A6" w:rsidP="00D2247B">
      <w:pPr>
        <w:autoSpaceDE w:val="0"/>
        <w:autoSpaceDN w:val="0"/>
        <w:adjustRightInd w:val="0"/>
        <w:spacing w:line="360" w:lineRule="auto"/>
        <w:jc w:val="both"/>
        <w:rPr>
          <w:sz w:val="20"/>
        </w:rPr>
      </w:pPr>
    </w:p>
    <w:p w:rsidR="00D2247B" w:rsidRDefault="00BC31A6" w:rsidP="00BC31A6">
      <w:pPr>
        <w:spacing w:line="360" w:lineRule="auto"/>
        <w:jc w:val="center"/>
        <w:rPr>
          <w:b/>
          <w:sz w:val="28"/>
          <w:szCs w:val="28"/>
          <w:u w:val="single"/>
        </w:rPr>
      </w:pPr>
      <w:r>
        <w:rPr>
          <w:noProof/>
        </w:rPr>
        <w:drawing>
          <wp:inline distT="0" distB="0" distL="0" distR="0" wp14:anchorId="16C34E65" wp14:editId="5DA33528">
            <wp:extent cx="5512279" cy="2484407"/>
            <wp:effectExtent l="0" t="0" r="1270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247B" w:rsidRPr="00545EA5" w:rsidRDefault="00D2247B" w:rsidP="00D2247B">
      <w:pPr>
        <w:spacing w:line="360" w:lineRule="auto"/>
        <w:jc w:val="center"/>
        <w:rPr>
          <w:b/>
          <w:sz w:val="22"/>
          <w:szCs w:val="28"/>
          <w:u w:val="single"/>
        </w:rPr>
      </w:pPr>
    </w:p>
    <w:p w:rsidR="00D2247B" w:rsidRDefault="00D2247B" w:rsidP="00D2247B">
      <w:pPr>
        <w:autoSpaceDE w:val="0"/>
        <w:autoSpaceDN w:val="0"/>
        <w:adjustRightInd w:val="0"/>
        <w:spacing w:line="360" w:lineRule="auto"/>
        <w:jc w:val="both"/>
        <w:rPr>
          <w:rFonts w:ascii="Tms Rmn" w:eastAsiaTheme="minorHAnsi" w:hAnsi="Tms Rmn" w:cstheme="minorBidi"/>
          <w:lang w:eastAsia="en-US"/>
        </w:rPr>
      </w:pPr>
      <w:r>
        <w:rPr>
          <w:rFonts w:ascii="Tms Rmn" w:eastAsiaTheme="minorHAnsi" w:hAnsi="Tms Rmn" w:cstheme="minorBidi"/>
          <w:lang w:eastAsia="en-US"/>
        </w:rPr>
        <w:t xml:space="preserve">Figure 3 presents the comparison between the total </w:t>
      </w:r>
      <w:r w:rsidR="00545EA5">
        <w:rPr>
          <w:rFonts w:ascii="Tms Rmn" w:eastAsiaTheme="minorHAnsi" w:hAnsi="Tms Rmn" w:cstheme="minorBidi"/>
          <w:lang w:eastAsia="en-US"/>
        </w:rPr>
        <w:t xml:space="preserve">SEEA </w:t>
      </w:r>
      <w:r>
        <w:rPr>
          <w:rFonts w:ascii="Tms Rmn" w:eastAsiaTheme="minorHAnsi" w:hAnsi="Tms Rmn" w:cstheme="minorBidi"/>
          <w:lang w:eastAsia="en-US"/>
        </w:rPr>
        <w:t>production-based emissions (636 Mt) and the total consumption-based emissions (592 Mt) by Australian residents. The difference between the two methods of analysis is the emissions embodied in the net trade balance.</w:t>
      </w:r>
    </w:p>
    <w:p w:rsidR="00D2247B" w:rsidRPr="0077209A" w:rsidRDefault="00D2247B" w:rsidP="00D2247B">
      <w:pPr>
        <w:autoSpaceDE w:val="0"/>
        <w:autoSpaceDN w:val="0"/>
        <w:adjustRightInd w:val="0"/>
        <w:spacing w:line="360" w:lineRule="auto"/>
        <w:jc w:val="both"/>
        <w:rPr>
          <w:rFonts w:eastAsiaTheme="minorHAnsi"/>
          <w:lang w:eastAsia="en-US"/>
        </w:rPr>
      </w:pPr>
    </w:p>
    <w:p w:rsidR="00D2247B" w:rsidRPr="00545EA5" w:rsidRDefault="00BC31A6" w:rsidP="00545EA5">
      <w:pPr>
        <w:autoSpaceDE w:val="0"/>
        <w:autoSpaceDN w:val="0"/>
        <w:adjustRightInd w:val="0"/>
        <w:jc w:val="center"/>
        <w:rPr>
          <w:rFonts w:ascii="Tms Rmn" w:eastAsiaTheme="minorHAnsi" w:hAnsi="Tms Rmn" w:cstheme="minorBidi"/>
          <w:lang w:eastAsia="en-US"/>
        </w:rPr>
      </w:pPr>
      <w:r>
        <w:rPr>
          <w:noProof/>
        </w:rPr>
        <w:drawing>
          <wp:inline distT="0" distB="0" distL="0" distR="0" wp14:anchorId="593B2FC6" wp14:editId="4EA49C84">
            <wp:extent cx="5676181" cy="2303253"/>
            <wp:effectExtent l="0" t="0" r="20320" b="209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247B" w:rsidRDefault="00D2247B" w:rsidP="00D2247B">
      <w:pPr>
        <w:spacing w:line="360" w:lineRule="auto"/>
        <w:jc w:val="both"/>
        <w:rPr>
          <w:rFonts w:ascii="Tms Rmn" w:eastAsiaTheme="minorHAnsi" w:hAnsi="Tms Rmn" w:cstheme="minorBidi"/>
          <w:lang w:eastAsia="en-US"/>
        </w:rPr>
      </w:pPr>
      <w:r w:rsidRPr="000E325D">
        <w:rPr>
          <w:rFonts w:ascii="Tms Rmn" w:eastAsiaTheme="minorHAnsi" w:hAnsi="Tms Rmn" w:cstheme="minorBidi"/>
          <w:lang w:eastAsia="en-US"/>
        </w:rPr>
        <w:lastRenderedPageBreak/>
        <w:t xml:space="preserve">Figure 4 </w:t>
      </w:r>
      <w:r>
        <w:rPr>
          <w:rFonts w:ascii="Tms Rmn" w:eastAsiaTheme="minorHAnsi" w:hAnsi="Tms Rmn" w:cstheme="minorBidi"/>
          <w:lang w:eastAsia="en-US"/>
        </w:rPr>
        <w:t xml:space="preserve">presents the induced emissions from </w:t>
      </w:r>
      <w:r w:rsidR="00AA05DD">
        <w:rPr>
          <w:rFonts w:ascii="Tms Rmn" w:eastAsiaTheme="minorHAnsi" w:hAnsi="Tms Rmn" w:cstheme="minorBidi"/>
          <w:lang w:eastAsia="en-US"/>
        </w:rPr>
        <w:t xml:space="preserve">total </w:t>
      </w:r>
      <w:r>
        <w:rPr>
          <w:rFonts w:ascii="Tms Rmn" w:eastAsiaTheme="minorHAnsi" w:hAnsi="Tms Rmn" w:cstheme="minorBidi"/>
          <w:lang w:eastAsia="en-US"/>
        </w:rPr>
        <w:t>final demand</w:t>
      </w:r>
      <w:r w:rsidR="00AA05DD">
        <w:rPr>
          <w:rFonts w:ascii="Tms Rmn" w:eastAsiaTheme="minorHAnsi" w:hAnsi="Tms Rmn" w:cstheme="minorBidi"/>
          <w:lang w:eastAsia="en-US"/>
        </w:rPr>
        <w:t xml:space="preserve"> </w:t>
      </w:r>
      <w:r w:rsidR="004B1A1E">
        <w:rPr>
          <w:rFonts w:ascii="Tms Rmn" w:eastAsiaTheme="minorHAnsi" w:hAnsi="Tms Rmn" w:cstheme="minorBidi"/>
          <w:lang w:eastAsia="en-US"/>
        </w:rPr>
        <w:t>satisfied by industry producing the final demand products</w:t>
      </w:r>
      <w:r>
        <w:rPr>
          <w:rFonts w:ascii="Tms Rmn" w:eastAsiaTheme="minorHAnsi" w:hAnsi="Tms Rmn" w:cstheme="minorBidi"/>
          <w:lang w:eastAsia="en-US"/>
        </w:rPr>
        <w:t xml:space="preserve">. The </w:t>
      </w:r>
      <w:r w:rsidR="007A21D1">
        <w:rPr>
          <w:rFonts w:ascii="Tms Rmn" w:eastAsiaTheme="minorHAnsi" w:hAnsi="Tms Rmn" w:cstheme="minorBidi"/>
          <w:lang w:eastAsia="en-US"/>
        </w:rPr>
        <w:t>larg</w:t>
      </w:r>
      <w:r>
        <w:rPr>
          <w:rFonts w:ascii="Tms Rmn" w:eastAsiaTheme="minorHAnsi" w:hAnsi="Tms Rmn" w:cstheme="minorBidi"/>
          <w:lang w:eastAsia="en-US"/>
        </w:rPr>
        <w:t>est contributors are manufacturing and commercial and other services industries</w:t>
      </w:r>
      <w:r w:rsidR="00AA05DD">
        <w:rPr>
          <w:rFonts w:ascii="Tms Rmn" w:eastAsiaTheme="minorHAnsi" w:hAnsi="Tms Rmn" w:cstheme="minorBidi"/>
          <w:lang w:eastAsia="en-US"/>
        </w:rPr>
        <w:t xml:space="preserve"> products</w:t>
      </w:r>
      <w:r>
        <w:rPr>
          <w:rFonts w:ascii="Tms Rmn" w:eastAsiaTheme="minorHAnsi" w:hAnsi="Tms Rmn" w:cstheme="minorBidi"/>
          <w:lang w:eastAsia="en-US"/>
        </w:rPr>
        <w:t xml:space="preserve">. Key industries such as retail and whole sale trade and the services industries </w:t>
      </w:r>
      <w:r w:rsidR="00AA05DD">
        <w:rPr>
          <w:rFonts w:ascii="Tms Rmn" w:eastAsiaTheme="minorHAnsi" w:hAnsi="Tms Rmn" w:cstheme="minorBidi"/>
          <w:lang w:eastAsia="en-US"/>
        </w:rPr>
        <w:t xml:space="preserve">products </w:t>
      </w:r>
      <w:r>
        <w:rPr>
          <w:rFonts w:ascii="Tms Rmn" w:eastAsiaTheme="minorHAnsi" w:hAnsi="Tms Rmn" w:cstheme="minorBidi"/>
          <w:lang w:eastAsia="en-US"/>
        </w:rPr>
        <w:t>have large cumulative intensities due to the upstream emissions from electricity generation and transport.</w:t>
      </w:r>
    </w:p>
    <w:p w:rsidR="00D2247B" w:rsidRDefault="00D2247B" w:rsidP="00D2247B">
      <w:pPr>
        <w:spacing w:line="360" w:lineRule="auto"/>
        <w:jc w:val="both"/>
        <w:rPr>
          <w:rFonts w:ascii="Tms Rmn" w:eastAsiaTheme="minorHAnsi" w:hAnsi="Tms Rmn" w:cstheme="minorBidi"/>
          <w:lang w:eastAsia="en-US"/>
        </w:rPr>
      </w:pPr>
    </w:p>
    <w:p w:rsidR="00D2247B" w:rsidRPr="00B1725D" w:rsidRDefault="00D2247B" w:rsidP="00D2247B">
      <w:pPr>
        <w:spacing w:line="360" w:lineRule="auto"/>
        <w:jc w:val="both"/>
        <w:rPr>
          <w:rFonts w:ascii="Tms Rmn" w:eastAsiaTheme="minorHAnsi" w:hAnsi="Tms Rmn" w:cstheme="minorBidi"/>
          <w:lang w:eastAsia="en-US"/>
        </w:rPr>
      </w:pPr>
      <w:r>
        <w:rPr>
          <w:rFonts w:ascii="Tms Rmn" w:eastAsiaTheme="minorHAnsi" w:hAnsi="Tms Rmn" w:cstheme="minorBidi"/>
          <w:lang w:eastAsia="en-US"/>
        </w:rPr>
        <w:t xml:space="preserve">It is worth noting that emissions induced by final demand </w:t>
      </w:r>
      <w:r w:rsidR="00565AAE">
        <w:rPr>
          <w:rFonts w:ascii="Tms Rmn" w:eastAsiaTheme="minorHAnsi" w:hAnsi="Tms Rmn" w:cstheme="minorBidi"/>
          <w:lang w:eastAsia="en-US"/>
        </w:rPr>
        <w:t>are only associated with the</w:t>
      </w:r>
      <w:r>
        <w:rPr>
          <w:rFonts w:ascii="Tms Rmn" w:eastAsiaTheme="minorHAnsi" w:hAnsi="Tms Rmn" w:cstheme="minorBidi"/>
          <w:lang w:eastAsia="en-US"/>
        </w:rPr>
        <w:t xml:space="preserve"> final </w:t>
      </w:r>
      <w:r w:rsidR="004B1A1E">
        <w:rPr>
          <w:rFonts w:ascii="Tms Rmn" w:eastAsiaTheme="minorHAnsi" w:hAnsi="Tms Rmn" w:cstheme="minorBidi"/>
          <w:lang w:eastAsia="en-US"/>
        </w:rPr>
        <w:t>consumption expenditure</w:t>
      </w:r>
      <w:r>
        <w:rPr>
          <w:rFonts w:ascii="Tms Rmn" w:eastAsiaTheme="minorHAnsi" w:hAnsi="Tms Rmn" w:cstheme="minorBidi"/>
          <w:lang w:eastAsia="en-US"/>
        </w:rPr>
        <w:t xml:space="preserve"> by households, governments and </w:t>
      </w:r>
      <w:r w:rsidR="00212094">
        <w:rPr>
          <w:rFonts w:ascii="Tms Rmn" w:eastAsiaTheme="minorHAnsi" w:hAnsi="Tms Rmn" w:cstheme="minorBidi"/>
          <w:lang w:eastAsia="en-US"/>
        </w:rPr>
        <w:t>gross capital formation</w:t>
      </w:r>
      <w:r>
        <w:rPr>
          <w:rFonts w:ascii="Tms Rmn" w:eastAsiaTheme="minorHAnsi" w:hAnsi="Tms Rmn" w:cstheme="minorBidi"/>
          <w:lang w:eastAsia="en-US"/>
        </w:rPr>
        <w:t xml:space="preserve">. </w:t>
      </w:r>
      <w:r w:rsidR="00565AAE">
        <w:rPr>
          <w:rFonts w:ascii="Tms Rmn" w:eastAsiaTheme="minorHAnsi" w:hAnsi="Tms Rmn" w:cstheme="minorBidi"/>
          <w:lang w:eastAsia="en-US"/>
        </w:rPr>
        <w:t>It</w:t>
      </w:r>
      <w:r>
        <w:rPr>
          <w:rFonts w:ascii="Tms Rmn" w:eastAsiaTheme="minorHAnsi" w:hAnsi="Tms Rmn" w:cstheme="minorBidi"/>
          <w:lang w:eastAsia="en-US"/>
        </w:rPr>
        <w:t xml:space="preserve"> </w:t>
      </w:r>
      <w:r w:rsidR="00565AAE">
        <w:rPr>
          <w:rFonts w:ascii="Tms Rmn" w:eastAsiaTheme="minorHAnsi" w:hAnsi="Tms Rmn" w:cstheme="minorBidi"/>
          <w:lang w:eastAsia="en-US"/>
        </w:rPr>
        <w:t xml:space="preserve">takes into account the embodied emissions from the </w:t>
      </w:r>
      <w:r>
        <w:rPr>
          <w:rFonts w:ascii="Tms Rmn" w:eastAsiaTheme="minorHAnsi" w:hAnsi="Tms Rmn" w:cstheme="minorBidi"/>
          <w:lang w:eastAsia="en-US"/>
        </w:rPr>
        <w:t xml:space="preserve">intermediate </w:t>
      </w:r>
      <w:r w:rsidR="00565AAE">
        <w:rPr>
          <w:rFonts w:ascii="Tms Rmn" w:eastAsiaTheme="minorHAnsi" w:hAnsi="Tms Rmn" w:cstheme="minorBidi"/>
          <w:lang w:eastAsia="en-US"/>
        </w:rPr>
        <w:t>inputs, however, excludes the emissions associated with the industry output which is consumed by other industries as intermediate inputs</w:t>
      </w:r>
      <w:r>
        <w:rPr>
          <w:rFonts w:ascii="Tms Rmn" w:eastAsiaTheme="minorHAnsi" w:hAnsi="Tms Rmn" w:cstheme="minorBidi"/>
          <w:lang w:eastAsia="en-US"/>
        </w:rPr>
        <w:t xml:space="preserve">. </w:t>
      </w:r>
      <w:r w:rsidR="00565AAE">
        <w:rPr>
          <w:rFonts w:ascii="Tms Rmn" w:eastAsiaTheme="minorHAnsi" w:hAnsi="Tms Rmn" w:cstheme="minorBidi"/>
          <w:lang w:eastAsia="en-US"/>
        </w:rPr>
        <w:t>A typical example is electricity industry where the induced emissions by final demand is much smaller than the total produced emissions as most of the industry outputs go into other industries as intermediate consumption</w:t>
      </w:r>
      <w:r w:rsidR="00B56E76">
        <w:rPr>
          <w:rFonts w:ascii="Tms Rmn" w:eastAsiaTheme="minorHAnsi" w:hAnsi="Tms Rmn" w:cstheme="minorBidi"/>
          <w:lang w:eastAsia="en-US"/>
        </w:rPr>
        <w:t>, which is accounted for as part of the induced emissions by other industries</w:t>
      </w:r>
      <w:r w:rsidR="00565AAE">
        <w:rPr>
          <w:rFonts w:ascii="Tms Rmn" w:eastAsiaTheme="minorHAnsi" w:hAnsi="Tms Rmn" w:cstheme="minorBidi"/>
          <w:lang w:eastAsia="en-US"/>
        </w:rPr>
        <w:t xml:space="preserve">. </w:t>
      </w:r>
      <w:r w:rsidR="00B56E76">
        <w:rPr>
          <w:rFonts w:ascii="Tms Rmn" w:eastAsiaTheme="minorHAnsi" w:hAnsi="Tms Rmn" w:cstheme="minorBidi"/>
          <w:lang w:eastAsia="en-US"/>
        </w:rPr>
        <w:t xml:space="preserve">For the same reason, transport has relatively smaller induced emissions than it produces. </w:t>
      </w:r>
      <w:r>
        <w:rPr>
          <w:rFonts w:ascii="Tms Rmn" w:eastAsiaTheme="minorHAnsi" w:hAnsi="Tms Rmn" w:cstheme="minorBidi"/>
          <w:lang w:eastAsia="en-US"/>
        </w:rPr>
        <w:t>The direct emissions by households are the emissions due to the transport activities, combustion of gas for heating and petrol use for lawn mower</w:t>
      </w:r>
      <w:r w:rsidR="007A21D1">
        <w:rPr>
          <w:rFonts w:ascii="Tms Rmn" w:eastAsiaTheme="minorHAnsi" w:hAnsi="Tms Rmn" w:cstheme="minorBidi"/>
          <w:lang w:eastAsia="en-US"/>
        </w:rPr>
        <w:t>s</w:t>
      </w:r>
      <w:r>
        <w:rPr>
          <w:rFonts w:ascii="Tms Rmn" w:eastAsiaTheme="minorHAnsi" w:hAnsi="Tms Rmn" w:cstheme="minorBidi"/>
          <w:lang w:eastAsia="en-US"/>
        </w:rPr>
        <w:t xml:space="preserve"> etc.</w:t>
      </w:r>
    </w:p>
    <w:p w:rsidR="00D2247B" w:rsidRPr="00B1725D" w:rsidRDefault="00D2247B" w:rsidP="00D2247B">
      <w:pPr>
        <w:spacing w:line="360" w:lineRule="auto"/>
        <w:jc w:val="both"/>
        <w:rPr>
          <w:rFonts w:ascii="Tms Rmn" w:eastAsiaTheme="minorHAnsi" w:hAnsi="Tms Rmn" w:cstheme="minorBidi"/>
          <w:lang w:eastAsia="en-US"/>
        </w:rPr>
      </w:pPr>
    </w:p>
    <w:p w:rsidR="00D2247B" w:rsidRDefault="00BC31A6" w:rsidP="00D2247B">
      <w:pPr>
        <w:spacing w:line="360" w:lineRule="auto"/>
        <w:jc w:val="both"/>
        <w:rPr>
          <w:b/>
          <w:sz w:val="28"/>
          <w:szCs w:val="28"/>
          <w:u w:val="single"/>
        </w:rPr>
      </w:pPr>
      <w:r>
        <w:rPr>
          <w:noProof/>
        </w:rPr>
        <w:drawing>
          <wp:inline distT="0" distB="0" distL="0" distR="0" wp14:anchorId="161B43D6" wp14:editId="2F06389E">
            <wp:extent cx="5731510" cy="3658397"/>
            <wp:effectExtent l="0" t="0" r="21590" b="184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247B" w:rsidRDefault="00D2247B" w:rsidP="00D2247B">
      <w:pPr>
        <w:spacing w:line="360" w:lineRule="auto"/>
        <w:jc w:val="both"/>
        <w:rPr>
          <w:rFonts w:ascii="Tms Rmn" w:eastAsiaTheme="minorHAnsi" w:hAnsi="Tms Rmn" w:cstheme="minorBidi"/>
          <w:lang w:eastAsia="en-US"/>
        </w:rPr>
      </w:pPr>
    </w:p>
    <w:p w:rsidR="00D2247B" w:rsidRPr="00AE51D4" w:rsidRDefault="00D2247B" w:rsidP="00D2247B">
      <w:pPr>
        <w:spacing w:line="360" w:lineRule="auto"/>
        <w:jc w:val="both"/>
        <w:rPr>
          <w:rFonts w:ascii="Tms Rmn" w:eastAsiaTheme="minorHAnsi" w:hAnsi="Tms Rmn" w:cstheme="minorBidi"/>
          <w:lang w:eastAsia="en-US"/>
        </w:rPr>
      </w:pPr>
      <w:r w:rsidRPr="00CB4D05">
        <w:rPr>
          <w:rFonts w:ascii="Tms Rmn" w:eastAsiaTheme="minorHAnsi" w:hAnsi="Tms Rmn" w:cstheme="minorBidi"/>
          <w:lang w:eastAsia="en-US"/>
        </w:rPr>
        <w:lastRenderedPageBreak/>
        <w:t xml:space="preserve">Figure 5 </w:t>
      </w:r>
      <w:r>
        <w:rPr>
          <w:rFonts w:ascii="Tms Rmn" w:eastAsiaTheme="minorHAnsi" w:hAnsi="Tms Rmn" w:cstheme="minorBidi"/>
          <w:lang w:eastAsia="en-US"/>
        </w:rPr>
        <w:t xml:space="preserve">is a breakdown of emissions induced by final demand for manufacturing products. Whilst domestic </w:t>
      </w:r>
      <w:r w:rsidR="00AA05DD">
        <w:rPr>
          <w:rFonts w:ascii="Tms Rmn" w:eastAsiaTheme="minorHAnsi" w:hAnsi="Tms Rmn" w:cstheme="minorBidi"/>
          <w:lang w:eastAsia="en-US"/>
        </w:rPr>
        <w:t>demand</w:t>
      </w:r>
      <w:r>
        <w:rPr>
          <w:rFonts w:ascii="Tms Rmn" w:eastAsiaTheme="minorHAnsi" w:hAnsi="Tms Rmn" w:cstheme="minorBidi"/>
          <w:lang w:eastAsia="en-US"/>
        </w:rPr>
        <w:t xml:space="preserve"> is the major driver of the induced emission</w:t>
      </w:r>
      <w:r w:rsidR="002655E8">
        <w:rPr>
          <w:rFonts w:ascii="Tms Rmn" w:eastAsiaTheme="minorHAnsi" w:hAnsi="Tms Rmn" w:cstheme="minorBidi"/>
          <w:lang w:eastAsia="en-US"/>
        </w:rPr>
        <w:t>s</w:t>
      </w:r>
      <w:r>
        <w:rPr>
          <w:rFonts w:ascii="Tms Rmn" w:eastAsiaTheme="minorHAnsi" w:hAnsi="Tms Rmn" w:cstheme="minorBidi"/>
          <w:lang w:eastAsia="en-US"/>
        </w:rPr>
        <w:t xml:space="preserve"> across different manufacturing industries, metal products have a rather large export proportion. Such observations are consistent with Australia’s export profile. </w:t>
      </w:r>
    </w:p>
    <w:p w:rsidR="00D2247B" w:rsidRDefault="00D2247B" w:rsidP="00D2247B">
      <w:pPr>
        <w:spacing w:line="360" w:lineRule="auto"/>
        <w:jc w:val="both"/>
        <w:rPr>
          <w:b/>
          <w:sz w:val="28"/>
          <w:szCs w:val="28"/>
          <w:u w:val="single"/>
        </w:rPr>
      </w:pPr>
    </w:p>
    <w:p w:rsidR="00D2247B" w:rsidRDefault="00D2247B" w:rsidP="00D2247B">
      <w:pPr>
        <w:spacing w:line="360" w:lineRule="auto"/>
        <w:jc w:val="both"/>
        <w:rPr>
          <w:b/>
          <w:sz w:val="28"/>
          <w:szCs w:val="28"/>
          <w:u w:val="single"/>
        </w:rPr>
      </w:pPr>
      <w:r>
        <w:rPr>
          <w:noProof/>
        </w:rPr>
        <w:drawing>
          <wp:inline distT="0" distB="0" distL="0" distR="0" wp14:anchorId="1CB6D101" wp14:editId="2C7CD168">
            <wp:extent cx="6210605" cy="5120640"/>
            <wp:effectExtent l="0" t="0" r="19050" b="228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247B" w:rsidRDefault="00D2247B" w:rsidP="00D2247B">
      <w:pPr>
        <w:spacing w:line="360" w:lineRule="auto"/>
        <w:jc w:val="both"/>
        <w:rPr>
          <w:b/>
          <w:sz w:val="28"/>
          <w:szCs w:val="28"/>
          <w:u w:val="single"/>
        </w:rPr>
      </w:pPr>
    </w:p>
    <w:p w:rsidR="001D0222" w:rsidRDefault="00D2247B" w:rsidP="00D2247B">
      <w:pPr>
        <w:spacing w:line="360" w:lineRule="auto"/>
        <w:jc w:val="both"/>
        <w:rPr>
          <w:noProof/>
        </w:rPr>
      </w:pPr>
      <w:r w:rsidRPr="00CB4D05">
        <w:rPr>
          <w:rFonts w:ascii="Tms Rmn" w:eastAsiaTheme="minorHAnsi" w:hAnsi="Tms Rmn" w:cstheme="minorBidi"/>
          <w:lang w:eastAsia="en-US"/>
        </w:rPr>
        <w:t>Figure</w:t>
      </w:r>
      <w:r>
        <w:rPr>
          <w:rFonts w:ascii="Tms Rmn" w:eastAsiaTheme="minorHAnsi" w:hAnsi="Tms Rmn" w:cstheme="minorBidi"/>
          <w:lang w:eastAsia="en-US"/>
        </w:rPr>
        <w:t>s</w:t>
      </w:r>
      <w:r w:rsidRPr="00CB4D05">
        <w:rPr>
          <w:rFonts w:ascii="Tms Rmn" w:eastAsiaTheme="minorHAnsi" w:hAnsi="Tms Rmn" w:cstheme="minorBidi"/>
          <w:lang w:eastAsia="en-US"/>
        </w:rPr>
        <w:t xml:space="preserve"> 6</w:t>
      </w:r>
      <w:r>
        <w:rPr>
          <w:rFonts w:ascii="Tms Rmn" w:eastAsiaTheme="minorHAnsi" w:hAnsi="Tms Rmn" w:cstheme="minorBidi"/>
          <w:lang w:eastAsia="en-US"/>
        </w:rPr>
        <w:t xml:space="preserve">, </w:t>
      </w:r>
      <w:r w:rsidRPr="00CB4D05">
        <w:rPr>
          <w:rFonts w:ascii="Tms Rmn" w:eastAsiaTheme="minorHAnsi" w:hAnsi="Tms Rmn" w:cstheme="minorBidi"/>
          <w:lang w:eastAsia="en-US"/>
        </w:rPr>
        <w:t>7</w:t>
      </w:r>
      <w:r>
        <w:rPr>
          <w:rFonts w:ascii="Tms Rmn" w:eastAsiaTheme="minorHAnsi" w:hAnsi="Tms Rmn" w:cstheme="minorBidi"/>
          <w:lang w:eastAsia="en-US"/>
        </w:rPr>
        <w:t xml:space="preserve"> and 8 show the induced emissions for household final consumption expenditure, exports and </w:t>
      </w:r>
      <w:r w:rsidR="00212094">
        <w:rPr>
          <w:rFonts w:ascii="Tms Rmn" w:eastAsiaTheme="minorHAnsi" w:hAnsi="Tms Rmn" w:cstheme="minorBidi"/>
          <w:lang w:eastAsia="en-US"/>
        </w:rPr>
        <w:t>gross capital formation</w:t>
      </w:r>
      <w:r>
        <w:rPr>
          <w:rFonts w:ascii="Tms Rmn" w:eastAsiaTheme="minorHAnsi" w:hAnsi="Tms Rmn" w:cstheme="minorBidi"/>
          <w:lang w:eastAsia="en-US"/>
        </w:rPr>
        <w:t xml:space="preserve"> (including change in </w:t>
      </w:r>
      <w:r w:rsidRPr="002F0FD1">
        <w:rPr>
          <w:rFonts w:ascii="Tms Rmn" w:eastAsiaTheme="minorHAnsi" w:hAnsi="Tms Rmn" w:cstheme="minorBidi"/>
          <w:lang w:eastAsia="en-US"/>
        </w:rPr>
        <w:t>inventories).</w:t>
      </w:r>
      <w:r w:rsidRPr="002F0FD1" w:rsidDel="005C6DAC">
        <w:rPr>
          <w:rFonts w:ascii="Tms Rmn" w:eastAsiaTheme="minorHAnsi" w:hAnsi="Tms Rmn" w:cstheme="minorBidi"/>
          <w:lang w:eastAsia="en-US"/>
        </w:rPr>
        <w:t xml:space="preserve"> </w:t>
      </w:r>
      <w:r w:rsidRPr="002F0FD1">
        <w:rPr>
          <w:rFonts w:ascii="Tms Rmn" w:eastAsiaTheme="minorHAnsi" w:hAnsi="Tms Rmn" w:cstheme="minorBidi"/>
          <w:lang w:eastAsia="en-US"/>
        </w:rPr>
        <w:t>Figure 6 suggests</w:t>
      </w:r>
      <w:r w:rsidR="00FE697C">
        <w:rPr>
          <w:rFonts w:ascii="Tms Rmn" w:eastAsiaTheme="minorHAnsi" w:hAnsi="Tms Rmn" w:cstheme="minorBidi"/>
          <w:lang w:eastAsia="en-US"/>
        </w:rPr>
        <w:t xml:space="preserve"> that </w:t>
      </w:r>
      <w:r w:rsidRPr="002F0FD1">
        <w:rPr>
          <w:rFonts w:ascii="Tms Rmn" w:eastAsiaTheme="minorHAnsi" w:hAnsi="Tms Rmn" w:cstheme="minorBidi"/>
          <w:lang w:eastAsia="en-US"/>
        </w:rPr>
        <w:t xml:space="preserve">for household final consumption the highest </w:t>
      </w:r>
      <w:r w:rsidR="00AA05DD" w:rsidRPr="002F0FD1">
        <w:rPr>
          <w:rFonts w:ascii="Tms Rmn" w:eastAsiaTheme="minorHAnsi" w:hAnsi="Tms Rmn" w:cstheme="minorBidi"/>
          <w:lang w:eastAsia="en-US"/>
        </w:rPr>
        <w:t>induced emissions</w:t>
      </w:r>
      <w:r w:rsidRPr="002F0FD1">
        <w:rPr>
          <w:rFonts w:ascii="Tms Rmn" w:eastAsiaTheme="minorHAnsi" w:hAnsi="Tms Rmn" w:cstheme="minorBidi"/>
          <w:lang w:eastAsia="en-US"/>
        </w:rPr>
        <w:t xml:space="preserve"> are </w:t>
      </w:r>
      <w:r w:rsidR="00AA05DD" w:rsidRPr="002F0FD1">
        <w:rPr>
          <w:rFonts w:ascii="Tms Rmn" w:eastAsiaTheme="minorHAnsi" w:hAnsi="Tms Rmn" w:cstheme="minorBidi"/>
          <w:lang w:eastAsia="en-US"/>
        </w:rPr>
        <w:t xml:space="preserve">from </w:t>
      </w:r>
      <w:r w:rsidRPr="002F0FD1">
        <w:rPr>
          <w:rFonts w:ascii="Tms Rmn" w:eastAsiaTheme="minorHAnsi" w:hAnsi="Tms Rmn" w:cstheme="minorBidi"/>
          <w:lang w:eastAsia="en-US"/>
        </w:rPr>
        <w:t xml:space="preserve">Commercial and services </w:t>
      </w:r>
      <w:r w:rsidR="001D0222" w:rsidRPr="002F0FD1">
        <w:rPr>
          <w:rFonts w:ascii="Tms Rmn" w:eastAsiaTheme="minorHAnsi" w:hAnsi="Tms Rmn" w:cstheme="minorBidi"/>
          <w:lang w:eastAsia="en-US"/>
        </w:rPr>
        <w:t>products (</w:t>
      </w:r>
      <w:r w:rsidRPr="002F0FD1">
        <w:rPr>
          <w:rFonts w:ascii="Tms Rmn" w:eastAsiaTheme="minorHAnsi" w:hAnsi="Tms Rmn" w:cstheme="minorBidi"/>
          <w:lang w:eastAsia="en-US"/>
        </w:rPr>
        <w:t xml:space="preserve">106 Mt); Electricity, gas, water and waste services (80 Mt); and Food, beverages and tobacco </w:t>
      </w:r>
      <w:r w:rsidR="001D0222" w:rsidRPr="002F0FD1">
        <w:rPr>
          <w:rFonts w:ascii="Tms Rmn" w:eastAsiaTheme="minorHAnsi" w:hAnsi="Tms Rmn" w:cstheme="minorBidi"/>
          <w:lang w:eastAsia="en-US"/>
        </w:rPr>
        <w:t xml:space="preserve">manufacturing </w:t>
      </w:r>
      <w:r w:rsidR="00A45013" w:rsidRPr="002F0FD1">
        <w:rPr>
          <w:rFonts w:ascii="Tms Rmn" w:eastAsiaTheme="minorHAnsi" w:hAnsi="Tms Rmn" w:cstheme="minorBidi"/>
          <w:lang w:eastAsia="en-US"/>
        </w:rPr>
        <w:t>products (</w:t>
      </w:r>
      <w:r w:rsidRPr="002F0FD1">
        <w:rPr>
          <w:rFonts w:ascii="Tms Rmn" w:eastAsiaTheme="minorHAnsi" w:hAnsi="Tms Rmn" w:cstheme="minorBidi"/>
          <w:lang w:eastAsia="en-US"/>
        </w:rPr>
        <w:t>57 Mt). For Australia’s exports, the highest</w:t>
      </w:r>
      <w:r w:rsidR="00913067" w:rsidRPr="002F0FD1">
        <w:rPr>
          <w:rFonts w:ascii="Tms Rmn" w:eastAsiaTheme="minorHAnsi" w:hAnsi="Tms Rmn" w:cstheme="minorBidi"/>
          <w:lang w:eastAsia="en-US"/>
        </w:rPr>
        <w:t xml:space="preserve"> </w:t>
      </w:r>
      <w:r w:rsidR="001D0222" w:rsidRPr="002F0FD1">
        <w:rPr>
          <w:rFonts w:ascii="Tms Rmn" w:eastAsiaTheme="minorHAnsi" w:hAnsi="Tms Rmn" w:cstheme="minorBidi"/>
          <w:lang w:eastAsia="en-US"/>
        </w:rPr>
        <w:t>induced emissions</w:t>
      </w:r>
      <w:r w:rsidRPr="002F0FD1">
        <w:rPr>
          <w:rFonts w:ascii="Tms Rmn" w:eastAsiaTheme="minorHAnsi" w:hAnsi="Tms Rmn" w:cstheme="minorBidi"/>
          <w:lang w:eastAsia="en-US"/>
        </w:rPr>
        <w:t xml:space="preserve"> are Mining </w:t>
      </w:r>
      <w:r w:rsidR="00913067" w:rsidRPr="002F0FD1">
        <w:rPr>
          <w:rFonts w:ascii="Tms Rmn" w:eastAsiaTheme="minorHAnsi" w:hAnsi="Tms Rmn" w:cstheme="minorBidi"/>
          <w:lang w:eastAsia="en-US"/>
        </w:rPr>
        <w:t xml:space="preserve">products </w:t>
      </w:r>
      <w:r w:rsidRPr="002F0FD1">
        <w:rPr>
          <w:rFonts w:ascii="Tms Rmn" w:eastAsiaTheme="minorHAnsi" w:hAnsi="Tms Rmn" w:cstheme="minorBidi"/>
          <w:lang w:eastAsia="en-US"/>
        </w:rPr>
        <w:t xml:space="preserve">(58 Mt); Metal products manufacturing (45 Mt); Agriculture, forestry and fishing </w:t>
      </w:r>
      <w:r w:rsidR="001D0222" w:rsidRPr="002F0FD1">
        <w:rPr>
          <w:rFonts w:ascii="Tms Rmn" w:eastAsiaTheme="minorHAnsi" w:hAnsi="Tms Rmn" w:cstheme="minorBidi"/>
          <w:lang w:eastAsia="en-US"/>
        </w:rPr>
        <w:t>products (</w:t>
      </w:r>
      <w:r w:rsidRPr="002F0FD1">
        <w:rPr>
          <w:rFonts w:ascii="Tms Rmn" w:eastAsiaTheme="minorHAnsi" w:hAnsi="Tms Rmn" w:cstheme="minorBidi"/>
          <w:lang w:eastAsia="en-US"/>
        </w:rPr>
        <w:t xml:space="preserve">31 Mt); and Food, beverages and tobacco </w:t>
      </w:r>
      <w:r w:rsidRPr="002F0FD1">
        <w:rPr>
          <w:rFonts w:ascii="Tms Rmn" w:eastAsiaTheme="minorHAnsi" w:hAnsi="Tms Rmn" w:cstheme="minorBidi"/>
          <w:lang w:eastAsia="en-US"/>
        </w:rPr>
        <w:lastRenderedPageBreak/>
        <w:t xml:space="preserve">manufacturing </w:t>
      </w:r>
      <w:r w:rsidR="00913067" w:rsidRPr="002F0FD1">
        <w:rPr>
          <w:rFonts w:ascii="Tms Rmn" w:eastAsiaTheme="minorHAnsi" w:hAnsi="Tms Rmn" w:cstheme="minorBidi"/>
          <w:lang w:eastAsia="en-US"/>
        </w:rPr>
        <w:t xml:space="preserve">products </w:t>
      </w:r>
      <w:r w:rsidRPr="002F0FD1">
        <w:rPr>
          <w:rFonts w:ascii="Tms Rmn" w:eastAsiaTheme="minorHAnsi" w:hAnsi="Tms Rmn" w:cstheme="minorBidi"/>
          <w:lang w:eastAsia="en-US"/>
        </w:rPr>
        <w:t xml:space="preserve">(31 Mt). The highest </w:t>
      </w:r>
      <w:r w:rsidR="00913067" w:rsidRPr="002F0FD1">
        <w:rPr>
          <w:rFonts w:ascii="Tms Rmn" w:eastAsiaTheme="minorHAnsi" w:hAnsi="Tms Rmn" w:cstheme="minorBidi"/>
          <w:lang w:eastAsia="en-US"/>
        </w:rPr>
        <w:t>induced emissions products</w:t>
      </w:r>
      <w:r w:rsidRPr="002F0FD1">
        <w:rPr>
          <w:rFonts w:ascii="Tms Rmn" w:eastAsiaTheme="minorHAnsi" w:hAnsi="Tms Rmn" w:cstheme="minorBidi"/>
          <w:lang w:eastAsia="en-US"/>
        </w:rPr>
        <w:t xml:space="preserve"> </w:t>
      </w:r>
      <w:r w:rsidR="00E47024">
        <w:rPr>
          <w:rFonts w:ascii="Tms Rmn" w:eastAsiaTheme="minorHAnsi" w:hAnsi="Tms Rmn" w:cstheme="minorBidi"/>
          <w:lang w:eastAsia="en-US"/>
        </w:rPr>
        <w:t xml:space="preserve">are </w:t>
      </w:r>
      <w:r w:rsidRPr="002F0FD1">
        <w:rPr>
          <w:rFonts w:ascii="Tms Rmn" w:eastAsiaTheme="minorHAnsi" w:hAnsi="Tms Rmn" w:cstheme="minorBidi"/>
          <w:lang w:eastAsia="en-US"/>
        </w:rPr>
        <w:t xml:space="preserve">in relation to </w:t>
      </w:r>
      <w:r w:rsidR="00212094">
        <w:rPr>
          <w:rFonts w:ascii="Tms Rmn" w:eastAsiaTheme="minorHAnsi" w:hAnsi="Tms Rmn" w:cstheme="minorBidi"/>
          <w:lang w:eastAsia="en-US"/>
        </w:rPr>
        <w:t>gross capital formation</w:t>
      </w:r>
      <w:r w:rsidRPr="002F0FD1">
        <w:rPr>
          <w:rFonts w:ascii="Tms Rmn" w:eastAsiaTheme="minorHAnsi" w:hAnsi="Tms Rmn" w:cstheme="minorBidi"/>
          <w:lang w:eastAsia="en-US"/>
        </w:rPr>
        <w:t xml:space="preserve"> are Construction (66 Mt); and Machinery and equipment manufacturing</w:t>
      </w:r>
      <w:r w:rsidR="00913067" w:rsidRPr="002F0FD1">
        <w:rPr>
          <w:rFonts w:ascii="Tms Rmn" w:eastAsiaTheme="minorHAnsi" w:hAnsi="Tms Rmn" w:cstheme="minorBidi"/>
          <w:lang w:eastAsia="en-US"/>
        </w:rPr>
        <w:t xml:space="preserve"> products </w:t>
      </w:r>
      <w:r w:rsidRPr="002F0FD1">
        <w:rPr>
          <w:rFonts w:ascii="Tms Rmn" w:eastAsiaTheme="minorHAnsi" w:hAnsi="Tms Rmn" w:cstheme="minorBidi"/>
          <w:lang w:eastAsia="en-US"/>
        </w:rPr>
        <w:t>(34 Mt).</w:t>
      </w:r>
      <w:r w:rsidRPr="00F108BF">
        <w:rPr>
          <w:noProof/>
        </w:rPr>
        <w:t xml:space="preserve"> </w:t>
      </w:r>
    </w:p>
    <w:p w:rsidR="00D2247B" w:rsidRPr="00170660" w:rsidRDefault="00D2247B" w:rsidP="00D2247B">
      <w:pPr>
        <w:spacing w:line="360" w:lineRule="auto"/>
        <w:jc w:val="both"/>
        <w:rPr>
          <w:b/>
          <w:szCs w:val="28"/>
          <w:u w:val="single"/>
        </w:rPr>
      </w:pPr>
    </w:p>
    <w:p w:rsidR="00D2247B" w:rsidRDefault="00D2247B" w:rsidP="00D2247B">
      <w:pPr>
        <w:spacing w:line="360" w:lineRule="auto"/>
        <w:jc w:val="center"/>
        <w:rPr>
          <w:b/>
          <w:sz w:val="28"/>
          <w:szCs w:val="28"/>
          <w:u w:val="single"/>
        </w:rPr>
      </w:pPr>
    </w:p>
    <w:p w:rsidR="00D2247B" w:rsidRDefault="001D0222" w:rsidP="00D2247B">
      <w:pPr>
        <w:spacing w:line="360" w:lineRule="auto"/>
        <w:jc w:val="both"/>
        <w:rPr>
          <w:b/>
          <w:sz w:val="28"/>
          <w:szCs w:val="28"/>
          <w:u w:val="single"/>
        </w:rPr>
      </w:pPr>
      <w:r>
        <w:rPr>
          <w:noProof/>
        </w:rPr>
        <w:drawing>
          <wp:inline distT="0" distB="0" distL="0" distR="0" wp14:anchorId="722C5CDA" wp14:editId="2AF2FF33">
            <wp:extent cx="5727940" cy="2889849"/>
            <wp:effectExtent l="0" t="0" r="25400" b="25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247B" w:rsidRDefault="00D2247B" w:rsidP="00D2247B">
      <w:pPr>
        <w:spacing w:line="360" w:lineRule="auto"/>
        <w:jc w:val="both"/>
        <w:rPr>
          <w:noProof/>
        </w:rPr>
      </w:pPr>
      <w:r w:rsidRPr="00F108BF">
        <w:rPr>
          <w:noProof/>
        </w:rPr>
        <w:t xml:space="preserve"> </w:t>
      </w:r>
      <w:r w:rsidR="001D0222">
        <w:rPr>
          <w:noProof/>
        </w:rPr>
        <w:drawing>
          <wp:inline distT="0" distB="0" distL="0" distR="0" wp14:anchorId="4734FF80" wp14:editId="573A9F46">
            <wp:extent cx="5727940" cy="2613804"/>
            <wp:effectExtent l="0" t="0" r="25400" b="152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0222" w:rsidRDefault="001D0222" w:rsidP="00D2247B">
      <w:pPr>
        <w:spacing w:line="360" w:lineRule="auto"/>
        <w:jc w:val="both"/>
        <w:rPr>
          <w:b/>
          <w:sz w:val="28"/>
          <w:szCs w:val="28"/>
          <w:u w:val="single"/>
        </w:rPr>
      </w:pPr>
    </w:p>
    <w:p w:rsidR="00D2247B" w:rsidRDefault="001D0222" w:rsidP="00D2247B">
      <w:pPr>
        <w:spacing w:line="360" w:lineRule="auto"/>
        <w:jc w:val="both"/>
        <w:rPr>
          <w:rFonts w:ascii="Tms Rmn" w:eastAsiaTheme="minorHAnsi" w:hAnsi="Tms Rmn" w:cstheme="minorBidi"/>
          <w:lang w:eastAsia="en-US"/>
        </w:rPr>
      </w:pPr>
      <w:r>
        <w:rPr>
          <w:noProof/>
        </w:rPr>
        <w:lastRenderedPageBreak/>
        <w:drawing>
          <wp:inline distT="0" distB="0" distL="0" distR="0" wp14:anchorId="7EFD2F18" wp14:editId="5204B6C9">
            <wp:extent cx="5727940" cy="2363638"/>
            <wp:effectExtent l="0" t="0" r="2540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7F88" w:rsidRDefault="00317F88" w:rsidP="00D2247B">
      <w:pPr>
        <w:spacing w:line="360" w:lineRule="auto"/>
        <w:jc w:val="both"/>
        <w:rPr>
          <w:rFonts w:ascii="Tms Rmn" w:eastAsiaTheme="minorHAnsi" w:hAnsi="Tms Rmn" w:cstheme="minorBidi"/>
          <w:lang w:eastAsia="en-US"/>
        </w:rPr>
      </w:pPr>
    </w:p>
    <w:p w:rsidR="00D2247B" w:rsidRDefault="00D2247B" w:rsidP="00D2247B">
      <w:pPr>
        <w:spacing w:line="360" w:lineRule="auto"/>
        <w:jc w:val="both"/>
        <w:rPr>
          <w:rFonts w:ascii="Tms Rmn" w:eastAsiaTheme="minorHAnsi" w:hAnsi="Tms Rmn" w:cstheme="minorBidi"/>
          <w:lang w:eastAsia="en-US"/>
        </w:rPr>
      </w:pPr>
      <w:r>
        <w:rPr>
          <w:rFonts w:ascii="Tms Rmn" w:eastAsiaTheme="minorHAnsi" w:hAnsi="Tms Rmn" w:cstheme="minorBidi"/>
          <w:lang w:eastAsia="en-US"/>
        </w:rPr>
        <w:t>Figure 9 presents the cumulative emission</w:t>
      </w:r>
      <w:r w:rsidR="00913067">
        <w:rPr>
          <w:rFonts w:ascii="Tms Rmn" w:eastAsiaTheme="minorHAnsi" w:hAnsi="Tms Rmn" w:cstheme="minorBidi"/>
          <w:lang w:eastAsia="en-US"/>
        </w:rPr>
        <w:t>s</w:t>
      </w:r>
      <w:r>
        <w:rPr>
          <w:rFonts w:ascii="Tms Rmn" w:eastAsiaTheme="minorHAnsi" w:hAnsi="Tms Rmn" w:cstheme="minorBidi"/>
          <w:lang w:eastAsia="en-US"/>
        </w:rPr>
        <w:t xml:space="preserve"> intensity for all industry groups </w:t>
      </w:r>
      <w:proofErr w:type="gramStart"/>
      <w:r>
        <w:rPr>
          <w:rFonts w:ascii="Tms Rmn" w:eastAsiaTheme="minorHAnsi" w:hAnsi="Tms Rmn" w:cstheme="minorBidi"/>
          <w:lang w:eastAsia="en-US"/>
        </w:rPr>
        <w:t>The</w:t>
      </w:r>
      <w:proofErr w:type="gramEnd"/>
      <w:r>
        <w:rPr>
          <w:rFonts w:ascii="Tms Rmn" w:eastAsiaTheme="minorHAnsi" w:hAnsi="Tms Rmn" w:cstheme="minorBidi"/>
          <w:lang w:eastAsia="en-US"/>
        </w:rPr>
        <w:t xml:space="preserve"> cumulative emission</w:t>
      </w:r>
      <w:r w:rsidR="00913067">
        <w:rPr>
          <w:rFonts w:ascii="Tms Rmn" w:eastAsiaTheme="minorHAnsi" w:hAnsi="Tms Rmn" w:cstheme="minorBidi"/>
          <w:lang w:eastAsia="en-US"/>
        </w:rPr>
        <w:t>s</w:t>
      </w:r>
      <w:r>
        <w:rPr>
          <w:rFonts w:ascii="Tms Rmn" w:eastAsiaTheme="minorHAnsi" w:hAnsi="Tms Rmn" w:cstheme="minorBidi"/>
          <w:lang w:eastAsia="en-US"/>
        </w:rPr>
        <w:t xml:space="preserve"> intensity is the total induced emissions per dollar of final demand </w:t>
      </w:r>
      <w:r w:rsidR="00913067">
        <w:rPr>
          <w:rFonts w:ascii="Tms Rmn" w:eastAsiaTheme="minorHAnsi" w:hAnsi="Tms Rmn" w:cstheme="minorBidi"/>
          <w:lang w:eastAsia="en-US"/>
        </w:rPr>
        <w:t xml:space="preserve">for products </w:t>
      </w:r>
      <w:r>
        <w:rPr>
          <w:rFonts w:ascii="Tms Rmn" w:eastAsiaTheme="minorHAnsi" w:hAnsi="Tms Rmn" w:cstheme="minorBidi"/>
          <w:lang w:eastAsia="en-US"/>
        </w:rPr>
        <w:t xml:space="preserve">from that industry. Electricity, gas, water and waste services have the highest cumulative emission intensities. </w:t>
      </w:r>
    </w:p>
    <w:p w:rsidR="00D2247B" w:rsidRDefault="00D2247B" w:rsidP="00D2247B">
      <w:pPr>
        <w:spacing w:line="360" w:lineRule="auto"/>
        <w:jc w:val="both"/>
        <w:rPr>
          <w:b/>
          <w:sz w:val="28"/>
          <w:szCs w:val="28"/>
          <w:u w:val="single"/>
        </w:rPr>
      </w:pPr>
    </w:p>
    <w:p w:rsidR="00D2247B" w:rsidRDefault="00D2247B" w:rsidP="00317F88">
      <w:pPr>
        <w:spacing w:line="360" w:lineRule="auto"/>
        <w:jc w:val="center"/>
        <w:rPr>
          <w:b/>
          <w:sz w:val="28"/>
          <w:szCs w:val="28"/>
          <w:u w:val="single"/>
        </w:rPr>
      </w:pPr>
      <w:r>
        <w:rPr>
          <w:noProof/>
        </w:rPr>
        <w:lastRenderedPageBreak/>
        <w:drawing>
          <wp:inline distT="0" distB="0" distL="0" distR="0" wp14:anchorId="19E51BA8" wp14:editId="0562BF52">
            <wp:extent cx="6271404" cy="8514272"/>
            <wp:effectExtent l="0" t="0" r="15240" b="203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5F54" w:rsidRPr="00814880" w:rsidRDefault="00F45F54" w:rsidP="00F45F54">
      <w:pPr>
        <w:spacing w:line="360" w:lineRule="auto"/>
        <w:jc w:val="both"/>
        <w:rPr>
          <w:b/>
          <w:sz w:val="28"/>
        </w:rPr>
      </w:pPr>
      <w:r>
        <w:rPr>
          <w:b/>
          <w:sz w:val="28"/>
        </w:rPr>
        <w:lastRenderedPageBreak/>
        <w:t>5.</w:t>
      </w:r>
      <w:r>
        <w:rPr>
          <w:b/>
          <w:sz w:val="28"/>
        </w:rPr>
        <w:tab/>
      </w:r>
      <w:r w:rsidRPr="00814880">
        <w:rPr>
          <w:b/>
          <w:sz w:val="28"/>
        </w:rPr>
        <w:t>CONCLUSION</w:t>
      </w:r>
    </w:p>
    <w:p w:rsidR="00F45F54" w:rsidRDefault="00F45F54" w:rsidP="00F45F54">
      <w:pPr>
        <w:spacing w:line="360" w:lineRule="auto"/>
        <w:jc w:val="both"/>
      </w:pPr>
    </w:p>
    <w:p w:rsidR="00F45F54" w:rsidRDefault="00F45F54" w:rsidP="00F45F54">
      <w:pPr>
        <w:spacing w:line="360" w:lineRule="auto"/>
        <w:jc w:val="both"/>
      </w:pPr>
      <w:r>
        <w:t xml:space="preserve">This study uses the suit of IO tables for the Australian economy </w:t>
      </w:r>
      <w:r w:rsidR="00C63806">
        <w:t>in conjunction</w:t>
      </w:r>
      <w:r>
        <w:t xml:space="preserve"> with data for greenhouse gas emissions by industry supplied by the Department of Climate Change and Energy Efficiency to model a demand-side view of Australia’s greenhouse gas emissions. It uses the standard environmentally extended Leontief model to bridge </w:t>
      </w:r>
      <w:r w:rsidR="00C63806">
        <w:t xml:space="preserve">the gap </w:t>
      </w:r>
      <w:r>
        <w:t>between the production and fina</w:t>
      </w:r>
      <w:r w:rsidR="00C63806">
        <w:t>l demand sides of the economy. More i</w:t>
      </w:r>
      <w:r>
        <w:t>mportantly, it brings to account the global greenhouse gas implications of Australian consumption, regardless of whether that consumption is satisfied by domestic production or from imported products.</w:t>
      </w:r>
    </w:p>
    <w:p w:rsidR="00F45F54" w:rsidRDefault="00F45F54" w:rsidP="00F45F54">
      <w:pPr>
        <w:spacing w:line="360" w:lineRule="auto"/>
        <w:jc w:val="both"/>
      </w:pPr>
    </w:p>
    <w:p w:rsidR="00F45F54" w:rsidRDefault="00A936E0" w:rsidP="00F45F54">
      <w:pPr>
        <w:spacing w:line="360" w:lineRule="auto"/>
        <w:jc w:val="both"/>
      </w:pPr>
      <w:r>
        <w:t xml:space="preserve">The strength of this study lies in the high level of disaggregation. </w:t>
      </w:r>
      <w:r w:rsidR="00F45F54">
        <w:t xml:space="preserve">The available emissions data </w:t>
      </w:r>
      <w:r w:rsidR="00A75510">
        <w:t>was</w:t>
      </w:r>
      <w:r w:rsidR="00F45F54">
        <w:t xml:space="preserve"> further dissected to a finer level to match the dimensions of the official IO tables. This </w:t>
      </w:r>
      <w:r>
        <w:t>is</w:t>
      </w:r>
      <w:r w:rsidR="00F45F54">
        <w:t xml:space="preserve"> based on the four factor dissection technique to enable production based emissions data be allocated across the 111 IOIG industries in the IO tables. The results of the model largely avoid the aggregation error inherent in the alternative approach which is to build a </w:t>
      </w:r>
      <w:r w:rsidR="00A75510">
        <w:t>smaller IO</w:t>
      </w:r>
      <w:r w:rsidR="00F45F54">
        <w:t xml:space="preserve"> table to match the available data. </w:t>
      </w:r>
      <w:r w:rsidR="00CA5516">
        <w:t>Additionally</w:t>
      </w:r>
      <w:r w:rsidR="00456263">
        <w:t xml:space="preserve">, </w:t>
      </w:r>
      <w:r>
        <w:t xml:space="preserve">the </w:t>
      </w:r>
      <w:r w:rsidR="00456263">
        <w:t>s</w:t>
      </w:r>
      <w:r w:rsidR="00F45F54">
        <w:t xml:space="preserve">ource data </w:t>
      </w:r>
      <w:r>
        <w:t xml:space="preserve">is transformed to align with the SEEA framework. </w:t>
      </w:r>
    </w:p>
    <w:p w:rsidR="00317F88" w:rsidRDefault="00317F88" w:rsidP="00317F88">
      <w:pPr>
        <w:spacing w:line="360" w:lineRule="auto"/>
        <w:jc w:val="both"/>
      </w:pPr>
    </w:p>
    <w:p w:rsidR="00317F88" w:rsidRDefault="00317F88" w:rsidP="00317F88">
      <w:pPr>
        <w:spacing w:line="360" w:lineRule="auto"/>
        <w:jc w:val="both"/>
      </w:pPr>
      <w:r>
        <w:t>The results of the model indicate that the total cumulative emissions 592 Mt</w:t>
      </w:r>
      <w:r>
        <w:rPr>
          <w:rStyle w:val="FootnoteReference"/>
        </w:rPr>
        <w:footnoteReference w:id="31"/>
      </w:r>
      <w:r>
        <w:t xml:space="preserve"> are induced by Australian economic residents, </w:t>
      </w:r>
      <w:r w:rsidR="00CA5516">
        <w:t>including</w:t>
      </w:r>
      <w:r>
        <w:t xml:space="preserve"> 377 Mt induced by household expenditure and 174 Mt induced by </w:t>
      </w:r>
      <w:r w:rsidR="00212094">
        <w:t>gross capital formation</w:t>
      </w:r>
      <w:r>
        <w:t xml:space="preserve">. </w:t>
      </w:r>
      <w:r w:rsidRPr="00E35987">
        <w:t>The difference between production and consumption based emission</w:t>
      </w:r>
      <w:r w:rsidR="00CA5516">
        <w:t>s</w:t>
      </w:r>
      <w:r w:rsidRPr="00E35987">
        <w:t xml:space="preserve"> is not </w:t>
      </w:r>
      <w:r>
        <w:t>substantiall</w:t>
      </w:r>
      <w:r w:rsidRPr="00E35987">
        <w:t xml:space="preserve">y different. </w:t>
      </w:r>
      <w:r w:rsidR="00D96832">
        <w:t>Australia’s</w:t>
      </w:r>
      <w:r>
        <w:t xml:space="preserve"> export</w:t>
      </w:r>
      <w:r w:rsidR="00D96832">
        <w:t>s</w:t>
      </w:r>
      <w:r>
        <w:t xml:space="preserve"> result in 217 Mt induced GHG emissions whi</w:t>
      </w:r>
      <w:r w:rsidR="00D96832">
        <w:t>le</w:t>
      </w:r>
      <w:r>
        <w:t xml:space="preserve"> </w:t>
      </w:r>
      <w:r w:rsidR="00D96832">
        <w:t>Australia’s</w:t>
      </w:r>
      <w:r>
        <w:t xml:space="preserve"> imports have 172 Mt embedded. </w:t>
      </w:r>
      <w:r w:rsidRPr="00530AE4">
        <w:t>The 45 Mt of emissions i</w:t>
      </w:r>
      <w:r w:rsidR="00CA5516">
        <w:t>s</w:t>
      </w:r>
      <w:r w:rsidRPr="00530AE4">
        <w:t xml:space="preserve"> </w:t>
      </w:r>
      <w:r w:rsidR="00CA5516" w:rsidRPr="00530AE4">
        <w:t xml:space="preserve">embodied </w:t>
      </w:r>
      <w:r w:rsidR="00CA5516">
        <w:t xml:space="preserve">in </w:t>
      </w:r>
      <w:r w:rsidRPr="00530AE4">
        <w:t>net export out of the total 636 Mt of emissions by domestic production</w:t>
      </w:r>
      <w:r w:rsidR="00CA5516">
        <w:t>.</w:t>
      </w:r>
    </w:p>
    <w:p w:rsidR="00F45F54" w:rsidRDefault="00F45F54" w:rsidP="00F45F54">
      <w:pPr>
        <w:spacing w:line="360" w:lineRule="auto"/>
        <w:jc w:val="both"/>
      </w:pPr>
    </w:p>
    <w:p w:rsidR="00F45F54" w:rsidRDefault="00F45F54" w:rsidP="00F45F54">
      <w:pPr>
        <w:spacing w:line="360" w:lineRule="auto"/>
        <w:jc w:val="both"/>
      </w:pPr>
      <w:r>
        <w:t>There are two important assumptions in the model that could affect the quality of the results. Firstly, the production function of imported products with respect to greenhouse gas emissions is assumed to be the same as for locally produced products of the same type</w:t>
      </w:r>
      <w:r w:rsidRPr="00891294">
        <w:t xml:space="preserve">. </w:t>
      </w:r>
      <w:r w:rsidR="00E777DC" w:rsidRPr="00E777DC">
        <w:t xml:space="preserve">The likely impact of this </w:t>
      </w:r>
      <w:r w:rsidR="00E175E7">
        <w:t>assumption</w:t>
      </w:r>
      <w:r w:rsidR="00E777DC" w:rsidRPr="00E777DC">
        <w:t xml:space="preserve"> is an overstatement of emissions embodied in imports </w:t>
      </w:r>
      <w:r w:rsidR="00E777DC">
        <w:t xml:space="preserve">due to the </w:t>
      </w:r>
      <w:r w:rsidR="00E175E7">
        <w:t xml:space="preserve">high emission intensity owing to the </w:t>
      </w:r>
      <w:r w:rsidR="00E777DC">
        <w:t>over relian</w:t>
      </w:r>
      <w:bookmarkStart w:id="0" w:name="_GoBack"/>
      <w:bookmarkEnd w:id="0"/>
      <w:r w:rsidR="00E777DC">
        <w:t>ce of coal for electricity generation in Australia. T</w:t>
      </w:r>
      <w:r w:rsidR="00E777DC" w:rsidRPr="00E777DC">
        <w:t xml:space="preserve">herefore </w:t>
      </w:r>
      <w:r w:rsidR="00E777DC">
        <w:t>it</w:t>
      </w:r>
      <w:r w:rsidR="00E777DC" w:rsidRPr="00E777DC">
        <w:t xml:space="preserve"> understate</w:t>
      </w:r>
      <w:r w:rsidR="00E777DC">
        <w:t>s the</w:t>
      </w:r>
      <w:r w:rsidR="00E777DC" w:rsidRPr="00E777DC">
        <w:t xml:space="preserve"> net exported emissions. </w:t>
      </w:r>
      <w:r w:rsidR="00C45375" w:rsidRPr="00891294">
        <w:t>It is possible to</w:t>
      </w:r>
      <w:r w:rsidR="00FE3A4E" w:rsidRPr="00891294">
        <w:t xml:space="preserve"> mitigate the potential estimation bias by</w:t>
      </w:r>
      <w:r w:rsidR="00C45375" w:rsidRPr="00891294">
        <w:t xml:space="preserve"> incorporat</w:t>
      </w:r>
      <w:r w:rsidR="00FE3A4E" w:rsidRPr="00891294">
        <w:t>ing</w:t>
      </w:r>
      <w:r w:rsidR="00C45375" w:rsidRPr="00891294">
        <w:t xml:space="preserve"> </w:t>
      </w:r>
      <w:r w:rsidR="00C45375" w:rsidRPr="00891294">
        <w:lastRenderedPageBreak/>
        <w:t xml:space="preserve">the global production functions </w:t>
      </w:r>
      <w:r w:rsidR="00E777DC">
        <w:t xml:space="preserve">and </w:t>
      </w:r>
      <w:r w:rsidR="00E777DC" w:rsidRPr="00E777DC">
        <w:t xml:space="preserve">regional I-O models </w:t>
      </w:r>
      <w:r w:rsidR="00C45375" w:rsidRPr="00891294">
        <w:t xml:space="preserve">with further assistance from DCCEE. </w:t>
      </w:r>
      <w:r w:rsidRPr="00891294">
        <w:t>Secondly, all consumers of electricity are</w:t>
      </w:r>
      <w:r>
        <w:t xml:space="preserve"> assumed to pay the same price per unit. These assumptions are not expected to be entirely valid, but no analysis of possible biases in the results has been undertaken for this study. More sophisticated models </w:t>
      </w:r>
      <w:r w:rsidR="005A56D0">
        <w:t>which</w:t>
      </w:r>
      <w:r>
        <w:t xml:space="preserve"> take these factors into account </w:t>
      </w:r>
      <w:r w:rsidR="00356D33">
        <w:t>are possibilities</w:t>
      </w:r>
      <w:r>
        <w:t xml:space="preserve"> for future work.    </w:t>
      </w:r>
    </w:p>
    <w:p w:rsidR="00D2247B" w:rsidRDefault="00D2247B" w:rsidP="00D2247B">
      <w:pPr>
        <w:pStyle w:val="Caption"/>
        <w:keepNext/>
        <w:jc w:val="both"/>
        <w:rPr>
          <w:color w:val="auto"/>
          <w:sz w:val="28"/>
        </w:rPr>
        <w:sectPr w:rsidR="00D2247B" w:rsidSect="005751A3">
          <w:footerReference w:type="default" r:id="rId23"/>
          <w:pgSz w:w="11906" w:h="16838"/>
          <w:pgMar w:top="1440" w:right="1440" w:bottom="1440" w:left="1440" w:header="709" w:footer="709" w:gutter="0"/>
          <w:cols w:space="708"/>
          <w:docGrid w:linePitch="360"/>
        </w:sectPr>
      </w:pPr>
    </w:p>
    <w:p w:rsidR="001D0222" w:rsidRPr="001D0222" w:rsidRDefault="001D0222" w:rsidP="001D0222">
      <w:pPr>
        <w:keepNext/>
        <w:spacing w:after="200"/>
        <w:jc w:val="both"/>
        <w:rPr>
          <w:b/>
          <w:bCs/>
          <w:sz w:val="28"/>
          <w:szCs w:val="18"/>
        </w:rPr>
      </w:pPr>
      <w:r w:rsidRPr="001D0222">
        <w:rPr>
          <w:b/>
          <w:bCs/>
          <w:sz w:val="28"/>
          <w:szCs w:val="18"/>
        </w:rPr>
        <w:lastRenderedPageBreak/>
        <w:t>APPENDIX</w:t>
      </w:r>
    </w:p>
    <w:p w:rsidR="001D0222" w:rsidRPr="007813BD" w:rsidRDefault="001D0222" w:rsidP="001D0222">
      <w:pPr>
        <w:keepNext/>
        <w:spacing w:after="200"/>
        <w:jc w:val="both"/>
        <w:rPr>
          <w:b/>
          <w:bCs/>
          <w:sz w:val="22"/>
        </w:rPr>
      </w:pPr>
      <w:r w:rsidRPr="007813BD">
        <w:rPr>
          <w:b/>
          <w:bCs/>
          <w:sz w:val="22"/>
        </w:rPr>
        <w:t>Appendix 1</w:t>
      </w:r>
      <w:r w:rsidRPr="007813BD">
        <w:rPr>
          <w:b/>
          <w:bCs/>
          <w:noProof/>
          <w:sz w:val="22"/>
        </w:rPr>
        <w:t>: Flow chart for adjustments and model</w:t>
      </w:r>
    </w:p>
    <w:p w:rsidR="001D0222" w:rsidRPr="001D0222" w:rsidRDefault="007813BD" w:rsidP="001D0222">
      <w:pPr>
        <w:jc w:val="center"/>
      </w:pPr>
      <w:r>
        <w:rPr>
          <w:noProof/>
        </w:rPr>
        <w:drawing>
          <wp:inline distT="0" distB="0" distL="0" distR="0" wp14:anchorId="02014BEE" wp14:editId="4315D225">
            <wp:extent cx="9506309" cy="5620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506310" cy="5620793"/>
                    </a:xfrm>
                    <a:prstGeom prst="rect">
                      <a:avLst/>
                    </a:prstGeom>
                  </pic:spPr>
                </pic:pic>
              </a:graphicData>
            </a:graphic>
          </wp:inline>
        </w:drawing>
      </w:r>
    </w:p>
    <w:p w:rsidR="001D0222" w:rsidRPr="001D0222" w:rsidRDefault="001D0222" w:rsidP="001D0222">
      <w:pPr>
        <w:spacing w:line="360" w:lineRule="auto"/>
        <w:jc w:val="center"/>
        <w:rPr>
          <w:b/>
          <w:i/>
          <w:u w:val="single"/>
          <w:lang w:eastAsia="en-US"/>
        </w:rPr>
        <w:sectPr w:rsidR="001D0222" w:rsidRPr="001D0222" w:rsidSect="007813BD">
          <w:pgSz w:w="16838" w:h="11906" w:orient="landscape"/>
          <w:pgMar w:top="720" w:right="720" w:bottom="720" w:left="720" w:header="709" w:footer="510" w:gutter="0"/>
          <w:cols w:space="708"/>
          <w:docGrid w:linePitch="360"/>
        </w:sectPr>
      </w:pPr>
    </w:p>
    <w:p w:rsidR="00D2247B" w:rsidRPr="0022618C" w:rsidRDefault="00D2247B" w:rsidP="00D2247B">
      <w:pPr>
        <w:pStyle w:val="ListParagraph"/>
        <w:autoSpaceDE w:val="0"/>
        <w:autoSpaceDN w:val="0"/>
        <w:adjustRightInd w:val="0"/>
        <w:spacing w:line="360" w:lineRule="auto"/>
        <w:ind w:left="0"/>
        <w:rPr>
          <w:b/>
          <w:lang w:eastAsia="en-US"/>
        </w:rPr>
      </w:pPr>
      <w:r w:rsidRPr="0022618C">
        <w:rPr>
          <w:b/>
          <w:lang w:eastAsia="en-US"/>
        </w:rPr>
        <w:lastRenderedPageBreak/>
        <w:t>Appendix 2: GHG emission</w:t>
      </w: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Pr="005751A3" w:rsidRDefault="00D2247B" w:rsidP="00D2247B">
      <w:pPr>
        <w:autoSpaceDE w:val="0"/>
        <w:autoSpaceDN w:val="0"/>
        <w:adjustRightInd w:val="0"/>
        <w:spacing w:line="360" w:lineRule="auto"/>
        <w:jc w:val="both"/>
        <w:rPr>
          <w:rFonts w:eastAsiaTheme="minorHAnsi"/>
          <w:lang w:eastAsia="en-US"/>
        </w:rPr>
      </w:pPr>
      <w:r w:rsidRPr="005751A3">
        <w:rPr>
          <w:rFonts w:eastAsiaTheme="minorHAnsi"/>
          <w:lang w:eastAsia="en-US"/>
        </w:rPr>
        <w:t xml:space="preserve">The GHG emissions by industry </w:t>
      </w:r>
      <w:r w:rsidR="00456263" w:rsidRPr="005751A3">
        <w:rPr>
          <w:rFonts w:eastAsiaTheme="minorHAnsi"/>
          <w:lang w:eastAsia="en-US"/>
        </w:rPr>
        <w:t>data is the</w:t>
      </w:r>
      <w:r w:rsidRPr="005751A3">
        <w:rPr>
          <w:rFonts w:eastAsiaTheme="minorHAnsi"/>
          <w:lang w:eastAsia="en-US"/>
        </w:rPr>
        <w:t xml:space="preserve"> input for the IO analysis. It </w:t>
      </w:r>
      <w:proofErr w:type="gramStart"/>
      <w:r w:rsidRPr="005751A3">
        <w:rPr>
          <w:rFonts w:eastAsiaTheme="minorHAnsi"/>
          <w:lang w:eastAsia="en-US"/>
        </w:rPr>
        <w:t xml:space="preserve">encompasses </w:t>
      </w:r>
      <w:proofErr w:type="gramEnd"/>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sidRPr="005751A3">
        <w:rPr>
          <w:rFonts w:eastAsiaTheme="minorHAnsi"/>
          <w:lang w:eastAsia="en-US"/>
        </w:rPr>
        <w:t xml:space="preserve">, </w:t>
      </w:r>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oMath>
      <w:r w:rsidRPr="005751A3">
        <w:rPr>
          <w:rFonts w:eastAsiaTheme="minorHAnsi"/>
          <w:lang w:eastAsia="en-US"/>
        </w:rPr>
        <w:t xml:space="preserve">, and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O</m:t>
        </m:r>
      </m:oMath>
      <w:r w:rsidRPr="005751A3">
        <w:rPr>
          <w:rFonts w:eastAsiaTheme="minorHAnsi"/>
          <w:lang w:eastAsia="en-US"/>
        </w:rPr>
        <w:t>. Under the UNFCCC reporting guidelines, human-induced greenhouse emissions must be reported in six sectors: energy (including stationary energy and transport); industrial processes; solvent and other product use; agriculture; waste; and land use, land use change and forestry (LULUCF). According to the Greenhouse emissions by sector, Kyoto accounting, 2009, the energy sector (comprising stationary energy, transport and fugitive emissions from fuels) continues to be the dominant source of Australia’s GHG emissions accounting for 74% of net emissions, including those associated with land use, land-use change and forestry (LULUCF). Within this sector, stationary energy accounts for 52%, which comprises of electricity (37%) and fuel combustion (15%). LULUCF = land use, land-use change and forestry. (DCCEE, 2009)</w:t>
      </w: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Pr="00E22B23" w:rsidRDefault="00D2247B" w:rsidP="00D2247B">
      <w:pPr>
        <w:autoSpaceDE w:val="0"/>
        <w:autoSpaceDN w:val="0"/>
        <w:adjustRightInd w:val="0"/>
        <w:spacing w:line="360" w:lineRule="auto"/>
        <w:jc w:val="center"/>
        <w:rPr>
          <w:b/>
          <w:i/>
          <w:u w:val="single"/>
          <w:lang w:eastAsia="en-US"/>
        </w:rPr>
      </w:pPr>
      <w:r w:rsidRPr="004047A3">
        <w:rPr>
          <w:rFonts w:ascii="TimesNewRoman" w:eastAsiaTheme="minorHAnsi" w:hAnsi="TimesNewRoman" w:cs="TimesNewRoman"/>
          <w:noProof/>
        </w:rPr>
        <w:drawing>
          <wp:inline distT="0" distB="0" distL="0" distR="0" wp14:anchorId="3F2FF8F5" wp14:editId="2E6E9EF4">
            <wp:extent cx="3118980" cy="2892056"/>
            <wp:effectExtent l="0" t="0" r="5715" b="0"/>
            <wp:docPr id="24" name="figure3-10" descr="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10" descr="Figure 3.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0063" cy="2893060"/>
                    </a:xfrm>
                    <a:prstGeom prst="rect">
                      <a:avLst/>
                    </a:prstGeom>
                    <a:noFill/>
                    <a:ln>
                      <a:noFill/>
                    </a:ln>
                  </pic:spPr>
                </pic:pic>
              </a:graphicData>
            </a:graphic>
          </wp:inline>
        </w:drawing>
      </w:r>
    </w:p>
    <w:p w:rsidR="00D2247B" w:rsidRPr="00E22B23" w:rsidRDefault="00D2247B" w:rsidP="00D2247B">
      <w:pPr>
        <w:autoSpaceDE w:val="0"/>
        <w:autoSpaceDN w:val="0"/>
        <w:adjustRightInd w:val="0"/>
        <w:spacing w:line="360" w:lineRule="auto"/>
        <w:jc w:val="both"/>
        <w:rPr>
          <w:b/>
          <w:i/>
          <w:lang w:eastAsia="en-US"/>
        </w:rPr>
      </w:pPr>
      <w:r w:rsidRPr="00E22B23">
        <w:rPr>
          <w:i/>
          <w:lang w:eastAsia="en-US"/>
        </w:rPr>
        <w:t>Source: DCCEE, National Inventory by Economic Sector 2009</w:t>
      </w:r>
    </w:p>
    <w:p w:rsidR="00D2247B" w:rsidRDefault="00D2247B" w:rsidP="00D2247B">
      <w:pPr>
        <w:autoSpaceDE w:val="0"/>
        <w:autoSpaceDN w:val="0"/>
        <w:adjustRightInd w:val="0"/>
        <w:spacing w:line="360" w:lineRule="auto"/>
        <w:jc w:val="both"/>
        <w:rPr>
          <w:b/>
          <w:lang w:eastAsia="en-US"/>
        </w:rPr>
      </w:pPr>
    </w:p>
    <w:p w:rsidR="00D2247B" w:rsidRDefault="00D2247B" w:rsidP="00D2247B">
      <w:pPr>
        <w:autoSpaceDE w:val="0"/>
        <w:autoSpaceDN w:val="0"/>
        <w:adjustRightInd w:val="0"/>
        <w:spacing w:line="360" w:lineRule="auto"/>
        <w:jc w:val="both"/>
        <w:rPr>
          <w:b/>
          <w:lang w:eastAsia="en-US"/>
        </w:rPr>
      </w:pPr>
    </w:p>
    <w:p w:rsidR="00D2247B" w:rsidRDefault="00D2247B" w:rsidP="00D2247B">
      <w:pPr>
        <w:autoSpaceDE w:val="0"/>
        <w:autoSpaceDN w:val="0"/>
        <w:adjustRightInd w:val="0"/>
        <w:spacing w:line="360" w:lineRule="auto"/>
        <w:jc w:val="both"/>
        <w:rPr>
          <w:b/>
          <w:lang w:eastAsia="en-US"/>
        </w:rPr>
      </w:pPr>
    </w:p>
    <w:p w:rsidR="00D2247B" w:rsidRDefault="00D2247B" w:rsidP="00D2247B">
      <w:pPr>
        <w:autoSpaceDE w:val="0"/>
        <w:autoSpaceDN w:val="0"/>
        <w:adjustRightInd w:val="0"/>
        <w:spacing w:line="360" w:lineRule="auto"/>
        <w:jc w:val="both"/>
        <w:rPr>
          <w:b/>
          <w:lang w:eastAsia="en-US"/>
        </w:rPr>
      </w:pPr>
    </w:p>
    <w:p w:rsidR="001D0222" w:rsidRDefault="001D0222" w:rsidP="00D2247B">
      <w:pPr>
        <w:autoSpaceDE w:val="0"/>
        <w:autoSpaceDN w:val="0"/>
        <w:adjustRightInd w:val="0"/>
        <w:spacing w:line="360" w:lineRule="auto"/>
        <w:jc w:val="both"/>
        <w:rPr>
          <w:b/>
          <w:lang w:eastAsia="en-US"/>
        </w:rPr>
      </w:pPr>
    </w:p>
    <w:p w:rsidR="00D2247B" w:rsidRDefault="00D2247B" w:rsidP="00D2247B">
      <w:pPr>
        <w:autoSpaceDE w:val="0"/>
        <w:autoSpaceDN w:val="0"/>
        <w:adjustRightInd w:val="0"/>
        <w:spacing w:line="360" w:lineRule="auto"/>
        <w:jc w:val="both"/>
        <w:rPr>
          <w:b/>
          <w:lang w:eastAsia="en-US"/>
        </w:rPr>
      </w:pPr>
    </w:p>
    <w:p w:rsidR="00D2247B" w:rsidRPr="0022618C" w:rsidRDefault="00D2247B" w:rsidP="00D2247B">
      <w:pPr>
        <w:autoSpaceDE w:val="0"/>
        <w:autoSpaceDN w:val="0"/>
        <w:adjustRightInd w:val="0"/>
        <w:spacing w:line="360" w:lineRule="auto"/>
        <w:jc w:val="both"/>
        <w:rPr>
          <w:b/>
          <w:lang w:eastAsia="en-US"/>
        </w:rPr>
      </w:pPr>
      <w:r w:rsidRPr="0022618C">
        <w:rPr>
          <w:b/>
          <w:lang w:eastAsia="en-US"/>
        </w:rPr>
        <w:lastRenderedPageBreak/>
        <w:t xml:space="preserve">Appendix </w:t>
      </w:r>
      <w:r w:rsidR="00AC3CC0">
        <w:rPr>
          <w:b/>
          <w:lang w:eastAsia="en-US"/>
        </w:rPr>
        <w:t>3</w:t>
      </w:r>
      <w:r w:rsidRPr="0022618C">
        <w:rPr>
          <w:b/>
          <w:lang w:eastAsia="en-US"/>
        </w:rPr>
        <w:t xml:space="preserve">: </w:t>
      </w:r>
      <w:r w:rsidR="0073692A">
        <w:rPr>
          <w:b/>
          <w:lang w:eastAsia="en-US"/>
        </w:rPr>
        <w:t xml:space="preserve">Concordance DCCEE </w:t>
      </w:r>
      <w:r w:rsidR="0073692A" w:rsidRPr="0073692A">
        <w:rPr>
          <w:b/>
          <w:lang w:eastAsia="en-US"/>
        </w:rPr>
        <w:t>Industry Classification and</w:t>
      </w:r>
      <w:r w:rsidR="0073692A">
        <w:rPr>
          <w:b/>
          <w:lang w:eastAsia="en-US"/>
        </w:rPr>
        <w:t xml:space="preserve"> </w:t>
      </w:r>
      <w:r w:rsidRPr="0022618C">
        <w:rPr>
          <w:b/>
          <w:lang w:eastAsia="en-US"/>
        </w:rPr>
        <w:t>IOIG classification</w:t>
      </w: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Pr="005751A3" w:rsidRDefault="00D2247B" w:rsidP="00D2247B">
      <w:pPr>
        <w:autoSpaceDE w:val="0"/>
        <w:autoSpaceDN w:val="0"/>
        <w:adjustRightInd w:val="0"/>
        <w:spacing w:line="360" w:lineRule="auto"/>
        <w:jc w:val="both"/>
        <w:rPr>
          <w:rFonts w:eastAsiaTheme="minorHAnsi"/>
          <w:lang w:eastAsia="en-US"/>
        </w:rPr>
      </w:pPr>
      <w:r w:rsidRPr="005751A3">
        <w:rPr>
          <w:rFonts w:eastAsiaTheme="minorHAnsi"/>
          <w:lang w:eastAsia="en-US"/>
        </w:rPr>
        <w:t xml:space="preserve">The industry classification used for input-output tables - Input-Output Industry Group (IOIG) - is based on the Australian and New Zealand Standard Industrial Classification 06 (ANZSIC 06). </w:t>
      </w:r>
    </w:p>
    <w:p w:rsidR="00D2247B" w:rsidRDefault="00D2247B" w:rsidP="00D2247B">
      <w:pPr>
        <w:autoSpaceDE w:val="0"/>
        <w:autoSpaceDN w:val="0"/>
        <w:adjustRightInd w:val="0"/>
        <w:spacing w:line="360" w:lineRule="auto"/>
        <w:jc w:val="both"/>
        <w:rPr>
          <w:rFonts w:ascii="TimesNewRoman" w:eastAsiaTheme="minorHAnsi" w:hAnsi="TimesNewRoman" w:cs="TimesNewRoman"/>
          <w:b/>
          <w:lang w:eastAsia="en-US"/>
        </w:rPr>
      </w:pPr>
    </w:p>
    <w:tbl>
      <w:tblPr>
        <w:tblStyle w:val="TableGrid1"/>
        <w:tblW w:w="5631" w:type="pct"/>
        <w:jc w:val="center"/>
        <w:tblBorders>
          <w:left w:val="none" w:sz="0" w:space="0" w:color="auto"/>
          <w:right w:val="none" w:sz="0" w:space="0" w:color="auto"/>
        </w:tblBorders>
        <w:tblLayout w:type="fixed"/>
        <w:tblLook w:val="04A0" w:firstRow="1" w:lastRow="0" w:firstColumn="1" w:lastColumn="0" w:noHBand="0" w:noVBand="1"/>
      </w:tblPr>
      <w:tblGrid>
        <w:gridCol w:w="1596"/>
        <w:gridCol w:w="2642"/>
        <w:gridCol w:w="2113"/>
        <w:gridCol w:w="737"/>
        <w:gridCol w:w="3320"/>
      </w:tblGrid>
      <w:tr w:rsidR="001D0222" w:rsidRPr="001D0222" w:rsidTr="001D0222">
        <w:trPr>
          <w:trHeight w:val="315"/>
          <w:jc w:val="center"/>
        </w:trPr>
        <w:tc>
          <w:tcPr>
            <w:tcW w:w="3051" w:type="pct"/>
            <w:gridSpan w:val="3"/>
            <w:tcBorders>
              <w:top w:val="single" w:sz="12" w:space="0" w:color="auto"/>
              <w:bottom w:val="single" w:sz="12" w:space="0" w:color="auto"/>
              <w:right w:val="single" w:sz="12" w:space="0" w:color="auto"/>
            </w:tcBorders>
            <w:noWrap/>
          </w:tcPr>
          <w:p w:rsidR="001D0222" w:rsidRPr="001D0222" w:rsidRDefault="001D0222" w:rsidP="001D0222">
            <w:pPr>
              <w:jc w:val="center"/>
              <w:rPr>
                <w:b/>
                <w:sz w:val="20"/>
                <w:szCs w:val="20"/>
              </w:rPr>
            </w:pPr>
            <w:r w:rsidRPr="001D0222">
              <w:rPr>
                <w:b/>
                <w:sz w:val="20"/>
                <w:szCs w:val="20"/>
              </w:rPr>
              <w:t>DCCEE Industry Classification</w:t>
            </w:r>
          </w:p>
        </w:tc>
        <w:tc>
          <w:tcPr>
            <w:tcW w:w="1949" w:type="pct"/>
            <w:gridSpan w:val="2"/>
            <w:tcBorders>
              <w:top w:val="single" w:sz="12" w:space="0" w:color="auto"/>
              <w:left w:val="single" w:sz="12" w:space="0" w:color="auto"/>
              <w:bottom w:val="single" w:sz="12" w:space="0" w:color="auto"/>
            </w:tcBorders>
            <w:noWrap/>
          </w:tcPr>
          <w:p w:rsidR="001D0222" w:rsidRPr="001D0222" w:rsidRDefault="001D0222" w:rsidP="001D0222">
            <w:pPr>
              <w:jc w:val="center"/>
              <w:rPr>
                <w:b/>
                <w:sz w:val="20"/>
                <w:szCs w:val="20"/>
              </w:rPr>
            </w:pPr>
            <w:r w:rsidRPr="001D0222">
              <w:rPr>
                <w:b/>
                <w:sz w:val="20"/>
                <w:szCs w:val="20"/>
              </w:rPr>
              <w:t>Corresponding Input-Output Industries</w:t>
            </w:r>
          </w:p>
        </w:tc>
      </w:tr>
      <w:tr w:rsidR="001D0222" w:rsidRPr="001D0222" w:rsidTr="001D0222">
        <w:trPr>
          <w:trHeight w:val="315"/>
          <w:jc w:val="center"/>
        </w:trPr>
        <w:tc>
          <w:tcPr>
            <w:tcW w:w="767" w:type="pct"/>
            <w:tcBorders>
              <w:top w:val="single" w:sz="12" w:space="0" w:color="auto"/>
            </w:tcBorders>
            <w:noWrap/>
            <w:hideMark/>
          </w:tcPr>
          <w:p w:rsidR="001D0222" w:rsidRPr="001D0222" w:rsidRDefault="001D0222" w:rsidP="001D0222">
            <w:pPr>
              <w:jc w:val="center"/>
              <w:rPr>
                <w:b/>
                <w:sz w:val="20"/>
                <w:szCs w:val="20"/>
              </w:rPr>
            </w:pPr>
            <w:r w:rsidRPr="001D0222">
              <w:rPr>
                <w:b/>
                <w:sz w:val="20"/>
                <w:szCs w:val="20"/>
              </w:rPr>
              <w:t>Level 02</w:t>
            </w:r>
          </w:p>
        </w:tc>
        <w:tc>
          <w:tcPr>
            <w:tcW w:w="1269" w:type="pct"/>
            <w:tcBorders>
              <w:top w:val="single" w:sz="12" w:space="0" w:color="auto"/>
            </w:tcBorders>
            <w:noWrap/>
            <w:hideMark/>
          </w:tcPr>
          <w:p w:rsidR="001D0222" w:rsidRPr="001D0222" w:rsidRDefault="001D0222" w:rsidP="001D0222">
            <w:pPr>
              <w:jc w:val="center"/>
              <w:rPr>
                <w:b/>
                <w:sz w:val="20"/>
                <w:szCs w:val="20"/>
              </w:rPr>
            </w:pPr>
            <w:r w:rsidRPr="001D0222">
              <w:rPr>
                <w:b/>
                <w:sz w:val="20"/>
                <w:szCs w:val="20"/>
              </w:rPr>
              <w:t>Level 03</w:t>
            </w:r>
          </w:p>
        </w:tc>
        <w:tc>
          <w:tcPr>
            <w:tcW w:w="1015" w:type="pct"/>
            <w:tcBorders>
              <w:top w:val="single" w:sz="12" w:space="0" w:color="auto"/>
              <w:right w:val="single" w:sz="12" w:space="0" w:color="auto"/>
            </w:tcBorders>
            <w:noWrap/>
            <w:hideMark/>
          </w:tcPr>
          <w:p w:rsidR="001D0222" w:rsidRPr="001D0222" w:rsidRDefault="001D0222" w:rsidP="001D0222">
            <w:pPr>
              <w:jc w:val="center"/>
              <w:rPr>
                <w:b/>
                <w:sz w:val="20"/>
                <w:szCs w:val="20"/>
              </w:rPr>
            </w:pPr>
            <w:r w:rsidRPr="001D0222">
              <w:rPr>
                <w:b/>
                <w:sz w:val="20"/>
                <w:szCs w:val="20"/>
              </w:rPr>
              <w:t>Level 04</w:t>
            </w:r>
          </w:p>
        </w:tc>
        <w:tc>
          <w:tcPr>
            <w:tcW w:w="354" w:type="pct"/>
            <w:tcBorders>
              <w:top w:val="single" w:sz="12" w:space="0" w:color="auto"/>
              <w:left w:val="single" w:sz="12" w:space="0" w:color="auto"/>
            </w:tcBorders>
            <w:noWrap/>
            <w:hideMark/>
          </w:tcPr>
          <w:p w:rsidR="001D0222" w:rsidRPr="001D0222" w:rsidRDefault="001D0222" w:rsidP="001D0222">
            <w:pPr>
              <w:jc w:val="center"/>
              <w:rPr>
                <w:b/>
                <w:sz w:val="20"/>
                <w:szCs w:val="20"/>
              </w:rPr>
            </w:pPr>
            <w:r w:rsidRPr="001D0222">
              <w:rPr>
                <w:b/>
                <w:sz w:val="20"/>
                <w:szCs w:val="20"/>
              </w:rPr>
              <w:t>IOIG</w:t>
            </w:r>
          </w:p>
        </w:tc>
        <w:tc>
          <w:tcPr>
            <w:tcW w:w="1596" w:type="pct"/>
            <w:tcBorders>
              <w:top w:val="single" w:sz="12" w:space="0" w:color="auto"/>
            </w:tcBorders>
            <w:noWrap/>
            <w:hideMark/>
          </w:tcPr>
          <w:p w:rsidR="001D0222" w:rsidRPr="001D0222" w:rsidRDefault="001D0222" w:rsidP="001D0222">
            <w:pPr>
              <w:jc w:val="center"/>
              <w:rPr>
                <w:b/>
                <w:sz w:val="20"/>
                <w:szCs w:val="20"/>
              </w:rPr>
            </w:pPr>
            <w:r w:rsidRPr="001D0222">
              <w:rPr>
                <w:b/>
                <w:sz w:val="20"/>
                <w:szCs w:val="20"/>
              </w:rPr>
              <w:t>IOIG Descriptor</w:t>
            </w:r>
          </w:p>
        </w:tc>
      </w:tr>
      <w:tr w:rsidR="001D0222" w:rsidRPr="001D0222" w:rsidTr="001D0222">
        <w:trPr>
          <w:trHeight w:val="1924"/>
          <w:jc w:val="center"/>
        </w:trPr>
        <w:tc>
          <w:tcPr>
            <w:tcW w:w="767" w:type="pct"/>
            <w:hideMark/>
          </w:tcPr>
          <w:p w:rsidR="001D0222" w:rsidRPr="001D0222" w:rsidRDefault="001D0222" w:rsidP="001D0222">
            <w:pPr>
              <w:rPr>
                <w:sz w:val="20"/>
                <w:szCs w:val="20"/>
              </w:rPr>
            </w:pPr>
            <w:r w:rsidRPr="001D0222">
              <w:rPr>
                <w:sz w:val="20"/>
                <w:szCs w:val="20"/>
              </w:rPr>
              <w:t>Div. A Agriculture, Forestry and Fishing</w:t>
            </w:r>
          </w:p>
        </w:tc>
        <w:tc>
          <w:tcPr>
            <w:tcW w:w="1269" w:type="pct"/>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0101</w:t>
            </w:r>
          </w:p>
          <w:p w:rsidR="001D0222" w:rsidRPr="001D0222" w:rsidRDefault="001D0222" w:rsidP="001D0222">
            <w:pPr>
              <w:rPr>
                <w:sz w:val="20"/>
                <w:szCs w:val="20"/>
              </w:rPr>
            </w:pPr>
            <w:r w:rsidRPr="001D0222">
              <w:rPr>
                <w:sz w:val="20"/>
                <w:szCs w:val="20"/>
              </w:rPr>
              <w:t>0102</w:t>
            </w:r>
          </w:p>
          <w:p w:rsidR="001D0222" w:rsidRPr="001D0222" w:rsidRDefault="001D0222" w:rsidP="001D0222">
            <w:pPr>
              <w:rPr>
                <w:sz w:val="20"/>
                <w:szCs w:val="20"/>
              </w:rPr>
            </w:pPr>
            <w:r w:rsidRPr="001D0222">
              <w:rPr>
                <w:sz w:val="20"/>
                <w:szCs w:val="20"/>
              </w:rPr>
              <w:t>0103</w:t>
            </w:r>
          </w:p>
          <w:p w:rsidR="001D0222" w:rsidRPr="001D0222" w:rsidRDefault="001D0222" w:rsidP="001D0222">
            <w:pPr>
              <w:rPr>
                <w:sz w:val="20"/>
                <w:szCs w:val="20"/>
              </w:rPr>
            </w:pPr>
            <w:r w:rsidRPr="001D0222">
              <w:rPr>
                <w:sz w:val="20"/>
                <w:szCs w:val="20"/>
              </w:rPr>
              <w:t>0201</w:t>
            </w:r>
          </w:p>
          <w:p w:rsidR="001D0222" w:rsidRPr="001D0222" w:rsidRDefault="001D0222" w:rsidP="001D0222">
            <w:pPr>
              <w:rPr>
                <w:sz w:val="20"/>
                <w:szCs w:val="20"/>
              </w:rPr>
            </w:pPr>
            <w:r w:rsidRPr="001D0222">
              <w:rPr>
                <w:sz w:val="20"/>
                <w:szCs w:val="20"/>
              </w:rPr>
              <w:t>0301</w:t>
            </w:r>
          </w:p>
          <w:p w:rsidR="001D0222" w:rsidRPr="001D0222" w:rsidRDefault="001D0222" w:rsidP="001D0222">
            <w:pPr>
              <w:rPr>
                <w:sz w:val="20"/>
                <w:szCs w:val="20"/>
              </w:rPr>
            </w:pPr>
            <w:r w:rsidRPr="001D0222">
              <w:rPr>
                <w:sz w:val="20"/>
                <w:szCs w:val="20"/>
              </w:rPr>
              <w:t>0401</w:t>
            </w:r>
          </w:p>
          <w:p w:rsidR="001D0222" w:rsidRPr="001D0222" w:rsidRDefault="001D0222" w:rsidP="001D0222">
            <w:pPr>
              <w:rPr>
                <w:sz w:val="20"/>
                <w:szCs w:val="20"/>
              </w:rPr>
            </w:pPr>
            <w:r w:rsidRPr="001D0222">
              <w:rPr>
                <w:sz w:val="20"/>
                <w:szCs w:val="20"/>
              </w:rPr>
              <w:t>0501</w:t>
            </w:r>
          </w:p>
        </w:tc>
        <w:tc>
          <w:tcPr>
            <w:tcW w:w="1596" w:type="pct"/>
            <w:noWrap/>
            <w:hideMark/>
          </w:tcPr>
          <w:p w:rsidR="001D0222" w:rsidRPr="001D0222" w:rsidRDefault="001D0222" w:rsidP="001D0222">
            <w:pPr>
              <w:rPr>
                <w:sz w:val="20"/>
                <w:szCs w:val="20"/>
              </w:rPr>
            </w:pPr>
            <w:r w:rsidRPr="001D0222">
              <w:rPr>
                <w:sz w:val="20"/>
                <w:szCs w:val="20"/>
              </w:rPr>
              <w:t>Sheep, Grains, Beef and Dairy Cattle</w:t>
            </w:r>
          </w:p>
          <w:p w:rsidR="001D0222" w:rsidRPr="001D0222" w:rsidRDefault="001D0222" w:rsidP="001D0222">
            <w:pPr>
              <w:rPr>
                <w:sz w:val="20"/>
                <w:szCs w:val="20"/>
              </w:rPr>
            </w:pPr>
            <w:r w:rsidRPr="001D0222">
              <w:rPr>
                <w:sz w:val="20"/>
                <w:szCs w:val="20"/>
              </w:rPr>
              <w:t>Poultry and Other Livestock</w:t>
            </w:r>
          </w:p>
          <w:p w:rsidR="001D0222" w:rsidRPr="001D0222" w:rsidRDefault="001D0222" w:rsidP="001D0222">
            <w:pPr>
              <w:rPr>
                <w:sz w:val="20"/>
                <w:szCs w:val="20"/>
              </w:rPr>
            </w:pPr>
            <w:r w:rsidRPr="001D0222">
              <w:rPr>
                <w:sz w:val="20"/>
                <w:szCs w:val="20"/>
              </w:rPr>
              <w:t>Other Agriculture</w:t>
            </w:r>
          </w:p>
          <w:p w:rsidR="001D0222" w:rsidRPr="001D0222" w:rsidRDefault="001D0222" w:rsidP="001D0222">
            <w:pPr>
              <w:rPr>
                <w:sz w:val="20"/>
                <w:szCs w:val="20"/>
              </w:rPr>
            </w:pPr>
            <w:r w:rsidRPr="001D0222">
              <w:rPr>
                <w:sz w:val="20"/>
                <w:szCs w:val="20"/>
              </w:rPr>
              <w:t>Aquaculture</w:t>
            </w:r>
          </w:p>
          <w:p w:rsidR="001D0222" w:rsidRPr="001D0222" w:rsidRDefault="001D0222" w:rsidP="001D0222">
            <w:pPr>
              <w:rPr>
                <w:sz w:val="20"/>
                <w:szCs w:val="20"/>
              </w:rPr>
            </w:pPr>
            <w:r w:rsidRPr="001D0222">
              <w:rPr>
                <w:sz w:val="20"/>
                <w:szCs w:val="20"/>
              </w:rPr>
              <w:t>Forestry and Logging</w:t>
            </w:r>
          </w:p>
          <w:p w:rsidR="001D0222" w:rsidRPr="001D0222" w:rsidRDefault="001D0222" w:rsidP="001D0222">
            <w:pPr>
              <w:rPr>
                <w:sz w:val="20"/>
                <w:szCs w:val="20"/>
              </w:rPr>
            </w:pPr>
            <w:r w:rsidRPr="001D0222">
              <w:rPr>
                <w:sz w:val="20"/>
                <w:szCs w:val="20"/>
              </w:rPr>
              <w:t>Fishing, hunting and trapping</w:t>
            </w:r>
          </w:p>
          <w:p w:rsidR="001D0222" w:rsidRPr="001D0222" w:rsidRDefault="001D0222" w:rsidP="001D0222">
            <w:pPr>
              <w:rPr>
                <w:sz w:val="20"/>
                <w:szCs w:val="20"/>
              </w:rPr>
            </w:pPr>
            <w:r w:rsidRPr="001D0222">
              <w:rPr>
                <w:sz w:val="20"/>
                <w:szCs w:val="20"/>
              </w:rPr>
              <w:t>Agriculture, Forestry and Fishing Support Services</w:t>
            </w:r>
          </w:p>
        </w:tc>
      </w:tr>
      <w:tr w:rsidR="001D0222" w:rsidRPr="001D0222" w:rsidTr="001D0222">
        <w:trPr>
          <w:trHeight w:val="300"/>
          <w:jc w:val="center"/>
        </w:trPr>
        <w:tc>
          <w:tcPr>
            <w:tcW w:w="767" w:type="pct"/>
            <w:vMerge w:val="restart"/>
            <w:hideMark/>
          </w:tcPr>
          <w:p w:rsidR="001D0222" w:rsidRPr="001D0222" w:rsidRDefault="001D0222" w:rsidP="001D0222">
            <w:pPr>
              <w:rPr>
                <w:sz w:val="20"/>
                <w:szCs w:val="20"/>
              </w:rPr>
            </w:pPr>
            <w:r w:rsidRPr="001D0222">
              <w:rPr>
                <w:sz w:val="20"/>
                <w:szCs w:val="20"/>
              </w:rPr>
              <w:t>Div. B Mining</w:t>
            </w:r>
          </w:p>
        </w:tc>
        <w:tc>
          <w:tcPr>
            <w:tcW w:w="1269" w:type="pct"/>
            <w:noWrap/>
            <w:hideMark/>
          </w:tcPr>
          <w:p w:rsidR="001D0222" w:rsidRPr="001D0222" w:rsidRDefault="001D0222" w:rsidP="001D0222">
            <w:pPr>
              <w:rPr>
                <w:sz w:val="20"/>
                <w:szCs w:val="20"/>
              </w:rPr>
            </w:pPr>
            <w:r w:rsidRPr="001D0222">
              <w:rPr>
                <w:sz w:val="20"/>
                <w:szCs w:val="20"/>
              </w:rPr>
              <w:t>06 Coal Mining</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0601</w:t>
            </w:r>
          </w:p>
        </w:tc>
        <w:tc>
          <w:tcPr>
            <w:tcW w:w="1596" w:type="pct"/>
            <w:noWrap/>
            <w:hideMark/>
          </w:tcPr>
          <w:p w:rsidR="001D0222" w:rsidRPr="001D0222" w:rsidRDefault="001D0222" w:rsidP="001D0222">
            <w:pPr>
              <w:rPr>
                <w:sz w:val="20"/>
                <w:szCs w:val="20"/>
              </w:rPr>
            </w:pPr>
            <w:r w:rsidRPr="001D0222">
              <w:rPr>
                <w:sz w:val="20"/>
                <w:szCs w:val="20"/>
              </w:rPr>
              <w:t>Coal mining</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07 Oil and Gas Extraction</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0701</w:t>
            </w:r>
          </w:p>
        </w:tc>
        <w:tc>
          <w:tcPr>
            <w:tcW w:w="1596" w:type="pct"/>
            <w:noWrap/>
            <w:hideMark/>
          </w:tcPr>
          <w:p w:rsidR="001D0222" w:rsidRPr="001D0222" w:rsidRDefault="001D0222" w:rsidP="001D0222">
            <w:pPr>
              <w:rPr>
                <w:sz w:val="20"/>
                <w:szCs w:val="20"/>
              </w:rPr>
            </w:pPr>
            <w:r w:rsidRPr="001D0222">
              <w:rPr>
                <w:sz w:val="20"/>
                <w:szCs w:val="20"/>
              </w:rPr>
              <w:t>Oil and gas extraction</w:t>
            </w:r>
          </w:p>
        </w:tc>
      </w:tr>
      <w:tr w:rsidR="001D0222" w:rsidRPr="001D0222" w:rsidTr="001D0222">
        <w:trPr>
          <w:trHeight w:val="1199"/>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08-10 Metal Ore and Non-Metallic Mineral Mining and Quarrying</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0801</w:t>
            </w:r>
          </w:p>
          <w:p w:rsidR="001D0222" w:rsidRPr="001D0222" w:rsidRDefault="001D0222" w:rsidP="001D0222">
            <w:pPr>
              <w:rPr>
                <w:sz w:val="20"/>
                <w:szCs w:val="20"/>
              </w:rPr>
            </w:pPr>
            <w:r w:rsidRPr="001D0222">
              <w:rPr>
                <w:sz w:val="20"/>
                <w:szCs w:val="20"/>
              </w:rPr>
              <w:t>0802</w:t>
            </w:r>
          </w:p>
          <w:p w:rsidR="001D0222" w:rsidRPr="001D0222" w:rsidRDefault="001D0222" w:rsidP="001D0222">
            <w:pPr>
              <w:rPr>
                <w:sz w:val="20"/>
                <w:szCs w:val="20"/>
              </w:rPr>
            </w:pPr>
            <w:r w:rsidRPr="001D0222">
              <w:rPr>
                <w:sz w:val="20"/>
                <w:szCs w:val="20"/>
              </w:rPr>
              <w:t>0901</w:t>
            </w:r>
          </w:p>
          <w:p w:rsidR="001D0222" w:rsidRPr="001D0222" w:rsidRDefault="001D0222" w:rsidP="001D0222">
            <w:pPr>
              <w:rPr>
                <w:sz w:val="20"/>
                <w:szCs w:val="20"/>
              </w:rPr>
            </w:pPr>
            <w:r w:rsidRPr="001D0222">
              <w:rPr>
                <w:sz w:val="20"/>
                <w:szCs w:val="20"/>
              </w:rPr>
              <w:t>1001</w:t>
            </w:r>
          </w:p>
        </w:tc>
        <w:tc>
          <w:tcPr>
            <w:tcW w:w="1596" w:type="pct"/>
            <w:noWrap/>
            <w:hideMark/>
          </w:tcPr>
          <w:p w:rsidR="001D0222" w:rsidRPr="001D0222" w:rsidRDefault="001D0222" w:rsidP="001D0222">
            <w:pPr>
              <w:rPr>
                <w:sz w:val="20"/>
                <w:szCs w:val="20"/>
              </w:rPr>
            </w:pPr>
            <w:r w:rsidRPr="001D0222">
              <w:rPr>
                <w:sz w:val="20"/>
                <w:szCs w:val="20"/>
              </w:rPr>
              <w:t>Iron Ore Mining</w:t>
            </w:r>
          </w:p>
          <w:p w:rsidR="001D0222" w:rsidRPr="001D0222" w:rsidRDefault="001D0222" w:rsidP="001D0222">
            <w:pPr>
              <w:rPr>
                <w:sz w:val="20"/>
                <w:szCs w:val="20"/>
              </w:rPr>
            </w:pPr>
            <w:r w:rsidRPr="001D0222">
              <w:rPr>
                <w:sz w:val="20"/>
                <w:szCs w:val="20"/>
              </w:rPr>
              <w:t>Non Ferrous Metal Ore Mining</w:t>
            </w:r>
          </w:p>
          <w:p w:rsidR="001D0222" w:rsidRPr="001D0222" w:rsidRDefault="001D0222" w:rsidP="001D0222">
            <w:pPr>
              <w:rPr>
                <w:sz w:val="20"/>
                <w:szCs w:val="20"/>
              </w:rPr>
            </w:pPr>
            <w:r w:rsidRPr="001D0222">
              <w:rPr>
                <w:sz w:val="20"/>
                <w:szCs w:val="20"/>
              </w:rPr>
              <w:t>Non Metallic Mineral Mining</w:t>
            </w:r>
          </w:p>
          <w:p w:rsidR="001D0222" w:rsidRPr="001D0222" w:rsidRDefault="001D0222" w:rsidP="001D0222">
            <w:pPr>
              <w:rPr>
                <w:sz w:val="20"/>
                <w:szCs w:val="20"/>
              </w:rPr>
            </w:pPr>
            <w:r w:rsidRPr="001D0222">
              <w:rPr>
                <w:sz w:val="20"/>
                <w:szCs w:val="20"/>
              </w:rPr>
              <w:t>Exploration and Mining Support Services</w:t>
            </w:r>
          </w:p>
        </w:tc>
      </w:tr>
      <w:tr w:rsidR="001D0222" w:rsidRPr="001D0222" w:rsidTr="001D0222">
        <w:trPr>
          <w:trHeight w:val="4190"/>
          <w:jc w:val="center"/>
        </w:trPr>
        <w:tc>
          <w:tcPr>
            <w:tcW w:w="767" w:type="pct"/>
            <w:vMerge w:val="restart"/>
            <w:hideMark/>
          </w:tcPr>
          <w:p w:rsidR="001D0222" w:rsidRPr="001D0222" w:rsidRDefault="001D0222" w:rsidP="001D0222">
            <w:pPr>
              <w:rPr>
                <w:sz w:val="20"/>
                <w:szCs w:val="20"/>
              </w:rPr>
            </w:pPr>
            <w:r w:rsidRPr="001D0222">
              <w:rPr>
                <w:sz w:val="20"/>
                <w:szCs w:val="20"/>
              </w:rPr>
              <w:t>Div. C Manufacturing</w:t>
            </w:r>
          </w:p>
        </w:tc>
        <w:tc>
          <w:tcPr>
            <w:tcW w:w="1269" w:type="pct"/>
            <w:noWrap/>
            <w:hideMark/>
          </w:tcPr>
          <w:p w:rsidR="001D0222" w:rsidRPr="001D0222" w:rsidRDefault="001D0222" w:rsidP="001D0222">
            <w:pPr>
              <w:rPr>
                <w:sz w:val="20"/>
                <w:szCs w:val="20"/>
              </w:rPr>
            </w:pPr>
            <w:r w:rsidRPr="001D0222">
              <w:rPr>
                <w:sz w:val="20"/>
                <w:szCs w:val="20"/>
              </w:rPr>
              <w:t>11-12 Food, Beverages and Tobacco Product Manufacturing</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1101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1102</w:t>
            </w:r>
          </w:p>
          <w:p w:rsidR="001D0222" w:rsidRPr="001D0222" w:rsidRDefault="001D0222" w:rsidP="001D0222">
            <w:pPr>
              <w:rPr>
                <w:sz w:val="20"/>
                <w:szCs w:val="20"/>
              </w:rPr>
            </w:pPr>
            <w:r w:rsidRPr="001D0222">
              <w:rPr>
                <w:sz w:val="20"/>
                <w:szCs w:val="20"/>
              </w:rPr>
              <w:t>1103</w:t>
            </w:r>
          </w:p>
          <w:p w:rsidR="001D0222" w:rsidRPr="001D0222" w:rsidRDefault="001D0222" w:rsidP="001D0222">
            <w:pPr>
              <w:rPr>
                <w:sz w:val="20"/>
                <w:szCs w:val="20"/>
              </w:rPr>
            </w:pPr>
            <w:r w:rsidRPr="001D0222">
              <w:rPr>
                <w:sz w:val="20"/>
                <w:szCs w:val="20"/>
              </w:rPr>
              <w:t>1104</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1105</w:t>
            </w:r>
          </w:p>
          <w:p w:rsidR="001D0222" w:rsidRPr="001D0222" w:rsidRDefault="001D0222" w:rsidP="001D0222">
            <w:pPr>
              <w:rPr>
                <w:sz w:val="20"/>
                <w:szCs w:val="20"/>
              </w:rPr>
            </w:pPr>
            <w:r w:rsidRPr="001D0222">
              <w:rPr>
                <w:sz w:val="20"/>
                <w:szCs w:val="20"/>
              </w:rPr>
              <w:t>1106</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1107</w:t>
            </w:r>
          </w:p>
          <w:p w:rsidR="001D0222" w:rsidRPr="001D0222" w:rsidRDefault="001D0222" w:rsidP="001D0222">
            <w:pPr>
              <w:rPr>
                <w:sz w:val="20"/>
                <w:szCs w:val="20"/>
              </w:rPr>
            </w:pPr>
            <w:r w:rsidRPr="001D0222">
              <w:rPr>
                <w:sz w:val="20"/>
                <w:szCs w:val="20"/>
              </w:rPr>
              <w:t>1108</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1109</w:t>
            </w:r>
          </w:p>
          <w:p w:rsidR="001D0222" w:rsidRPr="001D0222" w:rsidRDefault="001D0222" w:rsidP="001D0222">
            <w:pPr>
              <w:rPr>
                <w:sz w:val="20"/>
                <w:szCs w:val="20"/>
              </w:rPr>
            </w:pPr>
            <w:r w:rsidRPr="001D0222">
              <w:rPr>
                <w:sz w:val="20"/>
                <w:szCs w:val="20"/>
              </w:rPr>
              <w:t>1201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1202</w:t>
            </w:r>
          </w:p>
          <w:p w:rsidR="001D0222" w:rsidRPr="001D0222" w:rsidRDefault="001D0222" w:rsidP="001D0222">
            <w:pPr>
              <w:rPr>
                <w:sz w:val="20"/>
                <w:szCs w:val="20"/>
              </w:rPr>
            </w:pPr>
            <w:r w:rsidRPr="001D0222">
              <w:rPr>
                <w:sz w:val="20"/>
                <w:szCs w:val="20"/>
              </w:rPr>
              <w:t>1203</w:t>
            </w:r>
          </w:p>
          <w:p w:rsidR="001D0222" w:rsidRPr="001D0222" w:rsidRDefault="001D0222" w:rsidP="001D0222">
            <w:pPr>
              <w:rPr>
                <w:sz w:val="20"/>
                <w:szCs w:val="20"/>
              </w:rPr>
            </w:pPr>
            <w:r w:rsidRPr="001D0222">
              <w:rPr>
                <w:sz w:val="20"/>
                <w:szCs w:val="20"/>
              </w:rPr>
              <w:t>1204</w:t>
            </w:r>
          </w:p>
        </w:tc>
        <w:tc>
          <w:tcPr>
            <w:tcW w:w="1596" w:type="pct"/>
            <w:noWrap/>
            <w:hideMark/>
          </w:tcPr>
          <w:p w:rsidR="001D0222" w:rsidRPr="001D0222" w:rsidRDefault="001D0222" w:rsidP="001D0222">
            <w:pPr>
              <w:rPr>
                <w:sz w:val="20"/>
                <w:szCs w:val="20"/>
              </w:rPr>
            </w:pPr>
            <w:r w:rsidRPr="001D0222">
              <w:rPr>
                <w:sz w:val="20"/>
                <w:szCs w:val="20"/>
              </w:rPr>
              <w:t>Meat and Meat product Manufacturing</w:t>
            </w:r>
          </w:p>
          <w:p w:rsidR="001D0222" w:rsidRPr="001D0222" w:rsidRDefault="001D0222" w:rsidP="001D0222">
            <w:pPr>
              <w:rPr>
                <w:sz w:val="20"/>
                <w:szCs w:val="20"/>
              </w:rPr>
            </w:pPr>
            <w:r w:rsidRPr="001D0222">
              <w:rPr>
                <w:sz w:val="20"/>
                <w:szCs w:val="20"/>
              </w:rPr>
              <w:t>Processed Seafood Manufacturing</w:t>
            </w:r>
          </w:p>
          <w:p w:rsidR="001D0222" w:rsidRPr="001D0222" w:rsidRDefault="001D0222" w:rsidP="001D0222">
            <w:pPr>
              <w:rPr>
                <w:sz w:val="20"/>
                <w:szCs w:val="20"/>
              </w:rPr>
            </w:pPr>
            <w:r w:rsidRPr="001D0222">
              <w:rPr>
                <w:sz w:val="20"/>
                <w:szCs w:val="20"/>
              </w:rPr>
              <w:t>Dairy Product Manufacturing</w:t>
            </w:r>
          </w:p>
          <w:p w:rsidR="001D0222" w:rsidRPr="001D0222" w:rsidRDefault="001D0222" w:rsidP="001D0222">
            <w:pPr>
              <w:rPr>
                <w:sz w:val="20"/>
                <w:szCs w:val="20"/>
              </w:rPr>
            </w:pPr>
            <w:r w:rsidRPr="001D0222">
              <w:rPr>
                <w:sz w:val="20"/>
                <w:szCs w:val="20"/>
              </w:rPr>
              <w:t>Fruit and Vegetable Product Manufacturing</w:t>
            </w:r>
          </w:p>
          <w:p w:rsidR="001D0222" w:rsidRPr="001D0222" w:rsidRDefault="001D0222" w:rsidP="001D0222">
            <w:pPr>
              <w:rPr>
                <w:sz w:val="20"/>
                <w:szCs w:val="20"/>
              </w:rPr>
            </w:pPr>
            <w:r w:rsidRPr="001D0222">
              <w:rPr>
                <w:sz w:val="20"/>
                <w:szCs w:val="20"/>
              </w:rPr>
              <w:t>Oils and Fats Manufacturing</w:t>
            </w:r>
          </w:p>
          <w:p w:rsidR="001D0222" w:rsidRPr="001D0222" w:rsidRDefault="001D0222" w:rsidP="001D0222">
            <w:pPr>
              <w:rPr>
                <w:sz w:val="20"/>
                <w:szCs w:val="20"/>
              </w:rPr>
            </w:pPr>
            <w:r w:rsidRPr="001D0222">
              <w:rPr>
                <w:sz w:val="20"/>
                <w:szCs w:val="20"/>
              </w:rPr>
              <w:t>Grain Mill and Cereal Product Manufacturing</w:t>
            </w:r>
          </w:p>
          <w:p w:rsidR="001D0222" w:rsidRPr="001D0222" w:rsidRDefault="001D0222" w:rsidP="001D0222">
            <w:pPr>
              <w:rPr>
                <w:sz w:val="20"/>
                <w:szCs w:val="20"/>
              </w:rPr>
            </w:pPr>
            <w:r w:rsidRPr="001D0222">
              <w:rPr>
                <w:sz w:val="20"/>
                <w:szCs w:val="20"/>
              </w:rPr>
              <w:t>Bakery Product Manufacturing</w:t>
            </w:r>
          </w:p>
          <w:p w:rsidR="001D0222" w:rsidRPr="001D0222" w:rsidRDefault="001D0222" w:rsidP="001D0222">
            <w:pPr>
              <w:rPr>
                <w:sz w:val="20"/>
                <w:szCs w:val="20"/>
              </w:rPr>
            </w:pPr>
            <w:r w:rsidRPr="001D0222">
              <w:rPr>
                <w:sz w:val="20"/>
                <w:szCs w:val="20"/>
              </w:rPr>
              <w:t>Sugar and Confectionery Manufacturing</w:t>
            </w:r>
          </w:p>
          <w:p w:rsidR="001D0222" w:rsidRPr="001D0222" w:rsidRDefault="001D0222" w:rsidP="001D0222">
            <w:pPr>
              <w:rPr>
                <w:sz w:val="20"/>
                <w:szCs w:val="20"/>
              </w:rPr>
            </w:pPr>
            <w:r w:rsidRPr="001D0222">
              <w:rPr>
                <w:sz w:val="20"/>
                <w:szCs w:val="20"/>
              </w:rPr>
              <w:t>Other Food Product Manufacturing</w:t>
            </w:r>
          </w:p>
          <w:p w:rsidR="001D0222" w:rsidRPr="001D0222" w:rsidRDefault="001D0222" w:rsidP="001D0222">
            <w:pPr>
              <w:rPr>
                <w:sz w:val="20"/>
                <w:szCs w:val="20"/>
              </w:rPr>
            </w:pPr>
            <w:r w:rsidRPr="001D0222">
              <w:rPr>
                <w:sz w:val="20"/>
                <w:szCs w:val="20"/>
              </w:rPr>
              <w:t>Soft Drinks, Cordials and Syrup Manufacturing</w:t>
            </w:r>
          </w:p>
          <w:p w:rsidR="001D0222" w:rsidRPr="001D0222" w:rsidRDefault="001D0222" w:rsidP="001D0222">
            <w:pPr>
              <w:rPr>
                <w:sz w:val="20"/>
                <w:szCs w:val="20"/>
              </w:rPr>
            </w:pPr>
            <w:r w:rsidRPr="001D0222">
              <w:rPr>
                <w:sz w:val="20"/>
                <w:szCs w:val="20"/>
              </w:rPr>
              <w:t>Beer Manufacturing</w:t>
            </w:r>
          </w:p>
          <w:p w:rsidR="001D0222" w:rsidRPr="001D0222" w:rsidRDefault="001D0222" w:rsidP="001D0222">
            <w:pPr>
              <w:rPr>
                <w:sz w:val="20"/>
                <w:szCs w:val="20"/>
              </w:rPr>
            </w:pPr>
            <w:r w:rsidRPr="001D0222">
              <w:rPr>
                <w:sz w:val="20"/>
                <w:szCs w:val="20"/>
              </w:rPr>
              <w:t>Wine, Spirits and Tobacco</w:t>
            </w:r>
          </w:p>
          <w:p w:rsidR="001D0222" w:rsidRPr="001D0222" w:rsidRDefault="001D0222" w:rsidP="001D0222">
            <w:pPr>
              <w:rPr>
                <w:sz w:val="20"/>
                <w:szCs w:val="20"/>
              </w:rPr>
            </w:pPr>
            <w:r w:rsidRPr="001D0222">
              <w:rPr>
                <w:sz w:val="20"/>
                <w:szCs w:val="20"/>
              </w:rPr>
              <w:t>Cigarette and Tobacco Product Manufacturing</w:t>
            </w:r>
          </w:p>
        </w:tc>
      </w:tr>
      <w:tr w:rsidR="001D0222" w:rsidRPr="001D0222" w:rsidTr="001D0222">
        <w:trPr>
          <w:trHeight w:val="1665"/>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13 Textile, Leather, Clothing and Footwear Manufacturing</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1301</w:t>
            </w:r>
          </w:p>
          <w:p w:rsidR="001D0222" w:rsidRPr="001D0222" w:rsidRDefault="001D0222" w:rsidP="001D0222">
            <w:pPr>
              <w:rPr>
                <w:sz w:val="20"/>
                <w:szCs w:val="20"/>
              </w:rPr>
            </w:pPr>
            <w:r w:rsidRPr="001D0222">
              <w:rPr>
                <w:sz w:val="20"/>
                <w:szCs w:val="20"/>
              </w:rPr>
              <w:t>1302</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1303</w:t>
            </w:r>
          </w:p>
          <w:p w:rsidR="001D0222" w:rsidRPr="001D0222" w:rsidRDefault="001D0222" w:rsidP="001D0222">
            <w:pPr>
              <w:rPr>
                <w:sz w:val="20"/>
                <w:szCs w:val="20"/>
              </w:rPr>
            </w:pPr>
            <w:r w:rsidRPr="001D0222">
              <w:rPr>
                <w:sz w:val="20"/>
                <w:szCs w:val="20"/>
              </w:rPr>
              <w:t>1304</w:t>
            </w:r>
          </w:p>
          <w:p w:rsidR="001D0222" w:rsidRPr="001D0222" w:rsidRDefault="001D0222" w:rsidP="001D0222">
            <w:pPr>
              <w:rPr>
                <w:sz w:val="20"/>
                <w:szCs w:val="20"/>
              </w:rPr>
            </w:pPr>
            <w:r w:rsidRPr="001D0222">
              <w:rPr>
                <w:sz w:val="20"/>
                <w:szCs w:val="20"/>
              </w:rPr>
              <w:t>1305</w:t>
            </w:r>
          </w:p>
          <w:p w:rsidR="001D0222" w:rsidRPr="001D0222" w:rsidRDefault="001D0222" w:rsidP="001D0222">
            <w:pPr>
              <w:rPr>
                <w:sz w:val="20"/>
                <w:szCs w:val="20"/>
              </w:rPr>
            </w:pPr>
            <w:r w:rsidRPr="001D0222">
              <w:rPr>
                <w:sz w:val="20"/>
                <w:szCs w:val="20"/>
              </w:rPr>
              <w:t>1306</w:t>
            </w:r>
          </w:p>
        </w:tc>
        <w:tc>
          <w:tcPr>
            <w:tcW w:w="1596" w:type="pct"/>
            <w:noWrap/>
            <w:hideMark/>
          </w:tcPr>
          <w:p w:rsidR="001D0222" w:rsidRPr="001D0222" w:rsidRDefault="001D0222" w:rsidP="001D0222">
            <w:pPr>
              <w:rPr>
                <w:sz w:val="20"/>
                <w:szCs w:val="20"/>
              </w:rPr>
            </w:pPr>
            <w:r w:rsidRPr="001D0222">
              <w:rPr>
                <w:sz w:val="20"/>
                <w:szCs w:val="20"/>
              </w:rPr>
              <w:t>Textile Manufacturing</w:t>
            </w:r>
          </w:p>
          <w:p w:rsidR="001D0222" w:rsidRPr="001D0222" w:rsidRDefault="001D0222" w:rsidP="001D0222">
            <w:pPr>
              <w:rPr>
                <w:sz w:val="20"/>
                <w:szCs w:val="20"/>
              </w:rPr>
            </w:pPr>
            <w:r w:rsidRPr="001D0222">
              <w:rPr>
                <w:sz w:val="20"/>
                <w:szCs w:val="20"/>
              </w:rPr>
              <w:t>Tanned Leather, Dressed Fur and Leather Product Manufacturing</w:t>
            </w:r>
          </w:p>
          <w:p w:rsidR="001D0222" w:rsidRPr="001D0222" w:rsidRDefault="001D0222" w:rsidP="001D0222">
            <w:pPr>
              <w:rPr>
                <w:sz w:val="20"/>
                <w:szCs w:val="20"/>
              </w:rPr>
            </w:pPr>
            <w:r w:rsidRPr="001D0222">
              <w:rPr>
                <w:sz w:val="20"/>
                <w:szCs w:val="20"/>
              </w:rPr>
              <w:t>Textile Product Manufacturing</w:t>
            </w:r>
          </w:p>
          <w:p w:rsidR="001D0222" w:rsidRPr="001D0222" w:rsidRDefault="001D0222" w:rsidP="001D0222">
            <w:pPr>
              <w:rPr>
                <w:sz w:val="20"/>
                <w:szCs w:val="20"/>
              </w:rPr>
            </w:pPr>
            <w:r w:rsidRPr="001D0222">
              <w:rPr>
                <w:sz w:val="20"/>
                <w:szCs w:val="20"/>
              </w:rPr>
              <w:t>Knitted Product Manufacturing</w:t>
            </w:r>
          </w:p>
          <w:p w:rsidR="001D0222" w:rsidRPr="001D0222" w:rsidRDefault="001D0222" w:rsidP="001D0222">
            <w:pPr>
              <w:rPr>
                <w:sz w:val="20"/>
                <w:szCs w:val="20"/>
              </w:rPr>
            </w:pPr>
            <w:r w:rsidRPr="001D0222">
              <w:rPr>
                <w:sz w:val="20"/>
                <w:szCs w:val="20"/>
              </w:rPr>
              <w:t>Clothing Manufacturing</w:t>
            </w:r>
          </w:p>
          <w:p w:rsidR="001D0222" w:rsidRPr="001D0222" w:rsidRDefault="001D0222" w:rsidP="001D0222">
            <w:pPr>
              <w:rPr>
                <w:sz w:val="20"/>
                <w:szCs w:val="20"/>
              </w:rPr>
            </w:pPr>
            <w:r w:rsidRPr="001D0222">
              <w:rPr>
                <w:sz w:val="20"/>
                <w:szCs w:val="20"/>
              </w:rPr>
              <w:t>Footwear Manufacturing</w:t>
            </w:r>
          </w:p>
        </w:tc>
      </w:tr>
      <w:tr w:rsidR="001D0222" w:rsidRPr="001D0222" w:rsidTr="001D0222">
        <w:trPr>
          <w:trHeight w:val="202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14-16 Wood and Paper Manufacturing and Printing Services</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1401</w:t>
            </w:r>
          </w:p>
          <w:p w:rsidR="001D0222" w:rsidRPr="001D0222" w:rsidRDefault="001D0222" w:rsidP="001D0222">
            <w:pPr>
              <w:rPr>
                <w:sz w:val="20"/>
                <w:szCs w:val="20"/>
              </w:rPr>
            </w:pPr>
            <w:r w:rsidRPr="001D0222">
              <w:rPr>
                <w:sz w:val="20"/>
                <w:szCs w:val="20"/>
              </w:rPr>
              <w:t>1402</w:t>
            </w:r>
          </w:p>
          <w:p w:rsidR="001D0222" w:rsidRPr="001D0222" w:rsidRDefault="001D0222" w:rsidP="001D0222">
            <w:pPr>
              <w:rPr>
                <w:sz w:val="20"/>
                <w:szCs w:val="20"/>
              </w:rPr>
            </w:pPr>
            <w:r w:rsidRPr="001D0222">
              <w:rPr>
                <w:sz w:val="20"/>
                <w:szCs w:val="20"/>
              </w:rPr>
              <w:t>1501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1502</w:t>
            </w:r>
          </w:p>
          <w:p w:rsidR="001D0222" w:rsidRPr="001D0222" w:rsidRDefault="001D0222" w:rsidP="001D0222">
            <w:pPr>
              <w:rPr>
                <w:sz w:val="20"/>
                <w:szCs w:val="20"/>
              </w:rPr>
            </w:pP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1601</w:t>
            </w:r>
          </w:p>
        </w:tc>
        <w:tc>
          <w:tcPr>
            <w:tcW w:w="1596" w:type="pct"/>
            <w:noWrap/>
            <w:hideMark/>
          </w:tcPr>
          <w:p w:rsidR="001D0222" w:rsidRPr="001D0222" w:rsidRDefault="001D0222" w:rsidP="001D0222">
            <w:pPr>
              <w:rPr>
                <w:sz w:val="20"/>
                <w:szCs w:val="20"/>
              </w:rPr>
            </w:pPr>
            <w:r w:rsidRPr="001D0222">
              <w:rPr>
                <w:sz w:val="20"/>
                <w:szCs w:val="20"/>
              </w:rPr>
              <w:t>Sawmill Product Manufacturing</w:t>
            </w:r>
          </w:p>
          <w:p w:rsidR="001D0222" w:rsidRPr="001D0222" w:rsidRDefault="001D0222" w:rsidP="001D0222">
            <w:pPr>
              <w:rPr>
                <w:sz w:val="20"/>
                <w:szCs w:val="20"/>
              </w:rPr>
            </w:pPr>
            <w:r w:rsidRPr="001D0222">
              <w:rPr>
                <w:sz w:val="20"/>
                <w:szCs w:val="20"/>
              </w:rPr>
              <w:t>Other Wood Product Manufacturing</w:t>
            </w:r>
          </w:p>
          <w:p w:rsidR="001D0222" w:rsidRPr="001D0222" w:rsidRDefault="001D0222" w:rsidP="001D0222">
            <w:pPr>
              <w:rPr>
                <w:sz w:val="20"/>
                <w:szCs w:val="20"/>
              </w:rPr>
            </w:pPr>
            <w:r w:rsidRPr="001D0222">
              <w:rPr>
                <w:sz w:val="20"/>
                <w:szCs w:val="20"/>
              </w:rPr>
              <w:t>Pulp, Paper and Paperboard Manufacturing</w:t>
            </w:r>
          </w:p>
          <w:p w:rsidR="001D0222" w:rsidRPr="001D0222" w:rsidRDefault="001D0222" w:rsidP="001D0222">
            <w:pPr>
              <w:rPr>
                <w:sz w:val="20"/>
                <w:szCs w:val="20"/>
              </w:rPr>
            </w:pPr>
            <w:r w:rsidRPr="001D0222">
              <w:rPr>
                <w:sz w:val="20"/>
                <w:szCs w:val="20"/>
              </w:rPr>
              <w:t>Paper Stationery and Other Converted Paper Product Manufacturing</w:t>
            </w:r>
          </w:p>
          <w:p w:rsidR="001D0222" w:rsidRPr="001D0222" w:rsidRDefault="001D0222" w:rsidP="001D0222">
            <w:pPr>
              <w:rPr>
                <w:sz w:val="20"/>
                <w:szCs w:val="20"/>
              </w:rPr>
            </w:pPr>
            <w:r w:rsidRPr="001D0222">
              <w:rPr>
                <w:sz w:val="20"/>
                <w:szCs w:val="20"/>
              </w:rPr>
              <w:t>Printing (including the reproduction of recorded media)</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vMerge w:val="restart"/>
            <w:noWrap/>
            <w:hideMark/>
          </w:tcPr>
          <w:p w:rsidR="001D0222" w:rsidRPr="001D0222" w:rsidRDefault="001D0222" w:rsidP="001D0222">
            <w:pPr>
              <w:rPr>
                <w:sz w:val="20"/>
                <w:szCs w:val="20"/>
              </w:rPr>
            </w:pPr>
            <w:r w:rsidRPr="001D0222">
              <w:rPr>
                <w:sz w:val="20"/>
                <w:szCs w:val="20"/>
              </w:rPr>
              <w:t>17 Petroleum and Coal Product Manufacturing</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1701 Petroleum Refining and Petroleum Fuel Manufacturing</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1701</w:t>
            </w:r>
          </w:p>
        </w:tc>
        <w:tc>
          <w:tcPr>
            <w:tcW w:w="1596" w:type="pct"/>
            <w:noWrap/>
            <w:hideMark/>
          </w:tcPr>
          <w:p w:rsidR="001D0222" w:rsidRPr="001D0222" w:rsidRDefault="001D0222" w:rsidP="001D0222">
            <w:pPr>
              <w:rPr>
                <w:sz w:val="20"/>
                <w:szCs w:val="20"/>
              </w:rPr>
            </w:pPr>
            <w:r w:rsidRPr="001D0222">
              <w:rPr>
                <w:sz w:val="20"/>
                <w:szCs w:val="20"/>
              </w:rPr>
              <w:t>Petroleum and Coal Product Manufacturing</w:t>
            </w:r>
          </w:p>
        </w:tc>
      </w:tr>
      <w:tr w:rsidR="001D0222" w:rsidRPr="001D0222" w:rsidTr="001D0222">
        <w:trPr>
          <w:trHeight w:val="315"/>
          <w:jc w:val="center"/>
        </w:trPr>
        <w:tc>
          <w:tcPr>
            <w:tcW w:w="767" w:type="pct"/>
            <w:vMerge/>
            <w:hideMark/>
          </w:tcPr>
          <w:p w:rsidR="001D0222" w:rsidRPr="001D0222" w:rsidRDefault="001D0222" w:rsidP="001D0222">
            <w:pPr>
              <w:rPr>
                <w:sz w:val="20"/>
                <w:szCs w:val="20"/>
              </w:rPr>
            </w:pPr>
          </w:p>
        </w:tc>
        <w:tc>
          <w:tcPr>
            <w:tcW w:w="1269" w:type="pct"/>
            <w:vMerge/>
            <w:noWrap/>
            <w:hideMark/>
          </w:tcPr>
          <w:p w:rsidR="001D0222" w:rsidRPr="001D0222" w:rsidRDefault="001D0222" w:rsidP="001D0222">
            <w:pPr>
              <w:rPr>
                <w:sz w:val="20"/>
                <w:szCs w:val="20"/>
              </w:rPr>
            </w:pP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1709 Other Petroleum and Coal Product Manufacturing</w:t>
            </w:r>
          </w:p>
        </w:tc>
        <w:tc>
          <w:tcPr>
            <w:tcW w:w="354" w:type="pct"/>
            <w:tcBorders>
              <w:left w:val="single" w:sz="12" w:space="0" w:color="auto"/>
            </w:tcBorders>
            <w:noWrap/>
            <w:hideMark/>
          </w:tcPr>
          <w:p w:rsidR="001D0222" w:rsidRPr="001D0222" w:rsidRDefault="001D0222" w:rsidP="001D0222">
            <w:pPr>
              <w:rPr>
                <w:sz w:val="20"/>
                <w:szCs w:val="20"/>
              </w:rPr>
            </w:pPr>
          </w:p>
        </w:tc>
        <w:tc>
          <w:tcPr>
            <w:tcW w:w="1596" w:type="pct"/>
            <w:noWrap/>
            <w:hideMark/>
          </w:tcPr>
          <w:p w:rsidR="001D0222" w:rsidRPr="001D0222" w:rsidRDefault="001D0222" w:rsidP="001D0222">
            <w:pPr>
              <w:rPr>
                <w:sz w:val="20"/>
                <w:szCs w:val="20"/>
              </w:rPr>
            </w:pPr>
            <w:r w:rsidRPr="001D0222">
              <w:rPr>
                <w:sz w:val="20"/>
                <w:szCs w:val="20"/>
              </w:rPr>
              <w:t> </w:t>
            </w:r>
          </w:p>
        </w:tc>
      </w:tr>
      <w:tr w:rsidR="001D0222" w:rsidRPr="001D0222" w:rsidTr="001D0222">
        <w:trPr>
          <w:trHeight w:val="233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18-19 Basic Chemical and Chemical, Polymer and Rubber Product Manufacturing</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1801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1802</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1803</w:t>
            </w:r>
          </w:p>
          <w:p w:rsidR="001D0222" w:rsidRPr="001D0222" w:rsidRDefault="001D0222" w:rsidP="001D0222">
            <w:pPr>
              <w:rPr>
                <w:sz w:val="20"/>
                <w:szCs w:val="20"/>
              </w:rPr>
            </w:pPr>
            <w:r w:rsidRPr="001D0222">
              <w:rPr>
                <w:sz w:val="20"/>
                <w:szCs w:val="20"/>
              </w:rPr>
              <w:t>1804</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1901</w:t>
            </w:r>
          </w:p>
          <w:p w:rsidR="001D0222" w:rsidRPr="001D0222" w:rsidRDefault="001D0222" w:rsidP="001D0222">
            <w:pPr>
              <w:rPr>
                <w:sz w:val="20"/>
                <w:szCs w:val="20"/>
              </w:rPr>
            </w:pPr>
            <w:r w:rsidRPr="001D0222">
              <w:rPr>
                <w:sz w:val="20"/>
                <w:szCs w:val="20"/>
              </w:rPr>
              <w:t>1902</w:t>
            </w:r>
          </w:p>
        </w:tc>
        <w:tc>
          <w:tcPr>
            <w:tcW w:w="1596" w:type="pct"/>
            <w:noWrap/>
            <w:hideMark/>
          </w:tcPr>
          <w:p w:rsidR="001D0222" w:rsidRPr="001D0222" w:rsidRDefault="001D0222" w:rsidP="001D0222">
            <w:pPr>
              <w:rPr>
                <w:sz w:val="20"/>
                <w:szCs w:val="20"/>
              </w:rPr>
            </w:pPr>
            <w:r w:rsidRPr="001D0222">
              <w:rPr>
                <w:sz w:val="20"/>
                <w:szCs w:val="20"/>
              </w:rPr>
              <w:t>Human Pharmaceutical and Medicinal Product Manufacturing</w:t>
            </w:r>
          </w:p>
          <w:p w:rsidR="001D0222" w:rsidRPr="001D0222" w:rsidRDefault="001D0222" w:rsidP="001D0222">
            <w:pPr>
              <w:rPr>
                <w:sz w:val="20"/>
                <w:szCs w:val="20"/>
              </w:rPr>
            </w:pPr>
            <w:r w:rsidRPr="001D0222">
              <w:rPr>
                <w:sz w:val="20"/>
                <w:szCs w:val="20"/>
              </w:rPr>
              <w:t>Veterinary Pharmaceutical and Medicinal Product Manufacturing</w:t>
            </w:r>
          </w:p>
          <w:p w:rsidR="001D0222" w:rsidRPr="001D0222" w:rsidRDefault="001D0222" w:rsidP="001D0222">
            <w:pPr>
              <w:rPr>
                <w:sz w:val="20"/>
                <w:szCs w:val="20"/>
              </w:rPr>
            </w:pPr>
            <w:r w:rsidRPr="001D0222">
              <w:rPr>
                <w:sz w:val="20"/>
                <w:szCs w:val="20"/>
              </w:rPr>
              <w:t>Basic Chemical Manufacturing</w:t>
            </w:r>
          </w:p>
          <w:p w:rsidR="001D0222" w:rsidRPr="001D0222" w:rsidRDefault="001D0222" w:rsidP="001D0222">
            <w:pPr>
              <w:rPr>
                <w:sz w:val="20"/>
                <w:szCs w:val="20"/>
              </w:rPr>
            </w:pPr>
            <w:r w:rsidRPr="001D0222">
              <w:rPr>
                <w:sz w:val="20"/>
                <w:szCs w:val="20"/>
              </w:rPr>
              <w:t>Cleaning Compounds and Toiletry Preparation Manufacturing</w:t>
            </w:r>
          </w:p>
          <w:p w:rsidR="001D0222" w:rsidRPr="001D0222" w:rsidRDefault="001D0222" w:rsidP="001D0222">
            <w:pPr>
              <w:rPr>
                <w:sz w:val="20"/>
                <w:szCs w:val="20"/>
              </w:rPr>
            </w:pPr>
            <w:r w:rsidRPr="001D0222">
              <w:rPr>
                <w:sz w:val="20"/>
                <w:szCs w:val="20"/>
              </w:rPr>
              <w:t>Polymer Product Manufacturing</w:t>
            </w:r>
          </w:p>
          <w:p w:rsidR="001D0222" w:rsidRPr="001D0222" w:rsidRDefault="001D0222" w:rsidP="001D0222">
            <w:pPr>
              <w:rPr>
                <w:sz w:val="20"/>
                <w:szCs w:val="20"/>
              </w:rPr>
            </w:pPr>
            <w:r w:rsidRPr="001D0222">
              <w:rPr>
                <w:sz w:val="20"/>
                <w:szCs w:val="20"/>
              </w:rPr>
              <w:t>Natural Rubber Product Manufacturing</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vMerge w:val="restart"/>
            <w:noWrap/>
            <w:hideMark/>
          </w:tcPr>
          <w:p w:rsidR="001D0222" w:rsidRPr="001D0222" w:rsidRDefault="001D0222" w:rsidP="001D0222">
            <w:pPr>
              <w:rPr>
                <w:sz w:val="20"/>
                <w:szCs w:val="20"/>
              </w:rPr>
            </w:pPr>
            <w:r w:rsidRPr="001D0222">
              <w:rPr>
                <w:sz w:val="20"/>
                <w:szCs w:val="20"/>
              </w:rPr>
              <w:t>20 Non-Metallic Mineral Product Manufacturing</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201 Glass and Glass Product Manufacturing</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2001</w:t>
            </w:r>
          </w:p>
        </w:tc>
        <w:tc>
          <w:tcPr>
            <w:tcW w:w="1596" w:type="pct"/>
            <w:noWrap/>
            <w:hideMark/>
          </w:tcPr>
          <w:p w:rsidR="001D0222" w:rsidRPr="001D0222" w:rsidRDefault="001D0222" w:rsidP="001D0222">
            <w:pPr>
              <w:rPr>
                <w:sz w:val="20"/>
                <w:szCs w:val="20"/>
              </w:rPr>
            </w:pPr>
            <w:r w:rsidRPr="001D0222">
              <w:rPr>
                <w:sz w:val="20"/>
                <w:szCs w:val="20"/>
              </w:rPr>
              <w:t>Glass and Glass Product Manufacturing</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vMerge/>
            <w:noWrap/>
            <w:hideMark/>
          </w:tcPr>
          <w:p w:rsidR="001D0222" w:rsidRPr="001D0222" w:rsidRDefault="001D0222" w:rsidP="001D0222">
            <w:pPr>
              <w:rPr>
                <w:sz w:val="20"/>
                <w:szCs w:val="20"/>
              </w:rPr>
            </w:pP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202 Ceramic Product Manufacturing</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2002</w:t>
            </w:r>
          </w:p>
        </w:tc>
        <w:tc>
          <w:tcPr>
            <w:tcW w:w="1596" w:type="pct"/>
            <w:noWrap/>
            <w:hideMark/>
          </w:tcPr>
          <w:p w:rsidR="001D0222" w:rsidRPr="001D0222" w:rsidRDefault="001D0222" w:rsidP="001D0222">
            <w:pPr>
              <w:rPr>
                <w:sz w:val="20"/>
                <w:szCs w:val="20"/>
              </w:rPr>
            </w:pPr>
            <w:r w:rsidRPr="001D0222">
              <w:rPr>
                <w:sz w:val="20"/>
                <w:szCs w:val="20"/>
              </w:rPr>
              <w:t>Ceramic Product Manufacturing</w:t>
            </w:r>
          </w:p>
        </w:tc>
      </w:tr>
      <w:tr w:rsidR="001D0222" w:rsidRPr="001D0222" w:rsidTr="001D0222">
        <w:trPr>
          <w:trHeight w:val="930"/>
          <w:jc w:val="center"/>
        </w:trPr>
        <w:tc>
          <w:tcPr>
            <w:tcW w:w="767" w:type="pct"/>
            <w:vMerge/>
            <w:hideMark/>
          </w:tcPr>
          <w:p w:rsidR="001D0222" w:rsidRPr="001D0222" w:rsidRDefault="001D0222" w:rsidP="001D0222">
            <w:pPr>
              <w:rPr>
                <w:sz w:val="20"/>
                <w:szCs w:val="20"/>
              </w:rPr>
            </w:pPr>
          </w:p>
        </w:tc>
        <w:tc>
          <w:tcPr>
            <w:tcW w:w="1269" w:type="pct"/>
            <w:vMerge/>
            <w:noWrap/>
            <w:hideMark/>
          </w:tcPr>
          <w:p w:rsidR="001D0222" w:rsidRPr="001D0222" w:rsidRDefault="001D0222" w:rsidP="001D0222">
            <w:pPr>
              <w:rPr>
                <w:sz w:val="20"/>
                <w:szCs w:val="20"/>
              </w:rPr>
            </w:pP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203 Cement, Lime, Plaster and Concrete Product Manufacturing</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2003</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2004</w:t>
            </w:r>
          </w:p>
        </w:tc>
        <w:tc>
          <w:tcPr>
            <w:tcW w:w="1596" w:type="pct"/>
            <w:noWrap/>
            <w:hideMark/>
          </w:tcPr>
          <w:p w:rsidR="001D0222" w:rsidRPr="001D0222" w:rsidRDefault="001D0222" w:rsidP="001D0222">
            <w:pPr>
              <w:rPr>
                <w:sz w:val="20"/>
                <w:szCs w:val="20"/>
              </w:rPr>
            </w:pPr>
            <w:r w:rsidRPr="001D0222">
              <w:rPr>
                <w:sz w:val="20"/>
                <w:szCs w:val="20"/>
              </w:rPr>
              <w:t>Cement, Lime and Ready-Mixed Concrete Manufacturing</w:t>
            </w:r>
          </w:p>
          <w:p w:rsidR="001D0222" w:rsidRPr="001D0222" w:rsidRDefault="001D0222" w:rsidP="001D0222">
            <w:pPr>
              <w:rPr>
                <w:sz w:val="20"/>
                <w:szCs w:val="20"/>
              </w:rPr>
            </w:pPr>
            <w:r w:rsidRPr="001D0222">
              <w:rPr>
                <w:sz w:val="20"/>
                <w:szCs w:val="20"/>
              </w:rPr>
              <w:t>Plaster and Concrete Product Manufacturing</w:t>
            </w:r>
          </w:p>
        </w:tc>
      </w:tr>
      <w:tr w:rsidR="001D0222" w:rsidRPr="001D0222" w:rsidTr="001D0222">
        <w:trPr>
          <w:trHeight w:val="315"/>
          <w:jc w:val="center"/>
        </w:trPr>
        <w:tc>
          <w:tcPr>
            <w:tcW w:w="767" w:type="pct"/>
            <w:vMerge/>
            <w:hideMark/>
          </w:tcPr>
          <w:p w:rsidR="001D0222" w:rsidRPr="001D0222" w:rsidRDefault="001D0222" w:rsidP="001D0222">
            <w:pPr>
              <w:rPr>
                <w:sz w:val="20"/>
                <w:szCs w:val="20"/>
              </w:rPr>
            </w:pPr>
          </w:p>
        </w:tc>
        <w:tc>
          <w:tcPr>
            <w:tcW w:w="1269" w:type="pct"/>
            <w:vMerge/>
            <w:noWrap/>
            <w:hideMark/>
          </w:tcPr>
          <w:p w:rsidR="001D0222" w:rsidRPr="001D0222" w:rsidRDefault="001D0222" w:rsidP="001D0222">
            <w:pPr>
              <w:rPr>
                <w:sz w:val="20"/>
                <w:szCs w:val="20"/>
              </w:rPr>
            </w:pP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209 Other Non-Metallic Mineral Product Manufacturing</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2005</w:t>
            </w:r>
          </w:p>
        </w:tc>
        <w:tc>
          <w:tcPr>
            <w:tcW w:w="1596" w:type="pct"/>
            <w:noWrap/>
            <w:hideMark/>
          </w:tcPr>
          <w:p w:rsidR="001D0222" w:rsidRPr="001D0222" w:rsidRDefault="001D0222" w:rsidP="001D0222">
            <w:pPr>
              <w:rPr>
                <w:sz w:val="20"/>
                <w:szCs w:val="20"/>
              </w:rPr>
            </w:pPr>
            <w:r w:rsidRPr="001D0222">
              <w:rPr>
                <w:sz w:val="20"/>
                <w:szCs w:val="20"/>
              </w:rPr>
              <w:t>Other Non-Metallic Mineral Product Manufacturing</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vMerge w:val="restart"/>
            <w:noWrap/>
            <w:hideMark/>
          </w:tcPr>
          <w:p w:rsidR="001D0222" w:rsidRPr="001D0222" w:rsidRDefault="001D0222" w:rsidP="001D0222">
            <w:pPr>
              <w:rPr>
                <w:sz w:val="20"/>
                <w:szCs w:val="20"/>
              </w:rPr>
            </w:pPr>
            <w:r w:rsidRPr="001D0222">
              <w:rPr>
                <w:sz w:val="20"/>
                <w:szCs w:val="20"/>
              </w:rPr>
              <w:t>21-22 Metal Product Manufacturing</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211-212 Basic Ferrous Metal Manufacturing</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2101</w:t>
            </w:r>
          </w:p>
        </w:tc>
        <w:tc>
          <w:tcPr>
            <w:tcW w:w="1596" w:type="pct"/>
            <w:noWrap/>
            <w:hideMark/>
          </w:tcPr>
          <w:p w:rsidR="001D0222" w:rsidRPr="001D0222" w:rsidRDefault="001D0222" w:rsidP="001D0222">
            <w:pPr>
              <w:rPr>
                <w:sz w:val="20"/>
                <w:szCs w:val="20"/>
              </w:rPr>
            </w:pPr>
            <w:r w:rsidRPr="001D0222">
              <w:rPr>
                <w:sz w:val="20"/>
                <w:szCs w:val="20"/>
              </w:rPr>
              <w:t>Iron and Steel Manufacturing</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vMerge/>
            <w:noWrap/>
            <w:hideMark/>
          </w:tcPr>
          <w:p w:rsidR="001D0222" w:rsidRPr="001D0222" w:rsidRDefault="001D0222" w:rsidP="001D0222">
            <w:pPr>
              <w:rPr>
                <w:sz w:val="20"/>
                <w:szCs w:val="20"/>
              </w:rPr>
            </w:pP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213-214 Basic Non-Ferrous Metal Manufacturing</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2102</w:t>
            </w:r>
          </w:p>
        </w:tc>
        <w:tc>
          <w:tcPr>
            <w:tcW w:w="1596" w:type="pct"/>
            <w:noWrap/>
            <w:hideMark/>
          </w:tcPr>
          <w:p w:rsidR="001D0222" w:rsidRPr="001D0222" w:rsidRDefault="001D0222" w:rsidP="001D0222">
            <w:pPr>
              <w:rPr>
                <w:sz w:val="20"/>
                <w:szCs w:val="20"/>
              </w:rPr>
            </w:pPr>
            <w:r w:rsidRPr="001D0222">
              <w:rPr>
                <w:sz w:val="20"/>
                <w:szCs w:val="20"/>
              </w:rPr>
              <w:t>Basic Non-Ferrous Metal Manufacturing</w:t>
            </w:r>
          </w:p>
        </w:tc>
      </w:tr>
      <w:tr w:rsidR="001D0222" w:rsidRPr="001D0222" w:rsidTr="001D0222">
        <w:trPr>
          <w:trHeight w:val="1710"/>
          <w:jc w:val="center"/>
        </w:trPr>
        <w:tc>
          <w:tcPr>
            <w:tcW w:w="767" w:type="pct"/>
            <w:vMerge/>
            <w:hideMark/>
          </w:tcPr>
          <w:p w:rsidR="001D0222" w:rsidRPr="001D0222" w:rsidRDefault="001D0222" w:rsidP="001D0222">
            <w:pPr>
              <w:rPr>
                <w:sz w:val="20"/>
                <w:szCs w:val="20"/>
              </w:rPr>
            </w:pPr>
          </w:p>
        </w:tc>
        <w:tc>
          <w:tcPr>
            <w:tcW w:w="1269" w:type="pct"/>
            <w:vMerge/>
            <w:noWrap/>
            <w:hideMark/>
          </w:tcPr>
          <w:p w:rsidR="001D0222" w:rsidRPr="001D0222" w:rsidRDefault="001D0222" w:rsidP="001D0222">
            <w:pPr>
              <w:rPr>
                <w:sz w:val="20"/>
                <w:szCs w:val="20"/>
              </w:rPr>
            </w:pP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22 Fabricated Metal Product Manufacturing</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2201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2202</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2203</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2204</w:t>
            </w:r>
          </w:p>
        </w:tc>
        <w:tc>
          <w:tcPr>
            <w:tcW w:w="1596" w:type="pct"/>
            <w:noWrap/>
            <w:hideMark/>
          </w:tcPr>
          <w:p w:rsidR="001D0222" w:rsidRPr="001D0222" w:rsidRDefault="001D0222" w:rsidP="001D0222">
            <w:pPr>
              <w:rPr>
                <w:sz w:val="20"/>
                <w:szCs w:val="20"/>
              </w:rPr>
            </w:pPr>
            <w:r w:rsidRPr="001D0222">
              <w:rPr>
                <w:sz w:val="20"/>
                <w:szCs w:val="20"/>
              </w:rPr>
              <w:t>Forged Iron and Steel Product Manufacturing</w:t>
            </w:r>
          </w:p>
          <w:p w:rsidR="001D0222" w:rsidRPr="001D0222" w:rsidRDefault="001D0222" w:rsidP="001D0222">
            <w:pPr>
              <w:rPr>
                <w:sz w:val="20"/>
                <w:szCs w:val="20"/>
              </w:rPr>
            </w:pPr>
            <w:r w:rsidRPr="001D0222">
              <w:rPr>
                <w:sz w:val="20"/>
                <w:szCs w:val="20"/>
              </w:rPr>
              <w:t>Structural Metal Product Manufacturing</w:t>
            </w:r>
          </w:p>
          <w:p w:rsidR="001D0222" w:rsidRPr="001D0222" w:rsidRDefault="001D0222" w:rsidP="001D0222">
            <w:pPr>
              <w:rPr>
                <w:sz w:val="20"/>
                <w:szCs w:val="20"/>
              </w:rPr>
            </w:pPr>
            <w:r w:rsidRPr="001D0222">
              <w:rPr>
                <w:sz w:val="20"/>
                <w:szCs w:val="20"/>
              </w:rPr>
              <w:t>Metal Containers and Other Sheet Metal Product manufacturing</w:t>
            </w:r>
          </w:p>
          <w:p w:rsidR="001D0222" w:rsidRPr="001D0222" w:rsidRDefault="001D0222" w:rsidP="001D0222">
            <w:pPr>
              <w:rPr>
                <w:sz w:val="20"/>
                <w:szCs w:val="20"/>
              </w:rPr>
            </w:pPr>
            <w:r w:rsidRPr="001D0222">
              <w:rPr>
                <w:sz w:val="20"/>
                <w:szCs w:val="20"/>
              </w:rPr>
              <w:t>Other Fabricated Metal Product manufacturing</w:t>
            </w:r>
          </w:p>
        </w:tc>
      </w:tr>
      <w:tr w:rsidR="001D0222" w:rsidRPr="001D0222" w:rsidTr="001D0222">
        <w:trPr>
          <w:trHeight w:val="2542"/>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24 Machinery and Equipment Manufacturing</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2301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2302</w:t>
            </w:r>
          </w:p>
          <w:p w:rsidR="001D0222" w:rsidRPr="001D0222" w:rsidRDefault="001D0222" w:rsidP="001D0222">
            <w:pPr>
              <w:rPr>
                <w:sz w:val="20"/>
                <w:szCs w:val="20"/>
              </w:rPr>
            </w:pPr>
            <w:r w:rsidRPr="001D0222">
              <w:rPr>
                <w:sz w:val="20"/>
                <w:szCs w:val="20"/>
              </w:rPr>
              <w:t>2303</w:t>
            </w:r>
          </w:p>
          <w:p w:rsidR="001D0222" w:rsidRPr="001D0222" w:rsidRDefault="001D0222" w:rsidP="001D0222">
            <w:pPr>
              <w:rPr>
                <w:sz w:val="20"/>
                <w:szCs w:val="20"/>
              </w:rPr>
            </w:pPr>
            <w:r w:rsidRPr="001D0222">
              <w:rPr>
                <w:sz w:val="20"/>
                <w:szCs w:val="20"/>
              </w:rPr>
              <w:t>2304</w:t>
            </w:r>
          </w:p>
          <w:p w:rsidR="001D0222" w:rsidRPr="001D0222" w:rsidRDefault="001D0222" w:rsidP="001D0222">
            <w:pPr>
              <w:rPr>
                <w:sz w:val="20"/>
                <w:szCs w:val="20"/>
              </w:rPr>
            </w:pPr>
            <w:r w:rsidRPr="001D0222">
              <w:rPr>
                <w:sz w:val="20"/>
                <w:szCs w:val="20"/>
              </w:rPr>
              <w:t>2401</w:t>
            </w:r>
          </w:p>
          <w:p w:rsidR="001D0222" w:rsidRPr="001D0222" w:rsidRDefault="001D0222" w:rsidP="001D0222">
            <w:pPr>
              <w:rPr>
                <w:sz w:val="20"/>
                <w:szCs w:val="20"/>
              </w:rPr>
            </w:pP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2403</w:t>
            </w:r>
          </w:p>
          <w:p w:rsidR="001D0222" w:rsidRPr="001D0222" w:rsidRDefault="001D0222" w:rsidP="001D0222">
            <w:pPr>
              <w:rPr>
                <w:sz w:val="20"/>
                <w:szCs w:val="20"/>
              </w:rPr>
            </w:pPr>
            <w:r w:rsidRPr="001D0222">
              <w:rPr>
                <w:sz w:val="20"/>
                <w:szCs w:val="20"/>
              </w:rPr>
              <w:t>2404</w:t>
            </w:r>
          </w:p>
          <w:p w:rsidR="001D0222" w:rsidRPr="001D0222" w:rsidRDefault="001D0222" w:rsidP="001D0222">
            <w:pPr>
              <w:rPr>
                <w:sz w:val="20"/>
                <w:szCs w:val="20"/>
              </w:rPr>
            </w:pPr>
            <w:r w:rsidRPr="001D0222">
              <w:rPr>
                <w:sz w:val="20"/>
                <w:szCs w:val="20"/>
              </w:rPr>
              <w:t>2405</w:t>
            </w:r>
          </w:p>
        </w:tc>
        <w:tc>
          <w:tcPr>
            <w:tcW w:w="1596" w:type="pct"/>
            <w:noWrap/>
            <w:hideMark/>
          </w:tcPr>
          <w:p w:rsidR="001D0222" w:rsidRPr="001D0222" w:rsidRDefault="001D0222" w:rsidP="001D0222">
            <w:pPr>
              <w:rPr>
                <w:sz w:val="20"/>
                <w:szCs w:val="20"/>
              </w:rPr>
            </w:pPr>
            <w:r w:rsidRPr="001D0222">
              <w:rPr>
                <w:sz w:val="20"/>
                <w:szCs w:val="20"/>
              </w:rPr>
              <w:t>Motor Vehicles and Parts; Other Transport Equipment manufacturing</w:t>
            </w:r>
          </w:p>
          <w:p w:rsidR="001D0222" w:rsidRPr="001D0222" w:rsidRDefault="001D0222" w:rsidP="001D0222">
            <w:pPr>
              <w:rPr>
                <w:sz w:val="20"/>
                <w:szCs w:val="20"/>
              </w:rPr>
            </w:pPr>
            <w:r w:rsidRPr="001D0222">
              <w:rPr>
                <w:sz w:val="20"/>
                <w:szCs w:val="20"/>
              </w:rPr>
              <w:t>Ships and Boat Manufacturing</w:t>
            </w:r>
          </w:p>
          <w:p w:rsidR="001D0222" w:rsidRPr="001D0222" w:rsidRDefault="001D0222" w:rsidP="001D0222">
            <w:pPr>
              <w:rPr>
                <w:sz w:val="20"/>
                <w:szCs w:val="20"/>
              </w:rPr>
            </w:pPr>
            <w:r w:rsidRPr="001D0222">
              <w:rPr>
                <w:sz w:val="20"/>
                <w:szCs w:val="20"/>
              </w:rPr>
              <w:t>Railway Rolling Stock Manufacturing</w:t>
            </w:r>
          </w:p>
          <w:p w:rsidR="001D0222" w:rsidRPr="001D0222" w:rsidRDefault="001D0222" w:rsidP="001D0222">
            <w:pPr>
              <w:rPr>
                <w:sz w:val="20"/>
                <w:szCs w:val="20"/>
              </w:rPr>
            </w:pPr>
            <w:r w:rsidRPr="001D0222">
              <w:rPr>
                <w:sz w:val="20"/>
                <w:szCs w:val="20"/>
              </w:rPr>
              <w:t>Aircraft Manufacturing</w:t>
            </w:r>
          </w:p>
          <w:p w:rsidR="001D0222" w:rsidRPr="001D0222" w:rsidRDefault="001D0222" w:rsidP="001D0222">
            <w:pPr>
              <w:rPr>
                <w:sz w:val="20"/>
                <w:szCs w:val="20"/>
              </w:rPr>
            </w:pPr>
            <w:r w:rsidRPr="001D0222">
              <w:rPr>
                <w:sz w:val="20"/>
                <w:szCs w:val="20"/>
              </w:rPr>
              <w:t>Professional, Scientific, Computer and Electronic Equipment Manufacturing</w:t>
            </w:r>
          </w:p>
          <w:p w:rsidR="001D0222" w:rsidRPr="001D0222" w:rsidRDefault="001D0222" w:rsidP="001D0222">
            <w:pPr>
              <w:rPr>
                <w:sz w:val="20"/>
                <w:szCs w:val="20"/>
              </w:rPr>
            </w:pPr>
            <w:r w:rsidRPr="001D0222">
              <w:rPr>
                <w:sz w:val="20"/>
                <w:szCs w:val="20"/>
              </w:rPr>
              <w:t>Electrical Equipment Manufacturing</w:t>
            </w:r>
          </w:p>
          <w:p w:rsidR="001D0222" w:rsidRPr="001D0222" w:rsidRDefault="001D0222" w:rsidP="001D0222">
            <w:pPr>
              <w:rPr>
                <w:sz w:val="20"/>
                <w:szCs w:val="20"/>
              </w:rPr>
            </w:pPr>
            <w:r w:rsidRPr="001D0222">
              <w:rPr>
                <w:sz w:val="20"/>
                <w:szCs w:val="20"/>
              </w:rPr>
              <w:t>Domestic Appliance Manufacturing</w:t>
            </w:r>
          </w:p>
          <w:p w:rsidR="001D0222" w:rsidRPr="001D0222" w:rsidRDefault="001D0222" w:rsidP="001D0222">
            <w:pPr>
              <w:rPr>
                <w:sz w:val="20"/>
                <w:szCs w:val="20"/>
              </w:rPr>
            </w:pPr>
            <w:r w:rsidRPr="001D0222">
              <w:rPr>
                <w:sz w:val="20"/>
                <w:szCs w:val="20"/>
              </w:rPr>
              <w:t>Specialised and other Machinery and Equipment Manufacturing</w:t>
            </w:r>
          </w:p>
        </w:tc>
      </w:tr>
      <w:tr w:rsidR="001D0222" w:rsidRPr="001D0222" w:rsidTr="001D0222">
        <w:trPr>
          <w:trHeight w:val="428"/>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25 Furniture and Other Manufacturing</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2501</w:t>
            </w:r>
          </w:p>
          <w:p w:rsidR="001D0222" w:rsidRPr="001D0222" w:rsidRDefault="001D0222" w:rsidP="001D0222">
            <w:pPr>
              <w:rPr>
                <w:sz w:val="20"/>
                <w:szCs w:val="20"/>
              </w:rPr>
            </w:pPr>
            <w:r w:rsidRPr="001D0222">
              <w:rPr>
                <w:sz w:val="20"/>
                <w:szCs w:val="20"/>
              </w:rPr>
              <w:t>2502</w:t>
            </w:r>
          </w:p>
        </w:tc>
        <w:tc>
          <w:tcPr>
            <w:tcW w:w="1596" w:type="pct"/>
            <w:noWrap/>
            <w:hideMark/>
          </w:tcPr>
          <w:p w:rsidR="001D0222" w:rsidRPr="001D0222" w:rsidRDefault="001D0222" w:rsidP="001D0222">
            <w:pPr>
              <w:rPr>
                <w:sz w:val="20"/>
                <w:szCs w:val="20"/>
              </w:rPr>
            </w:pPr>
            <w:r w:rsidRPr="001D0222">
              <w:rPr>
                <w:sz w:val="20"/>
                <w:szCs w:val="20"/>
              </w:rPr>
              <w:t>Furniture Manufacturing</w:t>
            </w:r>
          </w:p>
          <w:p w:rsidR="001D0222" w:rsidRPr="001D0222" w:rsidRDefault="001D0222" w:rsidP="001D0222">
            <w:pPr>
              <w:rPr>
                <w:sz w:val="20"/>
                <w:szCs w:val="20"/>
              </w:rPr>
            </w:pPr>
            <w:r w:rsidRPr="001D0222">
              <w:rPr>
                <w:sz w:val="20"/>
                <w:szCs w:val="20"/>
              </w:rPr>
              <w:t>Other Manufactured Products</w:t>
            </w:r>
          </w:p>
        </w:tc>
      </w:tr>
      <w:tr w:rsidR="001D0222" w:rsidRPr="001D0222" w:rsidTr="001D0222">
        <w:trPr>
          <w:trHeight w:val="877"/>
          <w:jc w:val="center"/>
        </w:trPr>
        <w:tc>
          <w:tcPr>
            <w:tcW w:w="767" w:type="pct"/>
            <w:vMerge w:val="restart"/>
            <w:hideMark/>
          </w:tcPr>
          <w:p w:rsidR="001D0222" w:rsidRPr="001D0222" w:rsidRDefault="001D0222" w:rsidP="001D0222">
            <w:pPr>
              <w:rPr>
                <w:sz w:val="20"/>
                <w:szCs w:val="20"/>
              </w:rPr>
            </w:pPr>
            <w:r w:rsidRPr="001D0222">
              <w:rPr>
                <w:sz w:val="20"/>
                <w:szCs w:val="20"/>
              </w:rPr>
              <w:t>Div. D Electricity, Gas and Water Supply</w:t>
            </w:r>
          </w:p>
        </w:tc>
        <w:tc>
          <w:tcPr>
            <w:tcW w:w="1269" w:type="pct"/>
            <w:vMerge w:val="restart"/>
            <w:noWrap/>
            <w:hideMark/>
          </w:tcPr>
          <w:p w:rsidR="001D0222" w:rsidRPr="001D0222" w:rsidRDefault="001D0222" w:rsidP="001D0222">
            <w:pPr>
              <w:rPr>
                <w:sz w:val="20"/>
                <w:szCs w:val="20"/>
              </w:rPr>
            </w:pPr>
            <w:r w:rsidRPr="001D0222">
              <w:rPr>
                <w:sz w:val="20"/>
                <w:szCs w:val="20"/>
              </w:rPr>
              <w:t>26-27 Electricity and Gas Supply</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26 Electricity Supply</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2601</w:t>
            </w:r>
          </w:p>
          <w:p w:rsidR="001D0222" w:rsidRPr="001D0222" w:rsidRDefault="001D0222" w:rsidP="001D0222">
            <w:pPr>
              <w:rPr>
                <w:sz w:val="20"/>
                <w:szCs w:val="20"/>
              </w:rPr>
            </w:pPr>
            <w:r w:rsidRPr="001D0222">
              <w:rPr>
                <w:sz w:val="20"/>
                <w:szCs w:val="20"/>
              </w:rPr>
              <w:t>2605</w:t>
            </w:r>
          </w:p>
        </w:tc>
        <w:tc>
          <w:tcPr>
            <w:tcW w:w="1596" w:type="pct"/>
            <w:noWrap/>
            <w:hideMark/>
          </w:tcPr>
          <w:p w:rsidR="001D0222" w:rsidRPr="001D0222" w:rsidRDefault="001D0222" w:rsidP="001D0222">
            <w:pPr>
              <w:rPr>
                <w:sz w:val="20"/>
                <w:szCs w:val="20"/>
              </w:rPr>
            </w:pPr>
            <w:r w:rsidRPr="001D0222">
              <w:rPr>
                <w:sz w:val="20"/>
                <w:szCs w:val="20"/>
              </w:rPr>
              <w:t>Electricity Generation</w:t>
            </w:r>
          </w:p>
          <w:p w:rsidR="001D0222" w:rsidRPr="001D0222" w:rsidRDefault="001D0222" w:rsidP="001D0222">
            <w:pPr>
              <w:rPr>
                <w:sz w:val="20"/>
                <w:szCs w:val="20"/>
              </w:rPr>
            </w:pPr>
            <w:r w:rsidRPr="001D0222">
              <w:rPr>
                <w:sz w:val="20"/>
                <w:szCs w:val="20"/>
              </w:rPr>
              <w:t>Electricity Transmission, Distribution, On Selling and Electricity Market Operation</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vMerge/>
            <w:noWrap/>
            <w:hideMark/>
          </w:tcPr>
          <w:p w:rsidR="001D0222" w:rsidRPr="001D0222" w:rsidRDefault="001D0222" w:rsidP="001D0222">
            <w:pPr>
              <w:rPr>
                <w:sz w:val="20"/>
                <w:szCs w:val="20"/>
              </w:rPr>
            </w:pP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27 Gas Supply</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2701</w:t>
            </w:r>
          </w:p>
        </w:tc>
        <w:tc>
          <w:tcPr>
            <w:tcW w:w="1596" w:type="pct"/>
            <w:noWrap/>
            <w:hideMark/>
          </w:tcPr>
          <w:p w:rsidR="001D0222" w:rsidRPr="001D0222" w:rsidRDefault="001D0222" w:rsidP="001D0222">
            <w:pPr>
              <w:rPr>
                <w:sz w:val="20"/>
                <w:szCs w:val="20"/>
              </w:rPr>
            </w:pPr>
            <w:r w:rsidRPr="001D0222">
              <w:rPr>
                <w:sz w:val="20"/>
                <w:szCs w:val="20"/>
              </w:rPr>
              <w:t>Gas Supply</w:t>
            </w:r>
          </w:p>
        </w:tc>
      </w:tr>
      <w:tr w:rsidR="001D0222" w:rsidRPr="001D0222" w:rsidTr="001D0222">
        <w:trPr>
          <w:trHeight w:val="97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28 Water Supply, Sewerage and Drainage</w:t>
            </w:r>
          </w:p>
        </w:tc>
        <w:tc>
          <w:tcPr>
            <w:tcW w:w="1015" w:type="pct"/>
            <w:tcBorders>
              <w:right w:val="single" w:sz="12" w:space="0" w:color="auto"/>
            </w:tcBorders>
            <w:noWrap/>
            <w:hideMark/>
          </w:tcPr>
          <w:p w:rsidR="001D0222" w:rsidRPr="001D0222" w:rsidRDefault="001D0222" w:rsidP="001D0222">
            <w:pPr>
              <w:rPr>
                <w:sz w:val="20"/>
                <w:szCs w:val="20"/>
              </w:rPr>
            </w:pP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2801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2901</w:t>
            </w:r>
          </w:p>
        </w:tc>
        <w:tc>
          <w:tcPr>
            <w:tcW w:w="1596" w:type="pct"/>
            <w:noWrap/>
            <w:hideMark/>
          </w:tcPr>
          <w:p w:rsidR="001D0222" w:rsidRPr="001D0222" w:rsidRDefault="001D0222" w:rsidP="001D0222">
            <w:pPr>
              <w:rPr>
                <w:sz w:val="20"/>
                <w:szCs w:val="20"/>
              </w:rPr>
            </w:pPr>
            <w:r w:rsidRPr="001D0222">
              <w:rPr>
                <w:sz w:val="20"/>
                <w:szCs w:val="20"/>
              </w:rPr>
              <w:t xml:space="preserve">Water Supply, Sewerage and Drainage Services </w:t>
            </w:r>
          </w:p>
          <w:p w:rsidR="001D0222" w:rsidRPr="001D0222" w:rsidRDefault="001D0222" w:rsidP="001D0222">
            <w:pPr>
              <w:rPr>
                <w:sz w:val="20"/>
                <w:szCs w:val="20"/>
              </w:rPr>
            </w:pPr>
            <w:r w:rsidRPr="001D0222">
              <w:rPr>
                <w:sz w:val="20"/>
                <w:szCs w:val="20"/>
              </w:rPr>
              <w:t>Waste Collection, Treatment and Disposal Services</w:t>
            </w:r>
          </w:p>
        </w:tc>
      </w:tr>
      <w:tr w:rsidR="001D0222" w:rsidRPr="001D0222" w:rsidTr="001D0222">
        <w:trPr>
          <w:trHeight w:val="1411"/>
          <w:jc w:val="center"/>
        </w:trPr>
        <w:tc>
          <w:tcPr>
            <w:tcW w:w="767" w:type="pct"/>
            <w:hideMark/>
          </w:tcPr>
          <w:p w:rsidR="001D0222" w:rsidRPr="001D0222" w:rsidRDefault="001D0222" w:rsidP="001D0222">
            <w:pPr>
              <w:rPr>
                <w:sz w:val="20"/>
                <w:szCs w:val="20"/>
              </w:rPr>
            </w:pPr>
            <w:r w:rsidRPr="001D0222">
              <w:rPr>
                <w:sz w:val="20"/>
                <w:szCs w:val="20"/>
              </w:rPr>
              <w:t>Div. E Construction</w:t>
            </w:r>
          </w:p>
        </w:tc>
        <w:tc>
          <w:tcPr>
            <w:tcW w:w="1269" w:type="pct"/>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3001</w:t>
            </w:r>
          </w:p>
          <w:p w:rsidR="001D0222" w:rsidRPr="001D0222" w:rsidRDefault="001D0222" w:rsidP="001D0222">
            <w:pPr>
              <w:rPr>
                <w:sz w:val="20"/>
                <w:szCs w:val="20"/>
              </w:rPr>
            </w:pPr>
            <w:r w:rsidRPr="001D0222">
              <w:rPr>
                <w:sz w:val="20"/>
                <w:szCs w:val="20"/>
              </w:rPr>
              <w:t>3002</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3101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3201</w:t>
            </w:r>
          </w:p>
        </w:tc>
        <w:tc>
          <w:tcPr>
            <w:tcW w:w="1596" w:type="pct"/>
            <w:noWrap/>
            <w:hideMark/>
          </w:tcPr>
          <w:p w:rsidR="001D0222" w:rsidRPr="001D0222" w:rsidRDefault="001D0222" w:rsidP="001D0222">
            <w:pPr>
              <w:rPr>
                <w:sz w:val="20"/>
                <w:szCs w:val="20"/>
              </w:rPr>
            </w:pPr>
            <w:r w:rsidRPr="001D0222">
              <w:rPr>
                <w:sz w:val="20"/>
                <w:szCs w:val="20"/>
              </w:rPr>
              <w:t>Residential Building Construction</w:t>
            </w:r>
          </w:p>
          <w:p w:rsidR="001D0222" w:rsidRPr="001D0222" w:rsidRDefault="001D0222" w:rsidP="001D0222">
            <w:pPr>
              <w:rPr>
                <w:sz w:val="20"/>
                <w:szCs w:val="20"/>
              </w:rPr>
            </w:pPr>
            <w:r w:rsidRPr="001D0222">
              <w:rPr>
                <w:sz w:val="20"/>
                <w:szCs w:val="20"/>
              </w:rPr>
              <w:t>Non-Residential Building Construction</w:t>
            </w:r>
          </w:p>
          <w:p w:rsidR="001D0222" w:rsidRPr="001D0222" w:rsidRDefault="001D0222" w:rsidP="001D0222">
            <w:pPr>
              <w:rPr>
                <w:sz w:val="20"/>
                <w:szCs w:val="20"/>
              </w:rPr>
            </w:pPr>
            <w:r w:rsidRPr="001D0222">
              <w:rPr>
                <w:sz w:val="20"/>
                <w:szCs w:val="20"/>
              </w:rPr>
              <w:t>Heavy and Civil Engineering Construction</w:t>
            </w:r>
          </w:p>
          <w:p w:rsidR="001D0222" w:rsidRPr="001D0222" w:rsidRDefault="001D0222" w:rsidP="001D0222">
            <w:pPr>
              <w:rPr>
                <w:sz w:val="20"/>
                <w:szCs w:val="20"/>
              </w:rPr>
            </w:pPr>
            <w:r w:rsidRPr="001D0222">
              <w:rPr>
                <w:sz w:val="20"/>
                <w:szCs w:val="20"/>
              </w:rPr>
              <w:t>Construction Services</w:t>
            </w:r>
          </w:p>
        </w:tc>
      </w:tr>
      <w:tr w:rsidR="001D0222" w:rsidRPr="001D0222" w:rsidTr="001D0222">
        <w:trPr>
          <w:trHeight w:val="486"/>
          <w:jc w:val="center"/>
        </w:trPr>
        <w:tc>
          <w:tcPr>
            <w:tcW w:w="767" w:type="pct"/>
            <w:hideMark/>
          </w:tcPr>
          <w:p w:rsidR="001D0222" w:rsidRPr="001D0222" w:rsidRDefault="001D0222" w:rsidP="001D0222">
            <w:pPr>
              <w:rPr>
                <w:sz w:val="20"/>
                <w:szCs w:val="20"/>
              </w:rPr>
            </w:pPr>
            <w:r w:rsidRPr="001D0222">
              <w:rPr>
                <w:sz w:val="20"/>
                <w:szCs w:val="20"/>
              </w:rPr>
              <w:t>Residential</w:t>
            </w:r>
          </w:p>
        </w:tc>
        <w:tc>
          <w:tcPr>
            <w:tcW w:w="1269" w:type="pct"/>
            <w:noWrap/>
            <w:hideMark/>
          </w:tcPr>
          <w:p w:rsidR="001D0222" w:rsidRPr="001D0222" w:rsidRDefault="001D0222" w:rsidP="001D0222">
            <w:pPr>
              <w:rPr>
                <w:sz w:val="20"/>
                <w:szCs w:val="20"/>
              </w:rPr>
            </w:pPr>
            <w:r w:rsidRPr="001D0222">
              <w:rPr>
                <w:sz w:val="20"/>
                <w:szCs w:val="20"/>
              </w:rPr>
              <w:t>Residential (non-transport)</w:t>
            </w:r>
          </w:p>
          <w:p w:rsidR="001D0222" w:rsidRPr="001D0222" w:rsidRDefault="001D0222" w:rsidP="001D0222">
            <w:pPr>
              <w:rPr>
                <w:sz w:val="20"/>
                <w:szCs w:val="20"/>
              </w:rPr>
            </w:pPr>
            <w:r w:rsidRPr="001D0222">
              <w:rPr>
                <w:sz w:val="20"/>
                <w:szCs w:val="20"/>
              </w:rPr>
              <w:t>Residential (transport)</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596" w:type="pct"/>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r>
      <w:tr w:rsidR="001D0222" w:rsidRPr="001D0222" w:rsidTr="001D0222">
        <w:trPr>
          <w:trHeight w:val="489"/>
          <w:jc w:val="center"/>
        </w:trPr>
        <w:tc>
          <w:tcPr>
            <w:tcW w:w="767" w:type="pct"/>
            <w:vMerge w:val="restart"/>
            <w:hideMark/>
          </w:tcPr>
          <w:p w:rsidR="001D0222" w:rsidRPr="001D0222" w:rsidRDefault="001D0222" w:rsidP="001D0222">
            <w:pPr>
              <w:rPr>
                <w:sz w:val="20"/>
                <w:szCs w:val="20"/>
              </w:rPr>
            </w:pPr>
            <w:r w:rsidRPr="001D0222">
              <w:rPr>
                <w:sz w:val="20"/>
                <w:szCs w:val="20"/>
              </w:rPr>
              <w:t>Div. F-H, J-Q Commercial Services</w:t>
            </w:r>
          </w:p>
        </w:tc>
        <w:tc>
          <w:tcPr>
            <w:tcW w:w="1269" w:type="pct"/>
            <w:noWrap/>
            <w:hideMark/>
          </w:tcPr>
          <w:p w:rsidR="001D0222" w:rsidRPr="001D0222" w:rsidRDefault="001D0222" w:rsidP="001D0222">
            <w:pPr>
              <w:rPr>
                <w:sz w:val="20"/>
                <w:szCs w:val="20"/>
              </w:rPr>
            </w:pPr>
            <w:r w:rsidRPr="001D0222">
              <w:rPr>
                <w:sz w:val="20"/>
                <w:szCs w:val="20"/>
              </w:rPr>
              <w:t>Div. F,G Wholesale and Retail Trade</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3301</w:t>
            </w:r>
          </w:p>
          <w:p w:rsidR="001D0222" w:rsidRPr="001D0222" w:rsidRDefault="001D0222" w:rsidP="001D0222">
            <w:pPr>
              <w:rPr>
                <w:sz w:val="20"/>
                <w:szCs w:val="20"/>
              </w:rPr>
            </w:pPr>
            <w:r w:rsidRPr="001D0222">
              <w:rPr>
                <w:sz w:val="20"/>
                <w:szCs w:val="20"/>
              </w:rPr>
              <w:t>3901</w:t>
            </w:r>
          </w:p>
        </w:tc>
        <w:tc>
          <w:tcPr>
            <w:tcW w:w="1596" w:type="pct"/>
            <w:noWrap/>
            <w:hideMark/>
          </w:tcPr>
          <w:p w:rsidR="001D0222" w:rsidRPr="001D0222" w:rsidRDefault="001D0222" w:rsidP="001D0222">
            <w:pPr>
              <w:rPr>
                <w:sz w:val="20"/>
                <w:szCs w:val="20"/>
              </w:rPr>
            </w:pPr>
            <w:r w:rsidRPr="001D0222">
              <w:rPr>
                <w:sz w:val="20"/>
                <w:szCs w:val="20"/>
              </w:rPr>
              <w:t>Wholesale Trade</w:t>
            </w:r>
          </w:p>
          <w:p w:rsidR="001D0222" w:rsidRPr="001D0222" w:rsidRDefault="001D0222" w:rsidP="001D0222">
            <w:pPr>
              <w:rPr>
                <w:sz w:val="20"/>
                <w:szCs w:val="20"/>
              </w:rPr>
            </w:pPr>
            <w:r w:rsidRPr="001D0222">
              <w:rPr>
                <w:sz w:val="20"/>
                <w:szCs w:val="20"/>
              </w:rPr>
              <w:t>Retail Trade</w:t>
            </w:r>
          </w:p>
        </w:tc>
      </w:tr>
      <w:tr w:rsidR="001D0222" w:rsidRPr="001D0222" w:rsidTr="001D0222">
        <w:trPr>
          <w:trHeight w:val="693"/>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Div. H,P,Q Accommodation, Food Services, Education and Health Services</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4401</w:t>
            </w:r>
          </w:p>
          <w:p w:rsidR="001D0222" w:rsidRPr="001D0222" w:rsidRDefault="001D0222" w:rsidP="001D0222">
            <w:pPr>
              <w:rPr>
                <w:sz w:val="20"/>
                <w:szCs w:val="20"/>
              </w:rPr>
            </w:pPr>
            <w:r w:rsidRPr="001D0222">
              <w:rPr>
                <w:sz w:val="20"/>
                <w:szCs w:val="20"/>
              </w:rPr>
              <w:t>4501</w:t>
            </w:r>
          </w:p>
        </w:tc>
        <w:tc>
          <w:tcPr>
            <w:tcW w:w="1596" w:type="pct"/>
            <w:noWrap/>
            <w:hideMark/>
          </w:tcPr>
          <w:p w:rsidR="001D0222" w:rsidRPr="001D0222" w:rsidRDefault="001D0222" w:rsidP="001D0222">
            <w:pPr>
              <w:rPr>
                <w:sz w:val="20"/>
                <w:szCs w:val="20"/>
              </w:rPr>
            </w:pPr>
            <w:r w:rsidRPr="001D0222">
              <w:rPr>
                <w:sz w:val="20"/>
                <w:szCs w:val="20"/>
              </w:rPr>
              <w:t>Accommodation</w:t>
            </w:r>
          </w:p>
          <w:p w:rsidR="001D0222" w:rsidRPr="001D0222" w:rsidRDefault="001D0222" w:rsidP="001D0222">
            <w:pPr>
              <w:rPr>
                <w:sz w:val="20"/>
                <w:szCs w:val="20"/>
              </w:rPr>
            </w:pPr>
            <w:r w:rsidRPr="001D0222">
              <w:rPr>
                <w:sz w:val="20"/>
                <w:szCs w:val="20"/>
              </w:rPr>
              <w:t>Food and Beverage Services</w:t>
            </w:r>
          </w:p>
        </w:tc>
      </w:tr>
      <w:tr w:rsidR="001D0222" w:rsidRPr="001D0222" w:rsidTr="001D0222">
        <w:trPr>
          <w:trHeight w:val="240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 Div. J Information Media and Telecommunications</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5401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5501</w:t>
            </w:r>
          </w:p>
          <w:p w:rsidR="001D0222" w:rsidRPr="001D0222" w:rsidRDefault="001D0222" w:rsidP="001D0222">
            <w:pPr>
              <w:rPr>
                <w:sz w:val="20"/>
                <w:szCs w:val="20"/>
              </w:rPr>
            </w:pPr>
            <w:r w:rsidRPr="001D0222">
              <w:rPr>
                <w:sz w:val="20"/>
                <w:szCs w:val="20"/>
              </w:rPr>
              <w:t>5601</w:t>
            </w:r>
          </w:p>
          <w:p w:rsidR="001D0222" w:rsidRPr="001D0222" w:rsidRDefault="001D0222" w:rsidP="001D0222">
            <w:pPr>
              <w:rPr>
                <w:sz w:val="20"/>
                <w:szCs w:val="20"/>
              </w:rPr>
            </w:pP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5701</w:t>
            </w:r>
          </w:p>
          <w:p w:rsidR="001D0222" w:rsidRPr="001D0222" w:rsidRDefault="001D0222" w:rsidP="001D0222">
            <w:pPr>
              <w:rPr>
                <w:sz w:val="20"/>
                <w:szCs w:val="20"/>
              </w:rPr>
            </w:pPr>
            <w:r w:rsidRPr="001D0222">
              <w:rPr>
                <w:sz w:val="20"/>
                <w:szCs w:val="20"/>
              </w:rPr>
              <w:t>5801</w:t>
            </w:r>
          </w:p>
          <w:p w:rsidR="001D0222" w:rsidRPr="001D0222" w:rsidRDefault="001D0222" w:rsidP="001D0222">
            <w:pPr>
              <w:rPr>
                <w:sz w:val="20"/>
                <w:szCs w:val="20"/>
              </w:rPr>
            </w:pPr>
            <w:r w:rsidRPr="001D0222">
              <w:rPr>
                <w:sz w:val="20"/>
                <w:szCs w:val="20"/>
              </w:rPr>
              <w:t>6001</w:t>
            </w:r>
          </w:p>
        </w:tc>
        <w:tc>
          <w:tcPr>
            <w:tcW w:w="1596" w:type="pct"/>
            <w:noWrap/>
            <w:hideMark/>
          </w:tcPr>
          <w:p w:rsidR="001D0222" w:rsidRPr="001D0222" w:rsidRDefault="001D0222" w:rsidP="001D0222">
            <w:pPr>
              <w:rPr>
                <w:sz w:val="20"/>
                <w:szCs w:val="20"/>
              </w:rPr>
            </w:pPr>
            <w:r w:rsidRPr="001D0222">
              <w:rPr>
                <w:sz w:val="20"/>
                <w:szCs w:val="20"/>
              </w:rPr>
              <w:t>Publishing (except Internet and Music Publishing)</w:t>
            </w:r>
          </w:p>
          <w:p w:rsidR="001D0222" w:rsidRPr="001D0222" w:rsidRDefault="001D0222" w:rsidP="001D0222">
            <w:pPr>
              <w:rPr>
                <w:sz w:val="20"/>
                <w:szCs w:val="20"/>
              </w:rPr>
            </w:pPr>
            <w:r w:rsidRPr="001D0222">
              <w:rPr>
                <w:sz w:val="20"/>
                <w:szCs w:val="20"/>
              </w:rPr>
              <w:t>Motion Picture and Sound Recording</w:t>
            </w:r>
          </w:p>
          <w:p w:rsidR="001D0222" w:rsidRPr="001D0222" w:rsidRDefault="001D0222" w:rsidP="001D0222">
            <w:pPr>
              <w:rPr>
                <w:sz w:val="20"/>
                <w:szCs w:val="20"/>
              </w:rPr>
            </w:pPr>
            <w:r w:rsidRPr="001D0222">
              <w:rPr>
                <w:sz w:val="20"/>
                <w:szCs w:val="20"/>
              </w:rPr>
              <w:t>Broadcasting (except Internet)</w:t>
            </w:r>
          </w:p>
          <w:p w:rsidR="001D0222" w:rsidRPr="001D0222" w:rsidRDefault="001D0222" w:rsidP="001D0222">
            <w:pPr>
              <w:rPr>
                <w:sz w:val="20"/>
                <w:szCs w:val="20"/>
              </w:rPr>
            </w:pPr>
            <w:r w:rsidRPr="001D0222">
              <w:rPr>
                <w:sz w:val="20"/>
                <w:szCs w:val="20"/>
              </w:rPr>
              <w:t xml:space="preserve">Internet Publishing and Broadcasting and Services Providers, </w:t>
            </w:r>
            <w:proofErr w:type="spellStart"/>
            <w:r w:rsidRPr="001D0222">
              <w:rPr>
                <w:sz w:val="20"/>
                <w:szCs w:val="20"/>
              </w:rPr>
              <w:t>Websearch</w:t>
            </w:r>
            <w:proofErr w:type="spellEnd"/>
            <w:r w:rsidRPr="001D0222">
              <w:rPr>
                <w:sz w:val="20"/>
                <w:szCs w:val="20"/>
              </w:rPr>
              <w:t xml:space="preserve"> Portals and Data Processing Services</w:t>
            </w:r>
          </w:p>
          <w:p w:rsidR="001D0222" w:rsidRPr="001D0222" w:rsidRDefault="001D0222" w:rsidP="001D0222">
            <w:pPr>
              <w:rPr>
                <w:sz w:val="20"/>
                <w:szCs w:val="20"/>
              </w:rPr>
            </w:pPr>
            <w:r w:rsidRPr="001D0222">
              <w:rPr>
                <w:sz w:val="20"/>
                <w:szCs w:val="20"/>
              </w:rPr>
              <w:t>Telecommunication Services</w:t>
            </w:r>
          </w:p>
          <w:p w:rsidR="001D0222" w:rsidRPr="001D0222" w:rsidRDefault="001D0222" w:rsidP="001D0222">
            <w:pPr>
              <w:rPr>
                <w:sz w:val="20"/>
                <w:szCs w:val="20"/>
              </w:rPr>
            </w:pPr>
            <w:r w:rsidRPr="001D0222">
              <w:rPr>
                <w:sz w:val="20"/>
                <w:szCs w:val="20"/>
              </w:rPr>
              <w:t>Library and Other Information Services</w:t>
            </w:r>
          </w:p>
        </w:tc>
      </w:tr>
      <w:tr w:rsidR="001D0222" w:rsidRPr="001D0222" w:rsidTr="001D0222">
        <w:trPr>
          <w:trHeight w:val="217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Div. K,L Finance, Insurance, Rental, Hiring and Real Estate</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6201</w:t>
            </w:r>
          </w:p>
          <w:p w:rsidR="001D0222" w:rsidRPr="001D0222" w:rsidRDefault="001D0222" w:rsidP="001D0222">
            <w:pPr>
              <w:rPr>
                <w:sz w:val="20"/>
                <w:szCs w:val="20"/>
              </w:rPr>
            </w:pPr>
            <w:r w:rsidRPr="001D0222">
              <w:rPr>
                <w:sz w:val="20"/>
                <w:szCs w:val="20"/>
              </w:rPr>
              <w:t>6301</w:t>
            </w:r>
          </w:p>
          <w:p w:rsidR="001D0222" w:rsidRPr="001D0222" w:rsidRDefault="001D0222" w:rsidP="001D0222">
            <w:pPr>
              <w:rPr>
                <w:sz w:val="20"/>
                <w:szCs w:val="20"/>
              </w:rPr>
            </w:pPr>
            <w:r w:rsidRPr="001D0222">
              <w:rPr>
                <w:sz w:val="20"/>
                <w:szCs w:val="20"/>
              </w:rPr>
              <w:t>6401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6601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6701</w:t>
            </w:r>
          </w:p>
          <w:p w:rsidR="001D0222" w:rsidRPr="001D0222" w:rsidRDefault="001D0222" w:rsidP="001D0222">
            <w:pPr>
              <w:rPr>
                <w:sz w:val="20"/>
                <w:szCs w:val="20"/>
              </w:rPr>
            </w:pPr>
            <w:r w:rsidRPr="001D0222">
              <w:rPr>
                <w:sz w:val="20"/>
                <w:szCs w:val="20"/>
              </w:rPr>
              <w:t>6702</w:t>
            </w:r>
          </w:p>
        </w:tc>
        <w:tc>
          <w:tcPr>
            <w:tcW w:w="1596" w:type="pct"/>
            <w:noWrap/>
            <w:hideMark/>
          </w:tcPr>
          <w:p w:rsidR="001D0222" w:rsidRPr="001D0222" w:rsidRDefault="001D0222" w:rsidP="001D0222">
            <w:pPr>
              <w:rPr>
                <w:sz w:val="20"/>
                <w:szCs w:val="20"/>
              </w:rPr>
            </w:pPr>
            <w:r w:rsidRPr="001D0222">
              <w:rPr>
                <w:sz w:val="20"/>
                <w:szCs w:val="20"/>
              </w:rPr>
              <w:t>Finance</w:t>
            </w:r>
          </w:p>
          <w:p w:rsidR="001D0222" w:rsidRPr="001D0222" w:rsidRDefault="001D0222" w:rsidP="001D0222">
            <w:pPr>
              <w:rPr>
                <w:sz w:val="20"/>
                <w:szCs w:val="20"/>
              </w:rPr>
            </w:pPr>
            <w:r w:rsidRPr="001D0222">
              <w:rPr>
                <w:sz w:val="20"/>
                <w:szCs w:val="20"/>
              </w:rPr>
              <w:t>Insurance and Superannuation Funds</w:t>
            </w:r>
          </w:p>
          <w:p w:rsidR="001D0222" w:rsidRPr="001D0222" w:rsidRDefault="001D0222" w:rsidP="001D0222">
            <w:pPr>
              <w:rPr>
                <w:sz w:val="20"/>
                <w:szCs w:val="20"/>
              </w:rPr>
            </w:pPr>
            <w:r w:rsidRPr="001D0222">
              <w:rPr>
                <w:sz w:val="20"/>
                <w:szCs w:val="20"/>
              </w:rPr>
              <w:t>Auxiliary Finance and Insurance Services</w:t>
            </w:r>
          </w:p>
          <w:p w:rsidR="001D0222" w:rsidRPr="001D0222" w:rsidRDefault="001D0222" w:rsidP="001D0222">
            <w:pPr>
              <w:rPr>
                <w:sz w:val="20"/>
                <w:szCs w:val="20"/>
              </w:rPr>
            </w:pPr>
            <w:r w:rsidRPr="001D0222">
              <w:rPr>
                <w:sz w:val="20"/>
                <w:szCs w:val="20"/>
              </w:rPr>
              <w:t>Rental and Hiring Services (except Real Estate)</w:t>
            </w:r>
          </w:p>
          <w:p w:rsidR="001D0222" w:rsidRPr="001D0222" w:rsidRDefault="001D0222" w:rsidP="001D0222">
            <w:pPr>
              <w:rPr>
                <w:sz w:val="20"/>
                <w:szCs w:val="20"/>
              </w:rPr>
            </w:pPr>
            <w:r w:rsidRPr="001D0222">
              <w:rPr>
                <w:sz w:val="20"/>
                <w:szCs w:val="20"/>
              </w:rPr>
              <w:t>Ownership of Dwellings</w:t>
            </w:r>
          </w:p>
          <w:p w:rsidR="001D0222" w:rsidRPr="001D0222" w:rsidRDefault="001D0222" w:rsidP="001D0222">
            <w:pPr>
              <w:rPr>
                <w:sz w:val="20"/>
                <w:szCs w:val="20"/>
              </w:rPr>
            </w:pPr>
            <w:r w:rsidRPr="001D0222">
              <w:rPr>
                <w:sz w:val="20"/>
                <w:szCs w:val="20"/>
              </w:rPr>
              <w:t>Non-Residential Property Operators and Real Estate Services</w:t>
            </w:r>
          </w:p>
        </w:tc>
      </w:tr>
      <w:tr w:rsidR="001D0222" w:rsidRPr="001D0222" w:rsidTr="001D0222">
        <w:trPr>
          <w:trHeight w:val="93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Div. M Professional, Scientific and Technical Services</w:t>
            </w:r>
          </w:p>
          <w:p w:rsidR="001D0222" w:rsidRPr="001D0222" w:rsidRDefault="001D0222" w:rsidP="001D0222">
            <w:pPr>
              <w:rPr>
                <w:sz w:val="20"/>
                <w:szCs w:val="20"/>
              </w:rPr>
            </w:pPr>
            <w:r w:rsidRPr="001D0222">
              <w:rPr>
                <w:sz w:val="20"/>
                <w:szCs w:val="20"/>
              </w:rPr>
              <w:t> </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6901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7001</w:t>
            </w:r>
          </w:p>
        </w:tc>
        <w:tc>
          <w:tcPr>
            <w:tcW w:w="1596" w:type="pct"/>
            <w:noWrap/>
            <w:hideMark/>
          </w:tcPr>
          <w:p w:rsidR="001D0222" w:rsidRPr="001D0222" w:rsidRDefault="001D0222" w:rsidP="001D0222">
            <w:pPr>
              <w:rPr>
                <w:sz w:val="20"/>
                <w:szCs w:val="20"/>
              </w:rPr>
            </w:pPr>
            <w:r w:rsidRPr="001D0222">
              <w:rPr>
                <w:sz w:val="20"/>
                <w:szCs w:val="20"/>
              </w:rPr>
              <w:t xml:space="preserve">Professional, Scientific and Technical Services </w:t>
            </w:r>
          </w:p>
          <w:p w:rsidR="001D0222" w:rsidRPr="001D0222" w:rsidRDefault="001D0222" w:rsidP="001D0222">
            <w:pPr>
              <w:rPr>
                <w:sz w:val="20"/>
                <w:szCs w:val="20"/>
              </w:rPr>
            </w:pPr>
            <w:r w:rsidRPr="001D0222">
              <w:rPr>
                <w:sz w:val="20"/>
                <w:szCs w:val="20"/>
              </w:rPr>
              <w:t>Computer Systems Design and Related Services</w:t>
            </w:r>
          </w:p>
        </w:tc>
      </w:tr>
      <w:tr w:rsidR="001D0222" w:rsidRPr="001D0222" w:rsidTr="001D0222">
        <w:trPr>
          <w:trHeight w:val="5422"/>
          <w:jc w:val="center"/>
        </w:trPr>
        <w:tc>
          <w:tcPr>
            <w:tcW w:w="767" w:type="pct"/>
            <w:vMerge/>
            <w:tcBorders>
              <w:bottom w:val="single" w:sz="4" w:space="0" w:color="auto"/>
            </w:tcBorders>
            <w:hideMark/>
          </w:tcPr>
          <w:p w:rsidR="001D0222" w:rsidRPr="001D0222" w:rsidRDefault="001D0222" w:rsidP="001D0222">
            <w:pPr>
              <w:rPr>
                <w:sz w:val="20"/>
                <w:szCs w:val="20"/>
              </w:rPr>
            </w:pPr>
          </w:p>
        </w:tc>
        <w:tc>
          <w:tcPr>
            <w:tcW w:w="1269" w:type="pct"/>
            <w:tcBorders>
              <w:bottom w:val="single" w:sz="4" w:space="0" w:color="auto"/>
            </w:tcBorders>
            <w:noWrap/>
            <w:hideMark/>
          </w:tcPr>
          <w:p w:rsidR="001D0222" w:rsidRPr="001D0222" w:rsidRDefault="001D0222" w:rsidP="001D0222">
            <w:pPr>
              <w:rPr>
                <w:sz w:val="20"/>
                <w:szCs w:val="20"/>
              </w:rPr>
            </w:pPr>
            <w:r w:rsidRPr="001D0222">
              <w:rPr>
                <w:sz w:val="20"/>
                <w:szCs w:val="20"/>
              </w:rPr>
              <w:t>Div. N,O Administration, Public Administration and Services</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1015" w:type="pct"/>
            <w:tcBorders>
              <w:bottom w:val="single" w:sz="4" w:space="0" w:color="auto"/>
              <w:right w:val="single" w:sz="12" w:space="0" w:color="auto"/>
            </w:tcBorders>
            <w:noWrap/>
            <w:hideMark/>
          </w:tcPr>
          <w:p w:rsidR="001D0222" w:rsidRPr="001D0222" w:rsidRDefault="001D0222" w:rsidP="001D0222">
            <w:pPr>
              <w:rPr>
                <w:sz w:val="20"/>
                <w:szCs w:val="20"/>
              </w:rPr>
            </w:pPr>
            <w:r w:rsidRPr="001D0222">
              <w:rPr>
                <w:sz w:val="20"/>
                <w:szCs w:val="20"/>
              </w:rPr>
              <w:t> </w:t>
            </w:r>
          </w:p>
          <w:p w:rsidR="001D0222" w:rsidRPr="001D0222" w:rsidRDefault="001D0222" w:rsidP="001D0222">
            <w:pPr>
              <w:rPr>
                <w:sz w:val="20"/>
                <w:szCs w:val="20"/>
              </w:rPr>
            </w:pPr>
            <w:r w:rsidRPr="001D0222">
              <w:rPr>
                <w:sz w:val="20"/>
                <w:szCs w:val="20"/>
              </w:rPr>
              <w:t> </w:t>
            </w:r>
          </w:p>
        </w:tc>
        <w:tc>
          <w:tcPr>
            <w:tcW w:w="354" w:type="pct"/>
            <w:tcBorders>
              <w:left w:val="single" w:sz="12" w:space="0" w:color="auto"/>
              <w:bottom w:val="single" w:sz="4" w:space="0" w:color="auto"/>
            </w:tcBorders>
            <w:noWrap/>
            <w:hideMark/>
          </w:tcPr>
          <w:p w:rsidR="001D0222" w:rsidRPr="001D0222" w:rsidRDefault="001D0222" w:rsidP="001D0222">
            <w:pPr>
              <w:rPr>
                <w:sz w:val="20"/>
                <w:szCs w:val="20"/>
              </w:rPr>
            </w:pPr>
            <w:r w:rsidRPr="001D0222">
              <w:rPr>
                <w:sz w:val="20"/>
                <w:szCs w:val="20"/>
              </w:rPr>
              <w:t>7201</w:t>
            </w:r>
          </w:p>
          <w:p w:rsidR="001D0222" w:rsidRPr="001D0222" w:rsidRDefault="001D0222" w:rsidP="001D0222">
            <w:pPr>
              <w:rPr>
                <w:sz w:val="20"/>
                <w:szCs w:val="20"/>
              </w:rPr>
            </w:pP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7501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7601</w:t>
            </w:r>
          </w:p>
          <w:p w:rsidR="001D0222" w:rsidRPr="001D0222" w:rsidRDefault="001D0222" w:rsidP="001D0222">
            <w:pPr>
              <w:rPr>
                <w:sz w:val="20"/>
                <w:szCs w:val="20"/>
              </w:rPr>
            </w:pPr>
            <w:r w:rsidRPr="001D0222">
              <w:rPr>
                <w:sz w:val="20"/>
                <w:szCs w:val="20"/>
              </w:rPr>
              <w:t>7701</w:t>
            </w:r>
          </w:p>
          <w:p w:rsidR="001D0222" w:rsidRPr="001D0222" w:rsidRDefault="001D0222" w:rsidP="001D0222">
            <w:pPr>
              <w:rPr>
                <w:sz w:val="20"/>
                <w:szCs w:val="20"/>
              </w:rPr>
            </w:pPr>
            <w:r w:rsidRPr="001D0222">
              <w:rPr>
                <w:sz w:val="20"/>
                <w:szCs w:val="20"/>
              </w:rPr>
              <w:t>8001</w:t>
            </w:r>
          </w:p>
          <w:p w:rsidR="001D0222" w:rsidRPr="001D0222" w:rsidRDefault="001D0222" w:rsidP="001D0222">
            <w:pPr>
              <w:rPr>
                <w:sz w:val="20"/>
                <w:szCs w:val="20"/>
              </w:rPr>
            </w:pPr>
            <w:r w:rsidRPr="001D0222">
              <w:rPr>
                <w:sz w:val="20"/>
                <w:szCs w:val="20"/>
              </w:rPr>
              <w:t>8401</w:t>
            </w:r>
          </w:p>
          <w:p w:rsidR="001D0222" w:rsidRPr="001D0222" w:rsidRDefault="001D0222" w:rsidP="001D0222">
            <w:pPr>
              <w:rPr>
                <w:sz w:val="20"/>
                <w:szCs w:val="20"/>
              </w:rPr>
            </w:pPr>
            <w:r w:rsidRPr="001D0222">
              <w:rPr>
                <w:sz w:val="20"/>
                <w:szCs w:val="20"/>
              </w:rPr>
              <w:t>8601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8901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9101</w:t>
            </w:r>
          </w:p>
          <w:p w:rsidR="001D0222" w:rsidRPr="001D0222" w:rsidRDefault="001D0222" w:rsidP="001D0222">
            <w:pPr>
              <w:rPr>
                <w:sz w:val="20"/>
                <w:szCs w:val="20"/>
              </w:rPr>
            </w:pPr>
            <w:r w:rsidRPr="001D0222">
              <w:rPr>
                <w:sz w:val="20"/>
                <w:szCs w:val="20"/>
              </w:rPr>
              <w:t>9201</w:t>
            </w:r>
          </w:p>
          <w:p w:rsidR="001D0222" w:rsidRPr="001D0222" w:rsidRDefault="001D0222" w:rsidP="001D0222">
            <w:pPr>
              <w:rPr>
                <w:sz w:val="20"/>
                <w:szCs w:val="20"/>
              </w:rPr>
            </w:pPr>
            <w:r w:rsidRPr="001D0222">
              <w:rPr>
                <w:sz w:val="20"/>
                <w:szCs w:val="20"/>
              </w:rPr>
              <w:t>9401</w:t>
            </w:r>
          </w:p>
          <w:p w:rsidR="001D0222" w:rsidRPr="001D0222" w:rsidRDefault="001D0222" w:rsidP="001D0222">
            <w:pPr>
              <w:rPr>
                <w:sz w:val="20"/>
                <w:szCs w:val="20"/>
              </w:rPr>
            </w:pPr>
            <w:r w:rsidRPr="001D0222">
              <w:rPr>
                <w:sz w:val="20"/>
                <w:szCs w:val="20"/>
              </w:rPr>
              <w:t>9402</w:t>
            </w:r>
          </w:p>
          <w:p w:rsidR="001D0222" w:rsidRPr="001D0222" w:rsidRDefault="001D0222" w:rsidP="001D0222">
            <w:pPr>
              <w:rPr>
                <w:sz w:val="20"/>
                <w:szCs w:val="20"/>
              </w:rPr>
            </w:pPr>
            <w:r w:rsidRPr="001D0222">
              <w:rPr>
                <w:sz w:val="20"/>
                <w:szCs w:val="20"/>
              </w:rPr>
              <w:t>9501</w:t>
            </w:r>
          </w:p>
          <w:p w:rsidR="001D0222" w:rsidRPr="001D0222" w:rsidRDefault="001D0222" w:rsidP="001D0222">
            <w:pPr>
              <w:rPr>
                <w:sz w:val="20"/>
                <w:szCs w:val="20"/>
              </w:rPr>
            </w:pPr>
            <w:r w:rsidRPr="001D0222">
              <w:rPr>
                <w:sz w:val="20"/>
                <w:szCs w:val="20"/>
              </w:rPr>
              <w:t>9502</w:t>
            </w:r>
          </w:p>
        </w:tc>
        <w:tc>
          <w:tcPr>
            <w:tcW w:w="1596" w:type="pct"/>
            <w:tcBorders>
              <w:bottom w:val="single" w:sz="4" w:space="0" w:color="auto"/>
            </w:tcBorders>
            <w:noWrap/>
            <w:hideMark/>
          </w:tcPr>
          <w:p w:rsidR="001D0222" w:rsidRPr="001D0222" w:rsidRDefault="001D0222" w:rsidP="001D0222">
            <w:pPr>
              <w:rPr>
                <w:sz w:val="20"/>
                <w:szCs w:val="20"/>
              </w:rPr>
            </w:pPr>
            <w:r w:rsidRPr="001D0222">
              <w:rPr>
                <w:sz w:val="20"/>
                <w:szCs w:val="20"/>
              </w:rPr>
              <w:t>Building Cleaning, Pest Control, Administrative and Other Support Services</w:t>
            </w:r>
          </w:p>
          <w:p w:rsidR="001D0222" w:rsidRPr="001D0222" w:rsidRDefault="001D0222" w:rsidP="001D0222">
            <w:pPr>
              <w:rPr>
                <w:sz w:val="20"/>
                <w:szCs w:val="20"/>
              </w:rPr>
            </w:pPr>
            <w:r w:rsidRPr="001D0222">
              <w:rPr>
                <w:sz w:val="20"/>
                <w:szCs w:val="20"/>
              </w:rPr>
              <w:t>Public Administration and Regulatory Services</w:t>
            </w:r>
          </w:p>
          <w:p w:rsidR="001D0222" w:rsidRPr="001D0222" w:rsidRDefault="001D0222" w:rsidP="001D0222">
            <w:pPr>
              <w:rPr>
                <w:sz w:val="20"/>
                <w:szCs w:val="20"/>
              </w:rPr>
            </w:pPr>
            <w:r w:rsidRPr="001D0222">
              <w:rPr>
                <w:sz w:val="20"/>
                <w:szCs w:val="20"/>
              </w:rPr>
              <w:t>Defence</w:t>
            </w:r>
          </w:p>
          <w:p w:rsidR="001D0222" w:rsidRPr="001D0222" w:rsidRDefault="001D0222" w:rsidP="001D0222">
            <w:pPr>
              <w:rPr>
                <w:sz w:val="20"/>
                <w:szCs w:val="20"/>
              </w:rPr>
            </w:pPr>
            <w:r w:rsidRPr="001D0222">
              <w:rPr>
                <w:sz w:val="20"/>
                <w:szCs w:val="20"/>
              </w:rPr>
              <w:t>Public Order and Safety</w:t>
            </w:r>
          </w:p>
          <w:p w:rsidR="001D0222" w:rsidRPr="001D0222" w:rsidRDefault="001D0222" w:rsidP="001D0222">
            <w:pPr>
              <w:rPr>
                <w:sz w:val="20"/>
                <w:szCs w:val="20"/>
              </w:rPr>
            </w:pPr>
            <w:r w:rsidRPr="001D0222">
              <w:rPr>
                <w:sz w:val="20"/>
                <w:szCs w:val="20"/>
              </w:rPr>
              <w:t>Education and Training</w:t>
            </w:r>
          </w:p>
          <w:p w:rsidR="001D0222" w:rsidRPr="001D0222" w:rsidRDefault="001D0222" w:rsidP="001D0222">
            <w:pPr>
              <w:rPr>
                <w:sz w:val="20"/>
                <w:szCs w:val="20"/>
              </w:rPr>
            </w:pPr>
            <w:r w:rsidRPr="001D0222">
              <w:rPr>
                <w:sz w:val="20"/>
                <w:szCs w:val="20"/>
              </w:rPr>
              <w:t>Health Care Services</w:t>
            </w:r>
          </w:p>
          <w:p w:rsidR="001D0222" w:rsidRPr="001D0222" w:rsidRDefault="001D0222" w:rsidP="001D0222">
            <w:pPr>
              <w:rPr>
                <w:sz w:val="20"/>
                <w:szCs w:val="20"/>
              </w:rPr>
            </w:pPr>
            <w:r w:rsidRPr="001D0222">
              <w:rPr>
                <w:sz w:val="20"/>
                <w:szCs w:val="20"/>
              </w:rPr>
              <w:t>Residential Care and Social Assistance Services</w:t>
            </w:r>
          </w:p>
          <w:p w:rsidR="001D0222" w:rsidRPr="001D0222" w:rsidRDefault="001D0222" w:rsidP="001D0222">
            <w:pPr>
              <w:rPr>
                <w:sz w:val="20"/>
                <w:szCs w:val="20"/>
              </w:rPr>
            </w:pPr>
            <w:r w:rsidRPr="001D0222">
              <w:rPr>
                <w:sz w:val="20"/>
                <w:szCs w:val="20"/>
              </w:rPr>
              <w:t>Heritage, Creative and Performing Arts</w:t>
            </w:r>
          </w:p>
          <w:p w:rsidR="001D0222" w:rsidRPr="001D0222" w:rsidRDefault="001D0222" w:rsidP="001D0222">
            <w:pPr>
              <w:rPr>
                <w:sz w:val="20"/>
                <w:szCs w:val="20"/>
              </w:rPr>
            </w:pPr>
            <w:r w:rsidRPr="001D0222">
              <w:rPr>
                <w:sz w:val="20"/>
                <w:szCs w:val="20"/>
              </w:rPr>
              <w:t>Sports and Recreation</w:t>
            </w:r>
          </w:p>
          <w:p w:rsidR="001D0222" w:rsidRPr="001D0222" w:rsidRDefault="001D0222" w:rsidP="001D0222">
            <w:pPr>
              <w:rPr>
                <w:sz w:val="20"/>
                <w:szCs w:val="20"/>
              </w:rPr>
            </w:pPr>
            <w:r w:rsidRPr="001D0222">
              <w:rPr>
                <w:sz w:val="20"/>
                <w:szCs w:val="20"/>
              </w:rPr>
              <w:t>Gambling</w:t>
            </w:r>
          </w:p>
          <w:p w:rsidR="001D0222" w:rsidRPr="001D0222" w:rsidRDefault="001D0222" w:rsidP="001D0222">
            <w:pPr>
              <w:rPr>
                <w:sz w:val="20"/>
                <w:szCs w:val="20"/>
              </w:rPr>
            </w:pPr>
            <w:r w:rsidRPr="001D0222">
              <w:rPr>
                <w:sz w:val="20"/>
                <w:szCs w:val="20"/>
              </w:rPr>
              <w:t>Automotive Repair and Maintenance</w:t>
            </w:r>
          </w:p>
          <w:p w:rsidR="001D0222" w:rsidRPr="001D0222" w:rsidRDefault="001D0222" w:rsidP="001D0222">
            <w:pPr>
              <w:rPr>
                <w:sz w:val="20"/>
                <w:szCs w:val="20"/>
              </w:rPr>
            </w:pPr>
            <w:r w:rsidRPr="001D0222">
              <w:rPr>
                <w:sz w:val="20"/>
                <w:szCs w:val="20"/>
              </w:rPr>
              <w:t>Other Repair and Maintenance</w:t>
            </w:r>
          </w:p>
          <w:p w:rsidR="001D0222" w:rsidRPr="001D0222" w:rsidRDefault="001D0222" w:rsidP="001D0222">
            <w:pPr>
              <w:rPr>
                <w:sz w:val="20"/>
                <w:szCs w:val="20"/>
              </w:rPr>
            </w:pPr>
            <w:r w:rsidRPr="001D0222">
              <w:rPr>
                <w:sz w:val="20"/>
                <w:szCs w:val="20"/>
              </w:rPr>
              <w:t>Personal Services</w:t>
            </w:r>
          </w:p>
          <w:p w:rsidR="001D0222" w:rsidRPr="001D0222" w:rsidRDefault="001D0222" w:rsidP="001D0222">
            <w:pPr>
              <w:rPr>
                <w:sz w:val="20"/>
                <w:szCs w:val="20"/>
              </w:rPr>
            </w:pPr>
            <w:r w:rsidRPr="001D0222">
              <w:rPr>
                <w:sz w:val="20"/>
                <w:szCs w:val="20"/>
              </w:rPr>
              <w:t>Other Services</w:t>
            </w:r>
          </w:p>
        </w:tc>
      </w:tr>
      <w:tr w:rsidR="001D0222" w:rsidRPr="001D0222" w:rsidTr="001D0222">
        <w:trPr>
          <w:trHeight w:val="300"/>
          <w:jc w:val="center"/>
        </w:trPr>
        <w:tc>
          <w:tcPr>
            <w:tcW w:w="767" w:type="pct"/>
            <w:vMerge w:val="restart"/>
            <w:hideMark/>
          </w:tcPr>
          <w:p w:rsidR="001D0222" w:rsidRPr="001D0222" w:rsidRDefault="001D0222" w:rsidP="001D0222">
            <w:pPr>
              <w:rPr>
                <w:sz w:val="20"/>
                <w:szCs w:val="20"/>
              </w:rPr>
            </w:pPr>
            <w:r w:rsidRPr="001D0222">
              <w:rPr>
                <w:sz w:val="20"/>
                <w:szCs w:val="20"/>
              </w:rPr>
              <w:t>Div. I Transport, Postal and Warehousing</w:t>
            </w:r>
          </w:p>
        </w:tc>
        <w:tc>
          <w:tcPr>
            <w:tcW w:w="1269" w:type="pct"/>
            <w:noWrap/>
            <w:hideMark/>
          </w:tcPr>
          <w:p w:rsidR="001D0222" w:rsidRPr="001D0222" w:rsidRDefault="001D0222" w:rsidP="001D0222">
            <w:pPr>
              <w:rPr>
                <w:sz w:val="20"/>
                <w:szCs w:val="20"/>
              </w:rPr>
            </w:pPr>
            <w:r w:rsidRPr="001D0222">
              <w:rPr>
                <w:sz w:val="20"/>
                <w:szCs w:val="20"/>
              </w:rPr>
              <w:t>46 Road Transport</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4601</w:t>
            </w:r>
          </w:p>
        </w:tc>
        <w:tc>
          <w:tcPr>
            <w:tcW w:w="1596" w:type="pct"/>
            <w:noWrap/>
            <w:hideMark/>
          </w:tcPr>
          <w:p w:rsidR="001D0222" w:rsidRPr="001D0222" w:rsidRDefault="001D0222" w:rsidP="001D0222">
            <w:pPr>
              <w:rPr>
                <w:sz w:val="20"/>
                <w:szCs w:val="20"/>
              </w:rPr>
            </w:pPr>
            <w:r w:rsidRPr="001D0222">
              <w:rPr>
                <w:sz w:val="20"/>
                <w:szCs w:val="20"/>
              </w:rPr>
              <w:t>Road Transport</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47 Railway Transport</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4701</w:t>
            </w:r>
          </w:p>
        </w:tc>
        <w:tc>
          <w:tcPr>
            <w:tcW w:w="1596" w:type="pct"/>
            <w:noWrap/>
            <w:hideMark/>
          </w:tcPr>
          <w:p w:rsidR="001D0222" w:rsidRPr="001D0222" w:rsidRDefault="001D0222" w:rsidP="001D0222">
            <w:pPr>
              <w:rPr>
                <w:sz w:val="20"/>
                <w:szCs w:val="20"/>
              </w:rPr>
            </w:pPr>
            <w:r w:rsidRPr="001D0222">
              <w:rPr>
                <w:sz w:val="20"/>
                <w:szCs w:val="20"/>
              </w:rPr>
              <w:t>Rail Transport</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48 Domestic Water Transport</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4801</w:t>
            </w:r>
          </w:p>
        </w:tc>
        <w:tc>
          <w:tcPr>
            <w:tcW w:w="1596" w:type="pct"/>
            <w:noWrap/>
            <w:hideMark/>
          </w:tcPr>
          <w:p w:rsidR="001D0222" w:rsidRPr="001D0222" w:rsidRDefault="001D0222" w:rsidP="001D0222">
            <w:pPr>
              <w:rPr>
                <w:sz w:val="20"/>
                <w:szCs w:val="20"/>
              </w:rPr>
            </w:pPr>
            <w:r w:rsidRPr="001D0222">
              <w:rPr>
                <w:sz w:val="20"/>
                <w:szCs w:val="20"/>
              </w:rPr>
              <w:t>Water, Pipeline and Other Transport</w:t>
            </w:r>
          </w:p>
        </w:tc>
      </w:tr>
      <w:tr w:rsidR="001D0222" w:rsidRPr="001D0222" w:rsidTr="001D0222">
        <w:trPr>
          <w:trHeight w:val="300"/>
          <w:jc w:val="center"/>
        </w:trPr>
        <w:tc>
          <w:tcPr>
            <w:tcW w:w="767" w:type="pct"/>
            <w:vMerge/>
            <w:hideMark/>
          </w:tcPr>
          <w:p w:rsidR="001D0222" w:rsidRPr="001D0222" w:rsidRDefault="001D0222" w:rsidP="001D0222">
            <w:pPr>
              <w:rPr>
                <w:sz w:val="20"/>
                <w:szCs w:val="20"/>
              </w:rPr>
            </w:pPr>
          </w:p>
        </w:tc>
        <w:tc>
          <w:tcPr>
            <w:tcW w:w="1269" w:type="pct"/>
            <w:noWrap/>
            <w:hideMark/>
          </w:tcPr>
          <w:p w:rsidR="001D0222" w:rsidRPr="001D0222" w:rsidRDefault="001D0222" w:rsidP="001D0222">
            <w:pPr>
              <w:rPr>
                <w:sz w:val="20"/>
                <w:szCs w:val="20"/>
              </w:rPr>
            </w:pPr>
            <w:r w:rsidRPr="001D0222">
              <w:rPr>
                <w:sz w:val="20"/>
                <w:szCs w:val="20"/>
              </w:rPr>
              <w:t>49 Domestic Air and Space Transport</w:t>
            </w:r>
          </w:p>
        </w:tc>
        <w:tc>
          <w:tcPr>
            <w:tcW w:w="1015" w:type="pct"/>
            <w:tcBorders>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tcBorders>
            <w:noWrap/>
            <w:hideMark/>
          </w:tcPr>
          <w:p w:rsidR="001D0222" w:rsidRPr="001D0222" w:rsidRDefault="001D0222" w:rsidP="001D0222">
            <w:pPr>
              <w:rPr>
                <w:sz w:val="20"/>
                <w:szCs w:val="20"/>
              </w:rPr>
            </w:pPr>
            <w:r w:rsidRPr="001D0222">
              <w:rPr>
                <w:sz w:val="20"/>
                <w:szCs w:val="20"/>
              </w:rPr>
              <w:t>4901</w:t>
            </w:r>
          </w:p>
        </w:tc>
        <w:tc>
          <w:tcPr>
            <w:tcW w:w="1596" w:type="pct"/>
            <w:noWrap/>
            <w:hideMark/>
          </w:tcPr>
          <w:p w:rsidR="001D0222" w:rsidRPr="001D0222" w:rsidRDefault="001D0222" w:rsidP="001D0222">
            <w:pPr>
              <w:rPr>
                <w:sz w:val="20"/>
                <w:szCs w:val="20"/>
              </w:rPr>
            </w:pPr>
            <w:r w:rsidRPr="001D0222">
              <w:rPr>
                <w:sz w:val="20"/>
                <w:szCs w:val="20"/>
              </w:rPr>
              <w:t>Air and Space Transport</w:t>
            </w:r>
          </w:p>
        </w:tc>
      </w:tr>
      <w:tr w:rsidR="001D0222" w:rsidRPr="001D0222" w:rsidTr="001D0222">
        <w:trPr>
          <w:trHeight w:val="1022"/>
          <w:jc w:val="center"/>
        </w:trPr>
        <w:tc>
          <w:tcPr>
            <w:tcW w:w="767" w:type="pct"/>
            <w:vMerge/>
            <w:tcBorders>
              <w:bottom w:val="single" w:sz="12" w:space="0" w:color="auto"/>
            </w:tcBorders>
            <w:hideMark/>
          </w:tcPr>
          <w:p w:rsidR="001D0222" w:rsidRPr="001D0222" w:rsidRDefault="001D0222" w:rsidP="001D0222">
            <w:pPr>
              <w:rPr>
                <w:sz w:val="20"/>
                <w:szCs w:val="20"/>
              </w:rPr>
            </w:pPr>
          </w:p>
        </w:tc>
        <w:tc>
          <w:tcPr>
            <w:tcW w:w="1269" w:type="pct"/>
            <w:tcBorders>
              <w:bottom w:val="single" w:sz="12" w:space="0" w:color="auto"/>
            </w:tcBorders>
            <w:noWrap/>
            <w:hideMark/>
          </w:tcPr>
          <w:p w:rsidR="001D0222" w:rsidRPr="001D0222" w:rsidRDefault="001D0222" w:rsidP="001D0222">
            <w:pPr>
              <w:rPr>
                <w:sz w:val="20"/>
                <w:szCs w:val="20"/>
              </w:rPr>
            </w:pPr>
            <w:r w:rsidRPr="001D0222">
              <w:rPr>
                <w:sz w:val="20"/>
                <w:szCs w:val="20"/>
              </w:rPr>
              <w:t>50-53 Other Transport, Services and Storage</w:t>
            </w:r>
          </w:p>
          <w:p w:rsidR="001D0222" w:rsidRPr="001D0222" w:rsidRDefault="001D0222" w:rsidP="001D0222">
            <w:pPr>
              <w:rPr>
                <w:sz w:val="20"/>
                <w:szCs w:val="20"/>
              </w:rPr>
            </w:pPr>
            <w:r w:rsidRPr="001D0222">
              <w:rPr>
                <w:sz w:val="20"/>
                <w:szCs w:val="20"/>
              </w:rPr>
              <w:t> </w:t>
            </w:r>
          </w:p>
        </w:tc>
        <w:tc>
          <w:tcPr>
            <w:tcW w:w="1015" w:type="pct"/>
            <w:tcBorders>
              <w:bottom w:val="single" w:sz="12" w:space="0" w:color="auto"/>
              <w:right w:val="single" w:sz="12" w:space="0" w:color="auto"/>
            </w:tcBorders>
            <w:noWrap/>
            <w:hideMark/>
          </w:tcPr>
          <w:p w:rsidR="001D0222" w:rsidRPr="001D0222" w:rsidRDefault="001D0222" w:rsidP="001D0222">
            <w:pPr>
              <w:rPr>
                <w:sz w:val="20"/>
                <w:szCs w:val="20"/>
              </w:rPr>
            </w:pPr>
            <w:r w:rsidRPr="001D0222">
              <w:rPr>
                <w:sz w:val="20"/>
                <w:szCs w:val="20"/>
              </w:rPr>
              <w:t> </w:t>
            </w:r>
          </w:p>
        </w:tc>
        <w:tc>
          <w:tcPr>
            <w:tcW w:w="354" w:type="pct"/>
            <w:tcBorders>
              <w:left w:val="single" w:sz="12" w:space="0" w:color="auto"/>
              <w:bottom w:val="single" w:sz="12" w:space="0" w:color="auto"/>
            </w:tcBorders>
            <w:noWrap/>
            <w:hideMark/>
          </w:tcPr>
          <w:p w:rsidR="001D0222" w:rsidRPr="001D0222" w:rsidRDefault="001D0222" w:rsidP="001D0222">
            <w:pPr>
              <w:rPr>
                <w:sz w:val="20"/>
                <w:szCs w:val="20"/>
              </w:rPr>
            </w:pPr>
            <w:r w:rsidRPr="001D0222">
              <w:rPr>
                <w:sz w:val="20"/>
                <w:szCs w:val="20"/>
              </w:rPr>
              <w:t>5101</w:t>
            </w:r>
          </w:p>
          <w:p w:rsidR="001D0222" w:rsidRPr="001D0222" w:rsidRDefault="001D0222" w:rsidP="001D0222">
            <w:pPr>
              <w:rPr>
                <w:sz w:val="20"/>
                <w:szCs w:val="20"/>
              </w:rPr>
            </w:pPr>
          </w:p>
          <w:p w:rsidR="001D0222" w:rsidRPr="001D0222" w:rsidRDefault="001D0222" w:rsidP="001D0222">
            <w:pPr>
              <w:rPr>
                <w:sz w:val="20"/>
                <w:szCs w:val="20"/>
              </w:rPr>
            </w:pPr>
            <w:r w:rsidRPr="001D0222">
              <w:rPr>
                <w:sz w:val="20"/>
                <w:szCs w:val="20"/>
              </w:rPr>
              <w:t>5201</w:t>
            </w:r>
          </w:p>
        </w:tc>
        <w:tc>
          <w:tcPr>
            <w:tcW w:w="1596" w:type="pct"/>
            <w:tcBorders>
              <w:bottom w:val="single" w:sz="12" w:space="0" w:color="auto"/>
            </w:tcBorders>
            <w:noWrap/>
            <w:hideMark/>
          </w:tcPr>
          <w:p w:rsidR="001D0222" w:rsidRPr="001D0222" w:rsidRDefault="001D0222" w:rsidP="001D0222">
            <w:pPr>
              <w:rPr>
                <w:sz w:val="20"/>
                <w:szCs w:val="20"/>
              </w:rPr>
            </w:pPr>
            <w:r w:rsidRPr="001D0222">
              <w:rPr>
                <w:sz w:val="20"/>
                <w:szCs w:val="20"/>
              </w:rPr>
              <w:t>Postal and Courier Pick-up and Delivery Service</w:t>
            </w:r>
          </w:p>
          <w:p w:rsidR="001D0222" w:rsidRPr="001D0222" w:rsidRDefault="001D0222" w:rsidP="001D0222">
            <w:pPr>
              <w:rPr>
                <w:sz w:val="20"/>
                <w:szCs w:val="20"/>
              </w:rPr>
            </w:pPr>
            <w:r w:rsidRPr="001D0222">
              <w:rPr>
                <w:sz w:val="20"/>
                <w:szCs w:val="20"/>
              </w:rPr>
              <w:t>Transport Support services and storage</w:t>
            </w:r>
          </w:p>
        </w:tc>
      </w:tr>
    </w:tbl>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1D0222" w:rsidRDefault="001D0222" w:rsidP="00D2247B">
      <w:pPr>
        <w:autoSpaceDE w:val="0"/>
        <w:autoSpaceDN w:val="0"/>
        <w:adjustRightInd w:val="0"/>
        <w:spacing w:line="360" w:lineRule="auto"/>
        <w:jc w:val="both"/>
        <w:rPr>
          <w:rFonts w:ascii="TimesNewRoman" w:eastAsiaTheme="minorHAnsi" w:hAnsi="TimesNewRoman" w:cs="TimesNewRoman"/>
          <w:b/>
          <w:lang w:eastAsia="en-US"/>
        </w:rPr>
      </w:pPr>
    </w:p>
    <w:p w:rsidR="00AC3CC0" w:rsidRPr="0022618C" w:rsidRDefault="00AC3CC0" w:rsidP="00AC3CC0">
      <w:pPr>
        <w:autoSpaceDE w:val="0"/>
        <w:autoSpaceDN w:val="0"/>
        <w:adjustRightInd w:val="0"/>
        <w:spacing w:line="360" w:lineRule="auto"/>
        <w:jc w:val="both"/>
        <w:rPr>
          <w:b/>
          <w:lang w:eastAsia="en-US"/>
        </w:rPr>
      </w:pPr>
      <w:r w:rsidRPr="0022618C">
        <w:rPr>
          <w:b/>
          <w:lang w:eastAsia="en-US"/>
        </w:rPr>
        <w:lastRenderedPageBreak/>
        <w:t xml:space="preserve">Appendix </w:t>
      </w:r>
      <w:r>
        <w:rPr>
          <w:b/>
          <w:lang w:eastAsia="en-US"/>
        </w:rPr>
        <w:t>4</w:t>
      </w:r>
      <w:r w:rsidRPr="0022618C">
        <w:rPr>
          <w:b/>
          <w:lang w:eastAsia="en-US"/>
        </w:rPr>
        <w:t xml:space="preserve">: </w:t>
      </w:r>
      <w:r>
        <w:rPr>
          <w:b/>
          <w:lang w:eastAsia="en-US"/>
        </w:rPr>
        <w:t xml:space="preserve">Concordance DCCEE </w:t>
      </w:r>
      <w:r w:rsidRPr="0073692A">
        <w:rPr>
          <w:b/>
          <w:lang w:eastAsia="en-US"/>
        </w:rPr>
        <w:t>Industry Classification and</w:t>
      </w:r>
      <w:r>
        <w:rPr>
          <w:b/>
          <w:lang w:eastAsia="en-US"/>
        </w:rPr>
        <w:t xml:space="preserve"> </w:t>
      </w:r>
      <w:r w:rsidRPr="0022618C">
        <w:rPr>
          <w:b/>
          <w:lang w:eastAsia="en-US"/>
        </w:rPr>
        <w:t>IOIG classification</w:t>
      </w:r>
    </w:p>
    <w:p w:rsidR="00AC3CC0" w:rsidRDefault="00AC3CC0" w:rsidP="00AC3CC0">
      <w:pPr>
        <w:autoSpaceDE w:val="0"/>
        <w:autoSpaceDN w:val="0"/>
        <w:adjustRightInd w:val="0"/>
        <w:spacing w:line="360" w:lineRule="auto"/>
        <w:jc w:val="both"/>
        <w:rPr>
          <w:b/>
          <w:lang w:eastAsia="en-US"/>
        </w:rPr>
      </w:pPr>
    </w:p>
    <w:tbl>
      <w:tblPr>
        <w:tblW w:w="5000" w:type="pct"/>
        <w:tblLook w:val="04A0" w:firstRow="1" w:lastRow="0" w:firstColumn="1" w:lastColumn="0" w:noHBand="0" w:noVBand="1"/>
      </w:tblPr>
      <w:tblGrid>
        <w:gridCol w:w="732"/>
        <w:gridCol w:w="4177"/>
        <w:gridCol w:w="4333"/>
      </w:tblGrid>
      <w:tr w:rsidR="00AC3CC0" w:rsidRPr="00515689" w:rsidTr="00C1666C">
        <w:trPr>
          <w:trHeight w:val="390"/>
        </w:trPr>
        <w:tc>
          <w:tcPr>
            <w:tcW w:w="39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single" w:sz="8" w:space="0" w:color="auto"/>
              <w:left w:val="nil"/>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b/>
                <w:bCs/>
                <w:color w:val="000000"/>
                <w:sz w:val="28"/>
                <w:szCs w:val="28"/>
              </w:rPr>
            </w:pPr>
            <w:r w:rsidRPr="00515689">
              <w:rPr>
                <w:rFonts w:ascii="Calibri" w:hAnsi="Calibri" w:cs="Calibri"/>
                <w:b/>
                <w:bCs/>
                <w:color w:val="000000"/>
                <w:sz w:val="28"/>
                <w:szCs w:val="28"/>
              </w:rPr>
              <w:t>IOIG Descriptor</w:t>
            </w:r>
          </w:p>
        </w:tc>
        <w:tc>
          <w:tcPr>
            <w:tcW w:w="2344" w:type="pct"/>
            <w:tcBorders>
              <w:top w:val="single" w:sz="8" w:space="0" w:color="auto"/>
              <w:left w:val="nil"/>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b/>
                <w:bCs/>
                <w:color w:val="000000"/>
                <w:sz w:val="28"/>
                <w:szCs w:val="28"/>
              </w:rPr>
            </w:pPr>
            <w:r w:rsidRPr="00515689">
              <w:rPr>
                <w:rFonts w:ascii="Calibri" w:hAnsi="Calibri" w:cs="Calibri"/>
                <w:b/>
                <w:bCs/>
                <w:color w:val="000000"/>
                <w:sz w:val="28"/>
                <w:szCs w:val="28"/>
              </w:rPr>
              <w:t>IPCC emission category</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0101</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Sheep, Grains, Beef and Dairy Cattle</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Sheep</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Dairy Cattle</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Non-Dairy Cattle</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Sheep</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Cattle</w:t>
            </w:r>
          </w:p>
        </w:tc>
      </w:tr>
      <w:tr w:rsidR="00AC3CC0" w:rsidRPr="00515689" w:rsidTr="00C1666C">
        <w:trPr>
          <w:trHeight w:val="315"/>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Irrigated</w:t>
            </w:r>
          </w:p>
        </w:tc>
      </w:tr>
      <w:tr w:rsidR="00AC3CC0" w:rsidRPr="00515689" w:rsidTr="00C1666C">
        <w:trPr>
          <w:trHeight w:val="300"/>
        </w:trPr>
        <w:tc>
          <w:tcPr>
            <w:tcW w:w="396" w:type="pct"/>
            <w:tcBorders>
              <w:top w:val="single" w:sz="8" w:space="0" w:color="auto"/>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0102</w:t>
            </w:r>
          </w:p>
        </w:tc>
        <w:tc>
          <w:tcPr>
            <w:tcW w:w="2260" w:type="pct"/>
            <w:tcBorders>
              <w:top w:val="single" w:sz="8" w:space="0" w:color="auto"/>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Poultry and Other Livestock</w:t>
            </w:r>
          </w:p>
        </w:tc>
        <w:tc>
          <w:tcPr>
            <w:tcW w:w="2344" w:type="pct"/>
            <w:tcBorders>
              <w:top w:val="single" w:sz="8" w:space="0" w:color="auto"/>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Poultry</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Horses</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Swine</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Other Livestock</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Buffalo</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Goats</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Camels and Llamas</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Mules and Asses</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Horses</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Swine</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Other Livestock</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Buffalo</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Goats</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Camels and Llamas</w:t>
            </w:r>
          </w:p>
        </w:tc>
      </w:tr>
      <w:tr w:rsidR="00AC3CC0" w:rsidRPr="00515689" w:rsidTr="00C1666C">
        <w:trPr>
          <w:trHeight w:val="315"/>
        </w:trPr>
        <w:tc>
          <w:tcPr>
            <w:tcW w:w="396" w:type="pct"/>
            <w:tcBorders>
              <w:top w:val="nil"/>
              <w:left w:val="single" w:sz="8" w:space="0" w:color="auto"/>
              <w:bottom w:val="single" w:sz="8" w:space="0" w:color="auto"/>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Mules and Asses</w:t>
            </w:r>
          </w:p>
        </w:tc>
      </w:tr>
      <w:tr w:rsidR="00AC3CC0" w:rsidRPr="00515689" w:rsidTr="00C1666C">
        <w:trPr>
          <w:trHeight w:val="300"/>
        </w:trPr>
        <w:tc>
          <w:tcPr>
            <w:tcW w:w="396" w:type="pct"/>
            <w:tcBorders>
              <w:top w:val="single" w:sz="8" w:space="0" w:color="auto"/>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0103</w:t>
            </w:r>
          </w:p>
        </w:tc>
        <w:tc>
          <w:tcPr>
            <w:tcW w:w="2260" w:type="pct"/>
            <w:tcBorders>
              <w:top w:val="single" w:sz="8" w:space="0" w:color="auto"/>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Other Agriculture</w:t>
            </w:r>
          </w:p>
        </w:tc>
        <w:tc>
          <w:tcPr>
            <w:tcW w:w="2344" w:type="pct"/>
            <w:tcBorders>
              <w:top w:val="single" w:sz="8" w:space="0" w:color="auto"/>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Agricultural Soils</w:t>
            </w:r>
          </w:p>
        </w:tc>
      </w:tr>
      <w:tr w:rsidR="00AC3CC0" w:rsidRPr="00515689" w:rsidTr="00C1666C">
        <w:trPr>
          <w:trHeight w:val="300"/>
        </w:trPr>
        <w:tc>
          <w:tcPr>
            <w:tcW w:w="396" w:type="pct"/>
            <w:tcBorders>
              <w:top w:val="nil"/>
              <w:left w:val="single" w:sz="8" w:space="0" w:color="auto"/>
              <w:bottom w:val="nil"/>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nil"/>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xml:space="preserve">Prescribed Burning of </w:t>
            </w:r>
            <w:proofErr w:type="spellStart"/>
            <w:r w:rsidRPr="00515689">
              <w:rPr>
                <w:rFonts w:ascii="Calibri" w:hAnsi="Calibri" w:cs="Calibri"/>
                <w:color w:val="000000"/>
                <w:sz w:val="22"/>
                <w:szCs w:val="22"/>
              </w:rPr>
              <w:t>Savannas</w:t>
            </w:r>
            <w:proofErr w:type="spellEnd"/>
          </w:p>
        </w:tc>
      </w:tr>
      <w:tr w:rsidR="00AC3CC0" w:rsidRPr="00515689" w:rsidTr="00C1666C">
        <w:trPr>
          <w:trHeight w:val="315"/>
        </w:trPr>
        <w:tc>
          <w:tcPr>
            <w:tcW w:w="396" w:type="pct"/>
            <w:tcBorders>
              <w:top w:val="nil"/>
              <w:left w:val="single" w:sz="8" w:space="0" w:color="auto"/>
              <w:bottom w:val="single" w:sz="8" w:space="0" w:color="auto"/>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260" w:type="pct"/>
            <w:tcBorders>
              <w:top w:val="nil"/>
              <w:left w:val="single" w:sz="8" w:space="0" w:color="auto"/>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c>
          <w:tcPr>
            <w:tcW w:w="2344" w:type="pct"/>
            <w:tcBorders>
              <w:top w:val="nil"/>
              <w:left w:val="nil"/>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Field Burning of Agricultural Residues</w:t>
            </w:r>
          </w:p>
        </w:tc>
      </w:tr>
      <w:tr w:rsidR="00AC3CC0" w:rsidRPr="00515689" w:rsidTr="00C1666C">
        <w:trPr>
          <w:trHeight w:val="315"/>
        </w:trPr>
        <w:tc>
          <w:tcPr>
            <w:tcW w:w="396" w:type="pct"/>
            <w:tcBorders>
              <w:top w:val="nil"/>
              <w:left w:val="single" w:sz="8" w:space="0" w:color="auto"/>
              <w:bottom w:val="single" w:sz="8" w:space="0" w:color="auto"/>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0201</w:t>
            </w:r>
          </w:p>
        </w:tc>
        <w:tc>
          <w:tcPr>
            <w:tcW w:w="2260" w:type="pct"/>
            <w:tcBorders>
              <w:top w:val="nil"/>
              <w:left w:val="single" w:sz="8" w:space="0" w:color="auto"/>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Aquaculture</w:t>
            </w:r>
          </w:p>
        </w:tc>
        <w:tc>
          <w:tcPr>
            <w:tcW w:w="2344" w:type="pct"/>
            <w:tcBorders>
              <w:top w:val="nil"/>
              <w:left w:val="nil"/>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 </w:t>
            </w:r>
          </w:p>
        </w:tc>
      </w:tr>
      <w:tr w:rsidR="00AC3CC0" w:rsidRPr="00515689" w:rsidTr="00C1666C">
        <w:trPr>
          <w:trHeight w:val="315"/>
        </w:trPr>
        <w:tc>
          <w:tcPr>
            <w:tcW w:w="396" w:type="pct"/>
            <w:tcBorders>
              <w:top w:val="nil"/>
              <w:left w:val="single" w:sz="8" w:space="0" w:color="auto"/>
              <w:bottom w:val="single" w:sz="8" w:space="0" w:color="auto"/>
              <w:right w:val="nil"/>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0301</w:t>
            </w:r>
          </w:p>
        </w:tc>
        <w:tc>
          <w:tcPr>
            <w:tcW w:w="2260" w:type="pct"/>
            <w:tcBorders>
              <w:top w:val="nil"/>
              <w:left w:val="single" w:sz="8" w:space="0" w:color="auto"/>
              <w:bottom w:val="single" w:sz="8" w:space="0" w:color="auto"/>
              <w:right w:val="single" w:sz="8" w:space="0" w:color="auto"/>
            </w:tcBorders>
            <w:shd w:val="clear" w:color="auto" w:fill="auto"/>
            <w:noWrap/>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Forestry and Logging</w:t>
            </w:r>
          </w:p>
        </w:tc>
        <w:tc>
          <w:tcPr>
            <w:tcW w:w="2344" w:type="pct"/>
            <w:tcBorders>
              <w:top w:val="nil"/>
              <w:left w:val="nil"/>
              <w:bottom w:val="single" w:sz="8" w:space="0" w:color="auto"/>
              <w:right w:val="single" w:sz="8" w:space="0" w:color="auto"/>
            </w:tcBorders>
            <w:shd w:val="clear" w:color="auto" w:fill="auto"/>
            <w:vAlign w:val="bottom"/>
            <w:hideMark/>
          </w:tcPr>
          <w:p w:rsidR="00AC3CC0" w:rsidRPr="00515689" w:rsidRDefault="00AC3CC0" w:rsidP="00C1666C">
            <w:pPr>
              <w:rPr>
                <w:rFonts w:ascii="Calibri" w:hAnsi="Calibri" w:cs="Calibri"/>
                <w:color w:val="000000"/>
                <w:sz w:val="22"/>
                <w:szCs w:val="22"/>
              </w:rPr>
            </w:pPr>
            <w:r w:rsidRPr="00515689">
              <w:rPr>
                <w:rFonts w:ascii="Calibri" w:hAnsi="Calibri" w:cs="Calibri"/>
                <w:color w:val="000000"/>
                <w:sz w:val="22"/>
                <w:szCs w:val="22"/>
              </w:rPr>
              <w:t>Afforestation and reforestation offsets</w:t>
            </w:r>
          </w:p>
        </w:tc>
      </w:tr>
    </w:tbl>
    <w:p w:rsidR="00AC3CC0" w:rsidRDefault="00AC3CC0" w:rsidP="00AC3CC0">
      <w:pPr>
        <w:autoSpaceDE w:val="0"/>
        <w:autoSpaceDN w:val="0"/>
        <w:adjustRightInd w:val="0"/>
        <w:spacing w:line="360" w:lineRule="auto"/>
        <w:jc w:val="both"/>
        <w:rPr>
          <w:b/>
          <w:lang w:eastAsia="en-US"/>
        </w:rPr>
      </w:pP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Default="00D2247B" w:rsidP="00D2247B">
      <w:pPr>
        <w:autoSpaceDE w:val="0"/>
        <w:autoSpaceDN w:val="0"/>
        <w:adjustRightInd w:val="0"/>
        <w:spacing w:line="360" w:lineRule="auto"/>
        <w:jc w:val="both"/>
        <w:rPr>
          <w:rFonts w:eastAsiaTheme="minorHAnsi"/>
          <w:lang w:eastAsia="en-US"/>
        </w:rPr>
      </w:pPr>
      <w:r w:rsidRPr="005751A3">
        <w:rPr>
          <w:rFonts w:eastAsiaTheme="minorHAnsi"/>
          <w:lang w:eastAsia="en-US"/>
        </w:rPr>
        <w:t xml:space="preserve">The detailed emission data by IPCC emission categories obtained from the </w:t>
      </w:r>
      <w:r w:rsidR="00C45375">
        <w:rPr>
          <w:rFonts w:eastAsiaTheme="minorHAnsi"/>
          <w:lang w:eastAsia="en-US"/>
        </w:rPr>
        <w:t>AGEIS</w:t>
      </w:r>
      <w:r w:rsidRPr="005751A3">
        <w:rPr>
          <w:rFonts w:eastAsiaTheme="minorHAnsi"/>
          <w:lang w:eastAsia="en-US"/>
        </w:rPr>
        <w:t xml:space="preserve"> reporting interface enables the attribution of the emission data towards the IOIG agricultural industries which results in the below table</w:t>
      </w:r>
      <w:r w:rsidR="00161B7E">
        <w:rPr>
          <w:rFonts w:eastAsiaTheme="minorHAnsi"/>
          <w:lang w:eastAsia="en-US"/>
        </w:rPr>
        <w:t xml:space="preserve"> (the results have been blacked out as the detailed industry data is not published in this study)</w:t>
      </w:r>
      <w:r w:rsidRPr="005751A3">
        <w:rPr>
          <w:rFonts w:eastAsiaTheme="minorHAnsi"/>
          <w:lang w:eastAsia="en-US"/>
        </w:rPr>
        <w:t>:</w:t>
      </w:r>
    </w:p>
    <w:p w:rsidR="00AC3CC0" w:rsidRDefault="00AC3CC0" w:rsidP="00D2247B">
      <w:pPr>
        <w:autoSpaceDE w:val="0"/>
        <w:autoSpaceDN w:val="0"/>
        <w:adjustRightInd w:val="0"/>
        <w:spacing w:line="360" w:lineRule="auto"/>
        <w:jc w:val="both"/>
        <w:rPr>
          <w:rFonts w:eastAsiaTheme="minorHAnsi"/>
          <w:lang w:eastAsia="en-US"/>
        </w:rPr>
      </w:pPr>
    </w:p>
    <w:p w:rsidR="00AC3CC0" w:rsidRDefault="00AC3CC0" w:rsidP="00D2247B">
      <w:pPr>
        <w:autoSpaceDE w:val="0"/>
        <w:autoSpaceDN w:val="0"/>
        <w:adjustRightInd w:val="0"/>
        <w:spacing w:line="360" w:lineRule="auto"/>
        <w:jc w:val="both"/>
        <w:rPr>
          <w:rFonts w:eastAsiaTheme="minorHAnsi"/>
          <w:lang w:eastAsia="en-US"/>
        </w:rPr>
      </w:pPr>
    </w:p>
    <w:p w:rsidR="00AC3CC0" w:rsidRPr="005751A3" w:rsidRDefault="00AC3CC0" w:rsidP="00D2247B">
      <w:pPr>
        <w:autoSpaceDE w:val="0"/>
        <w:autoSpaceDN w:val="0"/>
        <w:adjustRightInd w:val="0"/>
        <w:spacing w:line="360" w:lineRule="auto"/>
        <w:jc w:val="both"/>
        <w:rPr>
          <w:rFonts w:eastAsiaTheme="minorHAnsi"/>
          <w:lang w:eastAsia="en-US"/>
        </w:rPr>
      </w:pP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tbl>
      <w:tblPr>
        <w:tblStyle w:val="TableGrid"/>
        <w:tblW w:w="9242"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00"/>
        <w:gridCol w:w="5243"/>
        <w:gridCol w:w="3199"/>
      </w:tblGrid>
      <w:tr w:rsidR="00D2247B" w:rsidRPr="009C2FFC" w:rsidTr="009A1839">
        <w:trPr>
          <w:trHeight w:val="620"/>
          <w:jc w:val="center"/>
        </w:trPr>
        <w:tc>
          <w:tcPr>
            <w:tcW w:w="800" w:type="dxa"/>
            <w:hideMark/>
          </w:tcPr>
          <w:p w:rsidR="00D2247B" w:rsidRPr="009C2FFC" w:rsidRDefault="00D2247B" w:rsidP="009A1839">
            <w:pPr>
              <w:jc w:val="center"/>
              <w:rPr>
                <w:b/>
                <w:bCs/>
                <w:color w:val="000000"/>
              </w:rPr>
            </w:pPr>
            <w:r w:rsidRPr="009C2FFC">
              <w:rPr>
                <w:b/>
                <w:bCs/>
                <w:color w:val="000000"/>
              </w:rPr>
              <w:lastRenderedPageBreak/>
              <w:t> </w:t>
            </w:r>
          </w:p>
        </w:tc>
        <w:tc>
          <w:tcPr>
            <w:tcW w:w="5243" w:type="dxa"/>
            <w:hideMark/>
          </w:tcPr>
          <w:p w:rsidR="00D2247B" w:rsidRPr="009C2FFC" w:rsidRDefault="00D2247B" w:rsidP="009A1839">
            <w:pPr>
              <w:jc w:val="center"/>
              <w:rPr>
                <w:b/>
                <w:bCs/>
                <w:color w:val="000000"/>
              </w:rPr>
            </w:pPr>
            <w:r w:rsidRPr="009C2FFC">
              <w:rPr>
                <w:b/>
                <w:bCs/>
                <w:color w:val="000000"/>
              </w:rPr>
              <w:t> </w:t>
            </w:r>
          </w:p>
        </w:tc>
        <w:tc>
          <w:tcPr>
            <w:tcW w:w="3199" w:type="dxa"/>
            <w:hideMark/>
          </w:tcPr>
          <w:p w:rsidR="00D2247B" w:rsidRPr="009C2FFC" w:rsidRDefault="00D2247B" w:rsidP="009A1839">
            <w:pPr>
              <w:jc w:val="center"/>
              <w:rPr>
                <w:b/>
                <w:bCs/>
                <w:color w:val="000000"/>
              </w:rPr>
            </w:pPr>
            <w:r>
              <w:rPr>
                <w:b/>
                <w:bCs/>
                <w:color w:val="000000"/>
              </w:rPr>
              <w:t>Direct Allocation of Emission C</w:t>
            </w:r>
            <w:r w:rsidRPr="009C2FFC">
              <w:rPr>
                <w:b/>
                <w:bCs/>
                <w:color w:val="000000"/>
              </w:rPr>
              <w:t>ategory</w:t>
            </w:r>
          </w:p>
        </w:tc>
      </w:tr>
      <w:tr w:rsidR="00D2247B" w:rsidRPr="009C2FFC" w:rsidTr="009A1839">
        <w:trPr>
          <w:trHeight w:val="690"/>
          <w:jc w:val="center"/>
        </w:trPr>
        <w:tc>
          <w:tcPr>
            <w:tcW w:w="800" w:type="dxa"/>
            <w:noWrap/>
            <w:hideMark/>
          </w:tcPr>
          <w:p w:rsidR="00D2247B" w:rsidRPr="009C2FFC" w:rsidRDefault="00D2247B" w:rsidP="009A1839">
            <w:pPr>
              <w:jc w:val="center"/>
              <w:rPr>
                <w:b/>
                <w:bCs/>
                <w:color w:val="000000"/>
              </w:rPr>
            </w:pPr>
            <w:r w:rsidRPr="009C2FFC">
              <w:rPr>
                <w:b/>
                <w:bCs/>
                <w:color w:val="000000"/>
              </w:rPr>
              <w:t>IOIG</w:t>
            </w:r>
          </w:p>
        </w:tc>
        <w:tc>
          <w:tcPr>
            <w:tcW w:w="5243" w:type="dxa"/>
            <w:noWrap/>
            <w:hideMark/>
          </w:tcPr>
          <w:p w:rsidR="00D2247B" w:rsidRPr="009C2FFC" w:rsidRDefault="00D2247B" w:rsidP="009A1839">
            <w:pPr>
              <w:jc w:val="center"/>
              <w:rPr>
                <w:b/>
                <w:bCs/>
                <w:color w:val="000000"/>
              </w:rPr>
            </w:pPr>
            <w:r w:rsidRPr="009C2FFC">
              <w:rPr>
                <w:b/>
                <w:bCs/>
                <w:color w:val="000000"/>
              </w:rPr>
              <w:t>IOIG Descriptor</w:t>
            </w:r>
          </w:p>
        </w:tc>
        <w:tc>
          <w:tcPr>
            <w:tcW w:w="3199" w:type="dxa"/>
            <w:noWrap/>
            <w:hideMark/>
          </w:tcPr>
          <w:p w:rsidR="00D2247B" w:rsidRPr="009C2FFC" w:rsidRDefault="00D2247B" w:rsidP="009A1839">
            <w:pPr>
              <w:jc w:val="center"/>
            </w:pPr>
          </w:p>
        </w:tc>
      </w:tr>
      <w:tr w:rsidR="00D2247B" w:rsidRPr="009C2FFC" w:rsidTr="009A1839">
        <w:trPr>
          <w:trHeight w:val="300"/>
          <w:jc w:val="center"/>
        </w:trPr>
        <w:tc>
          <w:tcPr>
            <w:tcW w:w="800" w:type="dxa"/>
            <w:noWrap/>
            <w:hideMark/>
          </w:tcPr>
          <w:p w:rsidR="00D2247B" w:rsidRPr="009C2FFC" w:rsidRDefault="00D2247B" w:rsidP="009A1839">
            <w:pPr>
              <w:jc w:val="center"/>
              <w:rPr>
                <w:color w:val="000000"/>
              </w:rPr>
            </w:pPr>
            <w:r w:rsidRPr="009C2FFC">
              <w:rPr>
                <w:color w:val="000000"/>
              </w:rPr>
              <w:t>0101</w:t>
            </w:r>
          </w:p>
        </w:tc>
        <w:tc>
          <w:tcPr>
            <w:tcW w:w="5243" w:type="dxa"/>
            <w:noWrap/>
            <w:hideMark/>
          </w:tcPr>
          <w:p w:rsidR="00D2247B" w:rsidRPr="009C2FFC" w:rsidRDefault="00D2247B" w:rsidP="009A1839">
            <w:pPr>
              <w:jc w:val="center"/>
              <w:rPr>
                <w:color w:val="000000"/>
              </w:rPr>
            </w:pPr>
            <w:r w:rsidRPr="009C2FFC">
              <w:rPr>
                <w:color w:val="000000"/>
              </w:rPr>
              <w:t>Sheep, Grains, Beef and Dairy Cattle</w:t>
            </w:r>
          </w:p>
        </w:tc>
        <w:tc>
          <w:tcPr>
            <w:tcW w:w="3199" w:type="dxa"/>
            <w:shd w:val="clear" w:color="auto" w:fill="000000" w:themeFill="text1"/>
            <w:noWrap/>
            <w:hideMark/>
          </w:tcPr>
          <w:p w:rsidR="00D2247B" w:rsidRPr="00E3666F" w:rsidRDefault="00D2247B" w:rsidP="009A1839">
            <w:pPr>
              <w:jc w:val="center"/>
              <w:rPr>
                <w:color w:val="000000" w:themeColor="text1"/>
              </w:rPr>
            </w:pPr>
            <w:r w:rsidRPr="00E3666F">
              <w:rPr>
                <w:color w:val="000000" w:themeColor="text1"/>
              </w:rPr>
              <w:t>X*</w:t>
            </w:r>
          </w:p>
        </w:tc>
      </w:tr>
      <w:tr w:rsidR="00D2247B" w:rsidRPr="009C2FFC" w:rsidTr="009A1839">
        <w:trPr>
          <w:trHeight w:val="300"/>
          <w:jc w:val="center"/>
        </w:trPr>
        <w:tc>
          <w:tcPr>
            <w:tcW w:w="800" w:type="dxa"/>
            <w:noWrap/>
            <w:hideMark/>
          </w:tcPr>
          <w:p w:rsidR="00D2247B" w:rsidRPr="009C2FFC" w:rsidRDefault="00D2247B" w:rsidP="009A1839">
            <w:pPr>
              <w:jc w:val="center"/>
              <w:rPr>
                <w:color w:val="000000"/>
              </w:rPr>
            </w:pPr>
            <w:r w:rsidRPr="009C2FFC">
              <w:rPr>
                <w:color w:val="000000"/>
              </w:rPr>
              <w:t>0102</w:t>
            </w:r>
          </w:p>
        </w:tc>
        <w:tc>
          <w:tcPr>
            <w:tcW w:w="5243" w:type="dxa"/>
            <w:noWrap/>
            <w:hideMark/>
          </w:tcPr>
          <w:p w:rsidR="00D2247B" w:rsidRPr="009C2FFC" w:rsidRDefault="00D2247B" w:rsidP="009A1839">
            <w:pPr>
              <w:jc w:val="center"/>
              <w:rPr>
                <w:color w:val="000000"/>
              </w:rPr>
            </w:pPr>
            <w:r w:rsidRPr="009C2FFC">
              <w:rPr>
                <w:color w:val="000000"/>
              </w:rPr>
              <w:t>Poultry and Other Livestock</w:t>
            </w:r>
          </w:p>
        </w:tc>
        <w:tc>
          <w:tcPr>
            <w:tcW w:w="3199" w:type="dxa"/>
            <w:shd w:val="clear" w:color="auto" w:fill="000000" w:themeFill="text1"/>
            <w:noWrap/>
            <w:hideMark/>
          </w:tcPr>
          <w:p w:rsidR="00D2247B" w:rsidRPr="00E3666F" w:rsidRDefault="00D2247B" w:rsidP="009A1839">
            <w:pPr>
              <w:jc w:val="center"/>
              <w:rPr>
                <w:color w:val="000000" w:themeColor="text1"/>
              </w:rPr>
            </w:pPr>
            <w:r w:rsidRPr="00E3666F">
              <w:rPr>
                <w:color w:val="000000" w:themeColor="text1"/>
              </w:rPr>
              <w:t>Y</w:t>
            </w:r>
          </w:p>
        </w:tc>
      </w:tr>
      <w:tr w:rsidR="00D2247B" w:rsidRPr="009C2FFC" w:rsidTr="009A1839">
        <w:trPr>
          <w:trHeight w:val="300"/>
          <w:jc w:val="center"/>
        </w:trPr>
        <w:tc>
          <w:tcPr>
            <w:tcW w:w="800" w:type="dxa"/>
            <w:noWrap/>
            <w:hideMark/>
          </w:tcPr>
          <w:p w:rsidR="00D2247B" w:rsidRPr="009C2FFC" w:rsidRDefault="00D2247B" w:rsidP="009A1839">
            <w:pPr>
              <w:jc w:val="center"/>
              <w:rPr>
                <w:color w:val="000000"/>
              </w:rPr>
            </w:pPr>
            <w:r w:rsidRPr="009C2FFC">
              <w:rPr>
                <w:color w:val="000000"/>
              </w:rPr>
              <w:t>0103</w:t>
            </w:r>
          </w:p>
        </w:tc>
        <w:tc>
          <w:tcPr>
            <w:tcW w:w="5243" w:type="dxa"/>
            <w:noWrap/>
            <w:hideMark/>
          </w:tcPr>
          <w:p w:rsidR="00D2247B" w:rsidRPr="009C2FFC" w:rsidRDefault="00D2247B" w:rsidP="009A1839">
            <w:pPr>
              <w:jc w:val="center"/>
              <w:rPr>
                <w:color w:val="000000"/>
              </w:rPr>
            </w:pPr>
            <w:r w:rsidRPr="009C2FFC">
              <w:rPr>
                <w:color w:val="000000"/>
              </w:rPr>
              <w:t>Other Agriculture</w:t>
            </w:r>
          </w:p>
        </w:tc>
        <w:tc>
          <w:tcPr>
            <w:tcW w:w="3199" w:type="dxa"/>
            <w:shd w:val="clear" w:color="auto" w:fill="000000" w:themeFill="text1"/>
            <w:noWrap/>
            <w:hideMark/>
          </w:tcPr>
          <w:p w:rsidR="00D2247B" w:rsidRPr="00E3666F" w:rsidRDefault="00D2247B" w:rsidP="009A1839">
            <w:pPr>
              <w:jc w:val="center"/>
              <w:rPr>
                <w:color w:val="000000" w:themeColor="text1"/>
              </w:rPr>
            </w:pPr>
            <w:r w:rsidRPr="00E3666F">
              <w:rPr>
                <w:color w:val="000000" w:themeColor="text1"/>
              </w:rPr>
              <w:t>Z</w:t>
            </w:r>
          </w:p>
        </w:tc>
      </w:tr>
      <w:tr w:rsidR="00D2247B" w:rsidRPr="009C2FFC" w:rsidTr="009A1839">
        <w:trPr>
          <w:trHeight w:val="300"/>
          <w:jc w:val="center"/>
        </w:trPr>
        <w:tc>
          <w:tcPr>
            <w:tcW w:w="800" w:type="dxa"/>
            <w:noWrap/>
            <w:hideMark/>
          </w:tcPr>
          <w:p w:rsidR="00D2247B" w:rsidRPr="009C2FFC" w:rsidRDefault="00D2247B" w:rsidP="009A1839">
            <w:pPr>
              <w:jc w:val="center"/>
              <w:rPr>
                <w:color w:val="000000"/>
              </w:rPr>
            </w:pPr>
            <w:r w:rsidRPr="009C2FFC">
              <w:rPr>
                <w:color w:val="000000"/>
              </w:rPr>
              <w:t>0201</w:t>
            </w:r>
          </w:p>
        </w:tc>
        <w:tc>
          <w:tcPr>
            <w:tcW w:w="5243" w:type="dxa"/>
            <w:noWrap/>
            <w:hideMark/>
          </w:tcPr>
          <w:p w:rsidR="00D2247B" w:rsidRPr="009C2FFC" w:rsidRDefault="00D2247B" w:rsidP="009A1839">
            <w:pPr>
              <w:jc w:val="center"/>
              <w:rPr>
                <w:color w:val="000000"/>
              </w:rPr>
            </w:pPr>
            <w:r w:rsidRPr="009C2FFC">
              <w:rPr>
                <w:color w:val="000000"/>
              </w:rPr>
              <w:t>Aquaculture</w:t>
            </w:r>
          </w:p>
        </w:tc>
        <w:tc>
          <w:tcPr>
            <w:tcW w:w="3199" w:type="dxa"/>
            <w:shd w:val="clear" w:color="auto" w:fill="000000" w:themeFill="text1"/>
            <w:noWrap/>
            <w:hideMark/>
          </w:tcPr>
          <w:p w:rsidR="00D2247B" w:rsidRPr="00E3666F" w:rsidRDefault="00D2247B" w:rsidP="009A1839">
            <w:pPr>
              <w:jc w:val="center"/>
              <w:rPr>
                <w:color w:val="000000" w:themeColor="text1"/>
              </w:rPr>
            </w:pPr>
            <w:r w:rsidRPr="00E3666F">
              <w:rPr>
                <w:color w:val="000000" w:themeColor="text1"/>
              </w:rPr>
              <w:t>A</w:t>
            </w:r>
          </w:p>
        </w:tc>
      </w:tr>
      <w:tr w:rsidR="00D2247B" w:rsidRPr="009C2FFC" w:rsidTr="009A1839">
        <w:trPr>
          <w:trHeight w:val="300"/>
          <w:jc w:val="center"/>
        </w:trPr>
        <w:tc>
          <w:tcPr>
            <w:tcW w:w="800" w:type="dxa"/>
            <w:noWrap/>
            <w:hideMark/>
          </w:tcPr>
          <w:p w:rsidR="00D2247B" w:rsidRPr="009C2FFC" w:rsidRDefault="00D2247B" w:rsidP="009A1839">
            <w:pPr>
              <w:jc w:val="center"/>
              <w:rPr>
                <w:color w:val="000000"/>
              </w:rPr>
            </w:pPr>
            <w:r w:rsidRPr="009C2FFC">
              <w:rPr>
                <w:color w:val="000000"/>
              </w:rPr>
              <w:t>0301</w:t>
            </w:r>
          </w:p>
        </w:tc>
        <w:tc>
          <w:tcPr>
            <w:tcW w:w="5243" w:type="dxa"/>
            <w:noWrap/>
            <w:hideMark/>
          </w:tcPr>
          <w:p w:rsidR="00D2247B" w:rsidRPr="009C2FFC" w:rsidRDefault="00D2247B" w:rsidP="009A1839">
            <w:pPr>
              <w:jc w:val="center"/>
              <w:rPr>
                <w:color w:val="000000"/>
              </w:rPr>
            </w:pPr>
            <w:r w:rsidRPr="009C2FFC">
              <w:rPr>
                <w:color w:val="000000"/>
              </w:rPr>
              <w:t>Forestry and Logging</w:t>
            </w:r>
          </w:p>
        </w:tc>
        <w:tc>
          <w:tcPr>
            <w:tcW w:w="3199" w:type="dxa"/>
            <w:shd w:val="clear" w:color="auto" w:fill="000000" w:themeFill="text1"/>
            <w:noWrap/>
            <w:hideMark/>
          </w:tcPr>
          <w:p w:rsidR="00D2247B" w:rsidRPr="00E3666F" w:rsidRDefault="00D2247B" w:rsidP="009A1839">
            <w:pPr>
              <w:jc w:val="center"/>
              <w:rPr>
                <w:color w:val="000000" w:themeColor="text1"/>
              </w:rPr>
            </w:pPr>
            <w:r w:rsidRPr="00E3666F">
              <w:rPr>
                <w:color w:val="000000" w:themeColor="text1"/>
              </w:rPr>
              <w:t>B</w:t>
            </w:r>
          </w:p>
        </w:tc>
      </w:tr>
      <w:tr w:rsidR="00D2247B" w:rsidRPr="009C2FFC" w:rsidTr="009A1839">
        <w:trPr>
          <w:trHeight w:val="300"/>
          <w:jc w:val="center"/>
        </w:trPr>
        <w:tc>
          <w:tcPr>
            <w:tcW w:w="800" w:type="dxa"/>
            <w:noWrap/>
            <w:hideMark/>
          </w:tcPr>
          <w:p w:rsidR="00D2247B" w:rsidRPr="009C2FFC" w:rsidRDefault="00D2247B" w:rsidP="009A1839">
            <w:pPr>
              <w:jc w:val="center"/>
              <w:rPr>
                <w:color w:val="000000"/>
              </w:rPr>
            </w:pPr>
            <w:r w:rsidRPr="009C2FFC">
              <w:rPr>
                <w:color w:val="000000"/>
              </w:rPr>
              <w:t>0401</w:t>
            </w:r>
          </w:p>
        </w:tc>
        <w:tc>
          <w:tcPr>
            <w:tcW w:w="5243" w:type="dxa"/>
            <w:noWrap/>
            <w:hideMark/>
          </w:tcPr>
          <w:p w:rsidR="00D2247B" w:rsidRPr="009C2FFC" w:rsidRDefault="00D2247B" w:rsidP="009A1839">
            <w:pPr>
              <w:jc w:val="center"/>
              <w:rPr>
                <w:color w:val="000000"/>
              </w:rPr>
            </w:pPr>
            <w:r w:rsidRPr="009C2FFC">
              <w:rPr>
                <w:color w:val="000000"/>
              </w:rPr>
              <w:t>Fishing, hunting and trapping</w:t>
            </w:r>
          </w:p>
        </w:tc>
        <w:tc>
          <w:tcPr>
            <w:tcW w:w="3199" w:type="dxa"/>
            <w:shd w:val="clear" w:color="auto" w:fill="000000" w:themeFill="text1"/>
            <w:noWrap/>
            <w:hideMark/>
          </w:tcPr>
          <w:p w:rsidR="00D2247B" w:rsidRPr="00E3666F" w:rsidRDefault="00D2247B" w:rsidP="009A1839">
            <w:pPr>
              <w:jc w:val="center"/>
              <w:rPr>
                <w:color w:val="000000" w:themeColor="text1"/>
              </w:rPr>
            </w:pPr>
            <w:r w:rsidRPr="00E3666F">
              <w:rPr>
                <w:color w:val="000000" w:themeColor="text1"/>
              </w:rPr>
              <w:t>C</w:t>
            </w:r>
          </w:p>
        </w:tc>
      </w:tr>
      <w:tr w:rsidR="00D2247B" w:rsidRPr="009C2FFC" w:rsidTr="009A1839">
        <w:trPr>
          <w:trHeight w:val="353"/>
          <w:jc w:val="center"/>
        </w:trPr>
        <w:tc>
          <w:tcPr>
            <w:tcW w:w="800" w:type="dxa"/>
            <w:tcBorders>
              <w:bottom w:val="single" w:sz="12" w:space="0" w:color="auto"/>
            </w:tcBorders>
            <w:noWrap/>
            <w:hideMark/>
          </w:tcPr>
          <w:p w:rsidR="00D2247B" w:rsidRPr="009C2FFC" w:rsidRDefault="00D2247B" w:rsidP="009A1839">
            <w:pPr>
              <w:jc w:val="center"/>
              <w:rPr>
                <w:color w:val="000000"/>
              </w:rPr>
            </w:pPr>
            <w:r w:rsidRPr="009C2FFC">
              <w:rPr>
                <w:color w:val="000000"/>
              </w:rPr>
              <w:t>0501</w:t>
            </w:r>
          </w:p>
        </w:tc>
        <w:tc>
          <w:tcPr>
            <w:tcW w:w="5243" w:type="dxa"/>
            <w:tcBorders>
              <w:bottom w:val="single" w:sz="12" w:space="0" w:color="auto"/>
            </w:tcBorders>
            <w:hideMark/>
          </w:tcPr>
          <w:p w:rsidR="00D2247B" w:rsidRPr="009C2FFC" w:rsidRDefault="00D2247B" w:rsidP="009A1839">
            <w:pPr>
              <w:jc w:val="center"/>
              <w:rPr>
                <w:color w:val="000000"/>
              </w:rPr>
            </w:pPr>
            <w:r w:rsidRPr="009C2FFC">
              <w:rPr>
                <w:color w:val="000000"/>
              </w:rPr>
              <w:t>Agriculture, Forestry and Fishing Support Services</w:t>
            </w:r>
          </w:p>
        </w:tc>
        <w:tc>
          <w:tcPr>
            <w:tcW w:w="3199" w:type="dxa"/>
            <w:tcBorders>
              <w:bottom w:val="single" w:sz="12" w:space="0" w:color="auto"/>
            </w:tcBorders>
            <w:shd w:val="clear" w:color="auto" w:fill="000000" w:themeFill="text1"/>
            <w:noWrap/>
            <w:hideMark/>
          </w:tcPr>
          <w:p w:rsidR="00D2247B" w:rsidRPr="00E3666F" w:rsidRDefault="00D2247B" w:rsidP="009A1839">
            <w:pPr>
              <w:jc w:val="center"/>
              <w:rPr>
                <w:color w:val="000000" w:themeColor="text1"/>
              </w:rPr>
            </w:pPr>
            <w:r w:rsidRPr="00E3666F">
              <w:rPr>
                <w:color w:val="000000" w:themeColor="text1"/>
              </w:rPr>
              <w:t>D</w:t>
            </w:r>
          </w:p>
        </w:tc>
      </w:tr>
      <w:tr w:rsidR="00D2247B" w:rsidRPr="009C2FFC" w:rsidTr="009A1839">
        <w:trPr>
          <w:trHeight w:val="353"/>
          <w:jc w:val="center"/>
        </w:trPr>
        <w:tc>
          <w:tcPr>
            <w:tcW w:w="9242" w:type="dxa"/>
            <w:gridSpan w:val="3"/>
            <w:tcBorders>
              <w:top w:val="single" w:sz="12" w:space="0" w:color="auto"/>
              <w:bottom w:val="single" w:sz="12" w:space="0" w:color="auto"/>
            </w:tcBorders>
            <w:noWrap/>
          </w:tcPr>
          <w:p w:rsidR="00D2247B" w:rsidRPr="00CC4C9E" w:rsidRDefault="00D2247B" w:rsidP="009A1839">
            <w:pPr>
              <w:autoSpaceDE w:val="0"/>
              <w:autoSpaceDN w:val="0"/>
              <w:adjustRightInd w:val="0"/>
              <w:spacing w:line="360" w:lineRule="auto"/>
              <w:jc w:val="both"/>
              <w:rPr>
                <w:rFonts w:ascii="TimesNewRoman" w:eastAsiaTheme="minorHAnsi" w:hAnsi="TimesNewRoman" w:cs="TimesNewRoman"/>
                <w:lang w:eastAsia="en-US"/>
              </w:rPr>
            </w:pPr>
          </w:p>
        </w:tc>
      </w:tr>
    </w:tbl>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Pr="005751A3" w:rsidRDefault="00D2247B" w:rsidP="00D2247B">
      <w:pPr>
        <w:autoSpaceDE w:val="0"/>
        <w:autoSpaceDN w:val="0"/>
        <w:adjustRightInd w:val="0"/>
        <w:spacing w:line="360" w:lineRule="auto"/>
        <w:jc w:val="both"/>
        <w:rPr>
          <w:rFonts w:eastAsiaTheme="minorHAnsi"/>
          <w:lang w:eastAsia="en-US"/>
        </w:rPr>
      </w:pPr>
      <w:r w:rsidRPr="005751A3">
        <w:rPr>
          <w:rFonts w:eastAsiaTheme="minorHAnsi"/>
          <w:lang w:eastAsia="en-US"/>
        </w:rPr>
        <w:t>The table below presents the complete method of dissection for agricultural emission</w:t>
      </w:r>
      <w:r w:rsidR="00456263" w:rsidRPr="005751A3">
        <w:rPr>
          <w:rFonts w:eastAsiaTheme="minorHAnsi"/>
          <w:lang w:eastAsia="en-US"/>
        </w:rPr>
        <w:t>s</w:t>
      </w:r>
      <w:r w:rsidRPr="005751A3">
        <w:rPr>
          <w:rFonts w:eastAsiaTheme="minorHAnsi"/>
          <w:lang w:eastAsia="en-US"/>
        </w:rPr>
        <w:t xml:space="preserve"> data. Agriculture is linked with seven IOIG sectors, which are: 0101 Sheep, Grains, Beef and Dairy Cattle;  0102 Poultry and Other Livestock; 0103 Other Agriculture; 0201 Aquaculture; 0301 Forestry and Logging; 0401 Fishing, hunting and trapping; 0501 Agriculture, Forestry and Fishing Support Services. </w:t>
      </w:r>
    </w:p>
    <w:p w:rsidR="00D2247B" w:rsidRPr="005751A3" w:rsidRDefault="00D2247B" w:rsidP="00D2247B">
      <w:pPr>
        <w:autoSpaceDE w:val="0"/>
        <w:autoSpaceDN w:val="0"/>
        <w:adjustRightInd w:val="0"/>
        <w:spacing w:line="360" w:lineRule="auto"/>
        <w:jc w:val="both"/>
        <w:rPr>
          <w:rFonts w:eastAsiaTheme="minorHAnsi"/>
          <w:lang w:eastAsia="en-US"/>
        </w:rPr>
      </w:pPr>
    </w:p>
    <w:p w:rsidR="00D2247B" w:rsidRPr="005751A3" w:rsidRDefault="00D2247B" w:rsidP="00D2247B">
      <w:pPr>
        <w:autoSpaceDE w:val="0"/>
        <w:autoSpaceDN w:val="0"/>
        <w:adjustRightInd w:val="0"/>
        <w:spacing w:line="360" w:lineRule="auto"/>
        <w:jc w:val="both"/>
        <w:rPr>
          <w:rFonts w:eastAsiaTheme="minorHAnsi"/>
          <w:lang w:eastAsia="en-US"/>
        </w:rPr>
      </w:pPr>
      <w:r w:rsidRPr="005751A3">
        <w:rPr>
          <w:rFonts w:eastAsiaTheme="minorHAnsi"/>
          <w:lang w:eastAsia="en-US"/>
        </w:rPr>
        <w:t xml:space="preserve">The residual is the difference between the original </w:t>
      </w:r>
      <w:r w:rsidR="001D0222" w:rsidRPr="005751A3">
        <w:rPr>
          <w:rFonts w:eastAsiaTheme="minorHAnsi"/>
          <w:lang w:eastAsia="en-US"/>
        </w:rPr>
        <w:t>figures</w:t>
      </w:r>
      <w:r w:rsidRPr="005751A3">
        <w:rPr>
          <w:rFonts w:eastAsiaTheme="minorHAnsi"/>
          <w:lang w:eastAsia="en-US"/>
        </w:rPr>
        <w:t xml:space="preserve"> with the total of the direct allocation of emission category figures. The corresponding secondary allocation ratios are assigned to the residual to derive the dissected residual. The dissected residual figures plus the direct allocation give the adjusted direct emission.</w:t>
      </w: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Default="00D2247B" w:rsidP="00D2247B">
      <w:pPr>
        <w:jc w:val="center"/>
        <w:rPr>
          <w:b/>
          <w:bCs/>
          <w:color w:val="000000"/>
        </w:rPr>
        <w:sectPr w:rsidR="00D2247B" w:rsidSect="005751A3">
          <w:pgSz w:w="11906" w:h="16838"/>
          <w:pgMar w:top="1440" w:right="1440" w:bottom="1440" w:left="1440" w:header="709" w:footer="709" w:gutter="0"/>
          <w:cols w:space="708"/>
          <w:docGrid w:linePitch="360"/>
        </w:sectPr>
      </w:pP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355"/>
        <w:gridCol w:w="781"/>
        <w:gridCol w:w="3783"/>
        <w:gridCol w:w="2108"/>
        <w:gridCol w:w="1173"/>
        <w:gridCol w:w="1236"/>
        <w:gridCol w:w="1976"/>
      </w:tblGrid>
      <w:tr w:rsidR="00D2247B" w:rsidRPr="009C2FFC" w:rsidTr="009A1839">
        <w:trPr>
          <w:trHeight w:val="990"/>
          <w:jc w:val="center"/>
        </w:trPr>
        <w:tc>
          <w:tcPr>
            <w:tcW w:w="502" w:type="pct"/>
            <w:tcBorders>
              <w:top w:val="single" w:sz="12" w:space="0" w:color="auto"/>
              <w:left w:val="nil"/>
              <w:bottom w:val="single" w:sz="8" w:space="0" w:color="auto"/>
              <w:right w:val="single" w:sz="8" w:space="0" w:color="auto"/>
            </w:tcBorders>
            <w:shd w:val="clear" w:color="auto" w:fill="auto"/>
            <w:vAlign w:val="center"/>
            <w:hideMark/>
          </w:tcPr>
          <w:p w:rsidR="00D2247B" w:rsidRPr="009C2FFC" w:rsidRDefault="00D2247B" w:rsidP="009A1839">
            <w:pPr>
              <w:jc w:val="center"/>
              <w:rPr>
                <w:b/>
                <w:bCs/>
                <w:color w:val="000000"/>
              </w:rPr>
            </w:pPr>
            <w:r w:rsidRPr="009C2FFC">
              <w:rPr>
                <w:b/>
                <w:bCs/>
                <w:color w:val="000000"/>
              </w:rPr>
              <w:lastRenderedPageBreak/>
              <w:t>by K ton</w:t>
            </w:r>
          </w:p>
        </w:tc>
        <w:tc>
          <w:tcPr>
            <w:tcW w:w="491" w:type="pct"/>
            <w:tcBorders>
              <w:top w:val="single" w:sz="12" w:space="0" w:color="auto"/>
              <w:left w:val="single" w:sz="8" w:space="0" w:color="auto"/>
              <w:bottom w:val="single" w:sz="8" w:space="0" w:color="auto"/>
              <w:right w:val="single" w:sz="8" w:space="0" w:color="auto"/>
            </w:tcBorders>
            <w:shd w:val="clear" w:color="auto" w:fill="auto"/>
            <w:vAlign w:val="center"/>
            <w:hideMark/>
          </w:tcPr>
          <w:p w:rsidR="00D2247B" w:rsidRPr="009C2FFC" w:rsidRDefault="00D2247B" w:rsidP="009A1839">
            <w:pPr>
              <w:jc w:val="center"/>
              <w:rPr>
                <w:b/>
                <w:bCs/>
                <w:color w:val="000000"/>
              </w:rPr>
            </w:pPr>
          </w:p>
        </w:tc>
        <w:tc>
          <w:tcPr>
            <w:tcW w:w="283" w:type="pct"/>
            <w:tcBorders>
              <w:top w:val="single" w:sz="12" w:space="0" w:color="auto"/>
              <w:left w:val="single" w:sz="8" w:space="0" w:color="auto"/>
              <w:bottom w:val="single" w:sz="8" w:space="0" w:color="auto"/>
              <w:right w:val="single" w:sz="8" w:space="0" w:color="auto"/>
            </w:tcBorders>
            <w:shd w:val="clear" w:color="auto" w:fill="auto"/>
            <w:vAlign w:val="center"/>
            <w:hideMark/>
          </w:tcPr>
          <w:p w:rsidR="00D2247B" w:rsidRPr="009C2FFC" w:rsidRDefault="00D2247B" w:rsidP="009A1839">
            <w:pPr>
              <w:jc w:val="center"/>
              <w:rPr>
                <w:b/>
                <w:bCs/>
                <w:color w:val="000000"/>
              </w:rPr>
            </w:pPr>
          </w:p>
        </w:tc>
        <w:tc>
          <w:tcPr>
            <w:tcW w:w="1371" w:type="pct"/>
            <w:tcBorders>
              <w:top w:val="single" w:sz="12" w:space="0" w:color="auto"/>
              <w:left w:val="single" w:sz="8" w:space="0" w:color="auto"/>
              <w:bottom w:val="single" w:sz="8" w:space="0" w:color="auto"/>
              <w:right w:val="single" w:sz="8" w:space="0" w:color="auto"/>
            </w:tcBorders>
            <w:shd w:val="clear" w:color="auto" w:fill="auto"/>
            <w:vAlign w:val="center"/>
            <w:hideMark/>
          </w:tcPr>
          <w:p w:rsidR="00D2247B" w:rsidRPr="009C2FFC" w:rsidRDefault="00D2247B" w:rsidP="009A1839">
            <w:pPr>
              <w:jc w:val="center"/>
              <w:rPr>
                <w:b/>
                <w:bCs/>
                <w:color w:val="000000"/>
              </w:rPr>
            </w:pPr>
          </w:p>
        </w:tc>
        <w:tc>
          <w:tcPr>
            <w:tcW w:w="764" w:type="pct"/>
            <w:tcBorders>
              <w:top w:val="single" w:sz="12" w:space="0" w:color="auto"/>
              <w:left w:val="single" w:sz="8" w:space="0" w:color="auto"/>
              <w:bottom w:val="single" w:sz="8" w:space="0" w:color="auto"/>
              <w:right w:val="single" w:sz="8" w:space="0" w:color="auto"/>
            </w:tcBorders>
            <w:shd w:val="clear" w:color="auto" w:fill="auto"/>
            <w:vAlign w:val="center"/>
            <w:hideMark/>
          </w:tcPr>
          <w:p w:rsidR="00D2247B" w:rsidRPr="009C2FFC" w:rsidRDefault="00D2247B" w:rsidP="009A1839">
            <w:pPr>
              <w:jc w:val="center"/>
              <w:rPr>
                <w:b/>
                <w:bCs/>
                <w:color w:val="000000"/>
              </w:rPr>
            </w:pPr>
            <w:r>
              <w:rPr>
                <w:b/>
                <w:bCs/>
                <w:color w:val="000000"/>
              </w:rPr>
              <w:t>Direct Allocation of Emission C</w:t>
            </w:r>
            <w:r w:rsidRPr="009C2FFC">
              <w:rPr>
                <w:b/>
                <w:bCs/>
                <w:color w:val="000000"/>
              </w:rPr>
              <w:t>ategory</w:t>
            </w:r>
          </w:p>
        </w:tc>
        <w:tc>
          <w:tcPr>
            <w:tcW w:w="425" w:type="pct"/>
            <w:tcBorders>
              <w:top w:val="single" w:sz="12" w:space="0" w:color="auto"/>
              <w:left w:val="single" w:sz="8" w:space="0" w:color="auto"/>
              <w:bottom w:val="single" w:sz="8" w:space="0" w:color="auto"/>
              <w:right w:val="single" w:sz="8" w:space="0" w:color="auto"/>
            </w:tcBorders>
            <w:shd w:val="clear" w:color="auto" w:fill="auto"/>
            <w:vAlign w:val="center"/>
            <w:hideMark/>
          </w:tcPr>
          <w:p w:rsidR="00D2247B" w:rsidRPr="009C2FFC" w:rsidRDefault="00D2247B" w:rsidP="009A1839">
            <w:pPr>
              <w:jc w:val="center"/>
              <w:rPr>
                <w:b/>
                <w:bCs/>
                <w:color w:val="000000"/>
              </w:rPr>
            </w:pPr>
            <w:r>
              <w:rPr>
                <w:b/>
                <w:bCs/>
                <w:color w:val="000000"/>
              </w:rPr>
              <w:t>R</w:t>
            </w:r>
            <w:r w:rsidRPr="009C2FFC">
              <w:rPr>
                <w:b/>
                <w:bCs/>
                <w:color w:val="000000"/>
              </w:rPr>
              <w:t>esidual</w:t>
            </w:r>
          </w:p>
        </w:tc>
        <w:tc>
          <w:tcPr>
            <w:tcW w:w="448" w:type="pct"/>
            <w:tcBorders>
              <w:top w:val="single" w:sz="12" w:space="0" w:color="auto"/>
              <w:left w:val="single" w:sz="8" w:space="0" w:color="auto"/>
              <w:bottom w:val="single" w:sz="8" w:space="0" w:color="auto"/>
              <w:right w:val="single" w:sz="8" w:space="0" w:color="auto"/>
            </w:tcBorders>
            <w:shd w:val="clear" w:color="auto" w:fill="auto"/>
            <w:vAlign w:val="center"/>
            <w:hideMark/>
          </w:tcPr>
          <w:p w:rsidR="00D2247B" w:rsidRDefault="00D2247B" w:rsidP="009A1839">
            <w:pPr>
              <w:jc w:val="center"/>
              <w:rPr>
                <w:b/>
                <w:bCs/>
                <w:color w:val="000000"/>
              </w:rPr>
            </w:pPr>
            <w:r>
              <w:rPr>
                <w:b/>
                <w:bCs/>
                <w:color w:val="000000"/>
              </w:rPr>
              <w:t>Dissected</w:t>
            </w:r>
          </w:p>
          <w:p w:rsidR="00D2247B" w:rsidRPr="009C2FFC" w:rsidRDefault="00D2247B" w:rsidP="009A1839">
            <w:pPr>
              <w:jc w:val="center"/>
              <w:rPr>
                <w:b/>
                <w:bCs/>
                <w:color w:val="000000"/>
              </w:rPr>
            </w:pPr>
            <w:r>
              <w:rPr>
                <w:b/>
                <w:bCs/>
                <w:color w:val="000000"/>
              </w:rPr>
              <w:t>R</w:t>
            </w:r>
            <w:r w:rsidRPr="009C2FFC">
              <w:rPr>
                <w:b/>
                <w:bCs/>
                <w:color w:val="000000"/>
              </w:rPr>
              <w:t>esidual</w:t>
            </w:r>
          </w:p>
        </w:tc>
        <w:tc>
          <w:tcPr>
            <w:tcW w:w="716" w:type="pct"/>
            <w:tcBorders>
              <w:top w:val="single" w:sz="12" w:space="0" w:color="auto"/>
              <w:left w:val="single" w:sz="8" w:space="0" w:color="auto"/>
              <w:bottom w:val="single" w:sz="8" w:space="0" w:color="auto"/>
              <w:right w:val="nil"/>
            </w:tcBorders>
            <w:shd w:val="clear" w:color="auto" w:fill="auto"/>
            <w:vAlign w:val="center"/>
            <w:hideMark/>
          </w:tcPr>
          <w:p w:rsidR="00D2247B" w:rsidRDefault="00D2247B" w:rsidP="009A1839">
            <w:pPr>
              <w:jc w:val="center"/>
              <w:rPr>
                <w:b/>
                <w:bCs/>
                <w:color w:val="000000"/>
              </w:rPr>
            </w:pPr>
            <w:r>
              <w:rPr>
                <w:b/>
                <w:bCs/>
                <w:color w:val="000000"/>
              </w:rPr>
              <w:t>Adjusted Direct</w:t>
            </w:r>
          </w:p>
          <w:p w:rsidR="00D2247B" w:rsidRPr="009C2FFC" w:rsidRDefault="00D2247B" w:rsidP="009A1839">
            <w:pPr>
              <w:jc w:val="center"/>
              <w:rPr>
                <w:b/>
                <w:bCs/>
                <w:color w:val="000000"/>
              </w:rPr>
            </w:pPr>
            <w:r>
              <w:rPr>
                <w:b/>
                <w:bCs/>
                <w:color w:val="000000"/>
              </w:rPr>
              <w:t>E</w:t>
            </w:r>
            <w:r w:rsidRPr="009C2FFC">
              <w:rPr>
                <w:b/>
                <w:bCs/>
                <w:color w:val="000000"/>
              </w:rPr>
              <w:t>mission</w:t>
            </w:r>
          </w:p>
        </w:tc>
      </w:tr>
      <w:tr w:rsidR="00D2247B" w:rsidRPr="009C2FFC" w:rsidTr="009A1839">
        <w:trPr>
          <w:trHeight w:val="690"/>
          <w:jc w:val="center"/>
        </w:trPr>
        <w:tc>
          <w:tcPr>
            <w:tcW w:w="502" w:type="pct"/>
            <w:tcBorders>
              <w:top w:val="single" w:sz="8" w:space="0" w:color="auto"/>
              <w:left w:val="nil"/>
              <w:bottom w:val="single" w:sz="4" w:space="0" w:color="auto"/>
            </w:tcBorders>
            <w:shd w:val="clear" w:color="auto" w:fill="auto"/>
            <w:noWrap/>
            <w:vAlign w:val="center"/>
            <w:hideMark/>
          </w:tcPr>
          <w:p w:rsidR="00D2247B" w:rsidRPr="009C2FFC" w:rsidRDefault="00D2247B" w:rsidP="009A1839">
            <w:pPr>
              <w:jc w:val="center"/>
              <w:rPr>
                <w:b/>
                <w:bCs/>
                <w:color w:val="000000"/>
              </w:rPr>
            </w:pPr>
            <w:r w:rsidRPr="009C2FFC">
              <w:rPr>
                <w:b/>
                <w:bCs/>
                <w:color w:val="000000"/>
              </w:rPr>
              <w:t>Level 02</w:t>
            </w:r>
          </w:p>
        </w:tc>
        <w:tc>
          <w:tcPr>
            <w:tcW w:w="491" w:type="pct"/>
            <w:tcBorders>
              <w:top w:val="single" w:sz="8" w:space="0" w:color="auto"/>
              <w:bottom w:val="single" w:sz="4" w:space="0" w:color="auto"/>
            </w:tcBorders>
            <w:shd w:val="clear" w:color="auto" w:fill="auto"/>
            <w:vAlign w:val="center"/>
            <w:hideMark/>
          </w:tcPr>
          <w:p w:rsidR="00D2247B" w:rsidRDefault="00506B82" w:rsidP="009A1839">
            <w:pPr>
              <w:jc w:val="center"/>
              <w:rPr>
                <w:b/>
                <w:bCs/>
                <w:color w:val="000000"/>
              </w:rPr>
            </w:pPr>
            <m:oMath>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sidR="00C31A9F" w:rsidRPr="00F75489">
              <w:rPr>
                <w:rFonts w:eastAsiaTheme="minorHAnsi"/>
                <w:lang w:eastAsia="en-US"/>
              </w:rPr>
              <w:t xml:space="preserve"> </w:t>
            </w:r>
            <w:r w:rsidR="00D2247B">
              <w:rPr>
                <w:b/>
                <w:bCs/>
                <w:color w:val="000000"/>
              </w:rPr>
              <w:t>-e</w:t>
            </w:r>
          </w:p>
          <w:p w:rsidR="00D2247B" w:rsidRPr="009C2FFC" w:rsidRDefault="00D2247B" w:rsidP="009A1839">
            <w:pPr>
              <w:jc w:val="center"/>
              <w:rPr>
                <w:b/>
                <w:bCs/>
                <w:color w:val="000000"/>
              </w:rPr>
            </w:pPr>
            <w:r w:rsidRPr="009C2FFC">
              <w:rPr>
                <w:b/>
                <w:bCs/>
                <w:color w:val="000000"/>
              </w:rPr>
              <w:t>(2007-08)</w:t>
            </w:r>
          </w:p>
        </w:tc>
        <w:tc>
          <w:tcPr>
            <w:tcW w:w="283" w:type="pct"/>
            <w:tcBorders>
              <w:top w:val="single" w:sz="8" w:space="0" w:color="auto"/>
              <w:bottom w:val="single" w:sz="4" w:space="0" w:color="auto"/>
            </w:tcBorders>
            <w:shd w:val="clear" w:color="auto" w:fill="auto"/>
            <w:noWrap/>
            <w:vAlign w:val="center"/>
            <w:hideMark/>
          </w:tcPr>
          <w:p w:rsidR="00D2247B" w:rsidRPr="009C2FFC" w:rsidRDefault="00D2247B" w:rsidP="009A1839">
            <w:pPr>
              <w:jc w:val="center"/>
              <w:rPr>
                <w:b/>
                <w:bCs/>
                <w:color w:val="000000"/>
              </w:rPr>
            </w:pPr>
            <w:r w:rsidRPr="009C2FFC">
              <w:rPr>
                <w:b/>
                <w:bCs/>
                <w:color w:val="000000"/>
              </w:rPr>
              <w:t>IOIG</w:t>
            </w:r>
          </w:p>
        </w:tc>
        <w:tc>
          <w:tcPr>
            <w:tcW w:w="1371" w:type="pct"/>
            <w:tcBorders>
              <w:top w:val="single" w:sz="8" w:space="0" w:color="auto"/>
              <w:bottom w:val="single" w:sz="4" w:space="0" w:color="auto"/>
            </w:tcBorders>
            <w:shd w:val="clear" w:color="auto" w:fill="auto"/>
            <w:noWrap/>
            <w:vAlign w:val="center"/>
            <w:hideMark/>
          </w:tcPr>
          <w:p w:rsidR="00D2247B" w:rsidRPr="009C2FFC" w:rsidRDefault="00D2247B" w:rsidP="009A1839">
            <w:pPr>
              <w:jc w:val="center"/>
              <w:rPr>
                <w:b/>
                <w:bCs/>
                <w:color w:val="000000"/>
              </w:rPr>
            </w:pPr>
            <w:r w:rsidRPr="009C2FFC">
              <w:rPr>
                <w:b/>
                <w:bCs/>
                <w:color w:val="000000"/>
              </w:rPr>
              <w:t>IOIG Descriptor</w:t>
            </w:r>
          </w:p>
        </w:tc>
        <w:tc>
          <w:tcPr>
            <w:tcW w:w="764" w:type="pct"/>
            <w:tcBorders>
              <w:top w:val="single" w:sz="8" w:space="0" w:color="auto"/>
              <w:bottom w:val="single" w:sz="4" w:space="0" w:color="auto"/>
            </w:tcBorders>
            <w:shd w:val="clear" w:color="auto" w:fill="auto"/>
            <w:noWrap/>
            <w:vAlign w:val="center"/>
            <w:hideMark/>
          </w:tcPr>
          <w:p w:rsidR="00D2247B" w:rsidRPr="009C2FFC" w:rsidRDefault="00D2247B" w:rsidP="009A1839">
            <w:pPr>
              <w:jc w:val="center"/>
            </w:pPr>
          </w:p>
        </w:tc>
        <w:tc>
          <w:tcPr>
            <w:tcW w:w="425" w:type="pct"/>
            <w:tcBorders>
              <w:top w:val="single" w:sz="8" w:space="0" w:color="auto"/>
              <w:bottom w:val="single" w:sz="4" w:space="0" w:color="auto"/>
            </w:tcBorders>
            <w:shd w:val="clear" w:color="auto" w:fill="auto"/>
            <w:noWrap/>
            <w:vAlign w:val="center"/>
            <w:hideMark/>
          </w:tcPr>
          <w:p w:rsidR="00D2247B" w:rsidRPr="009C2FFC" w:rsidRDefault="00D2247B" w:rsidP="009A1839">
            <w:pPr>
              <w:jc w:val="center"/>
            </w:pPr>
          </w:p>
        </w:tc>
        <w:tc>
          <w:tcPr>
            <w:tcW w:w="448" w:type="pct"/>
            <w:tcBorders>
              <w:top w:val="single" w:sz="8" w:space="0" w:color="auto"/>
              <w:bottom w:val="single" w:sz="4" w:space="0" w:color="auto"/>
            </w:tcBorders>
            <w:shd w:val="clear" w:color="auto" w:fill="auto"/>
            <w:noWrap/>
            <w:vAlign w:val="center"/>
            <w:hideMark/>
          </w:tcPr>
          <w:p w:rsidR="00D2247B" w:rsidRPr="009C2FFC" w:rsidRDefault="00D2247B" w:rsidP="009A1839">
            <w:pPr>
              <w:jc w:val="center"/>
            </w:pPr>
          </w:p>
        </w:tc>
        <w:tc>
          <w:tcPr>
            <w:tcW w:w="716" w:type="pct"/>
            <w:tcBorders>
              <w:top w:val="single" w:sz="8" w:space="0" w:color="auto"/>
              <w:bottom w:val="single" w:sz="4" w:space="0" w:color="auto"/>
              <w:right w:val="nil"/>
            </w:tcBorders>
            <w:shd w:val="clear" w:color="auto" w:fill="auto"/>
            <w:noWrap/>
            <w:vAlign w:val="center"/>
            <w:hideMark/>
          </w:tcPr>
          <w:p w:rsidR="00D2247B" w:rsidRPr="009C2FFC" w:rsidRDefault="00D2247B" w:rsidP="009A1839">
            <w:pPr>
              <w:jc w:val="center"/>
            </w:pPr>
            <w:r w:rsidRPr="009C2FFC">
              <w:t> </w:t>
            </w:r>
          </w:p>
        </w:tc>
      </w:tr>
      <w:tr w:rsidR="00D2247B" w:rsidRPr="009C2FFC" w:rsidTr="009A1839">
        <w:trPr>
          <w:trHeight w:val="300"/>
          <w:jc w:val="center"/>
        </w:trPr>
        <w:tc>
          <w:tcPr>
            <w:tcW w:w="502" w:type="pct"/>
            <w:vMerge w:val="restart"/>
            <w:tcBorders>
              <w:left w:val="nil"/>
            </w:tcBorders>
            <w:shd w:val="clear" w:color="auto" w:fill="auto"/>
            <w:vAlign w:val="center"/>
            <w:hideMark/>
          </w:tcPr>
          <w:p w:rsidR="00D2247B" w:rsidRPr="009C2FFC" w:rsidRDefault="00D2247B" w:rsidP="009A1839">
            <w:pPr>
              <w:jc w:val="center"/>
              <w:rPr>
                <w:color w:val="000000"/>
              </w:rPr>
            </w:pPr>
            <w:r w:rsidRPr="009C2FFC">
              <w:rPr>
                <w:color w:val="000000"/>
              </w:rPr>
              <w:t>Div. A Agriculture, Forestry and Fishing</w:t>
            </w:r>
          </w:p>
        </w:tc>
        <w:tc>
          <w:tcPr>
            <w:tcW w:w="491" w:type="pct"/>
            <w:vMerge w:val="restart"/>
            <w:shd w:val="clear" w:color="auto" w:fill="auto"/>
            <w:vAlign w:val="center"/>
            <w:hideMark/>
          </w:tcPr>
          <w:p w:rsidR="00D2247B" w:rsidRPr="009C2FFC" w:rsidRDefault="00D2247B" w:rsidP="009A1839">
            <w:pPr>
              <w:jc w:val="center"/>
              <w:rPr>
                <w:color w:val="000000"/>
              </w:rPr>
            </w:pPr>
            <w:r w:rsidRPr="009C2FFC">
              <w:rPr>
                <w:color w:val="000000"/>
              </w:rPr>
              <w:t>127298.09</w:t>
            </w:r>
          </w:p>
        </w:tc>
        <w:tc>
          <w:tcPr>
            <w:tcW w:w="283" w:type="pct"/>
            <w:shd w:val="clear" w:color="auto" w:fill="auto"/>
            <w:noWrap/>
            <w:vAlign w:val="center"/>
            <w:hideMark/>
          </w:tcPr>
          <w:p w:rsidR="00D2247B" w:rsidRPr="009C2FFC" w:rsidRDefault="00D2247B" w:rsidP="009A1839">
            <w:pPr>
              <w:jc w:val="center"/>
              <w:rPr>
                <w:color w:val="000000"/>
              </w:rPr>
            </w:pPr>
            <w:r w:rsidRPr="009C2FFC">
              <w:rPr>
                <w:color w:val="000000"/>
              </w:rPr>
              <w:t>0101</w:t>
            </w:r>
          </w:p>
        </w:tc>
        <w:tc>
          <w:tcPr>
            <w:tcW w:w="1371" w:type="pct"/>
            <w:shd w:val="clear" w:color="auto" w:fill="auto"/>
            <w:noWrap/>
            <w:vAlign w:val="center"/>
            <w:hideMark/>
          </w:tcPr>
          <w:p w:rsidR="00D2247B" w:rsidRPr="009C2FFC" w:rsidRDefault="00D2247B" w:rsidP="009A1839">
            <w:pPr>
              <w:jc w:val="center"/>
              <w:rPr>
                <w:color w:val="000000"/>
              </w:rPr>
            </w:pPr>
            <w:r w:rsidRPr="009C2FFC">
              <w:rPr>
                <w:color w:val="000000"/>
              </w:rPr>
              <w:t>Sheep, Grains, Beef and Dairy Cattle</w:t>
            </w:r>
          </w:p>
        </w:tc>
        <w:tc>
          <w:tcPr>
            <w:tcW w:w="764"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113,693.87</w:t>
            </w:r>
          </w:p>
        </w:tc>
        <w:tc>
          <w:tcPr>
            <w:tcW w:w="425" w:type="pct"/>
            <w:vMerge w:val="restar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6,214.96</w:t>
            </w:r>
          </w:p>
        </w:tc>
        <w:tc>
          <w:tcPr>
            <w:tcW w:w="448"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1701.8548</w:t>
            </w:r>
          </w:p>
        </w:tc>
        <w:tc>
          <w:tcPr>
            <w:tcW w:w="716" w:type="pct"/>
            <w:tcBorders>
              <w:right w:val="nil"/>
            </w:tcBorders>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115395.72</w:t>
            </w:r>
          </w:p>
        </w:tc>
      </w:tr>
      <w:tr w:rsidR="00D2247B" w:rsidRPr="009C2FFC" w:rsidTr="009A1839">
        <w:trPr>
          <w:trHeight w:val="300"/>
          <w:jc w:val="center"/>
        </w:trPr>
        <w:tc>
          <w:tcPr>
            <w:tcW w:w="502" w:type="pct"/>
            <w:vMerge/>
            <w:tcBorders>
              <w:left w:val="nil"/>
            </w:tcBorders>
            <w:vAlign w:val="center"/>
            <w:hideMark/>
          </w:tcPr>
          <w:p w:rsidR="00D2247B" w:rsidRPr="009C2FFC" w:rsidRDefault="00D2247B" w:rsidP="009A1839">
            <w:pPr>
              <w:rPr>
                <w:color w:val="000000"/>
              </w:rPr>
            </w:pPr>
          </w:p>
        </w:tc>
        <w:tc>
          <w:tcPr>
            <w:tcW w:w="491" w:type="pct"/>
            <w:vMerge/>
            <w:vAlign w:val="center"/>
            <w:hideMark/>
          </w:tcPr>
          <w:p w:rsidR="00D2247B" w:rsidRPr="009C2FFC" w:rsidRDefault="00D2247B" w:rsidP="009A1839">
            <w:pPr>
              <w:rPr>
                <w:color w:val="000000"/>
              </w:rPr>
            </w:pPr>
          </w:p>
        </w:tc>
        <w:tc>
          <w:tcPr>
            <w:tcW w:w="283" w:type="pct"/>
            <w:shd w:val="clear" w:color="auto" w:fill="auto"/>
            <w:noWrap/>
            <w:vAlign w:val="center"/>
            <w:hideMark/>
          </w:tcPr>
          <w:p w:rsidR="00D2247B" w:rsidRPr="009C2FFC" w:rsidRDefault="00D2247B" w:rsidP="009A1839">
            <w:pPr>
              <w:jc w:val="center"/>
              <w:rPr>
                <w:color w:val="000000"/>
              </w:rPr>
            </w:pPr>
            <w:r w:rsidRPr="009C2FFC">
              <w:rPr>
                <w:color w:val="000000"/>
              </w:rPr>
              <w:t>0102</w:t>
            </w:r>
          </w:p>
        </w:tc>
        <w:tc>
          <w:tcPr>
            <w:tcW w:w="1371" w:type="pct"/>
            <w:shd w:val="clear" w:color="auto" w:fill="auto"/>
            <w:noWrap/>
            <w:vAlign w:val="center"/>
            <w:hideMark/>
          </w:tcPr>
          <w:p w:rsidR="00D2247B" w:rsidRPr="009C2FFC" w:rsidRDefault="00D2247B" w:rsidP="009A1839">
            <w:pPr>
              <w:jc w:val="center"/>
              <w:rPr>
                <w:color w:val="000000"/>
              </w:rPr>
            </w:pPr>
            <w:r w:rsidRPr="009C2FFC">
              <w:rPr>
                <w:color w:val="000000"/>
              </w:rPr>
              <w:t>Poultry and Other Livestock</w:t>
            </w:r>
          </w:p>
        </w:tc>
        <w:tc>
          <w:tcPr>
            <w:tcW w:w="764"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2110.5</w:t>
            </w:r>
          </w:p>
        </w:tc>
        <w:tc>
          <w:tcPr>
            <w:tcW w:w="425" w:type="pct"/>
            <w:vMerge/>
            <w:shd w:val="clear" w:color="auto" w:fill="000000" w:themeFill="text1"/>
            <w:vAlign w:val="center"/>
            <w:hideMark/>
          </w:tcPr>
          <w:p w:rsidR="00D2247B" w:rsidRPr="009C2FFC" w:rsidRDefault="00D2247B" w:rsidP="009A1839">
            <w:pPr>
              <w:rPr>
                <w:color w:val="000000" w:themeColor="text1"/>
              </w:rPr>
            </w:pPr>
          </w:p>
        </w:tc>
        <w:tc>
          <w:tcPr>
            <w:tcW w:w="448"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279.22488</w:t>
            </w:r>
          </w:p>
        </w:tc>
        <w:tc>
          <w:tcPr>
            <w:tcW w:w="716" w:type="pct"/>
            <w:tcBorders>
              <w:right w:val="nil"/>
            </w:tcBorders>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2389.7249</w:t>
            </w:r>
          </w:p>
        </w:tc>
      </w:tr>
      <w:tr w:rsidR="00D2247B" w:rsidRPr="009C2FFC" w:rsidTr="009A1839">
        <w:trPr>
          <w:trHeight w:val="300"/>
          <w:jc w:val="center"/>
        </w:trPr>
        <w:tc>
          <w:tcPr>
            <w:tcW w:w="502" w:type="pct"/>
            <w:vMerge/>
            <w:tcBorders>
              <w:left w:val="nil"/>
            </w:tcBorders>
            <w:vAlign w:val="center"/>
            <w:hideMark/>
          </w:tcPr>
          <w:p w:rsidR="00D2247B" w:rsidRPr="009C2FFC" w:rsidRDefault="00D2247B" w:rsidP="009A1839">
            <w:pPr>
              <w:rPr>
                <w:color w:val="000000"/>
              </w:rPr>
            </w:pPr>
          </w:p>
        </w:tc>
        <w:tc>
          <w:tcPr>
            <w:tcW w:w="491" w:type="pct"/>
            <w:vMerge/>
            <w:vAlign w:val="center"/>
            <w:hideMark/>
          </w:tcPr>
          <w:p w:rsidR="00D2247B" w:rsidRPr="009C2FFC" w:rsidRDefault="00D2247B" w:rsidP="009A1839">
            <w:pPr>
              <w:rPr>
                <w:color w:val="000000"/>
              </w:rPr>
            </w:pPr>
          </w:p>
        </w:tc>
        <w:tc>
          <w:tcPr>
            <w:tcW w:w="283" w:type="pct"/>
            <w:shd w:val="clear" w:color="auto" w:fill="auto"/>
            <w:noWrap/>
            <w:vAlign w:val="center"/>
            <w:hideMark/>
          </w:tcPr>
          <w:p w:rsidR="00D2247B" w:rsidRPr="009C2FFC" w:rsidRDefault="00D2247B" w:rsidP="009A1839">
            <w:pPr>
              <w:jc w:val="center"/>
              <w:rPr>
                <w:color w:val="000000"/>
              </w:rPr>
            </w:pPr>
            <w:r w:rsidRPr="009C2FFC">
              <w:rPr>
                <w:color w:val="000000"/>
              </w:rPr>
              <w:t>0103</w:t>
            </w:r>
          </w:p>
        </w:tc>
        <w:tc>
          <w:tcPr>
            <w:tcW w:w="1371" w:type="pct"/>
            <w:shd w:val="clear" w:color="auto" w:fill="auto"/>
            <w:noWrap/>
            <w:vAlign w:val="center"/>
            <w:hideMark/>
          </w:tcPr>
          <w:p w:rsidR="00D2247B" w:rsidRPr="009C2FFC" w:rsidRDefault="00D2247B" w:rsidP="009A1839">
            <w:pPr>
              <w:jc w:val="center"/>
              <w:rPr>
                <w:color w:val="000000"/>
              </w:rPr>
            </w:pPr>
            <w:r w:rsidRPr="009C2FFC">
              <w:rPr>
                <w:color w:val="000000"/>
              </w:rPr>
              <w:t>Other Agriculture</w:t>
            </w:r>
          </w:p>
        </w:tc>
        <w:tc>
          <w:tcPr>
            <w:tcW w:w="764"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28,359.84</w:t>
            </w:r>
          </w:p>
        </w:tc>
        <w:tc>
          <w:tcPr>
            <w:tcW w:w="425" w:type="pct"/>
            <w:vMerge/>
            <w:shd w:val="clear" w:color="auto" w:fill="000000" w:themeFill="text1"/>
            <w:vAlign w:val="center"/>
            <w:hideMark/>
          </w:tcPr>
          <w:p w:rsidR="00D2247B" w:rsidRPr="009C2FFC" w:rsidRDefault="00D2247B" w:rsidP="009A1839">
            <w:pPr>
              <w:rPr>
                <w:color w:val="000000" w:themeColor="text1"/>
              </w:rPr>
            </w:pPr>
          </w:p>
        </w:tc>
        <w:tc>
          <w:tcPr>
            <w:tcW w:w="448"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2106.8278</w:t>
            </w:r>
          </w:p>
        </w:tc>
        <w:tc>
          <w:tcPr>
            <w:tcW w:w="716" w:type="pct"/>
            <w:tcBorders>
              <w:right w:val="nil"/>
            </w:tcBorders>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30466.668</w:t>
            </w:r>
          </w:p>
        </w:tc>
      </w:tr>
      <w:tr w:rsidR="00D2247B" w:rsidRPr="009C2FFC" w:rsidTr="009A1839">
        <w:trPr>
          <w:trHeight w:val="300"/>
          <w:jc w:val="center"/>
        </w:trPr>
        <w:tc>
          <w:tcPr>
            <w:tcW w:w="502" w:type="pct"/>
            <w:vMerge/>
            <w:tcBorders>
              <w:left w:val="nil"/>
            </w:tcBorders>
            <w:vAlign w:val="center"/>
            <w:hideMark/>
          </w:tcPr>
          <w:p w:rsidR="00D2247B" w:rsidRPr="009C2FFC" w:rsidRDefault="00D2247B" w:rsidP="009A1839">
            <w:pPr>
              <w:rPr>
                <w:color w:val="000000"/>
              </w:rPr>
            </w:pPr>
          </w:p>
        </w:tc>
        <w:tc>
          <w:tcPr>
            <w:tcW w:w="491" w:type="pct"/>
            <w:vMerge/>
            <w:vAlign w:val="center"/>
            <w:hideMark/>
          </w:tcPr>
          <w:p w:rsidR="00D2247B" w:rsidRPr="009C2FFC" w:rsidRDefault="00D2247B" w:rsidP="009A1839">
            <w:pPr>
              <w:rPr>
                <w:color w:val="000000"/>
              </w:rPr>
            </w:pPr>
          </w:p>
        </w:tc>
        <w:tc>
          <w:tcPr>
            <w:tcW w:w="283" w:type="pct"/>
            <w:shd w:val="clear" w:color="auto" w:fill="auto"/>
            <w:noWrap/>
            <w:vAlign w:val="center"/>
            <w:hideMark/>
          </w:tcPr>
          <w:p w:rsidR="00D2247B" w:rsidRPr="009C2FFC" w:rsidRDefault="00D2247B" w:rsidP="009A1839">
            <w:pPr>
              <w:jc w:val="center"/>
              <w:rPr>
                <w:color w:val="000000"/>
              </w:rPr>
            </w:pPr>
            <w:r w:rsidRPr="009C2FFC">
              <w:rPr>
                <w:color w:val="000000"/>
              </w:rPr>
              <w:t>0201</w:t>
            </w:r>
          </w:p>
        </w:tc>
        <w:tc>
          <w:tcPr>
            <w:tcW w:w="1371" w:type="pct"/>
            <w:shd w:val="clear" w:color="auto" w:fill="auto"/>
            <w:noWrap/>
            <w:vAlign w:val="center"/>
            <w:hideMark/>
          </w:tcPr>
          <w:p w:rsidR="00D2247B" w:rsidRPr="009C2FFC" w:rsidRDefault="00D2247B" w:rsidP="009A1839">
            <w:pPr>
              <w:jc w:val="center"/>
              <w:rPr>
                <w:color w:val="000000"/>
              </w:rPr>
            </w:pPr>
            <w:r w:rsidRPr="009C2FFC">
              <w:rPr>
                <w:color w:val="000000"/>
              </w:rPr>
              <w:t>Aquaculture</w:t>
            </w:r>
          </w:p>
        </w:tc>
        <w:tc>
          <w:tcPr>
            <w:tcW w:w="764"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0</w:t>
            </w:r>
          </w:p>
        </w:tc>
        <w:tc>
          <w:tcPr>
            <w:tcW w:w="425" w:type="pct"/>
            <w:vMerge/>
            <w:shd w:val="clear" w:color="auto" w:fill="000000" w:themeFill="text1"/>
            <w:vAlign w:val="center"/>
            <w:hideMark/>
          </w:tcPr>
          <w:p w:rsidR="00D2247B" w:rsidRPr="009C2FFC" w:rsidRDefault="00D2247B" w:rsidP="009A1839">
            <w:pPr>
              <w:rPr>
                <w:color w:val="000000" w:themeColor="text1"/>
              </w:rPr>
            </w:pPr>
          </w:p>
        </w:tc>
        <w:tc>
          <w:tcPr>
            <w:tcW w:w="448"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369.30271</w:t>
            </w:r>
          </w:p>
        </w:tc>
        <w:tc>
          <w:tcPr>
            <w:tcW w:w="716" w:type="pct"/>
            <w:tcBorders>
              <w:right w:val="nil"/>
            </w:tcBorders>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369.30271</w:t>
            </w:r>
          </w:p>
        </w:tc>
      </w:tr>
      <w:tr w:rsidR="00D2247B" w:rsidRPr="009C2FFC" w:rsidTr="009A1839">
        <w:trPr>
          <w:trHeight w:val="300"/>
          <w:jc w:val="center"/>
        </w:trPr>
        <w:tc>
          <w:tcPr>
            <w:tcW w:w="502" w:type="pct"/>
            <w:vMerge/>
            <w:tcBorders>
              <w:left w:val="nil"/>
            </w:tcBorders>
            <w:vAlign w:val="center"/>
            <w:hideMark/>
          </w:tcPr>
          <w:p w:rsidR="00D2247B" w:rsidRPr="009C2FFC" w:rsidRDefault="00D2247B" w:rsidP="009A1839">
            <w:pPr>
              <w:rPr>
                <w:color w:val="000000"/>
              </w:rPr>
            </w:pPr>
          </w:p>
        </w:tc>
        <w:tc>
          <w:tcPr>
            <w:tcW w:w="491" w:type="pct"/>
            <w:vMerge/>
            <w:vAlign w:val="center"/>
            <w:hideMark/>
          </w:tcPr>
          <w:p w:rsidR="00D2247B" w:rsidRPr="009C2FFC" w:rsidRDefault="00D2247B" w:rsidP="009A1839">
            <w:pPr>
              <w:rPr>
                <w:color w:val="000000"/>
              </w:rPr>
            </w:pPr>
          </w:p>
        </w:tc>
        <w:tc>
          <w:tcPr>
            <w:tcW w:w="283" w:type="pct"/>
            <w:shd w:val="clear" w:color="auto" w:fill="auto"/>
            <w:noWrap/>
            <w:vAlign w:val="center"/>
            <w:hideMark/>
          </w:tcPr>
          <w:p w:rsidR="00D2247B" w:rsidRPr="009C2FFC" w:rsidRDefault="00D2247B" w:rsidP="009A1839">
            <w:pPr>
              <w:jc w:val="center"/>
              <w:rPr>
                <w:color w:val="000000"/>
              </w:rPr>
            </w:pPr>
            <w:r w:rsidRPr="009C2FFC">
              <w:rPr>
                <w:color w:val="000000"/>
              </w:rPr>
              <w:t>0301</w:t>
            </w:r>
          </w:p>
        </w:tc>
        <w:tc>
          <w:tcPr>
            <w:tcW w:w="1371" w:type="pct"/>
            <w:shd w:val="clear" w:color="auto" w:fill="auto"/>
            <w:noWrap/>
            <w:vAlign w:val="center"/>
            <w:hideMark/>
          </w:tcPr>
          <w:p w:rsidR="00D2247B" w:rsidRPr="009C2FFC" w:rsidRDefault="00D2247B" w:rsidP="009A1839">
            <w:pPr>
              <w:jc w:val="center"/>
              <w:rPr>
                <w:color w:val="000000"/>
              </w:rPr>
            </w:pPr>
            <w:r w:rsidRPr="009C2FFC">
              <w:rPr>
                <w:color w:val="000000"/>
              </w:rPr>
              <w:t>Forestry and Logging</w:t>
            </w:r>
          </w:p>
        </w:tc>
        <w:tc>
          <w:tcPr>
            <w:tcW w:w="764" w:type="pct"/>
            <w:shd w:val="clear" w:color="auto" w:fill="000000" w:themeFill="text1"/>
            <w:noWrap/>
            <w:vAlign w:val="center"/>
            <w:hideMark/>
          </w:tcPr>
          <w:p w:rsidR="00D2247B" w:rsidRPr="009C2FFC" w:rsidRDefault="00D2247B" w:rsidP="009A1839">
            <w:pPr>
              <w:jc w:val="center"/>
              <w:rPr>
                <w:color w:val="000000" w:themeColor="text1"/>
              </w:rPr>
            </w:pPr>
          </w:p>
        </w:tc>
        <w:tc>
          <w:tcPr>
            <w:tcW w:w="425" w:type="pct"/>
            <w:vMerge/>
            <w:shd w:val="clear" w:color="auto" w:fill="000000" w:themeFill="text1"/>
            <w:vAlign w:val="center"/>
            <w:hideMark/>
          </w:tcPr>
          <w:p w:rsidR="00D2247B" w:rsidRPr="009C2FFC" w:rsidRDefault="00D2247B" w:rsidP="009A1839">
            <w:pPr>
              <w:rPr>
                <w:color w:val="000000" w:themeColor="text1"/>
              </w:rPr>
            </w:pPr>
          </w:p>
        </w:tc>
        <w:tc>
          <w:tcPr>
            <w:tcW w:w="448"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613.99392</w:t>
            </w:r>
          </w:p>
        </w:tc>
        <w:tc>
          <w:tcPr>
            <w:tcW w:w="716" w:type="pct"/>
            <w:tcBorders>
              <w:right w:val="nil"/>
            </w:tcBorders>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613.99392</w:t>
            </w:r>
          </w:p>
        </w:tc>
      </w:tr>
      <w:tr w:rsidR="00D2247B" w:rsidRPr="009C2FFC" w:rsidTr="009A1839">
        <w:trPr>
          <w:trHeight w:val="300"/>
          <w:jc w:val="center"/>
        </w:trPr>
        <w:tc>
          <w:tcPr>
            <w:tcW w:w="502" w:type="pct"/>
            <w:vMerge/>
            <w:tcBorders>
              <w:left w:val="nil"/>
            </w:tcBorders>
            <w:vAlign w:val="center"/>
            <w:hideMark/>
          </w:tcPr>
          <w:p w:rsidR="00D2247B" w:rsidRPr="009C2FFC" w:rsidRDefault="00D2247B" w:rsidP="009A1839">
            <w:pPr>
              <w:rPr>
                <w:color w:val="000000"/>
              </w:rPr>
            </w:pPr>
          </w:p>
        </w:tc>
        <w:tc>
          <w:tcPr>
            <w:tcW w:w="491" w:type="pct"/>
            <w:vMerge/>
            <w:vAlign w:val="center"/>
            <w:hideMark/>
          </w:tcPr>
          <w:p w:rsidR="00D2247B" w:rsidRPr="009C2FFC" w:rsidRDefault="00D2247B" w:rsidP="009A1839">
            <w:pPr>
              <w:rPr>
                <w:color w:val="000000"/>
              </w:rPr>
            </w:pPr>
          </w:p>
        </w:tc>
        <w:tc>
          <w:tcPr>
            <w:tcW w:w="283" w:type="pct"/>
            <w:shd w:val="clear" w:color="auto" w:fill="auto"/>
            <w:noWrap/>
            <w:vAlign w:val="center"/>
            <w:hideMark/>
          </w:tcPr>
          <w:p w:rsidR="00D2247B" w:rsidRPr="009C2FFC" w:rsidRDefault="00D2247B" w:rsidP="009A1839">
            <w:pPr>
              <w:jc w:val="center"/>
              <w:rPr>
                <w:color w:val="000000"/>
              </w:rPr>
            </w:pPr>
            <w:r w:rsidRPr="009C2FFC">
              <w:rPr>
                <w:color w:val="000000"/>
              </w:rPr>
              <w:t>0401</w:t>
            </w:r>
          </w:p>
        </w:tc>
        <w:tc>
          <w:tcPr>
            <w:tcW w:w="1371" w:type="pct"/>
            <w:shd w:val="clear" w:color="auto" w:fill="auto"/>
            <w:noWrap/>
            <w:vAlign w:val="center"/>
            <w:hideMark/>
          </w:tcPr>
          <w:p w:rsidR="00D2247B" w:rsidRPr="009C2FFC" w:rsidRDefault="00D2247B" w:rsidP="009A1839">
            <w:pPr>
              <w:jc w:val="center"/>
              <w:rPr>
                <w:color w:val="000000"/>
              </w:rPr>
            </w:pPr>
            <w:r w:rsidRPr="009C2FFC">
              <w:rPr>
                <w:color w:val="000000"/>
              </w:rPr>
              <w:t>Fishing, hunting and trapping</w:t>
            </w:r>
          </w:p>
        </w:tc>
        <w:tc>
          <w:tcPr>
            <w:tcW w:w="764"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0</w:t>
            </w:r>
          </w:p>
        </w:tc>
        <w:tc>
          <w:tcPr>
            <w:tcW w:w="425" w:type="pct"/>
            <w:vMerge/>
            <w:shd w:val="clear" w:color="auto" w:fill="000000" w:themeFill="text1"/>
            <w:vAlign w:val="center"/>
            <w:hideMark/>
          </w:tcPr>
          <w:p w:rsidR="00D2247B" w:rsidRPr="009C2FFC" w:rsidRDefault="00D2247B" w:rsidP="009A1839">
            <w:pPr>
              <w:rPr>
                <w:color w:val="000000" w:themeColor="text1"/>
              </w:rPr>
            </w:pPr>
          </w:p>
        </w:tc>
        <w:tc>
          <w:tcPr>
            <w:tcW w:w="448" w:type="pct"/>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431.97475</w:t>
            </w:r>
          </w:p>
        </w:tc>
        <w:tc>
          <w:tcPr>
            <w:tcW w:w="716" w:type="pct"/>
            <w:tcBorders>
              <w:right w:val="nil"/>
            </w:tcBorders>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431.97475</w:t>
            </w:r>
          </w:p>
        </w:tc>
      </w:tr>
      <w:tr w:rsidR="00D2247B" w:rsidRPr="009C2FFC" w:rsidTr="009A1839">
        <w:trPr>
          <w:trHeight w:val="675"/>
          <w:jc w:val="center"/>
        </w:trPr>
        <w:tc>
          <w:tcPr>
            <w:tcW w:w="502" w:type="pct"/>
            <w:vMerge/>
            <w:tcBorders>
              <w:left w:val="nil"/>
              <w:bottom w:val="single" w:sz="12" w:space="0" w:color="auto"/>
            </w:tcBorders>
            <w:vAlign w:val="center"/>
            <w:hideMark/>
          </w:tcPr>
          <w:p w:rsidR="00D2247B" w:rsidRPr="009C2FFC" w:rsidRDefault="00D2247B" w:rsidP="009A1839">
            <w:pPr>
              <w:rPr>
                <w:color w:val="000000"/>
              </w:rPr>
            </w:pPr>
          </w:p>
        </w:tc>
        <w:tc>
          <w:tcPr>
            <w:tcW w:w="491" w:type="pct"/>
            <w:vMerge/>
            <w:tcBorders>
              <w:bottom w:val="single" w:sz="12" w:space="0" w:color="auto"/>
            </w:tcBorders>
            <w:vAlign w:val="center"/>
            <w:hideMark/>
          </w:tcPr>
          <w:p w:rsidR="00D2247B" w:rsidRPr="009C2FFC" w:rsidRDefault="00D2247B" w:rsidP="009A1839">
            <w:pPr>
              <w:rPr>
                <w:color w:val="000000"/>
              </w:rPr>
            </w:pPr>
          </w:p>
        </w:tc>
        <w:tc>
          <w:tcPr>
            <w:tcW w:w="283" w:type="pct"/>
            <w:tcBorders>
              <w:bottom w:val="single" w:sz="12" w:space="0" w:color="auto"/>
            </w:tcBorders>
            <w:shd w:val="clear" w:color="auto" w:fill="auto"/>
            <w:noWrap/>
            <w:vAlign w:val="center"/>
            <w:hideMark/>
          </w:tcPr>
          <w:p w:rsidR="00D2247B" w:rsidRPr="009C2FFC" w:rsidRDefault="00D2247B" w:rsidP="009A1839">
            <w:pPr>
              <w:jc w:val="center"/>
              <w:rPr>
                <w:color w:val="000000"/>
              </w:rPr>
            </w:pPr>
            <w:r w:rsidRPr="009C2FFC">
              <w:rPr>
                <w:color w:val="000000"/>
              </w:rPr>
              <w:t>0501</w:t>
            </w:r>
          </w:p>
        </w:tc>
        <w:tc>
          <w:tcPr>
            <w:tcW w:w="1371" w:type="pct"/>
            <w:tcBorders>
              <w:bottom w:val="single" w:sz="12" w:space="0" w:color="auto"/>
            </w:tcBorders>
            <w:shd w:val="clear" w:color="auto" w:fill="auto"/>
            <w:vAlign w:val="center"/>
            <w:hideMark/>
          </w:tcPr>
          <w:p w:rsidR="00D2247B" w:rsidRPr="009C2FFC" w:rsidRDefault="00D2247B" w:rsidP="009A1839">
            <w:pPr>
              <w:jc w:val="center"/>
              <w:rPr>
                <w:color w:val="000000"/>
              </w:rPr>
            </w:pPr>
            <w:r w:rsidRPr="009C2FFC">
              <w:rPr>
                <w:color w:val="000000"/>
              </w:rPr>
              <w:t>Agriculture, Forestry and Fishing Support Services</w:t>
            </w:r>
          </w:p>
        </w:tc>
        <w:tc>
          <w:tcPr>
            <w:tcW w:w="764" w:type="pct"/>
            <w:tcBorders>
              <w:bottom w:val="single" w:sz="12" w:space="0" w:color="auto"/>
            </w:tcBorders>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0</w:t>
            </w:r>
          </w:p>
        </w:tc>
        <w:tc>
          <w:tcPr>
            <w:tcW w:w="425" w:type="pct"/>
            <w:vMerge/>
            <w:tcBorders>
              <w:bottom w:val="single" w:sz="12" w:space="0" w:color="auto"/>
            </w:tcBorders>
            <w:shd w:val="clear" w:color="auto" w:fill="000000" w:themeFill="text1"/>
            <w:vAlign w:val="center"/>
            <w:hideMark/>
          </w:tcPr>
          <w:p w:rsidR="00D2247B" w:rsidRPr="009C2FFC" w:rsidRDefault="00D2247B" w:rsidP="009A1839">
            <w:pPr>
              <w:rPr>
                <w:color w:val="000000" w:themeColor="text1"/>
              </w:rPr>
            </w:pPr>
          </w:p>
        </w:tc>
        <w:tc>
          <w:tcPr>
            <w:tcW w:w="448" w:type="pct"/>
            <w:tcBorders>
              <w:bottom w:val="single" w:sz="12" w:space="0" w:color="auto"/>
            </w:tcBorders>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711.78441</w:t>
            </w:r>
          </w:p>
        </w:tc>
        <w:tc>
          <w:tcPr>
            <w:tcW w:w="716" w:type="pct"/>
            <w:tcBorders>
              <w:bottom w:val="single" w:sz="12" w:space="0" w:color="auto"/>
              <w:right w:val="nil"/>
            </w:tcBorders>
            <w:shd w:val="clear" w:color="auto" w:fill="000000" w:themeFill="text1"/>
            <w:noWrap/>
            <w:vAlign w:val="center"/>
            <w:hideMark/>
          </w:tcPr>
          <w:p w:rsidR="00D2247B" w:rsidRPr="009C2FFC" w:rsidRDefault="00D2247B" w:rsidP="009A1839">
            <w:pPr>
              <w:jc w:val="center"/>
              <w:rPr>
                <w:color w:val="000000" w:themeColor="text1"/>
              </w:rPr>
            </w:pPr>
            <w:r w:rsidRPr="009C2FFC">
              <w:rPr>
                <w:color w:val="000000" w:themeColor="text1"/>
              </w:rPr>
              <w:t>711.78441</w:t>
            </w:r>
          </w:p>
        </w:tc>
      </w:tr>
    </w:tbl>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p>
    <w:p w:rsidR="00D2247B" w:rsidRDefault="00D2247B" w:rsidP="00D2247B">
      <w:pPr>
        <w:autoSpaceDE w:val="0"/>
        <w:autoSpaceDN w:val="0"/>
        <w:adjustRightInd w:val="0"/>
        <w:spacing w:line="360" w:lineRule="auto"/>
        <w:jc w:val="both"/>
        <w:rPr>
          <w:rFonts w:ascii="TimesNewRoman" w:eastAsiaTheme="minorHAnsi" w:hAnsi="TimesNewRoman" w:cs="TimesNewRoman"/>
          <w:lang w:eastAsia="en-US"/>
        </w:rPr>
      </w:pPr>
      <w:r>
        <w:rPr>
          <w:rFonts w:ascii="TimesNewRoman" w:eastAsiaTheme="minorHAnsi" w:hAnsi="TimesNewRoman" w:cs="TimesNewRoman"/>
          <w:lang w:eastAsia="en-US"/>
        </w:rPr>
        <w:t>The total directly allocated agriculture data make up 1</w:t>
      </w:r>
      <w:r w:rsidR="00A45013">
        <w:rPr>
          <w:rFonts w:ascii="TimesNewRoman" w:eastAsiaTheme="minorHAnsi" w:hAnsi="TimesNewRoman" w:cs="TimesNewRoman"/>
          <w:lang w:eastAsia="en-US"/>
        </w:rPr>
        <w:t>44</w:t>
      </w:r>
      <w:r>
        <w:rPr>
          <w:rFonts w:ascii="TimesNewRoman" w:eastAsiaTheme="minorHAnsi" w:hAnsi="TimesNewRoman" w:cs="TimesNewRoman"/>
          <w:lang w:eastAsia="en-US"/>
        </w:rPr>
        <w:t xml:space="preserve"> mega tonnes out of the total 1</w:t>
      </w:r>
      <w:r w:rsidR="00A45013">
        <w:rPr>
          <w:rFonts w:ascii="TimesNewRoman" w:eastAsiaTheme="minorHAnsi" w:hAnsi="TimesNewRoman" w:cs="TimesNewRoman"/>
          <w:lang w:eastAsia="en-US"/>
        </w:rPr>
        <w:t>50</w:t>
      </w:r>
      <w:r>
        <w:rPr>
          <w:rFonts w:ascii="TimesNewRoman" w:eastAsiaTheme="minorHAnsi" w:hAnsi="TimesNewRoman" w:cs="TimesNewRoman"/>
          <w:lang w:eastAsia="en-US"/>
        </w:rPr>
        <w:t xml:space="preserve"> mega tonnes for the agriculture total </w:t>
      </w:r>
      <w:r w:rsidR="00A45013">
        <w:rPr>
          <w:rFonts w:ascii="TimesNewRoman" w:eastAsiaTheme="minorHAnsi" w:hAnsi="TimesNewRoman" w:cs="TimesNewRoman"/>
          <w:lang w:eastAsia="en-US"/>
        </w:rPr>
        <w:t xml:space="preserve">SEEA based </w:t>
      </w:r>
      <w:r>
        <w:rPr>
          <w:rFonts w:ascii="TimesNewRoman" w:eastAsiaTheme="minorHAnsi" w:hAnsi="TimesNewRoman" w:cs="TimesNewRoman"/>
          <w:lang w:eastAsia="en-US"/>
        </w:rPr>
        <w:t>emission</w:t>
      </w:r>
      <w:r w:rsidR="00A45013">
        <w:rPr>
          <w:rFonts w:ascii="TimesNewRoman" w:eastAsiaTheme="minorHAnsi" w:hAnsi="TimesNewRoman" w:cs="TimesNewRoman"/>
          <w:lang w:eastAsia="en-US"/>
        </w:rPr>
        <w:t>s</w:t>
      </w:r>
      <w:r>
        <w:rPr>
          <w:rFonts w:ascii="TimesNewRoman" w:eastAsiaTheme="minorHAnsi" w:hAnsi="TimesNewRoman" w:cs="TimesNewRoman"/>
          <w:lang w:eastAsia="en-US"/>
        </w:rPr>
        <w:t xml:space="preserve">. The residual </w:t>
      </w:r>
      <w:r w:rsidR="00A45013">
        <w:rPr>
          <w:rFonts w:ascii="TimesNewRoman" w:eastAsiaTheme="minorHAnsi" w:hAnsi="TimesNewRoman" w:cs="TimesNewRoman"/>
          <w:lang w:eastAsia="en-US"/>
        </w:rPr>
        <w:t>6</w:t>
      </w:r>
      <w:r>
        <w:rPr>
          <w:rFonts w:ascii="TimesNewRoman" w:eastAsiaTheme="minorHAnsi" w:hAnsi="TimesNewRoman" w:cs="TimesNewRoman"/>
          <w:lang w:eastAsia="en-US"/>
        </w:rPr>
        <w:t xml:space="preserve"> mega tonnes is predominantly the energy emission, such as the emission</w:t>
      </w:r>
      <w:r w:rsidR="002655E8">
        <w:rPr>
          <w:rFonts w:ascii="TimesNewRoman" w:eastAsiaTheme="minorHAnsi" w:hAnsi="TimesNewRoman" w:cs="TimesNewRoman"/>
          <w:lang w:eastAsia="en-US"/>
        </w:rPr>
        <w:t>s</w:t>
      </w:r>
      <w:r>
        <w:rPr>
          <w:rFonts w:ascii="TimesNewRoman" w:eastAsiaTheme="minorHAnsi" w:hAnsi="TimesNewRoman" w:cs="TimesNewRoman"/>
          <w:lang w:eastAsia="en-US"/>
        </w:rPr>
        <w:t xml:space="preserve"> due to the </w:t>
      </w:r>
      <w:r w:rsidR="00A75510">
        <w:rPr>
          <w:rFonts w:ascii="TimesNewRoman" w:eastAsiaTheme="minorHAnsi" w:hAnsi="TimesNewRoman" w:cs="TimesNewRoman"/>
          <w:lang w:eastAsia="en-US"/>
        </w:rPr>
        <w:t>operation</w:t>
      </w:r>
      <w:r>
        <w:rPr>
          <w:rFonts w:ascii="TimesNewRoman" w:eastAsiaTheme="minorHAnsi" w:hAnsi="TimesNewRoman" w:cs="TimesNewRoman"/>
          <w:lang w:eastAsia="en-US"/>
        </w:rPr>
        <w:t xml:space="preserve"> of the agricultural equipment etc. The residue will the</w:t>
      </w:r>
      <w:r w:rsidR="00A75510">
        <w:rPr>
          <w:rFonts w:ascii="TimesNewRoman" w:eastAsiaTheme="minorHAnsi" w:hAnsi="TimesNewRoman" w:cs="TimesNewRoman"/>
          <w:lang w:eastAsia="en-US"/>
        </w:rPr>
        <w:t>n be realloca</w:t>
      </w:r>
      <w:r>
        <w:rPr>
          <w:rFonts w:ascii="TimesNewRoman" w:eastAsiaTheme="minorHAnsi" w:hAnsi="TimesNewRoman" w:cs="TimesNewRoman"/>
          <w:lang w:eastAsia="en-US"/>
        </w:rPr>
        <w:t>ted based on the dissection ratios.</w:t>
      </w:r>
    </w:p>
    <w:p w:rsidR="00D2247B" w:rsidRPr="009C2FFC" w:rsidRDefault="00D2247B" w:rsidP="00D2247B">
      <w:pPr>
        <w:autoSpaceDE w:val="0"/>
        <w:autoSpaceDN w:val="0"/>
        <w:adjustRightInd w:val="0"/>
        <w:spacing w:line="360" w:lineRule="auto"/>
        <w:rPr>
          <w:rFonts w:ascii="TimesNewRoman" w:eastAsiaTheme="minorHAnsi" w:hAnsi="TimesNewRoman" w:cs="TimesNewRoman"/>
          <w:lang w:eastAsia="en-US"/>
        </w:rPr>
        <w:sectPr w:rsidR="00D2247B" w:rsidRPr="009C2FFC" w:rsidSect="005751A3">
          <w:pgSz w:w="16838" w:h="11906" w:orient="landscape"/>
          <w:pgMar w:top="1440" w:right="1440" w:bottom="1440" w:left="1440" w:header="709" w:footer="709" w:gutter="0"/>
          <w:cols w:space="708"/>
          <w:docGrid w:linePitch="360"/>
        </w:sectPr>
      </w:pPr>
    </w:p>
    <w:p w:rsidR="00D2247B" w:rsidRPr="00364979" w:rsidRDefault="00D2247B" w:rsidP="00D2247B">
      <w:pPr>
        <w:spacing w:line="360" w:lineRule="auto"/>
        <w:jc w:val="both"/>
        <w:rPr>
          <w:b/>
          <w:sz w:val="28"/>
        </w:rPr>
      </w:pPr>
      <w:r w:rsidRPr="00364979">
        <w:rPr>
          <w:b/>
          <w:sz w:val="28"/>
        </w:rPr>
        <w:lastRenderedPageBreak/>
        <w:t>BIBLIOGRAPHY</w:t>
      </w:r>
    </w:p>
    <w:p w:rsidR="00D2247B" w:rsidRPr="009853C4" w:rsidRDefault="00D2247B" w:rsidP="00D2247B">
      <w:pPr>
        <w:spacing w:line="360" w:lineRule="auto"/>
        <w:jc w:val="both"/>
        <w:rPr>
          <w:rFonts w:eastAsiaTheme="minorHAnsi"/>
          <w:sz w:val="14"/>
          <w:lang w:eastAsia="en-US"/>
        </w:rPr>
      </w:pPr>
    </w:p>
    <w:p w:rsidR="00D2247B" w:rsidRDefault="00D2247B" w:rsidP="00D2247B">
      <w:pPr>
        <w:spacing w:line="360" w:lineRule="auto"/>
        <w:jc w:val="both"/>
        <w:rPr>
          <w:rFonts w:eastAsiaTheme="minorHAnsi"/>
          <w:i/>
          <w:lang w:eastAsia="en-US"/>
        </w:rPr>
      </w:pPr>
      <w:r>
        <w:rPr>
          <w:rFonts w:eastAsiaTheme="minorHAnsi"/>
          <w:lang w:eastAsia="en-US"/>
        </w:rPr>
        <w:t xml:space="preserve">Australian Bureau of Statistics (2001), </w:t>
      </w:r>
      <w:r w:rsidRPr="00364979">
        <w:rPr>
          <w:rFonts w:eastAsiaTheme="minorHAnsi"/>
          <w:i/>
          <w:lang w:eastAsia="en-US"/>
        </w:rPr>
        <w:t xml:space="preserve">Energy and Greenhouse Gas Emissions Accounts, </w:t>
      </w:r>
    </w:p>
    <w:p w:rsidR="00D2247B" w:rsidRDefault="00D2247B" w:rsidP="00D2247B">
      <w:pPr>
        <w:spacing w:line="360" w:lineRule="auto"/>
        <w:jc w:val="both"/>
        <w:rPr>
          <w:rFonts w:eastAsiaTheme="minorHAnsi"/>
          <w:lang w:eastAsia="en-US"/>
        </w:rPr>
      </w:pPr>
      <w:r>
        <w:rPr>
          <w:rFonts w:eastAsiaTheme="minorHAnsi"/>
          <w:i/>
          <w:lang w:eastAsia="en-US"/>
        </w:rPr>
        <w:tab/>
      </w:r>
      <w:r w:rsidRPr="00364979">
        <w:rPr>
          <w:rFonts w:eastAsiaTheme="minorHAnsi"/>
          <w:i/>
          <w:lang w:eastAsia="en-US"/>
        </w:rPr>
        <w:t>Australia: 1992–93 to 1997–98</w:t>
      </w:r>
      <w:r>
        <w:rPr>
          <w:rFonts w:eastAsiaTheme="minorHAnsi"/>
          <w:lang w:eastAsia="en-US"/>
        </w:rPr>
        <w:t xml:space="preserve">, Cat. </w:t>
      </w:r>
      <w:proofErr w:type="gramStart"/>
      <w:r>
        <w:rPr>
          <w:rFonts w:eastAsiaTheme="minorHAnsi"/>
          <w:lang w:eastAsia="en-US"/>
        </w:rPr>
        <w:t>no</w:t>
      </w:r>
      <w:proofErr w:type="gramEnd"/>
      <w:r>
        <w:rPr>
          <w:rFonts w:eastAsiaTheme="minorHAnsi"/>
          <w:lang w:eastAsia="en-US"/>
        </w:rPr>
        <w:t xml:space="preserve">. </w:t>
      </w:r>
      <w:r w:rsidRPr="00364979">
        <w:rPr>
          <w:rFonts w:eastAsiaTheme="minorHAnsi"/>
          <w:lang w:eastAsia="en-US"/>
        </w:rPr>
        <w:t>4604.0</w:t>
      </w:r>
      <w:r>
        <w:rPr>
          <w:rFonts w:eastAsiaTheme="minorHAnsi"/>
          <w:lang w:eastAsia="en-US"/>
        </w:rPr>
        <w:t>, Canberra.</w:t>
      </w:r>
    </w:p>
    <w:p w:rsidR="00D2247B" w:rsidRDefault="00D2247B" w:rsidP="00D2247B">
      <w:pPr>
        <w:spacing w:line="360" w:lineRule="auto"/>
        <w:jc w:val="both"/>
        <w:rPr>
          <w:i/>
          <w:iCs/>
        </w:rPr>
      </w:pPr>
      <w:r w:rsidRPr="004726EA">
        <w:t>Ayres</w:t>
      </w:r>
      <w:r>
        <w:t xml:space="preserve">, R.U. and </w:t>
      </w:r>
      <w:proofErr w:type="spellStart"/>
      <w:r>
        <w:t>Kneese</w:t>
      </w:r>
      <w:proofErr w:type="spellEnd"/>
      <w:r>
        <w:t xml:space="preserve">, A.V. (1969), “Production, </w:t>
      </w:r>
      <w:r w:rsidRPr="004726EA">
        <w:t>Consumption, and Externalities</w:t>
      </w:r>
      <w:r>
        <w:t xml:space="preserve">”, </w:t>
      </w:r>
      <w:r w:rsidRPr="004726EA">
        <w:rPr>
          <w:i/>
          <w:iCs/>
        </w:rPr>
        <w:t xml:space="preserve">The </w:t>
      </w:r>
    </w:p>
    <w:p w:rsidR="00D2247B" w:rsidRDefault="00D2247B" w:rsidP="00D2247B">
      <w:pPr>
        <w:spacing w:line="360" w:lineRule="auto"/>
        <w:jc w:val="both"/>
      </w:pPr>
      <w:r>
        <w:rPr>
          <w:i/>
          <w:iCs/>
        </w:rPr>
        <w:tab/>
      </w:r>
      <w:r w:rsidRPr="004726EA">
        <w:rPr>
          <w:i/>
          <w:iCs/>
        </w:rPr>
        <w:t>American Economic Review</w:t>
      </w:r>
      <w:r>
        <w:t>, Vol. 59, No. 3, pp. 282-297.</w:t>
      </w:r>
    </w:p>
    <w:p w:rsidR="00D2247B" w:rsidRDefault="00D2247B" w:rsidP="00D2247B">
      <w:pPr>
        <w:spacing w:line="360" w:lineRule="auto"/>
        <w:jc w:val="both"/>
        <w:rPr>
          <w:i/>
        </w:rPr>
      </w:pPr>
      <w:r>
        <w:t xml:space="preserve">Bullard, C.W. and </w:t>
      </w:r>
      <w:proofErr w:type="spellStart"/>
      <w:r>
        <w:t>Herendeen</w:t>
      </w:r>
      <w:proofErr w:type="spellEnd"/>
      <w:r>
        <w:t xml:space="preserve">, R.A. (1975), “The energy cost of goods and services”, </w:t>
      </w:r>
      <w:r>
        <w:rPr>
          <w:i/>
        </w:rPr>
        <w:t xml:space="preserve">Energy </w:t>
      </w:r>
    </w:p>
    <w:p w:rsidR="00D2247B" w:rsidRPr="00122569" w:rsidRDefault="00D2247B" w:rsidP="00D2247B">
      <w:pPr>
        <w:spacing w:line="360" w:lineRule="auto"/>
        <w:jc w:val="both"/>
      </w:pPr>
      <w:r>
        <w:rPr>
          <w:i/>
        </w:rPr>
        <w:tab/>
        <w:t>Policy</w:t>
      </w:r>
      <w:r>
        <w:t>, Vol. 3, No. 4, pp. 268-278.</w:t>
      </w:r>
    </w:p>
    <w:p w:rsidR="00D2247B" w:rsidRDefault="00D2247B" w:rsidP="00D2247B">
      <w:pPr>
        <w:spacing w:line="360" w:lineRule="auto"/>
        <w:jc w:val="both"/>
        <w:rPr>
          <w:rFonts w:eastAsiaTheme="minorHAnsi"/>
          <w:lang w:eastAsia="en-US"/>
        </w:rPr>
      </w:pPr>
      <w:r>
        <w:rPr>
          <w:rFonts w:eastAsiaTheme="minorHAnsi"/>
          <w:lang w:eastAsia="en-US"/>
        </w:rPr>
        <w:t xml:space="preserve">Common, M.S. and Salma, U. (1992), “Accounting for changes in Australian carbon dioxide </w:t>
      </w:r>
    </w:p>
    <w:p w:rsidR="00D2247B" w:rsidRDefault="00D2247B" w:rsidP="00D2247B">
      <w:pPr>
        <w:spacing w:line="360" w:lineRule="auto"/>
        <w:jc w:val="both"/>
        <w:rPr>
          <w:rFonts w:eastAsiaTheme="minorHAnsi"/>
          <w:lang w:eastAsia="en-US"/>
        </w:rPr>
      </w:pPr>
      <w:r>
        <w:rPr>
          <w:rFonts w:eastAsiaTheme="minorHAnsi"/>
          <w:lang w:eastAsia="en-US"/>
        </w:rPr>
        <w:tab/>
      </w:r>
      <w:proofErr w:type="gramStart"/>
      <w:r>
        <w:rPr>
          <w:rFonts w:eastAsiaTheme="minorHAnsi"/>
          <w:lang w:eastAsia="en-US"/>
        </w:rPr>
        <w:t>emissions</w:t>
      </w:r>
      <w:proofErr w:type="gramEnd"/>
      <w:r>
        <w:rPr>
          <w:rFonts w:eastAsiaTheme="minorHAnsi"/>
          <w:lang w:eastAsia="en-US"/>
        </w:rPr>
        <w:t xml:space="preserve">”, </w:t>
      </w:r>
      <w:r w:rsidRPr="00EF1353">
        <w:rPr>
          <w:rFonts w:eastAsiaTheme="minorHAnsi"/>
          <w:i/>
          <w:lang w:eastAsia="en-US"/>
        </w:rPr>
        <w:t>Energy Economics</w:t>
      </w:r>
      <w:r>
        <w:rPr>
          <w:rFonts w:eastAsiaTheme="minorHAnsi"/>
          <w:lang w:eastAsia="en-US"/>
        </w:rPr>
        <w:t>, Vol. 14, No. 3, pp. 217-225.</w:t>
      </w:r>
    </w:p>
    <w:p w:rsidR="00D2247B" w:rsidRPr="005751A3" w:rsidRDefault="00D2247B" w:rsidP="00D2247B">
      <w:pPr>
        <w:autoSpaceDE w:val="0"/>
        <w:autoSpaceDN w:val="0"/>
        <w:adjustRightInd w:val="0"/>
        <w:spacing w:line="360" w:lineRule="auto"/>
        <w:rPr>
          <w:rFonts w:eastAsiaTheme="minorHAnsi"/>
          <w:lang w:eastAsia="en-US"/>
        </w:rPr>
      </w:pPr>
      <w:r w:rsidRPr="005751A3">
        <w:rPr>
          <w:rFonts w:eastAsiaTheme="minorHAnsi"/>
          <w:lang w:eastAsia="en-US"/>
        </w:rPr>
        <w:t xml:space="preserve">Cumberland, J.H. (1966), “A Regional </w:t>
      </w:r>
      <w:proofErr w:type="spellStart"/>
      <w:r w:rsidRPr="005751A3">
        <w:rPr>
          <w:rFonts w:eastAsiaTheme="minorHAnsi"/>
          <w:lang w:eastAsia="en-US"/>
        </w:rPr>
        <w:t>Interindustry</w:t>
      </w:r>
      <w:proofErr w:type="spellEnd"/>
      <w:r w:rsidRPr="005751A3">
        <w:rPr>
          <w:rFonts w:eastAsiaTheme="minorHAnsi"/>
          <w:lang w:eastAsia="en-US"/>
        </w:rPr>
        <w:t xml:space="preserve"> Model for Analysis of Development </w:t>
      </w:r>
    </w:p>
    <w:p w:rsidR="00D2247B" w:rsidRPr="005751A3" w:rsidRDefault="00D2247B" w:rsidP="00D2247B">
      <w:pPr>
        <w:autoSpaceDE w:val="0"/>
        <w:autoSpaceDN w:val="0"/>
        <w:adjustRightInd w:val="0"/>
        <w:spacing w:line="360" w:lineRule="auto"/>
        <w:rPr>
          <w:rFonts w:eastAsiaTheme="minorHAnsi"/>
          <w:lang w:eastAsia="en-US"/>
        </w:rPr>
      </w:pPr>
      <w:r w:rsidRPr="005751A3">
        <w:rPr>
          <w:rFonts w:eastAsiaTheme="minorHAnsi"/>
          <w:lang w:eastAsia="en-US"/>
        </w:rPr>
        <w:tab/>
        <w:t>Objectives”, Papers in Regional Science, Vol. 17, No. 1, pp. 65-94</w:t>
      </w:r>
    </w:p>
    <w:p w:rsidR="002E6526" w:rsidRDefault="009853C4" w:rsidP="009853C4">
      <w:pPr>
        <w:spacing w:line="360" w:lineRule="auto"/>
        <w:jc w:val="both"/>
        <w:rPr>
          <w:rFonts w:eastAsiaTheme="minorHAnsi"/>
          <w:lang w:eastAsia="en-US"/>
        </w:rPr>
      </w:pPr>
      <w:proofErr w:type="spellStart"/>
      <w:r w:rsidRPr="009853C4">
        <w:rPr>
          <w:rFonts w:eastAsiaTheme="minorHAnsi"/>
          <w:lang w:eastAsia="en-US"/>
        </w:rPr>
        <w:t>Carlsson</w:t>
      </w:r>
      <w:proofErr w:type="spellEnd"/>
      <w:r>
        <w:rPr>
          <w:rFonts w:eastAsiaTheme="minorHAnsi"/>
          <w:lang w:eastAsia="en-US"/>
        </w:rPr>
        <w:t>, A</w:t>
      </w:r>
      <w:r w:rsidR="002E6526">
        <w:rPr>
          <w:rFonts w:eastAsiaTheme="minorHAnsi"/>
          <w:lang w:eastAsia="en-US"/>
        </w:rPr>
        <w:t>.</w:t>
      </w:r>
      <w:r w:rsidRPr="009853C4">
        <w:rPr>
          <w:rFonts w:eastAsiaTheme="minorHAnsi"/>
          <w:lang w:eastAsia="en-US"/>
        </w:rPr>
        <w:t xml:space="preserve"> Palm</w:t>
      </w:r>
      <w:r>
        <w:rPr>
          <w:rFonts w:eastAsiaTheme="minorHAnsi"/>
          <w:lang w:eastAsia="en-US"/>
        </w:rPr>
        <w:t>, B</w:t>
      </w:r>
      <w:r w:rsidR="002E6526">
        <w:rPr>
          <w:rFonts w:eastAsiaTheme="minorHAnsi"/>
          <w:lang w:eastAsia="en-US"/>
        </w:rPr>
        <w:t>.</w:t>
      </w:r>
      <w:r w:rsidRPr="009853C4">
        <w:rPr>
          <w:rFonts w:eastAsiaTheme="minorHAnsi"/>
          <w:lang w:eastAsia="en-US"/>
        </w:rPr>
        <w:t xml:space="preserve"> and </w:t>
      </w:r>
      <w:proofErr w:type="spellStart"/>
      <w:r w:rsidRPr="009853C4">
        <w:rPr>
          <w:rFonts w:eastAsiaTheme="minorHAnsi"/>
          <w:lang w:eastAsia="en-US"/>
        </w:rPr>
        <w:t>Wadeskog</w:t>
      </w:r>
      <w:proofErr w:type="spellEnd"/>
      <w:r>
        <w:rPr>
          <w:rFonts w:eastAsiaTheme="minorHAnsi"/>
          <w:lang w:eastAsia="en-US"/>
        </w:rPr>
        <w:t>, A</w:t>
      </w:r>
      <w:r w:rsidR="002E6526">
        <w:rPr>
          <w:rFonts w:eastAsiaTheme="minorHAnsi"/>
          <w:lang w:eastAsia="en-US"/>
        </w:rPr>
        <w:t>. (2006)</w:t>
      </w:r>
      <w:r>
        <w:rPr>
          <w:rFonts w:eastAsiaTheme="minorHAnsi"/>
          <w:lang w:eastAsia="en-US"/>
        </w:rPr>
        <w:t xml:space="preserve"> “</w:t>
      </w:r>
      <w:r w:rsidRPr="009853C4">
        <w:rPr>
          <w:rFonts w:eastAsiaTheme="minorHAnsi"/>
          <w:lang w:eastAsia="en-US"/>
        </w:rPr>
        <w:t>Energy use and CO2-emissions</w:t>
      </w:r>
      <w:r w:rsidR="002E6526">
        <w:rPr>
          <w:rFonts w:eastAsiaTheme="minorHAnsi"/>
          <w:lang w:eastAsia="en-US"/>
        </w:rPr>
        <w:t xml:space="preserve"> for </w:t>
      </w:r>
    </w:p>
    <w:p w:rsidR="002E6526" w:rsidRDefault="002E6526" w:rsidP="009853C4">
      <w:pPr>
        <w:spacing w:line="360" w:lineRule="auto"/>
        <w:jc w:val="both"/>
        <w:rPr>
          <w:rFonts w:eastAsiaTheme="minorHAnsi"/>
          <w:lang w:eastAsia="en-US"/>
        </w:rPr>
      </w:pPr>
      <w:r>
        <w:rPr>
          <w:rFonts w:eastAsiaTheme="minorHAnsi"/>
          <w:lang w:eastAsia="en-US"/>
        </w:rPr>
        <w:t xml:space="preserve">             </w:t>
      </w:r>
      <w:proofErr w:type="gramStart"/>
      <w:r>
        <w:rPr>
          <w:rFonts w:eastAsiaTheme="minorHAnsi"/>
          <w:lang w:eastAsia="en-US"/>
        </w:rPr>
        <w:t>consumed</w:t>
      </w:r>
      <w:proofErr w:type="gramEnd"/>
      <w:r w:rsidR="009853C4">
        <w:rPr>
          <w:rFonts w:eastAsiaTheme="minorHAnsi"/>
          <w:lang w:eastAsia="en-US"/>
        </w:rPr>
        <w:t xml:space="preserve"> products and services. IPP-indicators for private an</w:t>
      </w:r>
      <w:r>
        <w:rPr>
          <w:rFonts w:eastAsiaTheme="minorHAnsi"/>
          <w:lang w:eastAsia="en-US"/>
        </w:rPr>
        <w:t xml:space="preserve">d public consumption </w:t>
      </w:r>
    </w:p>
    <w:p w:rsidR="009853C4" w:rsidRPr="009853C4" w:rsidRDefault="002E6526" w:rsidP="009853C4">
      <w:pPr>
        <w:spacing w:line="360" w:lineRule="auto"/>
        <w:jc w:val="both"/>
        <w:rPr>
          <w:rFonts w:eastAsiaTheme="minorHAnsi"/>
          <w:lang w:eastAsia="en-US"/>
        </w:rPr>
      </w:pPr>
      <w:r>
        <w:rPr>
          <w:rFonts w:eastAsiaTheme="minorHAnsi"/>
          <w:lang w:eastAsia="en-US"/>
        </w:rPr>
        <w:t xml:space="preserve">             </w:t>
      </w:r>
      <w:proofErr w:type="gramStart"/>
      <w:r>
        <w:rPr>
          <w:rFonts w:eastAsiaTheme="minorHAnsi"/>
          <w:lang w:eastAsia="en-US"/>
        </w:rPr>
        <w:t>based</w:t>
      </w:r>
      <w:proofErr w:type="gramEnd"/>
      <w:r>
        <w:rPr>
          <w:rFonts w:eastAsiaTheme="minorHAnsi"/>
          <w:lang w:eastAsia="en-US"/>
        </w:rPr>
        <w:t xml:space="preserve"> on </w:t>
      </w:r>
      <w:r w:rsidR="009853C4">
        <w:rPr>
          <w:rFonts w:eastAsiaTheme="minorHAnsi"/>
          <w:lang w:eastAsia="en-US"/>
        </w:rPr>
        <w:t xml:space="preserve">environmental </w:t>
      </w:r>
      <w:r w:rsidR="009853C4" w:rsidRPr="009853C4">
        <w:rPr>
          <w:rFonts w:eastAsiaTheme="minorHAnsi"/>
          <w:lang w:eastAsia="en-US"/>
        </w:rPr>
        <w:t>accounts</w:t>
      </w:r>
      <w:r w:rsidR="009853C4">
        <w:rPr>
          <w:rFonts w:eastAsiaTheme="minorHAnsi"/>
          <w:lang w:eastAsia="en-US"/>
        </w:rPr>
        <w:t xml:space="preserve">” </w:t>
      </w:r>
      <w:r w:rsidR="009853C4" w:rsidRPr="009853C4">
        <w:rPr>
          <w:rFonts w:eastAsiaTheme="minorHAnsi"/>
          <w:lang w:eastAsia="en-US"/>
        </w:rPr>
        <w:t xml:space="preserve">Environmental Accounts, Statistics Sweden, 2006. </w:t>
      </w:r>
    </w:p>
    <w:p w:rsidR="00D2247B" w:rsidRPr="005751A3" w:rsidRDefault="00D2247B" w:rsidP="00D2247B">
      <w:pPr>
        <w:spacing w:line="360" w:lineRule="auto"/>
        <w:jc w:val="both"/>
        <w:rPr>
          <w:rFonts w:eastAsiaTheme="minorHAnsi"/>
          <w:lang w:eastAsia="en-US"/>
        </w:rPr>
      </w:pPr>
      <w:r w:rsidRPr="005751A3">
        <w:rPr>
          <w:rFonts w:eastAsiaTheme="minorHAnsi"/>
          <w:lang w:eastAsia="en-US"/>
        </w:rPr>
        <w:t xml:space="preserve">Department of Climate Change and Energy Efficiency (2009), “National Inventory by </w:t>
      </w:r>
      <w:r w:rsidRPr="005751A3">
        <w:rPr>
          <w:rFonts w:eastAsiaTheme="minorHAnsi"/>
          <w:lang w:eastAsia="en-US"/>
        </w:rPr>
        <w:tab/>
        <w:t>Economic Sector 2009”, Australian National Greenhouse Accounts.</w:t>
      </w:r>
    </w:p>
    <w:p w:rsidR="00D2247B" w:rsidRDefault="00D2247B" w:rsidP="00D2247B">
      <w:pPr>
        <w:spacing w:line="360" w:lineRule="auto"/>
        <w:jc w:val="both"/>
        <w:rPr>
          <w:rFonts w:eastAsiaTheme="minorHAnsi"/>
          <w:lang w:eastAsia="en-US"/>
        </w:rPr>
      </w:pPr>
      <w:proofErr w:type="spellStart"/>
      <w:r>
        <w:rPr>
          <w:rFonts w:eastAsiaTheme="minorHAnsi"/>
          <w:lang w:eastAsia="en-US"/>
        </w:rPr>
        <w:t>Edens</w:t>
      </w:r>
      <w:proofErr w:type="spellEnd"/>
      <w:r>
        <w:rPr>
          <w:rFonts w:eastAsiaTheme="minorHAnsi"/>
          <w:lang w:eastAsia="en-US"/>
        </w:rPr>
        <w:t xml:space="preserve">, B., </w:t>
      </w:r>
      <w:proofErr w:type="spellStart"/>
      <w:r>
        <w:rPr>
          <w:rFonts w:eastAsiaTheme="minorHAnsi"/>
          <w:lang w:eastAsia="en-US"/>
        </w:rPr>
        <w:t>Delahaye</w:t>
      </w:r>
      <w:proofErr w:type="spellEnd"/>
      <w:r>
        <w:rPr>
          <w:rFonts w:eastAsiaTheme="minorHAnsi"/>
          <w:lang w:eastAsia="en-US"/>
        </w:rPr>
        <w:t xml:space="preserve">, R., van </w:t>
      </w:r>
      <w:proofErr w:type="spellStart"/>
      <w:r>
        <w:rPr>
          <w:rFonts w:eastAsiaTheme="minorHAnsi"/>
          <w:lang w:eastAsia="en-US"/>
        </w:rPr>
        <w:t>Rossum</w:t>
      </w:r>
      <w:proofErr w:type="spellEnd"/>
      <w:r>
        <w:rPr>
          <w:rFonts w:eastAsiaTheme="minorHAnsi"/>
          <w:lang w:eastAsia="en-US"/>
        </w:rPr>
        <w:t xml:space="preserve">, M. and </w:t>
      </w:r>
      <w:proofErr w:type="spellStart"/>
      <w:r>
        <w:rPr>
          <w:rFonts w:eastAsiaTheme="minorHAnsi"/>
          <w:lang w:eastAsia="en-US"/>
        </w:rPr>
        <w:t>Schenau</w:t>
      </w:r>
      <w:proofErr w:type="spellEnd"/>
      <w:r>
        <w:rPr>
          <w:rFonts w:eastAsiaTheme="minorHAnsi"/>
          <w:lang w:eastAsia="en-US"/>
        </w:rPr>
        <w:t xml:space="preserve">, S. (2011), “Analysis of changes in </w:t>
      </w:r>
    </w:p>
    <w:p w:rsidR="00D2247B" w:rsidRDefault="00D2247B" w:rsidP="00D2247B">
      <w:pPr>
        <w:spacing w:line="360" w:lineRule="auto"/>
        <w:jc w:val="both"/>
        <w:rPr>
          <w:rFonts w:eastAsiaTheme="minorHAnsi"/>
          <w:lang w:eastAsia="en-US"/>
        </w:rPr>
      </w:pPr>
      <w:r>
        <w:rPr>
          <w:rFonts w:eastAsiaTheme="minorHAnsi"/>
          <w:lang w:eastAsia="en-US"/>
        </w:rPr>
        <w:tab/>
      </w:r>
      <w:proofErr w:type="gramStart"/>
      <w:r>
        <w:rPr>
          <w:rFonts w:eastAsiaTheme="minorHAnsi"/>
          <w:lang w:eastAsia="en-US"/>
        </w:rPr>
        <w:t xml:space="preserve">Dutch emission trade balance(s) between 1996 and 2007”, </w:t>
      </w:r>
      <w:r w:rsidRPr="005751A3">
        <w:rPr>
          <w:rFonts w:eastAsiaTheme="minorHAnsi"/>
          <w:lang w:eastAsia="en-US"/>
        </w:rPr>
        <w:t>Ecological Economics</w:t>
      </w:r>
      <w:r>
        <w:rPr>
          <w:rFonts w:eastAsiaTheme="minorHAnsi"/>
          <w:lang w:eastAsia="en-US"/>
        </w:rPr>
        <w:t xml:space="preserve">, </w:t>
      </w:r>
      <w:r>
        <w:rPr>
          <w:rFonts w:eastAsiaTheme="minorHAnsi"/>
          <w:lang w:eastAsia="en-US"/>
        </w:rPr>
        <w:tab/>
        <w:t>Vol. 70, No. 12, pp. 2334-2340.</w:t>
      </w:r>
      <w:proofErr w:type="gramEnd"/>
    </w:p>
    <w:p w:rsidR="00C53D32" w:rsidRDefault="00C53D32" w:rsidP="00C53D32">
      <w:pPr>
        <w:spacing w:line="360" w:lineRule="auto"/>
        <w:jc w:val="both"/>
      </w:pPr>
      <w:r w:rsidRPr="00A93244">
        <w:t>Federa</w:t>
      </w:r>
      <w:r>
        <w:t xml:space="preserve">l Statistical Office of Germany </w:t>
      </w:r>
      <w:r w:rsidRPr="00A93244">
        <w:t xml:space="preserve">(2011), </w:t>
      </w:r>
      <w:r>
        <w:t>“</w:t>
      </w:r>
      <w:r w:rsidRPr="00A93244">
        <w:t>Extende</w:t>
      </w:r>
      <w:r>
        <w:t xml:space="preserve">d Input-Output Model for Energy </w:t>
      </w:r>
      <w:r w:rsidRPr="00A93244">
        <w:t xml:space="preserve">and </w:t>
      </w:r>
    </w:p>
    <w:p w:rsidR="00C53D32" w:rsidRDefault="00C53D32" w:rsidP="00C53D32">
      <w:pPr>
        <w:spacing w:line="360" w:lineRule="auto"/>
        <w:jc w:val="both"/>
        <w:rPr>
          <w:rFonts w:eastAsiaTheme="minorHAnsi"/>
          <w:lang w:eastAsia="en-US"/>
        </w:rPr>
      </w:pPr>
      <w:r>
        <w:tab/>
      </w:r>
      <w:proofErr w:type="gramStart"/>
      <w:r w:rsidRPr="00A93244">
        <w:t>Greenhouse Gases</w:t>
      </w:r>
      <w:r>
        <w:t>”</w:t>
      </w:r>
      <w:r>
        <w:rPr>
          <w:bCs/>
        </w:rPr>
        <w:t xml:space="preserve">, </w:t>
      </w:r>
      <w:r>
        <w:t>Ref. no. 50304.2009.001 – 2009.249.</w:t>
      </w:r>
      <w:proofErr w:type="gramEnd"/>
    </w:p>
    <w:p w:rsidR="00C53D32" w:rsidRPr="00E3666F" w:rsidRDefault="00C53D32" w:rsidP="00C53D32">
      <w:pPr>
        <w:pStyle w:val="Default"/>
        <w:spacing w:line="360" w:lineRule="auto"/>
        <w:rPr>
          <w:rFonts w:ascii="MetaNormalLF-Roman" w:hAnsi="MetaNormalLF-Roman" w:cs="MetaNormalLF-Roman"/>
          <w:bCs/>
        </w:rPr>
      </w:pPr>
      <w:proofErr w:type="gramStart"/>
      <w:r w:rsidRPr="005C6DAE">
        <w:rPr>
          <w:bCs/>
        </w:rPr>
        <w:t>Francis (2004), “</w:t>
      </w:r>
      <w:r w:rsidRPr="005C6DAE">
        <w:rPr>
          <w:rFonts w:ascii="MetaNormalLF-Roman" w:hAnsi="MetaNormalLF-Roman" w:cs="MetaNormalLF-Roman"/>
          <w:bCs/>
        </w:rPr>
        <w:t>The</w:t>
      </w:r>
      <w:r w:rsidRPr="005C6DAE">
        <w:rPr>
          <w:bCs/>
        </w:rPr>
        <w:t xml:space="preserve"> impact of UK households on the </w:t>
      </w:r>
      <w:r w:rsidRPr="005C6DAE">
        <w:rPr>
          <w:rFonts w:ascii="MetaNormalLF-Roman" w:hAnsi="MetaNormalLF-Roman" w:cs="MetaNormalLF-Roman"/>
          <w:bCs/>
        </w:rPr>
        <w:t>environment through d</w:t>
      </w:r>
      <w:r>
        <w:rPr>
          <w:bCs/>
        </w:rPr>
        <w:t xml:space="preserve">irect and </w:t>
      </w:r>
      <w:r>
        <w:rPr>
          <w:bCs/>
        </w:rPr>
        <w:tab/>
      </w:r>
      <w:r w:rsidRPr="005C6DAE">
        <w:rPr>
          <w:bCs/>
        </w:rPr>
        <w:t>indirect generation of greenhouse gases”</w:t>
      </w:r>
      <w:r>
        <w:rPr>
          <w:bCs/>
        </w:rPr>
        <w:t xml:space="preserve">, </w:t>
      </w:r>
      <w:r w:rsidRPr="005C6DAE">
        <w:rPr>
          <w:bCs/>
        </w:rPr>
        <w:t>Office for National Statistics</w:t>
      </w:r>
      <w:r>
        <w:rPr>
          <w:bCs/>
        </w:rPr>
        <w:t xml:space="preserve">, Grant </w:t>
      </w:r>
      <w:r>
        <w:rPr>
          <w:bCs/>
        </w:rPr>
        <w:tab/>
        <w:t xml:space="preserve">Agreement No. </w:t>
      </w:r>
      <w:r w:rsidRPr="003879DD">
        <w:rPr>
          <w:bCs/>
        </w:rPr>
        <w:t>200141200010</w:t>
      </w:r>
      <w:r>
        <w:rPr>
          <w:bCs/>
        </w:rPr>
        <w:t>.</w:t>
      </w:r>
      <w:proofErr w:type="gramEnd"/>
    </w:p>
    <w:p w:rsidR="00C53D32" w:rsidRDefault="00C53D32" w:rsidP="00C53D32">
      <w:pPr>
        <w:spacing w:line="360" w:lineRule="auto"/>
        <w:jc w:val="both"/>
        <w:rPr>
          <w:rFonts w:eastAsiaTheme="minorHAnsi"/>
          <w:lang w:eastAsia="en-US"/>
        </w:rPr>
      </w:pPr>
      <w:r w:rsidRPr="009853C4">
        <w:rPr>
          <w:rFonts w:eastAsiaTheme="minorHAnsi"/>
          <w:lang w:eastAsia="en-US"/>
        </w:rPr>
        <w:t xml:space="preserve">Gaston, C (2011), “Consumption-related greenhouse gas emissions in Canada, the United </w:t>
      </w:r>
      <w:r>
        <w:rPr>
          <w:rFonts w:eastAsiaTheme="minorHAnsi"/>
          <w:lang w:eastAsia="en-US"/>
        </w:rPr>
        <w:t xml:space="preserve">   </w:t>
      </w:r>
    </w:p>
    <w:p w:rsidR="00C53D32" w:rsidRDefault="00C53D32" w:rsidP="00C53D32">
      <w:pPr>
        <w:spacing w:line="360" w:lineRule="auto"/>
        <w:jc w:val="both"/>
        <w:rPr>
          <w:rFonts w:eastAsiaTheme="minorHAnsi"/>
          <w:lang w:eastAsia="en-US"/>
        </w:rPr>
      </w:pPr>
      <w:r>
        <w:rPr>
          <w:rFonts w:eastAsiaTheme="minorHAnsi"/>
          <w:lang w:eastAsia="en-US"/>
        </w:rPr>
        <w:t xml:space="preserve">            </w:t>
      </w:r>
      <w:r w:rsidRPr="009853C4">
        <w:rPr>
          <w:rFonts w:eastAsiaTheme="minorHAnsi"/>
          <w:lang w:eastAsia="en-US"/>
        </w:rPr>
        <w:t xml:space="preserve">States and China”, Service bulletin </w:t>
      </w:r>
      <w:proofErr w:type="spellStart"/>
      <w:r w:rsidRPr="009853C4">
        <w:rPr>
          <w:rFonts w:eastAsiaTheme="minorHAnsi"/>
          <w:bCs/>
          <w:lang w:eastAsia="en-US"/>
        </w:rPr>
        <w:t>EnviroStats</w:t>
      </w:r>
      <w:proofErr w:type="spellEnd"/>
      <w:r w:rsidRPr="009853C4">
        <w:rPr>
          <w:rFonts w:eastAsiaTheme="minorHAnsi"/>
          <w:bCs/>
          <w:lang w:eastAsia="en-US"/>
        </w:rPr>
        <w:t xml:space="preserve">, Vol. 5, no. 4, </w:t>
      </w:r>
      <w:r>
        <w:rPr>
          <w:rFonts w:eastAsiaTheme="minorHAnsi"/>
          <w:bCs/>
          <w:lang w:eastAsia="en-US"/>
        </w:rPr>
        <w:t>pp</w:t>
      </w:r>
      <w:r w:rsidRPr="009853C4">
        <w:rPr>
          <w:rFonts w:eastAsiaTheme="minorHAnsi"/>
          <w:bCs/>
          <w:lang w:eastAsia="en-US"/>
        </w:rPr>
        <w:t>. 14-21</w:t>
      </w:r>
    </w:p>
    <w:p w:rsidR="00D2247B" w:rsidRPr="005751A3" w:rsidRDefault="00D2247B" w:rsidP="00D2247B">
      <w:pPr>
        <w:spacing w:line="360" w:lineRule="auto"/>
        <w:outlineLvl w:val="3"/>
        <w:rPr>
          <w:rFonts w:eastAsiaTheme="minorHAnsi"/>
          <w:lang w:eastAsia="en-US"/>
        </w:rPr>
      </w:pPr>
      <w:r w:rsidRPr="005751A3">
        <w:rPr>
          <w:rFonts w:eastAsiaTheme="minorHAnsi"/>
          <w:lang w:eastAsia="en-US"/>
        </w:rPr>
        <w:t xml:space="preserve">Griffin, J. (1976), “Energy Input-Output Modelling: Problems and Prospects”, Palo Alto: </w:t>
      </w:r>
    </w:p>
    <w:p w:rsidR="00D2247B" w:rsidRPr="005751A3" w:rsidRDefault="00D2247B" w:rsidP="00D2247B">
      <w:pPr>
        <w:spacing w:line="360" w:lineRule="auto"/>
        <w:outlineLvl w:val="3"/>
        <w:rPr>
          <w:rFonts w:eastAsiaTheme="minorHAnsi"/>
          <w:lang w:eastAsia="en-US"/>
        </w:rPr>
      </w:pPr>
      <w:r w:rsidRPr="005751A3">
        <w:rPr>
          <w:rFonts w:eastAsiaTheme="minorHAnsi"/>
          <w:lang w:eastAsia="en-US"/>
        </w:rPr>
        <w:tab/>
        <w:t>Electric Power Research Institute.</w:t>
      </w:r>
    </w:p>
    <w:p w:rsidR="00D2247B" w:rsidRDefault="00D2247B" w:rsidP="00D2247B">
      <w:pPr>
        <w:spacing w:line="360" w:lineRule="auto"/>
        <w:jc w:val="both"/>
        <w:rPr>
          <w:rFonts w:eastAsiaTheme="minorHAnsi"/>
          <w:lang w:eastAsia="en-US"/>
        </w:rPr>
      </w:pPr>
      <w:proofErr w:type="spellStart"/>
      <w:r>
        <w:rPr>
          <w:rFonts w:eastAsiaTheme="minorHAnsi"/>
          <w:lang w:eastAsia="en-US"/>
        </w:rPr>
        <w:t>Lenzen</w:t>
      </w:r>
      <w:proofErr w:type="spellEnd"/>
      <w:r>
        <w:rPr>
          <w:rFonts w:eastAsiaTheme="minorHAnsi"/>
          <w:lang w:eastAsia="en-US"/>
        </w:rPr>
        <w:t xml:space="preserve">, M. (1998), </w:t>
      </w:r>
      <w:r w:rsidRPr="004B5074">
        <w:rPr>
          <w:rFonts w:eastAsiaTheme="minorHAnsi"/>
          <w:lang w:eastAsia="en-US"/>
        </w:rPr>
        <w:t xml:space="preserve">“Primary energy and greenhouse gases embodied in Australian final </w:t>
      </w:r>
    </w:p>
    <w:p w:rsidR="00D2247B" w:rsidRDefault="00D2247B" w:rsidP="00D2247B">
      <w:pPr>
        <w:spacing w:line="360" w:lineRule="auto"/>
        <w:jc w:val="both"/>
        <w:rPr>
          <w:rFonts w:eastAsiaTheme="minorHAnsi"/>
          <w:lang w:eastAsia="en-US"/>
        </w:rPr>
      </w:pPr>
      <w:r>
        <w:rPr>
          <w:rFonts w:eastAsiaTheme="minorHAnsi"/>
          <w:lang w:eastAsia="en-US"/>
        </w:rPr>
        <w:tab/>
      </w:r>
      <w:proofErr w:type="gramStart"/>
      <w:r w:rsidRPr="004B5074">
        <w:rPr>
          <w:rFonts w:eastAsiaTheme="minorHAnsi"/>
          <w:lang w:eastAsia="en-US"/>
        </w:rPr>
        <w:t>consumption</w:t>
      </w:r>
      <w:proofErr w:type="gramEnd"/>
      <w:r w:rsidRPr="004B5074">
        <w:rPr>
          <w:rFonts w:eastAsiaTheme="minorHAnsi"/>
          <w:lang w:eastAsia="en-US"/>
        </w:rPr>
        <w:t>: an input-output analysis”</w:t>
      </w:r>
      <w:r>
        <w:rPr>
          <w:rFonts w:eastAsiaTheme="minorHAnsi"/>
          <w:lang w:eastAsia="en-US"/>
        </w:rPr>
        <w:t xml:space="preserve">, </w:t>
      </w:r>
      <w:r w:rsidRPr="005751A3">
        <w:rPr>
          <w:rFonts w:eastAsiaTheme="minorHAnsi"/>
          <w:lang w:eastAsia="en-US"/>
        </w:rPr>
        <w:t>Energy Policy</w:t>
      </w:r>
      <w:r>
        <w:rPr>
          <w:rFonts w:eastAsiaTheme="minorHAnsi"/>
          <w:lang w:eastAsia="en-US"/>
        </w:rPr>
        <w:t>, Vol. 26, No. 6, pp. 495-506.</w:t>
      </w:r>
    </w:p>
    <w:p w:rsidR="00D2247B" w:rsidRDefault="00D2247B" w:rsidP="00D2247B">
      <w:pPr>
        <w:spacing w:line="360" w:lineRule="auto"/>
        <w:jc w:val="both"/>
        <w:rPr>
          <w:rFonts w:eastAsiaTheme="minorHAnsi"/>
          <w:lang w:eastAsia="en-US"/>
        </w:rPr>
      </w:pPr>
      <w:proofErr w:type="spellStart"/>
      <w:r>
        <w:rPr>
          <w:rFonts w:eastAsiaTheme="minorHAnsi"/>
          <w:lang w:eastAsia="en-US"/>
        </w:rPr>
        <w:t>Lenzen</w:t>
      </w:r>
      <w:proofErr w:type="spellEnd"/>
      <w:r>
        <w:rPr>
          <w:rFonts w:eastAsiaTheme="minorHAnsi"/>
          <w:lang w:eastAsia="en-US"/>
        </w:rPr>
        <w:t xml:space="preserve">, M., </w:t>
      </w:r>
      <w:proofErr w:type="spellStart"/>
      <w:r>
        <w:rPr>
          <w:rFonts w:eastAsiaTheme="minorHAnsi"/>
          <w:lang w:eastAsia="en-US"/>
        </w:rPr>
        <w:t>Pade</w:t>
      </w:r>
      <w:proofErr w:type="spellEnd"/>
      <w:r>
        <w:rPr>
          <w:rFonts w:eastAsiaTheme="minorHAnsi"/>
          <w:lang w:eastAsia="en-US"/>
        </w:rPr>
        <w:t xml:space="preserve">, L. and </w:t>
      </w:r>
      <w:proofErr w:type="spellStart"/>
      <w:r>
        <w:rPr>
          <w:rFonts w:eastAsiaTheme="minorHAnsi"/>
          <w:lang w:eastAsia="en-US"/>
        </w:rPr>
        <w:t>Munksgaard</w:t>
      </w:r>
      <w:proofErr w:type="spellEnd"/>
      <w:r>
        <w:rPr>
          <w:rFonts w:eastAsiaTheme="minorHAnsi"/>
          <w:lang w:eastAsia="en-US"/>
        </w:rPr>
        <w:t>, J. (2004), “CO2 Multipliers in Multi-region Input-</w:t>
      </w:r>
    </w:p>
    <w:p w:rsidR="00D2247B" w:rsidRDefault="00D2247B" w:rsidP="00D2247B">
      <w:pPr>
        <w:spacing w:line="360" w:lineRule="auto"/>
        <w:jc w:val="both"/>
        <w:rPr>
          <w:rFonts w:eastAsiaTheme="minorHAnsi"/>
          <w:lang w:eastAsia="en-US"/>
        </w:rPr>
      </w:pPr>
      <w:r>
        <w:rPr>
          <w:rFonts w:eastAsiaTheme="minorHAnsi"/>
          <w:lang w:eastAsia="en-US"/>
        </w:rPr>
        <w:tab/>
        <w:t xml:space="preserve">Output Models”, </w:t>
      </w:r>
      <w:r w:rsidRPr="005751A3">
        <w:rPr>
          <w:rFonts w:eastAsiaTheme="minorHAnsi"/>
          <w:lang w:eastAsia="en-US"/>
        </w:rPr>
        <w:t>Economic Systems Research</w:t>
      </w:r>
      <w:r>
        <w:rPr>
          <w:rFonts w:eastAsiaTheme="minorHAnsi"/>
          <w:lang w:eastAsia="en-US"/>
        </w:rPr>
        <w:t>, Vol. 16, No. 4, pp. 391-412.</w:t>
      </w:r>
    </w:p>
    <w:p w:rsidR="00C53D32" w:rsidRDefault="00C53D32" w:rsidP="00C53D32">
      <w:pPr>
        <w:pStyle w:val="Default"/>
        <w:spacing w:line="360" w:lineRule="auto"/>
        <w:rPr>
          <w:bCs/>
        </w:rPr>
      </w:pPr>
      <w:proofErr w:type="spellStart"/>
      <w:r>
        <w:rPr>
          <w:bCs/>
        </w:rPr>
        <w:t>Rormose</w:t>
      </w:r>
      <w:proofErr w:type="spellEnd"/>
      <w:r>
        <w:rPr>
          <w:bCs/>
        </w:rPr>
        <w:t xml:space="preserve">, P. (2010), </w:t>
      </w:r>
      <w:r w:rsidRPr="005C6DAE">
        <w:rPr>
          <w:bCs/>
        </w:rPr>
        <w:t>“</w:t>
      </w:r>
      <w:r w:rsidRPr="005C6DAE">
        <w:rPr>
          <w:rFonts w:ascii="MetaNormalLF-Roman" w:hAnsi="MetaNormalLF-Roman" w:cs="MetaNormalLF-Roman"/>
          <w:bCs/>
        </w:rPr>
        <w:t>St</w:t>
      </w:r>
      <w:r w:rsidRPr="005C6DAE">
        <w:rPr>
          <w:bCs/>
        </w:rPr>
        <w:t>ructural Decomposition Analysis</w:t>
      </w:r>
      <w:r>
        <w:rPr>
          <w:bCs/>
        </w:rPr>
        <w:t>.</w:t>
      </w:r>
      <w:r w:rsidRPr="005C6DAE">
        <w:rPr>
          <w:bCs/>
        </w:rPr>
        <w:t xml:space="preserve"> Sense and Sensitivity”</w:t>
      </w:r>
      <w:r>
        <w:rPr>
          <w:bCs/>
        </w:rPr>
        <w:t xml:space="preserve">, </w:t>
      </w:r>
      <w:r w:rsidRPr="005C6DAE">
        <w:rPr>
          <w:bCs/>
        </w:rPr>
        <w:t xml:space="preserve">Statistics </w:t>
      </w:r>
    </w:p>
    <w:p w:rsidR="00C53D32" w:rsidRDefault="00C53D32" w:rsidP="00C53D32">
      <w:pPr>
        <w:pStyle w:val="Default"/>
        <w:spacing w:line="360" w:lineRule="auto"/>
        <w:rPr>
          <w:bCs/>
        </w:rPr>
      </w:pPr>
      <w:r>
        <w:rPr>
          <w:bCs/>
        </w:rPr>
        <w:lastRenderedPageBreak/>
        <w:tab/>
      </w:r>
      <w:proofErr w:type="gramStart"/>
      <w:r w:rsidRPr="005C6DAE">
        <w:rPr>
          <w:bCs/>
        </w:rPr>
        <w:t>Denmark</w:t>
      </w:r>
      <w:r>
        <w:rPr>
          <w:bCs/>
        </w:rPr>
        <w:t xml:space="preserve">, Ref. no. </w:t>
      </w:r>
      <w:r w:rsidRPr="003879DD">
        <w:rPr>
          <w:bCs/>
        </w:rPr>
        <w:t>50304.2009.001-2009.247</w:t>
      </w:r>
      <w:r>
        <w:rPr>
          <w:bCs/>
        </w:rPr>
        <w:t>.</w:t>
      </w:r>
      <w:proofErr w:type="gramEnd"/>
    </w:p>
    <w:p w:rsidR="00C53D32" w:rsidRDefault="00C53D32" w:rsidP="00C53D32">
      <w:pPr>
        <w:pStyle w:val="Default"/>
        <w:spacing w:line="360" w:lineRule="auto"/>
        <w:rPr>
          <w:bCs/>
        </w:rPr>
      </w:pPr>
      <w:proofErr w:type="spellStart"/>
      <w:r>
        <w:rPr>
          <w:bCs/>
        </w:rPr>
        <w:t>Ro</w:t>
      </w:r>
      <w:r w:rsidRPr="00A808E7">
        <w:rPr>
          <w:rFonts w:ascii="MetaNormalLF-Roman" w:hAnsi="MetaNormalLF-Roman" w:cs="MetaNormalLF-Roman"/>
          <w:bCs/>
        </w:rPr>
        <w:t>rmose</w:t>
      </w:r>
      <w:proofErr w:type="spellEnd"/>
      <w:r>
        <w:rPr>
          <w:bCs/>
        </w:rPr>
        <w:t>, P., Olsen, T. and Hansen, D. (2009), “</w:t>
      </w:r>
      <w:r w:rsidRPr="00A808E7">
        <w:rPr>
          <w:rFonts w:ascii="MetaNormalLF-Roman" w:hAnsi="MetaNormalLF-Roman" w:cs="MetaNormalLF-Roman"/>
          <w:bCs/>
        </w:rPr>
        <w:t>GHG Emissions Embodied in Trade</w:t>
      </w:r>
      <w:r>
        <w:rPr>
          <w:bCs/>
        </w:rPr>
        <w:t xml:space="preserve">”, </w:t>
      </w:r>
    </w:p>
    <w:p w:rsidR="00C53D32" w:rsidRPr="00C53D32" w:rsidRDefault="00C53D32" w:rsidP="00C53D32">
      <w:pPr>
        <w:pStyle w:val="Default"/>
        <w:spacing w:line="360" w:lineRule="auto"/>
        <w:rPr>
          <w:bCs/>
        </w:rPr>
      </w:pPr>
      <w:r>
        <w:rPr>
          <w:bCs/>
        </w:rPr>
        <w:tab/>
      </w:r>
      <w:proofErr w:type="gramStart"/>
      <w:r w:rsidRPr="005C6DAE">
        <w:rPr>
          <w:bCs/>
        </w:rPr>
        <w:t>Statistics Denmark</w:t>
      </w:r>
      <w:r>
        <w:rPr>
          <w:bCs/>
        </w:rPr>
        <w:t xml:space="preserve">, </w:t>
      </w:r>
      <w:r w:rsidRPr="003879DD">
        <w:rPr>
          <w:bCs/>
        </w:rPr>
        <w:t>Gr</w:t>
      </w:r>
      <w:r>
        <w:rPr>
          <w:bCs/>
        </w:rPr>
        <w:t>ant agreement No. 50304.2008.00.</w:t>
      </w:r>
      <w:proofErr w:type="gramEnd"/>
    </w:p>
    <w:p w:rsidR="00D27B99" w:rsidRDefault="00D27B99" w:rsidP="00D2247B">
      <w:pPr>
        <w:spacing w:line="360" w:lineRule="auto"/>
        <w:jc w:val="both"/>
        <w:rPr>
          <w:bCs/>
        </w:rPr>
      </w:pPr>
      <w:r w:rsidRPr="00D27B99">
        <w:rPr>
          <w:bCs/>
        </w:rPr>
        <w:t xml:space="preserve">Swedish Environmental Protection Agency (2010), “The Climate Impact of Swedish </w:t>
      </w:r>
    </w:p>
    <w:p w:rsidR="00D27B99" w:rsidRDefault="00D27B99" w:rsidP="00D2247B">
      <w:pPr>
        <w:spacing w:line="360" w:lineRule="auto"/>
        <w:jc w:val="both"/>
        <w:rPr>
          <w:rFonts w:eastAsiaTheme="minorHAnsi"/>
          <w:lang w:eastAsia="en-US"/>
        </w:rPr>
      </w:pPr>
      <w:r>
        <w:rPr>
          <w:bCs/>
        </w:rPr>
        <w:t xml:space="preserve">           </w:t>
      </w:r>
      <w:r w:rsidRPr="00D27B99">
        <w:rPr>
          <w:bCs/>
        </w:rPr>
        <w:t>Consumption”, Report 5992. </w:t>
      </w:r>
    </w:p>
    <w:p w:rsidR="00D2247B" w:rsidRDefault="00D2247B" w:rsidP="00D2247B">
      <w:pPr>
        <w:spacing w:line="360" w:lineRule="auto"/>
        <w:jc w:val="both"/>
        <w:rPr>
          <w:rFonts w:eastAsiaTheme="minorHAnsi"/>
          <w:lang w:eastAsia="en-US"/>
        </w:rPr>
      </w:pPr>
      <w:r>
        <w:rPr>
          <w:rFonts w:eastAsiaTheme="minorHAnsi"/>
          <w:lang w:eastAsia="en-US"/>
        </w:rPr>
        <w:t>Machado G.V. (2000), “</w:t>
      </w:r>
      <w:r w:rsidRPr="00D40267">
        <w:rPr>
          <w:rFonts w:eastAsiaTheme="minorHAnsi"/>
          <w:lang w:eastAsia="en-US"/>
        </w:rPr>
        <w:t xml:space="preserve">Energy Use, CO2 Emissions and Foreign Trade: An IO approach </w:t>
      </w:r>
    </w:p>
    <w:p w:rsidR="00D2247B" w:rsidRDefault="00D2247B" w:rsidP="00D2247B">
      <w:pPr>
        <w:spacing w:line="360" w:lineRule="auto"/>
        <w:jc w:val="both"/>
        <w:rPr>
          <w:rFonts w:eastAsiaTheme="minorHAnsi"/>
          <w:lang w:eastAsia="en-US"/>
        </w:rPr>
      </w:pPr>
      <w:r>
        <w:rPr>
          <w:rFonts w:eastAsiaTheme="minorHAnsi"/>
          <w:lang w:eastAsia="en-US"/>
        </w:rPr>
        <w:tab/>
      </w:r>
      <w:proofErr w:type="gramStart"/>
      <w:r w:rsidRPr="00D40267">
        <w:rPr>
          <w:rFonts w:eastAsiaTheme="minorHAnsi"/>
          <w:lang w:eastAsia="en-US"/>
        </w:rPr>
        <w:t>applied</w:t>
      </w:r>
      <w:proofErr w:type="gramEnd"/>
      <w:r w:rsidRPr="00D40267">
        <w:rPr>
          <w:rFonts w:eastAsiaTheme="minorHAnsi"/>
          <w:lang w:eastAsia="en-US"/>
        </w:rPr>
        <w:t xml:space="preserve"> to the Brazilian Case</w:t>
      </w:r>
      <w:r>
        <w:rPr>
          <w:rFonts w:eastAsiaTheme="minorHAnsi"/>
          <w:lang w:eastAsia="en-US"/>
        </w:rPr>
        <w:t xml:space="preserve">”, </w:t>
      </w:r>
      <w:r w:rsidRPr="00D40267">
        <w:rPr>
          <w:rFonts w:eastAsiaTheme="minorHAnsi"/>
          <w:lang w:eastAsia="en-US"/>
        </w:rPr>
        <w:t>XIII International Confer</w:t>
      </w:r>
      <w:r>
        <w:rPr>
          <w:rFonts w:eastAsiaTheme="minorHAnsi"/>
          <w:lang w:eastAsia="en-US"/>
        </w:rPr>
        <w:t xml:space="preserve">ence on Input-Output </w:t>
      </w:r>
      <w:r>
        <w:rPr>
          <w:rFonts w:eastAsiaTheme="minorHAnsi"/>
          <w:lang w:eastAsia="en-US"/>
        </w:rPr>
        <w:tab/>
        <w:t xml:space="preserve">Techniques, </w:t>
      </w:r>
      <w:r w:rsidRPr="00D40267">
        <w:rPr>
          <w:rFonts w:eastAsiaTheme="minorHAnsi"/>
          <w:lang w:eastAsia="en-US"/>
        </w:rPr>
        <w:t>Italy</w:t>
      </w:r>
      <w:r>
        <w:rPr>
          <w:rFonts w:eastAsiaTheme="minorHAnsi"/>
          <w:lang w:eastAsia="en-US"/>
        </w:rPr>
        <w:t>, 21-25 August 2000.</w:t>
      </w:r>
    </w:p>
    <w:p w:rsidR="00D2247B" w:rsidRDefault="00D2247B" w:rsidP="00D2247B">
      <w:pPr>
        <w:spacing w:line="360" w:lineRule="auto"/>
        <w:jc w:val="both"/>
        <w:rPr>
          <w:rFonts w:eastAsiaTheme="minorHAnsi"/>
          <w:bCs/>
          <w:lang w:eastAsia="en-US"/>
        </w:rPr>
      </w:pPr>
      <w:r>
        <w:rPr>
          <w:rFonts w:eastAsiaTheme="minorHAnsi"/>
          <w:lang w:eastAsia="en-US"/>
        </w:rPr>
        <w:t xml:space="preserve">Wyckoff, A.W. and </w:t>
      </w:r>
      <w:proofErr w:type="spellStart"/>
      <w:r>
        <w:rPr>
          <w:rFonts w:eastAsiaTheme="minorHAnsi"/>
          <w:lang w:eastAsia="en-US"/>
        </w:rPr>
        <w:t>Roop</w:t>
      </w:r>
      <w:proofErr w:type="spellEnd"/>
      <w:r>
        <w:rPr>
          <w:rFonts w:eastAsiaTheme="minorHAnsi"/>
          <w:lang w:eastAsia="en-US"/>
        </w:rPr>
        <w:t>, J.M. (1994), “</w:t>
      </w:r>
      <w:r w:rsidRPr="00611B44">
        <w:rPr>
          <w:rFonts w:eastAsiaTheme="minorHAnsi" w:hint="eastAsia"/>
          <w:bCs/>
          <w:lang w:eastAsia="en-US"/>
        </w:rPr>
        <w:t xml:space="preserve">The embodiment of carbon in imports of </w:t>
      </w:r>
    </w:p>
    <w:p w:rsidR="00D2247B" w:rsidRDefault="00D2247B" w:rsidP="00D2247B">
      <w:pPr>
        <w:spacing w:line="360" w:lineRule="auto"/>
        <w:jc w:val="both"/>
        <w:rPr>
          <w:rFonts w:eastAsiaTheme="minorHAnsi"/>
          <w:bCs/>
          <w:lang w:eastAsia="en-US"/>
        </w:rPr>
      </w:pPr>
      <w:r>
        <w:rPr>
          <w:rFonts w:eastAsiaTheme="minorHAnsi"/>
          <w:bCs/>
          <w:lang w:eastAsia="en-US"/>
        </w:rPr>
        <w:tab/>
      </w:r>
      <w:proofErr w:type="gramStart"/>
      <w:r w:rsidRPr="00611B44">
        <w:rPr>
          <w:rFonts w:eastAsiaTheme="minorHAnsi" w:hint="eastAsia"/>
          <w:bCs/>
          <w:lang w:eastAsia="en-US"/>
        </w:rPr>
        <w:t>manufactured</w:t>
      </w:r>
      <w:proofErr w:type="gramEnd"/>
      <w:r w:rsidRPr="00611B44">
        <w:rPr>
          <w:rFonts w:eastAsiaTheme="minorHAnsi" w:hint="eastAsia"/>
          <w:bCs/>
          <w:lang w:eastAsia="en-US"/>
        </w:rPr>
        <w:t xml:space="preserve"> products: Implications for international agreements on greenhouse gas </w:t>
      </w:r>
    </w:p>
    <w:p w:rsidR="00D2247B" w:rsidRPr="00611B44" w:rsidRDefault="00D2247B" w:rsidP="00D2247B">
      <w:pPr>
        <w:spacing w:line="360" w:lineRule="auto"/>
        <w:jc w:val="both"/>
        <w:rPr>
          <w:rFonts w:eastAsiaTheme="minorHAnsi"/>
          <w:bCs/>
          <w:lang w:eastAsia="en-US"/>
        </w:rPr>
      </w:pPr>
      <w:r>
        <w:rPr>
          <w:rFonts w:eastAsiaTheme="minorHAnsi"/>
          <w:bCs/>
          <w:lang w:eastAsia="en-US"/>
        </w:rPr>
        <w:tab/>
      </w:r>
      <w:proofErr w:type="gramStart"/>
      <w:r w:rsidRPr="00611B44">
        <w:rPr>
          <w:rFonts w:eastAsiaTheme="minorHAnsi" w:hint="eastAsia"/>
          <w:bCs/>
          <w:lang w:eastAsia="en-US"/>
        </w:rPr>
        <w:t>emissions</w:t>
      </w:r>
      <w:proofErr w:type="gramEnd"/>
      <w:r>
        <w:rPr>
          <w:rFonts w:eastAsiaTheme="minorHAnsi"/>
          <w:bCs/>
          <w:lang w:eastAsia="en-US"/>
        </w:rPr>
        <w:t xml:space="preserve">”, </w:t>
      </w:r>
      <w:r w:rsidRPr="004B5074">
        <w:rPr>
          <w:rFonts w:eastAsiaTheme="minorHAnsi"/>
          <w:i/>
          <w:lang w:eastAsia="en-US"/>
        </w:rPr>
        <w:t>Energy Policy</w:t>
      </w:r>
      <w:r>
        <w:rPr>
          <w:rFonts w:eastAsiaTheme="minorHAnsi"/>
          <w:lang w:eastAsia="en-US"/>
        </w:rPr>
        <w:t>, Vol. 22, No. 3, pp. 187-194.</w:t>
      </w:r>
    </w:p>
    <w:sectPr w:rsidR="00D2247B" w:rsidRPr="00611B44" w:rsidSect="005751A3">
      <w:footerReference w:type="default" r:id="rId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B82" w:rsidRDefault="00506B82" w:rsidP="00800F00">
      <w:r>
        <w:separator/>
      </w:r>
    </w:p>
  </w:endnote>
  <w:endnote w:type="continuationSeparator" w:id="0">
    <w:p w:rsidR="00506B82" w:rsidRDefault="00506B82" w:rsidP="00800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imesNewRoman">
    <w:panose1 w:val="00000000000000000000"/>
    <w:charset w:val="00"/>
    <w:family w:val="roman"/>
    <w:notTrueType/>
    <w:pitch w:val="default"/>
    <w:sig w:usb0="00000003" w:usb1="00000000" w:usb2="00000000" w:usb3="00000000" w:csb0="00000001" w:csb1="00000000"/>
  </w:font>
  <w:font w:name="MetaNormalLF-Roman">
    <w:altName w:val="MetaNormalLF-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ITCbyBT-Light">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086359"/>
      <w:docPartObj>
        <w:docPartGallery w:val="Page Numbers (Bottom of Page)"/>
        <w:docPartUnique/>
      </w:docPartObj>
    </w:sdtPr>
    <w:sdtEndPr>
      <w:rPr>
        <w:noProof/>
      </w:rPr>
    </w:sdtEndPr>
    <w:sdtContent>
      <w:p w:rsidR="00506B82" w:rsidRDefault="00506B82">
        <w:pPr>
          <w:pStyle w:val="Footer"/>
          <w:jc w:val="center"/>
        </w:pPr>
        <w:r>
          <w:fldChar w:fldCharType="begin"/>
        </w:r>
        <w:r>
          <w:instrText xml:space="preserve"> PAGE   \* MERGEFORMAT </w:instrText>
        </w:r>
        <w:r>
          <w:fldChar w:fldCharType="separate"/>
        </w:r>
        <w:r w:rsidR="00E175E7">
          <w:rPr>
            <w:noProof/>
          </w:rPr>
          <w:t>15</w:t>
        </w:r>
        <w:r>
          <w:rPr>
            <w:noProof/>
          </w:rPr>
          <w:fldChar w:fldCharType="end"/>
        </w:r>
      </w:p>
    </w:sdtContent>
  </w:sdt>
  <w:p w:rsidR="00506B82" w:rsidRDefault="00506B82">
    <w:pPr>
      <w:pStyle w:val="Footer"/>
    </w:pPr>
  </w:p>
  <w:p w:rsidR="00506B82" w:rsidRDefault="00506B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024642"/>
      <w:docPartObj>
        <w:docPartGallery w:val="Page Numbers (Bottom of Page)"/>
        <w:docPartUnique/>
      </w:docPartObj>
    </w:sdtPr>
    <w:sdtEndPr>
      <w:rPr>
        <w:noProof/>
      </w:rPr>
    </w:sdtEndPr>
    <w:sdtContent>
      <w:p w:rsidR="00506B82" w:rsidRDefault="00506B82">
        <w:pPr>
          <w:pStyle w:val="Footer"/>
          <w:jc w:val="center"/>
        </w:pPr>
        <w:r>
          <w:fldChar w:fldCharType="begin"/>
        </w:r>
        <w:r>
          <w:instrText xml:space="preserve"> PAGE   \* MERGEFORMAT </w:instrText>
        </w:r>
        <w:r>
          <w:fldChar w:fldCharType="separate"/>
        </w:r>
        <w:r w:rsidR="00E175E7">
          <w:rPr>
            <w:noProof/>
          </w:rPr>
          <w:t>17</w:t>
        </w:r>
        <w:r>
          <w:rPr>
            <w:noProof/>
          </w:rPr>
          <w:fldChar w:fldCharType="end"/>
        </w:r>
      </w:p>
    </w:sdtContent>
  </w:sdt>
  <w:p w:rsidR="00506B82" w:rsidRDefault="00506B82">
    <w:pPr>
      <w:pStyle w:val="Footer"/>
    </w:pPr>
  </w:p>
  <w:p w:rsidR="00506B82" w:rsidRDefault="00506B8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227333"/>
      <w:docPartObj>
        <w:docPartGallery w:val="Page Numbers (Bottom of Page)"/>
        <w:docPartUnique/>
      </w:docPartObj>
    </w:sdtPr>
    <w:sdtEndPr>
      <w:rPr>
        <w:noProof/>
      </w:rPr>
    </w:sdtEndPr>
    <w:sdtContent>
      <w:p w:rsidR="00506B82" w:rsidRDefault="00506B82">
        <w:pPr>
          <w:pStyle w:val="Footer"/>
          <w:jc w:val="center"/>
        </w:pPr>
        <w:r>
          <w:fldChar w:fldCharType="begin"/>
        </w:r>
        <w:r>
          <w:instrText xml:space="preserve"> PAGE   \* MERGEFORMAT </w:instrText>
        </w:r>
        <w:r>
          <w:fldChar w:fldCharType="separate"/>
        </w:r>
        <w:r w:rsidR="00E175E7">
          <w:rPr>
            <w:noProof/>
          </w:rPr>
          <w:t>28</w:t>
        </w:r>
        <w:r>
          <w:rPr>
            <w:noProof/>
          </w:rPr>
          <w:fldChar w:fldCharType="end"/>
        </w:r>
      </w:p>
    </w:sdtContent>
  </w:sdt>
  <w:p w:rsidR="00506B82" w:rsidRDefault="00506B82" w:rsidP="007813BD">
    <w:pPr>
      <w:pStyle w:val="Footer"/>
      <w:jc w:val="center"/>
    </w:pPr>
  </w:p>
  <w:p w:rsidR="00506B82" w:rsidRDefault="00506B8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136952"/>
      <w:docPartObj>
        <w:docPartGallery w:val="Page Numbers (Bottom of Page)"/>
        <w:docPartUnique/>
      </w:docPartObj>
    </w:sdtPr>
    <w:sdtEndPr>
      <w:rPr>
        <w:noProof/>
      </w:rPr>
    </w:sdtEndPr>
    <w:sdtContent>
      <w:p w:rsidR="00506B82" w:rsidRDefault="00506B82">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rsidR="00506B82" w:rsidRDefault="00506B82">
    <w:pPr>
      <w:pStyle w:val="Footer"/>
    </w:pPr>
  </w:p>
  <w:p w:rsidR="00506B82" w:rsidRDefault="00506B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B82" w:rsidRDefault="00506B82" w:rsidP="00800F00">
      <w:r>
        <w:separator/>
      </w:r>
    </w:p>
  </w:footnote>
  <w:footnote w:type="continuationSeparator" w:id="0">
    <w:p w:rsidR="00506B82" w:rsidRPr="000966F4" w:rsidRDefault="00506B82" w:rsidP="000966F4">
      <w:pPr>
        <w:pStyle w:val="Footer"/>
      </w:pPr>
    </w:p>
  </w:footnote>
  <w:footnote w:type="continuationNotice" w:id="1">
    <w:p w:rsidR="00506B82" w:rsidRPr="000966F4" w:rsidRDefault="00506B82" w:rsidP="000966F4">
      <w:pPr>
        <w:pStyle w:val="Footer"/>
      </w:pPr>
    </w:p>
  </w:footnote>
  <w:footnote w:id="2">
    <w:p w:rsidR="00506B82" w:rsidRPr="003C2A5D" w:rsidRDefault="00506B82" w:rsidP="00E94016">
      <w:pPr>
        <w:pStyle w:val="FootnoteText"/>
        <w:spacing w:line="360" w:lineRule="auto"/>
        <w:jc w:val="both"/>
        <w:rPr>
          <w:sz w:val="22"/>
          <w:szCs w:val="22"/>
        </w:rPr>
      </w:pPr>
      <w:r w:rsidRPr="003C2A5D">
        <w:rPr>
          <w:rStyle w:val="FootnoteReference"/>
          <w:sz w:val="22"/>
          <w:szCs w:val="22"/>
        </w:rPr>
        <w:t>*</w:t>
      </w:r>
      <w:r w:rsidRPr="003C2A5D">
        <w:rPr>
          <w:sz w:val="22"/>
          <w:szCs w:val="22"/>
        </w:rPr>
        <w:t xml:space="preserve"> Corresponding Author: </w:t>
      </w:r>
      <w:proofErr w:type="spellStart"/>
      <w:r w:rsidRPr="003C2A5D">
        <w:rPr>
          <w:sz w:val="22"/>
          <w:szCs w:val="22"/>
        </w:rPr>
        <w:t>Shuo</w:t>
      </w:r>
      <w:proofErr w:type="spellEnd"/>
      <w:r w:rsidRPr="003C2A5D">
        <w:rPr>
          <w:sz w:val="22"/>
          <w:szCs w:val="22"/>
        </w:rPr>
        <w:t xml:space="preserve"> (Manson) </w:t>
      </w:r>
      <w:proofErr w:type="spellStart"/>
      <w:r w:rsidRPr="003C2A5D">
        <w:rPr>
          <w:sz w:val="22"/>
          <w:szCs w:val="22"/>
        </w:rPr>
        <w:t>Hao</w:t>
      </w:r>
      <w:proofErr w:type="spellEnd"/>
      <w:r w:rsidRPr="003C2A5D">
        <w:rPr>
          <w:sz w:val="22"/>
          <w:szCs w:val="22"/>
        </w:rPr>
        <w:t xml:space="preserve">, B. App Math/ M </w:t>
      </w:r>
      <w:proofErr w:type="spellStart"/>
      <w:r w:rsidRPr="003C2A5D">
        <w:rPr>
          <w:sz w:val="22"/>
          <w:szCs w:val="22"/>
        </w:rPr>
        <w:t>Acc</w:t>
      </w:r>
      <w:proofErr w:type="spellEnd"/>
      <w:r w:rsidRPr="003C2A5D">
        <w:rPr>
          <w:sz w:val="22"/>
          <w:szCs w:val="22"/>
        </w:rPr>
        <w:t xml:space="preserve"> &amp; Fin. Senior Research Analyst, </w:t>
      </w:r>
    </w:p>
    <w:p w:rsidR="00506B82" w:rsidRDefault="00506B82" w:rsidP="00E94016">
      <w:pPr>
        <w:pStyle w:val="FootnoteText"/>
        <w:spacing w:line="360" w:lineRule="auto"/>
        <w:jc w:val="both"/>
        <w:rPr>
          <w:sz w:val="22"/>
          <w:szCs w:val="22"/>
        </w:rPr>
      </w:pPr>
      <w:r w:rsidRPr="003C2A5D">
        <w:rPr>
          <w:sz w:val="22"/>
          <w:szCs w:val="22"/>
        </w:rPr>
        <w:t xml:space="preserve">Environmental Accounts, Australian Bureau of Statistics; Email: </w:t>
      </w:r>
      <w:hyperlink r:id="rId1" w:history="1">
        <w:r w:rsidRPr="00B947EA">
          <w:rPr>
            <w:rStyle w:val="Hyperlink"/>
            <w:sz w:val="22"/>
            <w:szCs w:val="22"/>
          </w:rPr>
          <w:t>manson.hao@abs.gov.au</w:t>
        </w:r>
      </w:hyperlink>
      <w:r>
        <w:rPr>
          <w:sz w:val="22"/>
          <w:szCs w:val="22"/>
        </w:rPr>
        <w:t xml:space="preserve">. </w:t>
      </w:r>
    </w:p>
    <w:p w:rsidR="00506B82" w:rsidRPr="003C2A5D" w:rsidRDefault="00506B82" w:rsidP="00E94016">
      <w:pPr>
        <w:pStyle w:val="FootnoteText"/>
        <w:spacing w:line="360" w:lineRule="auto"/>
        <w:jc w:val="both"/>
        <w:rPr>
          <w:sz w:val="22"/>
          <w:szCs w:val="22"/>
        </w:rPr>
      </w:pPr>
      <w:r>
        <w:rPr>
          <w:sz w:val="22"/>
          <w:szCs w:val="22"/>
        </w:rPr>
        <w:t>** All co-authors are ABS officers.</w:t>
      </w:r>
    </w:p>
  </w:footnote>
  <w:footnote w:id="3">
    <w:p w:rsidR="00506B82" w:rsidRPr="00810518" w:rsidRDefault="00506B82" w:rsidP="00810518">
      <w:pPr>
        <w:autoSpaceDE w:val="0"/>
        <w:autoSpaceDN w:val="0"/>
        <w:adjustRightInd w:val="0"/>
        <w:spacing w:line="276" w:lineRule="auto"/>
        <w:jc w:val="both"/>
        <w:rPr>
          <w:rFonts w:eastAsiaTheme="minorHAnsi"/>
          <w:sz w:val="16"/>
          <w:szCs w:val="16"/>
          <w:lang w:eastAsia="en-US"/>
        </w:rPr>
      </w:pPr>
      <w:r w:rsidRPr="007B12C0">
        <w:rPr>
          <w:rStyle w:val="FootnoteReference"/>
          <w:sz w:val="20"/>
          <w:szCs w:val="20"/>
        </w:rPr>
        <w:footnoteRef/>
      </w:r>
      <w:r>
        <w:t xml:space="preserve"> </w:t>
      </w:r>
      <w:r w:rsidRPr="00810518">
        <w:rPr>
          <w:rFonts w:eastAsiaTheme="minorHAnsi"/>
          <w:sz w:val="16"/>
          <w:szCs w:val="16"/>
          <w:lang w:eastAsia="en-US"/>
        </w:rPr>
        <w:t>The 3 key greenh</w:t>
      </w:r>
      <w:r>
        <w:rPr>
          <w:rFonts w:eastAsiaTheme="minorHAnsi"/>
          <w:sz w:val="16"/>
          <w:szCs w:val="16"/>
          <w:lang w:eastAsia="en-US"/>
        </w:rPr>
        <w:t xml:space="preserve">ouse gases are </w:t>
      </w:r>
      <w:r w:rsidRPr="00810518">
        <w:rPr>
          <w:rFonts w:eastAsiaTheme="minorHAnsi"/>
          <w:sz w:val="16"/>
          <w:szCs w:val="16"/>
          <w:lang w:eastAsia="en-US"/>
        </w:rPr>
        <w:t>carbon dioxide (CO2), nitrous oxide (N2O) and methane (CH4).</w:t>
      </w:r>
      <w:r>
        <w:rPr>
          <w:rFonts w:eastAsiaTheme="minorHAnsi"/>
          <w:sz w:val="16"/>
          <w:szCs w:val="16"/>
          <w:lang w:eastAsia="en-US"/>
        </w:rPr>
        <w:t xml:space="preserve"> </w:t>
      </w:r>
      <w:r w:rsidRPr="00810518">
        <w:rPr>
          <w:rFonts w:eastAsiaTheme="minorHAnsi"/>
          <w:sz w:val="16"/>
          <w:szCs w:val="16"/>
          <w:lang w:eastAsia="en-US"/>
        </w:rPr>
        <w:t xml:space="preserve">Carbon dioxide (CO2) equivalents </w:t>
      </w:r>
      <w:r>
        <w:rPr>
          <w:rFonts w:eastAsiaTheme="minorHAnsi"/>
          <w:sz w:val="16"/>
          <w:szCs w:val="16"/>
          <w:lang w:eastAsia="en-US"/>
        </w:rPr>
        <w:t>are used to</w:t>
      </w:r>
      <w:r w:rsidRPr="00810518">
        <w:rPr>
          <w:rFonts w:eastAsiaTheme="minorHAnsi"/>
          <w:sz w:val="16"/>
          <w:szCs w:val="16"/>
          <w:lang w:eastAsia="en-US"/>
        </w:rPr>
        <w:t xml:space="preserve"> measure the emissions from</w:t>
      </w:r>
      <w:r>
        <w:rPr>
          <w:rFonts w:eastAsiaTheme="minorHAnsi"/>
          <w:sz w:val="16"/>
          <w:szCs w:val="16"/>
          <w:lang w:eastAsia="en-US"/>
        </w:rPr>
        <w:t xml:space="preserve"> various greenhouse gases based</w:t>
      </w:r>
      <w:r w:rsidRPr="00810518">
        <w:rPr>
          <w:rFonts w:eastAsiaTheme="minorHAnsi"/>
          <w:sz w:val="16"/>
          <w:szCs w:val="16"/>
          <w:lang w:eastAsia="en-US"/>
        </w:rPr>
        <w:t xml:space="preserve"> upon their glob</w:t>
      </w:r>
      <w:r>
        <w:rPr>
          <w:rFonts w:eastAsiaTheme="minorHAnsi"/>
          <w:sz w:val="16"/>
          <w:szCs w:val="16"/>
          <w:lang w:eastAsia="en-US"/>
        </w:rPr>
        <w:t xml:space="preserve">al warming potential. The carbon dioxide equivalent </w:t>
      </w:r>
      <w:r w:rsidRPr="00810518">
        <w:rPr>
          <w:rFonts w:eastAsiaTheme="minorHAnsi"/>
          <w:sz w:val="16"/>
          <w:szCs w:val="16"/>
          <w:lang w:eastAsia="en-US"/>
        </w:rPr>
        <w:t>for a gas is derived by multiplying the tonnes of t</w:t>
      </w:r>
      <w:r>
        <w:rPr>
          <w:rFonts w:eastAsiaTheme="minorHAnsi"/>
          <w:sz w:val="16"/>
          <w:szCs w:val="16"/>
          <w:lang w:eastAsia="en-US"/>
        </w:rPr>
        <w:t xml:space="preserve">he gas by the associated global </w:t>
      </w:r>
      <w:r w:rsidRPr="00810518">
        <w:rPr>
          <w:rFonts w:eastAsiaTheme="minorHAnsi"/>
          <w:sz w:val="16"/>
          <w:szCs w:val="16"/>
          <w:lang w:eastAsia="en-US"/>
        </w:rPr>
        <w:t>warming potential.</w:t>
      </w:r>
    </w:p>
  </w:footnote>
  <w:footnote w:id="4">
    <w:p w:rsidR="00506B82" w:rsidRPr="003C2A5D" w:rsidRDefault="00506B82" w:rsidP="00810518">
      <w:pPr>
        <w:autoSpaceDE w:val="0"/>
        <w:autoSpaceDN w:val="0"/>
        <w:adjustRightInd w:val="0"/>
        <w:spacing w:line="276" w:lineRule="auto"/>
        <w:jc w:val="both"/>
        <w:rPr>
          <w:rFonts w:eastAsiaTheme="minorHAnsi"/>
          <w:sz w:val="16"/>
          <w:szCs w:val="16"/>
          <w:lang w:eastAsia="en-US"/>
        </w:rPr>
      </w:pPr>
      <w:r w:rsidRPr="007B12C0">
        <w:rPr>
          <w:rStyle w:val="FootnoteReference"/>
          <w:sz w:val="20"/>
          <w:szCs w:val="20"/>
        </w:rPr>
        <w:footnoteRef/>
      </w:r>
      <w:r w:rsidRPr="003C2A5D">
        <w:rPr>
          <w:sz w:val="16"/>
          <w:szCs w:val="16"/>
        </w:rPr>
        <w:t xml:space="preserve"> </w:t>
      </w:r>
      <w:r w:rsidRPr="003C2A5D">
        <w:rPr>
          <w:rFonts w:eastAsiaTheme="minorHAnsi"/>
          <w:sz w:val="16"/>
          <w:szCs w:val="16"/>
          <w:lang w:eastAsia="en-US"/>
        </w:rPr>
        <w:t>SEEA is an international statistical standard for environmental-economic accounting.  It integrates environmental information into a framework consistent with the economic data contained in the national accounts. The SEEA provides the conceptual basis describe the inter-relationship between the natural enviro</w:t>
      </w:r>
      <w:r>
        <w:rPr>
          <w:rFonts w:eastAsiaTheme="minorHAnsi"/>
          <w:sz w:val="16"/>
          <w:szCs w:val="16"/>
          <w:lang w:eastAsia="en-US"/>
        </w:rPr>
        <w:t>nment and the economy</w:t>
      </w:r>
      <w:r w:rsidRPr="003C2A5D">
        <w:rPr>
          <w:rFonts w:eastAsiaTheme="minorHAnsi"/>
          <w:sz w:val="16"/>
          <w:szCs w:val="16"/>
          <w:lang w:eastAsia="en-US"/>
        </w:rPr>
        <w:t>.</w:t>
      </w:r>
    </w:p>
  </w:footnote>
  <w:footnote w:id="5">
    <w:p w:rsidR="00506B82" w:rsidRDefault="00506B82" w:rsidP="00810518">
      <w:pPr>
        <w:pStyle w:val="FootnoteText"/>
        <w:spacing w:line="276" w:lineRule="auto"/>
        <w:jc w:val="both"/>
      </w:pPr>
      <w:r>
        <w:rPr>
          <w:rStyle w:val="FootnoteReference"/>
        </w:rPr>
        <w:footnoteRef/>
      </w:r>
      <w:r w:rsidRPr="00EB4B46">
        <w:rPr>
          <w:rFonts w:eastAsiaTheme="minorHAnsi"/>
          <w:sz w:val="16"/>
          <w:szCs w:val="16"/>
          <w:lang w:eastAsia="en-US"/>
        </w:rPr>
        <w:t xml:space="preserve"> see </w:t>
      </w:r>
      <w:hyperlink r:id="rId2" w:history="1">
        <w:r w:rsidRPr="00EB4B46">
          <w:rPr>
            <w:rFonts w:eastAsiaTheme="minorHAnsi"/>
            <w:sz w:val="16"/>
            <w:szCs w:val="16"/>
            <w:lang w:eastAsia="en-US"/>
          </w:rPr>
          <w:t>www.climatechange.gov.au</w:t>
        </w:r>
      </w:hyperlink>
    </w:p>
  </w:footnote>
  <w:footnote w:id="6">
    <w:p w:rsidR="00506B82" w:rsidRPr="003C2A5D" w:rsidRDefault="00506B82" w:rsidP="00B4338F">
      <w:pPr>
        <w:autoSpaceDE w:val="0"/>
        <w:autoSpaceDN w:val="0"/>
        <w:adjustRightInd w:val="0"/>
        <w:spacing w:line="276" w:lineRule="auto"/>
        <w:jc w:val="both"/>
        <w:rPr>
          <w:rFonts w:eastAsiaTheme="minorHAnsi"/>
          <w:sz w:val="16"/>
          <w:szCs w:val="16"/>
          <w:lang w:eastAsia="en-US"/>
        </w:rPr>
      </w:pPr>
      <w:r w:rsidRPr="00E47024">
        <w:rPr>
          <w:rStyle w:val="FootnoteReference"/>
          <w:sz w:val="20"/>
          <w:szCs w:val="16"/>
        </w:rPr>
        <w:footnoteRef/>
      </w:r>
      <w:r w:rsidRPr="003C2A5D">
        <w:rPr>
          <w:sz w:val="16"/>
          <w:szCs w:val="16"/>
        </w:rPr>
        <w:t xml:space="preserve"> </w:t>
      </w:r>
      <w:r w:rsidRPr="003C2A5D">
        <w:rPr>
          <w:rFonts w:eastAsiaTheme="minorHAnsi"/>
          <w:sz w:val="16"/>
          <w:szCs w:val="16"/>
          <w:lang w:eastAsia="en-US"/>
        </w:rPr>
        <w:t xml:space="preserve">The cumulative (also referred to as embodied and indirect) GHG emissions are the sum of emissions along the whole supply chain of the goods and services entering household and government consumption, </w:t>
      </w:r>
      <w:r w:rsidRPr="00E47024">
        <w:rPr>
          <w:rFonts w:eastAsiaTheme="minorHAnsi"/>
          <w:sz w:val="16"/>
          <w:szCs w:val="16"/>
          <w:lang w:eastAsia="en-US"/>
        </w:rPr>
        <w:t>gross capital formation</w:t>
      </w:r>
      <w:r w:rsidRPr="003C2A5D">
        <w:rPr>
          <w:rFonts w:eastAsiaTheme="minorHAnsi"/>
          <w:sz w:val="16"/>
          <w:szCs w:val="16"/>
          <w:lang w:eastAsia="en-US"/>
        </w:rPr>
        <w:t>, export, and inventory change. It conceptualises the induced emissions (including direct emissions from production processes plus the embodied emissions in inputs) induced by final demand. Additionally, it incorporates the embodied emissions from imports. It includes all emissions induced by final demand and is not limited to the emissions from the indirect allocation of purchased electricity. It encompasses all scope 2 and 3 emissions under Kyoto.</w:t>
      </w:r>
    </w:p>
  </w:footnote>
  <w:footnote w:id="7">
    <w:p w:rsidR="00506B82" w:rsidRPr="004F5B58" w:rsidRDefault="00506B82" w:rsidP="00B4338F">
      <w:pPr>
        <w:autoSpaceDE w:val="0"/>
        <w:autoSpaceDN w:val="0"/>
        <w:adjustRightInd w:val="0"/>
        <w:spacing w:line="276" w:lineRule="auto"/>
        <w:jc w:val="both"/>
        <w:rPr>
          <w:rFonts w:eastAsiaTheme="minorHAnsi"/>
          <w:sz w:val="16"/>
          <w:szCs w:val="16"/>
          <w:lang w:eastAsia="en-US"/>
        </w:rPr>
      </w:pPr>
      <w:r w:rsidRPr="00E47024">
        <w:rPr>
          <w:rStyle w:val="FootnoteReference"/>
          <w:szCs w:val="16"/>
        </w:rPr>
        <w:footnoteRef/>
      </w:r>
      <w:r w:rsidRPr="00E47024">
        <w:rPr>
          <w:rStyle w:val="FootnoteReference"/>
        </w:rPr>
        <w:t xml:space="preserve"> </w:t>
      </w:r>
      <w:r w:rsidRPr="004F5B58">
        <w:rPr>
          <w:rFonts w:eastAsiaTheme="minorHAnsi"/>
          <w:sz w:val="16"/>
          <w:szCs w:val="16"/>
          <w:lang w:eastAsia="en-US"/>
        </w:rPr>
        <w:t xml:space="preserve">The gross capital formation </w:t>
      </w:r>
      <w:r>
        <w:rPr>
          <w:rFonts w:eastAsiaTheme="minorHAnsi"/>
          <w:sz w:val="16"/>
          <w:szCs w:val="16"/>
          <w:lang w:eastAsia="en-US"/>
        </w:rPr>
        <w:t>includes the gross fixed capital formation and</w:t>
      </w:r>
      <w:r w:rsidRPr="00B4338F">
        <w:rPr>
          <w:rFonts w:eastAsiaTheme="minorHAnsi"/>
          <w:sz w:val="16"/>
          <w:szCs w:val="16"/>
          <w:lang w:eastAsia="en-US"/>
        </w:rPr>
        <w:t xml:space="preserve"> changes in inventories.</w:t>
      </w:r>
    </w:p>
  </w:footnote>
  <w:footnote w:id="8">
    <w:p w:rsidR="00506B82" w:rsidRDefault="00506B82">
      <w:pPr>
        <w:pStyle w:val="FootnoteText"/>
      </w:pPr>
      <w:r>
        <w:rPr>
          <w:rStyle w:val="FootnoteReference"/>
        </w:rPr>
        <w:footnoteRef/>
      </w:r>
      <w:r>
        <w:t xml:space="preserve"> </w:t>
      </w:r>
      <w:r w:rsidRPr="00EB7A06">
        <w:rPr>
          <w:rFonts w:eastAsiaTheme="minorHAnsi"/>
          <w:sz w:val="16"/>
          <w:szCs w:val="12"/>
          <w:lang w:eastAsia="en-US"/>
        </w:rPr>
        <w:t>Production-based emissions</w:t>
      </w:r>
      <w:r>
        <w:rPr>
          <w:rFonts w:eastAsiaTheme="minorHAnsi"/>
          <w:sz w:val="16"/>
          <w:szCs w:val="12"/>
          <w:lang w:eastAsia="en-US"/>
        </w:rPr>
        <w:t xml:space="preserve"> include</w:t>
      </w:r>
      <w:r w:rsidRPr="00EB7A06">
        <w:rPr>
          <w:rFonts w:eastAsiaTheme="minorHAnsi"/>
          <w:sz w:val="16"/>
          <w:szCs w:val="12"/>
          <w:lang w:eastAsia="en-US"/>
        </w:rPr>
        <w:t xml:space="preserve"> the household direct emissions.</w:t>
      </w:r>
    </w:p>
  </w:footnote>
  <w:footnote w:id="9">
    <w:p w:rsidR="00506B82" w:rsidRPr="00216BB1" w:rsidRDefault="00506B82" w:rsidP="009470CA">
      <w:pPr>
        <w:pStyle w:val="FootnoteText"/>
        <w:jc w:val="both"/>
        <w:rPr>
          <w:rFonts w:eastAsiaTheme="minorHAnsi"/>
          <w:sz w:val="16"/>
          <w:szCs w:val="12"/>
          <w:lang w:eastAsia="en-US"/>
        </w:rPr>
      </w:pPr>
      <w:r w:rsidRPr="0069769E">
        <w:rPr>
          <w:rStyle w:val="FootnoteReference"/>
          <w:szCs w:val="16"/>
        </w:rPr>
        <w:footnoteRef/>
      </w:r>
      <w:r w:rsidRPr="00216BB1">
        <w:rPr>
          <w:rFonts w:eastAsiaTheme="minorHAnsi"/>
          <w:sz w:val="16"/>
          <w:szCs w:val="12"/>
          <w:lang w:eastAsia="en-US"/>
        </w:rPr>
        <w:t xml:space="preserve"> Diagram based on Swedish Environmental Protection Agency report 5992, 2010, </w:t>
      </w:r>
      <w:proofErr w:type="gramStart"/>
      <w:r w:rsidRPr="00216BB1">
        <w:rPr>
          <w:rFonts w:eastAsiaTheme="minorHAnsi"/>
          <w:sz w:val="16"/>
          <w:szCs w:val="12"/>
          <w:lang w:eastAsia="en-US"/>
        </w:rPr>
        <w:t>The</w:t>
      </w:r>
      <w:proofErr w:type="gramEnd"/>
      <w:r w:rsidRPr="00216BB1">
        <w:rPr>
          <w:rFonts w:eastAsiaTheme="minorHAnsi"/>
          <w:sz w:val="16"/>
          <w:szCs w:val="12"/>
          <w:lang w:eastAsia="en-US"/>
        </w:rPr>
        <w:t xml:space="preserve"> climate impact of Swedish consumption.</w:t>
      </w:r>
    </w:p>
  </w:footnote>
  <w:footnote w:id="10">
    <w:p w:rsidR="00506B82" w:rsidRPr="002D3A87" w:rsidRDefault="00506B82" w:rsidP="009470CA">
      <w:pPr>
        <w:pStyle w:val="FootnoteText"/>
        <w:jc w:val="both"/>
        <w:rPr>
          <w:rFonts w:eastAsiaTheme="minorHAnsi"/>
          <w:sz w:val="16"/>
          <w:szCs w:val="12"/>
          <w:lang w:eastAsia="en-US"/>
        </w:rPr>
      </w:pPr>
      <w:r w:rsidRPr="0069769E">
        <w:rPr>
          <w:rStyle w:val="FootnoteReference"/>
          <w:szCs w:val="16"/>
        </w:rPr>
        <w:footnoteRef/>
      </w:r>
      <w:r w:rsidRPr="00216BB1">
        <w:rPr>
          <w:rFonts w:eastAsiaTheme="minorHAnsi"/>
          <w:sz w:val="16"/>
          <w:szCs w:val="12"/>
          <w:lang w:eastAsia="en-US"/>
        </w:rPr>
        <w:t xml:space="preserve"> </w:t>
      </w:r>
      <w:r>
        <w:rPr>
          <w:rFonts w:eastAsiaTheme="minorHAnsi"/>
          <w:sz w:val="16"/>
          <w:szCs w:val="12"/>
          <w:lang w:eastAsia="en-US"/>
        </w:rPr>
        <w:t>Please see A</w:t>
      </w:r>
      <w:r w:rsidRPr="002D3A87">
        <w:rPr>
          <w:rFonts w:eastAsiaTheme="minorHAnsi"/>
          <w:sz w:val="16"/>
          <w:szCs w:val="12"/>
          <w:lang w:eastAsia="en-US"/>
        </w:rPr>
        <w:t xml:space="preserve">ppendix 1 for further information on the </w:t>
      </w:r>
      <w:r>
        <w:rPr>
          <w:rFonts w:eastAsiaTheme="minorHAnsi"/>
          <w:sz w:val="16"/>
          <w:szCs w:val="12"/>
          <w:lang w:eastAsia="en-US"/>
        </w:rPr>
        <w:t xml:space="preserve">IPCC </w:t>
      </w:r>
      <w:r w:rsidRPr="002D3A87">
        <w:rPr>
          <w:rFonts w:eastAsiaTheme="minorHAnsi"/>
          <w:sz w:val="16"/>
          <w:szCs w:val="12"/>
          <w:lang w:eastAsia="en-US"/>
        </w:rPr>
        <w:t>GHG emissions categories under the Kyoto framework.</w:t>
      </w:r>
    </w:p>
  </w:footnote>
  <w:footnote w:id="11">
    <w:p w:rsidR="00506B82" w:rsidRPr="002D3A87" w:rsidRDefault="00506B82" w:rsidP="009470CA">
      <w:pPr>
        <w:pStyle w:val="FootnoteText"/>
        <w:jc w:val="both"/>
        <w:rPr>
          <w:rFonts w:eastAsiaTheme="minorHAnsi"/>
          <w:sz w:val="16"/>
          <w:szCs w:val="12"/>
          <w:lang w:eastAsia="en-US"/>
        </w:rPr>
      </w:pPr>
      <w:r w:rsidRPr="0069769E">
        <w:rPr>
          <w:rStyle w:val="FootnoteReference"/>
          <w:szCs w:val="16"/>
        </w:rPr>
        <w:footnoteRef/>
      </w:r>
      <w:r w:rsidRPr="00216BB1">
        <w:rPr>
          <w:rFonts w:eastAsiaTheme="minorHAnsi"/>
          <w:sz w:val="16"/>
          <w:szCs w:val="12"/>
          <w:lang w:eastAsia="en-US"/>
        </w:rPr>
        <w:t xml:space="preserve"> </w:t>
      </w:r>
      <w:r w:rsidRPr="002D3A87">
        <w:rPr>
          <w:rFonts w:eastAsiaTheme="minorHAnsi"/>
          <w:sz w:val="16"/>
          <w:szCs w:val="12"/>
          <w:lang w:eastAsia="en-US"/>
        </w:rPr>
        <w:t>From 1 July 2008 a registered corporation</w:t>
      </w:r>
      <w:r>
        <w:rPr>
          <w:rFonts w:eastAsiaTheme="minorHAnsi"/>
          <w:sz w:val="16"/>
          <w:szCs w:val="12"/>
          <w:lang w:eastAsia="en-US"/>
        </w:rPr>
        <w:t xml:space="preserve"> above a threshold</w:t>
      </w:r>
      <w:r w:rsidRPr="002D3A87">
        <w:rPr>
          <w:rFonts w:eastAsiaTheme="minorHAnsi"/>
          <w:sz w:val="16"/>
          <w:szCs w:val="12"/>
          <w:lang w:eastAsia="en-US"/>
        </w:rPr>
        <w:t xml:space="preserve"> is required to report the amount of greenhouse gas emissions and energy produced or consumed by facilities under the operational control of its group members (which may include subsidiaries, joint ventures or partnerships) during a reporting year.</w:t>
      </w:r>
    </w:p>
  </w:footnote>
  <w:footnote w:id="12">
    <w:p w:rsidR="00506B82" w:rsidRPr="002D3A87" w:rsidRDefault="00506B82" w:rsidP="009470CA">
      <w:pPr>
        <w:pStyle w:val="FootnoteText"/>
        <w:jc w:val="both"/>
        <w:rPr>
          <w:rFonts w:eastAsiaTheme="minorHAnsi"/>
          <w:sz w:val="16"/>
          <w:szCs w:val="12"/>
          <w:lang w:eastAsia="en-US"/>
        </w:rPr>
      </w:pPr>
      <w:r w:rsidRPr="0069769E">
        <w:rPr>
          <w:rStyle w:val="FootnoteReference"/>
          <w:szCs w:val="16"/>
        </w:rPr>
        <w:footnoteRef/>
      </w:r>
      <w:r w:rsidRPr="00216BB1">
        <w:rPr>
          <w:rFonts w:eastAsiaTheme="minorHAnsi"/>
          <w:sz w:val="16"/>
          <w:szCs w:val="12"/>
          <w:lang w:eastAsia="en-US"/>
        </w:rPr>
        <w:t xml:space="preserve"> </w:t>
      </w:r>
      <w:r w:rsidRPr="002D3A87">
        <w:rPr>
          <w:rFonts w:eastAsiaTheme="minorHAnsi"/>
          <w:sz w:val="16"/>
          <w:szCs w:val="12"/>
          <w:lang w:eastAsia="en-US"/>
        </w:rPr>
        <w:t>The reallocation for transport industry is done by DCCEE. The</w:t>
      </w:r>
      <w:r>
        <w:rPr>
          <w:rFonts w:eastAsiaTheme="minorHAnsi"/>
          <w:sz w:val="16"/>
          <w:szCs w:val="12"/>
          <w:lang w:eastAsia="en-US"/>
        </w:rPr>
        <w:t xml:space="preserve"> reallocation for</w:t>
      </w:r>
      <w:r w:rsidRPr="002D3A87">
        <w:rPr>
          <w:rFonts w:eastAsiaTheme="minorHAnsi"/>
          <w:sz w:val="16"/>
          <w:szCs w:val="12"/>
          <w:lang w:eastAsia="en-US"/>
        </w:rPr>
        <w:t xml:space="preserve"> electricity data </w:t>
      </w:r>
      <w:r>
        <w:rPr>
          <w:rFonts w:eastAsiaTheme="minorHAnsi"/>
          <w:sz w:val="16"/>
          <w:szCs w:val="12"/>
          <w:lang w:eastAsia="en-US"/>
        </w:rPr>
        <w:t xml:space="preserve">was undertaken </w:t>
      </w:r>
      <w:r w:rsidRPr="002D3A87">
        <w:rPr>
          <w:rFonts w:eastAsiaTheme="minorHAnsi"/>
          <w:sz w:val="16"/>
          <w:szCs w:val="12"/>
          <w:lang w:eastAsia="en-US"/>
        </w:rPr>
        <w:t>by</w:t>
      </w:r>
      <w:r>
        <w:rPr>
          <w:rFonts w:eastAsiaTheme="minorHAnsi"/>
          <w:sz w:val="16"/>
          <w:szCs w:val="12"/>
          <w:lang w:eastAsia="en-US"/>
        </w:rPr>
        <w:t xml:space="preserve"> the</w:t>
      </w:r>
      <w:r w:rsidRPr="002D3A87">
        <w:rPr>
          <w:rFonts w:eastAsiaTheme="minorHAnsi"/>
          <w:sz w:val="16"/>
          <w:szCs w:val="12"/>
          <w:lang w:eastAsia="en-US"/>
        </w:rPr>
        <w:t xml:space="preserve"> ABS.</w:t>
      </w:r>
    </w:p>
  </w:footnote>
  <w:footnote w:id="13">
    <w:p w:rsidR="00506B82" w:rsidRPr="002D3A87" w:rsidRDefault="00506B82" w:rsidP="009470CA">
      <w:pPr>
        <w:pStyle w:val="FootnoteText"/>
        <w:jc w:val="both"/>
        <w:rPr>
          <w:rFonts w:eastAsiaTheme="minorHAnsi"/>
          <w:sz w:val="16"/>
          <w:szCs w:val="12"/>
          <w:lang w:eastAsia="en-US"/>
        </w:rPr>
      </w:pPr>
      <w:r w:rsidRPr="0069769E">
        <w:rPr>
          <w:rStyle w:val="FootnoteReference"/>
          <w:szCs w:val="16"/>
        </w:rPr>
        <w:footnoteRef/>
      </w:r>
      <w:r w:rsidRPr="00216BB1">
        <w:rPr>
          <w:rFonts w:eastAsiaTheme="minorHAnsi"/>
          <w:sz w:val="16"/>
          <w:szCs w:val="12"/>
          <w:lang w:eastAsia="en-US"/>
        </w:rPr>
        <w:t xml:space="preserve"> </w:t>
      </w:r>
      <w:r w:rsidRPr="002D3A87">
        <w:rPr>
          <w:rFonts w:eastAsiaTheme="minorHAnsi"/>
          <w:sz w:val="16"/>
          <w:szCs w:val="12"/>
          <w:lang w:eastAsia="en-US"/>
        </w:rPr>
        <w:t xml:space="preserve">See </w:t>
      </w:r>
      <w:r>
        <w:rPr>
          <w:rFonts w:eastAsiaTheme="minorHAnsi"/>
          <w:sz w:val="16"/>
          <w:szCs w:val="12"/>
          <w:lang w:eastAsia="en-US"/>
        </w:rPr>
        <w:t>A</w:t>
      </w:r>
      <w:r w:rsidRPr="002D3A87">
        <w:rPr>
          <w:rFonts w:eastAsiaTheme="minorHAnsi"/>
          <w:sz w:val="16"/>
          <w:szCs w:val="12"/>
          <w:lang w:eastAsia="en-US"/>
        </w:rPr>
        <w:t>ppendix 2</w:t>
      </w:r>
    </w:p>
  </w:footnote>
  <w:footnote w:id="14">
    <w:p w:rsidR="00506B82" w:rsidRPr="007C10C5" w:rsidRDefault="00506B82" w:rsidP="009470CA">
      <w:pPr>
        <w:pStyle w:val="FootnoteText"/>
        <w:jc w:val="both"/>
        <w:rPr>
          <w:rFonts w:eastAsiaTheme="minorHAnsi"/>
          <w:sz w:val="16"/>
          <w:szCs w:val="12"/>
          <w:lang w:eastAsia="en-US"/>
        </w:rPr>
      </w:pPr>
      <w:r w:rsidRPr="0069769E">
        <w:rPr>
          <w:rStyle w:val="FootnoteReference"/>
          <w:szCs w:val="16"/>
        </w:rPr>
        <w:footnoteRef/>
      </w:r>
      <w:r>
        <w:rPr>
          <w:rFonts w:eastAsiaTheme="minorHAnsi"/>
          <w:sz w:val="16"/>
          <w:szCs w:val="12"/>
          <w:lang w:eastAsia="en-US"/>
        </w:rPr>
        <w:t xml:space="preserve"> See A</w:t>
      </w:r>
      <w:r w:rsidRPr="007C10C5">
        <w:rPr>
          <w:rFonts w:eastAsiaTheme="minorHAnsi"/>
          <w:sz w:val="16"/>
          <w:szCs w:val="12"/>
          <w:lang w:eastAsia="en-US"/>
        </w:rPr>
        <w:t xml:space="preserve">ppendix 1 </w:t>
      </w:r>
      <w:r>
        <w:rPr>
          <w:rFonts w:eastAsiaTheme="minorHAnsi"/>
          <w:sz w:val="16"/>
          <w:szCs w:val="12"/>
          <w:lang w:eastAsia="en-US"/>
        </w:rPr>
        <w:t xml:space="preserve">and section 3.4 </w:t>
      </w:r>
      <w:r w:rsidRPr="007C10C5">
        <w:rPr>
          <w:rFonts w:eastAsiaTheme="minorHAnsi"/>
          <w:sz w:val="16"/>
          <w:szCs w:val="12"/>
          <w:lang w:eastAsia="en-US"/>
        </w:rPr>
        <w:t xml:space="preserve">for detailed </w:t>
      </w:r>
      <w:r>
        <w:rPr>
          <w:rFonts w:eastAsiaTheme="minorHAnsi"/>
          <w:sz w:val="16"/>
          <w:szCs w:val="12"/>
          <w:lang w:eastAsia="en-US"/>
        </w:rPr>
        <w:t>elaboration.</w:t>
      </w:r>
    </w:p>
  </w:footnote>
  <w:footnote w:id="15">
    <w:p w:rsidR="00506B82" w:rsidRPr="003C2A5D" w:rsidRDefault="00506B82" w:rsidP="009470CA">
      <w:pPr>
        <w:pStyle w:val="FootnoteText"/>
        <w:spacing w:line="276" w:lineRule="auto"/>
        <w:jc w:val="both"/>
        <w:rPr>
          <w:sz w:val="16"/>
          <w:szCs w:val="16"/>
        </w:rPr>
      </w:pPr>
      <w:r w:rsidRPr="00254A98">
        <w:rPr>
          <w:rStyle w:val="FootnoteReference"/>
          <w:szCs w:val="16"/>
        </w:rPr>
        <w:footnoteRef/>
      </w:r>
      <w:r w:rsidRPr="00254A98">
        <w:rPr>
          <w:rStyle w:val="FootnoteReference"/>
        </w:rPr>
        <w:t xml:space="preserve">  </w:t>
      </w:r>
      <w:r w:rsidRPr="003C2A5D">
        <w:rPr>
          <w:rFonts w:eastAsiaTheme="minorHAnsi"/>
          <w:sz w:val="16"/>
          <w:szCs w:val="16"/>
          <w:lang w:eastAsia="en-US"/>
        </w:rPr>
        <w:t>Australian National Accounts: Tourism Satellite Account (cat. No. 5249.0)</w:t>
      </w:r>
    </w:p>
  </w:footnote>
  <w:footnote w:id="16">
    <w:p w:rsidR="00506B82" w:rsidRPr="003C2A5D" w:rsidRDefault="00506B82" w:rsidP="009470CA">
      <w:pPr>
        <w:pStyle w:val="FootnoteText"/>
        <w:spacing w:line="276" w:lineRule="auto"/>
        <w:jc w:val="both"/>
        <w:rPr>
          <w:rFonts w:eastAsiaTheme="minorHAnsi"/>
          <w:sz w:val="16"/>
          <w:szCs w:val="16"/>
          <w:lang w:eastAsia="en-US"/>
        </w:rPr>
      </w:pPr>
      <w:r w:rsidRPr="00254A98">
        <w:rPr>
          <w:rStyle w:val="FootnoteReference"/>
          <w:szCs w:val="16"/>
        </w:rPr>
        <w:footnoteRef/>
      </w:r>
      <w:r w:rsidRPr="00254A98">
        <w:rPr>
          <w:rStyle w:val="FootnoteReference"/>
        </w:rPr>
        <w:t xml:space="preserve"> </w:t>
      </w:r>
      <w:r w:rsidRPr="003C2A5D">
        <w:rPr>
          <w:rFonts w:eastAsiaTheme="minorHAnsi"/>
          <w:sz w:val="16"/>
          <w:szCs w:val="16"/>
          <w:lang w:eastAsia="en-US"/>
        </w:rPr>
        <w:t xml:space="preserve">The UNFCCC international bunkering memo item represents emissions incurred by outbound international transport regardless of the residency of the carrier. This is not strictly on the basis required by SEEA, but has been used here as a reasonable proxy for Australia. </w:t>
      </w:r>
    </w:p>
  </w:footnote>
  <w:footnote w:id="17">
    <w:p w:rsidR="00506B82" w:rsidRDefault="00506B82">
      <w:pPr>
        <w:pStyle w:val="FootnoteText"/>
      </w:pPr>
      <w:r>
        <w:rPr>
          <w:rStyle w:val="FootnoteReference"/>
        </w:rPr>
        <w:footnoteRef/>
      </w:r>
      <w:r>
        <w:t xml:space="preserve"> </w:t>
      </w:r>
      <w:r w:rsidRPr="00184B70">
        <w:rPr>
          <w:rFonts w:eastAsiaTheme="minorHAnsi"/>
          <w:sz w:val="16"/>
          <w:szCs w:val="12"/>
          <w:lang w:eastAsia="en-US"/>
        </w:rPr>
        <w:t xml:space="preserve">Only the </w:t>
      </w:r>
      <m:oMath>
        <m:sSub>
          <m:sSubPr>
            <m:ctrlPr>
              <w:rPr>
                <w:rFonts w:ascii="Cambria Math" w:eastAsiaTheme="minorHAnsi" w:hAnsi="Cambria Math"/>
                <w:sz w:val="16"/>
                <w:szCs w:val="12"/>
                <w:lang w:eastAsia="en-US"/>
              </w:rPr>
            </m:ctrlPr>
          </m:sSubPr>
          <m:e>
            <m:r>
              <m:rPr>
                <m:sty m:val="p"/>
              </m:rPr>
              <w:rPr>
                <w:rFonts w:ascii="Cambria Math" w:eastAsiaTheme="minorHAnsi" w:hAnsi="Cambria Math"/>
                <w:sz w:val="16"/>
                <w:szCs w:val="12"/>
                <w:lang w:eastAsia="en-US"/>
              </w:rPr>
              <m:t>CO</m:t>
            </m:r>
          </m:e>
          <m:sub>
            <m:r>
              <m:rPr>
                <m:sty m:val="p"/>
              </m:rPr>
              <w:rPr>
                <w:rFonts w:ascii="Cambria Math" w:eastAsiaTheme="minorHAnsi" w:hAnsi="Cambria Math"/>
                <w:sz w:val="16"/>
                <w:szCs w:val="12"/>
                <w:lang w:eastAsia="en-US"/>
              </w:rPr>
              <m:t>2</m:t>
            </m:r>
          </m:sub>
        </m:sSub>
      </m:oMath>
      <w:r w:rsidRPr="00184B70">
        <w:rPr>
          <w:rFonts w:eastAsiaTheme="minorHAnsi"/>
          <w:sz w:val="16"/>
          <w:szCs w:val="12"/>
          <w:lang w:eastAsia="en-US"/>
        </w:rPr>
        <w:t xml:space="preserve"> as opposed to the </w:t>
      </w:r>
      <m:oMath>
        <m:sSub>
          <m:sSubPr>
            <m:ctrlPr>
              <w:rPr>
                <w:rFonts w:ascii="Cambria Math" w:eastAsiaTheme="minorHAnsi" w:hAnsi="Cambria Math"/>
                <w:sz w:val="16"/>
                <w:szCs w:val="12"/>
                <w:lang w:eastAsia="en-US"/>
              </w:rPr>
            </m:ctrlPr>
          </m:sSubPr>
          <m:e>
            <m:r>
              <m:rPr>
                <m:sty m:val="p"/>
              </m:rPr>
              <w:rPr>
                <w:rFonts w:ascii="Cambria Math" w:eastAsiaTheme="minorHAnsi" w:hAnsi="Cambria Math"/>
                <w:sz w:val="16"/>
                <w:szCs w:val="12"/>
                <w:lang w:eastAsia="en-US"/>
              </w:rPr>
              <m:t>CO</m:t>
            </m:r>
          </m:e>
          <m:sub>
            <m:r>
              <m:rPr>
                <m:sty m:val="p"/>
              </m:rPr>
              <w:rPr>
                <w:rFonts w:ascii="Cambria Math" w:eastAsiaTheme="minorHAnsi" w:hAnsi="Cambria Math"/>
                <w:sz w:val="16"/>
                <w:szCs w:val="12"/>
                <w:lang w:eastAsia="en-US"/>
              </w:rPr>
              <m:t>2</m:t>
            </m:r>
          </m:sub>
        </m:sSub>
      </m:oMath>
      <w:r w:rsidRPr="00184B70">
        <w:rPr>
          <w:rFonts w:eastAsiaTheme="minorHAnsi"/>
          <w:sz w:val="16"/>
          <w:szCs w:val="12"/>
          <w:lang w:eastAsia="en-US"/>
        </w:rPr>
        <w:t xml:space="preserve">-e from Biomass burning is excluded from Kyoto. Therefore only </w:t>
      </w:r>
      <w:proofErr w:type="gramStart"/>
      <w:r w:rsidRPr="00184B70">
        <w:rPr>
          <w:rFonts w:eastAsiaTheme="minorHAnsi"/>
          <w:sz w:val="16"/>
          <w:szCs w:val="12"/>
          <w:lang w:eastAsia="en-US"/>
        </w:rPr>
        <w:t xml:space="preserve">the </w:t>
      </w:r>
      <m:oMath>
        <m:sSub>
          <m:sSubPr>
            <m:ctrlPr>
              <w:rPr>
                <w:rFonts w:ascii="Cambria Math" w:eastAsiaTheme="minorHAnsi" w:hAnsi="Cambria Math"/>
                <w:sz w:val="16"/>
                <w:szCs w:val="12"/>
                <w:lang w:eastAsia="en-US"/>
              </w:rPr>
            </m:ctrlPr>
          </m:sSubPr>
          <m:e>
            <m:r>
              <m:rPr>
                <m:sty m:val="p"/>
              </m:rPr>
              <w:rPr>
                <w:rFonts w:ascii="Cambria Math" w:eastAsiaTheme="minorHAnsi" w:hAnsi="Cambria Math"/>
                <w:sz w:val="16"/>
                <w:szCs w:val="12"/>
                <w:lang w:eastAsia="en-US"/>
              </w:rPr>
              <m:t>CO</m:t>
            </m:r>
          </m:e>
          <m:sub>
            <m:r>
              <m:rPr>
                <m:sty m:val="p"/>
              </m:rPr>
              <w:rPr>
                <w:rFonts w:ascii="Cambria Math" w:eastAsiaTheme="minorHAnsi" w:hAnsi="Cambria Math"/>
                <w:sz w:val="16"/>
                <w:szCs w:val="12"/>
                <w:lang w:eastAsia="en-US"/>
              </w:rPr>
              <m:t>2</m:t>
            </m:r>
          </m:sub>
        </m:sSub>
      </m:oMath>
      <w:r w:rsidRPr="00184B70">
        <w:rPr>
          <w:rFonts w:eastAsiaTheme="minorHAnsi"/>
          <w:sz w:val="16"/>
          <w:szCs w:val="12"/>
          <w:lang w:eastAsia="en-US"/>
        </w:rPr>
        <w:t xml:space="preserve"> is</w:t>
      </w:r>
      <w:proofErr w:type="gramEnd"/>
      <w:r w:rsidRPr="00184B70">
        <w:rPr>
          <w:rFonts w:eastAsiaTheme="minorHAnsi"/>
          <w:sz w:val="16"/>
          <w:szCs w:val="12"/>
          <w:lang w:eastAsia="en-US"/>
        </w:rPr>
        <w:t xml:space="preserve"> added.</w:t>
      </w:r>
    </w:p>
  </w:footnote>
  <w:footnote w:id="18">
    <w:p w:rsidR="00506B82" w:rsidRPr="003C2A5D" w:rsidRDefault="00506B82" w:rsidP="009470CA">
      <w:pPr>
        <w:autoSpaceDE w:val="0"/>
        <w:autoSpaceDN w:val="0"/>
        <w:adjustRightInd w:val="0"/>
        <w:spacing w:line="276" w:lineRule="auto"/>
        <w:jc w:val="both"/>
        <w:rPr>
          <w:rFonts w:ascii="GaramondITCbyBT-Light" w:eastAsiaTheme="minorHAnsi" w:hAnsi="GaramondITCbyBT-Light" w:cs="GaramondITCbyBT-Light"/>
          <w:sz w:val="16"/>
          <w:szCs w:val="16"/>
          <w:lang w:eastAsia="en-US"/>
        </w:rPr>
      </w:pPr>
      <w:r w:rsidRPr="00254A98">
        <w:rPr>
          <w:rStyle w:val="FootnoteReference"/>
          <w:sz w:val="20"/>
          <w:szCs w:val="16"/>
        </w:rPr>
        <w:footnoteRef/>
      </w:r>
      <w:r w:rsidRPr="00254A98">
        <w:rPr>
          <w:rStyle w:val="FootnoteReference"/>
          <w:sz w:val="20"/>
        </w:rPr>
        <w:t xml:space="preserve"> </w:t>
      </w:r>
      <w:r w:rsidRPr="003C2A5D">
        <w:rPr>
          <w:rFonts w:eastAsiaTheme="minorHAnsi"/>
          <w:sz w:val="16"/>
          <w:szCs w:val="16"/>
          <w:lang w:eastAsia="en-US"/>
        </w:rPr>
        <w:t>The Energy, Water and Environment Management survey (ABS cat. no. 4660.0) data is used to reallocate electricity emissions data, to align with SEEA-E industry principle.</w:t>
      </w:r>
    </w:p>
  </w:footnote>
  <w:footnote w:id="19">
    <w:p w:rsidR="00506B82" w:rsidRDefault="00506B82">
      <w:pPr>
        <w:pStyle w:val="FootnoteText"/>
      </w:pPr>
      <w:r>
        <w:rPr>
          <w:rStyle w:val="FootnoteReference"/>
        </w:rPr>
        <w:footnoteRef/>
      </w:r>
      <w:r>
        <w:t xml:space="preserve"> </w:t>
      </w:r>
      <w:r w:rsidRPr="002937ED">
        <w:rPr>
          <w:rFonts w:eastAsiaTheme="minorHAnsi"/>
          <w:sz w:val="16"/>
          <w:szCs w:val="12"/>
          <w:lang w:eastAsia="en-US"/>
        </w:rPr>
        <w:t xml:space="preserve">Aggregation error in input-output analysis is well-documented. The </w:t>
      </w:r>
      <w:r w:rsidRPr="002937ED">
        <w:rPr>
          <w:rFonts w:eastAsiaTheme="minorHAnsi" w:hint="eastAsia"/>
          <w:sz w:val="16"/>
          <w:szCs w:val="12"/>
          <w:lang w:eastAsia="en-US"/>
        </w:rPr>
        <w:t xml:space="preserve">environmentally extended input-output analysis further complicate the matters </w:t>
      </w:r>
      <w:r w:rsidRPr="002937ED">
        <w:rPr>
          <w:rFonts w:eastAsiaTheme="minorHAnsi"/>
          <w:sz w:val="16"/>
          <w:szCs w:val="12"/>
          <w:lang w:eastAsia="en-US"/>
        </w:rPr>
        <w:t>due to the</w:t>
      </w:r>
      <w:r w:rsidRPr="002937ED">
        <w:rPr>
          <w:rFonts w:eastAsiaTheme="minorHAnsi" w:hint="eastAsia"/>
          <w:sz w:val="16"/>
          <w:szCs w:val="12"/>
          <w:lang w:eastAsia="en-US"/>
        </w:rPr>
        <w:t xml:space="preserve"> nature of heterogeneous sectors</w:t>
      </w:r>
      <w:r w:rsidRPr="002937ED">
        <w:rPr>
          <w:rFonts w:eastAsiaTheme="minorHAnsi"/>
          <w:sz w:val="16"/>
          <w:szCs w:val="12"/>
          <w:lang w:eastAsia="en-US"/>
        </w:rPr>
        <w:t xml:space="preserve"> with disparate environmental impacts such as electricity generation and electricity transmission which are normally combined as one industry.</w:t>
      </w:r>
    </w:p>
  </w:footnote>
  <w:footnote w:id="20">
    <w:p w:rsidR="00506B82" w:rsidRDefault="00506B82">
      <w:pPr>
        <w:pStyle w:val="FootnoteText"/>
      </w:pPr>
      <w:r>
        <w:rPr>
          <w:rStyle w:val="FootnoteReference"/>
        </w:rPr>
        <w:footnoteRef/>
      </w:r>
      <w:r>
        <w:t xml:space="preserve"> </w:t>
      </w:r>
      <w:r w:rsidRPr="000E0B61">
        <w:rPr>
          <w:rFonts w:eastAsiaTheme="minorHAnsi"/>
          <w:sz w:val="16"/>
          <w:szCs w:val="12"/>
          <w:lang w:eastAsia="en-US"/>
        </w:rPr>
        <w:t>See Appendix 3</w:t>
      </w:r>
    </w:p>
  </w:footnote>
  <w:footnote w:id="21">
    <w:p w:rsidR="00506B82" w:rsidRPr="002D3A87" w:rsidRDefault="00506B82" w:rsidP="009470CA">
      <w:pPr>
        <w:pStyle w:val="FootnoteText"/>
        <w:jc w:val="both"/>
        <w:rPr>
          <w:sz w:val="16"/>
          <w:szCs w:val="12"/>
        </w:rPr>
      </w:pPr>
      <w:r w:rsidRPr="002D3A87">
        <w:rPr>
          <w:rFonts w:eastAsiaTheme="minorHAnsi"/>
          <w:vertAlign w:val="superscript"/>
          <w:lang w:eastAsia="en-US"/>
        </w:rPr>
        <w:footnoteRef/>
      </w:r>
      <w:r>
        <w:rPr>
          <w:rFonts w:eastAsiaTheme="minorHAnsi"/>
          <w:lang w:eastAsia="en-US"/>
        </w:rPr>
        <w:t xml:space="preserve"> </w:t>
      </w:r>
      <w:r w:rsidRPr="002D3A87">
        <w:rPr>
          <w:rFonts w:eastAsiaTheme="minorHAnsi"/>
          <w:sz w:val="16"/>
          <w:szCs w:val="12"/>
          <w:lang w:eastAsia="en-US"/>
        </w:rPr>
        <w:t>http://ageis.climatechange.gov.au/NGGI.aspx#</w:t>
      </w:r>
    </w:p>
  </w:footnote>
  <w:footnote w:id="22">
    <w:p w:rsidR="00506B82" w:rsidRPr="00C413AC" w:rsidRDefault="00506B82" w:rsidP="009470CA">
      <w:pPr>
        <w:pStyle w:val="FootnoteText"/>
        <w:jc w:val="both"/>
        <w:rPr>
          <w:rFonts w:eastAsiaTheme="minorHAnsi"/>
          <w:sz w:val="16"/>
          <w:szCs w:val="16"/>
          <w:lang w:eastAsia="en-US"/>
        </w:rPr>
      </w:pPr>
      <w:r w:rsidRPr="002D3A87">
        <w:rPr>
          <w:rFonts w:eastAsiaTheme="minorHAnsi"/>
          <w:vertAlign w:val="superscript"/>
          <w:lang w:eastAsia="en-US"/>
        </w:rPr>
        <w:footnoteRef/>
      </w:r>
      <w:r w:rsidRPr="002D3A87">
        <w:rPr>
          <w:rFonts w:eastAsiaTheme="minorHAnsi"/>
          <w:szCs w:val="12"/>
          <w:lang w:eastAsia="en-US"/>
        </w:rPr>
        <w:t xml:space="preserve"> </w:t>
      </w:r>
      <w:r w:rsidRPr="00ED1334">
        <w:rPr>
          <w:rFonts w:eastAsiaTheme="minorHAnsi"/>
          <w:sz w:val="16"/>
          <w:szCs w:val="12"/>
          <w:lang w:eastAsia="en-US"/>
        </w:rPr>
        <w:t>The actual emission figures from the IPCC emission categories are only used for agriculture</w:t>
      </w:r>
      <w:r w:rsidRPr="00ED1334">
        <w:rPr>
          <w:rFonts w:eastAsiaTheme="minorHAnsi"/>
          <w:sz w:val="16"/>
          <w:szCs w:val="12"/>
        </w:rPr>
        <w:t xml:space="preserve"> </w:t>
      </w:r>
      <w:r w:rsidRPr="00ED1334">
        <w:rPr>
          <w:rFonts w:eastAsiaTheme="minorHAnsi"/>
          <w:sz w:val="16"/>
          <w:szCs w:val="12"/>
          <w:lang w:eastAsia="en-US"/>
        </w:rPr>
        <w:t xml:space="preserve">and the Cement, Lime, Plaster and Concrete Product Manufacturing industries where the detailed actual data makes up the majority of the emission data by economic sectors. For instance, </w:t>
      </w:r>
      <w:r>
        <w:rPr>
          <w:rFonts w:eastAsiaTheme="minorHAnsi"/>
          <w:sz w:val="16"/>
          <w:szCs w:val="12"/>
          <w:lang w:eastAsia="en-US"/>
        </w:rPr>
        <w:t>t</w:t>
      </w:r>
      <w:r w:rsidRPr="00ED1334">
        <w:rPr>
          <w:rFonts w:eastAsiaTheme="minorHAnsi"/>
          <w:sz w:val="16"/>
          <w:szCs w:val="12"/>
          <w:lang w:eastAsia="en-US"/>
        </w:rPr>
        <w:t>he total allocated emission figure make up more than 90% of the total emission</w:t>
      </w:r>
      <w:r>
        <w:rPr>
          <w:rFonts w:eastAsiaTheme="minorHAnsi"/>
          <w:sz w:val="16"/>
          <w:szCs w:val="12"/>
          <w:lang w:eastAsia="en-US"/>
        </w:rPr>
        <w:t>s</w:t>
      </w:r>
      <w:r w:rsidRPr="00ED1334">
        <w:rPr>
          <w:rFonts w:eastAsiaTheme="minorHAnsi"/>
          <w:sz w:val="16"/>
          <w:szCs w:val="12"/>
          <w:lang w:eastAsia="en-US"/>
        </w:rPr>
        <w:t xml:space="preserve"> from agriculture emission.</w:t>
      </w:r>
    </w:p>
  </w:footnote>
  <w:footnote w:id="23">
    <w:p w:rsidR="00506B82" w:rsidRPr="00C413AC" w:rsidRDefault="00506B82" w:rsidP="009470CA">
      <w:pPr>
        <w:pStyle w:val="FootnoteText"/>
        <w:jc w:val="both"/>
        <w:rPr>
          <w:sz w:val="16"/>
          <w:szCs w:val="16"/>
        </w:rPr>
      </w:pPr>
      <w:r w:rsidRPr="00C413AC">
        <w:rPr>
          <w:rStyle w:val="FootnoteReference"/>
          <w:szCs w:val="16"/>
        </w:rPr>
        <w:footnoteRef/>
      </w:r>
      <w:r w:rsidRPr="00C413AC">
        <w:rPr>
          <w:szCs w:val="16"/>
        </w:rPr>
        <w:t xml:space="preserve"> </w:t>
      </w:r>
      <w:r w:rsidRPr="00C413AC">
        <w:rPr>
          <w:rFonts w:eastAsiaTheme="minorHAnsi"/>
          <w:sz w:val="16"/>
          <w:szCs w:val="16"/>
          <w:lang w:eastAsia="en-US"/>
        </w:rPr>
        <w:t xml:space="preserve">See appendix </w:t>
      </w:r>
      <w:r>
        <w:rPr>
          <w:rFonts w:eastAsiaTheme="minorHAnsi"/>
          <w:sz w:val="16"/>
          <w:szCs w:val="16"/>
          <w:lang w:eastAsia="en-US"/>
        </w:rPr>
        <w:t>4</w:t>
      </w:r>
    </w:p>
  </w:footnote>
  <w:footnote w:id="24">
    <w:p w:rsidR="00506B82" w:rsidRPr="00F11B86" w:rsidRDefault="00506B82" w:rsidP="009470CA">
      <w:pPr>
        <w:pStyle w:val="FootnoteText"/>
        <w:jc w:val="both"/>
        <w:rPr>
          <w:rFonts w:eastAsiaTheme="minorHAnsi"/>
          <w:sz w:val="16"/>
          <w:szCs w:val="16"/>
          <w:lang w:eastAsia="en-US"/>
        </w:rPr>
      </w:pPr>
      <w:r w:rsidRPr="00F11B86">
        <w:rPr>
          <w:rStyle w:val="FootnoteReference"/>
          <w:szCs w:val="16"/>
        </w:rPr>
        <w:footnoteRef/>
      </w:r>
      <w:r>
        <w:t xml:space="preserve"> </w:t>
      </w:r>
      <w:r w:rsidRPr="00F11B86">
        <w:rPr>
          <w:rFonts w:eastAsiaTheme="minorHAnsi"/>
          <w:sz w:val="16"/>
          <w:szCs w:val="16"/>
          <w:lang w:eastAsia="en-US"/>
        </w:rPr>
        <w:t>The domestic output as opposed to the total supply including</w:t>
      </w:r>
      <w:r>
        <w:rPr>
          <w:rFonts w:eastAsiaTheme="minorHAnsi"/>
          <w:sz w:val="16"/>
          <w:szCs w:val="16"/>
          <w:lang w:eastAsia="en-US"/>
        </w:rPr>
        <w:t xml:space="preserve"> competing</w:t>
      </w:r>
      <w:r w:rsidRPr="00F11B86">
        <w:rPr>
          <w:rFonts w:eastAsiaTheme="minorHAnsi"/>
          <w:sz w:val="16"/>
          <w:szCs w:val="16"/>
          <w:lang w:eastAsia="en-US"/>
        </w:rPr>
        <w:t xml:space="preserve"> imports </w:t>
      </w:r>
      <w:r>
        <w:rPr>
          <w:rFonts w:eastAsiaTheme="minorHAnsi"/>
          <w:sz w:val="16"/>
          <w:szCs w:val="16"/>
          <w:lang w:eastAsia="en-US"/>
        </w:rPr>
        <w:t xml:space="preserve">as outputs </w:t>
      </w:r>
      <w:r w:rsidRPr="00F11B86">
        <w:rPr>
          <w:rFonts w:eastAsiaTheme="minorHAnsi"/>
          <w:sz w:val="16"/>
          <w:szCs w:val="16"/>
          <w:lang w:eastAsia="en-US"/>
        </w:rPr>
        <w:t>is selected as one of the dissection factor since it is the domestic emissions that need to be dissected.</w:t>
      </w:r>
      <w:r>
        <w:rPr>
          <w:rFonts w:eastAsiaTheme="minorHAnsi"/>
          <w:sz w:val="16"/>
          <w:szCs w:val="16"/>
          <w:lang w:eastAsia="en-US"/>
        </w:rPr>
        <w:t xml:space="preserve"> Conversely the </w:t>
      </w:r>
      <w:r w:rsidRPr="009470CA">
        <w:rPr>
          <w:rFonts w:eastAsiaTheme="minorHAnsi"/>
          <w:sz w:val="16"/>
          <w:szCs w:val="16"/>
          <w:lang w:eastAsia="en-US"/>
        </w:rPr>
        <w:t xml:space="preserve">direct energy consumption weighting is taken from the table 9 which incorporate imports through indirect allocation since both imported energy and domestic energy </w:t>
      </w:r>
      <w:r>
        <w:rPr>
          <w:rFonts w:eastAsiaTheme="minorHAnsi"/>
          <w:sz w:val="16"/>
          <w:szCs w:val="16"/>
          <w:lang w:eastAsia="en-US"/>
        </w:rPr>
        <w:t xml:space="preserve">as intermediate inputs </w:t>
      </w:r>
      <w:r w:rsidRPr="009470CA">
        <w:rPr>
          <w:rFonts w:eastAsiaTheme="minorHAnsi"/>
          <w:sz w:val="16"/>
          <w:szCs w:val="16"/>
          <w:lang w:eastAsia="en-US"/>
        </w:rPr>
        <w:t>contribute to the domestic emissions.</w:t>
      </w:r>
    </w:p>
  </w:footnote>
  <w:footnote w:id="25">
    <w:p w:rsidR="00506B82" w:rsidRDefault="00506B82" w:rsidP="009470CA">
      <w:pPr>
        <w:pStyle w:val="FootnoteText"/>
        <w:jc w:val="both"/>
      </w:pPr>
      <w:r>
        <w:rPr>
          <w:rStyle w:val="FootnoteReference"/>
        </w:rPr>
        <w:footnoteRef/>
      </w:r>
      <w:r>
        <w:t xml:space="preserve"> </w:t>
      </w:r>
      <w:r w:rsidRPr="009470CA">
        <w:rPr>
          <w:rFonts w:eastAsiaTheme="minorHAnsi"/>
          <w:sz w:val="16"/>
          <w:szCs w:val="16"/>
          <w:lang w:eastAsia="en-US"/>
        </w:rPr>
        <w:t>The values in a particular column of this table represent the direct requirements of supply from the industry represented by the row, when the Australian output of the industry represented by the column increases by $100. It describes the allocation of goods and services, inclusive of imports, but excluding re-exports. Imports are indirectly allocated and are included in the intermediate use of industries and in final use categories without distinguishing the imports from the products with which they compete allowing the intermediate use matrix to fully reflect the input structures of industries.</w:t>
      </w:r>
    </w:p>
  </w:footnote>
  <w:footnote w:id="26">
    <w:p w:rsidR="00506B82" w:rsidRPr="00C413AC" w:rsidRDefault="00506B82" w:rsidP="009470CA">
      <w:pPr>
        <w:pStyle w:val="FootnoteText"/>
        <w:jc w:val="both"/>
        <w:rPr>
          <w:rFonts w:eastAsiaTheme="minorHAnsi"/>
          <w:sz w:val="16"/>
          <w:szCs w:val="16"/>
          <w:lang w:eastAsia="en-US"/>
        </w:rPr>
      </w:pPr>
      <w:r w:rsidRPr="00C413AC">
        <w:rPr>
          <w:rStyle w:val="FootnoteReference"/>
          <w:szCs w:val="16"/>
        </w:rPr>
        <w:footnoteRef/>
      </w:r>
      <w:r w:rsidRPr="00C413AC">
        <w:rPr>
          <w:szCs w:val="16"/>
          <w:vertAlign w:val="superscript"/>
        </w:rPr>
        <w:t xml:space="preserve"> </w:t>
      </w:r>
      <w:r>
        <w:rPr>
          <w:rFonts w:eastAsiaTheme="minorHAnsi"/>
          <w:sz w:val="16"/>
          <w:szCs w:val="16"/>
          <w:lang w:eastAsia="en-US"/>
        </w:rPr>
        <w:t>0601 Coal mining; 0701 Oil gas extraction; 1701 P</w:t>
      </w:r>
      <w:r w:rsidRPr="00C413AC">
        <w:rPr>
          <w:rFonts w:eastAsiaTheme="minorHAnsi"/>
          <w:sz w:val="16"/>
          <w:szCs w:val="16"/>
          <w:lang w:eastAsia="en-US"/>
        </w:rPr>
        <w:t>etroleu</w:t>
      </w:r>
      <w:r>
        <w:rPr>
          <w:rFonts w:eastAsiaTheme="minorHAnsi"/>
          <w:sz w:val="16"/>
          <w:szCs w:val="16"/>
          <w:lang w:eastAsia="en-US"/>
        </w:rPr>
        <w:t>m and coal production and 2701 G</w:t>
      </w:r>
      <w:r w:rsidRPr="00C413AC">
        <w:rPr>
          <w:rFonts w:eastAsiaTheme="minorHAnsi"/>
          <w:sz w:val="16"/>
          <w:szCs w:val="16"/>
          <w:lang w:eastAsia="en-US"/>
        </w:rPr>
        <w:t xml:space="preserve">as supply </w:t>
      </w:r>
    </w:p>
    <w:p w:rsidR="00506B82" w:rsidRPr="00C413AC" w:rsidRDefault="00506B82" w:rsidP="009470CA">
      <w:pPr>
        <w:pStyle w:val="FootnoteText"/>
        <w:jc w:val="both"/>
        <w:rPr>
          <w:rFonts w:eastAsiaTheme="minorHAnsi"/>
          <w:sz w:val="16"/>
          <w:szCs w:val="16"/>
          <w:lang w:eastAsia="en-US"/>
        </w:rPr>
      </w:pPr>
      <w:r w:rsidRPr="00C413AC">
        <w:rPr>
          <w:rFonts w:eastAsiaTheme="minorHAnsi"/>
          <w:sz w:val="16"/>
          <w:szCs w:val="16"/>
          <w:lang w:eastAsia="en-US"/>
        </w:rPr>
        <w:t>Electricity is not considered for the dissection of direct emissions purpose as no emissions take place when electricity is consumed. This also avoids double counting of the emissions</w:t>
      </w:r>
      <w:r>
        <w:rPr>
          <w:rFonts w:eastAsiaTheme="minorHAnsi"/>
          <w:sz w:val="16"/>
          <w:szCs w:val="16"/>
          <w:lang w:eastAsia="en-US"/>
        </w:rPr>
        <w:t xml:space="preserve"> intensity ratio</w:t>
      </w:r>
      <w:r w:rsidRPr="00C413AC">
        <w:rPr>
          <w:rFonts w:eastAsiaTheme="minorHAnsi"/>
          <w:sz w:val="16"/>
          <w:szCs w:val="16"/>
          <w:lang w:eastAsia="en-US"/>
        </w:rPr>
        <w:t>.</w:t>
      </w:r>
    </w:p>
  </w:footnote>
  <w:footnote w:id="27">
    <w:p w:rsidR="00506B82" w:rsidRPr="00C413AC" w:rsidRDefault="00506B82" w:rsidP="009470CA">
      <w:pPr>
        <w:pStyle w:val="FootnoteText"/>
        <w:jc w:val="both"/>
        <w:rPr>
          <w:rFonts w:eastAsiaTheme="minorHAnsi"/>
          <w:sz w:val="16"/>
          <w:szCs w:val="16"/>
          <w:lang w:eastAsia="en-US"/>
        </w:rPr>
      </w:pPr>
      <w:r w:rsidRPr="00C413AC">
        <w:rPr>
          <w:rStyle w:val="FootnoteReference"/>
          <w:szCs w:val="16"/>
        </w:rPr>
        <w:footnoteRef/>
      </w:r>
      <w:r w:rsidRPr="00C413AC">
        <w:rPr>
          <w:szCs w:val="16"/>
          <w:vertAlign w:val="superscript"/>
        </w:rPr>
        <w:t xml:space="preserve"> </w:t>
      </w:r>
      <w:r w:rsidRPr="00C413AC">
        <w:rPr>
          <w:rFonts w:eastAsiaTheme="minorHAnsi"/>
          <w:sz w:val="16"/>
          <w:szCs w:val="16"/>
          <w:lang w:eastAsia="en-US"/>
        </w:rPr>
        <w:t>The National Greenhouse Accounts (NGA) Factors ha</w:t>
      </w:r>
      <w:r>
        <w:rPr>
          <w:rFonts w:eastAsiaTheme="minorHAnsi"/>
          <w:sz w:val="16"/>
          <w:szCs w:val="16"/>
          <w:lang w:eastAsia="en-US"/>
        </w:rPr>
        <w:t xml:space="preserve">ve </w:t>
      </w:r>
      <w:r w:rsidRPr="00C413AC">
        <w:rPr>
          <w:rFonts w:eastAsiaTheme="minorHAnsi"/>
          <w:sz w:val="16"/>
          <w:szCs w:val="16"/>
          <w:lang w:eastAsia="en-US"/>
        </w:rPr>
        <w:t>been prepared by the Department of Climate Change and Energy Effic</w:t>
      </w:r>
      <w:r>
        <w:rPr>
          <w:rFonts w:eastAsiaTheme="minorHAnsi"/>
          <w:sz w:val="16"/>
          <w:szCs w:val="16"/>
          <w:lang w:eastAsia="en-US"/>
        </w:rPr>
        <w:t>iency and are</w:t>
      </w:r>
      <w:r w:rsidRPr="00C413AC">
        <w:rPr>
          <w:rFonts w:eastAsiaTheme="minorHAnsi"/>
          <w:sz w:val="16"/>
          <w:szCs w:val="16"/>
          <w:lang w:eastAsia="en-US"/>
        </w:rPr>
        <w:t xml:space="preserve"> designed for use by companies and individuals to estimate greenhouse gas emissions. The NGA Factors</w:t>
      </w:r>
      <w:r>
        <w:rPr>
          <w:rFonts w:eastAsiaTheme="minorHAnsi"/>
          <w:sz w:val="16"/>
          <w:szCs w:val="16"/>
          <w:lang w:eastAsia="en-US"/>
        </w:rPr>
        <w:t xml:space="preserve"> are</w:t>
      </w:r>
      <w:r w:rsidRPr="00C413AC">
        <w:rPr>
          <w:rFonts w:eastAsiaTheme="minorHAnsi"/>
          <w:sz w:val="16"/>
          <w:szCs w:val="16"/>
          <w:lang w:eastAsia="en-US"/>
        </w:rPr>
        <w:t xml:space="preserve"> not published for the purposes of reporting under the National Greenhouse and Energy Reporting Act 2007 (the NGER Act). While drawing on the National Greenhouse and Energy Reporting (Measurement) Determination 2008, the methods described in the NGA Factors have a general application to the estimation of a broader range of greenhouse emissions inventories.</w:t>
      </w:r>
    </w:p>
  </w:footnote>
  <w:footnote w:id="28">
    <w:p w:rsidR="00506B82" w:rsidRPr="00706173" w:rsidRDefault="00506B82" w:rsidP="009470CA">
      <w:pPr>
        <w:pStyle w:val="FootnoteText"/>
        <w:jc w:val="both"/>
        <w:rPr>
          <w:sz w:val="16"/>
          <w:szCs w:val="16"/>
        </w:rPr>
      </w:pPr>
      <w:r w:rsidRPr="00706173">
        <w:rPr>
          <w:rStyle w:val="FootnoteReference"/>
          <w:sz w:val="16"/>
          <w:szCs w:val="16"/>
        </w:rPr>
        <w:footnoteRef/>
      </w:r>
      <w:r w:rsidRPr="00706173">
        <w:rPr>
          <w:sz w:val="16"/>
          <w:szCs w:val="16"/>
        </w:rPr>
        <w:t xml:space="preserve"> In the updated Australian IO framework the final demand category is termed as final use category. For the benefits of the non IO readers, this study use both terms interchangeably</w:t>
      </w:r>
    </w:p>
  </w:footnote>
  <w:footnote w:id="29">
    <w:p w:rsidR="00506B82" w:rsidRDefault="00506B82" w:rsidP="009470CA">
      <w:pPr>
        <w:pStyle w:val="FootnoteText"/>
        <w:jc w:val="both"/>
      </w:pPr>
      <w:r w:rsidRPr="00697BBC">
        <w:rPr>
          <w:rStyle w:val="FootnoteReference"/>
          <w:sz w:val="18"/>
        </w:rPr>
        <w:footnoteRef/>
      </w:r>
      <w:r>
        <w:t xml:space="preserve"> </w:t>
      </w:r>
      <w:r w:rsidRPr="00697BBC">
        <w:rPr>
          <w:sz w:val="16"/>
          <w:szCs w:val="16"/>
        </w:rPr>
        <w:t>That is the vector is transformed</w:t>
      </w:r>
      <w:r>
        <w:rPr>
          <w:sz w:val="16"/>
          <w:szCs w:val="16"/>
        </w:rPr>
        <w:t xml:space="preserve"> </w:t>
      </w:r>
      <w:r w:rsidRPr="00697BBC">
        <w:rPr>
          <w:sz w:val="16"/>
          <w:szCs w:val="16"/>
        </w:rPr>
        <w:t>into a square matrix with the value of the vector on the diagonal</w:t>
      </w:r>
      <w:r>
        <w:rPr>
          <w:sz w:val="16"/>
          <w:szCs w:val="16"/>
        </w:rPr>
        <w:t>.</w:t>
      </w:r>
    </w:p>
  </w:footnote>
  <w:footnote w:id="30">
    <w:p w:rsidR="00506B82" w:rsidRPr="00706173" w:rsidRDefault="00506B82" w:rsidP="009470CA">
      <w:pPr>
        <w:pStyle w:val="FootnoteText"/>
        <w:jc w:val="both"/>
        <w:rPr>
          <w:sz w:val="16"/>
          <w:szCs w:val="16"/>
        </w:rPr>
      </w:pPr>
      <w:r w:rsidRPr="00706173">
        <w:rPr>
          <w:rStyle w:val="FootnoteReference"/>
          <w:sz w:val="16"/>
          <w:szCs w:val="16"/>
        </w:rPr>
        <w:footnoteRef/>
      </w:r>
      <w:r w:rsidRPr="00706173">
        <w:rPr>
          <w:sz w:val="16"/>
          <w:szCs w:val="16"/>
        </w:rPr>
        <w:t xml:space="preserve"> </w:t>
      </w:r>
      <w:r>
        <w:rPr>
          <w:sz w:val="16"/>
          <w:szCs w:val="16"/>
        </w:rPr>
        <w:t xml:space="preserve"> </w:t>
      </w:r>
      <w:r w:rsidRPr="00706173">
        <w:rPr>
          <w:sz w:val="16"/>
          <w:szCs w:val="16"/>
        </w:rPr>
        <w:t>M is taken from Table 8.</w:t>
      </w:r>
    </w:p>
  </w:footnote>
  <w:footnote w:id="31">
    <w:p w:rsidR="00506B82" w:rsidRDefault="00506B82" w:rsidP="00317F88">
      <w:pPr>
        <w:pStyle w:val="FootnoteText"/>
      </w:pPr>
      <w:r>
        <w:rPr>
          <w:rStyle w:val="FootnoteReference"/>
        </w:rPr>
        <w:footnoteRef/>
      </w:r>
      <w:r>
        <w:t xml:space="preserve"> </w:t>
      </w:r>
      <w:r w:rsidRPr="00E175E7">
        <w:rPr>
          <w:sz w:val="16"/>
          <w:szCs w:val="16"/>
        </w:rPr>
        <w:t>The cumulative emissions take into account of the embodied emissions from the imports via the indirect allocation of the imports in the model.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13F8"/>
    <w:multiLevelType w:val="multilevel"/>
    <w:tmpl w:val="CA98B29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5A4CA9"/>
    <w:multiLevelType w:val="multilevel"/>
    <w:tmpl w:val="AF025410"/>
    <w:lvl w:ilvl="0">
      <w:start w:val="1"/>
      <w:numFmt w:val="decimal"/>
      <w:lvlText w:val="%1."/>
      <w:lvlJc w:val="left"/>
      <w:pPr>
        <w:tabs>
          <w:tab w:val="num" w:pos="360"/>
        </w:tabs>
        <w:ind w:left="0" w:firstLine="0"/>
      </w:pPr>
      <w:rPr>
        <w:rFonts w:cs="Times New Roman" w:hint="default"/>
        <w:i w:val="0"/>
      </w:rPr>
    </w:lvl>
    <w:lvl w:ilvl="1">
      <w:start w:val="1"/>
      <w:numFmt w:val="decimal"/>
      <w:lvlText w:val="%1.%2."/>
      <w:lvlJc w:val="left"/>
      <w:pPr>
        <w:tabs>
          <w:tab w:val="num" w:pos="360"/>
        </w:tabs>
        <w:ind w:left="0" w:firstLine="0"/>
      </w:pPr>
      <w:rPr>
        <w:rFonts w:cs="Times New Roman" w:hint="default"/>
        <w:i/>
      </w:rPr>
    </w:lvl>
    <w:lvl w:ilvl="2">
      <w:start w:val="1"/>
      <w:numFmt w:val="decimal"/>
      <w:lvlText w:val="%1.%2.%3."/>
      <w:lvlJc w:val="left"/>
      <w:pPr>
        <w:tabs>
          <w:tab w:val="num" w:pos="360"/>
        </w:tabs>
        <w:ind w:left="0" w:firstLine="0"/>
      </w:pPr>
      <w:rPr>
        <w:rFonts w:cs="Times New Roman" w:hint="default"/>
      </w:rPr>
    </w:lvl>
    <w:lvl w:ilvl="3">
      <w:start w:val="1"/>
      <w:numFmt w:val="decimal"/>
      <w:lvlText w:val="%1.%2.%3.%4."/>
      <w:lvlJc w:val="left"/>
      <w:pPr>
        <w:tabs>
          <w:tab w:val="num" w:pos="360"/>
        </w:tabs>
        <w:ind w:left="0" w:firstLine="0"/>
      </w:pPr>
      <w:rPr>
        <w:rFonts w:cs="Times New Roman" w:hint="default"/>
      </w:rPr>
    </w:lvl>
    <w:lvl w:ilvl="4">
      <w:start w:val="1"/>
      <w:numFmt w:val="decimal"/>
      <w:lvlText w:val="%1.%2.%3.%4.%5."/>
      <w:lvlJc w:val="left"/>
      <w:pPr>
        <w:tabs>
          <w:tab w:val="num" w:pos="360"/>
        </w:tabs>
        <w:ind w:left="0" w:firstLine="0"/>
      </w:pPr>
      <w:rPr>
        <w:rFonts w:cs="Times New Roman" w:hint="default"/>
      </w:rPr>
    </w:lvl>
    <w:lvl w:ilvl="5">
      <w:start w:val="1"/>
      <w:numFmt w:val="decimal"/>
      <w:lvlText w:val="%1.%2.%3.%4.%5.%6."/>
      <w:lvlJc w:val="left"/>
      <w:pPr>
        <w:tabs>
          <w:tab w:val="num" w:pos="360"/>
        </w:tabs>
        <w:ind w:left="0" w:firstLine="0"/>
      </w:pPr>
      <w:rPr>
        <w:rFonts w:cs="Times New Roman" w:hint="default"/>
      </w:rPr>
    </w:lvl>
    <w:lvl w:ilvl="6">
      <w:start w:val="1"/>
      <w:numFmt w:val="decimal"/>
      <w:lvlText w:val="%1.%2.%3.%4.%5.%6.%7."/>
      <w:lvlJc w:val="left"/>
      <w:pPr>
        <w:tabs>
          <w:tab w:val="num" w:pos="360"/>
        </w:tabs>
        <w:ind w:left="0" w:firstLine="0"/>
      </w:pPr>
      <w:rPr>
        <w:rFonts w:cs="Times New Roman" w:hint="default"/>
      </w:rPr>
    </w:lvl>
    <w:lvl w:ilvl="7">
      <w:start w:val="1"/>
      <w:numFmt w:val="decimal"/>
      <w:lvlText w:val="%1.%2.%3.%4.%5.%6.%7.%8."/>
      <w:lvlJc w:val="left"/>
      <w:pPr>
        <w:tabs>
          <w:tab w:val="num" w:pos="360"/>
        </w:tabs>
        <w:ind w:left="0" w:firstLine="0"/>
      </w:pPr>
      <w:rPr>
        <w:rFonts w:cs="Times New Roman" w:hint="default"/>
      </w:rPr>
    </w:lvl>
    <w:lvl w:ilvl="8">
      <w:start w:val="1"/>
      <w:numFmt w:val="decimal"/>
      <w:lvlText w:val="%1.%2.%3.%4.%5.%6.%7.%8.%9."/>
      <w:lvlJc w:val="left"/>
      <w:pPr>
        <w:tabs>
          <w:tab w:val="num" w:pos="360"/>
        </w:tabs>
        <w:ind w:left="0" w:firstLine="0"/>
      </w:pPr>
      <w:rPr>
        <w:rFonts w:cs="Times New Roman" w:hint="default"/>
      </w:rPr>
    </w:lvl>
  </w:abstractNum>
  <w:abstractNum w:abstractNumId="2">
    <w:nsid w:val="05C15CBC"/>
    <w:multiLevelType w:val="multilevel"/>
    <w:tmpl w:val="A44209FC"/>
    <w:lvl w:ilvl="0">
      <w:start w:val="1"/>
      <w:numFmt w:val="decimal"/>
      <w:lvlText w:val="%1."/>
      <w:lvlJc w:val="left"/>
      <w:pPr>
        <w:tabs>
          <w:tab w:val="num" w:pos="360"/>
        </w:tabs>
        <w:ind w:left="0" w:firstLine="0"/>
      </w:pPr>
      <w:rPr>
        <w:rFonts w:cs="Times New Roman" w:hint="default"/>
        <w:i w:val="0"/>
      </w:rPr>
    </w:lvl>
    <w:lvl w:ilvl="1">
      <w:start w:val="1"/>
      <w:numFmt w:val="decimal"/>
      <w:lvlText w:val="%1.%2."/>
      <w:lvlJc w:val="left"/>
      <w:pPr>
        <w:tabs>
          <w:tab w:val="num" w:pos="360"/>
        </w:tabs>
        <w:ind w:left="0" w:firstLine="0"/>
      </w:pPr>
      <w:rPr>
        <w:rFonts w:cs="Times New Roman" w:hint="default"/>
        <w:i/>
      </w:rPr>
    </w:lvl>
    <w:lvl w:ilvl="2">
      <w:start w:val="1"/>
      <w:numFmt w:val="decimal"/>
      <w:lvlText w:val="%3)"/>
      <w:lvlJc w:val="left"/>
      <w:pPr>
        <w:tabs>
          <w:tab w:val="num" w:pos="360"/>
        </w:tabs>
        <w:ind w:left="0" w:firstLine="0"/>
      </w:pPr>
      <w:rPr>
        <w:rFonts w:hint="default"/>
      </w:rPr>
    </w:lvl>
    <w:lvl w:ilvl="3">
      <w:start w:val="1"/>
      <w:numFmt w:val="decimal"/>
      <w:lvlText w:val="%1.%2.%3.%4."/>
      <w:lvlJc w:val="left"/>
      <w:pPr>
        <w:tabs>
          <w:tab w:val="num" w:pos="360"/>
        </w:tabs>
        <w:ind w:left="0" w:firstLine="0"/>
      </w:pPr>
      <w:rPr>
        <w:rFonts w:cs="Times New Roman" w:hint="default"/>
      </w:rPr>
    </w:lvl>
    <w:lvl w:ilvl="4">
      <w:start w:val="1"/>
      <w:numFmt w:val="decimal"/>
      <w:lvlText w:val="%1.%2.%3.%4.%5."/>
      <w:lvlJc w:val="left"/>
      <w:pPr>
        <w:tabs>
          <w:tab w:val="num" w:pos="360"/>
        </w:tabs>
        <w:ind w:left="0" w:firstLine="0"/>
      </w:pPr>
      <w:rPr>
        <w:rFonts w:cs="Times New Roman" w:hint="default"/>
      </w:rPr>
    </w:lvl>
    <w:lvl w:ilvl="5">
      <w:start w:val="1"/>
      <w:numFmt w:val="decimal"/>
      <w:lvlText w:val="%1.%2.%3.%4.%5.%6."/>
      <w:lvlJc w:val="left"/>
      <w:pPr>
        <w:tabs>
          <w:tab w:val="num" w:pos="360"/>
        </w:tabs>
        <w:ind w:left="0" w:firstLine="0"/>
      </w:pPr>
      <w:rPr>
        <w:rFonts w:cs="Times New Roman" w:hint="default"/>
      </w:rPr>
    </w:lvl>
    <w:lvl w:ilvl="6">
      <w:start w:val="1"/>
      <w:numFmt w:val="decimal"/>
      <w:lvlText w:val="%1.%2.%3.%4.%5.%6.%7."/>
      <w:lvlJc w:val="left"/>
      <w:pPr>
        <w:tabs>
          <w:tab w:val="num" w:pos="360"/>
        </w:tabs>
        <w:ind w:left="0" w:firstLine="0"/>
      </w:pPr>
      <w:rPr>
        <w:rFonts w:cs="Times New Roman" w:hint="default"/>
      </w:rPr>
    </w:lvl>
    <w:lvl w:ilvl="7">
      <w:start w:val="1"/>
      <w:numFmt w:val="decimal"/>
      <w:lvlText w:val="%1.%2.%3.%4.%5.%6.%7.%8."/>
      <w:lvlJc w:val="left"/>
      <w:pPr>
        <w:tabs>
          <w:tab w:val="num" w:pos="360"/>
        </w:tabs>
        <w:ind w:left="0" w:firstLine="0"/>
      </w:pPr>
      <w:rPr>
        <w:rFonts w:cs="Times New Roman" w:hint="default"/>
      </w:rPr>
    </w:lvl>
    <w:lvl w:ilvl="8">
      <w:start w:val="1"/>
      <w:numFmt w:val="decimal"/>
      <w:lvlText w:val="%1.%2.%3.%4.%5.%6.%7.%8.%9."/>
      <w:lvlJc w:val="left"/>
      <w:pPr>
        <w:tabs>
          <w:tab w:val="num" w:pos="360"/>
        </w:tabs>
        <w:ind w:left="0" w:firstLine="0"/>
      </w:pPr>
      <w:rPr>
        <w:rFonts w:cs="Times New Roman" w:hint="default"/>
      </w:rPr>
    </w:lvl>
  </w:abstractNum>
  <w:abstractNum w:abstractNumId="3">
    <w:nsid w:val="07A61108"/>
    <w:multiLevelType w:val="hybridMultilevel"/>
    <w:tmpl w:val="4B6604B4"/>
    <w:lvl w:ilvl="0" w:tplc="D80AB932">
      <w:start w:val="1"/>
      <w:numFmt w:val="bullet"/>
      <w:lvlText w:val="•"/>
      <w:lvlJc w:val="left"/>
      <w:pPr>
        <w:tabs>
          <w:tab w:val="num" w:pos="720"/>
        </w:tabs>
        <w:ind w:left="720" w:hanging="360"/>
      </w:pPr>
      <w:rPr>
        <w:rFonts w:ascii="Arial" w:hAnsi="Arial" w:hint="default"/>
      </w:rPr>
    </w:lvl>
    <w:lvl w:ilvl="1" w:tplc="6A3AB0D2" w:tentative="1">
      <w:start w:val="1"/>
      <w:numFmt w:val="bullet"/>
      <w:lvlText w:val="•"/>
      <w:lvlJc w:val="left"/>
      <w:pPr>
        <w:tabs>
          <w:tab w:val="num" w:pos="1440"/>
        </w:tabs>
        <w:ind w:left="1440" w:hanging="360"/>
      </w:pPr>
      <w:rPr>
        <w:rFonts w:ascii="Arial" w:hAnsi="Arial" w:hint="default"/>
      </w:rPr>
    </w:lvl>
    <w:lvl w:ilvl="2" w:tplc="D7A45F2E" w:tentative="1">
      <w:start w:val="1"/>
      <w:numFmt w:val="bullet"/>
      <w:lvlText w:val="•"/>
      <w:lvlJc w:val="left"/>
      <w:pPr>
        <w:tabs>
          <w:tab w:val="num" w:pos="2160"/>
        </w:tabs>
        <w:ind w:left="2160" w:hanging="360"/>
      </w:pPr>
      <w:rPr>
        <w:rFonts w:ascii="Arial" w:hAnsi="Arial" w:hint="default"/>
      </w:rPr>
    </w:lvl>
    <w:lvl w:ilvl="3" w:tplc="FEBAF158" w:tentative="1">
      <w:start w:val="1"/>
      <w:numFmt w:val="bullet"/>
      <w:lvlText w:val="•"/>
      <w:lvlJc w:val="left"/>
      <w:pPr>
        <w:tabs>
          <w:tab w:val="num" w:pos="2880"/>
        </w:tabs>
        <w:ind w:left="2880" w:hanging="360"/>
      </w:pPr>
      <w:rPr>
        <w:rFonts w:ascii="Arial" w:hAnsi="Arial" w:hint="default"/>
      </w:rPr>
    </w:lvl>
    <w:lvl w:ilvl="4" w:tplc="67FA7706" w:tentative="1">
      <w:start w:val="1"/>
      <w:numFmt w:val="bullet"/>
      <w:lvlText w:val="•"/>
      <w:lvlJc w:val="left"/>
      <w:pPr>
        <w:tabs>
          <w:tab w:val="num" w:pos="3600"/>
        </w:tabs>
        <w:ind w:left="3600" w:hanging="360"/>
      </w:pPr>
      <w:rPr>
        <w:rFonts w:ascii="Arial" w:hAnsi="Arial" w:hint="default"/>
      </w:rPr>
    </w:lvl>
    <w:lvl w:ilvl="5" w:tplc="8B6E9C5C" w:tentative="1">
      <w:start w:val="1"/>
      <w:numFmt w:val="bullet"/>
      <w:lvlText w:val="•"/>
      <w:lvlJc w:val="left"/>
      <w:pPr>
        <w:tabs>
          <w:tab w:val="num" w:pos="4320"/>
        </w:tabs>
        <w:ind w:left="4320" w:hanging="360"/>
      </w:pPr>
      <w:rPr>
        <w:rFonts w:ascii="Arial" w:hAnsi="Arial" w:hint="default"/>
      </w:rPr>
    </w:lvl>
    <w:lvl w:ilvl="6" w:tplc="0FAA5F7E" w:tentative="1">
      <w:start w:val="1"/>
      <w:numFmt w:val="bullet"/>
      <w:lvlText w:val="•"/>
      <w:lvlJc w:val="left"/>
      <w:pPr>
        <w:tabs>
          <w:tab w:val="num" w:pos="5040"/>
        </w:tabs>
        <w:ind w:left="5040" w:hanging="360"/>
      </w:pPr>
      <w:rPr>
        <w:rFonts w:ascii="Arial" w:hAnsi="Arial" w:hint="default"/>
      </w:rPr>
    </w:lvl>
    <w:lvl w:ilvl="7" w:tplc="FFD095D8" w:tentative="1">
      <w:start w:val="1"/>
      <w:numFmt w:val="bullet"/>
      <w:lvlText w:val="•"/>
      <w:lvlJc w:val="left"/>
      <w:pPr>
        <w:tabs>
          <w:tab w:val="num" w:pos="5760"/>
        </w:tabs>
        <w:ind w:left="5760" w:hanging="360"/>
      </w:pPr>
      <w:rPr>
        <w:rFonts w:ascii="Arial" w:hAnsi="Arial" w:hint="default"/>
      </w:rPr>
    </w:lvl>
    <w:lvl w:ilvl="8" w:tplc="0AEAFDFE" w:tentative="1">
      <w:start w:val="1"/>
      <w:numFmt w:val="bullet"/>
      <w:lvlText w:val="•"/>
      <w:lvlJc w:val="left"/>
      <w:pPr>
        <w:tabs>
          <w:tab w:val="num" w:pos="6480"/>
        </w:tabs>
        <w:ind w:left="6480" w:hanging="360"/>
      </w:pPr>
      <w:rPr>
        <w:rFonts w:ascii="Arial" w:hAnsi="Arial" w:hint="default"/>
      </w:rPr>
    </w:lvl>
  </w:abstractNum>
  <w:abstractNum w:abstractNumId="4">
    <w:nsid w:val="080F49AF"/>
    <w:multiLevelType w:val="hybridMultilevel"/>
    <w:tmpl w:val="AA608EDA"/>
    <w:lvl w:ilvl="0" w:tplc="851AD53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A9A57AC"/>
    <w:multiLevelType w:val="multilevel"/>
    <w:tmpl w:val="65D0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295BA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E654B5"/>
    <w:multiLevelType w:val="multilevel"/>
    <w:tmpl w:val="C43EFD4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290418C"/>
    <w:multiLevelType w:val="hybridMultilevel"/>
    <w:tmpl w:val="DCB4A9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2E17B0D"/>
    <w:multiLevelType w:val="multilevel"/>
    <w:tmpl w:val="CA54B5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7461BA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80705E0"/>
    <w:multiLevelType w:val="hybridMultilevel"/>
    <w:tmpl w:val="DEBA233C"/>
    <w:lvl w:ilvl="0" w:tplc="0C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9917652"/>
    <w:multiLevelType w:val="hybridMultilevel"/>
    <w:tmpl w:val="FDF2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C75691D"/>
    <w:multiLevelType w:val="hybridMultilevel"/>
    <w:tmpl w:val="264EE71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C9113CD"/>
    <w:multiLevelType w:val="hybridMultilevel"/>
    <w:tmpl w:val="8C02B846"/>
    <w:lvl w:ilvl="0" w:tplc="C7048272">
      <w:start w:val="1"/>
      <w:numFmt w:val="bullet"/>
      <w:lvlText w:val=""/>
      <w:lvlJc w:val="left"/>
      <w:pPr>
        <w:tabs>
          <w:tab w:val="num" w:pos="720"/>
        </w:tabs>
        <w:ind w:left="720" w:hanging="360"/>
      </w:pPr>
      <w:rPr>
        <w:rFonts w:ascii="Wingdings 2" w:hAnsi="Wingdings 2" w:hint="default"/>
      </w:rPr>
    </w:lvl>
    <w:lvl w:ilvl="1" w:tplc="DF74EC16" w:tentative="1">
      <w:start w:val="1"/>
      <w:numFmt w:val="bullet"/>
      <w:lvlText w:val=""/>
      <w:lvlJc w:val="left"/>
      <w:pPr>
        <w:tabs>
          <w:tab w:val="num" w:pos="1440"/>
        </w:tabs>
        <w:ind w:left="1440" w:hanging="360"/>
      </w:pPr>
      <w:rPr>
        <w:rFonts w:ascii="Wingdings 2" w:hAnsi="Wingdings 2" w:hint="default"/>
      </w:rPr>
    </w:lvl>
    <w:lvl w:ilvl="2" w:tplc="B204BF0A" w:tentative="1">
      <w:start w:val="1"/>
      <w:numFmt w:val="bullet"/>
      <w:lvlText w:val=""/>
      <w:lvlJc w:val="left"/>
      <w:pPr>
        <w:tabs>
          <w:tab w:val="num" w:pos="2160"/>
        </w:tabs>
        <w:ind w:left="2160" w:hanging="360"/>
      </w:pPr>
      <w:rPr>
        <w:rFonts w:ascii="Wingdings 2" w:hAnsi="Wingdings 2" w:hint="default"/>
      </w:rPr>
    </w:lvl>
    <w:lvl w:ilvl="3" w:tplc="9D902986" w:tentative="1">
      <w:start w:val="1"/>
      <w:numFmt w:val="bullet"/>
      <w:lvlText w:val=""/>
      <w:lvlJc w:val="left"/>
      <w:pPr>
        <w:tabs>
          <w:tab w:val="num" w:pos="2880"/>
        </w:tabs>
        <w:ind w:left="2880" w:hanging="360"/>
      </w:pPr>
      <w:rPr>
        <w:rFonts w:ascii="Wingdings 2" w:hAnsi="Wingdings 2" w:hint="default"/>
      </w:rPr>
    </w:lvl>
    <w:lvl w:ilvl="4" w:tplc="50A435FC" w:tentative="1">
      <w:start w:val="1"/>
      <w:numFmt w:val="bullet"/>
      <w:lvlText w:val=""/>
      <w:lvlJc w:val="left"/>
      <w:pPr>
        <w:tabs>
          <w:tab w:val="num" w:pos="3600"/>
        </w:tabs>
        <w:ind w:left="3600" w:hanging="360"/>
      </w:pPr>
      <w:rPr>
        <w:rFonts w:ascii="Wingdings 2" w:hAnsi="Wingdings 2" w:hint="default"/>
      </w:rPr>
    </w:lvl>
    <w:lvl w:ilvl="5" w:tplc="7DC6BBA8" w:tentative="1">
      <w:start w:val="1"/>
      <w:numFmt w:val="bullet"/>
      <w:lvlText w:val=""/>
      <w:lvlJc w:val="left"/>
      <w:pPr>
        <w:tabs>
          <w:tab w:val="num" w:pos="4320"/>
        </w:tabs>
        <w:ind w:left="4320" w:hanging="360"/>
      </w:pPr>
      <w:rPr>
        <w:rFonts w:ascii="Wingdings 2" w:hAnsi="Wingdings 2" w:hint="default"/>
      </w:rPr>
    </w:lvl>
    <w:lvl w:ilvl="6" w:tplc="9B348B1A" w:tentative="1">
      <w:start w:val="1"/>
      <w:numFmt w:val="bullet"/>
      <w:lvlText w:val=""/>
      <w:lvlJc w:val="left"/>
      <w:pPr>
        <w:tabs>
          <w:tab w:val="num" w:pos="5040"/>
        </w:tabs>
        <w:ind w:left="5040" w:hanging="360"/>
      </w:pPr>
      <w:rPr>
        <w:rFonts w:ascii="Wingdings 2" w:hAnsi="Wingdings 2" w:hint="default"/>
      </w:rPr>
    </w:lvl>
    <w:lvl w:ilvl="7" w:tplc="07C8F534" w:tentative="1">
      <w:start w:val="1"/>
      <w:numFmt w:val="bullet"/>
      <w:lvlText w:val=""/>
      <w:lvlJc w:val="left"/>
      <w:pPr>
        <w:tabs>
          <w:tab w:val="num" w:pos="5760"/>
        </w:tabs>
        <w:ind w:left="5760" w:hanging="360"/>
      </w:pPr>
      <w:rPr>
        <w:rFonts w:ascii="Wingdings 2" w:hAnsi="Wingdings 2" w:hint="default"/>
      </w:rPr>
    </w:lvl>
    <w:lvl w:ilvl="8" w:tplc="77AC8D4A" w:tentative="1">
      <w:start w:val="1"/>
      <w:numFmt w:val="bullet"/>
      <w:lvlText w:val=""/>
      <w:lvlJc w:val="left"/>
      <w:pPr>
        <w:tabs>
          <w:tab w:val="num" w:pos="6480"/>
        </w:tabs>
        <w:ind w:left="6480" w:hanging="360"/>
      </w:pPr>
      <w:rPr>
        <w:rFonts w:ascii="Wingdings 2" w:hAnsi="Wingdings 2" w:hint="default"/>
      </w:rPr>
    </w:lvl>
  </w:abstractNum>
  <w:abstractNum w:abstractNumId="15">
    <w:nsid w:val="234E1584"/>
    <w:multiLevelType w:val="multilevel"/>
    <w:tmpl w:val="60AE5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760E26"/>
    <w:multiLevelType w:val="multilevel"/>
    <w:tmpl w:val="F700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476020"/>
    <w:multiLevelType w:val="multilevel"/>
    <w:tmpl w:val="EA86CA0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5F19D0"/>
    <w:multiLevelType w:val="hybridMultilevel"/>
    <w:tmpl w:val="DC2E887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023767B"/>
    <w:multiLevelType w:val="hybridMultilevel"/>
    <w:tmpl w:val="2BD265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1B22B7F"/>
    <w:multiLevelType w:val="hybridMultilevel"/>
    <w:tmpl w:val="D5ACA2F4"/>
    <w:lvl w:ilvl="0" w:tplc="1B1C670A">
      <w:start w:val="1"/>
      <w:numFmt w:val="bullet"/>
      <w:lvlText w:val=""/>
      <w:lvlJc w:val="left"/>
      <w:pPr>
        <w:tabs>
          <w:tab w:val="num" w:pos="720"/>
        </w:tabs>
        <w:ind w:left="720" w:hanging="360"/>
      </w:pPr>
      <w:rPr>
        <w:rFonts w:ascii="Wingdings 2" w:hAnsi="Wingdings 2" w:hint="default"/>
      </w:rPr>
    </w:lvl>
    <w:lvl w:ilvl="1" w:tplc="82709CDE" w:tentative="1">
      <w:start w:val="1"/>
      <w:numFmt w:val="bullet"/>
      <w:lvlText w:val=""/>
      <w:lvlJc w:val="left"/>
      <w:pPr>
        <w:tabs>
          <w:tab w:val="num" w:pos="1440"/>
        </w:tabs>
        <w:ind w:left="1440" w:hanging="360"/>
      </w:pPr>
      <w:rPr>
        <w:rFonts w:ascii="Wingdings 2" w:hAnsi="Wingdings 2" w:hint="default"/>
      </w:rPr>
    </w:lvl>
    <w:lvl w:ilvl="2" w:tplc="6534DEB4" w:tentative="1">
      <w:start w:val="1"/>
      <w:numFmt w:val="bullet"/>
      <w:lvlText w:val=""/>
      <w:lvlJc w:val="left"/>
      <w:pPr>
        <w:tabs>
          <w:tab w:val="num" w:pos="2160"/>
        </w:tabs>
        <w:ind w:left="2160" w:hanging="360"/>
      </w:pPr>
      <w:rPr>
        <w:rFonts w:ascii="Wingdings 2" w:hAnsi="Wingdings 2" w:hint="default"/>
      </w:rPr>
    </w:lvl>
    <w:lvl w:ilvl="3" w:tplc="48988750" w:tentative="1">
      <w:start w:val="1"/>
      <w:numFmt w:val="bullet"/>
      <w:lvlText w:val=""/>
      <w:lvlJc w:val="left"/>
      <w:pPr>
        <w:tabs>
          <w:tab w:val="num" w:pos="2880"/>
        </w:tabs>
        <w:ind w:left="2880" w:hanging="360"/>
      </w:pPr>
      <w:rPr>
        <w:rFonts w:ascii="Wingdings 2" w:hAnsi="Wingdings 2" w:hint="default"/>
      </w:rPr>
    </w:lvl>
    <w:lvl w:ilvl="4" w:tplc="69DEFD5E" w:tentative="1">
      <w:start w:val="1"/>
      <w:numFmt w:val="bullet"/>
      <w:lvlText w:val=""/>
      <w:lvlJc w:val="left"/>
      <w:pPr>
        <w:tabs>
          <w:tab w:val="num" w:pos="3600"/>
        </w:tabs>
        <w:ind w:left="3600" w:hanging="360"/>
      </w:pPr>
      <w:rPr>
        <w:rFonts w:ascii="Wingdings 2" w:hAnsi="Wingdings 2" w:hint="default"/>
      </w:rPr>
    </w:lvl>
    <w:lvl w:ilvl="5" w:tplc="B4E68F6C" w:tentative="1">
      <w:start w:val="1"/>
      <w:numFmt w:val="bullet"/>
      <w:lvlText w:val=""/>
      <w:lvlJc w:val="left"/>
      <w:pPr>
        <w:tabs>
          <w:tab w:val="num" w:pos="4320"/>
        </w:tabs>
        <w:ind w:left="4320" w:hanging="360"/>
      </w:pPr>
      <w:rPr>
        <w:rFonts w:ascii="Wingdings 2" w:hAnsi="Wingdings 2" w:hint="default"/>
      </w:rPr>
    </w:lvl>
    <w:lvl w:ilvl="6" w:tplc="9B2A3314" w:tentative="1">
      <w:start w:val="1"/>
      <w:numFmt w:val="bullet"/>
      <w:lvlText w:val=""/>
      <w:lvlJc w:val="left"/>
      <w:pPr>
        <w:tabs>
          <w:tab w:val="num" w:pos="5040"/>
        </w:tabs>
        <w:ind w:left="5040" w:hanging="360"/>
      </w:pPr>
      <w:rPr>
        <w:rFonts w:ascii="Wingdings 2" w:hAnsi="Wingdings 2" w:hint="default"/>
      </w:rPr>
    </w:lvl>
    <w:lvl w:ilvl="7" w:tplc="10FE6592" w:tentative="1">
      <w:start w:val="1"/>
      <w:numFmt w:val="bullet"/>
      <w:lvlText w:val=""/>
      <w:lvlJc w:val="left"/>
      <w:pPr>
        <w:tabs>
          <w:tab w:val="num" w:pos="5760"/>
        </w:tabs>
        <w:ind w:left="5760" w:hanging="360"/>
      </w:pPr>
      <w:rPr>
        <w:rFonts w:ascii="Wingdings 2" w:hAnsi="Wingdings 2" w:hint="default"/>
      </w:rPr>
    </w:lvl>
    <w:lvl w:ilvl="8" w:tplc="EC947672" w:tentative="1">
      <w:start w:val="1"/>
      <w:numFmt w:val="bullet"/>
      <w:lvlText w:val=""/>
      <w:lvlJc w:val="left"/>
      <w:pPr>
        <w:tabs>
          <w:tab w:val="num" w:pos="6480"/>
        </w:tabs>
        <w:ind w:left="6480" w:hanging="360"/>
      </w:pPr>
      <w:rPr>
        <w:rFonts w:ascii="Wingdings 2" w:hAnsi="Wingdings 2" w:hint="default"/>
      </w:rPr>
    </w:lvl>
  </w:abstractNum>
  <w:abstractNum w:abstractNumId="21">
    <w:nsid w:val="33103A5A"/>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612"/>
        </w:tabs>
        <w:ind w:left="612"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34D5170B"/>
    <w:multiLevelType w:val="hybridMultilevel"/>
    <w:tmpl w:val="673A923A"/>
    <w:lvl w:ilvl="0" w:tplc="50762780">
      <w:start w:val="1"/>
      <w:numFmt w:val="bullet"/>
      <w:lvlText w:val=""/>
      <w:lvlJc w:val="left"/>
      <w:pPr>
        <w:tabs>
          <w:tab w:val="num" w:pos="720"/>
        </w:tabs>
        <w:ind w:left="720" w:hanging="360"/>
      </w:pPr>
      <w:rPr>
        <w:rFonts w:ascii="Wingdings 2" w:hAnsi="Wingdings 2" w:hint="default"/>
      </w:rPr>
    </w:lvl>
    <w:lvl w:ilvl="1" w:tplc="A3A43E00" w:tentative="1">
      <w:start w:val="1"/>
      <w:numFmt w:val="bullet"/>
      <w:lvlText w:val=""/>
      <w:lvlJc w:val="left"/>
      <w:pPr>
        <w:tabs>
          <w:tab w:val="num" w:pos="1440"/>
        </w:tabs>
        <w:ind w:left="1440" w:hanging="360"/>
      </w:pPr>
      <w:rPr>
        <w:rFonts w:ascii="Wingdings 2" w:hAnsi="Wingdings 2" w:hint="default"/>
      </w:rPr>
    </w:lvl>
    <w:lvl w:ilvl="2" w:tplc="E6B42C22" w:tentative="1">
      <w:start w:val="1"/>
      <w:numFmt w:val="bullet"/>
      <w:lvlText w:val=""/>
      <w:lvlJc w:val="left"/>
      <w:pPr>
        <w:tabs>
          <w:tab w:val="num" w:pos="2160"/>
        </w:tabs>
        <w:ind w:left="2160" w:hanging="360"/>
      </w:pPr>
      <w:rPr>
        <w:rFonts w:ascii="Wingdings 2" w:hAnsi="Wingdings 2" w:hint="default"/>
      </w:rPr>
    </w:lvl>
    <w:lvl w:ilvl="3" w:tplc="72745234" w:tentative="1">
      <w:start w:val="1"/>
      <w:numFmt w:val="bullet"/>
      <w:lvlText w:val=""/>
      <w:lvlJc w:val="left"/>
      <w:pPr>
        <w:tabs>
          <w:tab w:val="num" w:pos="2880"/>
        </w:tabs>
        <w:ind w:left="2880" w:hanging="360"/>
      </w:pPr>
      <w:rPr>
        <w:rFonts w:ascii="Wingdings 2" w:hAnsi="Wingdings 2" w:hint="default"/>
      </w:rPr>
    </w:lvl>
    <w:lvl w:ilvl="4" w:tplc="021410DC" w:tentative="1">
      <w:start w:val="1"/>
      <w:numFmt w:val="bullet"/>
      <w:lvlText w:val=""/>
      <w:lvlJc w:val="left"/>
      <w:pPr>
        <w:tabs>
          <w:tab w:val="num" w:pos="3600"/>
        </w:tabs>
        <w:ind w:left="3600" w:hanging="360"/>
      </w:pPr>
      <w:rPr>
        <w:rFonts w:ascii="Wingdings 2" w:hAnsi="Wingdings 2" w:hint="default"/>
      </w:rPr>
    </w:lvl>
    <w:lvl w:ilvl="5" w:tplc="2D50B8D0" w:tentative="1">
      <w:start w:val="1"/>
      <w:numFmt w:val="bullet"/>
      <w:lvlText w:val=""/>
      <w:lvlJc w:val="left"/>
      <w:pPr>
        <w:tabs>
          <w:tab w:val="num" w:pos="4320"/>
        </w:tabs>
        <w:ind w:left="4320" w:hanging="360"/>
      </w:pPr>
      <w:rPr>
        <w:rFonts w:ascii="Wingdings 2" w:hAnsi="Wingdings 2" w:hint="default"/>
      </w:rPr>
    </w:lvl>
    <w:lvl w:ilvl="6" w:tplc="BC5C9BD8" w:tentative="1">
      <w:start w:val="1"/>
      <w:numFmt w:val="bullet"/>
      <w:lvlText w:val=""/>
      <w:lvlJc w:val="left"/>
      <w:pPr>
        <w:tabs>
          <w:tab w:val="num" w:pos="5040"/>
        </w:tabs>
        <w:ind w:left="5040" w:hanging="360"/>
      </w:pPr>
      <w:rPr>
        <w:rFonts w:ascii="Wingdings 2" w:hAnsi="Wingdings 2" w:hint="default"/>
      </w:rPr>
    </w:lvl>
    <w:lvl w:ilvl="7" w:tplc="2BE8F1CE" w:tentative="1">
      <w:start w:val="1"/>
      <w:numFmt w:val="bullet"/>
      <w:lvlText w:val=""/>
      <w:lvlJc w:val="left"/>
      <w:pPr>
        <w:tabs>
          <w:tab w:val="num" w:pos="5760"/>
        </w:tabs>
        <w:ind w:left="5760" w:hanging="360"/>
      </w:pPr>
      <w:rPr>
        <w:rFonts w:ascii="Wingdings 2" w:hAnsi="Wingdings 2" w:hint="default"/>
      </w:rPr>
    </w:lvl>
    <w:lvl w:ilvl="8" w:tplc="3266C99C" w:tentative="1">
      <w:start w:val="1"/>
      <w:numFmt w:val="bullet"/>
      <w:lvlText w:val=""/>
      <w:lvlJc w:val="left"/>
      <w:pPr>
        <w:tabs>
          <w:tab w:val="num" w:pos="6480"/>
        </w:tabs>
        <w:ind w:left="6480" w:hanging="360"/>
      </w:pPr>
      <w:rPr>
        <w:rFonts w:ascii="Wingdings 2" w:hAnsi="Wingdings 2" w:hint="default"/>
      </w:rPr>
    </w:lvl>
  </w:abstractNum>
  <w:abstractNum w:abstractNumId="23">
    <w:nsid w:val="39010F9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AFB7DF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1E82EB8"/>
    <w:multiLevelType w:val="hybridMultilevel"/>
    <w:tmpl w:val="F7482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1FC2488"/>
    <w:multiLevelType w:val="hybridMultilevel"/>
    <w:tmpl w:val="657CA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2173F55"/>
    <w:multiLevelType w:val="hybridMultilevel"/>
    <w:tmpl w:val="C162696A"/>
    <w:lvl w:ilvl="0" w:tplc="9C028196">
      <w:start w:val="1"/>
      <w:numFmt w:val="bullet"/>
      <w:lvlText w:val=""/>
      <w:lvlJc w:val="left"/>
      <w:pPr>
        <w:tabs>
          <w:tab w:val="num" w:pos="720"/>
        </w:tabs>
        <w:ind w:left="720" w:hanging="360"/>
      </w:pPr>
      <w:rPr>
        <w:rFonts w:ascii="Wingdings 2" w:hAnsi="Wingdings 2" w:hint="default"/>
      </w:rPr>
    </w:lvl>
    <w:lvl w:ilvl="1" w:tplc="FAE26788" w:tentative="1">
      <w:start w:val="1"/>
      <w:numFmt w:val="bullet"/>
      <w:lvlText w:val=""/>
      <w:lvlJc w:val="left"/>
      <w:pPr>
        <w:tabs>
          <w:tab w:val="num" w:pos="1440"/>
        </w:tabs>
        <w:ind w:left="1440" w:hanging="360"/>
      </w:pPr>
      <w:rPr>
        <w:rFonts w:ascii="Wingdings 2" w:hAnsi="Wingdings 2" w:hint="default"/>
      </w:rPr>
    </w:lvl>
    <w:lvl w:ilvl="2" w:tplc="6C601694" w:tentative="1">
      <w:start w:val="1"/>
      <w:numFmt w:val="bullet"/>
      <w:lvlText w:val=""/>
      <w:lvlJc w:val="left"/>
      <w:pPr>
        <w:tabs>
          <w:tab w:val="num" w:pos="2160"/>
        </w:tabs>
        <w:ind w:left="2160" w:hanging="360"/>
      </w:pPr>
      <w:rPr>
        <w:rFonts w:ascii="Wingdings 2" w:hAnsi="Wingdings 2" w:hint="default"/>
      </w:rPr>
    </w:lvl>
    <w:lvl w:ilvl="3" w:tplc="827064B4" w:tentative="1">
      <w:start w:val="1"/>
      <w:numFmt w:val="bullet"/>
      <w:lvlText w:val=""/>
      <w:lvlJc w:val="left"/>
      <w:pPr>
        <w:tabs>
          <w:tab w:val="num" w:pos="2880"/>
        </w:tabs>
        <w:ind w:left="2880" w:hanging="360"/>
      </w:pPr>
      <w:rPr>
        <w:rFonts w:ascii="Wingdings 2" w:hAnsi="Wingdings 2" w:hint="default"/>
      </w:rPr>
    </w:lvl>
    <w:lvl w:ilvl="4" w:tplc="CC662390" w:tentative="1">
      <w:start w:val="1"/>
      <w:numFmt w:val="bullet"/>
      <w:lvlText w:val=""/>
      <w:lvlJc w:val="left"/>
      <w:pPr>
        <w:tabs>
          <w:tab w:val="num" w:pos="3600"/>
        </w:tabs>
        <w:ind w:left="3600" w:hanging="360"/>
      </w:pPr>
      <w:rPr>
        <w:rFonts w:ascii="Wingdings 2" w:hAnsi="Wingdings 2" w:hint="default"/>
      </w:rPr>
    </w:lvl>
    <w:lvl w:ilvl="5" w:tplc="98E2C588" w:tentative="1">
      <w:start w:val="1"/>
      <w:numFmt w:val="bullet"/>
      <w:lvlText w:val=""/>
      <w:lvlJc w:val="left"/>
      <w:pPr>
        <w:tabs>
          <w:tab w:val="num" w:pos="4320"/>
        </w:tabs>
        <w:ind w:left="4320" w:hanging="360"/>
      </w:pPr>
      <w:rPr>
        <w:rFonts w:ascii="Wingdings 2" w:hAnsi="Wingdings 2" w:hint="default"/>
      </w:rPr>
    </w:lvl>
    <w:lvl w:ilvl="6" w:tplc="9B14F3D8" w:tentative="1">
      <w:start w:val="1"/>
      <w:numFmt w:val="bullet"/>
      <w:lvlText w:val=""/>
      <w:lvlJc w:val="left"/>
      <w:pPr>
        <w:tabs>
          <w:tab w:val="num" w:pos="5040"/>
        </w:tabs>
        <w:ind w:left="5040" w:hanging="360"/>
      </w:pPr>
      <w:rPr>
        <w:rFonts w:ascii="Wingdings 2" w:hAnsi="Wingdings 2" w:hint="default"/>
      </w:rPr>
    </w:lvl>
    <w:lvl w:ilvl="7" w:tplc="58E8143A" w:tentative="1">
      <w:start w:val="1"/>
      <w:numFmt w:val="bullet"/>
      <w:lvlText w:val=""/>
      <w:lvlJc w:val="left"/>
      <w:pPr>
        <w:tabs>
          <w:tab w:val="num" w:pos="5760"/>
        </w:tabs>
        <w:ind w:left="5760" w:hanging="360"/>
      </w:pPr>
      <w:rPr>
        <w:rFonts w:ascii="Wingdings 2" w:hAnsi="Wingdings 2" w:hint="default"/>
      </w:rPr>
    </w:lvl>
    <w:lvl w:ilvl="8" w:tplc="618EFE04" w:tentative="1">
      <w:start w:val="1"/>
      <w:numFmt w:val="bullet"/>
      <w:lvlText w:val=""/>
      <w:lvlJc w:val="left"/>
      <w:pPr>
        <w:tabs>
          <w:tab w:val="num" w:pos="6480"/>
        </w:tabs>
        <w:ind w:left="6480" w:hanging="360"/>
      </w:pPr>
      <w:rPr>
        <w:rFonts w:ascii="Wingdings 2" w:hAnsi="Wingdings 2" w:hint="default"/>
      </w:rPr>
    </w:lvl>
  </w:abstractNum>
  <w:abstractNum w:abstractNumId="28">
    <w:nsid w:val="422E3103"/>
    <w:multiLevelType w:val="hybridMultilevel"/>
    <w:tmpl w:val="D66A5774"/>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29">
    <w:nsid w:val="43EA271D"/>
    <w:multiLevelType w:val="hybridMultilevel"/>
    <w:tmpl w:val="7BC46C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42A3C9B"/>
    <w:multiLevelType w:val="multilevel"/>
    <w:tmpl w:val="A02A1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2E6AAE"/>
    <w:multiLevelType w:val="hybridMultilevel"/>
    <w:tmpl w:val="ECC4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75B3D3D"/>
    <w:multiLevelType w:val="hybridMultilevel"/>
    <w:tmpl w:val="083401F6"/>
    <w:lvl w:ilvl="0" w:tplc="B8EEF7FA">
      <w:start w:val="1"/>
      <w:numFmt w:val="bullet"/>
      <w:lvlText w:val="•"/>
      <w:lvlJc w:val="left"/>
      <w:pPr>
        <w:tabs>
          <w:tab w:val="num" w:pos="720"/>
        </w:tabs>
        <w:ind w:left="720" w:hanging="360"/>
      </w:pPr>
      <w:rPr>
        <w:rFonts w:ascii="Arial" w:hAnsi="Arial" w:hint="default"/>
      </w:rPr>
    </w:lvl>
    <w:lvl w:ilvl="1" w:tplc="F448151E" w:tentative="1">
      <w:start w:val="1"/>
      <w:numFmt w:val="bullet"/>
      <w:lvlText w:val="•"/>
      <w:lvlJc w:val="left"/>
      <w:pPr>
        <w:tabs>
          <w:tab w:val="num" w:pos="1440"/>
        </w:tabs>
        <w:ind w:left="1440" w:hanging="360"/>
      </w:pPr>
      <w:rPr>
        <w:rFonts w:ascii="Arial" w:hAnsi="Arial" w:hint="default"/>
      </w:rPr>
    </w:lvl>
    <w:lvl w:ilvl="2" w:tplc="8D043A34" w:tentative="1">
      <w:start w:val="1"/>
      <w:numFmt w:val="bullet"/>
      <w:lvlText w:val="•"/>
      <w:lvlJc w:val="left"/>
      <w:pPr>
        <w:tabs>
          <w:tab w:val="num" w:pos="2160"/>
        </w:tabs>
        <w:ind w:left="2160" w:hanging="360"/>
      </w:pPr>
      <w:rPr>
        <w:rFonts w:ascii="Arial" w:hAnsi="Arial" w:hint="default"/>
      </w:rPr>
    </w:lvl>
    <w:lvl w:ilvl="3" w:tplc="3C2E3C0C" w:tentative="1">
      <w:start w:val="1"/>
      <w:numFmt w:val="bullet"/>
      <w:lvlText w:val="•"/>
      <w:lvlJc w:val="left"/>
      <w:pPr>
        <w:tabs>
          <w:tab w:val="num" w:pos="2880"/>
        </w:tabs>
        <w:ind w:left="2880" w:hanging="360"/>
      </w:pPr>
      <w:rPr>
        <w:rFonts w:ascii="Arial" w:hAnsi="Arial" w:hint="default"/>
      </w:rPr>
    </w:lvl>
    <w:lvl w:ilvl="4" w:tplc="F4ACEEC8" w:tentative="1">
      <w:start w:val="1"/>
      <w:numFmt w:val="bullet"/>
      <w:lvlText w:val="•"/>
      <w:lvlJc w:val="left"/>
      <w:pPr>
        <w:tabs>
          <w:tab w:val="num" w:pos="3600"/>
        </w:tabs>
        <w:ind w:left="3600" w:hanging="360"/>
      </w:pPr>
      <w:rPr>
        <w:rFonts w:ascii="Arial" w:hAnsi="Arial" w:hint="default"/>
      </w:rPr>
    </w:lvl>
    <w:lvl w:ilvl="5" w:tplc="F24A8440" w:tentative="1">
      <w:start w:val="1"/>
      <w:numFmt w:val="bullet"/>
      <w:lvlText w:val="•"/>
      <w:lvlJc w:val="left"/>
      <w:pPr>
        <w:tabs>
          <w:tab w:val="num" w:pos="4320"/>
        </w:tabs>
        <w:ind w:left="4320" w:hanging="360"/>
      </w:pPr>
      <w:rPr>
        <w:rFonts w:ascii="Arial" w:hAnsi="Arial" w:hint="default"/>
      </w:rPr>
    </w:lvl>
    <w:lvl w:ilvl="6" w:tplc="EF2E6000" w:tentative="1">
      <w:start w:val="1"/>
      <w:numFmt w:val="bullet"/>
      <w:lvlText w:val="•"/>
      <w:lvlJc w:val="left"/>
      <w:pPr>
        <w:tabs>
          <w:tab w:val="num" w:pos="5040"/>
        </w:tabs>
        <w:ind w:left="5040" w:hanging="360"/>
      </w:pPr>
      <w:rPr>
        <w:rFonts w:ascii="Arial" w:hAnsi="Arial" w:hint="default"/>
      </w:rPr>
    </w:lvl>
    <w:lvl w:ilvl="7" w:tplc="57BC52E4" w:tentative="1">
      <w:start w:val="1"/>
      <w:numFmt w:val="bullet"/>
      <w:lvlText w:val="•"/>
      <w:lvlJc w:val="left"/>
      <w:pPr>
        <w:tabs>
          <w:tab w:val="num" w:pos="5760"/>
        </w:tabs>
        <w:ind w:left="5760" w:hanging="360"/>
      </w:pPr>
      <w:rPr>
        <w:rFonts w:ascii="Arial" w:hAnsi="Arial" w:hint="default"/>
      </w:rPr>
    </w:lvl>
    <w:lvl w:ilvl="8" w:tplc="5930ECE6" w:tentative="1">
      <w:start w:val="1"/>
      <w:numFmt w:val="bullet"/>
      <w:lvlText w:val="•"/>
      <w:lvlJc w:val="left"/>
      <w:pPr>
        <w:tabs>
          <w:tab w:val="num" w:pos="6480"/>
        </w:tabs>
        <w:ind w:left="6480" w:hanging="360"/>
      </w:pPr>
      <w:rPr>
        <w:rFonts w:ascii="Arial" w:hAnsi="Arial" w:hint="default"/>
      </w:rPr>
    </w:lvl>
  </w:abstractNum>
  <w:abstractNum w:abstractNumId="33">
    <w:nsid w:val="4E6B318E"/>
    <w:multiLevelType w:val="hybridMultilevel"/>
    <w:tmpl w:val="9F981026"/>
    <w:lvl w:ilvl="0" w:tplc="F7029BA8">
      <w:start w:val="1"/>
      <w:numFmt w:val="bullet"/>
      <w:lvlText w:val="•"/>
      <w:lvlJc w:val="left"/>
      <w:pPr>
        <w:tabs>
          <w:tab w:val="num" w:pos="720"/>
        </w:tabs>
        <w:ind w:left="720" w:hanging="360"/>
      </w:pPr>
      <w:rPr>
        <w:rFonts w:ascii="Arial" w:hAnsi="Arial" w:hint="default"/>
      </w:rPr>
    </w:lvl>
    <w:lvl w:ilvl="1" w:tplc="2632BF84" w:tentative="1">
      <w:start w:val="1"/>
      <w:numFmt w:val="bullet"/>
      <w:lvlText w:val="•"/>
      <w:lvlJc w:val="left"/>
      <w:pPr>
        <w:tabs>
          <w:tab w:val="num" w:pos="1440"/>
        </w:tabs>
        <w:ind w:left="1440" w:hanging="360"/>
      </w:pPr>
      <w:rPr>
        <w:rFonts w:ascii="Arial" w:hAnsi="Arial" w:hint="default"/>
      </w:rPr>
    </w:lvl>
    <w:lvl w:ilvl="2" w:tplc="C88087EA" w:tentative="1">
      <w:start w:val="1"/>
      <w:numFmt w:val="bullet"/>
      <w:lvlText w:val="•"/>
      <w:lvlJc w:val="left"/>
      <w:pPr>
        <w:tabs>
          <w:tab w:val="num" w:pos="2160"/>
        </w:tabs>
        <w:ind w:left="2160" w:hanging="360"/>
      </w:pPr>
      <w:rPr>
        <w:rFonts w:ascii="Arial" w:hAnsi="Arial" w:hint="default"/>
      </w:rPr>
    </w:lvl>
    <w:lvl w:ilvl="3" w:tplc="AD00755E" w:tentative="1">
      <w:start w:val="1"/>
      <w:numFmt w:val="bullet"/>
      <w:lvlText w:val="•"/>
      <w:lvlJc w:val="left"/>
      <w:pPr>
        <w:tabs>
          <w:tab w:val="num" w:pos="2880"/>
        </w:tabs>
        <w:ind w:left="2880" w:hanging="360"/>
      </w:pPr>
      <w:rPr>
        <w:rFonts w:ascii="Arial" w:hAnsi="Arial" w:hint="default"/>
      </w:rPr>
    </w:lvl>
    <w:lvl w:ilvl="4" w:tplc="205026D4" w:tentative="1">
      <w:start w:val="1"/>
      <w:numFmt w:val="bullet"/>
      <w:lvlText w:val="•"/>
      <w:lvlJc w:val="left"/>
      <w:pPr>
        <w:tabs>
          <w:tab w:val="num" w:pos="3600"/>
        </w:tabs>
        <w:ind w:left="3600" w:hanging="360"/>
      </w:pPr>
      <w:rPr>
        <w:rFonts w:ascii="Arial" w:hAnsi="Arial" w:hint="default"/>
      </w:rPr>
    </w:lvl>
    <w:lvl w:ilvl="5" w:tplc="FEB4C9C2" w:tentative="1">
      <w:start w:val="1"/>
      <w:numFmt w:val="bullet"/>
      <w:lvlText w:val="•"/>
      <w:lvlJc w:val="left"/>
      <w:pPr>
        <w:tabs>
          <w:tab w:val="num" w:pos="4320"/>
        </w:tabs>
        <w:ind w:left="4320" w:hanging="360"/>
      </w:pPr>
      <w:rPr>
        <w:rFonts w:ascii="Arial" w:hAnsi="Arial" w:hint="default"/>
      </w:rPr>
    </w:lvl>
    <w:lvl w:ilvl="6" w:tplc="C97E8592" w:tentative="1">
      <w:start w:val="1"/>
      <w:numFmt w:val="bullet"/>
      <w:lvlText w:val="•"/>
      <w:lvlJc w:val="left"/>
      <w:pPr>
        <w:tabs>
          <w:tab w:val="num" w:pos="5040"/>
        </w:tabs>
        <w:ind w:left="5040" w:hanging="360"/>
      </w:pPr>
      <w:rPr>
        <w:rFonts w:ascii="Arial" w:hAnsi="Arial" w:hint="default"/>
      </w:rPr>
    </w:lvl>
    <w:lvl w:ilvl="7" w:tplc="DAE42054" w:tentative="1">
      <w:start w:val="1"/>
      <w:numFmt w:val="bullet"/>
      <w:lvlText w:val="•"/>
      <w:lvlJc w:val="left"/>
      <w:pPr>
        <w:tabs>
          <w:tab w:val="num" w:pos="5760"/>
        </w:tabs>
        <w:ind w:left="5760" w:hanging="360"/>
      </w:pPr>
      <w:rPr>
        <w:rFonts w:ascii="Arial" w:hAnsi="Arial" w:hint="default"/>
      </w:rPr>
    </w:lvl>
    <w:lvl w:ilvl="8" w:tplc="BA4EFAEC" w:tentative="1">
      <w:start w:val="1"/>
      <w:numFmt w:val="bullet"/>
      <w:lvlText w:val="•"/>
      <w:lvlJc w:val="left"/>
      <w:pPr>
        <w:tabs>
          <w:tab w:val="num" w:pos="6480"/>
        </w:tabs>
        <w:ind w:left="6480" w:hanging="360"/>
      </w:pPr>
      <w:rPr>
        <w:rFonts w:ascii="Arial" w:hAnsi="Arial" w:hint="default"/>
      </w:rPr>
    </w:lvl>
  </w:abstractNum>
  <w:abstractNum w:abstractNumId="34">
    <w:nsid w:val="534B1A62"/>
    <w:multiLevelType w:val="hybridMultilevel"/>
    <w:tmpl w:val="9DE025E8"/>
    <w:lvl w:ilvl="0" w:tplc="A948DEF8">
      <w:start w:val="1"/>
      <w:numFmt w:val="bullet"/>
      <w:lvlText w:val=""/>
      <w:lvlJc w:val="left"/>
      <w:pPr>
        <w:tabs>
          <w:tab w:val="num" w:pos="720"/>
        </w:tabs>
        <w:ind w:left="720" w:hanging="360"/>
      </w:pPr>
      <w:rPr>
        <w:rFonts w:ascii="Wingdings 2" w:hAnsi="Wingdings 2" w:hint="default"/>
      </w:rPr>
    </w:lvl>
    <w:lvl w:ilvl="1" w:tplc="57D265D2" w:tentative="1">
      <w:start w:val="1"/>
      <w:numFmt w:val="bullet"/>
      <w:lvlText w:val=""/>
      <w:lvlJc w:val="left"/>
      <w:pPr>
        <w:tabs>
          <w:tab w:val="num" w:pos="1440"/>
        </w:tabs>
        <w:ind w:left="1440" w:hanging="360"/>
      </w:pPr>
      <w:rPr>
        <w:rFonts w:ascii="Wingdings 2" w:hAnsi="Wingdings 2" w:hint="default"/>
      </w:rPr>
    </w:lvl>
    <w:lvl w:ilvl="2" w:tplc="9ACE4A64" w:tentative="1">
      <w:start w:val="1"/>
      <w:numFmt w:val="bullet"/>
      <w:lvlText w:val=""/>
      <w:lvlJc w:val="left"/>
      <w:pPr>
        <w:tabs>
          <w:tab w:val="num" w:pos="2160"/>
        </w:tabs>
        <w:ind w:left="2160" w:hanging="360"/>
      </w:pPr>
      <w:rPr>
        <w:rFonts w:ascii="Wingdings 2" w:hAnsi="Wingdings 2" w:hint="default"/>
      </w:rPr>
    </w:lvl>
    <w:lvl w:ilvl="3" w:tplc="6324D346" w:tentative="1">
      <w:start w:val="1"/>
      <w:numFmt w:val="bullet"/>
      <w:lvlText w:val=""/>
      <w:lvlJc w:val="left"/>
      <w:pPr>
        <w:tabs>
          <w:tab w:val="num" w:pos="2880"/>
        </w:tabs>
        <w:ind w:left="2880" w:hanging="360"/>
      </w:pPr>
      <w:rPr>
        <w:rFonts w:ascii="Wingdings 2" w:hAnsi="Wingdings 2" w:hint="default"/>
      </w:rPr>
    </w:lvl>
    <w:lvl w:ilvl="4" w:tplc="D6DA2B2A" w:tentative="1">
      <w:start w:val="1"/>
      <w:numFmt w:val="bullet"/>
      <w:lvlText w:val=""/>
      <w:lvlJc w:val="left"/>
      <w:pPr>
        <w:tabs>
          <w:tab w:val="num" w:pos="3600"/>
        </w:tabs>
        <w:ind w:left="3600" w:hanging="360"/>
      </w:pPr>
      <w:rPr>
        <w:rFonts w:ascii="Wingdings 2" w:hAnsi="Wingdings 2" w:hint="default"/>
      </w:rPr>
    </w:lvl>
    <w:lvl w:ilvl="5" w:tplc="39861704" w:tentative="1">
      <w:start w:val="1"/>
      <w:numFmt w:val="bullet"/>
      <w:lvlText w:val=""/>
      <w:lvlJc w:val="left"/>
      <w:pPr>
        <w:tabs>
          <w:tab w:val="num" w:pos="4320"/>
        </w:tabs>
        <w:ind w:left="4320" w:hanging="360"/>
      </w:pPr>
      <w:rPr>
        <w:rFonts w:ascii="Wingdings 2" w:hAnsi="Wingdings 2" w:hint="default"/>
      </w:rPr>
    </w:lvl>
    <w:lvl w:ilvl="6" w:tplc="704ED478" w:tentative="1">
      <w:start w:val="1"/>
      <w:numFmt w:val="bullet"/>
      <w:lvlText w:val=""/>
      <w:lvlJc w:val="left"/>
      <w:pPr>
        <w:tabs>
          <w:tab w:val="num" w:pos="5040"/>
        </w:tabs>
        <w:ind w:left="5040" w:hanging="360"/>
      </w:pPr>
      <w:rPr>
        <w:rFonts w:ascii="Wingdings 2" w:hAnsi="Wingdings 2" w:hint="default"/>
      </w:rPr>
    </w:lvl>
    <w:lvl w:ilvl="7" w:tplc="AB28AF20" w:tentative="1">
      <w:start w:val="1"/>
      <w:numFmt w:val="bullet"/>
      <w:lvlText w:val=""/>
      <w:lvlJc w:val="left"/>
      <w:pPr>
        <w:tabs>
          <w:tab w:val="num" w:pos="5760"/>
        </w:tabs>
        <w:ind w:left="5760" w:hanging="360"/>
      </w:pPr>
      <w:rPr>
        <w:rFonts w:ascii="Wingdings 2" w:hAnsi="Wingdings 2" w:hint="default"/>
      </w:rPr>
    </w:lvl>
    <w:lvl w:ilvl="8" w:tplc="DEC249F8" w:tentative="1">
      <w:start w:val="1"/>
      <w:numFmt w:val="bullet"/>
      <w:lvlText w:val=""/>
      <w:lvlJc w:val="left"/>
      <w:pPr>
        <w:tabs>
          <w:tab w:val="num" w:pos="6480"/>
        </w:tabs>
        <w:ind w:left="6480" w:hanging="360"/>
      </w:pPr>
      <w:rPr>
        <w:rFonts w:ascii="Wingdings 2" w:hAnsi="Wingdings 2" w:hint="default"/>
      </w:rPr>
    </w:lvl>
  </w:abstractNum>
  <w:abstractNum w:abstractNumId="35">
    <w:nsid w:val="54EE0879"/>
    <w:multiLevelType w:val="hybridMultilevel"/>
    <w:tmpl w:val="52F62860"/>
    <w:lvl w:ilvl="0" w:tplc="0C090001">
      <w:start w:val="58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A330CB3"/>
    <w:multiLevelType w:val="hybridMultilevel"/>
    <w:tmpl w:val="0910EB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5B261D19"/>
    <w:multiLevelType w:val="hybridMultilevel"/>
    <w:tmpl w:val="0E9CE66C"/>
    <w:lvl w:ilvl="0" w:tplc="47ACFEE8">
      <w:start w:val="1"/>
      <w:numFmt w:val="bullet"/>
      <w:lvlText w:val="•"/>
      <w:lvlJc w:val="left"/>
      <w:pPr>
        <w:tabs>
          <w:tab w:val="num" w:pos="720"/>
        </w:tabs>
        <w:ind w:left="720" w:hanging="360"/>
      </w:pPr>
      <w:rPr>
        <w:rFonts w:ascii="Arial" w:hAnsi="Arial" w:hint="default"/>
      </w:rPr>
    </w:lvl>
    <w:lvl w:ilvl="1" w:tplc="B364865C" w:tentative="1">
      <w:start w:val="1"/>
      <w:numFmt w:val="bullet"/>
      <w:lvlText w:val="•"/>
      <w:lvlJc w:val="left"/>
      <w:pPr>
        <w:tabs>
          <w:tab w:val="num" w:pos="1440"/>
        </w:tabs>
        <w:ind w:left="1440" w:hanging="360"/>
      </w:pPr>
      <w:rPr>
        <w:rFonts w:ascii="Arial" w:hAnsi="Arial" w:hint="default"/>
      </w:rPr>
    </w:lvl>
    <w:lvl w:ilvl="2" w:tplc="F10AC688" w:tentative="1">
      <w:start w:val="1"/>
      <w:numFmt w:val="bullet"/>
      <w:lvlText w:val="•"/>
      <w:lvlJc w:val="left"/>
      <w:pPr>
        <w:tabs>
          <w:tab w:val="num" w:pos="2160"/>
        </w:tabs>
        <w:ind w:left="2160" w:hanging="360"/>
      </w:pPr>
      <w:rPr>
        <w:rFonts w:ascii="Arial" w:hAnsi="Arial" w:hint="default"/>
      </w:rPr>
    </w:lvl>
    <w:lvl w:ilvl="3" w:tplc="09927718" w:tentative="1">
      <w:start w:val="1"/>
      <w:numFmt w:val="bullet"/>
      <w:lvlText w:val="•"/>
      <w:lvlJc w:val="left"/>
      <w:pPr>
        <w:tabs>
          <w:tab w:val="num" w:pos="2880"/>
        </w:tabs>
        <w:ind w:left="2880" w:hanging="360"/>
      </w:pPr>
      <w:rPr>
        <w:rFonts w:ascii="Arial" w:hAnsi="Arial" w:hint="default"/>
      </w:rPr>
    </w:lvl>
    <w:lvl w:ilvl="4" w:tplc="329CDE6A" w:tentative="1">
      <w:start w:val="1"/>
      <w:numFmt w:val="bullet"/>
      <w:lvlText w:val="•"/>
      <w:lvlJc w:val="left"/>
      <w:pPr>
        <w:tabs>
          <w:tab w:val="num" w:pos="3600"/>
        </w:tabs>
        <w:ind w:left="3600" w:hanging="360"/>
      </w:pPr>
      <w:rPr>
        <w:rFonts w:ascii="Arial" w:hAnsi="Arial" w:hint="default"/>
      </w:rPr>
    </w:lvl>
    <w:lvl w:ilvl="5" w:tplc="0D34E3B0" w:tentative="1">
      <w:start w:val="1"/>
      <w:numFmt w:val="bullet"/>
      <w:lvlText w:val="•"/>
      <w:lvlJc w:val="left"/>
      <w:pPr>
        <w:tabs>
          <w:tab w:val="num" w:pos="4320"/>
        </w:tabs>
        <w:ind w:left="4320" w:hanging="360"/>
      </w:pPr>
      <w:rPr>
        <w:rFonts w:ascii="Arial" w:hAnsi="Arial" w:hint="default"/>
      </w:rPr>
    </w:lvl>
    <w:lvl w:ilvl="6" w:tplc="7960F0D6" w:tentative="1">
      <w:start w:val="1"/>
      <w:numFmt w:val="bullet"/>
      <w:lvlText w:val="•"/>
      <w:lvlJc w:val="left"/>
      <w:pPr>
        <w:tabs>
          <w:tab w:val="num" w:pos="5040"/>
        </w:tabs>
        <w:ind w:left="5040" w:hanging="360"/>
      </w:pPr>
      <w:rPr>
        <w:rFonts w:ascii="Arial" w:hAnsi="Arial" w:hint="default"/>
      </w:rPr>
    </w:lvl>
    <w:lvl w:ilvl="7" w:tplc="E23C98AC" w:tentative="1">
      <w:start w:val="1"/>
      <w:numFmt w:val="bullet"/>
      <w:lvlText w:val="•"/>
      <w:lvlJc w:val="left"/>
      <w:pPr>
        <w:tabs>
          <w:tab w:val="num" w:pos="5760"/>
        </w:tabs>
        <w:ind w:left="5760" w:hanging="360"/>
      </w:pPr>
      <w:rPr>
        <w:rFonts w:ascii="Arial" w:hAnsi="Arial" w:hint="default"/>
      </w:rPr>
    </w:lvl>
    <w:lvl w:ilvl="8" w:tplc="A3FA5F22" w:tentative="1">
      <w:start w:val="1"/>
      <w:numFmt w:val="bullet"/>
      <w:lvlText w:val="•"/>
      <w:lvlJc w:val="left"/>
      <w:pPr>
        <w:tabs>
          <w:tab w:val="num" w:pos="6480"/>
        </w:tabs>
        <w:ind w:left="6480" w:hanging="360"/>
      </w:pPr>
      <w:rPr>
        <w:rFonts w:ascii="Arial" w:hAnsi="Arial" w:hint="default"/>
      </w:rPr>
    </w:lvl>
  </w:abstractNum>
  <w:abstractNum w:abstractNumId="38">
    <w:nsid w:val="5BB45E0B"/>
    <w:multiLevelType w:val="hybridMultilevel"/>
    <w:tmpl w:val="49B88D3C"/>
    <w:lvl w:ilvl="0" w:tplc="E2F803CC">
      <w:start w:val="1"/>
      <w:numFmt w:val="bullet"/>
      <w:lvlText w:val=""/>
      <w:lvlJc w:val="left"/>
      <w:pPr>
        <w:tabs>
          <w:tab w:val="num" w:pos="720"/>
        </w:tabs>
        <w:ind w:left="720" w:hanging="360"/>
      </w:pPr>
      <w:rPr>
        <w:rFonts w:ascii="Wingdings 2" w:hAnsi="Wingdings 2" w:hint="default"/>
      </w:rPr>
    </w:lvl>
    <w:lvl w:ilvl="1" w:tplc="1C9A81A6" w:tentative="1">
      <w:start w:val="1"/>
      <w:numFmt w:val="bullet"/>
      <w:lvlText w:val=""/>
      <w:lvlJc w:val="left"/>
      <w:pPr>
        <w:tabs>
          <w:tab w:val="num" w:pos="1440"/>
        </w:tabs>
        <w:ind w:left="1440" w:hanging="360"/>
      </w:pPr>
      <w:rPr>
        <w:rFonts w:ascii="Wingdings 2" w:hAnsi="Wingdings 2" w:hint="default"/>
      </w:rPr>
    </w:lvl>
    <w:lvl w:ilvl="2" w:tplc="64FECDBA" w:tentative="1">
      <w:start w:val="1"/>
      <w:numFmt w:val="bullet"/>
      <w:lvlText w:val=""/>
      <w:lvlJc w:val="left"/>
      <w:pPr>
        <w:tabs>
          <w:tab w:val="num" w:pos="2160"/>
        </w:tabs>
        <w:ind w:left="2160" w:hanging="360"/>
      </w:pPr>
      <w:rPr>
        <w:rFonts w:ascii="Wingdings 2" w:hAnsi="Wingdings 2" w:hint="default"/>
      </w:rPr>
    </w:lvl>
    <w:lvl w:ilvl="3" w:tplc="08668666" w:tentative="1">
      <w:start w:val="1"/>
      <w:numFmt w:val="bullet"/>
      <w:lvlText w:val=""/>
      <w:lvlJc w:val="left"/>
      <w:pPr>
        <w:tabs>
          <w:tab w:val="num" w:pos="2880"/>
        </w:tabs>
        <w:ind w:left="2880" w:hanging="360"/>
      </w:pPr>
      <w:rPr>
        <w:rFonts w:ascii="Wingdings 2" w:hAnsi="Wingdings 2" w:hint="default"/>
      </w:rPr>
    </w:lvl>
    <w:lvl w:ilvl="4" w:tplc="91087E66" w:tentative="1">
      <w:start w:val="1"/>
      <w:numFmt w:val="bullet"/>
      <w:lvlText w:val=""/>
      <w:lvlJc w:val="left"/>
      <w:pPr>
        <w:tabs>
          <w:tab w:val="num" w:pos="3600"/>
        </w:tabs>
        <w:ind w:left="3600" w:hanging="360"/>
      </w:pPr>
      <w:rPr>
        <w:rFonts w:ascii="Wingdings 2" w:hAnsi="Wingdings 2" w:hint="default"/>
      </w:rPr>
    </w:lvl>
    <w:lvl w:ilvl="5" w:tplc="930CBEB4" w:tentative="1">
      <w:start w:val="1"/>
      <w:numFmt w:val="bullet"/>
      <w:lvlText w:val=""/>
      <w:lvlJc w:val="left"/>
      <w:pPr>
        <w:tabs>
          <w:tab w:val="num" w:pos="4320"/>
        </w:tabs>
        <w:ind w:left="4320" w:hanging="360"/>
      </w:pPr>
      <w:rPr>
        <w:rFonts w:ascii="Wingdings 2" w:hAnsi="Wingdings 2" w:hint="default"/>
      </w:rPr>
    </w:lvl>
    <w:lvl w:ilvl="6" w:tplc="8D7A07DE" w:tentative="1">
      <w:start w:val="1"/>
      <w:numFmt w:val="bullet"/>
      <w:lvlText w:val=""/>
      <w:lvlJc w:val="left"/>
      <w:pPr>
        <w:tabs>
          <w:tab w:val="num" w:pos="5040"/>
        </w:tabs>
        <w:ind w:left="5040" w:hanging="360"/>
      </w:pPr>
      <w:rPr>
        <w:rFonts w:ascii="Wingdings 2" w:hAnsi="Wingdings 2" w:hint="default"/>
      </w:rPr>
    </w:lvl>
    <w:lvl w:ilvl="7" w:tplc="53EAAA00" w:tentative="1">
      <w:start w:val="1"/>
      <w:numFmt w:val="bullet"/>
      <w:lvlText w:val=""/>
      <w:lvlJc w:val="left"/>
      <w:pPr>
        <w:tabs>
          <w:tab w:val="num" w:pos="5760"/>
        </w:tabs>
        <w:ind w:left="5760" w:hanging="360"/>
      </w:pPr>
      <w:rPr>
        <w:rFonts w:ascii="Wingdings 2" w:hAnsi="Wingdings 2" w:hint="default"/>
      </w:rPr>
    </w:lvl>
    <w:lvl w:ilvl="8" w:tplc="360A9FA2" w:tentative="1">
      <w:start w:val="1"/>
      <w:numFmt w:val="bullet"/>
      <w:lvlText w:val=""/>
      <w:lvlJc w:val="left"/>
      <w:pPr>
        <w:tabs>
          <w:tab w:val="num" w:pos="6480"/>
        </w:tabs>
        <w:ind w:left="6480" w:hanging="360"/>
      </w:pPr>
      <w:rPr>
        <w:rFonts w:ascii="Wingdings 2" w:hAnsi="Wingdings 2" w:hint="default"/>
      </w:rPr>
    </w:lvl>
  </w:abstractNum>
  <w:abstractNum w:abstractNumId="39">
    <w:nsid w:val="5D654357"/>
    <w:multiLevelType w:val="multilevel"/>
    <w:tmpl w:val="4722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0C39CB"/>
    <w:multiLevelType w:val="multilevel"/>
    <w:tmpl w:val="1CC89F22"/>
    <w:lvl w:ilvl="0">
      <w:start w:val="3"/>
      <w:numFmt w:val="decimal"/>
      <w:lvlText w:val="%1"/>
      <w:lvlJc w:val="left"/>
      <w:pPr>
        <w:tabs>
          <w:tab w:val="num" w:pos="540"/>
        </w:tabs>
        <w:ind w:left="540" w:hanging="540"/>
      </w:pPr>
      <w:rPr>
        <w:rFonts w:hint="default"/>
      </w:rPr>
    </w:lvl>
    <w:lvl w:ilv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F2B3144"/>
    <w:multiLevelType w:val="multilevel"/>
    <w:tmpl w:val="50C2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F65738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0C501D"/>
    <w:multiLevelType w:val="hybridMultilevel"/>
    <w:tmpl w:val="6158D976"/>
    <w:lvl w:ilvl="0" w:tplc="2636682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62761890"/>
    <w:multiLevelType w:val="multilevel"/>
    <w:tmpl w:val="CECE684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upperRoman"/>
      <w:lvlText w:val="%7."/>
      <w:lvlJc w:val="righ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6592B14"/>
    <w:multiLevelType w:val="hybridMultilevel"/>
    <w:tmpl w:val="B554C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90B20BF"/>
    <w:multiLevelType w:val="hybridMultilevel"/>
    <w:tmpl w:val="05B20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6E5C7DE0"/>
    <w:multiLevelType w:val="multilevel"/>
    <w:tmpl w:val="3626DA4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upperRoman"/>
      <w:lvlText w:val="%7."/>
      <w:lvlJc w:val="righ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F1425EA"/>
    <w:multiLevelType w:val="hybridMultilevel"/>
    <w:tmpl w:val="6C823C9A"/>
    <w:lvl w:ilvl="0" w:tplc="6F044DAA">
      <w:start w:val="1"/>
      <w:numFmt w:val="bullet"/>
      <w:lvlText w:val=""/>
      <w:lvlJc w:val="left"/>
      <w:pPr>
        <w:tabs>
          <w:tab w:val="num" w:pos="720"/>
        </w:tabs>
        <w:ind w:left="720" w:hanging="360"/>
      </w:pPr>
      <w:rPr>
        <w:rFonts w:ascii="Wingdings 2" w:hAnsi="Wingdings 2" w:hint="default"/>
      </w:rPr>
    </w:lvl>
    <w:lvl w:ilvl="1" w:tplc="E3085D98" w:tentative="1">
      <w:start w:val="1"/>
      <w:numFmt w:val="bullet"/>
      <w:lvlText w:val=""/>
      <w:lvlJc w:val="left"/>
      <w:pPr>
        <w:tabs>
          <w:tab w:val="num" w:pos="1440"/>
        </w:tabs>
        <w:ind w:left="1440" w:hanging="360"/>
      </w:pPr>
      <w:rPr>
        <w:rFonts w:ascii="Wingdings 2" w:hAnsi="Wingdings 2" w:hint="default"/>
      </w:rPr>
    </w:lvl>
    <w:lvl w:ilvl="2" w:tplc="EEB661D8" w:tentative="1">
      <w:start w:val="1"/>
      <w:numFmt w:val="bullet"/>
      <w:lvlText w:val=""/>
      <w:lvlJc w:val="left"/>
      <w:pPr>
        <w:tabs>
          <w:tab w:val="num" w:pos="2160"/>
        </w:tabs>
        <w:ind w:left="2160" w:hanging="360"/>
      </w:pPr>
      <w:rPr>
        <w:rFonts w:ascii="Wingdings 2" w:hAnsi="Wingdings 2" w:hint="default"/>
      </w:rPr>
    </w:lvl>
    <w:lvl w:ilvl="3" w:tplc="07BAED4E" w:tentative="1">
      <w:start w:val="1"/>
      <w:numFmt w:val="bullet"/>
      <w:lvlText w:val=""/>
      <w:lvlJc w:val="left"/>
      <w:pPr>
        <w:tabs>
          <w:tab w:val="num" w:pos="2880"/>
        </w:tabs>
        <w:ind w:left="2880" w:hanging="360"/>
      </w:pPr>
      <w:rPr>
        <w:rFonts w:ascii="Wingdings 2" w:hAnsi="Wingdings 2" w:hint="default"/>
      </w:rPr>
    </w:lvl>
    <w:lvl w:ilvl="4" w:tplc="88B4FFF6" w:tentative="1">
      <w:start w:val="1"/>
      <w:numFmt w:val="bullet"/>
      <w:lvlText w:val=""/>
      <w:lvlJc w:val="left"/>
      <w:pPr>
        <w:tabs>
          <w:tab w:val="num" w:pos="3600"/>
        </w:tabs>
        <w:ind w:left="3600" w:hanging="360"/>
      </w:pPr>
      <w:rPr>
        <w:rFonts w:ascii="Wingdings 2" w:hAnsi="Wingdings 2" w:hint="default"/>
      </w:rPr>
    </w:lvl>
    <w:lvl w:ilvl="5" w:tplc="3EAA4C14" w:tentative="1">
      <w:start w:val="1"/>
      <w:numFmt w:val="bullet"/>
      <w:lvlText w:val=""/>
      <w:lvlJc w:val="left"/>
      <w:pPr>
        <w:tabs>
          <w:tab w:val="num" w:pos="4320"/>
        </w:tabs>
        <w:ind w:left="4320" w:hanging="360"/>
      </w:pPr>
      <w:rPr>
        <w:rFonts w:ascii="Wingdings 2" w:hAnsi="Wingdings 2" w:hint="default"/>
      </w:rPr>
    </w:lvl>
    <w:lvl w:ilvl="6" w:tplc="2E524C3A" w:tentative="1">
      <w:start w:val="1"/>
      <w:numFmt w:val="bullet"/>
      <w:lvlText w:val=""/>
      <w:lvlJc w:val="left"/>
      <w:pPr>
        <w:tabs>
          <w:tab w:val="num" w:pos="5040"/>
        </w:tabs>
        <w:ind w:left="5040" w:hanging="360"/>
      </w:pPr>
      <w:rPr>
        <w:rFonts w:ascii="Wingdings 2" w:hAnsi="Wingdings 2" w:hint="default"/>
      </w:rPr>
    </w:lvl>
    <w:lvl w:ilvl="7" w:tplc="9D7E52C0" w:tentative="1">
      <w:start w:val="1"/>
      <w:numFmt w:val="bullet"/>
      <w:lvlText w:val=""/>
      <w:lvlJc w:val="left"/>
      <w:pPr>
        <w:tabs>
          <w:tab w:val="num" w:pos="5760"/>
        </w:tabs>
        <w:ind w:left="5760" w:hanging="360"/>
      </w:pPr>
      <w:rPr>
        <w:rFonts w:ascii="Wingdings 2" w:hAnsi="Wingdings 2" w:hint="default"/>
      </w:rPr>
    </w:lvl>
    <w:lvl w:ilvl="8" w:tplc="EB42C71C" w:tentative="1">
      <w:start w:val="1"/>
      <w:numFmt w:val="bullet"/>
      <w:lvlText w:val=""/>
      <w:lvlJc w:val="left"/>
      <w:pPr>
        <w:tabs>
          <w:tab w:val="num" w:pos="6480"/>
        </w:tabs>
        <w:ind w:left="6480" w:hanging="360"/>
      </w:pPr>
      <w:rPr>
        <w:rFonts w:ascii="Wingdings 2" w:hAnsi="Wingdings 2" w:hint="default"/>
      </w:rPr>
    </w:lvl>
  </w:abstractNum>
  <w:abstractNum w:abstractNumId="49">
    <w:nsid w:val="728E75E7"/>
    <w:multiLevelType w:val="hybridMultilevel"/>
    <w:tmpl w:val="C18EE3C2"/>
    <w:lvl w:ilvl="0" w:tplc="1C16EB46">
      <w:start w:val="1"/>
      <w:numFmt w:val="bullet"/>
      <w:lvlText w:val=""/>
      <w:lvlJc w:val="left"/>
      <w:pPr>
        <w:tabs>
          <w:tab w:val="num" w:pos="720"/>
        </w:tabs>
        <w:ind w:left="720" w:hanging="360"/>
      </w:pPr>
      <w:rPr>
        <w:rFonts w:ascii="Wingdings 2" w:hAnsi="Wingdings 2" w:hint="default"/>
      </w:rPr>
    </w:lvl>
    <w:lvl w:ilvl="1" w:tplc="A086D620" w:tentative="1">
      <w:start w:val="1"/>
      <w:numFmt w:val="bullet"/>
      <w:lvlText w:val=""/>
      <w:lvlJc w:val="left"/>
      <w:pPr>
        <w:tabs>
          <w:tab w:val="num" w:pos="1440"/>
        </w:tabs>
        <w:ind w:left="1440" w:hanging="360"/>
      </w:pPr>
      <w:rPr>
        <w:rFonts w:ascii="Wingdings 2" w:hAnsi="Wingdings 2" w:hint="default"/>
      </w:rPr>
    </w:lvl>
    <w:lvl w:ilvl="2" w:tplc="14BE1B60" w:tentative="1">
      <w:start w:val="1"/>
      <w:numFmt w:val="bullet"/>
      <w:lvlText w:val=""/>
      <w:lvlJc w:val="left"/>
      <w:pPr>
        <w:tabs>
          <w:tab w:val="num" w:pos="2160"/>
        </w:tabs>
        <w:ind w:left="2160" w:hanging="360"/>
      </w:pPr>
      <w:rPr>
        <w:rFonts w:ascii="Wingdings 2" w:hAnsi="Wingdings 2" w:hint="default"/>
      </w:rPr>
    </w:lvl>
    <w:lvl w:ilvl="3" w:tplc="B8A065E0" w:tentative="1">
      <w:start w:val="1"/>
      <w:numFmt w:val="bullet"/>
      <w:lvlText w:val=""/>
      <w:lvlJc w:val="left"/>
      <w:pPr>
        <w:tabs>
          <w:tab w:val="num" w:pos="2880"/>
        </w:tabs>
        <w:ind w:left="2880" w:hanging="360"/>
      </w:pPr>
      <w:rPr>
        <w:rFonts w:ascii="Wingdings 2" w:hAnsi="Wingdings 2" w:hint="default"/>
      </w:rPr>
    </w:lvl>
    <w:lvl w:ilvl="4" w:tplc="99943B04" w:tentative="1">
      <w:start w:val="1"/>
      <w:numFmt w:val="bullet"/>
      <w:lvlText w:val=""/>
      <w:lvlJc w:val="left"/>
      <w:pPr>
        <w:tabs>
          <w:tab w:val="num" w:pos="3600"/>
        </w:tabs>
        <w:ind w:left="3600" w:hanging="360"/>
      </w:pPr>
      <w:rPr>
        <w:rFonts w:ascii="Wingdings 2" w:hAnsi="Wingdings 2" w:hint="default"/>
      </w:rPr>
    </w:lvl>
    <w:lvl w:ilvl="5" w:tplc="9B323ED6" w:tentative="1">
      <w:start w:val="1"/>
      <w:numFmt w:val="bullet"/>
      <w:lvlText w:val=""/>
      <w:lvlJc w:val="left"/>
      <w:pPr>
        <w:tabs>
          <w:tab w:val="num" w:pos="4320"/>
        </w:tabs>
        <w:ind w:left="4320" w:hanging="360"/>
      </w:pPr>
      <w:rPr>
        <w:rFonts w:ascii="Wingdings 2" w:hAnsi="Wingdings 2" w:hint="default"/>
      </w:rPr>
    </w:lvl>
    <w:lvl w:ilvl="6" w:tplc="E47E566E" w:tentative="1">
      <w:start w:val="1"/>
      <w:numFmt w:val="bullet"/>
      <w:lvlText w:val=""/>
      <w:lvlJc w:val="left"/>
      <w:pPr>
        <w:tabs>
          <w:tab w:val="num" w:pos="5040"/>
        </w:tabs>
        <w:ind w:left="5040" w:hanging="360"/>
      </w:pPr>
      <w:rPr>
        <w:rFonts w:ascii="Wingdings 2" w:hAnsi="Wingdings 2" w:hint="default"/>
      </w:rPr>
    </w:lvl>
    <w:lvl w:ilvl="7" w:tplc="4A9EEA02" w:tentative="1">
      <w:start w:val="1"/>
      <w:numFmt w:val="bullet"/>
      <w:lvlText w:val=""/>
      <w:lvlJc w:val="left"/>
      <w:pPr>
        <w:tabs>
          <w:tab w:val="num" w:pos="5760"/>
        </w:tabs>
        <w:ind w:left="5760" w:hanging="360"/>
      </w:pPr>
      <w:rPr>
        <w:rFonts w:ascii="Wingdings 2" w:hAnsi="Wingdings 2" w:hint="default"/>
      </w:rPr>
    </w:lvl>
    <w:lvl w:ilvl="8" w:tplc="D3D4F926" w:tentative="1">
      <w:start w:val="1"/>
      <w:numFmt w:val="bullet"/>
      <w:lvlText w:val=""/>
      <w:lvlJc w:val="left"/>
      <w:pPr>
        <w:tabs>
          <w:tab w:val="num" w:pos="6480"/>
        </w:tabs>
        <w:ind w:left="6480" w:hanging="360"/>
      </w:pPr>
      <w:rPr>
        <w:rFonts w:ascii="Wingdings 2" w:hAnsi="Wingdings 2" w:hint="default"/>
      </w:rPr>
    </w:lvl>
  </w:abstractNum>
  <w:abstractNum w:abstractNumId="50">
    <w:nsid w:val="72EB6B18"/>
    <w:multiLevelType w:val="hybridMultilevel"/>
    <w:tmpl w:val="819E319C"/>
    <w:lvl w:ilvl="0" w:tplc="9C609B9C">
      <w:start w:val="1"/>
      <w:numFmt w:val="bullet"/>
      <w:lvlText w:val="•"/>
      <w:lvlJc w:val="left"/>
      <w:pPr>
        <w:tabs>
          <w:tab w:val="num" w:pos="720"/>
        </w:tabs>
        <w:ind w:left="720" w:hanging="360"/>
      </w:pPr>
      <w:rPr>
        <w:rFonts w:ascii="Arial" w:hAnsi="Arial" w:hint="default"/>
      </w:rPr>
    </w:lvl>
    <w:lvl w:ilvl="1" w:tplc="420E6D9E" w:tentative="1">
      <w:start w:val="1"/>
      <w:numFmt w:val="bullet"/>
      <w:lvlText w:val="•"/>
      <w:lvlJc w:val="left"/>
      <w:pPr>
        <w:tabs>
          <w:tab w:val="num" w:pos="1440"/>
        </w:tabs>
        <w:ind w:left="1440" w:hanging="360"/>
      </w:pPr>
      <w:rPr>
        <w:rFonts w:ascii="Arial" w:hAnsi="Arial" w:hint="default"/>
      </w:rPr>
    </w:lvl>
    <w:lvl w:ilvl="2" w:tplc="9FEA43A4" w:tentative="1">
      <w:start w:val="1"/>
      <w:numFmt w:val="bullet"/>
      <w:lvlText w:val="•"/>
      <w:lvlJc w:val="left"/>
      <w:pPr>
        <w:tabs>
          <w:tab w:val="num" w:pos="2160"/>
        </w:tabs>
        <w:ind w:left="2160" w:hanging="360"/>
      </w:pPr>
      <w:rPr>
        <w:rFonts w:ascii="Arial" w:hAnsi="Arial" w:hint="default"/>
      </w:rPr>
    </w:lvl>
    <w:lvl w:ilvl="3" w:tplc="811808FC" w:tentative="1">
      <w:start w:val="1"/>
      <w:numFmt w:val="bullet"/>
      <w:lvlText w:val="•"/>
      <w:lvlJc w:val="left"/>
      <w:pPr>
        <w:tabs>
          <w:tab w:val="num" w:pos="2880"/>
        </w:tabs>
        <w:ind w:left="2880" w:hanging="360"/>
      </w:pPr>
      <w:rPr>
        <w:rFonts w:ascii="Arial" w:hAnsi="Arial" w:hint="default"/>
      </w:rPr>
    </w:lvl>
    <w:lvl w:ilvl="4" w:tplc="124678F8" w:tentative="1">
      <w:start w:val="1"/>
      <w:numFmt w:val="bullet"/>
      <w:lvlText w:val="•"/>
      <w:lvlJc w:val="left"/>
      <w:pPr>
        <w:tabs>
          <w:tab w:val="num" w:pos="3600"/>
        </w:tabs>
        <w:ind w:left="3600" w:hanging="360"/>
      </w:pPr>
      <w:rPr>
        <w:rFonts w:ascii="Arial" w:hAnsi="Arial" w:hint="default"/>
      </w:rPr>
    </w:lvl>
    <w:lvl w:ilvl="5" w:tplc="49327FB6" w:tentative="1">
      <w:start w:val="1"/>
      <w:numFmt w:val="bullet"/>
      <w:lvlText w:val="•"/>
      <w:lvlJc w:val="left"/>
      <w:pPr>
        <w:tabs>
          <w:tab w:val="num" w:pos="4320"/>
        </w:tabs>
        <w:ind w:left="4320" w:hanging="360"/>
      </w:pPr>
      <w:rPr>
        <w:rFonts w:ascii="Arial" w:hAnsi="Arial" w:hint="default"/>
      </w:rPr>
    </w:lvl>
    <w:lvl w:ilvl="6" w:tplc="EE82AFD4" w:tentative="1">
      <w:start w:val="1"/>
      <w:numFmt w:val="bullet"/>
      <w:lvlText w:val="•"/>
      <w:lvlJc w:val="left"/>
      <w:pPr>
        <w:tabs>
          <w:tab w:val="num" w:pos="5040"/>
        </w:tabs>
        <w:ind w:left="5040" w:hanging="360"/>
      </w:pPr>
      <w:rPr>
        <w:rFonts w:ascii="Arial" w:hAnsi="Arial" w:hint="default"/>
      </w:rPr>
    </w:lvl>
    <w:lvl w:ilvl="7" w:tplc="F120187C" w:tentative="1">
      <w:start w:val="1"/>
      <w:numFmt w:val="bullet"/>
      <w:lvlText w:val="•"/>
      <w:lvlJc w:val="left"/>
      <w:pPr>
        <w:tabs>
          <w:tab w:val="num" w:pos="5760"/>
        </w:tabs>
        <w:ind w:left="5760" w:hanging="360"/>
      </w:pPr>
      <w:rPr>
        <w:rFonts w:ascii="Arial" w:hAnsi="Arial" w:hint="default"/>
      </w:rPr>
    </w:lvl>
    <w:lvl w:ilvl="8" w:tplc="A79A63B2" w:tentative="1">
      <w:start w:val="1"/>
      <w:numFmt w:val="bullet"/>
      <w:lvlText w:val="•"/>
      <w:lvlJc w:val="left"/>
      <w:pPr>
        <w:tabs>
          <w:tab w:val="num" w:pos="6480"/>
        </w:tabs>
        <w:ind w:left="6480" w:hanging="360"/>
      </w:pPr>
      <w:rPr>
        <w:rFonts w:ascii="Arial" w:hAnsi="Arial" w:hint="default"/>
      </w:rPr>
    </w:lvl>
  </w:abstractNum>
  <w:abstractNum w:abstractNumId="51">
    <w:nsid w:val="73CE69C8"/>
    <w:multiLevelType w:val="hybridMultilevel"/>
    <w:tmpl w:val="BEDA37EA"/>
    <w:lvl w:ilvl="0" w:tplc="6738340A">
      <w:start w:val="1"/>
      <w:numFmt w:val="bullet"/>
      <w:lvlText w:val=""/>
      <w:lvlJc w:val="left"/>
      <w:pPr>
        <w:tabs>
          <w:tab w:val="num" w:pos="720"/>
        </w:tabs>
        <w:ind w:left="720" w:hanging="360"/>
      </w:pPr>
      <w:rPr>
        <w:rFonts w:ascii="Wingdings 2" w:hAnsi="Wingdings 2" w:hint="default"/>
      </w:rPr>
    </w:lvl>
    <w:lvl w:ilvl="1" w:tplc="C6C27AC4" w:tentative="1">
      <w:start w:val="1"/>
      <w:numFmt w:val="bullet"/>
      <w:lvlText w:val=""/>
      <w:lvlJc w:val="left"/>
      <w:pPr>
        <w:tabs>
          <w:tab w:val="num" w:pos="1440"/>
        </w:tabs>
        <w:ind w:left="1440" w:hanging="360"/>
      </w:pPr>
      <w:rPr>
        <w:rFonts w:ascii="Wingdings 2" w:hAnsi="Wingdings 2" w:hint="default"/>
      </w:rPr>
    </w:lvl>
    <w:lvl w:ilvl="2" w:tplc="5414E3D8" w:tentative="1">
      <w:start w:val="1"/>
      <w:numFmt w:val="bullet"/>
      <w:lvlText w:val=""/>
      <w:lvlJc w:val="left"/>
      <w:pPr>
        <w:tabs>
          <w:tab w:val="num" w:pos="2160"/>
        </w:tabs>
        <w:ind w:left="2160" w:hanging="360"/>
      </w:pPr>
      <w:rPr>
        <w:rFonts w:ascii="Wingdings 2" w:hAnsi="Wingdings 2" w:hint="default"/>
      </w:rPr>
    </w:lvl>
    <w:lvl w:ilvl="3" w:tplc="88302B70" w:tentative="1">
      <w:start w:val="1"/>
      <w:numFmt w:val="bullet"/>
      <w:lvlText w:val=""/>
      <w:lvlJc w:val="left"/>
      <w:pPr>
        <w:tabs>
          <w:tab w:val="num" w:pos="2880"/>
        </w:tabs>
        <w:ind w:left="2880" w:hanging="360"/>
      </w:pPr>
      <w:rPr>
        <w:rFonts w:ascii="Wingdings 2" w:hAnsi="Wingdings 2" w:hint="default"/>
      </w:rPr>
    </w:lvl>
    <w:lvl w:ilvl="4" w:tplc="E63E7630" w:tentative="1">
      <w:start w:val="1"/>
      <w:numFmt w:val="bullet"/>
      <w:lvlText w:val=""/>
      <w:lvlJc w:val="left"/>
      <w:pPr>
        <w:tabs>
          <w:tab w:val="num" w:pos="3600"/>
        </w:tabs>
        <w:ind w:left="3600" w:hanging="360"/>
      </w:pPr>
      <w:rPr>
        <w:rFonts w:ascii="Wingdings 2" w:hAnsi="Wingdings 2" w:hint="default"/>
      </w:rPr>
    </w:lvl>
    <w:lvl w:ilvl="5" w:tplc="A78A0B1A" w:tentative="1">
      <w:start w:val="1"/>
      <w:numFmt w:val="bullet"/>
      <w:lvlText w:val=""/>
      <w:lvlJc w:val="left"/>
      <w:pPr>
        <w:tabs>
          <w:tab w:val="num" w:pos="4320"/>
        </w:tabs>
        <w:ind w:left="4320" w:hanging="360"/>
      </w:pPr>
      <w:rPr>
        <w:rFonts w:ascii="Wingdings 2" w:hAnsi="Wingdings 2" w:hint="default"/>
      </w:rPr>
    </w:lvl>
    <w:lvl w:ilvl="6" w:tplc="3C64170A" w:tentative="1">
      <w:start w:val="1"/>
      <w:numFmt w:val="bullet"/>
      <w:lvlText w:val=""/>
      <w:lvlJc w:val="left"/>
      <w:pPr>
        <w:tabs>
          <w:tab w:val="num" w:pos="5040"/>
        </w:tabs>
        <w:ind w:left="5040" w:hanging="360"/>
      </w:pPr>
      <w:rPr>
        <w:rFonts w:ascii="Wingdings 2" w:hAnsi="Wingdings 2" w:hint="default"/>
      </w:rPr>
    </w:lvl>
    <w:lvl w:ilvl="7" w:tplc="278EFC3E" w:tentative="1">
      <w:start w:val="1"/>
      <w:numFmt w:val="bullet"/>
      <w:lvlText w:val=""/>
      <w:lvlJc w:val="left"/>
      <w:pPr>
        <w:tabs>
          <w:tab w:val="num" w:pos="5760"/>
        </w:tabs>
        <w:ind w:left="5760" w:hanging="360"/>
      </w:pPr>
      <w:rPr>
        <w:rFonts w:ascii="Wingdings 2" w:hAnsi="Wingdings 2" w:hint="default"/>
      </w:rPr>
    </w:lvl>
    <w:lvl w:ilvl="8" w:tplc="6114B120" w:tentative="1">
      <w:start w:val="1"/>
      <w:numFmt w:val="bullet"/>
      <w:lvlText w:val=""/>
      <w:lvlJc w:val="left"/>
      <w:pPr>
        <w:tabs>
          <w:tab w:val="num" w:pos="6480"/>
        </w:tabs>
        <w:ind w:left="6480" w:hanging="360"/>
      </w:pPr>
      <w:rPr>
        <w:rFonts w:ascii="Wingdings 2" w:hAnsi="Wingdings 2" w:hint="default"/>
      </w:rPr>
    </w:lvl>
  </w:abstractNum>
  <w:abstractNum w:abstractNumId="52">
    <w:nsid w:val="772644B7"/>
    <w:multiLevelType w:val="multilevel"/>
    <w:tmpl w:val="B4A837F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D4226B7"/>
    <w:multiLevelType w:val="hybridMultilevel"/>
    <w:tmpl w:val="8BB29364"/>
    <w:lvl w:ilvl="0" w:tplc="EF960314">
      <w:start w:val="3"/>
      <w:numFmt w:val="decimal"/>
      <w:lvlText w:val="%1."/>
      <w:lvlJc w:val="left"/>
      <w:pPr>
        <w:ind w:left="720" w:hanging="360"/>
      </w:pPr>
      <w:rPr>
        <w:rFonts w:eastAsiaTheme="minorHAnsi" w:hint="default"/>
        <w:b w:val="0"/>
        <w:sz w:val="24"/>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7F72025C"/>
    <w:multiLevelType w:val="hybridMultilevel"/>
    <w:tmpl w:val="6B481FF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0"/>
  </w:num>
  <w:num w:numId="3">
    <w:abstractNumId w:val="47"/>
  </w:num>
  <w:num w:numId="4">
    <w:abstractNumId w:val="38"/>
  </w:num>
  <w:num w:numId="5">
    <w:abstractNumId w:val="37"/>
  </w:num>
  <w:num w:numId="6">
    <w:abstractNumId w:val="48"/>
  </w:num>
  <w:num w:numId="7">
    <w:abstractNumId w:val="32"/>
  </w:num>
  <w:num w:numId="8">
    <w:abstractNumId w:val="14"/>
  </w:num>
  <w:num w:numId="9">
    <w:abstractNumId w:val="4"/>
  </w:num>
  <w:num w:numId="10">
    <w:abstractNumId w:val="51"/>
  </w:num>
  <w:num w:numId="11">
    <w:abstractNumId w:val="18"/>
  </w:num>
  <w:num w:numId="12">
    <w:abstractNumId w:val="27"/>
  </w:num>
  <w:num w:numId="13">
    <w:abstractNumId w:val="34"/>
  </w:num>
  <w:num w:numId="14">
    <w:abstractNumId w:val="20"/>
  </w:num>
  <w:num w:numId="15">
    <w:abstractNumId w:val="49"/>
  </w:num>
  <w:num w:numId="16">
    <w:abstractNumId w:val="22"/>
  </w:num>
  <w:num w:numId="17">
    <w:abstractNumId w:val="45"/>
  </w:num>
  <w:num w:numId="18">
    <w:abstractNumId w:val="28"/>
  </w:num>
  <w:num w:numId="19">
    <w:abstractNumId w:val="46"/>
  </w:num>
  <w:num w:numId="20">
    <w:abstractNumId w:val="8"/>
  </w:num>
  <w:num w:numId="21">
    <w:abstractNumId w:val="26"/>
  </w:num>
  <w:num w:numId="22">
    <w:abstractNumId w:val="11"/>
  </w:num>
  <w:num w:numId="23">
    <w:abstractNumId w:val="31"/>
  </w:num>
  <w:num w:numId="24">
    <w:abstractNumId w:val="40"/>
  </w:num>
  <w:num w:numId="25">
    <w:abstractNumId w:val="0"/>
  </w:num>
  <w:num w:numId="26">
    <w:abstractNumId w:val="21"/>
  </w:num>
  <w:num w:numId="27">
    <w:abstractNumId w:val="44"/>
  </w:num>
  <w:num w:numId="28">
    <w:abstractNumId w:val="9"/>
  </w:num>
  <w:num w:numId="29">
    <w:abstractNumId w:val="7"/>
  </w:num>
  <w:num w:numId="30">
    <w:abstractNumId w:val="36"/>
  </w:num>
  <w:num w:numId="31">
    <w:abstractNumId w:val="43"/>
  </w:num>
  <w:num w:numId="32">
    <w:abstractNumId w:val="53"/>
  </w:num>
  <w:num w:numId="33">
    <w:abstractNumId w:val="17"/>
  </w:num>
  <w:num w:numId="34">
    <w:abstractNumId w:val="52"/>
  </w:num>
  <w:num w:numId="35">
    <w:abstractNumId w:val="16"/>
  </w:num>
  <w:num w:numId="36">
    <w:abstractNumId w:val="39"/>
  </w:num>
  <w:num w:numId="37">
    <w:abstractNumId w:val="19"/>
  </w:num>
  <w:num w:numId="38">
    <w:abstractNumId w:val="35"/>
  </w:num>
  <w:num w:numId="39">
    <w:abstractNumId w:val="33"/>
  </w:num>
  <w:num w:numId="40">
    <w:abstractNumId w:val="3"/>
  </w:num>
  <w:num w:numId="41">
    <w:abstractNumId w:val="25"/>
  </w:num>
  <w:num w:numId="42">
    <w:abstractNumId w:val="5"/>
  </w:num>
  <w:num w:numId="43">
    <w:abstractNumId w:val="41"/>
  </w:num>
  <w:num w:numId="44">
    <w:abstractNumId w:val="15"/>
  </w:num>
  <w:num w:numId="45">
    <w:abstractNumId w:val="50"/>
  </w:num>
  <w:num w:numId="46">
    <w:abstractNumId w:val="2"/>
  </w:num>
  <w:num w:numId="47">
    <w:abstractNumId w:val="29"/>
  </w:num>
  <w:num w:numId="48">
    <w:abstractNumId w:val="12"/>
  </w:num>
  <w:num w:numId="49">
    <w:abstractNumId w:val="6"/>
  </w:num>
  <w:num w:numId="50">
    <w:abstractNumId w:val="24"/>
  </w:num>
  <w:num w:numId="51">
    <w:abstractNumId w:val="42"/>
  </w:num>
  <w:num w:numId="52">
    <w:abstractNumId w:val="10"/>
  </w:num>
  <w:num w:numId="53">
    <w:abstractNumId w:val="23"/>
  </w:num>
  <w:num w:numId="54">
    <w:abstractNumId w:val="54"/>
  </w:num>
  <w:num w:numId="55">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83C"/>
    <w:rsid w:val="000030DF"/>
    <w:rsid w:val="0000513B"/>
    <w:rsid w:val="00007B79"/>
    <w:rsid w:val="00020AA5"/>
    <w:rsid w:val="00026574"/>
    <w:rsid w:val="0002718A"/>
    <w:rsid w:val="00033593"/>
    <w:rsid w:val="0004150B"/>
    <w:rsid w:val="000454C4"/>
    <w:rsid w:val="00054182"/>
    <w:rsid w:val="00054964"/>
    <w:rsid w:val="00055A26"/>
    <w:rsid w:val="00065DF4"/>
    <w:rsid w:val="0006650C"/>
    <w:rsid w:val="000703E3"/>
    <w:rsid w:val="0007608D"/>
    <w:rsid w:val="00085A00"/>
    <w:rsid w:val="00090EB0"/>
    <w:rsid w:val="000966F4"/>
    <w:rsid w:val="000A4A49"/>
    <w:rsid w:val="000B2AD9"/>
    <w:rsid w:val="000B5591"/>
    <w:rsid w:val="000B5BC5"/>
    <w:rsid w:val="000B5C47"/>
    <w:rsid w:val="000B62EC"/>
    <w:rsid w:val="000B7C3A"/>
    <w:rsid w:val="000C2ECA"/>
    <w:rsid w:val="000D2B1D"/>
    <w:rsid w:val="000D2D5F"/>
    <w:rsid w:val="000D3F99"/>
    <w:rsid w:val="000E0B61"/>
    <w:rsid w:val="000E0E09"/>
    <w:rsid w:val="000E325D"/>
    <w:rsid w:val="000E3F05"/>
    <w:rsid w:val="000E44AE"/>
    <w:rsid w:val="000E76E1"/>
    <w:rsid w:val="000F3BCA"/>
    <w:rsid w:val="000F419F"/>
    <w:rsid w:val="0010255A"/>
    <w:rsid w:val="001135B0"/>
    <w:rsid w:val="00120274"/>
    <w:rsid w:val="00121D1E"/>
    <w:rsid w:val="00125136"/>
    <w:rsid w:val="0013145A"/>
    <w:rsid w:val="00131B1F"/>
    <w:rsid w:val="00132073"/>
    <w:rsid w:val="001352C6"/>
    <w:rsid w:val="00137AF9"/>
    <w:rsid w:val="0014039B"/>
    <w:rsid w:val="00142C1A"/>
    <w:rsid w:val="00143DDD"/>
    <w:rsid w:val="00146B4B"/>
    <w:rsid w:val="001512DB"/>
    <w:rsid w:val="0015345C"/>
    <w:rsid w:val="00161B7E"/>
    <w:rsid w:val="001633F2"/>
    <w:rsid w:val="00163BAC"/>
    <w:rsid w:val="001641BB"/>
    <w:rsid w:val="00164DCD"/>
    <w:rsid w:val="0016686F"/>
    <w:rsid w:val="00170660"/>
    <w:rsid w:val="00171ADD"/>
    <w:rsid w:val="00172202"/>
    <w:rsid w:val="00176400"/>
    <w:rsid w:val="00180650"/>
    <w:rsid w:val="00181E18"/>
    <w:rsid w:val="00184015"/>
    <w:rsid w:val="00184B70"/>
    <w:rsid w:val="0018790E"/>
    <w:rsid w:val="001A05C4"/>
    <w:rsid w:val="001A3925"/>
    <w:rsid w:val="001A3D74"/>
    <w:rsid w:val="001A5484"/>
    <w:rsid w:val="001A5C35"/>
    <w:rsid w:val="001A5F2E"/>
    <w:rsid w:val="001B1127"/>
    <w:rsid w:val="001B1E1B"/>
    <w:rsid w:val="001B2B80"/>
    <w:rsid w:val="001B5894"/>
    <w:rsid w:val="001B76E2"/>
    <w:rsid w:val="001C18CF"/>
    <w:rsid w:val="001C3A50"/>
    <w:rsid w:val="001C406A"/>
    <w:rsid w:val="001C44A5"/>
    <w:rsid w:val="001C6484"/>
    <w:rsid w:val="001C6B51"/>
    <w:rsid w:val="001C76D0"/>
    <w:rsid w:val="001D0222"/>
    <w:rsid w:val="001D539B"/>
    <w:rsid w:val="001D5885"/>
    <w:rsid w:val="001E2AB4"/>
    <w:rsid w:val="001E69F9"/>
    <w:rsid w:val="001F4493"/>
    <w:rsid w:val="001F4871"/>
    <w:rsid w:val="00202C30"/>
    <w:rsid w:val="00202FD5"/>
    <w:rsid w:val="002059F4"/>
    <w:rsid w:val="0020795E"/>
    <w:rsid w:val="00211CA1"/>
    <w:rsid w:val="00212094"/>
    <w:rsid w:val="00213C8C"/>
    <w:rsid w:val="00216BB1"/>
    <w:rsid w:val="00221F8F"/>
    <w:rsid w:val="0022511E"/>
    <w:rsid w:val="0022618C"/>
    <w:rsid w:val="002262F9"/>
    <w:rsid w:val="0023475D"/>
    <w:rsid w:val="00243C11"/>
    <w:rsid w:val="0025145F"/>
    <w:rsid w:val="002529ED"/>
    <w:rsid w:val="002532F9"/>
    <w:rsid w:val="00254486"/>
    <w:rsid w:val="00254A98"/>
    <w:rsid w:val="0025755E"/>
    <w:rsid w:val="00261055"/>
    <w:rsid w:val="002631EB"/>
    <w:rsid w:val="002655E8"/>
    <w:rsid w:val="002663A7"/>
    <w:rsid w:val="0027226B"/>
    <w:rsid w:val="0027332F"/>
    <w:rsid w:val="00273AA3"/>
    <w:rsid w:val="00276CC1"/>
    <w:rsid w:val="00277182"/>
    <w:rsid w:val="00282743"/>
    <w:rsid w:val="00292B48"/>
    <w:rsid w:val="002937ED"/>
    <w:rsid w:val="00297C55"/>
    <w:rsid w:val="002A0408"/>
    <w:rsid w:val="002A2BBC"/>
    <w:rsid w:val="002B449C"/>
    <w:rsid w:val="002B5297"/>
    <w:rsid w:val="002B7504"/>
    <w:rsid w:val="002C1B37"/>
    <w:rsid w:val="002C68CC"/>
    <w:rsid w:val="002C6981"/>
    <w:rsid w:val="002D2AD9"/>
    <w:rsid w:val="002D2F2B"/>
    <w:rsid w:val="002D3A87"/>
    <w:rsid w:val="002E083D"/>
    <w:rsid w:val="002E64F5"/>
    <w:rsid w:val="002E6526"/>
    <w:rsid w:val="002F04A5"/>
    <w:rsid w:val="002F0FD1"/>
    <w:rsid w:val="002F5E15"/>
    <w:rsid w:val="002F791F"/>
    <w:rsid w:val="003072A1"/>
    <w:rsid w:val="0031651F"/>
    <w:rsid w:val="00317F88"/>
    <w:rsid w:val="0032065F"/>
    <w:rsid w:val="003256DF"/>
    <w:rsid w:val="003273B1"/>
    <w:rsid w:val="00331247"/>
    <w:rsid w:val="003368C1"/>
    <w:rsid w:val="00340E29"/>
    <w:rsid w:val="003457CA"/>
    <w:rsid w:val="0034629E"/>
    <w:rsid w:val="00350A65"/>
    <w:rsid w:val="00350CF3"/>
    <w:rsid w:val="00350EDC"/>
    <w:rsid w:val="00356D33"/>
    <w:rsid w:val="003578F4"/>
    <w:rsid w:val="0036465E"/>
    <w:rsid w:val="00364979"/>
    <w:rsid w:val="0036770B"/>
    <w:rsid w:val="00370786"/>
    <w:rsid w:val="00373873"/>
    <w:rsid w:val="0037439C"/>
    <w:rsid w:val="00382975"/>
    <w:rsid w:val="003829EB"/>
    <w:rsid w:val="003862F5"/>
    <w:rsid w:val="003900DC"/>
    <w:rsid w:val="00392215"/>
    <w:rsid w:val="00394934"/>
    <w:rsid w:val="003968E1"/>
    <w:rsid w:val="003A0B17"/>
    <w:rsid w:val="003B3352"/>
    <w:rsid w:val="003B7664"/>
    <w:rsid w:val="003B7ECF"/>
    <w:rsid w:val="003C0EB0"/>
    <w:rsid w:val="003C1013"/>
    <w:rsid w:val="003C273E"/>
    <w:rsid w:val="003C2A5D"/>
    <w:rsid w:val="003C4E43"/>
    <w:rsid w:val="003C54BB"/>
    <w:rsid w:val="003C75A7"/>
    <w:rsid w:val="003D0249"/>
    <w:rsid w:val="003D222E"/>
    <w:rsid w:val="003D505D"/>
    <w:rsid w:val="003D5899"/>
    <w:rsid w:val="003D5B10"/>
    <w:rsid w:val="003E3E4B"/>
    <w:rsid w:val="003E4A1B"/>
    <w:rsid w:val="003E6929"/>
    <w:rsid w:val="003F6BF8"/>
    <w:rsid w:val="004035D8"/>
    <w:rsid w:val="004047A3"/>
    <w:rsid w:val="00404B2F"/>
    <w:rsid w:val="0041295E"/>
    <w:rsid w:val="00417356"/>
    <w:rsid w:val="00422DDF"/>
    <w:rsid w:val="0043358B"/>
    <w:rsid w:val="00442F75"/>
    <w:rsid w:val="0044327D"/>
    <w:rsid w:val="00443AA1"/>
    <w:rsid w:val="00444144"/>
    <w:rsid w:val="004446E4"/>
    <w:rsid w:val="0044525A"/>
    <w:rsid w:val="004457DC"/>
    <w:rsid w:val="00445D6A"/>
    <w:rsid w:val="00447D50"/>
    <w:rsid w:val="00447E34"/>
    <w:rsid w:val="00451083"/>
    <w:rsid w:val="004515B5"/>
    <w:rsid w:val="00454707"/>
    <w:rsid w:val="00455B1A"/>
    <w:rsid w:val="00456263"/>
    <w:rsid w:val="00461D27"/>
    <w:rsid w:val="00467B83"/>
    <w:rsid w:val="00467DD9"/>
    <w:rsid w:val="004726EA"/>
    <w:rsid w:val="00473F20"/>
    <w:rsid w:val="00474CB3"/>
    <w:rsid w:val="00475EB0"/>
    <w:rsid w:val="00476E2C"/>
    <w:rsid w:val="0048033A"/>
    <w:rsid w:val="00481F41"/>
    <w:rsid w:val="004824DA"/>
    <w:rsid w:val="00490C24"/>
    <w:rsid w:val="00491B18"/>
    <w:rsid w:val="004928F2"/>
    <w:rsid w:val="004A0489"/>
    <w:rsid w:val="004A05D2"/>
    <w:rsid w:val="004A074C"/>
    <w:rsid w:val="004A29A0"/>
    <w:rsid w:val="004A2B18"/>
    <w:rsid w:val="004A5498"/>
    <w:rsid w:val="004B099B"/>
    <w:rsid w:val="004B1A1E"/>
    <w:rsid w:val="004B245C"/>
    <w:rsid w:val="004B4879"/>
    <w:rsid w:val="004C2C76"/>
    <w:rsid w:val="004C4CD5"/>
    <w:rsid w:val="004C7D52"/>
    <w:rsid w:val="004D3139"/>
    <w:rsid w:val="004D7A83"/>
    <w:rsid w:val="004E07B0"/>
    <w:rsid w:val="004E3F63"/>
    <w:rsid w:val="004E5F23"/>
    <w:rsid w:val="004E716C"/>
    <w:rsid w:val="004E7E8D"/>
    <w:rsid w:val="004F3D8B"/>
    <w:rsid w:val="004F4D0C"/>
    <w:rsid w:val="004F71BA"/>
    <w:rsid w:val="00503E53"/>
    <w:rsid w:val="00506B82"/>
    <w:rsid w:val="0051140A"/>
    <w:rsid w:val="005149AE"/>
    <w:rsid w:val="00515689"/>
    <w:rsid w:val="00524104"/>
    <w:rsid w:val="005243E4"/>
    <w:rsid w:val="00525190"/>
    <w:rsid w:val="00530AE4"/>
    <w:rsid w:val="0054100C"/>
    <w:rsid w:val="00543D37"/>
    <w:rsid w:val="00544B40"/>
    <w:rsid w:val="00545D9C"/>
    <w:rsid w:val="00545EA5"/>
    <w:rsid w:val="005503DA"/>
    <w:rsid w:val="00554F0B"/>
    <w:rsid w:val="00555555"/>
    <w:rsid w:val="00560116"/>
    <w:rsid w:val="00565AAE"/>
    <w:rsid w:val="00571FE5"/>
    <w:rsid w:val="0057370F"/>
    <w:rsid w:val="005751A3"/>
    <w:rsid w:val="00593F8F"/>
    <w:rsid w:val="00595007"/>
    <w:rsid w:val="00597591"/>
    <w:rsid w:val="00597B23"/>
    <w:rsid w:val="005A28AE"/>
    <w:rsid w:val="005A56D0"/>
    <w:rsid w:val="005A5CA8"/>
    <w:rsid w:val="005B438A"/>
    <w:rsid w:val="005B43B7"/>
    <w:rsid w:val="005C09B3"/>
    <w:rsid w:val="005C0C25"/>
    <w:rsid w:val="005C108E"/>
    <w:rsid w:val="005C1CBD"/>
    <w:rsid w:val="005C39BC"/>
    <w:rsid w:val="005C405A"/>
    <w:rsid w:val="005C787B"/>
    <w:rsid w:val="005E239F"/>
    <w:rsid w:val="005E544D"/>
    <w:rsid w:val="005F2998"/>
    <w:rsid w:val="005F36EF"/>
    <w:rsid w:val="005F7B82"/>
    <w:rsid w:val="0060567F"/>
    <w:rsid w:val="006107E4"/>
    <w:rsid w:val="00611172"/>
    <w:rsid w:val="00611B44"/>
    <w:rsid w:val="006145FA"/>
    <w:rsid w:val="0061565E"/>
    <w:rsid w:val="0062321A"/>
    <w:rsid w:val="00624937"/>
    <w:rsid w:val="00631494"/>
    <w:rsid w:val="006326D2"/>
    <w:rsid w:val="00632818"/>
    <w:rsid w:val="00634691"/>
    <w:rsid w:val="00634835"/>
    <w:rsid w:val="006372DB"/>
    <w:rsid w:val="006405B2"/>
    <w:rsid w:val="00641169"/>
    <w:rsid w:val="00641ADB"/>
    <w:rsid w:val="00641C04"/>
    <w:rsid w:val="0064548E"/>
    <w:rsid w:val="00646137"/>
    <w:rsid w:val="00650D8F"/>
    <w:rsid w:val="00651CC8"/>
    <w:rsid w:val="00657AB5"/>
    <w:rsid w:val="00660395"/>
    <w:rsid w:val="00665529"/>
    <w:rsid w:val="0066677A"/>
    <w:rsid w:val="00667E8C"/>
    <w:rsid w:val="00670F08"/>
    <w:rsid w:val="006749EE"/>
    <w:rsid w:val="00677760"/>
    <w:rsid w:val="0068627D"/>
    <w:rsid w:val="006923B0"/>
    <w:rsid w:val="0069769E"/>
    <w:rsid w:val="00697BBC"/>
    <w:rsid w:val="006A0BC5"/>
    <w:rsid w:val="006A2D47"/>
    <w:rsid w:val="006A3827"/>
    <w:rsid w:val="006A60F0"/>
    <w:rsid w:val="006A61D0"/>
    <w:rsid w:val="006A6E61"/>
    <w:rsid w:val="006A76C7"/>
    <w:rsid w:val="006B05C0"/>
    <w:rsid w:val="006B3058"/>
    <w:rsid w:val="006B5952"/>
    <w:rsid w:val="006B7777"/>
    <w:rsid w:val="006C0C05"/>
    <w:rsid w:val="006C1F00"/>
    <w:rsid w:val="006C3F96"/>
    <w:rsid w:val="006C51B1"/>
    <w:rsid w:val="006C62A0"/>
    <w:rsid w:val="006C6FF6"/>
    <w:rsid w:val="006C722A"/>
    <w:rsid w:val="006D32EE"/>
    <w:rsid w:val="006D4E8C"/>
    <w:rsid w:val="006D5B0C"/>
    <w:rsid w:val="006E2C88"/>
    <w:rsid w:val="006E3D52"/>
    <w:rsid w:val="006E65F8"/>
    <w:rsid w:val="006F32C5"/>
    <w:rsid w:val="006F681A"/>
    <w:rsid w:val="00702560"/>
    <w:rsid w:val="0070468D"/>
    <w:rsid w:val="00706173"/>
    <w:rsid w:val="00707F23"/>
    <w:rsid w:val="007112D6"/>
    <w:rsid w:val="00712194"/>
    <w:rsid w:val="007139D8"/>
    <w:rsid w:val="0071476E"/>
    <w:rsid w:val="007231E4"/>
    <w:rsid w:val="0073692A"/>
    <w:rsid w:val="00737710"/>
    <w:rsid w:val="00742974"/>
    <w:rsid w:val="007465BA"/>
    <w:rsid w:val="007476E6"/>
    <w:rsid w:val="00751A2A"/>
    <w:rsid w:val="0075288E"/>
    <w:rsid w:val="007556EC"/>
    <w:rsid w:val="007636FC"/>
    <w:rsid w:val="00766130"/>
    <w:rsid w:val="0076669E"/>
    <w:rsid w:val="007666FA"/>
    <w:rsid w:val="00771F05"/>
    <w:rsid w:val="0077209A"/>
    <w:rsid w:val="0077285A"/>
    <w:rsid w:val="0077533A"/>
    <w:rsid w:val="007813BD"/>
    <w:rsid w:val="0078606F"/>
    <w:rsid w:val="007956FD"/>
    <w:rsid w:val="007969CA"/>
    <w:rsid w:val="00797B64"/>
    <w:rsid w:val="007A0E47"/>
    <w:rsid w:val="007A1D0B"/>
    <w:rsid w:val="007A21D1"/>
    <w:rsid w:val="007A330C"/>
    <w:rsid w:val="007A393C"/>
    <w:rsid w:val="007A5881"/>
    <w:rsid w:val="007B0B10"/>
    <w:rsid w:val="007B0E5A"/>
    <w:rsid w:val="007B12C0"/>
    <w:rsid w:val="007B2ED7"/>
    <w:rsid w:val="007B4701"/>
    <w:rsid w:val="007B4A8F"/>
    <w:rsid w:val="007C10C5"/>
    <w:rsid w:val="007D496F"/>
    <w:rsid w:val="007D722F"/>
    <w:rsid w:val="007E120D"/>
    <w:rsid w:val="007E2478"/>
    <w:rsid w:val="007E6167"/>
    <w:rsid w:val="007F26B5"/>
    <w:rsid w:val="007F2C47"/>
    <w:rsid w:val="007F3703"/>
    <w:rsid w:val="007F3A13"/>
    <w:rsid w:val="007F3E66"/>
    <w:rsid w:val="00800F00"/>
    <w:rsid w:val="00810518"/>
    <w:rsid w:val="008128B1"/>
    <w:rsid w:val="00814880"/>
    <w:rsid w:val="00816926"/>
    <w:rsid w:val="00816B51"/>
    <w:rsid w:val="00825A7E"/>
    <w:rsid w:val="00826032"/>
    <w:rsid w:val="008269A7"/>
    <w:rsid w:val="00834EE4"/>
    <w:rsid w:val="0083605C"/>
    <w:rsid w:val="0083667E"/>
    <w:rsid w:val="00837020"/>
    <w:rsid w:val="00843A7C"/>
    <w:rsid w:val="00852E54"/>
    <w:rsid w:val="00853929"/>
    <w:rsid w:val="00856097"/>
    <w:rsid w:val="008572E1"/>
    <w:rsid w:val="00863188"/>
    <w:rsid w:val="008634C3"/>
    <w:rsid w:val="008657AA"/>
    <w:rsid w:val="00866347"/>
    <w:rsid w:val="008710ED"/>
    <w:rsid w:val="00871FA2"/>
    <w:rsid w:val="00872033"/>
    <w:rsid w:val="008741C9"/>
    <w:rsid w:val="00874BDE"/>
    <w:rsid w:val="00875B10"/>
    <w:rsid w:val="008765C1"/>
    <w:rsid w:val="008823BB"/>
    <w:rsid w:val="0088322F"/>
    <w:rsid w:val="00887B82"/>
    <w:rsid w:val="00891294"/>
    <w:rsid w:val="00894B92"/>
    <w:rsid w:val="008972FF"/>
    <w:rsid w:val="008A6EB7"/>
    <w:rsid w:val="008A6EE8"/>
    <w:rsid w:val="008A7C0E"/>
    <w:rsid w:val="008A7CF6"/>
    <w:rsid w:val="008B13BE"/>
    <w:rsid w:val="008B62FF"/>
    <w:rsid w:val="008B7594"/>
    <w:rsid w:val="008C1FA0"/>
    <w:rsid w:val="008C5128"/>
    <w:rsid w:val="008D2481"/>
    <w:rsid w:val="008D3580"/>
    <w:rsid w:val="008D41BB"/>
    <w:rsid w:val="008D6251"/>
    <w:rsid w:val="008E2409"/>
    <w:rsid w:val="008E2FCF"/>
    <w:rsid w:val="008E6060"/>
    <w:rsid w:val="008E7A3E"/>
    <w:rsid w:val="008F0D83"/>
    <w:rsid w:val="008F143E"/>
    <w:rsid w:val="008F49A9"/>
    <w:rsid w:val="008F63B6"/>
    <w:rsid w:val="00900951"/>
    <w:rsid w:val="00902606"/>
    <w:rsid w:val="00906976"/>
    <w:rsid w:val="00913067"/>
    <w:rsid w:val="00921E54"/>
    <w:rsid w:val="00921EA2"/>
    <w:rsid w:val="009249FA"/>
    <w:rsid w:val="009260C1"/>
    <w:rsid w:val="009301BD"/>
    <w:rsid w:val="00930632"/>
    <w:rsid w:val="00933128"/>
    <w:rsid w:val="009352C2"/>
    <w:rsid w:val="00936B93"/>
    <w:rsid w:val="00937062"/>
    <w:rsid w:val="0094428F"/>
    <w:rsid w:val="009447C3"/>
    <w:rsid w:val="009452C0"/>
    <w:rsid w:val="009452E0"/>
    <w:rsid w:val="009470CA"/>
    <w:rsid w:val="00950196"/>
    <w:rsid w:val="00951DD0"/>
    <w:rsid w:val="009536A7"/>
    <w:rsid w:val="009576F0"/>
    <w:rsid w:val="00962839"/>
    <w:rsid w:val="0096545F"/>
    <w:rsid w:val="0097284A"/>
    <w:rsid w:val="00973BDE"/>
    <w:rsid w:val="00974223"/>
    <w:rsid w:val="009827C9"/>
    <w:rsid w:val="009849E5"/>
    <w:rsid w:val="009853C4"/>
    <w:rsid w:val="00986E5A"/>
    <w:rsid w:val="00987794"/>
    <w:rsid w:val="00995583"/>
    <w:rsid w:val="009968C0"/>
    <w:rsid w:val="009A1839"/>
    <w:rsid w:val="009B0F1A"/>
    <w:rsid w:val="009B104F"/>
    <w:rsid w:val="009B18F2"/>
    <w:rsid w:val="009B65ED"/>
    <w:rsid w:val="009B6C5B"/>
    <w:rsid w:val="009C2FFC"/>
    <w:rsid w:val="009C3CD5"/>
    <w:rsid w:val="009C4666"/>
    <w:rsid w:val="009C54F0"/>
    <w:rsid w:val="009E2741"/>
    <w:rsid w:val="009E5169"/>
    <w:rsid w:val="009E73F4"/>
    <w:rsid w:val="009F1B13"/>
    <w:rsid w:val="009F1C9A"/>
    <w:rsid w:val="009F33C1"/>
    <w:rsid w:val="00A04511"/>
    <w:rsid w:val="00A05BB4"/>
    <w:rsid w:val="00A06432"/>
    <w:rsid w:val="00A0749A"/>
    <w:rsid w:val="00A10DF7"/>
    <w:rsid w:val="00A12F65"/>
    <w:rsid w:val="00A1542C"/>
    <w:rsid w:val="00A16013"/>
    <w:rsid w:val="00A20252"/>
    <w:rsid w:val="00A228B2"/>
    <w:rsid w:val="00A265AA"/>
    <w:rsid w:val="00A312A8"/>
    <w:rsid w:val="00A33084"/>
    <w:rsid w:val="00A33A13"/>
    <w:rsid w:val="00A36933"/>
    <w:rsid w:val="00A36C19"/>
    <w:rsid w:val="00A378F9"/>
    <w:rsid w:val="00A42650"/>
    <w:rsid w:val="00A44081"/>
    <w:rsid w:val="00A45013"/>
    <w:rsid w:val="00A528E2"/>
    <w:rsid w:val="00A54DDA"/>
    <w:rsid w:val="00A554EB"/>
    <w:rsid w:val="00A6330B"/>
    <w:rsid w:val="00A728B4"/>
    <w:rsid w:val="00A75007"/>
    <w:rsid w:val="00A75510"/>
    <w:rsid w:val="00A76412"/>
    <w:rsid w:val="00A865F8"/>
    <w:rsid w:val="00A9062F"/>
    <w:rsid w:val="00A91F8D"/>
    <w:rsid w:val="00A936E0"/>
    <w:rsid w:val="00A94B81"/>
    <w:rsid w:val="00A9738F"/>
    <w:rsid w:val="00AA03C6"/>
    <w:rsid w:val="00AA05DD"/>
    <w:rsid w:val="00AB36CF"/>
    <w:rsid w:val="00AB54EF"/>
    <w:rsid w:val="00AC3CC0"/>
    <w:rsid w:val="00AC7593"/>
    <w:rsid w:val="00AD062F"/>
    <w:rsid w:val="00AD34EE"/>
    <w:rsid w:val="00AD4619"/>
    <w:rsid w:val="00AE03F0"/>
    <w:rsid w:val="00AE05CB"/>
    <w:rsid w:val="00AE26ED"/>
    <w:rsid w:val="00AE51D4"/>
    <w:rsid w:val="00AE5520"/>
    <w:rsid w:val="00AF00D9"/>
    <w:rsid w:val="00AF2AFD"/>
    <w:rsid w:val="00AF66B4"/>
    <w:rsid w:val="00B00BD1"/>
    <w:rsid w:val="00B02BE4"/>
    <w:rsid w:val="00B069AA"/>
    <w:rsid w:val="00B14778"/>
    <w:rsid w:val="00B1725D"/>
    <w:rsid w:val="00B230DF"/>
    <w:rsid w:val="00B25C31"/>
    <w:rsid w:val="00B30D4B"/>
    <w:rsid w:val="00B3276B"/>
    <w:rsid w:val="00B34FEF"/>
    <w:rsid w:val="00B37B74"/>
    <w:rsid w:val="00B4338F"/>
    <w:rsid w:val="00B4366C"/>
    <w:rsid w:val="00B47F85"/>
    <w:rsid w:val="00B51591"/>
    <w:rsid w:val="00B549BB"/>
    <w:rsid w:val="00B56E76"/>
    <w:rsid w:val="00B579D4"/>
    <w:rsid w:val="00B62D42"/>
    <w:rsid w:val="00B7411D"/>
    <w:rsid w:val="00B76853"/>
    <w:rsid w:val="00B84344"/>
    <w:rsid w:val="00B86393"/>
    <w:rsid w:val="00B87E5D"/>
    <w:rsid w:val="00B93F01"/>
    <w:rsid w:val="00BA0306"/>
    <w:rsid w:val="00BA098E"/>
    <w:rsid w:val="00BA0FBC"/>
    <w:rsid w:val="00BA5BB6"/>
    <w:rsid w:val="00BB1BC7"/>
    <w:rsid w:val="00BC1189"/>
    <w:rsid w:val="00BC31A6"/>
    <w:rsid w:val="00BC5519"/>
    <w:rsid w:val="00BC7EA7"/>
    <w:rsid w:val="00BD2CB3"/>
    <w:rsid w:val="00BE1263"/>
    <w:rsid w:val="00BE143C"/>
    <w:rsid w:val="00BE1727"/>
    <w:rsid w:val="00BF2F64"/>
    <w:rsid w:val="00BF5B7C"/>
    <w:rsid w:val="00C02F87"/>
    <w:rsid w:val="00C12E5F"/>
    <w:rsid w:val="00C1666C"/>
    <w:rsid w:val="00C20605"/>
    <w:rsid w:val="00C2071F"/>
    <w:rsid w:val="00C24815"/>
    <w:rsid w:val="00C27CFB"/>
    <w:rsid w:val="00C31A9F"/>
    <w:rsid w:val="00C32331"/>
    <w:rsid w:val="00C34B12"/>
    <w:rsid w:val="00C3622F"/>
    <w:rsid w:val="00C40556"/>
    <w:rsid w:val="00C413AC"/>
    <w:rsid w:val="00C41624"/>
    <w:rsid w:val="00C45375"/>
    <w:rsid w:val="00C453F4"/>
    <w:rsid w:val="00C50771"/>
    <w:rsid w:val="00C52646"/>
    <w:rsid w:val="00C53D32"/>
    <w:rsid w:val="00C6051D"/>
    <w:rsid w:val="00C62068"/>
    <w:rsid w:val="00C63806"/>
    <w:rsid w:val="00C659D9"/>
    <w:rsid w:val="00C65CB3"/>
    <w:rsid w:val="00C70130"/>
    <w:rsid w:val="00C72ECC"/>
    <w:rsid w:val="00C7451A"/>
    <w:rsid w:val="00C7723E"/>
    <w:rsid w:val="00C77605"/>
    <w:rsid w:val="00C860F3"/>
    <w:rsid w:val="00C92DB7"/>
    <w:rsid w:val="00CA42D9"/>
    <w:rsid w:val="00CA5516"/>
    <w:rsid w:val="00CB466A"/>
    <w:rsid w:val="00CB4D05"/>
    <w:rsid w:val="00CC3044"/>
    <w:rsid w:val="00CC32C6"/>
    <w:rsid w:val="00CC4C9E"/>
    <w:rsid w:val="00CC61C5"/>
    <w:rsid w:val="00CC63E9"/>
    <w:rsid w:val="00CC7B1B"/>
    <w:rsid w:val="00CD300D"/>
    <w:rsid w:val="00CD41E3"/>
    <w:rsid w:val="00CE0113"/>
    <w:rsid w:val="00CE7AEF"/>
    <w:rsid w:val="00CF1CA9"/>
    <w:rsid w:val="00CF3A7E"/>
    <w:rsid w:val="00CF685A"/>
    <w:rsid w:val="00CF783D"/>
    <w:rsid w:val="00CF7B81"/>
    <w:rsid w:val="00D0619B"/>
    <w:rsid w:val="00D07737"/>
    <w:rsid w:val="00D12523"/>
    <w:rsid w:val="00D155EA"/>
    <w:rsid w:val="00D15EF9"/>
    <w:rsid w:val="00D20508"/>
    <w:rsid w:val="00D2247B"/>
    <w:rsid w:val="00D23529"/>
    <w:rsid w:val="00D24776"/>
    <w:rsid w:val="00D27B99"/>
    <w:rsid w:val="00D30804"/>
    <w:rsid w:val="00D3791A"/>
    <w:rsid w:val="00D43C5E"/>
    <w:rsid w:val="00D46431"/>
    <w:rsid w:val="00D508C7"/>
    <w:rsid w:val="00D52284"/>
    <w:rsid w:val="00D608E8"/>
    <w:rsid w:val="00D6323A"/>
    <w:rsid w:val="00D6383C"/>
    <w:rsid w:val="00D63E21"/>
    <w:rsid w:val="00D64B30"/>
    <w:rsid w:val="00D64CA5"/>
    <w:rsid w:val="00D72107"/>
    <w:rsid w:val="00D74044"/>
    <w:rsid w:val="00D76A08"/>
    <w:rsid w:val="00D77189"/>
    <w:rsid w:val="00D8261B"/>
    <w:rsid w:val="00D839B3"/>
    <w:rsid w:val="00D8662B"/>
    <w:rsid w:val="00D8755D"/>
    <w:rsid w:val="00D96832"/>
    <w:rsid w:val="00D97FEB"/>
    <w:rsid w:val="00DA52EC"/>
    <w:rsid w:val="00DB2FC7"/>
    <w:rsid w:val="00DB4B7E"/>
    <w:rsid w:val="00DB5486"/>
    <w:rsid w:val="00DB5795"/>
    <w:rsid w:val="00DB70BE"/>
    <w:rsid w:val="00DC4FFA"/>
    <w:rsid w:val="00DD0671"/>
    <w:rsid w:val="00DD130B"/>
    <w:rsid w:val="00DF1AD6"/>
    <w:rsid w:val="00E10051"/>
    <w:rsid w:val="00E11B50"/>
    <w:rsid w:val="00E11C69"/>
    <w:rsid w:val="00E175E7"/>
    <w:rsid w:val="00E2034F"/>
    <w:rsid w:val="00E22B23"/>
    <w:rsid w:val="00E24446"/>
    <w:rsid w:val="00E25E88"/>
    <w:rsid w:val="00E35987"/>
    <w:rsid w:val="00E37EC1"/>
    <w:rsid w:val="00E41E19"/>
    <w:rsid w:val="00E47024"/>
    <w:rsid w:val="00E50EC0"/>
    <w:rsid w:val="00E5135B"/>
    <w:rsid w:val="00E52157"/>
    <w:rsid w:val="00E53949"/>
    <w:rsid w:val="00E6387E"/>
    <w:rsid w:val="00E70C1E"/>
    <w:rsid w:val="00E777DC"/>
    <w:rsid w:val="00E813D6"/>
    <w:rsid w:val="00E81B26"/>
    <w:rsid w:val="00E874B0"/>
    <w:rsid w:val="00E87DF0"/>
    <w:rsid w:val="00E90435"/>
    <w:rsid w:val="00E90E83"/>
    <w:rsid w:val="00E92160"/>
    <w:rsid w:val="00E92F06"/>
    <w:rsid w:val="00E94016"/>
    <w:rsid w:val="00E95BAF"/>
    <w:rsid w:val="00E9739B"/>
    <w:rsid w:val="00EA6544"/>
    <w:rsid w:val="00EB107D"/>
    <w:rsid w:val="00EB10B4"/>
    <w:rsid w:val="00EB4B46"/>
    <w:rsid w:val="00EB7A06"/>
    <w:rsid w:val="00EC3777"/>
    <w:rsid w:val="00ED0A4D"/>
    <w:rsid w:val="00ED1334"/>
    <w:rsid w:val="00EE25FF"/>
    <w:rsid w:val="00EE2A3F"/>
    <w:rsid w:val="00EE3F6C"/>
    <w:rsid w:val="00EE41FF"/>
    <w:rsid w:val="00EE4280"/>
    <w:rsid w:val="00EE60B6"/>
    <w:rsid w:val="00EF11C2"/>
    <w:rsid w:val="00EF1625"/>
    <w:rsid w:val="00F0310D"/>
    <w:rsid w:val="00F031F3"/>
    <w:rsid w:val="00F03522"/>
    <w:rsid w:val="00F05974"/>
    <w:rsid w:val="00F11B86"/>
    <w:rsid w:val="00F12DB0"/>
    <w:rsid w:val="00F216D0"/>
    <w:rsid w:val="00F219CC"/>
    <w:rsid w:val="00F2426B"/>
    <w:rsid w:val="00F26FC0"/>
    <w:rsid w:val="00F324B8"/>
    <w:rsid w:val="00F37DE8"/>
    <w:rsid w:val="00F424D8"/>
    <w:rsid w:val="00F43939"/>
    <w:rsid w:val="00F45F54"/>
    <w:rsid w:val="00F53856"/>
    <w:rsid w:val="00F57FE3"/>
    <w:rsid w:val="00F62C10"/>
    <w:rsid w:val="00F63813"/>
    <w:rsid w:val="00F639EE"/>
    <w:rsid w:val="00F63E61"/>
    <w:rsid w:val="00F665FA"/>
    <w:rsid w:val="00F71256"/>
    <w:rsid w:val="00F73553"/>
    <w:rsid w:val="00F75489"/>
    <w:rsid w:val="00F758AC"/>
    <w:rsid w:val="00F77FC8"/>
    <w:rsid w:val="00F80499"/>
    <w:rsid w:val="00F8107C"/>
    <w:rsid w:val="00F813CF"/>
    <w:rsid w:val="00F92B32"/>
    <w:rsid w:val="00F932B7"/>
    <w:rsid w:val="00F9509B"/>
    <w:rsid w:val="00FA1118"/>
    <w:rsid w:val="00FA33CF"/>
    <w:rsid w:val="00FA78A1"/>
    <w:rsid w:val="00FB06EB"/>
    <w:rsid w:val="00FC03A7"/>
    <w:rsid w:val="00FC0E75"/>
    <w:rsid w:val="00FC0ECF"/>
    <w:rsid w:val="00FC6611"/>
    <w:rsid w:val="00FC7C29"/>
    <w:rsid w:val="00FD6F2C"/>
    <w:rsid w:val="00FE238A"/>
    <w:rsid w:val="00FE26A8"/>
    <w:rsid w:val="00FE3A4E"/>
    <w:rsid w:val="00FE697C"/>
    <w:rsid w:val="00FF0460"/>
    <w:rsid w:val="00FF1292"/>
    <w:rsid w:val="00FF14D0"/>
    <w:rsid w:val="00FF28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B64"/>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125136"/>
    <w:pPr>
      <w:keepNext/>
      <w:tabs>
        <w:tab w:val="left" w:pos="0"/>
        <w:tab w:val="left" w:pos="544"/>
        <w:tab w:val="left" w:pos="1111"/>
        <w:tab w:val="left" w:pos="8197"/>
      </w:tabs>
      <w:autoSpaceDE w:val="0"/>
      <w:autoSpaceDN w:val="0"/>
      <w:adjustRightInd w:val="0"/>
      <w:spacing w:after="120" w:line="240" w:lineRule="atLeast"/>
      <w:outlineLvl w:val="0"/>
    </w:pPr>
    <w:rPr>
      <w:rFonts w:ascii="Arial" w:hAnsi="Arial" w:cs="Arial"/>
      <w:b/>
      <w:bCs/>
      <w:color w:val="000000"/>
      <w:szCs w:val="20"/>
      <w:lang w:val="en-US" w:eastAsia="en-US"/>
    </w:rPr>
  </w:style>
  <w:style w:type="paragraph" w:styleId="Heading2">
    <w:name w:val="heading 2"/>
    <w:basedOn w:val="Normal"/>
    <w:next w:val="Normal"/>
    <w:link w:val="Heading2Char"/>
    <w:qFormat/>
    <w:rsid w:val="00125136"/>
    <w:pPr>
      <w:keepNext/>
      <w:tabs>
        <w:tab w:val="left" w:pos="0"/>
        <w:tab w:val="left" w:pos="544"/>
        <w:tab w:val="left" w:pos="1111"/>
        <w:tab w:val="left" w:pos="8197"/>
      </w:tabs>
      <w:autoSpaceDE w:val="0"/>
      <w:autoSpaceDN w:val="0"/>
      <w:adjustRightInd w:val="0"/>
      <w:spacing w:after="120" w:line="240" w:lineRule="atLeast"/>
      <w:jc w:val="center"/>
      <w:outlineLvl w:val="1"/>
    </w:pPr>
    <w:rPr>
      <w:rFonts w:ascii="Arial" w:hAnsi="Arial" w:cs="Arial"/>
      <w:b/>
      <w:bCs/>
      <w:color w:val="000000"/>
      <w:szCs w:val="20"/>
      <w:lang w:val="en-US" w:eastAsia="en-US"/>
    </w:rPr>
  </w:style>
  <w:style w:type="paragraph" w:styleId="Heading3">
    <w:name w:val="heading 3"/>
    <w:basedOn w:val="Normal"/>
    <w:next w:val="Normal"/>
    <w:link w:val="Heading3Char"/>
    <w:qFormat/>
    <w:rsid w:val="00125136"/>
    <w:pPr>
      <w:keepNext/>
      <w:tabs>
        <w:tab w:val="left" w:pos="0"/>
        <w:tab w:val="left" w:pos="544"/>
        <w:tab w:val="left" w:pos="1111"/>
        <w:tab w:val="left" w:pos="8197"/>
      </w:tabs>
      <w:autoSpaceDE w:val="0"/>
      <w:autoSpaceDN w:val="0"/>
      <w:adjustRightInd w:val="0"/>
      <w:spacing w:after="120" w:line="240" w:lineRule="atLeast"/>
      <w:outlineLvl w:val="2"/>
    </w:pPr>
    <w:rPr>
      <w:rFonts w:ascii="Arial" w:hAnsi="Arial" w:cs="Arial"/>
      <w:i/>
      <w:iCs/>
      <w:color w:val="000000"/>
      <w:sz w:val="20"/>
      <w:szCs w:val="20"/>
      <w:lang w:val="en-US" w:eastAsia="en-US"/>
    </w:rPr>
  </w:style>
  <w:style w:type="paragraph" w:styleId="Heading4">
    <w:name w:val="heading 4"/>
    <w:basedOn w:val="Normal"/>
    <w:next w:val="Normal"/>
    <w:link w:val="Heading4Char"/>
    <w:qFormat/>
    <w:rsid w:val="00125136"/>
    <w:pPr>
      <w:keepNext/>
      <w:tabs>
        <w:tab w:val="left" w:pos="0"/>
        <w:tab w:val="left" w:pos="544"/>
        <w:tab w:val="left" w:pos="1111"/>
        <w:tab w:val="left" w:pos="8197"/>
      </w:tabs>
      <w:autoSpaceDE w:val="0"/>
      <w:autoSpaceDN w:val="0"/>
      <w:adjustRightInd w:val="0"/>
      <w:spacing w:after="120" w:line="240" w:lineRule="atLeast"/>
      <w:outlineLvl w:val="3"/>
    </w:pPr>
    <w:rPr>
      <w:rFonts w:ascii="Arial" w:hAnsi="Arial" w:cs="Arial"/>
      <w:b/>
      <w:bCs/>
      <w:color w:val="000000"/>
      <w:sz w:val="20"/>
      <w:szCs w:val="20"/>
      <w:lang w:val="en-US" w:eastAsia="en-US"/>
    </w:rPr>
  </w:style>
  <w:style w:type="paragraph" w:styleId="Heading5">
    <w:name w:val="heading 5"/>
    <w:basedOn w:val="Normal"/>
    <w:next w:val="Normal"/>
    <w:link w:val="Heading5Char"/>
    <w:qFormat/>
    <w:rsid w:val="00125136"/>
    <w:pPr>
      <w:keepNext/>
      <w:tabs>
        <w:tab w:val="left" w:pos="0"/>
        <w:tab w:val="left" w:pos="544"/>
        <w:tab w:val="left" w:pos="1111"/>
        <w:tab w:val="left" w:pos="8197"/>
      </w:tabs>
      <w:autoSpaceDE w:val="0"/>
      <w:autoSpaceDN w:val="0"/>
      <w:adjustRightInd w:val="0"/>
      <w:spacing w:after="120" w:line="240" w:lineRule="atLeast"/>
      <w:jc w:val="center"/>
      <w:outlineLvl w:val="4"/>
    </w:pPr>
    <w:rPr>
      <w:rFonts w:ascii="Arial" w:hAnsi="Arial" w:cs="Arial"/>
      <w:b/>
      <w:bCs/>
      <w:i/>
      <w:iCs/>
      <w:color w:val="000000"/>
      <w:sz w:val="20"/>
      <w:szCs w:val="20"/>
      <w:lang w:val="en-US" w:eastAsia="en-US"/>
    </w:rPr>
  </w:style>
  <w:style w:type="paragraph" w:styleId="Heading6">
    <w:name w:val="heading 6"/>
    <w:basedOn w:val="Normal"/>
    <w:next w:val="Normal"/>
    <w:link w:val="Heading6Char"/>
    <w:qFormat/>
    <w:rsid w:val="00125136"/>
    <w:pPr>
      <w:keepNext/>
      <w:tabs>
        <w:tab w:val="left" w:pos="0"/>
        <w:tab w:val="left" w:pos="720"/>
        <w:tab w:val="left" w:pos="2160"/>
        <w:tab w:val="left" w:pos="2880"/>
        <w:tab w:val="left" w:pos="3600"/>
        <w:tab w:val="left" w:pos="4320"/>
      </w:tabs>
      <w:autoSpaceDE w:val="0"/>
      <w:autoSpaceDN w:val="0"/>
      <w:adjustRightInd w:val="0"/>
      <w:spacing w:line="240" w:lineRule="atLeast"/>
      <w:jc w:val="center"/>
      <w:outlineLvl w:val="5"/>
    </w:pPr>
    <w:rPr>
      <w:rFonts w:ascii="Arial" w:hAnsi="Arial" w:cs="Arial"/>
      <w:b/>
      <w:bCs/>
      <w:color w:val="FF0000"/>
      <w:sz w:val="16"/>
      <w:szCs w:val="16"/>
      <w:lang w:val="en-US" w:eastAsia="en-US"/>
    </w:rPr>
  </w:style>
  <w:style w:type="paragraph" w:styleId="Heading7">
    <w:name w:val="heading 7"/>
    <w:basedOn w:val="Normal"/>
    <w:next w:val="Normal"/>
    <w:link w:val="Heading7Char"/>
    <w:qFormat/>
    <w:rsid w:val="00125136"/>
    <w:pPr>
      <w:keepNext/>
      <w:autoSpaceDE w:val="0"/>
      <w:autoSpaceDN w:val="0"/>
      <w:adjustRightInd w:val="0"/>
      <w:spacing w:line="240" w:lineRule="atLeast"/>
      <w:outlineLvl w:val="6"/>
    </w:pPr>
    <w:rPr>
      <w:rFonts w:ascii="Arial" w:hAnsi="Arial" w:cs="Arial"/>
      <w:b/>
      <w:bCs/>
      <w:color w:val="000000"/>
      <w:sz w:val="20"/>
      <w:szCs w:val="20"/>
      <w:lang w:val="en-US" w:eastAsia="en-US"/>
    </w:rPr>
  </w:style>
  <w:style w:type="paragraph" w:styleId="Heading8">
    <w:name w:val="heading 8"/>
    <w:basedOn w:val="Normal"/>
    <w:next w:val="Normal"/>
    <w:link w:val="Heading8Char"/>
    <w:qFormat/>
    <w:rsid w:val="00125136"/>
    <w:pPr>
      <w:keepNext/>
      <w:tabs>
        <w:tab w:val="left" w:pos="0"/>
        <w:tab w:val="left" w:pos="1111"/>
        <w:tab w:val="left" w:pos="8197"/>
      </w:tabs>
      <w:autoSpaceDE w:val="0"/>
      <w:autoSpaceDN w:val="0"/>
      <w:adjustRightInd w:val="0"/>
      <w:spacing w:after="120" w:line="240" w:lineRule="atLeast"/>
      <w:jc w:val="both"/>
      <w:outlineLvl w:val="7"/>
    </w:pPr>
    <w:rPr>
      <w:rFonts w:ascii="Arial" w:hAnsi="Arial" w:cs="Arial"/>
      <w:b/>
      <w:bCs/>
      <w:sz w:val="20"/>
      <w:lang w:eastAsia="en-US"/>
    </w:rPr>
  </w:style>
  <w:style w:type="paragraph" w:styleId="Heading9">
    <w:name w:val="heading 9"/>
    <w:basedOn w:val="Normal"/>
    <w:next w:val="Normal"/>
    <w:link w:val="Heading9Char"/>
    <w:qFormat/>
    <w:rsid w:val="00125136"/>
    <w:pPr>
      <w:keepNext/>
      <w:outlineLvl w:val="8"/>
    </w:pPr>
    <w:rPr>
      <w:rFonts w:ascii="Arial" w:hAnsi="Arial" w:cs="Arial"/>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7B64"/>
    <w:rPr>
      <w:rFonts w:ascii="Tahoma" w:hAnsi="Tahoma" w:cs="Tahoma"/>
      <w:sz w:val="16"/>
      <w:szCs w:val="16"/>
    </w:rPr>
  </w:style>
  <w:style w:type="character" w:customStyle="1" w:styleId="BalloonTextChar">
    <w:name w:val="Balloon Text Char"/>
    <w:basedOn w:val="DefaultParagraphFont"/>
    <w:link w:val="BalloonText"/>
    <w:uiPriority w:val="99"/>
    <w:semiHidden/>
    <w:rsid w:val="00797B64"/>
    <w:rPr>
      <w:rFonts w:ascii="Tahoma" w:eastAsia="Times New Roman" w:hAnsi="Tahoma" w:cs="Tahoma"/>
      <w:sz w:val="16"/>
      <w:szCs w:val="16"/>
      <w:lang w:eastAsia="en-AU"/>
    </w:rPr>
  </w:style>
  <w:style w:type="paragraph" w:styleId="NoSpacing">
    <w:name w:val="No Spacing"/>
    <w:link w:val="NoSpacingChar"/>
    <w:uiPriority w:val="1"/>
    <w:qFormat/>
    <w:rsid w:val="00797B6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97B64"/>
    <w:rPr>
      <w:rFonts w:eastAsiaTheme="minorEastAsia"/>
      <w:lang w:val="en-US" w:eastAsia="ja-JP"/>
    </w:rPr>
  </w:style>
  <w:style w:type="character" w:styleId="Hyperlink">
    <w:name w:val="Hyperlink"/>
    <w:basedOn w:val="DefaultParagraphFont"/>
    <w:uiPriority w:val="99"/>
    <w:unhideWhenUsed/>
    <w:rsid w:val="008B13BE"/>
    <w:rPr>
      <w:color w:val="0000FF"/>
      <w:u w:val="single"/>
    </w:rPr>
  </w:style>
  <w:style w:type="paragraph" w:styleId="NormalWeb">
    <w:name w:val="Normal (Web)"/>
    <w:basedOn w:val="Normal"/>
    <w:uiPriority w:val="99"/>
    <w:unhideWhenUsed/>
    <w:rsid w:val="008B13BE"/>
    <w:pPr>
      <w:spacing w:before="100" w:beforeAutospacing="1" w:after="100" w:afterAutospacing="1"/>
    </w:pPr>
    <w:rPr>
      <w:rFonts w:ascii="Verdana" w:hAnsi="Verdana"/>
    </w:rPr>
  </w:style>
  <w:style w:type="paragraph" w:styleId="FootnoteText">
    <w:name w:val="footnote text"/>
    <w:basedOn w:val="Normal"/>
    <w:link w:val="FootnoteTextChar"/>
    <w:uiPriority w:val="99"/>
    <w:semiHidden/>
    <w:unhideWhenUsed/>
    <w:rsid w:val="00800F00"/>
    <w:rPr>
      <w:sz w:val="20"/>
      <w:szCs w:val="20"/>
    </w:rPr>
  </w:style>
  <w:style w:type="character" w:customStyle="1" w:styleId="FootnoteTextChar">
    <w:name w:val="Footnote Text Char"/>
    <w:basedOn w:val="DefaultParagraphFont"/>
    <w:link w:val="FootnoteText"/>
    <w:uiPriority w:val="99"/>
    <w:semiHidden/>
    <w:rsid w:val="00800F00"/>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800F00"/>
    <w:rPr>
      <w:vertAlign w:val="superscript"/>
    </w:rPr>
  </w:style>
  <w:style w:type="paragraph" w:styleId="ListParagraph">
    <w:name w:val="List Paragraph"/>
    <w:basedOn w:val="Normal"/>
    <w:uiPriority w:val="34"/>
    <w:qFormat/>
    <w:rsid w:val="00D15EF9"/>
    <w:pPr>
      <w:ind w:left="720"/>
      <w:contextualSpacing/>
    </w:pPr>
  </w:style>
  <w:style w:type="paragraph" w:styleId="Caption">
    <w:name w:val="caption"/>
    <w:basedOn w:val="Normal"/>
    <w:next w:val="Normal"/>
    <w:uiPriority w:val="35"/>
    <w:unhideWhenUsed/>
    <w:qFormat/>
    <w:rsid w:val="00524104"/>
    <w:pPr>
      <w:spacing w:after="200"/>
    </w:pPr>
    <w:rPr>
      <w:b/>
      <w:bCs/>
      <w:color w:val="4F81BD" w:themeColor="accent1"/>
      <w:sz w:val="18"/>
      <w:szCs w:val="18"/>
    </w:rPr>
  </w:style>
  <w:style w:type="paragraph" w:styleId="Header">
    <w:name w:val="header"/>
    <w:basedOn w:val="Normal"/>
    <w:link w:val="HeaderChar"/>
    <w:uiPriority w:val="99"/>
    <w:unhideWhenUsed/>
    <w:rsid w:val="0071476E"/>
    <w:pPr>
      <w:tabs>
        <w:tab w:val="center" w:pos="4513"/>
        <w:tab w:val="right" w:pos="9026"/>
      </w:tabs>
    </w:pPr>
  </w:style>
  <w:style w:type="character" w:customStyle="1" w:styleId="HeaderChar">
    <w:name w:val="Header Char"/>
    <w:basedOn w:val="DefaultParagraphFont"/>
    <w:link w:val="Header"/>
    <w:uiPriority w:val="99"/>
    <w:rsid w:val="0071476E"/>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71476E"/>
    <w:pPr>
      <w:tabs>
        <w:tab w:val="center" w:pos="4513"/>
        <w:tab w:val="right" w:pos="9026"/>
      </w:tabs>
    </w:pPr>
  </w:style>
  <w:style w:type="character" w:customStyle="1" w:styleId="FooterChar">
    <w:name w:val="Footer Char"/>
    <w:basedOn w:val="DefaultParagraphFont"/>
    <w:link w:val="Footer"/>
    <w:uiPriority w:val="99"/>
    <w:rsid w:val="0071476E"/>
    <w:rPr>
      <w:rFonts w:ascii="Times New Roman" w:eastAsia="Times New Roman" w:hAnsi="Times New Roman" w:cs="Times New Roman"/>
      <w:sz w:val="24"/>
      <w:szCs w:val="24"/>
      <w:lang w:eastAsia="en-AU"/>
    </w:rPr>
  </w:style>
  <w:style w:type="paragraph" w:customStyle="1" w:styleId="Default">
    <w:name w:val="Default"/>
    <w:rsid w:val="003738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125136"/>
    <w:rPr>
      <w:rFonts w:ascii="Arial" w:eastAsia="Times New Roman" w:hAnsi="Arial" w:cs="Arial"/>
      <w:b/>
      <w:bCs/>
      <w:color w:val="000000"/>
      <w:sz w:val="24"/>
      <w:szCs w:val="20"/>
      <w:lang w:val="en-US"/>
    </w:rPr>
  </w:style>
  <w:style w:type="character" w:customStyle="1" w:styleId="Heading2Char">
    <w:name w:val="Heading 2 Char"/>
    <w:basedOn w:val="DefaultParagraphFont"/>
    <w:link w:val="Heading2"/>
    <w:rsid w:val="00125136"/>
    <w:rPr>
      <w:rFonts w:ascii="Arial" w:eastAsia="Times New Roman" w:hAnsi="Arial" w:cs="Arial"/>
      <w:b/>
      <w:bCs/>
      <w:color w:val="000000"/>
      <w:sz w:val="24"/>
      <w:szCs w:val="20"/>
      <w:lang w:val="en-US"/>
    </w:rPr>
  </w:style>
  <w:style w:type="character" w:customStyle="1" w:styleId="Heading3Char">
    <w:name w:val="Heading 3 Char"/>
    <w:basedOn w:val="DefaultParagraphFont"/>
    <w:link w:val="Heading3"/>
    <w:rsid w:val="00125136"/>
    <w:rPr>
      <w:rFonts w:ascii="Arial" w:eastAsia="Times New Roman" w:hAnsi="Arial" w:cs="Arial"/>
      <w:i/>
      <w:iCs/>
      <w:color w:val="000000"/>
      <w:sz w:val="20"/>
      <w:szCs w:val="20"/>
      <w:lang w:val="en-US"/>
    </w:rPr>
  </w:style>
  <w:style w:type="character" w:customStyle="1" w:styleId="Heading4Char">
    <w:name w:val="Heading 4 Char"/>
    <w:basedOn w:val="DefaultParagraphFont"/>
    <w:link w:val="Heading4"/>
    <w:rsid w:val="00125136"/>
    <w:rPr>
      <w:rFonts w:ascii="Arial" w:eastAsia="Times New Roman" w:hAnsi="Arial" w:cs="Arial"/>
      <w:b/>
      <w:bCs/>
      <w:color w:val="000000"/>
      <w:sz w:val="20"/>
      <w:szCs w:val="20"/>
      <w:lang w:val="en-US"/>
    </w:rPr>
  </w:style>
  <w:style w:type="character" w:customStyle="1" w:styleId="Heading5Char">
    <w:name w:val="Heading 5 Char"/>
    <w:basedOn w:val="DefaultParagraphFont"/>
    <w:link w:val="Heading5"/>
    <w:rsid w:val="00125136"/>
    <w:rPr>
      <w:rFonts w:ascii="Arial" w:eastAsia="Times New Roman" w:hAnsi="Arial" w:cs="Arial"/>
      <w:b/>
      <w:bCs/>
      <w:i/>
      <w:iCs/>
      <w:color w:val="000000"/>
      <w:sz w:val="20"/>
      <w:szCs w:val="20"/>
      <w:lang w:val="en-US"/>
    </w:rPr>
  </w:style>
  <w:style w:type="character" w:customStyle="1" w:styleId="Heading6Char">
    <w:name w:val="Heading 6 Char"/>
    <w:basedOn w:val="DefaultParagraphFont"/>
    <w:link w:val="Heading6"/>
    <w:rsid w:val="00125136"/>
    <w:rPr>
      <w:rFonts w:ascii="Arial" w:eastAsia="Times New Roman" w:hAnsi="Arial" w:cs="Arial"/>
      <w:b/>
      <w:bCs/>
      <w:color w:val="FF0000"/>
      <w:sz w:val="16"/>
      <w:szCs w:val="16"/>
      <w:lang w:val="en-US"/>
    </w:rPr>
  </w:style>
  <w:style w:type="character" w:customStyle="1" w:styleId="Heading7Char">
    <w:name w:val="Heading 7 Char"/>
    <w:basedOn w:val="DefaultParagraphFont"/>
    <w:link w:val="Heading7"/>
    <w:rsid w:val="00125136"/>
    <w:rPr>
      <w:rFonts w:ascii="Arial" w:eastAsia="Times New Roman" w:hAnsi="Arial" w:cs="Arial"/>
      <w:b/>
      <w:bCs/>
      <w:color w:val="000000"/>
      <w:sz w:val="20"/>
      <w:szCs w:val="20"/>
      <w:lang w:val="en-US"/>
    </w:rPr>
  </w:style>
  <w:style w:type="character" w:customStyle="1" w:styleId="Heading8Char">
    <w:name w:val="Heading 8 Char"/>
    <w:basedOn w:val="DefaultParagraphFont"/>
    <w:link w:val="Heading8"/>
    <w:rsid w:val="00125136"/>
    <w:rPr>
      <w:rFonts w:ascii="Arial" w:eastAsia="Times New Roman" w:hAnsi="Arial" w:cs="Arial"/>
      <w:b/>
      <w:bCs/>
      <w:sz w:val="20"/>
      <w:szCs w:val="24"/>
    </w:rPr>
  </w:style>
  <w:style w:type="character" w:customStyle="1" w:styleId="Heading9Char">
    <w:name w:val="Heading 9 Char"/>
    <w:basedOn w:val="DefaultParagraphFont"/>
    <w:link w:val="Heading9"/>
    <w:rsid w:val="00125136"/>
    <w:rPr>
      <w:rFonts w:ascii="Arial" w:eastAsia="Times New Roman" w:hAnsi="Arial" w:cs="Arial"/>
      <w:b/>
      <w:bCs/>
      <w:sz w:val="20"/>
      <w:szCs w:val="24"/>
    </w:rPr>
  </w:style>
  <w:style w:type="paragraph" w:styleId="BodyTextIndent">
    <w:name w:val="Body Text Indent"/>
    <w:basedOn w:val="Normal"/>
    <w:link w:val="BodyTextIndentChar"/>
    <w:rsid w:val="00125136"/>
    <w:pPr>
      <w:autoSpaceDE w:val="0"/>
      <w:autoSpaceDN w:val="0"/>
      <w:adjustRightInd w:val="0"/>
      <w:spacing w:line="240" w:lineRule="atLeast"/>
      <w:ind w:left="540" w:hanging="517"/>
      <w:jc w:val="both"/>
    </w:pPr>
    <w:rPr>
      <w:rFonts w:ascii="Arial" w:hAnsi="Arial" w:cs="Arial"/>
      <w:color w:val="000000"/>
      <w:sz w:val="20"/>
      <w:szCs w:val="20"/>
      <w:lang w:val="en-US" w:eastAsia="en-US"/>
    </w:rPr>
  </w:style>
  <w:style w:type="character" w:customStyle="1" w:styleId="BodyTextIndentChar">
    <w:name w:val="Body Text Indent Char"/>
    <w:basedOn w:val="DefaultParagraphFont"/>
    <w:link w:val="BodyTextIndent"/>
    <w:rsid w:val="00125136"/>
    <w:rPr>
      <w:rFonts w:ascii="Arial" w:eastAsia="Times New Roman" w:hAnsi="Arial" w:cs="Arial"/>
      <w:color w:val="000000"/>
      <w:sz w:val="20"/>
      <w:szCs w:val="20"/>
      <w:lang w:val="en-US"/>
    </w:rPr>
  </w:style>
  <w:style w:type="paragraph" w:styleId="BodyTextIndent2">
    <w:name w:val="Body Text Indent 2"/>
    <w:basedOn w:val="Normal"/>
    <w:link w:val="BodyTextIndent2Char"/>
    <w:rsid w:val="00125136"/>
    <w:pPr>
      <w:tabs>
        <w:tab w:val="left" w:pos="1620"/>
        <w:tab w:val="left" w:pos="8197"/>
      </w:tabs>
      <w:autoSpaceDE w:val="0"/>
      <w:autoSpaceDN w:val="0"/>
      <w:adjustRightInd w:val="0"/>
      <w:spacing w:after="120" w:line="240" w:lineRule="atLeast"/>
      <w:ind w:left="1620"/>
      <w:jc w:val="both"/>
    </w:pPr>
    <w:rPr>
      <w:rFonts w:ascii="Arial" w:hAnsi="Arial" w:cs="Arial"/>
      <w:color w:val="000000"/>
      <w:sz w:val="20"/>
      <w:szCs w:val="20"/>
      <w:lang w:val="en-US" w:eastAsia="en-US"/>
    </w:rPr>
  </w:style>
  <w:style w:type="character" w:customStyle="1" w:styleId="BodyTextIndent2Char">
    <w:name w:val="Body Text Indent 2 Char"/>
    <w:basedOn w:val="DefaultParagraphFont"/>
    <w:link w:val="BodyTextIndent2"/>
    <w:rsid w:val="00125136"/>
    <w:rPr>
      <w:rFonts w:ascii="Arial" w:eastAsia="Times New Roman" w:hAnsi="Arial" w:cs="Arial"/>
      <w:color w:val="000000"/>
      <w:sz w:val="20"/>
      <w:szCs w:val="20"/>
      <w:lang w:val="en-US"/>
    </w:rPr>
  </w:style>
  <w:style w:type="paragraph" w:styleId="EndnoteText">
    <w:name w:val="endnote text"/>
    <w:basedOn w:val="Normal"/>
    <w:link w:val="EndnoteTextChar"/>
    <w:uiPriority w:val="99"/>
    <w:semiHidden/>
    <w:unhideWhenUsed/>
    <w:rsid w:val="0075288E"/>
    <w:rPr>
      <w:sz w:val="20"/>
      <w:szCs w:val="20"/>
    </w:rPr>
  </w:style>
  <w:style w:type="character" w:customStyle="1" w:styleId="EndnoteTextChar">
    <w:name w:val="Endnote Text Char"/>
    <w:basedOn w:val="DefaultParagraphFont"/>
    <w:link w:val="EndnoteText"/>
    <w:uiPriority w:val="99"/>
    <w:semiHidden/>
    <w:rsid w:val="0075288E"/>
    <w:rPr>
      <w:rFonts w:ascii="Times New Roman" w:eastAsia="Times New Roman" w:hAnsi="Times New Roman" w:cs="Times New Roman"/>
      <w:sz w:val="20"/>
      <w:szCs w:val="20"/>
      <w:lang w:eastAsia="en-AU"/>
    </w:rPr>
  </w:style>
  <w:style w:type="character" w:styleId="EndnoteReference">
    <w:name w:val="endnote reference"/>
    <w:basedOn w:val="DefaultParagraphFont"/>
    <w:uiPriority w:val="99"/>
    <w:semiHidden/>
    <w:unhideWhenUsed/>
    <w:rsid w:val="0075288E"/>
    <w:rPr>
      <w:vertAlign w:val="superscript"/>
    </w:rPr>
  </w:style>
  <w:style w:type="character" w:styleId="CommentReference">
    <w:name w:val="annotation reference"/>
    <w:basedOn w:val="DefaultParagraphFont"/>
    <w:uiPriority w:val="99"/>
    <w:semiHidden/>
    <w:unhideWhenUsed/>
    <w:rsid w:val="00F03522"/>
    <w:rPr>
      <w:sz w:val="16"/>
      <w:szCs w:val="16"/>
    </w:rPr>
  </w:style>
  <w:style w:type="paragraph" w:styleId="CommentText">
    <w:name w:val="annotation text"/>
    <w:basedOn w:val="Normal"/>
    <w:link w:val="CommentTextChar"/>
    <w:uiPriority w:val="99"/>
    <w:semiHidden/>
    <w:unhideWhenUsed/>
    <w:rsid w:val="00F03522"/>
    <w:rPr>
      <w:sz w:val="20"/>
      <w:szCs w:val="20"/>
    </w:rPr>
  </w:style>
  <w:style w:type="character" w:customStyle="1" w:styleId="CommentTextChar">
    <w:name w:val="Comment Text Char"/>
    <w:basedOn w:val="DefaultParagraphFont"/>
    <w:link w:val="CommentText"/>
    <w:uiPriority w:val="99"/>
    <w:semiHidden/>
    <w:rsid w:val="00F03522"/>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03522"/>
    <w:rPr>
      <w:b/>
      <w:bCs/>
    </w:rPr>
  </w:style>
  <w:style w:type="character" w:customStyle="1" w:styleId="CommentSubjectChar">
    <w:name w:val="Comment Subject Char"/>
    <w:basedOn w:val="CommentTextChar"/>
    <w:link w:val="CommentSubject"/>
    <w:uiPriority w:val="99"/>
    <w:semiHidden/>
    <w:rsid w:val="00F03522"/>
    <w:rPr>
      <w:rFonts w:ascii="Times New Roman" w:eastAsia="Times New Roman" w:hAnsi="Times New Roman" w:cs="Times New Roman"/>
      <w:b/>
      <w:bCs/>
      <w:sz w:val="20"/>
      <w:szCs w:val="20"/>
      <w:lang w:eastAsia="en-AU"/>
    </w:rPr>
  </w:style>
  <w:style w:type="character" w:customStyle="1" w:styleId="titlestyle">
    <w:name w:val="titlestyle"/>
    <w:basedOn w:val="DefaultParagraphFont"/>
    <w:rsid w:val="00476E2C"/>
  </w:style>
  <w:style w:type="table" w:styleId="TableGrid">
    <w:name w:val="Table Grid"/>
    <w:basedOn w:val="TableNormal"/>
    <w:uiPriority w:val="59"/>
    <w:rsid w:val="008F49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530AE4"/>
  </w:style>
  <w:style w:type="table" w:customStyle="1" w:styleId="TableGrid1">
    <w:name w:val="Table Grid1"/>
    <w:basedOn w:val="TableNormal"/>
    <w:next w:val="TableGrid"/>
    <w:uiPriority w:val="59"/>
    <w:rsid w:val="001D0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B64"/>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125136"/>
    <w:pPr>
      <w:keepNext/>
      <w:tabs>
        <w:tab w:val="left" w:pos="0"/>
        <w:tab w:val="left" w:pos="544"/>
        <w:tab w:val="left" w:pos="1111"/>
        <w:tab w:val="left" w:pos="8197"/>
      </w:tabs>
      <w:autoSpaceDE w:val="0"/>
      <w:autoSpaceDN w:val="0"/>
      <w:adjustRightInd w:val="0"/>
      <w:spacing w:after="120" w:line="240" w:lineRule="atLeast"/>
      <w:outlineLvl w:val="0"/>
    </w:pPr>
    <w:rPr>
      <w:rFonts w:ascii="Arial" w:hAnsi="Arial" w:cs="Arial"/>
      <w:b/>
      <w:bCs/>
      <w:color w:val="000000"/>
      <w:szCs w:val="20"/>
      <w:lang w:val="en-US" w:eastAsia="en-US"/>
    </w:rPr>
  </w:style>
  <w:style w:type="paragraph" w:styleId="Heading2">
    <w:name w:val="heading 2"/>
    <w:basedOn w:val="Normal"/>
    <w:next w:val="Normal"/>
    <w:link w:val="Heading2Char"/>
    <w:qFormat/>
    <w:rsid w:val="00125136"/>
    <w:pPr>
      <w:keepNext/>
      <w:tabs>
        <w:tab w:val="left" w:pos="0"/>
        <w:tab w:val="left" w:pos="544"/>
        <w:tab w:val="left" w:pos="1111"/>
        <w:tab w:val="left" w:pos="8197"/>
      </w:tabs>
      <w:autoSpaceDE w:val="0"/>
      <w:autoSpaceDN w:val="0"/>
      <w:adjustRightInd w:val="0"/>
      <w:spacing w:after="120" w:line="240" w:lineRule="atLeast"/>
      <w:jc w:val="center"/>
      <w:outlineLvl w:val="1"/>
    </w:pPr>
    <w:rPr>
      <w:rFonts w:ascii="Arial" w:hAnsi="Arial" w:cs="Arial"/>
      <w:b/>
      <w:bCs/>
      <w:color w:val="000000"/>
      <w:szCs w:val="20"/>
      <w:lang w:val="en-US" w:eastAsia="en-US"/>
    </w:rPr>
  </w:style>
  <w:style w:type="paragraph" w:styleId="Heading3">
    <w:name w:val="heading 3"/>
    <w:basedOn w:val="Normal"/>
    <w:next w:val="Normal"/>
    <w:link w:val="Heading3Char"/>
    <w:qFormat/>
    <w:rsid w:val="00125136"/>
    <w:pPr>
      <w:keepNext/>
      <w:tabs>
        <w:tab w:val="left" w:pos="0"/>
        <w:tab w:val="left" w:pos="544"/>
        <w:tab w:val="left" w:pos="1111"/>
        <w:tab w:val="left" w:pos="8197"/>
      </w:tabs>
      <w:autoSpaceDE w:val="0"/>
      <w:autoSpaceDN w:val="0"/>
      <w:adjustRightInd w:val="0"/>
      <w:spacing w:after="120" w:line="240" w:lineRule="atLeast"/>
      <w:outlineLvl w:val="2"/>
    </w:pPr>
    <w:rPr>
      <w:rFonts w:ascii="Arial" w:hAnsi="Arial" w:cs="Arial"/>
      <w:i/>
      <w:iCs/>
      <w:color w:val="000000"/>
      <w:sz w:val="20"/>
      <w:szCs w:val="20"/>
      <w:lang w:val="en-US" w:eastAsia="en-US"/>
    </w:rPr>
  </w:style>
  <w:style w:type="paragraph" w:styleId="Heading4">
    <w:name w:val="heading 4"/>
    <w:basedOn w:val="Normal"/>
    <w:next w:val="Normal"/>
    <w:link w:val="Heading4Char"/>
    <w:qFormat/>
    <w:rsid w:val="00125136"/>
    <w:pPr>
      <w:keepNext/>
      <w:tabs>
        <w:tab w:val="left" w:pos="0"/>
        <w:tab w:val="left" w:pos="544"/>
        <w:tab w:val="left" w:pos="1111"/>
        <w:tab w:val="left" w:pos="8197"/>
      </w:tabs>
      <w:autoSpaceDE w:val="0"/>
      <w:autoSpaceDN w:val="0"/>
      <w:adjustRightInd w:val="0"/>
      <w:spacing w:after="120" w:line="240" w:lineRule="atLeast"/>
      <w:outlineLvl w:val="3"/>
    </w:pPr>
    <w:rPr>
      <w:rFonts w:ascii="Arial" w:hAnsi="Arial" w:cs="Arial"/>
      <w:b/>
      <w:bCs/>
      <w:color w:val="000000"/>
      <w:sz w:val="20"/>
      <w:szCs w:val="20"/>
      <w:lang w:val="en-US" w:eastAsia="en-US"/>
    </w:rPr>
  </w:style>
  <w:style w:type="paragraph" w:styleId="Heading5">
    <w:name w:val="heading 5"/>
    <w:basedOn w:val="Normal"/>
    <w:next w:val="Normal"/>
    <w:link w:val="Heading5Char"/>
    <w:qFormat/>
    <w:rsid w:val="00125136"/>
    <w:pPr>
      <w:keepNext/>
      <w:tabs>
        <w:tab w:val="left" w:pos="0"/>
        <w:tab w:val="left" w:pos="544"/>
        <w:tab w:val="left" w:pos="1111"/>
        <w:tab w:val="left" w:pos="8197"/>
      </w:tabs>
      <w:autoSpaceDE w:val="0"/>
      <w:autoSpaceDN w:val="0"/>
      <w:adjustRightInd w:val="0"/>
      <w:spacing w:after="120" w:line="240" w:lineRule="atLeast"/>
      <w:jc w:val="center"/>
      <w:outlineLvl w:val="4"/>
    </w:pPr>
    <w:rPr>
      <w:rFonts w:ascii="Arial" w:hAnsi="Arial" w:cs="Arial"/>
      <w:b/>
      <w:bCs/>
      <w:i/>
      <w:iCs/>
      <w:color w:val="000000"/>
      <w:sz w:val="20"/>
      <w:szCs w:val="20"/>
      <w:lang w:val="en-US" w:eastAsia="en-US"/>
    </w:rPr>
  </w:style>
  <w:style w:type="paragraph" w:styleId="Heading6">
    <w:name w:val="heading 6"/>
    <w:basedOn w:val="Normal"/>
    <w:next w:val="Normal"/>
    <w:link w:val="Heading6Char"/>
    <w:qFormat/>
    <w:rsid w:val="00125136"/>
    <w:pPr>
      <w:keepNext/>
      <w:tabs>
        <w:tab w:val="left" w:pos="0"/>
        <w:tab w:val="left" w:pos="720"/>
        <w:tab w:val="left" w:pos="2160"/>
        <w:tab w:val="left" w:pos="2880"/>
        <w:tab w:val="left" w:pos="3600"/>
        <w:tab w:val="left" w:pos="4320"/>
      </w:tabs>
      <w:autoSpaceDE w:val="0"/>
      <w:autoSpaceDN w:val="0"/>
      <w:adjustRightInd w:val="0"/>
      <w:spacing w:line="240" w:lineRule="atLeast"/>
      <w:jc w:val="center"/>
      <w:outlineLvl w:val="5"/>
    </w:pPr>
    <w:rPr>
      <w:rFonts w:ascii="Arial" w:hAnsi="Arial" w:cs="Arial"/>
      <w:b/>
      <w:bCs/>
      <w:color w:val="FF0000"/>
      <w:sz w:val="16"/>
      <w:szCs w:val="16"/>
      <w:lang w:val="en-US" w:eastAsia="en-US"/>
    </w:rPr>
  </w:style>
  <w:style w:type="paragraph" w:styleId="Heading7">
    <w:name w:val="heading 7"/>
    <w:basedOn w:val="Normal"/>
    <w:next w:val="Normal"/>
    <w:link w:val="Heading7Char"/>
    <w:qFormat/>
    <w:rsid w:val="00125136"/>
    <w:pPr>
      <w:keepNext/>
      <w:autoSpaceDE w:val="0"/>
      <w:autoSpaceDN w:val="0"/>
      <w:adjustRightInd w:val="0"/>
      <w:spacing w:line="240" w:lineRule="atLeast"/>
      <w:outlineLvl w:val="6"/>
    </w:pPr>
    <w:rPr>
      <w:rFonts w:ascii="Arial" w:hAnsi="Arial" w:cs="Arial"/>
      <w:b/>
      <w:bCs/>
      <w:color w:val="000000"/>
      <w:sz w:val="20"/>
      <w:szCs w:val="20"/>
      <w:lang w:val="en-US" w:eastAsia="en-US"/>
    </w:rPr>
  </w:style>
  <w:style w:type="paragraph" w:styleId="Heading8">
    <w:name w:val="heading 8"/>
    <w:basedOn w:val="Normal"/>
    <w:next w:val="Normal"/>
    <w:link w:val="Heading8Char"/>
    <w:qFormat/>
    <w:rsid w:val="00125136"/>
    <w:pPr>
      <w:keepNext/>
      <w:tabs>
        <w:tab w:val="left" w:pos="0"/>
        <w:tab w:val="left" w:pos="1111"/>
        <w:tab w:val="left" w:pos="8197"/>
      </w:tabs>
      <w:autoSpaceDE w:val="0"/>
      <w:autoSpaceDN w:val="0"/>
      <w:adjustRightInd w:val="0"/>
      <w:spacing w:after="120" w:line="240" w:lineRule="atLeast"/>
      <w:jc w:val="both"/>
      <w:outlineLvl w:val="7"/>
    </w:pPr>
    <w:rPr>
      <w:rFonts w:ascii="Arial" w:hAnsi="Arial" w:cs="Arial"/>
      <w:b/>
      <w:bCs/>
      <w:sz w:val="20"/>
      <w:lang w:eastAsia="en-US"/>
    </w:rPr>
  </w:style>
  <w:style w:type="paragraph" w:styleId="Heading9">
    <w:name w:val="heading 9"/>
    <w:basedOn w:val="Normal"/>
    <w:next w:val="Normal"/>
    <w:link w:val="Heading9Char"/>
    <w:qFormat/>
    <w:rsid w:val="00125136"/>
    <w:pPr>
      <w:keepNext/>
      <w:outlineLvl w:val="8"/>
    </w:pPr>
    <w:rPr>
      <w:rFonts w:ascii="Arial" w:hAnsi="Arial" w:cs="Arial"/>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7B64"/>
    <w:rPr>
      <w:rFonts w:ascii="Tahoma" w:hAnsi="Tahoma" w:cs="Tahoma"/>
      <w:sz w:val="16"/>
      <w:szCs w:val="16"/>
    </w:rPr>
  </w:style>
  <w:style w:type="character" w:customStyle="1" w:styleId="BalloonTextChar">
    <w:name w:val="Balloon Text Char"/>
    <w:basedOn w:val="DefaultParagraphFont"/>
    <w:link w:val="BalloonText"/>
    <w:uiPriority w:val="99"/>
    <w:semiHidden/>
    <w:rsid w:val="00797B64"/>
    <w:rPr>
      <w:rFonts w:ascii="Tahoma" w:eastAsia="Times New Roman" w:hAnsi="Tahoma" w:cs="Tahoma"/>
      <w:sz w:val="16"/>
      <w:szCs w:val="16"/>
      <w:lang w:eastAsia="en-AU"/>
    </w:rPr>
  </w:style>
  <w:style w:type="paragraph" w:styleId="NoSpacing">
    <w:name w:val="No Spacing"/>
    <w:link w:val="NoSpacingChar"/>
    <w:uiPriority w:val="1"/>
    <w:qFormat/>
    <w:rsid w:val="00797B6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97B64"/>
    <w:rPr>
      <w:rFonts w:eastAsiaTheme="minorEastAsia"/>
      <w:lang w:val="en-US" w:eastAsia="ja-JP"/>
    </w:rPr>
  </w:style>
  <w:style w:type="character" w:styleId="Hyperlink">
    <w:name w:val="Hyperlink"/>
    <w:basedOn w:val="DefaultParagraphFont"/>
    <w:uiPriority w:val="99"/>
    <w:unhideWhenUsed/>
    <w:rsid w:val="008B13BE"/>
    <w:rPr>
      <w:color w:val="0000FF"/>
      <w:u w:val="single"/>
    </w:rPr>
  </w:style>
  <w:style w:type="paragraph" w:styleId="NormalWeb">
    <w:name w:val="Normal (Web)"/>
    <w:basedOn w:val="Normal"/>
    <w:uiPriority w:val="99"/>
    <w:unhideWhenUsed/>
    <w:rsid w:val="008B13BE"/>
    <w:pPr>
      <w:spacing w:before="100" w:beforeAutospacing="1" w:after="100" w:afterAutospacing="1"/>
    </w:pPr>
    <w:rPr>
      <w:rFonts w:ascii="Verdana" w:hAnsi="Verdana"/>
    </w:rPr>
  </w:style>
  <w:style w:type="paragraph" w:styleId="FootnoteText">
    <w:name w:val="footnote text"/>
    <w:basedOn w:val="Normal"/>
    <w:link w:val="FootnoteTextChar"/>
    <w:uiPriority w:val="99"/>
    <w:semiHidden/>
    <w:unhideWhenUsed/>
    <w:rsid w:val="00800F00"/>
    <w:rPr>
      <w:sz w:val="20"/>
      <w:szCs w:val="20"/>
    </w:rPr>
  </w:style>
  <w:style w:type="character" w:customStyle="1" w:styleId="FootnoteTextChar">
    <w:name w:val="Footnote Text Char"/>
    <w:basedOn w:val="DefaultParagraphFont"/>
    <w:link w:val="FootnoteText"/>
    <w:uiPriority w:val="99"/>
    <w:semiHidden/>
    <w:rsid w:val="00800F00"/>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800F00"/>
    <w:rPr>
      <w:vertAlign w:val="superscript"/>
    </w:rPr>
  </w:style>
  <w:style w:type="paragraph" w:styleId="ListParagraph">
    <w:name w:val="List Paragraph"/>
    <w:basedOn w:val="Normal"/>
    <w:uiPriority w:val="34"/>
    <w:qFormat/>
    <w:rsid w:val="00D15EF9"/>
    <w:pPr>
      <w:ind w:left="720"/>
      <w:contextualSpacing/>
    </w:pPr>
  </w:style>
  <w:style w:type="paragraph" w:styleId="Caption">
    <w:name w:val="caption"/>
    <w:basedOn w:val="Normal"/>
    <w:next w:val="Normal"/>
    <w:uiPriority w:val="35"/>
    <w:unhideWhenUsed/>
    <w:qFormat/>
    <w:rsid w:val="00524104"/>
    <w:pPr>
      <w:spacing w:after="200"/>
    </w:pPr>
    <w:rPr>
      <w:b/>
      <w:bCs/>
      <w:color w:val="4F81BD" w:themeColor="accent1"/>
      <w:sz w:val="18"/>
      <w:szCs w:val="18"/>
    </w:rPr>
  </w:style>
  <w:style w:type="paragraph" w:styleId="Header">
    <w:name w:val="header"/>
    <w:basedOn w:val="Normal"/>
    <w:link w:val="HeaderChar"/>
    <w:uiPriority w:val="99"/>
    <w:unhideWhenUsed/>
    <w:rsid w:val="0071476E"/>
    <w:pPr>
      <w:tabs>
        <w:tab w:val="center" w:pos="4513"/>
        <w:tab w:val="right" w:pos="9026"/>
      </w:tabs>
    </w:pPr>
  </w:style>
  <w:style w:type="character" w:customStyle="1" w:styleId="HeaderChar">
    <w:name w:val="Header Char"/>
    <w:basedOn w:val="DefaultParagraphFont"/>
    <w:link w:val="Header"/>
    <w:uiPriority w:val="99"/>
    <w:rsid w:val="0071476E"/>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71476E"/>
    <w:pPr>
      <w:tabs>
        <w:tab w:val="center" w:pos="4513"/>
        <w:tab w:val="right" w:pos="9026"/>
      </w:tabs>
    </w:pPr>
  </w:style>
  <w:style w:type="character" w:customStyle="1" w:styleId="FooterChar">
    <w:name w:val="Footer Char"/>
    <w:basedOn w:val="DefaultParagraphFont"/>
    <w:link w:val="Footer"/>
    <w:uiPriority w:val="99"/>
    <w:rsid w:val="0071476E"/>
    <w:rPr>
      <w:rFonts w:ascii="Times New Roman" w:eastAsia="Times New Roman" w:hAnsi="Times New Roman" w:cs="Times New Roman"/>
      <w:sz w:val="24"/>
      <w:szCs w:val="24"/>
      <w:lang w:eastAsia="en-AU"/>
    </w:rPr>
  </w:style>
  <w:style w:type="paragraph" w:customStyle="1" w:styleId="Default">
    <w:name w:val="Default"/>
    <w:rsid w:val="003738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125136"/>
    <w:rPr>
      <w:rFonts w:ascii="Arial" w:eastAsia="Times New Roman" w:hAnsi="Arial" w:cs="Arial"/>
      <w:b/>
      <w:bCs/>
      <w:color w:val="000000"/>
      <w:sz w:val="24"/>
      <w:szCs w:val="20"/>
      <w:lang w:val="en-US"/>
    </w:rPr>
  </w:style>
  <w:style w:type="character" w:customStyle="1" w:styleId="Heading2Char">
    <w:name w:val="Heading 2 Char"/>
    <w:basedOn w:val="DefaultParagraphFont"/>
    <w:link w:val="Heading2"/>
    <w:rsid w:val="00125136"/>
    <w:rPr>
      <w:rFonts w:ascii="Arial" w:eastAsia="Times New Roman" w:hAnsi="Arial" w:cs="Arial"/>
      <w:b/>
      <w:bCs/>
      <w:color w:val="000000"/>
      <w:sz w:val="24"/>
      <w:szCs w:val="20"/>
      <w:lang w:val="en-US"/>
    </w:rPr>
  </w:style>
  <w:style w:type="character" w:customStyle="1" w:styleId="Heading3Char">
    <w:name w:val="Heading 3 Char"/>
    <w:basedOn w:val="DefaultParagraphFont"/>
    <w:link w:val="Heading3"/>
    <w:rsid w:val="00125136"/>
    <w:rPr>
      <w:rFonts w:ascii="Arial" w:eastAsia="Times New Roman" w:hAnsi="Arial" w:cs="Arial"/>
      <w:i/>
      <w:iCs/>
      <w:color w:val="000000"/>
      <w:sz w:val="20"/>
      <w:szCs w:val="20"/>
      <w:lang w:val="en-US"/>
    </w:rPr>
  </w:style>
  <w:style w:type="character" w:customStyle="1" w:styleId="Heading4Char">
    <w:name w:val="Heading 4 Char"/>
    <w:basedOn w:val="DefaultParagraphFont"/>
    <w:link w:val="Heading4"/>
    <w:rsid w:val="00125136"/>
    <w:rPr>
      <w:rFonts w:ascii="Arial" w:eastAsia="Times New Roman" w:hAnsi="Arial" w:cs="Arial"/>
      <w:b/>
      <w:bCs/>
      <w:color w:val="000000"/>
      <w:sz w:val="20"/>
      <w:szCs w:val="20"/>
      <w:lang w:val="en-US"/>
    </w:rPr>
  </w:style>
  <w:style w:type="character" w:customStyle="1" w:styleId="Heading5Char">
    <w:name w:val="Heading 5 Char"/>
    <w:basedOn w:val="DefaultParagraphFont"/>
    <w:link w:val="Heading5"/>
    <w:rsid w:val="00125136"/>
    <w:rPr>
      <w:rFonts w:ascii="Arial" w:eastAsia="Times New Roman" w:hAnsi="Arial" w:cs="Arial"/>
      <w:b/>
      <w:bCs/>
      <w:i/>
      <w:iCs/>
      <w:color w:val="000000"/>
      <w:sz w:val="20"/>
      <w:szCs w:val="20"/>
      <w:lang w:val="en-US"/>
    </w:rPr>
  </w:style>
  <w:style w:type="character" w:customStyle="1" w:styleId="Heading6Char">
    <w:name w:val="Heading 6 Char"/>
    <w:basedOn w:val="DefaultParagraphFont"/>
    <w:link w:val="Heading6"/>
    <w:rsid w:val="00125136"/>
    <w:rPr>
      <w:rFonts w:ascii="Arial" w:eastAsia="Times New Roman" w:hAnsi="Arial" w:cs="Arial"/>
      <w:b/>
      <w:bCs/>
      <w:color w:val="FF0000"/>
      <w:sz w:val="16"/>
      <w:szCs w:val="16"/>
      <w:lang w:val="en-US"/>
    </w:rPr>
  </w:style>
  <w:style w:type="character" w:customStyle="1" w:styleId="Heading7Char">
    <w:name w:val="Heading 7 Char"/>
    <w:basedOn w:val="DefaultParagraphFont"/>
    <w:link w:val="Heading7"/>
    <w:rsid w:val="00125136"/>
    <w:rPr>
      <w:rFonts w:ascii="Arial" w:eastAsia="Times New Roman" w:hAnsi="Arial" w:cs="Arial"/>
      <w:b/>
      <w:bCs/>
      <w:color w:val="000000"/>
      <w:sz w:val="20"/>
      <w:szCs w:val="20"/>
      <w:lang w:val="en-US"/>
    </w:rPr>
  </w:style>
  <w:style w:type="character" w:customStyle="1" w:styleId="Heading8Char">
    <w:name w:val="Heading 8 Char"/>
    <w:basedOn w:val="DefaultParagraphFont"/>
    <w:link w:val="Heading8"/>
    <w:rsid w:val="00125136"/>
    <w:rPr>
      <w:rFonts w:ascii="Arial" w:eastAsia="Times New Roman" w:hAnsi="Arial" w:cs="Arial"/>
      <w:b/>
      <w:bCs/>
      <w:sz w:val="20"/>
      <w:szCs w:val="24"/>
    </w:rPr>
  </w:style>
  <w:style w:type="character" w:customStyle="1" w:styleId="Heading9Char">
    <w:name w:val="Heading 9 Char"/>
    <w:basedOn w:val="DefaultParagraphFont"/>
    <w:link w:val="Heading9"/>
    <w:rsid w:val="00125136"/>
    <w:rPr>
      <w:rFonts w:ascii="Arial" w:eastAsia="Times New Roman" w:hAnsi="Arial" w:cs="Arial"/>
      <w:b/>
      <w:bCs/>
      <w:sz w:val="20"/>
      <w:szCs w:val="24"/>
    </w:rPr>
  </w:style>
  <w:style w:type="paragraph" w:styleId="BodyTextIndent">
    <w:name w:val="Body Text Indent"/>
    <w:basedOn w:val="Normal"/>
    <w:link w:val="BodyTextIndentChar"/>
    <w:rsid w:val="00125136"/>
    <w:pPr>
      <w:autoSpaceDE w:val="0"/>
      <w:autoSpaceDN w:val="0"/>
      <w:adjustRightInd w:val="0"/>
      <w:spacing w:line="240" w:lineRule="atLeast"/>
      <w:ind w:left="540" w:hanging="517"/>
      <w:jc w:val="both"/>
    </w:pPr>
    <w:rPr>
      <w:rFonts w:ascii="Arial" w:hAnsi="Arial" w:cs="Arial"/>
      <w:color w:val="000000"/>
      <w:sz w:val="20"/>
      <w:szCs w:val="20"/>
      <w:lang w:val="en-US" w:eastAsia="en-US"/>
    </w:rPr>
  </w:style>
  <w:style w:type="character" w:customStyle="1" w:styleId="BodyTextIndentChar">
    <w:name w:val="Body Text Indent Char"/>
    <w:basedOn w:val="DefaultParagraphFont"/>
    <w:link w:val="BodyTextIndent"/>
    <w:rsid w:val="00125136"/>
    <w:rPr>
      <w:rFonts w:ascii="Arial" w:eastAsia="Times New Roman" w:hAnsi="Arial" w:cs="Arial"/>
      <w:color w:val="000000"/>
      <w:sz w:val="20"/>
      <w:szCs w:val="20"/>
      <w:lang w:val="en-US"/>
    </w:rPr>
  </w:style>
  <w:style w:type="paragraph" w:styleId="BodyTextIndent2">
    <w:name w:val="Body Text Indent 2"/>
    <w:basedOn w:val="Normal"/>
    <w:link w:val="BodyTextIndent2Char"/>
    <w:rsid w:val="00125136"/>
    <w:pPr>
      <w:tabs>
        <w:tab w:val="left" w:pos="1620"/>
        <w:tab w:val="left" w:pos="8197"/>
      </w:tabs>
      <w:autoSpaceDE w:val="0"/>
      <w:autoSpaceDN w:val="0"/>
      <w:adjustRightInd w:val="0"/>
      <w:spacing w:after="120" w:line="240" w:lineRule="atLeast"/>
      <w:ind w:left="1620"/>
      <w:jc w:val="both"/>
    </w:pPr>
    <w:rPr>
      <w:rFonts w:ascii="Arial" w:hAnsi="Arial" w:cs="Arial"/>
      <w:color w:val="000000"/>
      <w:sz w:val="20"/>
      <w:szCs w:val="20"/>
      <w:lang w:val="en-US" w:eastAsia="en-US"/>
    </w:rPr>
  </w:style>
  <w:style w:type="character" w:customStyle="1" w:styleId="BodyTextIndent2Char">
    <w:name w:val="Body Text Indent 2 Char"/>
    <w:basedOn w:val="DefaultParagraphFont"/>
    <w:link w:val="BodyTextIndent2"/>
    <w:rsid w:val="00125136"/>
    <w:rPr>
      <w:rFonts w:ascii="Arial" w:eastAsia="Times New Roman" w:hAnsi="Arial" w:cs="Arial"/>
      <w:color w:val="000000"/>
      <w:sz w:val="20"/>
      <w:szCs w:val="20"/>
      <w:lang w:val="en-US"/>
    </w:rPr>
  </w:style>
  <w:style w:type="paragraph" w:styleId="EndnoteText">
    <w:name w:val="endnote text"/>
    <w:basedOn w:val="Normal"/>
    <w:link w:val="EndnoteTextChar"/>
    <w:uiPriority w:val="99"/>
    <w:semiHidden/>
    <w:unhideWhenUsed/>
    <w:rsid w:val="0075288E"/>
    <w:rPr>
      <w:sz w:val="20"/>
      <w:szCs w:val="20"/>
    </w:rPr>
  </w:style>
  <w:style w:type="character" w:customStyle="1" w:styleId="EndnoteTextChar">
    <w:name w:val="Endnote Text Char"/>
    <w:basedOn w:val="DefaultParagraphFont"/>
    <w:link w:val="EndnoteText"/>
    <w:uiPriority w:val="99"/>
    <w:semiHidden/>
    <w:rsid w:val="0075288E"/>
    <w:rPr>
      <w:rFonts w:ascii="Times New Roman" w:eastAsia="Times New Roman" w:hAnsi="Times New Roman" w:cs="Times New Roman"/>
      <w:sz w:val="20"/>
      <w:szCs w:val="20"/>
      <w:lang w:eastAsia="en-AU"/>
    </w:rPr>
  </w:style>
  <w:style w:type="character" w:styleId="EndnoteReference">
    <w:name w:val="endnote reference"/>
    <w:basedOn w:val="DefaultParagraphFont"/>
    <w:uiPriority w:val="99"/>
    <w:semiHidden/>
    <w:unhideWhenUsed/>
    <w:rsid w:val="0075288E"/>
    <w:rPr>
      <w:vertAlign w:val="superscript"/>
    </w:rPr>
  </w:style>
  <w:style w:type="character" w:styleId="CommentReference">
    <w:name w:val="annotation reference"/>
    <w:basedOn w:val="DefaultParagraphFont"/>
    <w:uiPriority w:val="99"/>
    <w:semiHidden/>
    <w:unhideWhenUsed/>
    <w:rsid w:val="00F03522"/>
    <w:rPr>
      <w:sz w:val="16"/>
      <w:szCs w:val="16"/>
    </w:rPr>
  </w:style>
  <w:style w:type="paragraph" w:styleId="CommentText">
    <w:name w:val="annotation text"/>
    <w:basedOn w:val="Normal"/>
    <w:link w:val="CommentTextChar"/>
    <w:uiPriority w:val="99"/>
    <w:semiHidden/>
    <w:unhideWhenUsed/>
    <w:rsid w:val="00F03522"/>
    <w:rPr>
      <w:sz w:val="20"/>
      <w:szCs w:val="20"/>
    </w:rPr>
  </w:style>
  <w:style w:type="character" w:customStyle="1" w:styleId="CommentTextChar">
    <w:name w:val="Comment Text Char"/>
    <w:basedOn w:val="DefaultParagraphFont"/>
    <w:link w:val="CommentText"/>
    <w:uiPriority w:val="99"/>
    <w:semiHidden/>
    <w:rsid w:val="00F03522"/>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03522"/>
    <w:rPr>
      <w:b/>
      <w:bCs/>
    </w:rPr>
  </w:style>
  <w:style w:type="character" w:customStyle="1" w:styleId="CommentSubjectChar">
    <w:name w:val="Comment Subject Char"/>
    <w:basedOn w:val="CommentTextChar"/>
    <w:link w:val="CommentSubject"/>
    <w:uiPriority w:val="99"/>
    <w:semiHidden/>
    <w:rsid w:val="00F03522"/>
    <w:rPr>
      <w:rFonts w:ascii="Times New Roman" w:eastAsia="Times New Roman" w:hAnsi="Times New Roman" w:cs="Times New Roman"/>
      <w:b/>
      <w:bCs/>
      <w:sz w:val="20"/>
      <w:szCs w:val="20"/>
      <w:lang w:eastAsia="en-AU"/>
    </w:rPr>
  </w:style>
  <w:style w:type="character" w:customStyle="1" w:styleId="titlestyle">
    <w:name w:val="titlestyle"/>
    <w:basedOn w:val="DefaultParagraphFont"/>
    <w:rsid w:val="00476E2C"/>
  </w:style>
  <w:style w:type="table" w:styleId="TableGrid">
    <w:name w:val="Table Grid"/>
    <w:basedOn w:val="TableNormal"/>
    <w:uiPriority w:val="59"/>
    <w:rsid w:val="008F49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530AE4"/>
  </w:style>
  <w:style w:type="table" w:customStyle="1" w:styleId="TableGrid1">
    <w:name w:val="Table Grid1"/>
    <w:basedOn w:val="TableNormal"/>
    <w:next w:val="TableGrid"/>
    <w:uiPriority w:val="59"/>
    <w:rsid w:val="001D0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6659">
      <w:bodyDiv w:val="1"/>
      <w:marLeft w:val="0"/>
      <w:marRight w:val="0"/>
      <w:marTop w:val="0"/>
      <w:marBottom w:val="0"/>
      <w:divBdr>
        <w:top w:val="none" w:sz="0" w:space="0" w:color="auto"/>
        <w:left w:val="none" w:sz="0" w:space="0" w:color="auto"/>
        <w:bottom w:val="none" w:sz="0" w:space="0" w:color="auto"/>
        <w:right w:val="none" w:sz="0" w:space="0" w:color="auto"/>
      </w:divBdr>
      <w:divsChild>
        <w:div w:id="1256860298">
          <w:marLeft w:val="432"/>
          <w:marRight w:val="0"/>
          <w:marTop w:val="116"/>
          <w:marBottom w:val="0"/>
          <w:divBdr>
            <w:top w:val="none" w:sz="0" w:space="0" w:color="auto"/>
            <w:left w:val="none" w:sz="0" w:space="0" w:color="auto"/>
            <w:bottom w:val="none" w:sz="0" w:space="0" w:color="auto"/>
            <w:right w:val="none" w:sz="0" w:space="0" w:color="auto"/>
          </w:divBdr>
        </w:div>
      </w:divsChild>
    </w:div>
    <w:div w:id="37583399">
      <w:bodyDiv w:val="1"/>
      <w:marLeft w:val="0"/>
      <w:marRight w:val="0"/>
      <w:marTop w:val="0"/>
      <w:marBottom w:val="0"/>
      <w:divBdr>
        <w:top w:val="none" w:sz="0" w:space="0" w:color="auto"/>
        <w:left w:val="none" w:sz="0" w:space="0" w:color="auto"/>
        <w:bottom w:val="none" w:sz="0" w:space="0" w:color="auto"/>
        <w:right w:val="none" w:sz="0" w:space="0" w:color="auto"/>
      </w:divBdr>
    </w:div>
    <w:div w:id="45181602">
      <w:bodyDiv w:val="1"/>
      <w:marLeft w:val="0"/>
      <w:marRight w:val="0"/>
      <w:marTop w:val="0"/>
      <w:marBottom w:val="0"/>
      <w:divBdr>
        <w:top w:val="none" w:sz="0" w:space="0" w:color="auto"/>
        <w:left w:val="none" w:sz="0" w:space="0" w:color="auto"/>
        <w:bottom w:val="none" w:sz="0" w:space="0" w:color="auto"/>
        <w:right w:val="none" w:sz="0" w:space="0" w:color="auto"/>
      </w:divBdr>
    </w:div>
    <w:div w:id="76708912">
      <w:bodyDiv w:val="1"/>
      <w:marLeft w:val="0"/>
      <w:marRight w:val="0"/>
      <w:marTop w:val="0"/>
      <w:marBottom w:val="0"/>
      <w:divBdr>
        <w:top w:val="none" w:sz="0" w:space="0" w:color="auto"/>
        <w:left w:val="none" w:sz="0" w:space="0" w:color="auto"/>
        <w:bottom w:val="none" w:sz="0" w:space="0" w:color="auto"/>
        <w:right w:val="none" w:sz="0" w:space="0" w:color="auto"/>
      </w:divBdr>
    </w:div>
    <w:div w:id="154152021">
      <w:bodyDiv w:val="1"/>
      <w:marLeft w:val="0"/>
      <w:marRight w:val="0"/>
      <w:marTop w:val="0"/>
      <w:marBottom w:val="0"/>
      <w:divBdr>
        <w:top w:val="none" w:sz="0" w:space="0" w:color="auto"/>
        <w:left w:val="none" w:sz="0" w:space="0" w:color="auto"/>
        <w:bottom w:val="none" w:sz="0" w:space="0" w:color="auto"/>
        <w:right w:val="none" w:sz="0" w:space="0" w:color="auto"/>
      </w:divBdr>
    </w:div>
    <w:div w:id="160119154">
      <w:bodyDiv w:val="1"/>
      <w:marLeft w:val="0"/>
      <w:marRight w:val="0"/>
      <w:marTop w:val="0"/>
      <w:marBottom w:val="0"/>
      <w:divBdr>
        <w:top w:val="none" w:sz="0" w:space="0" w:color="auto"/>
        <w:left w:val="none" w:sz="0" w:space="0" w:color="auto"/>
        <w:bottom w:val="none" w:sz="0" w:space="0" w:color="auto"/>
        <w:right w:val="none" w:sz="0" w:space="0" w:color="auto"/>
      </w:divBdr>
    </w:div>
    <w:div w:id="213200682">
      <w:bodyDiv w:val="1"/>
      <w:marLeft w:val="0"/>
      <w:marRight w:val="0"/>
      <w:marTop w:val="0"/>
      <w:marBottom w:val="0"/>
      <w:divBdr>
        <w:top w:val="none" w:sz="0" w:space="0" w:color="auto"/>
        <w:left w:val="none" w:sz="0" w:space="0" w:color="auto"/>
        <w:bottom w:val="none" w:sz="0" w:space="0" w:color="auto"/>
        <w:right w:val="none" w:sz="0" w:space="0" w:color="auto"/>
      </w:divBdr>
    </w:div>
    <w:div w:id="230771601">
      <w:bodyDiv w:val="1"/>
      <w:marLeft w:val="0"/>
      <w:marRight w:val="0"/>
      <w:marTop w:val="0"/>
      <w:marBottom w:val="0"/>
      <w:divBdr>
        <w:top w:val="none" w:sz="0" w:space="0" w:color="auto"/>
        <w:left w:val="none" w:sz="0" w:space="0" w:color="auto"/>
        <w:bottom w:val="none" w:sz="0" w:space="0" w:color="auto"/>
        <w:right w:val="none" w:sz="0" w:space="0" w:color="auto"/>
      </w:divBdr>
    </w:div>
    <w:div w:id="274749733">
      <w:bodyDiv w:val="1"/>
      <w:marLeft w:val="0"/>
      <w:marRight w:val="0"/>
      <w:marTop w:val="0"/>
      <w:marBottom w:val="0"/>
      <w:divBdr>
        <w:top w:val="none" w:sz="0" w:space="0" w:color="auto"/>
        <w:left w:val="none" w:sz="0" w:space="0" w:color="auto"/>
        <w:bottom w:val="none" w:sz="0" w:space="0" w:color="auto"/>
        <w:right w:val="none" w:sz="0" w:space="0" w:color="auto"/>
      </w:divBdr>
      <w:divsChild>
        <w:div w:id="374626507">
          <w:marLeft w:val="5085"/>
          <w:marRight w:val="0"/>
          <w:marTop w:val="0"/>
          <w:marBottom w:val="0"/>
          <w:divBdr>
            <w:top w:val="single" w:sz="2" w:space="0" w:color="2E2E2E"/>
            <w:left w:val="single" w:sz="2" w:space="0" w:color="2E2E2E"/>
            <w:bottom w:val="single" w:sz="2" w:space="0" w:color="2E2E2E"/>
            <w:right w:val="single" w:sz="2" w:space="0" w:color="2E2E2E"/>
          </w:divBdr>
          <w:divsChild>
            <w:div w:id="790520055">
              <w:marLeft w:val="0"/>
              <w:marRight w:val="0"/>
              <w:marTop w:val="15"/>
              <w:marBottom w:val="0"/>
              <w:divBdr>
                <w:top w:val="none" w:sz="0" w:space="0" w:color="auto"/>
                <w:left w:val="none" w:sz="0" w:space="0" w:color="auto"/>
                <w:bottom w:val="none" w:sz="0" w:space="0" w:color="auto"/>
                <w:right w:val="none" w:sz="0" w:space="0" w:color="auto"/>
              </w:divBdr>
              <w:divsChild>
                <w:div w:id="1426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107">
      <w:bodyDiv w:val="1"/>
      <w:marLeft w:val="0"/>
      <w:marRight w:val="0"/>
      <w:marTop w:val="0"/>
      <w:marBottom w:val="0"/>
      <w:divBdr>
        <w:top w:val="none" w:sz="0" w:space="0" w:color="auto"/>
        <w:left w:val="none" w:sz="0" w:space="0" w:color="auto"/>
        <w:bottom w:val="none" w:sz="0" w:space="0" w:color="auto"/>
        <w:right w:val="none" w:sz="0" w:space="0" w:color="auto"/>
      </w:divBdr>
    </w:div>
    <w:div w:id="333339703">
      <w:bodyDiv w:val="1"/>
      <w:marLeft w:val="0"/>
      <w:marRight w:val="0"/>
      <w:marTop w:val="0"/>
      <w:marBottom w:val="0"/>
      <w:divBdr>
        <w:top w:val="none" w:sz="0" w:space="0" w:color="auto"/>
        <w:left w:val="none" w:sz="0" w:space="0" w:color="auto"/>
        <w:bottom w:val="none" w:sz="0" w:space="0" w:color="auto"/>
        <w:right w:val="none" w:sz="0" w:space="0" w:color="auto"/>
      </w:divBdr>
    </w:div>
    <w:div w:id="369040819">
      <w:bodyDiv w:val="1"/>
      <w:marLeft w:val="0"/>
      <w:marRight w:val="0"/>
      <w:marTop w:val="45"/>
      <w:marBottom w:val="45"/>
      <w:divBdr>
        <w:top w:val="none" w:sz="0" w:space="0" w:color="auto"/>
        <w:left w:val="none" w:sz="0" w:space="0" w:color="auto"/>
        <w:bottom w:val="none" w:sz="0" w:space="0" w:color="auto"/>
        <w:right w:val="none" w:sz="0" w:space="0" w:color="auto"/>
      </w:divBdr>
      <w:divsChild>
        <w:div w:id="1078863792">
          <w:marLeft w:val="0"/>
          <w:marRight w:val="0"/>
          <w:marTop w:val="0"/>
          <w:marBottom w:val="0"/>
          <w:divBdr>
            <w:top w:val="none" w:sz="0" w:space="0" w:color="auto"/>
            <w:left w:val="none" w:sz="0" w:space="0" w:color="auto"/>
            <w:bottom w:val="none" w:sz="0" w:space="0" w:color="auto"/>
            <w:right w:val="none" w:sz="0" w:space="0" w:color="auto"/>
          </w:divBdr>
          <w:divsChild>
            <w:div w:id="62260980">
              <w:marLeft w:val="0"/>
              <w:marRight w:val="0"/>
              <w:marTop w:val="0"/>
              <w:marBottom w:val="0"/>
              <w:divBdr>
                <w:top w:val="none" w:sz="0" w:space="0" w:color="auto"/>
                <w:left w:val="none" w:sz="0" w:space="0" w:color="auto"/>
                <w:bottom w:val="none" w:sz="0" w:space="0" w:color="auto"/>
                <w:right w:val="none" w:sz="0" w:space="0" w:color="auto"/>
              </w:divBdr>
              <w:divsChild>
                <w:div w:id="1778868621">
                  <w:marLeft w:val="0"/>
                  <w:marRight w:val="0"/>
                  <w:marTop w:val="0"/>
                  <w:marBottom w:val="0"/>
                  <w:divBdr>
                    <w:top w:val="none" w:sz="0" w:space="0" w:color="auto"/>
                    <w:left w:val="none" w:sz="0" w:space="0" w:color="auto"/>
                    <w:bottom w:val="none" w:sz="0" w:space="0" w:color="auto"/>
                    <w:right w:val="none" w:sz="0" w:space="0" w:color="auto"/>
                  </w:divBdr>
                  <w:divsChild>
                    <w:div w:id="576481624">
                      <w:marLeft w:val="0"/>
                      <w:marRight w:val="0"/>
                      <w:marTop w:val="0"/>
                      <w:marBottom w:val="0"/>
                      <w:divBdr>
                        <w:top w:val="none" w:sz="0" w:space="0" w:color="auto"/>
                        <w:left w:val="none" w:sz="0" w:space="0" w:color="auto"/>
                        <w:bottom w:val="none" w:sz="0" w:space="0" w:color="auto"/>
                        <w:right w:val="none" w:sz="0" w:space="0" w:color="auto"/>
                      </w:divBdr>
                      <w:divsChild>
                        <w:div w:id="997540289">
                          <w:marLeft w:val="0"/>
                          <w:marRight w:val="0"/>
                          <w:marTop w:val="315"/>
                          <w:marBottom w:val="0"/>
                          <w:divBdr>
                            <w:top w:val="none" w:sz="0" w:space="0" w:color="auto"/>
                            <w:left w:val="none" w:sz="0" w:space="0" w:color="auto"/>
                            <w:bottom w:val="none" w:sz="0" w:space="0" w:color="auto"/>
                            <w:right w:val="none" w:sz="0" w:space="0" w:color="auto"/>
                          </w:divBdr>
                          <w:divsChild>
                            <w:div w:id="1563053657">
                              <w:marLeft w:val="1980"/>
                              <w:marRight w:val="3960"/>
                              <w:marTop w:val="0"/>
                              <w:marBottom w:val="0"/>
                              <w:divBdr>
                                <w:top w:val="none" w:sz="0" w:space="0" w:color="auto"/>
                                <w:left w:val="none" w:sz="0" w:space="0" w:color="auto"/>
                                <w:bottom w:val="none" w:sz="0" w:space="0" w:color="auto"/>
                                <w:right w:val="none" w:sz="0" w:space="0" w:color="auto"/>
                              </w:divBdr>
                              <w:divsChild>
                                <w:div w:id="1542783732">
                                  <w:marLeft w:val="0"/>
                                  <w:marRight w:val="0"/>
                                  <w:marTop w:val="0"/>
                                  <w:marBottom w:val="0"/>
                                  <w:divBdr>
                                    <w:top w:val="none" w:sz="0" w:space="0" w:color="auto"/>
                                    <w:left w:val="none" w:sz="0" w:space="0" w:color="auto"/>
                                    <w:bottom w:val="none" w:sz="0" w:space="0" w:color="auto"/>
                                    <w:right w:val="none" w:sz="0" w:space="0" w:color="auto"/>
                                  </w:divBdr>
                                  <w:divsChild>
                                    <w:div w:id="113714991">
                                      <w:marLeft w:val="0"/>
                                      <w:marRight w:val="0"/>
                                      <w:marTop w:val="0"/>
                                      <w:marBottom w:val="0"/>
                                      <w:divBdr>
                                        <w:top w:val="none" w:sz="0" w:space="0" w:color="auto"/>
                                        <w:left w:val="none" w:sz="0" w:space="0" w:color="auto"/>
                                        <w:bottom w:val="none" w:sz="0" w:space="0" w:color="auto"/>
                                        <w:right w:val="none" w:sz="0" w:space="0" w:color="auto"/>
                                      </w:divBdr>
                                      <w:divsChild>
                                        <w:div w:id="640842083">
                                          <w:marLeft w:val="0"/>
                                          <w:marRight w:val="0"/>
                                          <w:marTop w:val="0"/>
                                          <w:marBottom w:val="0"/>
                                          <w:divBdr>
                                            <w:top w:val="none" w:sz="0" w:space="0" w:color="auto"/>
                                            <w:left w:val="none" w:sz="0" w:space="0" w:color="auto"/>
                                            <w:bottom w:val="none" w:sz="0" w:space="0" w:color="auto"/>
                                            <w:right w:val="none" w:sz="0" w:space="0" w:color="auto"/>
                                          </w:divBdr>
                                          <w:divsChild>
                                            <w:div w:id="6345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775682">
      <w:bodyDiv w:val="1"/>
      <w:marLeft w:val="0"/>
      <w:marRight w:val="0"/>
      <w:marTop w:val="0"/>
      <w:marBottom w:val="0"/>
      <w:divBdr>
        <w:top w:val="none" w:sz="0" w:space="0" w:color="auto"/>
        <w:left w:val="none" w:sz="0" w:space="0" w:color="auto"/>
        <w:bottom w:val="none" w:sz="0" w:space="0" w:color="auto"/>
        <w:right w:val="none" w:sz="0" w:space="0" w:color="auto"/>
      </w:divBdr>
    </w:div>
    <w:div w:id="401684927">
      <w:bodyDiv w:val="1"/>
      <w:marLeft w:val="0"/>
      <w:marRight w:val="0"/>
      <w:marTop w:val="0"/>
      <w:marBottom w:val="0"/>
      <w:divBdr>
        <w:top w:val="none" w:sz="0" w:space="0" w:color="auto"/>
        <w:left w:val="none" w:sz="0" w:space="0" w:color="auto"/>
        <w:bottom w:val="none" w:sz="0" w:space="0" w:color="auto"/>
        <w:right w:val="none" w:sz="0" w:space="0" w:color="auto"/>
      </w:divBdr>
      <w:divsChild>
        <w:div w:id="1541092143">
          <w:marLeft w:val="0"/>
          <w:marRight w:val="0"/>
          <w:marTop w:val="0"/>
          <w:marBottom w:val="0"/>
          <w:divBdr>
            <w:top w:val="none" w:sz="0" w:space="0" w:color="auto"/>
            <w:left w:val="none" w:sz="0" w:space="0" w:color="auto"/>
            <w:bottom w:val="none" w:sz="0" w:space="0" w:color="auto"/>
            <w:right w:val="none" w:sz="0" w:space="0" w:color="auto"/>
          </w:divBdr>
        </w:div>
      </w:divsChild>
    </w:div>
    <w:div w:id="409236412">
      <w:bodyDiv w:val="1"/>
      <w:marLeft w:val="0"/>
      <w:marRight w:val="0"/>
      <w:marTop w:val="0"/>
      <w:marBottom w:val="0"/>
      <w:divBdr>
        <w:top w:val="none" w:sz="0" w:space="0" w:color="auto"/>
        <w:left w:val="none" w:sz="0" w:space="0" w:color="auto"/>
        <w:bottom w:val="none" w:sz="0" w:space="0" w:color="auto"/>
        <w:right w:val="none" w:sz="0" w:space="0" w:color="auto"/>
      </w:divBdr>
      <w:divsChild>
        <w:div w:id="438335133">
          <w:marLeft w:val="0"/>
          <w:marRight w:val="0"/>
          <w:marTop w:val="0"/>
          <w:marBottom w:val="0"/>
          <w:divBdr>
            <w:top w:val="none" w:sz="0" w:space="0" w:color="auto"/>
            <w:left w:val="none" w:sz="0" w:space="0" w:color="auto"/>
            <w:bottom w:val="none" w:sz="0" w:space="0" w:color="auto"/>
            <w:right w:val="none" w:sz="0" w:space="0" w:color="auto"/>
          </w:divBdr>
          <w:divsChild>
            <w:div w:id="722023007">
              <w:marLeft w:val="0"/>
              <w:marRight w:val="0"/>
              <w:marTop w:val="0"/>
              <w:marBottom w:val="0"/>
              <w:divBdr>
                <w:top w:val="none" w:sz="0" w:space="0" w:color="auto"/>
                <w:left w:val="none" w:sz="0" w:space="0" w:color="auto"/>
                <w:bottom w:val="none" w:sz="0" w:space="0" w:color="auto"/>
                <w:right w:val="none" w:sz="0" w:space="0" w:color="auto"/>
              </w:divBdr>
            </w:div>
            <w:div w:id="1375616529">
              <w:marLeft w:val="0"/>
              <w:marRight w:val="0"/>
              <w:marTop w:val="0"/>
              <w:marBottom w:val="0"/>
              <w:divBdr>
                <w:top w:val="none" w:sz="0" w:space="0" w:color="auto"/>
                <w:left w:val="none" w:sz="0" w:space="0" w:color="auto"/>
                <w:bottom w:val="none" w:sz="0" w:space="0" w:color="auto"/>
                <w:right w:val="none" w:sz="0" w:space="0" w:color="auto"/>
              </w:divBdr>
              <w:divsChild>
                <w:div w:id="987633160">
                  <w:marLeft w:val="0"/>
                  <w:marRight w:val="0"/>
                  <w:marTop w:val="0"/>
                  <w:marBottom w:val="0"/>
                  <w:divBdr>
                    <w:top w:val="none" w:sz="0" w:space="0" w:color="auto"/>
                    <w:left w:val="none" w:sz="0" w:space="0" w:color="auto"/>
                    <w:bottom w:val="none" w:sz="0" w:space="0" w:color="auto"/>
                    <w:right w:val="none" w:sz="0" w:space="0" w:color="auto"/>
                  </w:divBdr>
                </w:div>
                <w:div w:id="18272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8983">
      <w:bodyDiv w:val="1"/>
      <w:marLeft w:val="0"/>
      <w:marRight w:val="0"/>
      <w:marTop w:val="0"/>
      <w:marBottom w:val="0"/>
      <w:divBdr>
        <w:top w:val="none" w:sz="0" w:space="0" w:color="auto"/>
        <w:left w:val="none" w:sz="0" w:space="0" w:color="auto"/>
        <w:bottom w:val="none" w:sz="0" w:space="0" w:color="auto"/>
        <w:right w:val="none" w:sz="0" w:space="0" w:color="auto"/>
      </w:divBdr>
      <w:divsChild>
        <w:div w:id="55322791">
          <w:marLeft w:val="432"/>
          <w:marRight w:val="0"/>
          <w:marTop w:val="116"/>
          <w:marBottom w:val="0"/>
          <w:divBdr>
            <w:top w:val="none" w:sz="0" w:space="0" w:color="auto"/>
            <w:left w:val="none" w:sz="0" w:space="0" w:color="auto"/>
            <w:bottom w:val="none" w:sz="0" w:space="0" w:color="auto"/>
            <w:right w:val="none" w:sz="0" w:space="0" w:color="auto"/>
          </w:divBdr>
        </w:div>
      </w:divsChild>
    </w:div>
    <w:div w:id="438381397">
      <w:bodyDiv w:val="1"/>
      <w:marLeft w:val="0"/>
      <w:marRight w:val="0"/>
      <w:marTop w:val="0"/>
      <w:marBottom w:val="0"/>
      <w:divBdr>
        <w:top w:val="none" w:sz="0" w:space="0" w:color="auto"/>
        <w:left w:val="none" w:sz="0" w:space="0" w:color="auto"/>
        <w:bottom w:val="none" w:sz="0" w:space="0" w:color="auto"/>
        <w:right w:val="none" w:sz="0" w:space="0" w:color="auto"/>
      </w:divBdr>
      <w:divsChild>
        <w:div w:id="1340040620">
          <w:marLeft w:val="285"/>
          <w:marRight w:val="0"/>
          <w:marTop w:val="0"/>
          <w:marBottom w:val="0"/>
          <w:divBdr>
            <w:top w:val="single" w:sz="2" w:space="0" w:color="2E2E2E"/>
            <w:left w:val="single" w:sz="2" w:space="0" w:color="2E2E2E"/>
            <w:bottom w:val="single" w:sz="2" w:space="0" w:color="2E2E2E"/>
            <w:right w:val="single" w:sz="2" w:space="0" w:color="2E2E2E"/>
          </w:divBdr>
          <w:divsChild>
            <w:div w:id="484705619">
              <w:marLeft w:val="0"/>
              <w:marRight w:val="0"/>
              <w:marTop w:val="15"/>
              <w:marBottom w:val="0"/>
              <w:divBdr>
                <w:top w:val="none" w:sz="0" w:space="0" w:color="auto"/>
                <w:left w:val="none" w:sz="0" w:space="0" w:color="auto"/>
                <w:bottom w:val="none" w:sz="0" w:space="0" w:color="auto"/>
                <w:right w:val="none" w:sz="0" w:space="0" w:color="auto"/>
              </w:divBdr>
              <w:divsChild>
                <w:div w:id="1980071755">
                  <w:marLeft w:val="0"/>
                  <w:marRight w:val="0"/>
                  <w:marTop w:val="0"/>
                  <w:marBottom w:val="0"/>
                  <w:divBdr>
                    <w:top w:val="none" w:sz="0" w:space="0" w:color="auto"/>
                    <w:left w:val="none" w:sz="0" w:space="0" w:color="auto"/>
                    <w:bottom w:val="none" w:sz="0" w:space="0" w:color="auto"/>
                    <w:right w:val="none" w:sz="0" w:space="0" w:color="auto"/>
                  </w:divBdr>
                  <w:divsChild>
                    <w:div w:id="1959214070">
                      <w:marLeft w:val="0"/>
                      <w:marRight w:val="0"/>
                      <w:marTop w:val="0"/>
                      <w:marBottom w:val="315"/>
                      <w:divBdr>
                        <w:top w:val="single" w:sz="6" w:space="0" w:color="D7D7D7"/>
                        <w:left w:val="single" w:sz="2" w:space="0" w:color="D7D7D7"/>
                        <w:bottom w:val="single" w:sz="6" w:space="0" w:color="D7D7D7"/>
                        <w:right w:val="single" w:sz="2" w:space="0" w:color="D7D7D7"/>
                      </w:divBdr>
                      <w:divsChild>
                        <w:div w:id="1592931471">
                          <w:marLeft w:val="0"/>
                          <w:marRight w:val="0"/>
                          <w:marTop w:val="0"/>
                          <w:marBottom w:val="0"/>
                          <w:divBdr>
                            <w:top w:val="none" w:sz="0" w:space="0" w:color="auto"/>
                            <w:left w:val="none" w:sz="0" w:space="0" w:color="auto"/>
                            <w:bottom w:val="none" w:sz="0" w:space="0" w:color="auto"/>
                            <w:right w:val="none" w:sz="0" w:space="0" w:color="auto"/>
                          </w:divBdr>
                        </w:div>
                        <w:div w:id="19941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23981">
      <w:bodyDiv w:val="1"/>
      <w:marLeft w:val="0"/>
      <w:marRight w:val="0"/>
      <w:marTop w:val="0"/>
      <w:marBottom w:val="0"/>
      <w:divBdr>
        <w:top w:val="none" w:sz="0" w:space="0" w:color="auto"/>
        <w:left w:val="none" w:sz="0" w:space="0" w:color="auto"/>
        <w:bottom w:val="none" w:sz="0" w:space="0" w:color="auto"/>
        <w:right w:val="none" w:sz="0" w:space="0" w:color="auto"/>
      </w:divBdr>
    </w:div>
    <w:div w:id="449319674">
      <w:bodyDiv w:val="1"/>
      <w:marLeft w:val="0"/>
      <w:marRight w:val="0"/>
      <w:marTop w:val="0"/>
      <w:marBottom w:val="0"/>
      <w:divBdr>
        <w:top w:val="none" w:sz="0" w:space="0" w:color="auto"/>
        <w:left w:val="none" w:sz="0" w:space="0" w:color="auto"/>
        <w:bottom w:val="none" w:sz="0" w:space="0" w:color="auto"/>
        <w:right w:val="none" w:sz="0" w:space="0" w:color="auto"/>
      </w:divBdr>
    </w:div>
    <w:div w:id="452135143">
      <w:bodyDiv w:val="1"/>
      <w:marLeft w:val="0"/>
      <w:marRight w:val="0"/>
      <w:marTop w:val="0"/>
      <w:marBottom w:val="0"/>
      <w:divBdr>
        <w:top w:val="none" w:sz="0" w:space="0" w:color="auto"/>
        <w:left w:val="none" w:sz="0" w:space="0" w:color="auto"/>
        <w:bottom w:val="none" w:sz="0" w:space="0" w:color="auto"/>
        <w:right w:val="none" w:sz="0" w:space="0" w:color="auto"/>
      </w:divBdr>
      <w:divsChild>
        <w:div w:id="1780756320">
          <w:marLeft w:val="274"/>
          <w:marRight w:val="0"/>
          <w:marTop w:val="0"/>
          <w:marBottom w:val="0"/>
          <w:divBdr>
            <w:top w:val="none" w:sz="0" w:space="0" w:color="auto"/>
            <w:left w:val="none" w:sz="0" w:space="0" w:color="auto"/>
            <w:bottom w:val="none" w:sz="0" w:space="0" w:color="auto"/>
            <w:right w:val="none" w:sz="0" w:space="0" w:color="auto"/>
          </w:divBdr>
        </w:div>
      </w:divsChild>
    </w:div>
    <w:div w:id="467011842">
      <w:bodyDiv w:val="1"/>
      <w:marLeft w:val="0"/>
      <w:marRight w:val="0"/>
      <w:marTop w:val="0"/>
      <w:marBottom w:val="0"/>
      <w:divBdr>
        <w:top w:val="none" w:sz="0" w:space="0" w:color="auto"/>
        <w:left w:val="none" w:sz="0" w:space="0" w:color="auto"/>
        <w:bottom w:val="none" w:sz="0" w:space="0" w:color="auto"/>
        <w:right w:val="none" w:sz="0" w:space="0" w:color="auto"/>
      </w:divBdr>
    </w:div>
    <w:div w:id="500700217">
      <w:bodyDiv w:val="1"/>
      <w:marLeft w:val="0"/>
      <w:marRight w:val="0"/>
      <w:marTop w:val="0"/>
      <w:marBottom w:val="0"/>
      <w:divBdr>
        <w:top w:val="none" w:sz="0" w:space="0" w:color="auto"/>
        <w:left w:val="none" w:sz="0" w:space="0" w:color="auto"/>
        <w:bottom w:val="none" w:sz="0" w:space="0" w:color="auto"/>
        <w:right w:val="none" w:sz="0" w:space="0" w:color="auto"/>
      </w:divBdr>
    </w:div>
    <w:div w:id="521289748">
      <w:bodyDiv w:val="1"/>
      <w:marLeft w:val="0"/>
      <w:marRight w:val="0"/>
      <w:marTop w:val="0"/>
      <w:marBottom w:val="0"/>
      <w:divBdr>
        <w:top w:val="none" w:sz="0" w:space="0" w:color="auto"/>
        <w:left w:val="none" w:sz="0" w:space="0" w:color="auto"/>
        <w:bottom w:val="none" w:sz="0" w:space="0" w:color="auto"/>
        <w:right w:val="none" w:sz="0" w:space="0" w:color="auto"/>
      </w:divBdr>
    </w:div>
    <w:div w:id="534805777">
      <w:bodyDiv w:val="1"/>
      <w:marLeft w:val="0"/>
      <w:marRight w:val="0"/>
      <w:marTop w:val="0"/>
      <w:marBottom w:val="0"/>
      <w:divBdr>
        <w:top w:val="none" w:sz="0" w:space="0" w:color="auto"/>
        <w:left w:val="none" w:sz="0" w:space="0" w:color="auto"/>
        <w:bottom w:val="none" w:sz="0" w:space="0" w:color="auto"/>
        <w:right w:val="none" w:sz="0" w:space="0" w:color="auto"/>
      </w:divBdr>
      <w:divsChild>
        <w:div w:id="108135335">
          <w:marLeft w:val="0"/>
          <w:marRight w:val="0"/>
          <w:marTop w:val="0"/>
          <w:marBottom w:val="0"/>
          <w:divBdr>
            <w:top w:val="none" w:sz="0" w:space="0" w:color="auto"/>
            <w:left w:val="none" w:sz="0" w:space="0" w:color="auto"/>
            <w:bottom w:val="none" w:sz="0" w:space="0" w:color="auto"/>
            <w:right w:val="none" w:sz="0" w:space="0" w:color="auto"/>
          </w:divBdr>
        </w:div>
      </w:divsChild>
    </w:div>
    <w:div w:id="543909140">
      <w:bodyDiv w:val="1"/>
      <w:marLeft w:val="0"/>
      <w:marRight w:val="0"/>
      <w:marTop w:val="0"/>
      <w:marBottom w:val="0"/>
      <w:divBdr>
        <w:top w:val="none" w:sz="0" w:space="0" w:color="auto"/>
        <w:left w:val="none" w:sz="0" w:space="0" w:color="auto"/>
        <w:bottom w:val="none" w:sz="0" w:space="0" w:color="auto"/>
        <w:right w:val="none" w:sz="0" w:space="0" w:color="auto"/>
      </w:divBdr>
    </w:div>
    <w:div w:id="597979467">
      <w:bodyDiv w:val="1"/>
      <w:marLeft w:val="0"/>
      <w:marRight w:val="0"/>
      <w:marTop w:val="0"/>
      <w:marBottom w:val="0"/>
      <w:divBdr>
        <w:top w:val="none" w:sz="0" w:space="0" w:color="auto"/>
        <w:left w:val="none" w:sz="0" w:space="0" w:color="auto"/>
        <w:bottom w:val="none" w:sz="0" w:space="0" w:color="auto"/>
        <w:right w:val="none" w:sz="0" w:space="0" w:color="auto"/>
      </w:divBdr>
    </w:div>
    <w:div w:id="618529498">
      <w:bodyDiv w:val="1"/>
      <w:marLeft w:val="0"/>
      <w:marRight w:val="0"/>
      <w:marTop w:val="0"/>
      <w:marBottom w:val="0"/>
      <w:divBdr>
        <w:top w:val="none" w:sz="0" w:space="0" w:color="auto"/>
        <w:left w:val="none" w:sz="0" w:space="0" w:color="auto"/>
        <w:bottom w:val="none" w:sz="0" w:space="0" w:color="auto"/>
        <w:right w:val="none" w:sz="0" w:space="0" w:color="auto"/>
      </w:divBdr>
      <w:divsChild>
        <w:div w:id="1006904458">
          <w:marLeft w:val="0"/>
          <w:marRight w:val="0"/>
          <w:marTop w:val="0"/>
          <w:marBottom w:val="0"/>
          <w:divBdr>
            <w:top w:val="none" w:sz="0" w:space="0" w:color="auto"/>
            <w:left w:val="none" w:sz="0" w:space="0" w:color="auto"/>
            <w:bottom w:val="none" w:sz="0" w:space="0" w:color="auto"/>
            <w:right w:val="none" w:sz="0" w:space="0" w:color="auto"/>
          </w:divBdr>
        </w:div>
      </w:divsChild>
    </w:div>
    <w:div w:id="621232647">
      <w:bodyDiv w:val="1"/>
      <w:marLeft w:val="0"/>
      <w:marRight w:val="0"/>
      <w:marTop w:val="0"/>
      <w:marBottom w:val="0"/>
      <w:divBdr>
        <w:top w:val="none" w:sz="0" w:space="0" w:color="auto"/>
        <w:left w:val="none" w:sz="0" w:space="0" w:color="auto"/>
        <w:bottom w:val="none" w:sz="0" w:space="0" w:color="auto"/>
        <w:right w:val="none" w:sz="0" w:space="0" w:color="auto"/>
      </w:divBdr>
      <w:divsChild>
        <w:div w:id="312222950">
          <w:marLeft w:val="432"/>
          <w:marRight w:val="0"/>
          <w:marTop w:val="116"/>
          <w:marBottom w:val="0"/>
          <w:divBdr>
            <w:top w:val="none" w:sz="0" w:space="0" w:color="auto"/>
            <w:left w:val="none" w:sz="0" w:space="0" w:color="auto"/>
            <w:bottom w:val="none" w:sz="0" w:space="0" w:color="auto"/>
            <w:right w:val="none" w:sz="0" w:space="0" w:color="auto"/>
          </w:divBdr>
        </w:div>
        <w:div w:id="364060865">
          <w:marLeft w:val="432"/>
          <w:marRight w:val="0"/>
          <w:marTop w:val="116"/>
          <w:marBottom w:val="0"/>
          <w:divBdr>
            <w:top w:val="none" w:sz="0" w:space="0" w:color="auto"/>
            <w:left w:val="none" w:sz="0" w:space="0" w:color="auto"/>
            <w:bottom w:val="none" w:sz="0" w:space="0" w:color="auto"/>
            <w:right w:val="none" w:sz="0" w:space="0" w:color="auto"/>
          </w:divBdr>
        </w:div>
        <w:div w:id="610673698">
          <w:marLeft w:val="432"/>
          <w:marRight w:val="0"/>
          <w:marTop w:val="116"/>
          <w:marBottom w:val="0"/>
          <w:divBdr>
            <w:top w:val="none" w:sz="0" w:space="0" w:color="auto"/>
            <w:left w:val="none" w:sz="0" w:space="0" w:color="auto"/>
            <w:bottom w:val="none" w:sz="0" w:space="0" w:color="auto"/>
            <w:right w:val="none" w:sz="0" w:space="0" w:color="auto"/>
          </w:divBdr>
        </w:div>
        <w:div w:id="2000309357">
          <w:marLeft w:val="432"/>
          <w:marRight w:val="0"/>
          <w:marTop w:val="116"/>
          <w:marBottom w:val="0"/>
          <w:divBdr>
            <w:top w:val="none" w:sz="0" w:space="0" w:color="auto"/>
            <w:left w:val="none" w:sz="0" w:space="0" w:color="auto"/>
            <w:bottom w:val="none" w:sz="0" w:space="0" w:color="auto"/>
            <w:right w:val="none" w:sz="0" w:space="0" w:color="auto"/>
          </w:divBdr>
        </w:div>
      </w:divsChild>
    </w:div>
    <w:div w:id="633294153">
      <w:bodyDiv w:val="1"/>
      <w:marLeft w:val="0"/>
      <w:marRight w:val="0"/>
      <w:marTop w:val="0"/>
      <w:marBottom w:val="0"/>
      <w:divBdr>
        <w:top w:val="none" w:sz="0" w:space="0" w:color="auto"/>
        <w:left w:val="none" w:sz="0" w:space="0" w:color="auto"/>
        <w:bottom w:val="none" w:sz="0" w:space="0" w:color="auto"/>
        <w:right w:val="none" w:sz="0" w:space="0" w:color="auto"/>
      </w:divBdr>
    </w:div>
    <w:div w:id="698094409">
      <w:bodyDiv w:val="1"/>
      <w:marLeft w:val="0"/>
      <w:marRight w:val="0"/>
      <w:marTop w:val="0"/>
      <w:marBottom w:val="0"/>
      <w:divBdr>
        <w:top w:val="none" w:sz="0" w:space="0" w:color="auto"/>
        <w:left w:val="none" w:sz="0" w:space="0" w:color="auto"/>
        <w:bottom w:val="none" w:sz="0" w:space="0" w:color="auto"/>
        <w:right w:val="none" w:sz="0" w:space="0" w:color="auto"/>
      </w:divBdr>
      <w:divsChild>
        <w:div w:id="228611685">
          <w:marLeft w:val="0"/>
          <w:marRight w:val="0"/>
          <w:marTop w:val="0"/>
          <w:marBottom w:val="0"/>
          <w:divBdr>
            <w:top w:val="none" w:sz="0" w:space="0" w:color="auto"/>
            <w:left w:val="none" w:sz="0" w:space="0" w:color="auto"/>
            <w:bottom w:val="none" w:sz="0" w:space="0" w:color="auto"/>
            <w:right w:val="none" w:sz="0" w:space="0" w:color="auto"/>
          </w:divBdr>
          <w:divsChild>
            <w:div w:id="272709092">
              <w:marLeft w:val="0"/>
              <w:marRight w:val="0"/>
              <w:marTop w:val="0"/>
              <w:marBottom w:val="0"/>
              <w:divBdr>
                <w:top w:val="none" w:sz="0" w:space="0" w:color="auto"/>
                <w:left w:val="none" w:sz="0" w:space="0" w:color="auto"/>
                <w:bottom w:val="none" w:sz="0" w:space="0" w:color="auto"/>
                <w:right w:val="none" w:sz="0" w:space="0" w:color="auto"/>
              </w:divBdr>
              <w:divsChild>
                <w:div w:id="366562286">
                  <w:marLeft w:val="0"/>
                  <w:marRight w:val="0"/>
                  <w:marTop w:val="0"/>
                  <w:marBottom w:val="0"/>
                  <w:divBdr>
                    <w:top w:val="none" w:sz="0" w:space="0" w:color="auto"/>
                    <w:left w:val="none" w:sz="0" w:space="0" w:color="auto"/>
                    <w:bottom w:val="none" w:sz="0" w:space="0" w:color="auto"/>
                    <w:right w:val="none" w:sz="0" w:space="0" w:color="auto"/>
                  </w:divBdr>
                </w:div>
                <w:div w:id="1402219650">
                  <w:marLeft w:val="0"/>
                  <w:marRight w:val="0"/>
                  <w:marTop w:val="0"/>
                  <w:marBottom w:val="0"/>
                  <w:divBdr>
                    <w:top w:val="none" w:sz="0" w:space="0" w:color="auto"/>
                    <w:left w:val="none" w:sz="0" w:space="0" w:color="auto"/>
                    <w:bottom w:val="none" w:sz="0" w:space="0" w:color="auto"/>
                    <w:right w:val="none" w:sz="0" w:space="0" w:color="auto"/>
                  </w:divBdr>
                </w:div>
              </w:divsChild>
            </w:div>
            <w:div w:id="9688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0285">
      <w:bodyDiv w:val="1"/>
      <w:marLeft w:val="0"/>
      <w:marRight w:val="0"/>
      <w:marTop w:val="0"/>
      <w:marBottom w:val="0"/>
      <w:divBdr>
        <w:top w:val="none" w:sz="0" w:space="0" w:color="auto"/>
        <w:left w:val="none" w:sz="0" w:space="0" w:color="auto"/>
        <w:bottom w:val="none" w:sz="0" w:space="0" w:color="auto"/>
        <w:right w:val="none" w:sz="0" w:space="0" w:color="auto"/>
      </w:divBdr>
    </w:div>
    <w:div w:id="710689842">
      <w:bodyDiv w:val="1"/>
      <w:marLeft w:val="0"/>
      <w:marRight w:val="0"/>
      <w:marTop w:val="0"/>
      <w:marBottom w:val="0"/>
      <w:divBdr>
        <w:top w:val="none" w:sz="0" w:space="0" w:color="auto"/>
        <w:left w:val="none" w:sz="0" w:space="0" w:color="auto"/>
        <w:bottom w:val="none" w:sz="0" w:space="0" w:color="auto"/>
        <w:right w:val="none" w:sz="0" w:space="0" w:color="auto"/>
      </w:divBdr>
    </w:div>
    <w:div w:id="761952914">
      <w:bodyDiv w:val="1"/>
      <w:marLeft w:val="0"/>
      <w:marRight w:val="0"/>
      <w:marTop w:val="0"/>
      <w:marBottom w:val="0"/>
      <w:divBdr>
        <w:top w:val="none" w:sz="0" w:space="0" w:color="auto"/>
        <w:left w:val="none" w:sz="0" w:space="0" w:color="auto"/>
        <w:bottom w:val="none" w:sz="0" w:space="0" w:color="auto"/>
        <w:right w:val="none" w:sz="0" w:space="0" w:color="auto"/>
      </w:divBdr>
    </w:div>
    <w:div w:id="793671520">
      <w:bodyDiv w:val="1"/>
      <w:marLeft w:val="0"/>
      <w:marRight w:val="0"/>
      <w:marTop w:val="0"/>
      <w:marBottom w:val="0"/>
      <w:divBdr>
        <w:top w:val="none" w:sz="0" w:space="0" w:color="auto"/>
        <w:left w:val="none" w:sz="0" w:space="0" w:color="auto"/>
        <w:bottom w:val="none" w:sz="0" w:space="0" w:color="auto"/>
        <w:right w:val="none" w:sz="0" w:space="0" w:color="auto"/>
      </w:divBdr>
    </w:div>
    <w:div w:id="811405742">
      <w:bodyDiv w:val="1"/>
      <w:marLeft w:val="0"/>
      <w:marRight w:val="0"/>
      <w:marTop w:val="0"/>
      <w:marBottom w:val="0"/>
      <w:divBdr>
        <w:top w:val="none" w:sz="0" w:space="0" w:color="auto"/>
        <w:left w:val="none" w:sz="0" w:space="0" w:color="auto"/>
        <w:bottom w:val="none" w:sz="0" w:space="0" w:color="auto"/>
        <w:right w:val="none" w:sz="0" w:space="0" w:color="auto"/>
      </w:divBdr>
    </w:div>
    <w:div w:id="856163660">
      <w:bodyDiv w:val="1"/>
      <w:marLeft w:val="0"/>
      <w:marRight w:val="0"/>
      <w:marTop w:val="0"/>
      <w:marBottom w:val="0"/>
      <w:divBdr>
        <w:top w:val="none" w:sz="0" w:space="0" w:color="auto"/>
        <w:left w:val="none" w:sz="0" w:space="0" w:color="auto"/>
        <w:bottom w:val="none" w:sz="0" w:space="0" w:color="auto"/>
        <w:right w:val="none" w:sz="0" w:space="0" w:color="auto"/>
      </w:divBdr>
    </w:div>
    <w:div w:id="965547351">
      <w:bodyDiv w:val="1"/>
      <w:marLeft w:val="0"/>
      <w:marRight w:val="0"/>
      <w:marTop w:val="0"/>
      <w:marBottom w:val="0"/>
      <w:divBdr>
        <w:top w:val="none" w:sz="0" w:space="0" w:color="auto"/>
        <w:left w:val="none" w:sz="0" w:space="0" w:color="auto"/>
        <w:bottom w:val="none" w:sz="0" w:space="0" w:color="auto"/>
        <w:right w:val="none" w:sz="0" w:space="0" w:color="auto"/>
      </w:divBdr>
      <w:divsChild>
        <w:div w:id="39866464">
          <w:marLeft w:val="0"/>
          <w:marRight w:val="0"/>
          <w:marTop w:val="0"/>
          <w:marBottom w:val="0"/>
          <w:divBdr>
            <w:top w:val="none" w:sz="0" w:space="0" w:color="auto"/>
            <w:left w:val="none" w:sz="0" w:space="0" w:color="auto"/>
            <w:bottom w:val="none" w:sz="0" w:space="0" w:color="auto"/>
            <w:right w:val="none" w:sz="0" w:space="0" w:color="auto"/>
          </w:divBdr>
        </w:div>
      </w:divsChild>
    </w:div>
    <w:div w:id="983972140">
      <w:bodyDiv w:val="1"/>
      <w:marLeft w:val="0"/>
      <w:marRight w:val="0"/>
      <w:marTop w:val="0"/>
      <w:marBottom w:val="0"/>
      <w:divBdr>
        <w:top w:val="none" w:sz="0" w:space="0" w:color="auto"/>
        <w:left w:val="none" w:sz="0" w:space="0" w:color="auto"/>
        <w:bottom w:val="none" w:sz="0" w:space="0" w:color="auto"/>
        <w:right w:val="none" w:sz="0" w:space="0" w:color="auto"/>
      </w:divBdr>
      <w:divsChild>
        <w:div w:id="1933079712">
          <w:marLeft w:val="547"/>
          <w:marRight w:val="0"/>
          <w:marTop w:val="116"/>
          <w:marBottom w:val="0"/>
          <w:divBdr>
            <w:top w:val="none" w:sz="0" w:space="0" w:color="auto"/>
            <w:left w:val="none" w:sz="0" w:space="0" w:color="auto"/>
            <w:bottom w:val="none" w:sz="0" w:space="0" w:color="auto"/>
            <w:right w:val="none" w:sz="0" w:space="0" w:color="auto"/>
          </w:divBdr>
        </w:div>
      </w:divsChild>
    </w:div>
    <w:div w:id="986126976">
      <w:bodyDiv w:val="1"/>
      <w:marLeft w:val="0"/>
      <w:marRight w:val="0"/>
      <w:marTop w:val="0"/>
      <w:marBottom w:val="0"/>
      <w:divBdr>
        <w:top w:val="none" w:sz="0" w:space="0" w:color="auto"/>
        <w:left w:val="none" w:sz="0" w:space="0" w:color="auto"/>
        <w:bottom w:val="none" w:sz="0" w:space="0" w:color="auto"/>
        <w:right w:val="none" w:sz="0" w:space="0" w:color="auto"/>
      </w:divBdr>
      <w:divsChild>
        <w:div w:id="463348596">
          <w:marLeft w:val="274"/>
          <w:marRight w:val="0"/>
          <w:marTop w:val="0"/>
          <w:marBottom w:val="0"/>
          <w:divBdr>
            <w:top w:val="none" w:sz="0" w:space="0" w:color="auto"/>
            <w:left w:val="none" w:sz="0" w:space="0" w:color="auto"/>
            <w:bottom w:val="none" w:sz="0" w:space="0" w:color="auto"/>
            <w:right w:val="none" w:sz="0" w:space="0" w:color="auto"/>
          </w:divBdr>
        </w:div>
      </w:divsChild>
    </w:div>
    <w:div w:id="1050180447">
      <w:bodyDiv w:val="1"/>
      <w:marLeft w:val="0"/>
      <w:marRight w:val="0"/>
      <w:marTop w:val="0"/>
      <w:marBottom w:val="0"/>
      <w:divBdr>
        <w:top w:val="none" w:sz="0" w:space="0" w:color="auto"/>
        <w:left w:val="none" w:sz="0" w:space="0" w:color="auto"/>
        <w:bottom w:val="none" w:sz="0" w:space="0" w:color="auto"/>
        <w:right w:val="none" w:sz="0" w:space="0" w:color="auto"/>
      </w:divBdr>
    </w:div>
    <w:div w:id="1057164306">
      <w:bodyDiv w:val="1"/>
      <w:marLeft w:val="0"/>
      <w:marRight w:val="0"/>
      <w:marTop w:val="0"/>
      <w:marBottom w:val="0"/>
      <w:divBdr>
        <w:top w:val="none" w:sz="0" w:space="0" w:color="auto"/>
        <w:left w:val="none" w:sz="0" w:space="0" w:color="auto"/>
        <w:bottom w:val="none" w:sz="0" w:space="0" w:color="auto"/>
        <w:right w:val="none" w:sz="0" w:space="0" w:color="auto"/>
      </w:divBdr>
    </w:div>
    <w:div w:id="1096243460">
      <w:bodyDiv w:val="1"/>
      <w:marLeft w:val="0"/>
      <w:marRight w:val="0"/>
      <w:marTop w:val="0"/>
      <w:marBottom w:val="0"/>
      <w:divBdr>
        <w:top w:val="none" w:sz="0" w:space="0" w:color="auto"/>
        <w:left w:val="none" w:sz="0" w:space="0" w:color="auto"/>
        <w:bottom w:val="none" w:sz="0" w:space="0" w:color="auto"/>
        <w:right w:val="none" w:sz="0" w:space="0" w:color="auto"/>
      </w:divBdr>
    </w:div>
    <w:div w:id="1125538661">
      <w:bodyDiv w:val="1"/>
      <w:marLeft w:val="0"/>
      <w:marRight w:val="0"/>
      <w:marTop w:val="0"/>
      <w:marBottom w:val="0"/>
      <w:divBdr>
        <w:top w:val="none" w:sz="0" w:space="0" w:color="auto"/>
        <w:left w:val="none" w:sz="0" w:space="0" w:color="auto"/>
        <w:bottom w:val="none" w:sz="0" w:space="0" w:color="auto"/>
        <w:right w:val="none" w:sz="0" w:space="0" w:color="auto"/>
      </w:divBdr>
      <w:divsChild>
        <w:div w:id="1596790814">
          <w:marLeft w:val="5085"/>
          <w:marRight w:val="0"/>
          <w:marTop w:val="0"/>
          <w:marBottom w:val="0"/>
          <w:divBdr>
            <w:top w:val="single" w:sz="2" w:space="0" w:color="2E2E2E"/>
            <w:left w:val="single" w:sz="2" w:space="0" w:color="2E2E2E"/>
            <w:bottom w:val="single" w:sz="2" w:space="0" w:color="2E2E2E"/>
            <w:right w:val="single" w:sz="2" w:space="0" w:color="2E2E2E"/>
          </w:divBdr>
          <w:divsChild>
            <w:div w:id="1271470678">
              <w:marLeft w:val="0"/>
              <w:marRight w:val="0"/>
              <w:marTop w:val="15"/>
              <w:marBottom w:val="0"/>
              <w:divBdr>
                <w:top w:val="none" w:sz="0" w:space="0" w:color="auto"/>
                <w:left w:val="none" w:sz="0" w:space="0" w:color="auto"/>
                <w:bottom w:val="none" w:sz="0" w:space="0" w:color="auto"/>
                <w:right w:val="none" w:sz="0" w:space="0" w:color="auto"/>
              </w:divBdr>
              <w:divsChild>
                <w:div w:id="2883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8715">
      <w:bodyDiv w:val="1"/>
      <w:marLeft w:val="0"/>
      <w:marRight w:val="0"/>
      <w:marTop w:val="0"/>
      <w:marBottom w:val="0"/>
      <w:divBdr>
        <w:top w:val="none" w:sz="0" w:space="0" w:color="auto"/>
        <w:left w:val="none" w:sz="0" w:space="0" w:color="auto"/>
        <w:bottom w:val="none" w:sz="0" w:space="0" w:color="auto"/>
        <w:right w:val="none" w:sz="0" w:space="0" w:color="auto"/>
      </w:divBdr>
    </w:div>
    <w:div w:id="1179082922">
      <w:bodyDiv w:val="1"/>
      <w:marLeft w:val="0"/>
      <w:marRight w:val="0"/>
      <w:marTop w:val="0"/>
      <w:marBottom w:val="0"/>
      <w:divBdr>
        <w:top w:val="none" w:sz="0" w:space="0" w:color="auto"/>
        <w:left w:val="none" w:sz="0" w:space="0" w:color="auto"/>
        <w:bottom w:val="none" w:sz="0" w:space="0" w:color="auto"/>
        <w:right w:val="none" w:sz="0" w:space="0" w:color="auto"/>
      </w:divBdr>
      <w:divsChild>
        <w:div w:id="1359307908">
          <w:marLeft w:val="274"/>
          <w:marRight w:val="0"/>
          <w:marTop w:val="0"/>
          <w:marBottom w:val="0"/>
          <w:divBdr>
            <w:top w:val="none" w:sz="0" w:space="0" w:color="auto"/>
            <w:left w:val="none" w:sz="0" w:space="0" w:color="auto"/>
            <w:bottom w:val="none" w:sz="0" w:space="0" w:color="auto"/>
            <w:right w:val="none" w:sz="0" w:space="0" w:color="auto"/>
          </w:divBdr>
        </w:div>
      </w:divsChild>
    </w:div>
    <w:div w:id="1185750456">
      <w:bodyDiv w:val="1"/>
      <w:marLeft w:val="0"/>
      <w:marRight w:val="0"/>
      <w:marTop w:val="0"/>
      <w:marBottom w:val="0"/>
      <w:divBdr>
        <w:top w:val="none" w:sz="0" w:space="0" w:color="auto"/>
        <w:left w:val="none" w:sz="0" w:space="0" w:color="auto"/>
        <w:bottom w:val="none" w:sz="0" w:space="0" w:color="auto"/>
        <w:right w:val="none" w:sz="0" w:space="0" w:color="auto"/>
      </w:divBdr>
      <w:divsChild>
        <w:div w:id="992297370">
          <w:marLeft w:val="432"/>
          <w:marRight w:val="0"/>
          <w:marTop w:val="116"/>
          <w:marBottom w:val="0"/>
          <w:divBdr>
            <w:top w:val="none" w:sz="0" w:space="0" w:color="auto"/>
            <w:left w:val="none" w:sz="0" w:space="0" w:color="auto"/>
            <w:bottom w:val="none" w:sz="0" w:space="0" w:color="auto"/>
            <w:right w:val="none" w:sz="0" w:space="0" w:color="auto"/>
          </w:divBdr>
        </w:div>
      </w:divsChild>
    </w:div>
    <w:div w:id="1216313206">
      <w:bodyDiv w:val="1"/>
      <w:marLeft w:val="0"/>
      <w:marRight w:val="0"/>
      <w:marTop w:val="0"/>
      <w:marBottom w:val="0"/>
      <w:divBdr>
        <w:top w:val="none" w:sz="0" w:space="0" w:color="auto"/>
        <w:left w:val="none" w:sz="0" w:space="0" w:color="auto"/>
        <w:bottom w:val="none" w:sz="0" w:space="0" w:color="auto"/>
        <w:right w:val="none" w:sz="0" w:space="0" w:color="auto"/>
      </w:divBdr>
    </w:div>
    <w:div w:id="1218514864">
      <w:bodyDiv w:val="1"/>
      <w:marLeft w:val="0"/>
      <w:marRight w:val="0"/>
      <w:marTop w:val="0"/>
      <w:marBottom w:val="0"/>
      <w:divBdr>
        <w:top w:val="none" w:sz="0" w:space="0" w:color="auto"/>
        <w:left w:val="none" w:sz="0" w:space="0" w:color="auto"/>
        <w:bottom w:val="none" w:sz="0" w:space="0" w:color="auto"/>
        <w:right w:val="none" w:sz="0" w:space="0" w:color="auto"/>
      </w:divBdr>
      <w:divsChild>
        <w:div w:id="970087024">
          <w:marLeft w:val="432"/>
          <w:marRight w:val="0"/>
          <w:marTop w:val="116"/>
          <w:marBottom w:val="0"/>
          <w:divBdr>
            <w:top w:val="none" w:sz="0" w:space="0" w:color="auto"/>
            <w:left w:val="none" w:sz="0" w:space="0" w:color="auto"/>
            <w:bottom w:val="none" w:sz="0" w:space="0" w:color="auto"/>
            <w:right w:val="none" w:sz="0" w:space="0" w:color="auto"/>
          </w:divBdr>
        </w:div>
        <w:div w:id="1589000551">
          <w:marLeft w:val="432"/>
          <w:marRight w:val="0"/>
          <w:marTop w:val="116"/>
          <w:marBottom w:val="0"/>
          <w:divBdr>
            <w:top w:val="none" w:sz="0" w:space="0" w:color="auto"/>
            <w:left w:val="none" w:sz="0" w:space="0" w:color="auto"/>
            <w:bottom w:val="none" w:sz="0" w:space="0" w:color="auto"/>
            <w:right w:val="none" w:sz="0" w:space="0" w:color="auto"/>
          </w:divBdr>
        </w:div>
      </w:divsChild>
    </w:div>
    <w:div w:id="1218934251">
      <w:bodyDiv w:val="1"/>
      <w:marLeft w:val="0"/>
      <w:marRight w:val="0"/>
      <w:marTop w:val="0"/>
      <w:marBottom w:val="0"/>
      <w:divBdr>
        <w:top w:val="none" w:sz="0" w:space="0" w:color="auto"/>
        <w:left w:val="none" w:sz="0" w:space="0" w:color="auto"/>
        <w:bottom w:val="none" w:sz="0" w:space="0" w:color="auto"/>
        <w:right w:val="none" w:sz="0" w:space="0" w:color="auto"/>
      </w:divBdr>
      <w:divsChild>
        <w:div w:id="213858867">
          <w:marLeft w:val="432"/>
          <w:marRight w:val="0"/>
          <w:marTop w:val="116"/>
          <w:marBottom w:val="0"/>
          <w:divBdr>
            <w:top w:val="none" w:sz="0" w:space="0" w:color="auto"/>
            <w:left w:val="none" w:sz="0" w:space="0" w:color="auto"/>
            <w:bottom w:val="none" w:sz="0" w:space="0" w:color="auto"/>
            <w:right w:val="none" w:sz="0" w:space="0" w:color="auto"/>
          </w:divBdr>
        </w:div>
      </w:divsChild>
    </w:div>
    <w:div w:id="1227375115">
      <w:bodyDiv w:val="1"/>
      <w:marLeft w:val="0"/>
      <w:marRight w:val="0"/>
      <w:marTop w:val="0"/>
      <w:marBottom w:val="0"/>
      <w:divBdr>
        <w:top w:val="none" w:sz="0" w:space="0" w:color="auto"/>
        <w:left w:val="none" w:sz="0" w:space="0" w:color="auto"/>
        <w:bottom w:val="none" w:sz="0" w:space="0" w:color="auto"/>
        <w:right w:val="none" w:sz="0" w:space="0" w:color="auto"/>
      </w:divBdr>
    </w:div>
    <w:div w:id="1242639624">
      <w:bodyDiv w:val="1"/>
      <w:marLeft w:val="0"/>
      <w:marRight w:val="0"/>
      <w:marTop w:val="0"/>
      <w:marBottom w:val="0"/>
      <w:divBdr>
        <w:top w:val="none" w:sz="0" w:space="0" w:color="auto"/>
        <w:left w:val="none" w:sz="0" w:space="0" w:color="auto"/>
        <w:bottom w:val="none" w:sz="0" w:space="0" w:color="auto"/>
        <w:right w:val="none" w:sz="0" w:space="0" w:color="auto"/>
      </w:divBdr>
      <w:divsChild>
        <w:div w:id="490372787">
          <w:marLeft w:val="432"/>
          <w:marRight w:val="0"/>
          <w:marTop w:val="116"/>
          <w:marBottom w:val="0"/>
          <w:divBdr>
            <w:top w:val="none" w:sz="0" w:space="0" w:color="auto"/>
            <w:left w:val="none" w:sz="0" w:space="0" w:color="auto"/>
            <w:bottom w:val="none" w:sz="0" w:space="0" w:color="auto"/>
            <w:right w:val="none" w:sz="0" w:space="0" w:color="auto"/>
          </w:divBdr>
        </w:div>
      </w:divsChild>
    </w:div>
    <w:div w:id="1295409268">
      <w:bodyDiv w:val="1"/>
      <w:marLeft w:val="0"/>
      <w:marRight w:val="0"/>
      <w:marTop w:val="0"/>
      <w:marBottom w:val="0"/>
      <w:divBdr>
        <w:top w:val="none" w:sz="0" w:space="0" w:color="auto"/>
        <w:left w:val="none" w:sz="0" w:space="0" w:color="auto"/>
        <w:bottom w:val="none" w:sz="0" w:space="0" w:color="auto"/>
        <w:right w:val="none" w:sz="0" w:space="0" w:color="auto"/>
      </w:divBdr>
      <w:divsChild>
        <w:div w:id="858004479">
          <w:marLeft w:val="0"/>
          <w:marRight w:val="0"/>
          <w:marTop w:val="0"/>
          <w:marBottom w:val="0"/>
          <w:divBdr>
            <w:top w:val="none" w:sz="0" w:space="0" w:color="auto"/>
            <w:left w:val="none" w:sz="0" w:space="0" w:color="auto"/>
            <w:bottom w:val="none" w:sz="0" w:space="0" w:color="auto"/>
            <w:right w:val="none" w:sz="0" w:space="0" w:color="auto"/>
          </w:divBdr>
        </w:div>
      </w:divsChild>
    </w:div>
    <w:div w:id="1312061730">
      <w:bodyDiv w:val="1"/>
      <w:marLeft w:val="0"/>
      <w:marRight w:val="0"/>
      <w:marTop w:val="0"/>
      <w:marBottom w:val="0"/>
      <w:divBdr>
        <w:top w:val="none" w:sz="0" w:space="0" w:color="auto"/>
        <w:left w:val="none" w:sz="0" w:space="0" w:color="auto"/>
        <w:bottom w:val="none" w:sz="0" w:space="0" w:color="auto"/>
        <w:right w:val="none" w:sz="0" w:space="0" w:color="auto"/>
      </w:divBdr>
    </w:div>
    <w:div w:id="1313565060">
      <w:bodyDiv w:val="1"/>
      <w:marLeft w:val="0"/>
      <w:marRight w:val="0"/>
      <w:marTop w:val="0"/>
      <w:marBottom w:val="0"/>
      <w:divBdr>
        <w:top w:val="none" w:sz="0" w:space="0" w:color="auto"/>
        <w:left w:val="none" w:sz="0" w:space="0" w:color="auto"/>
        <w:bottom w:val="none" w:sz="0" w:space="0" w:color="auto"/>
        <w:right w:val="none" w:sz="0" w:space="0" w:color="auto"/>
      </w:divBdr>
    </w:div>
    <w:div w:id="1316033350">
      <w:bodyDiv w:val="1"/>
      <w:marLeft w:val="0"/>
      <w:marRight w:val="0"/>
      <w:marTop w:val="0"/>
      <w:marBottom w:val="0"/>
      <w:divBdr>
        <w:top w:val="none" w:sz="0" w:space="0" w:color="auto"/>
        <w:left w:val="none" w:sz="0" w:space="0" w:color="auto"/>
        <w:bottom w:val="none" w:sz="0" w:space="0" w:color="auto"/>
        <w:right w:val="none" w:sz="0" w:space="0" w:color="auto"/>
      </w:divBdr>
      <w:divsChild>
        <w:div w:id="60299815">
          <w:marLeft w:val="285"/>
          <w:marRight w:val="0"/>
          <w:marTop w:val="0"/>
          <w:marBottom w:val="0"/>
          <w:divBdr>
            <w:top w:val="single" w:sz="2" w:space="0" w:color="2E2E2E"/>
            <w:left w:val="single" w:sz="2" w:space="0" w:color="2E2E2E"/>
            <w:bottom w:val="single" w:sz="2" w:space="0" w:color="2E2E2E"/>
            <w:right w:val="single" w:sz="2" w:space="0" w:color="2E2E2E"/>
          </w:divBdr>
          <w:divsChild>
            <w:div w:id="460000040">
              <w:marLeft w:val="0"/>
              <w:marRight w:val="0"/>
              <w:marTop w:val="15"/>
              <w:marBottom w:val="0"/>
              <w:divBdr>
                <w:top w:val="none" w:sz="0" w:space="0" w:color="auto"/>
                <w:left w:val="none" w:sz="0" w:space="0" w:color="auto"/>
                <w:bottom w:val="none" w:sz="0" w:space="0" w:color="auto"/>
                <w:right w:val="none" w:sz="0" w:space="0" w:color="auto"/>
              </w:divBdr>
              <w:divsChild>
                <w:div w:id="4135945">
                  <w:marLeft w:val="0"/>
                  <w:marRight w:val="0"/>
                  <w:marTop w:val="0"/>
                  <w:marBottom w:val="0"/>
                  <w:divBdr>
                    <w:top w:val="none" w:sz="0" w:space="0" w:color="auto"/>
                    <w:left w:val="none" w:sz="0" w:space="0" w:color="auto"/>
                    <w:bottom w:val="none" w:sz="0" w:space="0" w:color="auto"/>
                    <w:right w:val="none" w:sz="0" w:space="0" w:color="auto"/>
                  </w:divBdr>
                  <w:divsChild>
                    <w:div w:id="1787772062">
                      <w:marLeft w:val="0"/>
                      <w:marRight w:val="0"/>
                      <w:marTop w:val="0"/>
                      <w:marBottom w:val="315"/>
                      <w:divBdr>
                        <w:top w:val="single" w:sz="6" w:space="0" w:color="D7D7D7"/>
                        <w:left w:val="single" w:sz="2" w:space="0" w:color="D7D7D7"/>
                        <w:bottom w:val="single" w:sz="6" w:space="0" w:color="D7D7D7"/>
                        <w:right w:val="single" w:sz="2" w:space="0" w:color="D7D7D7"/>
                      </w:divBdr>
                      <w:divsChild>
                        <w:div w:id="79723254">
                          <w:marLeft w:val="0"/>
                          <w:marRight w:val="0"/>
                          <w:marTop w:val="0"/>
                          <w:marBottom w:val="0"/>
                          <w:divBdr>
                            <w:top w:val="none" w:sz="0" w:space="0" w:color="auto"/>
                            <w:left w:val="none" w:sz="0" w:space="0" w:color="auto"/>
                            <w:bottom w:val="none" w:sz="0" w:space="0" w:color="auto"/>
                            <w:right w:val="none" w:sz="0" w:space="0" w:color="auto"/>
                          </w:divBdr>
                        </w:div>
                        <w:div w:id="19394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703219">
      <w:bodyDiv w:val="1"/>
      <w:marLeft w:val="0"/>
      <w:marRight w:val="0"/>
      <w:marTop w:val="0"/>
      <w:marBottom w:val="0"/>
      <w:divBdr>
        <w:top w:val="none" w:sz="0" w:space="0" w:color="auto"/>
        <w:left w:val="none" w:sz="0" w:space="0" w:color="auto"/>
        <w:bottom w:val="none" w:sz="0" w:space="0" w:color="auto"/>
        <w:right w:val="none" w:sz="0" w:space="0" w:color="auto"/>
      </w:divBdr>
    </w:div>
    <w:div w:id="1384523033">
      <w:bodyDiv w:val="1"/>
      <w:marLeft w:val="0"/>
      <w:marRight w:val="0"/>
      <w:marTop w:val="0"/>
      <w:marBottom w:val="0"/>
      <w:divBdr>
        <w:top w:val="none" w:sz="0" w:space="0" w:color="auto"/>
        <w:left w:val="none" w:sz="0" w:space="0" w:color="auto"/>
        <w:bottom w:val="none" w:sz="0" w:space="0" w:color="auto"/>
        <w:right w:val="none" w:sz="0" w:space="0" w:color="auto"/>
      </w:divBdr>
    </w:div>
    <w:div w:id="1466196651">
      <w:bodyDiv w:val="1"/>
      <w:marLeft w:val="0"/>
      <w:marRight w:val="0"/>
      <w:marTop w:val="0"/>
      <w:marBottom w:val="0"/>
      <w:divBdr>
        <w:top w:val="none" w:sz="0" w:space="0" w:color="auto"/>
        <w:left w:val="none" w:sz="0" w:space="0" w:color="auto"/>
        <w:bottom w:val="none" w:sz="0" w:space="0" w:color="auto"/>
        <w:right w:val="none" w:sz="0" w:space="0" w:color="auto"/>
      </w:divBdr>
    </w:div>
    <w:div w:id="1477918268">
      <w:bodyDiv w:val="1"/>
      <w:marLeft w:val="0"/>
      <w:marRight w:val="0"/>
      <w:marTop w:val="0"/>
      <w:marBottom w:val="0"/>
      <w:divBdr>
        <w:top w:val="none" w:sz="0" w:space="0" w:color="auto"/>
        <w:left w:val="none" w:sz="0" w:space="0" w:color="auto"/>
        <w:bottom w:val="none" w:sz="0" w:space="0" w:color="auto"/>
        <w:right w:val="none" w:sz="0" w:space="0" w:color="auto"/>
      </w:divBdr>
    </w:div>
    <w:div w:id="1478113593">
      <w:bodyDiv w:val="1"/>
      <w:marLeft w:val="0"/>
      <w:marRight w:val="0"/>
      <w:marTop w:val="0"/>
      <w:marBottom w:val="0"/>
      <w:divBdr>
        <w:top w:val="none" w:sz="0" w:space="0" w:color="auto"/>
        <w:left w:val="none" w:sz="0" w:space="0" w:color="auto"/>
        <w:bottom w:val="none" w:sz="0" w:space="0" w:color="auto"/>
        <w:right w:val="none" w:sz="0" w:space="0" w:color="auto"/>
      </w:divBdr>
    </w:div>
    <w:div w:id="1522159463">
      <w:bodyDiv w:val="1"/>
      <w:marLeft w:val="0"/>
      <w:marRight w:val="0"/>
      <w:marTop w:val="0"/>
      <w:marBottom w:val="0"/>
      <w:divBdr>
        <w:top w:val="none" w:sz="0" w:space="0" w:color="auto"/>
        <w:left w:val="none" w:sz="0" w:space="0" w:color="auto"/>
        <w:bottom w:val="none" w:sz="0" w:space="0" w:color="auto"/>
        <w:right w:val="none" w:sz="0" w:space="0" w:color="auto"/>
      </w:divBdr>
    </w:div>
    <w:div w:id="1617061429">
      <w:bodyDiv w:val="1"/>
      <w:marLeft w:val="0"/>
      <w:marRight w:val="0"/>
      <w:marTop w:val="0"/>
      <w:marBottom w:val="0"/>
      <w:divBdr>
        <w:top w:val="none" w:sz="0" w:space="0" w:color="auto"/>
        <w:left w:val="none" w:sz="0" w:space="0" w:color="auto"/>
        <w:bottom w:val="none" w:sz="0" w:space="0" w:color="auto"/>
        <w:right w:val="none" w:sz="0" w:space="0" w:color="auto"/>
      </w:divBdr>
    </w:div>
    <w:div w:id="1625424800">
      <w:bodyDiv w:val="1"/>
      <w:marLeft w:val="0"/>
      <w:marRight w:val="0"/>
      <w:marTop w:val="0"/>
      <w:marBottom w:val="0"/>
      <w:divBdr>
        <w:top w:val="none" w:sz="0" w:space="0" w:color="auto"/>
        <w:left w:val="none" w:sz="0" w:space="0" w:color="auto"/>
        <w:bottom w:val="none" w:sz="0" w:space="0" w:color="auto"/>
        <w:right w:val="none" w:sz="0" w:space="0" w:color="auto"/>
      </w:divBdr>
    </w:div>
    <w:div w:id="1647734666">
      <w:bodyDiv w:val="1"/>
      <w:marLeft w:val="0"/>
      <w:marRight w:val="0"/>
      <w:marTop w:val="0"/>
      <w:marBottom w:val="0"/>
      <w:divBdr>
        <w:top w:val="none" w:sz="0" w:space="0" w:color="auto"/>
        <w:left w:val="none" w:sz="0" w:space="0" w:color="auto"/>
        <w:bottom w:val="none" w:sz="0" w:space="0" w:color="auto"/>
        <w:right w:val="none" w:sz="0" w:space="0" w:color="auto"/>
      </w:divBdr>
    </w:div>
    <w:div w:id="1658070860">
      <w:bodyDiv w:val="1"/>
      <w:marLeft w:val="0"/>
      <w:marRight w:val="0"/>
      <w:marTop w:val="0"/>
      <w:marBottom w:val="0"/>
      <w:divBdr>
        <w:top w:val="none" w:sz="0" w:space="0" w:color="auto"/>
        <w:left w:val="none" w:sz="0" w:space="0" w:color="auto"/>
        <w:bottom w:val="none" w:sz="0" w:space="0" w:color="auto"/>
        <w:right w:val="none" w:sz="0" w:space="0" w:color="auto"/>
      </w:divBdr>
    </w:div>
    <w:div w:id="1730572334">
      <w:bodyDiv w:val="1"/>
      <w:marLeft w:val="0"/>
      <w:marRight w:val="0"/>
      <w:marTop w:val="0"/>
      <w:marBottom w:val="0"/>
      <w:divBdr>
        <w:top w:val="none" w:sz="0" w:space="0" w:color="auto"/>
        <w:left w:val="none" w:sz="0" w:space="0" w:color="auto"/>
        <w:bottom w:val="none" w:sz="0" w:space="0" w:color="auto"/>
        <w:right w:val="none" w:sz="0" w:space="0" w:color="auto"/>
      </w:divBdr>
    </w:div>
    <w:div w:id="1933732332">
      <w:bodyDiv w:val="1"/>
      <w:marLeft w:val="0"/>
      <w:marRight w:val="0"/>
      <w:marTop w:val="0"/>
      <w:marBottom w:val="0"/>
      <w:divBdr>
        <w:top w:val="none" w:sz="0" w:space="0" w:color="auto"/>
        <w:left w:val="none" w:sz="0" w:space="0" w:color="auto"/>
        <w:bottom w:val="none" w:sz="0" w:space="0" w:color="auto"/>
        <w:right w:val="none" w:sz="0" w:space="0" w:color="auto"/>
      </w:divBdr>
    </w:div>
    <w:div w:id="1952933413">
      <w:bodyDiv w:val="1"/>
      <w:marLeft w:val="0"/>
      <w:marRight w:val="0"/>
      <w:marTop w:val="0"/>
      <w:marBottom w:val="0"/>
      <w:divBdr>
        <w:top w:val="none" w:sz="0" w:space="0" w:color="auto"/>
        <w:left w:val="none" w:sz="0" w:space="0" w:color="auto"/>
        <w:bottom w:val="none" w:sz="0" w:space="0" w:color="auto"/>
        <w:right w:val="none" w:sz="0" w:space="0" w:color="auto"/>
      </w:divBdr>
      <w:divsChild>
        <w:div w:id="951086427">
          <w:marLeft w:val="432"/>
          <w:marRight w:val="0"/>
          <w:marTop w:val="116"/>
          <w:marBottom w:val="0"/>
          <w:divBdr>
            <w:top w:val="none" w:sz="0" w:space="0" w:color="auto"/>
            <w:left w:val="none" w:sz="0" w:space="0" w:color="auto"/>
            <w:bottom w:val="none" w:sz="0" w:space="0" w:color="auto"/>
            <w:right w:val="none" w:sz="0" w:space="0" w:color="auto"/>
          </w:divBdr>
        </w:div>
      </w:divsChild>
    </w:div>
    <w:div w:id="2031254943">
      <w:bodyDiv w:val="1"/>
      <w:marLeft w:val="0"/>
      <w:marRight w:val="0"/>
      <w:marTop w:val="0"/>
      <w:marBottom w:val="0"/>
      <w:divBdr>
        <w:top w:val="none" w:sz="0" w:space="0" w:color="auto"/>
        <w:left w:val="none" w:sz="0" w:space="0" w:color="auto"/>
        <w:bottom w:val="none" w:sz="0" w:space="0" w:color="auto"/>
        <w:right w:val="none" w:sz="0" w:space="0" w:color="auto"/>
      </w:divBdr>
    </w:div>
    <w:div w:id="2036347101">
      <w:bodyDiv w:val="1"/>
      <w:marLeft w:val="0"/>
      <w:marRight w:val="0"/>
      <w:marTop w:val="0"/>
      <w:marBottom w:val="0"/>
      <w:divBdr>
        <w:top w:val="none" w:sz="0" w:space="0" w:color="auto"/>
        <w:left w:val="none" w:sz="0" w:space="0" w:color="auto"/>
        <w:bottom w:val="none" w:sz="0" w:space="0" w:color="auto"/>
        <w:right w:val="none" w:sz="0" w:space="0" w:color="auto"/>
      </w:divBdr>
    </w:div>
    <w:div w:id="2073575864">
      <w:bodyDiv w:val="1"/>
      <w:marLeft w:val="0"/>
      <w:marRight w:val="0"/>
      <w:marTop w:val="0"/>
      <w:marBottom w:val="0"/>
      <w:divBdr>
        <w:top w:val="none" w:sz="0" w:space="0" w:color="auto"/>
        <w:left w:val="none" w:sz="0" w:space="0" w:color="auto"/>
        <w:bottom w:val="none" w:sz="0" w:space="0" w:color="auto"/>
        <w:right w:val="none" w:sz="0" w:space="0" w:color="auto"/>
      </w:divBdr>
    </w:div>
    <w:div w:id="2089643779">
      <w:bodyDiv w:val="1"/>
      <w:marLeft w:val="0"/>
      <w:marRight w:val="0"/>
      <w:marTop w:val="0"/>
      <w:marBottom w:val="0"/>
      <w:divBdr>
        <w:top w:val="none" w:sz="0" w:space="0" w:color="auto"/>
        <w:left w:val="none" w:sz="0" w:space="0" w:color="auto"/>
        <w:bottom w:val="none" w:sz="0" w:space="0" w:color="auto"/>
        <w:right w:val="none" w:sz="0" w:space="0" w:color="auto"/>
      </w:divBdr>
    </w:div>
    <w:div w:id="2101638152">
      <w:bodyDiv w:val="1"/>
      <w:marLeft w:val="0"/>
      <w:marRight w:val="0"/>
      <w:marTop w:val="0"/>
      <w:marBottom w:val="0"/>
      <w:divBdr>
        <w:top w:val="none" w:sz="0" w:space="0" w:color="auto"/>
        <w:left w:val="none" w:sz="0" w:space="0" w:color="auto"/>
        <w:bottom w:val="none" w:sz="0" w:space="0" w:color="auto"/>
        <w:right w:val="none" w:sz="0" w:space="0" w:color="auto"/>
      </w:divBdr>
      <w:divsChild>
        <w:div w:id="838884278">
          <w:marLeft w:val="432"/>
          <w:marRight w:val="0"/>
          <w:marTop w:val="116"/>
          <w:marBottom w:val="0"/>
          <w:divBdr>
            <w:top w:val="none" w:sz="0" w:space="0" w:color="auto"/>
            <w:left w:val="none" w:sz="0" w:space="0" w:color="auto"/>
            <w:bottom w:val="none" w:sz="0" w:space="0" w:color="auto"/>
            <w:right w:val="none" w:sz="0" w:space="0" w:color="auto"/>
          </w:divBdr>
        </w:div>
      </w:divsChild>
    </w:div>
    <w:div w:id="2117872118">
      <w:bodyDiv w:val="1"/>
      <w:marLeft w:val="0"/>
      <w:marRight w:val="0"/>
      <w:marTop w:val="0"/>
      <w:marBottom w:val="0"/>
      <w:divBdr>
        <w:top w:val="none" w:sz="0" w:space="0" w:color="auto"/>
        <w:left w:val="none" w:sz="0" w:space="0" w:color="auto"/>
        <w:bottom w:val="none" w:sz="0" w:space="0" w:color="auto"/>
        <w:right w:val="none" w:sz="0" w:space="0" w:color="auto"/>
      </w:divBdr>
    </w:div>
    <w:div w:id="2128311052">
      <w:bodyDiv w:val="1"/>
      <w:marLeft w:val="0"/>
      <w:marRight w:val="0"/>
      <w:marTop w:val="0"/>
      <w:marBottom w:val="0"/>
      <w:divBdr>
        <w:top w:val="none" w:sz="0" w:space="0" w:color="auto"/>
        <w:left w:val="none" w:sz="0" w:space="0" w:color="auto"/>
        <w:bottom w:val="none" w:sz="0" w:space="0" w:color="auto"/>
        <w:right w:val="none" w:sz="0" w:space="0" w:color="auto"/>
      </w:divBdr>
      <w:divsChild>
        <w:div w:id="1774470275">
          <w:marLeft w:val="547"/>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yperlink" Target="http://www.google.com.au/imgres?q=Australian+emission+accounting&amp;um=1&amp;hl=en&amp;sa=N&amp;biw=853&amp;bih=562&amp;tbm=isch&amp;tbnid=qqWDYn9dMPZnbM:&amp;imgrefurl=http://www.smh.com.au/environment/climate-change/joint-emissions-plan-to-un-20110920-1kjn0.html&amp;docid=OemjWEqpUMGB2M&amp;imgurl=http://images.smh.com.au/2011/09/20/2638497/ipad-art-wide-joing-emissions-420x0.jpg&amp;w=420&amp;h=304&amp;ei=0PjvTszzO8aaiAfQg6yuBw&amp;zoom=1&amp;iact=rc&amp;dur=263&amp;sig=104439259884651283588&amp;page=14&amp;tbnh=157&amp;tbnw=209&amp;start=88&amp;ndsp=8&amp;ved=1t:429,r:0,s:88&amp;tx=100&amp;ty=71" TargetMode="Externa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climatechange.gov.au" TargetMode="External"/><Relationship Id="rId1" Type="http://schemas.openxmlformats.org/officeDocument/2006/relationships/hyperlink" Target="mailto:manson.hao@abs.gov.a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orp\peopledfs\mahaku\My%20Documents\IO-tables\Results\global%20master%20final.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1"/>
            </a:pPr>
            <a:r>
              <a:rPr lang="en-US" sz="1200" b="1"/>
              <a:t>Figure 2: Proportion</a:t>
            </a:r>
            <a:r>
              <a:rPr lang="en-US" sz="1200" b="1" baseline="0"/>
              <a:t> </a:t>
            </a:r>
            <a:r>
              <a:rPr lang="en-US" sz="1200" b="1"/>
              <a:t>of GHG Emissions induced by final demand products</a:t>
            </a:r>
            <a:r>
              <a:rPr lang="en-US" sz="1200" b="1" baseline="0"/>
              <a:t> </a:t>
            </a:r>
            <a:r>
              <a:rPr lang="en-US" sz="1200" b="1"/>
              <a:t>for</a:t>
            </a:r>
            <a:r>
              <a:rPr lang="en-US" sz="1200" b="1" baseline="0"/>
              <a:t> </a:t>
            </a:r>
            <a:r>
              <a:rPr lang="en-US" sz="1200" b="1"/>
              <a:t>2007-2008 </a:t>
            </a:r>
          </a:p>
        </c:rich>
      </c:tx>
      <c:layout/>
      <c:overlay val="0"/>
    </c:title>
    <c:autoTitleDeleted val="0"/>
    <c:plotArea>
      <c:layout/>
      <c:barChart>
        <c:barDir val="col"/>
        <c:grouping val="clustered"/>
        <c:varyColors val="0"/>
        <c:ser>
          <c:idx val="0"/>
          <c:order val="0"/>
          <c:tx>
            <c:strRef>
              <c:f>'final demand cumulative emissio'!$I$162</c:f>
              <c:strCache>
                <c:ptCount val="1"/>
                <c:pt idx="0">
                  <c:v>GHG Emissions induced by final demand %</c:v>
                </c:pt>
              </c:strCache>
            </c:strRef>
          </c:tx>
          <c:invertIfNegative val="0"/>
          <c:cat>
            <c:strRef>
              <c:f>'final demand cumulative emissio'!$H$163:$H$167</c:f>
              <c:strCache>
                <c:ptCount val="5"/>
                <c:pt idx="0">
                  <c:v>Household final consumption</c:v>
                </c:pt>
                <c:pt idx="1">
                  <c:v>Government final consumption</c:v>
                </c:pt>
                <c:pt idx="2">
                  <c:v>Gross Fixed Capital Formation</c:v>
                </c:pt>
                <c:pt idx="3">
                  <c:v>Changes In Inventories</c:v>
                </c:pt>
                <c:pt idx="4">
                  <c:v>Exports</c:v>
                </c:pt>
              </c:strCache>
            </c:strRef>
          </c:cat>
          <c:val>
            <c:numRef>
              <c:f>'final demand cumulative emissio'!$I$163:$I$167</c:f>
              <c:numCache>
                <c:formatCode>0%</c:formatCode>
                <c:ptCount val="5"/>
                <c:pt idx="0">
                  <c:v>0.46594620334511894</c:v>
                </c:pt>
                <c:pt idx="1">
                  <c:v>5.1001710531952273E-2</c:v>
                </c:pt>
                <c:pt idx="2">
                  <c:v>0.19871707641177194</c:v>
                </c:pt>
                <c:pt idx="3">
                  <c:v>1.6177043232168096E-2</c:v>
                </c:pt>
                <c:pt idx="4">
                  <c:v>0.26815796647898876</c:v>
                </c:pt>
              </c:numCache>
            </c:numRef>
          </c:val>
        </c:ser>
        <c:dLbls>
          <c:showLegendKey val="0"/>
          <c:showVal val="0"/>
          <c:showCatName val="0"/>
          <c:showSerName val="0"/>
          <c:showPercent val="0"/>
          <c:showBubbleSize val="0"/>
        </c:dLbls>
        <c:gapWidth val="150"/>
        <c:axId val="33987584"/>
        <c:axId val="35656448"/>
      </c:barChart>
      <c:catAx>
        <c:axId val="33987584"/>
        <c:scaling>
          <c:orientation val="minMax"/>
        </c:scaling>
        <c:delete val="0"/>
        <c:axPos val="b"/>
        <c:majorTickMark val="out"/>
        <c:minorTickMark val="none"/>
        <c:tickLblPos val="nextTo"/>
        <c:crossAx val="35656448"/>
        <c:crosses val="autoZero"/>
        <c:auto val="1"/>
        <c:lblAlgn val="ctr"/>
        <c:lblOffset val="100"/>
        <c:noMultiLvlLbl val="0"/>
      </c:catAx>
      <c:valAx>
        <c:axId val="35656448"/>
        <c:scaling>
          <c:orientation val="minMax"/>
        </c:scaling>
        <c:delete val="0"/>
        <c:axPos val="l"/>
        <c:majorGridlines/>
        <c:numFmt formatCode="0%" sourceLinked="1"/>
        <c:majorTickMark val="out"/>
        <c:minorTickMark val="none"/>
        <c:tickLblPos val="nextTo"/>
        <c:crossAx val="3398758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3: Production-based</a:t>
            </a:r>
            <a:r>
              <a:rPr lang="en-US" sz="1200" baseline="0"/>
              <a:t> </a:t>
            </a:r>
            <a:r>
              <a:rPr lang="en-US" sz="1200"/>
              <a:t>versus</a:t>
            </a:r>
            <a:r>
              <a:rPr lang="en-US" sz="1200" baseline="0"/>
              <a:t> </a:t>
            </a:r>
            <a:r>
              <a:rPr lang="en-US" sz="1200"/>
              <a:t>Consumption-based</a:t>
            </a:r>
            <a:r>
              <a:rPr lang="en-US" sz="1200" baseline="0"/>
              <a:t> </a:t>
            </a:r>
            <a:r>
              <a:rPr lang="en-US" sz="1200"/>
              <a:t>emissions (Mt) for 2007-2008</a:t>
            </a:r>
          </a:p>
        </c:rich>
      </c:tx>
      <c:layout/>
      <c:overlay val="0"/>
    </c:title>
    <c:autoTitleDeleted val="0"/>
    <c:plotArea>
      <c:layout/>
      <c:barChart>
        <c:barDir val="col"/>
        <c:grouping val="clustered"/>
        <c:varyColors val="0"/>
        <c:ser>
          <c:idx val="0"/>
          <c:order val="0"/>
          <c:tx>
            <c:strRef>
              <c:f>'final demand cumulative emissio'!$I$186</c:f>
              <c:strCache>
                <c:ptCount val="1"/>
                <c:pt idx="0">
                  <c:v>Production versus Consumption based emissions</c:v>
                </c:pt>
              </c:strCache>
            </c:strRef>
          </c:tx>
          <c:invertIfNegative val="0"/>
          <c:cat>
            <c:strRef>
              <c:f>'final demand cumulative emissio'!$H$187:$H$189</c:f>
              <c:strCache>
                <c:ptCount val="3"/>
                <c:pt idx="0">
                  <c:v>Production based emissions</c:v>
                </c:pt>
                <c:pt idx="1">
                  <c:v>Consumption based emissions</c:v>
                </c:pt>
                <c:pt idx="2">
                  <c:v>Net trade balance</c:v>
                </c:pt>
              </c:strCache>
            </c:strRef>
          </c:cat>
          <c:val>
            <c:numRef>
              <c:f>'final demand cumulative emissio'!$I$187:$I$189</c:f>
              <c:numCache>
                <c:formatCode>0</c:formatCode>
                <c:ptCount val="3"/>
                <c:pt idx="0">
                  <c:v>636.43671783411617</c:v>
                </c:pt>
                <c:pt idx="1">
                  <c:v>591.88187976894642</c:v>
                </c:pt>
                <c:pt idx="2">
                  <c:v>44.554838065169783</c:v>
                </c:pt>
              </c:numCache>
            </c:numRef>
          </c:val>
        </c:ser>
        <c:dLbls>
          <c:showLegendKey val="0"/>
          <c:showVal val="0"/>
          <c:showCatName val="0"/>
          <c:showSerName val="0"/>
          <c:showPercent val="0"/>
          <c:showBubbleSize val="0"/>
        </c:dLbls>
        <c:gapWidth val="150"/>
        <c:axId val="53573888"/>
        <c:axId val="64733568"/>
      </c:barChart>
      <c:catAx>
        <c:axId val="53573888"/>
        <c:scaling>
          <c:orientation val="minMax"/>
        </c:scaling>
        <c:delete val="0"/>
        <c:axPos val="b"/>
        <c:majorTickMark val="out"/>
        <c:minorTickMark val="none"/>
        <c:tickLblPos val="nextTo"/>
        <c:crossAx val="64733568"/>
        <c:crosses val="autoZero"/>
        <c:auto val="1"/>
        <c:lblAlgn val="ctr"/>
        <c:lblOffset val="100"/>
        <c:noMultiLvlLbl val="0"/>
      </c:catAx>
      <c:valAx>
        <c:axId val="64733568"/>
        <c:scaling>
          <c:orientation val="minMax"/>
        </c:scaling>
        <c:delete val="0"/>
        <c:axPos val="l"/>
        <c:majorGridlines/>
        <c:numFmt formatCode="0" sourceLinked="1"/>
        <c:majorTickMark val="out"/>
        <c:minorTickMark val="none"/>
        <c:tickLblPos val="nextTo"/>
        <c:crossAx val="5357388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a:pPr>
            <a:r>
              <a:rPr lang="en-US" sz="1200" b="1"/>
              <a:t>Figure 4: GHG</a:t>
            </a:r>
            <a:r>
              <a:rPr lang="en-US" sz="1200" b="1" baseline="0"/>
              <a:t> E</a:t>
            </a:r>
            <a:r>
              <a:rPr lang="en-US" sz="1200" b="1"/>
              <a:t>missions Induced by Final Demand Products</a:t>
            </a:r>
            <a:r>
              <a:rPr lang="en-US" sz="1200" b="1" baseline="0"/>
              <a:t> </a:t>
            </a:r>
            <a:r>
              <a:rPr lang="en-US" sz="1200" b="1"/>
              <a:t>(Mt</a:t>
            </a:r>
            <a:r>
              <a:rPr lang="en-US" sz="1200" b="1" baseline="0"/>
              <a:t> </a:t>
            </a:r>
            <a:r>
              <a:rPr lang="en-US" sz="1200" b="1"/>
              <a:t>CO</a:t>
            </a:r>
            <a:r>
              <a:rPr lang="en-US" sz="900" b="1"/>
              <a:t>2</a:t>
            </a:r>
            <a:r>
              <a:rPr lang="en-US" sz="1200" b="1"/>
              <a:t>-e) for 2007-2008</a:t>
            </a:r>
          </a:p>
        </c:rich>
      </c:tx>
      <c:layout/>
      <c:overlay val="0"/>
    </c:title>
    <c:autoTitleDeleted val="0"/>
    <c:plotArea>
      <c:layout/>
      <c:barChart>
        <c:barDir val="bar"/>
        <c:grouping val="stacked"/>
        <c:varyColors val="0"/>
        <c:ser>
          <c:idx val="0"/>
          <c:order val="0"/>
          <c:tx>
            <c:strRef>
              <c:f>'condensed final demand cumulati'!$X$119</c:f>
              <c:strCache>
                <c:ptCount val="1"/>
                <c:pt idx="0">
                  <c:v>GHG EMISSIONS INDUCED BY FINAL DEMAND PRODUCTS, (Mt CO2-e) 2007-2008</c:v>
                </c:pt>
              </c:strCache>
            </c:strRef>
          </c:tx>
          <c:invertIfNegative val="0"/>
          <c:cat>
            <c:strRef>
              <c:f>'condensed final demand cumulati'!$W$120:$W$127</c:f>
              <c:strCache>
                <c:ptCount val="8"/>
                <c:pt idx="0">
                  <c:v>Direct Emissions by households</c:v>
                </c:pt>
                <c:pt idx="1">
                  <c:v>Commercial and services</c:v>
                </c:pt>
                <c:pt idx="2">
                  <c:v>Transport </c:v>
                </c:pt>
                <c:pt idx="3">
                  <c:v>Construction</c:v>
                </c:pt>
                <c:pt idx="4">
                  <c:v>Electricity, gas, water and waste services</c:v>
                </c:pt>
                <c:pt idx="5">
                  <c:v>Manufacturing</c:v>
                </c:pt>
                <c:pt idx="6">
                  <c:v>Mining</c:v>
                </c:pt>
                <c:pt idx="7">
                  <c:v>Agriculture, forestry and fishing</c:v>
                </c:pt>
              </c:strCache>
            </c:strRef>
          </c:cat>
          <c:val>
            <c:numRef>
              <c:f>'condensed final demand cumulati'!$X$120:$X$127</c:f>
              <c:numCache>
                <c:formatCode>0</c:formatCode>
                <c:ptCount val="8"/>
                <c:pt idx="0">
                  <c:v>51.974577308886964</c:v>
                </c:pt>
                <c:pt idx="1">
                  <c:v>168.552686783127</c:v>
                </c:pt>
                <c:pt idx="2">
                  <c:v>43.824703591019805</c:v>
                </c:pt>
                <c:pt idx="3">
                  <c:v>68.581522682411148</c:v>
                </c:pt>
                <c:pt idx="4">
                  <c:v>99.562495931281006</c:v>
                </c:pt>
                <c:pt idx="5">
                  <c:v>249</c:v>
                </c:pt>
                <c:pt idx="6">
                  <c:v>65.088337627696447</c:v>
                </c:pt>
                <c:pt idx="7">
                  <c:v>62.209019776925601</c:v>
                </c:pt>
              </c:numCache>
            </c:numRef>
          </c:val>
        </c:ser>
        <c:dLbls>
          <c:showLegendKey val="0"/>
          <c:showVal val="0"/>
          <c:showCatName val="0"/>
          <c:showSerName val="0"/>
          <c:showPercent val="0"/>
          <c:showBubbleSize val="0"/>
        </c:dLbls>
        <c:gapWidth val="150"/>
        <c:overlap val="100"/>
        <c:axId val="69121536"/>
        <c:axId val="76419840"/>
      </c:barChart>
      <c:catAx>
        <c:axId val="69121536"/>
        <c:scaling>
          <c:orientation val="minMax"/>
        </c:scaling>
        <c:delete val="0"/>
        <c:axPos val="l"/>
        <c:majorTickMark val="out"/>
        <c:minorTickMark val="none"/>
        <c:tickLblPos val="nextTo"/>
        <c:crossAx val="76419840"/>
        <c:crosses val="autoZero"/>
        <c:auto val="1"/>
        <c:lblAlgn val="ctr"/>
        <c:lblOffset val="100"/>
        <c:noMultiLvlLbl val="0"/>
      </c:catAx>
      <c:valAx>
        <c:axId val="76419840"/>
        <c:scaling>
          <c:orientation val="minMax"/>
        </c:scaling>
        <c:delete val="0"/>
        <c:axPos val="b"/>
        <c:majorGridlines/>
        <c:numFmt formatCode="0" sourceLinked="1"/>
        <c:majorTickMark val="out"/>
        <c:minorTickMark val="none"/>
        <c:tickLblPos val="nextTo"/>
        <c:crossAx val="6912153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AU" sz="1200"/>
              <a:t>Figure 5: GHG embodied in manufacturing products (Mt) 2007-2008</a:t>
            </a:r>
          </a:p>
        </c:rich>
      </c:tx>
      <c:layout/>
      <c:overlay val="0"/>
    </c:title>
    <c:autoTitleDeleted val="0"/>
    <c:plotArea>
      <c:layout/>
      <c:barChart>
        <c:barDir val="bar"/>
        <c:grouping val="clustered"/>
        <c:varyColors val="0"/>
        <c:ser>
          <c:idx val="0"/>
          <c:order val="0"/>
          <c:tx>
            <c:strRef>
              <c:f>'condensed final demand cumulati'!$W$144</c:f>
              <c:strCache>
                <c:ptCount val="1"/>
                <c:pt idx="0">
                  <c:v>Products used domestically (Mt)</c:v>
                </c:pt>
              </c:strCache>
            </c:strRef>
          </c:tx>
          <c:invertIfNegative val="0"/>
          <c:cat>
            <c:strRef>
              <c:f>'condensed final demand cumulati'!$V$145:$V$150</c:f>
              <c:strCache>
                <c:ptCount val="6"/>
                <c:pt idx="0">
                  <c:v>Machinery and equipment</c:v>
                </c:pt>
                <c:pt idx="1">
                  <c:v>Metal products</c:v>
                </c:pt>
                <c:pt idx="2">
                  <c:v>Non-metalic mineral products</c:v>
                </c:pt>
                <c:pt idx="3">
                  <c:v>Petroleum, coal and chemical products</c:v>
                </c:pt>
                <c:pt idx="4">
                  <c:v>Textile, Wood, paper and printing</c:v>
                </c:pt>
                <c:pt idx="5">
                  <c:v>Food, beverages and tobacco</c:v>
                </c:pt>
              </c:strCache>
            </c:strRef>
          </c:cat>
          <c:val>
            <c:numRef>
              <c:f>'condensed final demand cumulati'!$W$145:$W$150</c:f>
              <c:numCache>
                <c:formatCode>0</c:formatCode>
                <c:ptCount val="6"/>
                <c:pt idx="0">
                  <c:v>53.766351270934585</c:v>
                </c:pt>
                <c:pt idx="1">
                  <c:v>6.1771423287555578</c:v>
                </c:pt>
                <c:pt idx="2">
                  <c:v>4.3505939130952926</c:v>
                </c:pt>
                <c:pt idx="3">
                  <c:v>23</c:v>
                </c:pt>
                <c:pt idx="4">
                  <c:v>7.5661418106482046</c:v>
                </c:pt>
                <c:pt idx="5">
                  <c:v>59.135711354487221</c:v>
                </c:pt>
              </c:numCache>
            </c:numRef>
          </c:val>
        </c:ser>
        <c:ser>
          <c:idx val="1"/>
          <c:order val="1"/>
          <c:tx>
            <c:strRef>
              <c:f>'condensed final demand cumulati'!$X$144</c:f>
              <c:strCache>
                <c:ptCount val="1"/>
                <c:pt idx="0">
                  <c:v>Products   exported (Mt)</c:v>
                </c:pt>
              </c:strCache>
            </c:strRef>
          </c:tx>
          <c:spPr>
            <a:pattFill prst="pct90">
              <a:fgClr>
                <a:schemeClr val="accent2">
                  <a:lumMod val="75000"/>
                </a:schemeClr>
              </a:fgClr>
              <a:bgClr>
                <a:schemeClr val="bg1"/>
              </a:bgClr>
            </a:pattFill>
            <a:ln>
              <a:prstDash val="sysDash"/>
            </a:ln>
            <a:effectLst>
              <a:outerShdw dist="1841500" dir="20040000" sx="1000" sy="1000" algn="ctr" rotWithShape="0">
                <a:srgbClr val="000000">
                  <a:alpha val="0"/>
                </a:srgbClr>
              </a:outerShdw>
            </a:effectLst>
          </c:spPr>
          <c:invertIfNegative val="0"/>
          <c:cat>
            <c:strRef>
              <c:f>'condensed final demand cumulati'!$V$145:$V$150</c:f>
              <c:strCache>
                <c:ptCount val="6"/>
                <c:pt idx="0">
                  <c:v>Machinery and equipment</c:v>
                </c:pt>
                <c:pt idx="1">
                  <c:v>Metal products</c:v>
                </c:pt>
                <c:pt idx="2">
                  <c:v>Non-metalic mineral products</c:v>
                </c:pt>
                <c:pt idx="3">
                  <c:v>Petroleum, coal and chemical products</c:v>
                </c:pt>
                <c:pt idx="4">
                  <c:v>Textile, Wood, paper and printing</c:v>
                </c:pt>
                <c:pt idx="5">
                  <c:v>Food, beverages and tobacco</c:v>
                </c:pt>
              </c:strCache>
            </c:strRef>
          </c:cat>
          <c:val>
            <c:numRef>
              <c:f>'condensed final demand cumulati'!$X$145:$X$150</c:f>
              <c:numCache>
                <c:formatCode>0</c:formatCode>
                <c:ptCount val="6"/>
                <c:pt idx="0">
                  <c:v>6.6235561958024629</c:v>
                </c:pt>
                <c:pt idx="1">
                  <c:v>45.191341133125476</c:v>
                </c:pt>
                <c:pt idx="2">
                  <c:v>1.388197987037922</c:v>
                </c:pt>
                <c:pt idx="3">
                  <c:v>7.6971614569125393</c:v>
                </c:pt>
                <c:pt idx="4">
                  <c:v>3.7233945626127554</c:v>
                </c:pt>
                <c:pt idx="5">
                  <c:v>31.023276441359521</c:v>
                </c:pt>
              </c:numCache>
            </c:numRef>
          </c:val>
        </c:ser>
        <c:dLbls>
          <c:showLegendKey val="0"/>
          <c:showVal val="0"/>
          <c:showCatName val="0"/>
          <c:showSerName val="0"/>
          <c:showPercent val="0"/>
          <c:showBubbleSize val="0"/>
        </c:dLbls>
        <c:gapWidth val="150"/>
        <c:axId val="76466816"/>
        <c:axId val="76468608"/>
      </c:barChart>
      <c:catAx>
        <c:axId val="76466816"/>
        <c:scaling>
          <c:orientation val="minMax"/>
        </c:scaling>
        <c:delete val="0"/>
        <c:axPos val="l"/>
        <c:majorTickMark val="out"/>
        <c:minorTickMark val="none"/>
        <c:tickLblPos val="nextTo"/>
        <c:crossAx val="76468608"/>
        <c:crosses val="autoZero"/>
        <c:auto val="1"/>
        <c:lblAlgn val="ctr"/>
        <c:lblOffset val="100"/>
        <c:noMultiLvlLbl val="0"/>
      </c:catAx>
      <c:valAx>
        <c:axId val="76468608"/>
        <c:scaling>
          <c:orientation val="minMax"/>
        </c:scaling>
        <c:delete val="0"/>
        <c:axPos val="b"/>
        <c:majorGridlines/>
        <c:numFmt formatCode="0" sourceLinked="1"/>
        <c:majorTickMark val="out"/>
        <c:minorTickMark val="none"/>
        <c:tickLblPos val="nextTo"/>
        <c:crossAx val="76466816"/>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6:</a:t>
            </a:r>
            <a:r>
              <a:rPr lang="en-US" sz="1200" baseline="0"/>
              <a:t> </a:t>
            </a:r>
            <a:r>
              <a:rPr lang="en-US" sz="1200"/>
              <a:t>GHG emissions induced by Household final consumption products (Mt)</a:t>
            </a:r>
          </a:p>
        </c:rich>
      </c:tx>
      <c:layout/>
      <c:overlay val="0"/>
    </c:title>
    <c:autoTitleDeleted val="0"/>
    <c:plotArea>
      <c:layout/>
      <c:barChart>
        <c:barDir val="bar"/>
        <c:grouping val="clustered"/>
        <c:varyColors val="0"/>
        <c:ser>
          <c:idx val="0"/>
          <c:order val="0"/>
          <c:tx>
            <c:strRef>
              <c:f>'condensed final demand cumulati'!$V$211</c:f>
              <c:strCache>
                <c:ptCount val="1"/>
                <c:pt idx="0">
                  <c:v>GHG emissions induced by Household final consumption products (Mt)</c:v>
                </c:pt>
              </c:strCache>
            </c:strRef>
          </c:tx>
          <c:invertIfNegative val="0"/>
          <c:cat>
            <c:strRef>
              <c:f>'condensed final demand cumulati'!$U$212:$U$224</c:f>
              <c:strCache>
                <c:ptCount val="9"/>
                <c:pt idx="0">
                  <c:v>Other</c:v>
                </c:pt>
                <c:pt idx="1">
                  <c:v>Textile, Wood, paper and printing-manufacturing</c:v>
                </c:pt>
                <c:pt idx="2">
                  <c:v>Petroleum, coal and chemical products-manufacturing</c:v>
                </c:pt>
                <c:pt idx="3">
                  <c:v>Agriculture, forestry and fishing</c:v>
                </c:pt>
                <c:pt idx="4">
                  <c:v>Machinery and equipment-manufacturing</c:v>
                </c:pt>
                <c:pt idx="5">
                  <c:v>Transport</c:v>
                </c:pt>
                <c:pt idx="6">
                  <c:v>Food, beverages and tobacco-manufacturing</c:v>
                </c:pt>
                <c:pt idx="7">
                  <c:v>Electricity, gas, water and waste services</c:v>
                </c:pt>
                <c:pt idx="8">
                  <c:v>Commercial and other services</c:v>
                </c:pt>
              </c:strCache>
            </c:strRef>
          </c:cat>
          <c:val>
            <c:numRef>
              <c:f>'condensed final demand cumulati'!$V$212:$V$224</c:f>
              <c:numCache>
                <c:formatCode>0</c:formatCode>
                <c:ptCount val="9"/>
                <c:pt idx="0">
                  <c:v>4.2562064454767379</c:v>
                </c:pt>
                <c:pt idx="1">
                  <c:v>6.5349276862591941</c:v>
                </c:pt>
                <c:pt idx="2">
                  <c:v>13.641455578392</c:v>
                </c:pt>
                <c:pt idx="3">
                  <c:v>15.100144318500735</c:v>
                </c:pt>
                <c:pt idx="4">
                  <c:v>19.530774449768646</c:v>
                </c:pt>
                <c:pt idx="5">
                  <c:v>22</c:v>
                </c:pt>
                <c:pt idx="6">
                  <c:v>57.161288958767258</c:v>
                </c:pt>
                <c:pt idx="7">
                  <c:v>80.491025195031256</c:v>
                </c:pt>
                <c:pt idx="8">
                  <c:v>105.77053527852061</c:v>
                </c:pt>
              </c:numCache>
            </c:numRef>
          </c:val>
        </c:ser>
        <c:dLbls>
          <c:showLegendKey val="0"/>
          <c:showVal val="0"/>
          <c:showCatName val="0"/>
          <c:showSerName val="0"/>
          <c:showPercent val="0"/>
          <c:showBubbleSize val="0"/>
        </c:dLbls>
        <c:gapWidth val="150"/>
        <c:axId val="78251904"/>
        <c:axId val="91705728"/>
      </c:barChart>
      <c:catAx>
        <c:axId val="78251904"/>
        <c:scaling>
          <c:orientation val="minMax"/>
        </c:scaling>
        <c:delete val="0"/>
        <c:axPos val="l"/>
        <c:majorTickMark val="out"/>
        <c:minorTickMark val="none"/>
        <c:tickLblPos val="nextTo"/>
        <c:crossAx val="91705728"/>
        <c:crosses val="autoZero"/>
        <c:auto val="1"/>
        <c:lblAlgn val="ctr"/>
        <c:lblOffset val="100"/>
        <c:noMultiLvlLbl val="0"/>
      </c:catAx>
      <c:valAx>
        <c:axId val="91705728"/>
        <c:scaling>
          <c:orientation val="minMax"/>
        </c:scaling>
        <c:delete val="0"/>
        <c:axPos val="b"/>
        <c:majorGridlines/>
        <c:numFmt formatCode="0" sourceLinked="1"/>
        <c:majorTickMark val="out"/>
        <c:minorTickMark val="none"/>
        <c:tickLblPos val="nextTo"/>
        <c:crossAx val="782519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a:t>
            </a:r>
            <a:r>
              <a:rPr lang="en-US" sz="1200" baseline="0"/>
              <a:t> 7: </a:t>
            </a:r>
            <a:r>
              <a:rPr lang="en-US" sz="1200"/>
              <a:t>GHG emissions induced by Export products (Mt) </a:t>
            </a:r>
          </a:p>
        </c:rich>
      </c:tx>
      <c:layout/>
      <c:overlay val="0"/>
    </c:title>
    <c:autoTitleDeleted val="0"/>
    <c:plotArea>
      <c:layout/>
      <c:barChart>
        <c:barDir val="bar"/>
        <c:grouping val="clustered"/>
        <c:varyColors val="0"/>
        <c:ser>
          <c:idx val="0"/>
          <c:order val="0"/>
          <c:tx>
            <c:strRef>
              <c:f>'condensed final demand cumulati'!$V$227</c:f>
              <c:strCache>
                <c:ptCount val="1"/>
                <c:pt idx="0">
                  <c:v>GHG emissions induced by exports Products (Mt) </c:v>
                </c:pt>
              </c:strCache>
            </c:strRef>
          </c:tx>
          <c:invertIfNegative val="0"/>
          <c:cat>
            <c:strRef>
              <c:f>'condensed final demand cumulati'!$U$228:$U$240</c:f>
              <c:strCache>
                <c:ptCount val="9"/>
                <c:pt idx="0">
                  <c:v>Other</c:v>
                </c:pt>
                <c:pt idx="1">
                  <c:v>Machinery and equipment-manufacturing</c:v>
                </c:pt>
                <c:pt idx="2">
                  <c:v>Petroleum, coal and chemical products-manufacturing</c:v>
                </c:pt>
                <c:pt idx="3">
                  <c:v>Commercial and other services</c:v>
                </c:pt>
                <c:pt idx="4">
                  <c:v>Transport</c:v>
                </c:pt>
                <c:pt idx="5">
                  <c:v>Food, beverages and tobacco-manufacturing</c:v>
                </c:pt>
                <c:pt idx="6">
                  <c:v>Agriculture, forestry and fishing</c:v>
                </c:pt>
                <c:pt idx="7">
                  <c:v>Metal products-manufacturing</c:v>
                </c:pt>
                <c:pt idx="8">
                  <c:v>Mining</c:v>
                </c:pt>
              </c:strCache>
            </c:strRef>
          </c:cat>
          <c:val>
            <c:numRef>
              <c:f>'condensed final demand cumulati'!$V$228:$V$240</c:f>
              <c:numCache>
                <c:formatCode>0</c:formatCode>
                <c:ptCount val="9"/>
                <c:pt idx="0">
                  <c:v>5.8268378952009865</c:v>
                </c:pt>
                <c:pt idx="1">
                  <c:v>6.6235561958024629</c:v>
                </c:pt>
                <c:pt idx="2">
                  <c:v>7.6971614569125393</c:v>
                </c:pt>
                <c:pt idx="3">
                  <c:v>13.014795665391375</c:v>
                </c:pt>
                <c:pt idx="4">
                  <c:v>18</c:v>
                </c:pt>
                <c:pt idx="5">
                  <c:v>31.023276441359521</c:v>
                </c:pt>
                <c:pt idx="6">
                  <c:v>31.268081167351866</c:v>
                </c:pt>
                <c:pt idx="7">
                  <c:v>45.191341133125476</c:v>
                </c:pt>
                <c:pt idx="8">
                  <c:v>58.362450312987249</c:v>
                </c:pt>
              </c:numCache>
            </c:numRef>
          </c:val>
        </c:ser>
        <c:dLbls>
          <c:showLegendKey val="0"/>
          <c:showVal val="0"/>
          <c:showCatName val="0"/>
          <c:showSerName val="0"/>
          <c:showPercent val="0"/>
          <c:showBubbleSize val="0"/>
        </c:dLbls>
        <c:gapWidth val="150"/>
        <c:axId val="92241920"/>
        <c:axId val="92244224"/>
      </c:barChart>
      <c:catAx>
        <c:axId val="92241920"/>
        <c:scaling>
          <c:orientation val="minMax"/>
        </c:scaling>
        <c:delete val="0"/>
        <c:axPos val="l"/>
        <c:majorTickMark val="out"/>
        <c:minorTickMark val="none"/>
        <c:tickLblPos val="nextTo"/>
        <c:txPr>
          <a:bodyPr/>
          <a:lstStyle/>
          <a:p>
            <a:pPr>
              <a:defRPr sz="1000"/>
            </a:pPr>
            <a:endParaRPr lang="en-US"/>
          </a:p>
        </c:txPr>
        <c:crossAx val="92244224"/>
        <c:crosses val="autoZero"/>
        <c:auto val="1"/>
        <c:lblAlgn val="ctr"/>
        <c:lblOffset val="100"/>
        <c:noMultiLvlLbl val="0"/>
      </c:catAx>
      <c:valAx>
        <c:axId val="92244224"/>
        <c:scaling>
          <c:orientation val="minMax"/>
        </c:scaling>
        <c:delete val="0"/>
        <c:axPos val="b"/>
        <c:majorGridlines/>
        <c:numFmt formatCode="0" sourceLinked="1"/>
        <c:majorTickMark val="out"/>
        <c:minorTickMark val="none"/>
        <c:tickLblPos val="nextTo"/>
        <c:txPr>
          <a:bodyPr/>
          <a:lstStyle/>
          <a:p>
            <a:pPr>
              <a:defRPr sz="1000"/>
            </a:pPr>
            <a:endParaRPr lang="en-US"/>
          </a:p>
        </c:txPr>
        <c:crossAx val="92241920"/>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Figure 8: GHG emissions induced by Gross</a:t>
            </a:r>
            <a:r>
              <a:rPr lang="en-US" sz="1200" baseline="0"/>
              <a:t> capital formation</a:t>
            </a:r>
            <a:r>
              <a:rPr lang="en-US" sz="1200"/>
              <a:t> (Mt) </a:t>
            </a:r>
          </a:p>
        </c:rich>
      </c:tx>
      <c:layout/>
      <c:overlay val="0"/>
    </c:title>
    <c:autoTitleDeleted val="0"/>
    <c:plotArea>
      <c:layout/>
      <c:barChart>
        <c:barDir val="bar"/>
        <c:grouping val="clustered"/>
        <c:varyColors val="0"/>
        <c:ser>
          <c:idx val="0"/>
          <c:order val="0"/>
          <c:tx>
            <c:strRef>
              <c:f>'condensed final demand cumulati'!$V$254</c:f>
              <c:strCache>
                <c:ptCount val="1"/>
                <c:pt idx="0">
                  <c:v>GHG emissions induced by Investment and change of inventory (Mt) </c:v>
                </c:pt>
              </c:strCache>
            </c:strRef>
          </c:tx>
          <c:invertIfNegative val="0"/>
          <c:cat>
            <c:strRef>
              <c:f>'condensed final demand cumulati'!$U$255:$U$267</c:f>
              <c:strCache>
                <c:ptCount val="6"/>
                <c:pt idx="0">
                  <c:v>Other</c:v>
                </c:pt>
                <c:pt idx="1">
                  <c:v>Commercial and other services</c:v>
                </c:pt>
                <c:pt idx="2">
                  <c:v>Agriculture, forestry and fishing</c:v>
                </c:pt>
                <c:pt idx="3">
                  <c:v>Electricity, gas, water and waste services</c:v>
                </c:pt>
                <c:pt idx="4">
                  <c:v>Machinery and equipment-manufacturing</c:v>
                </c:pt>
                <c:pt idx="5">
                  <c:v>Construction</c:v>
                </c:pt>
              </c:strCache>
            </c:strRef>
          </c:cat>
          <c:val>
            <c:numRef>
              <c:f>'condensed final demand cumulati'!$V$255:$V$267</c:f>
              <c:numCache>
                <c:formatCode>0</c:formatCode>
                <c:ptCount val="6"/>
                <c:pt idx="0">
                  <c:v>19.722521383615035</c:v>
                </c:pt>
                <c:pt idx="1">
                  <c:v>14.777456934413269</c:v>
                </c:pt>
                <c:pt idx="2">
                  <c:v>15.545169684038637</c:v>
                </c:pt>
                <c:pt idx="3">
                  <c:v>18.18153306295747</c:v>
                </c:pt>
                <c:pt idx="4">
                  <c:v>34.230163570469117</c:v>
                </c:pt>
                <c:pt idx="5">
                  <c:v>66.375401520066063</c:v>
                </c:pt>
              </c:numCache>
            </c:numRef>
          </c:val>
        </c:ser>
        <c:dLbls>
          <c:showLegendKey val="0"/>
          <c:showVal val="0"/>
          <c:showCatName val="0"/>
          <c:showSerName val="0"/>
          <c:showPercent val="0"/>
          <c:showBubbleSize val="0"/>
        </c:dLbls>
        <c:gapWidth val="150"/>
        <c:axId val="92260608"/>
        <c:axId val="115081984"/>
      </c:barChart>
      <c:catAx>
        <c:axId val="92260608"/>
        <c:scaling>
          <c:orientation val="minMax"/>
        </c:scaling>
        <c:delete val="0"/>
        <c:axPos val="l"/>
        <c:majorTickMark val="out"/>
        <c:minorTickMark val="none"/>
        <c:tickLblPos val="nextTo"/>
        <c:crossAx val="115081984"/>
        <c:crosses val="autoZero"/>
        <c:auto val="1"/>
        <c:lblAlgn val="ctr"/>
        <c:lblOffset val="100"/>
        <c:noMultiLvlLbl val="0"/>
      </c:catAx>
      <c:valAx>
        <c:axId val="115081984"/>
        <c:scaling>
          <c:orientation val="minMax"/>
        </c:scaling>
        <c:delete val="0"/>
        <c:axPos val="b"/>
        <c:majorGridlines/>
        <c:numFmt formatCode="0" sourceLinked="1"/>
        <c:majorTickMark val="out"/>
        <c:minorTickMark val="none"/>
        <c:tickLblPos val="nextTo"/>
        <c:crossAx val="9226060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Figure 9: Cumulative GHG emissions intensity (Kilo Tonne per million dollars)</a:t>
            </a:r>
          </a:p>
        </c:rich>
      </c:tx>
      <c:layout/>
      <c:overlay val="0"/>
    </c:title>
    <c:autoTitleDeleted val="0"/>
    <c:plotArea>
      <c:layout/>
      <c:barChart>
        <c:barDir val="bar"/>
        <c:grouping val="clustered"/>
        <c:varyColors val="0"/>
        <c:ser>
          <c:idx val="1"/>
          <c:order val="0"/>
          <c:tx>
            <c:strRef>
              <c:f>'condensed final demand cumulati'!$AF$437</c:f>
              <c:strCache>
                <c:ptCount val="1"/>
                <c:pt idx="0">
                  <c:v>Cumulative emissions intensity</c:v>
                </c:pt>
              </c:strCache>
            </c:strRef>
          </c:tx>
          <c:spPr>
            <a:solidFill>
              <a:schemeClr val="accent1"/>
            </a:solidFill>
          </c:spPr>
          <c:invertIfNegative val="0"/>
          <c:cat>
            <c:strRef>
              <c:f>'condensed final demand cumulati'!$Z$438:$Z$450</c:f>
              <c:strCache>
                <c:ptCount val="13"/>
                <c:pt idx="0">
                  <c:v>Commercial and other services</c:v>
                </c:pt>
                <c:pt idx="1">
                  <c:v>Construction</c:v>
                </c:pt>
                <c:pt idx="2">
                  <c:v>Road transport</c:v>
                </c:pt>
                <c:pt idx="3">
                  <c:v>Machinery and equipment-manufacturing</c:v>
                </c:pt>
                <c:pt idx="4">
                  <c:v>Textile, Wood, paper and printing-manufacturing</c:v>
                </c:pt>
                <c:pt idx="5">
                  <c:v>Mining</c:v>
                </c:pt>
                <c:pt idx="6">
                  <c:v>Non-road transport</c:v>
                </c:pt>
                <c:pt idx="7">
                  <c:v>Petroleum, coal and chemical products-manufacturing</c:v>
                </c:pt>
                <c:pt idx="8">
                  <c:v>Non-metalic mineral products-manufacturing</c:v>
                </c:pt>
                <c:pt idx="9">
                  <c:v>Metal products-manufacturing</c:v>
                </c:pt>
                <c:pt idx="10">
                  <c:v>Food, beverages and tobacco-manufacturing</c:v>
                </c:pt>
                <c:pt idx="11">
                  <c:v>Agriculture, forestry and fishing</c:v>
                </c:pt>
                <c:pt idx="12">
                  <c:v>Electricity, gas, water and waste services</c:v>
                </c:pt>
              </c:strCache>
            </c:strRef>
          </c:cat>
          <c:val>
            <c:numRef>
              <c:f>'condensed final demand cumulati'!$AF$438:$AF$450</c:f>
              <c:numCache>
                <c:formatCode>General</c:formatCode>
                <c:ptCount val="13"/>
                <c:pt idx="0">
                  <c:v>0.23050708959446831</c:v>
                </c:pt>
                <c:pt idx="1">
                  <c:v>0.39656580299405775</c:v>
                </c:pt>
                <c:pt idx="2">
                  <c:v>0.49315401528254005</c:v>
                </c:pt>
                <c:pt idx="3">
                  <c:v>0.51542660596424184</c:v>
                </c:pt>
                <c:pt idx="4">
                  <c:v>0.6678864094531638</c:v>
                </c:pt>
                <c:pt idx="5">
                  <c:v>0.79287563746544054</c:v>
                </c:pt>
                <c:pt idx="6">
                  <c:v>0.79650692492474751</c:v>
                </c:pt>
                <c:pt idx="7">
                  <c:v>0.88162236205283462</c:v>
                </c:pt>
                <c:pt idx="8">
                  <c:v>1.3579398081055531</c:v>
                </c:pt>
                <c:pt idx="9">
                  <c:v>1.1093497457158192</c:v>
                </c:pt>
                <c:pt idx="10">
                  <c:v>1.6213366667469922</c:v>
                </c:pt>
                <c:pt idx="11">
                  <c:v>3.2480749110566687</c:v>
                </c:pt>
                <c:pt idx="12">
                  <c:v>4.3673768432044433</c:v>
                </c:pt>
              </c:numCache>
            </c:numRef>
          </c:val>
        </c:ser>
        <c:dLbls>
          <c:showLegendKey val="0"/>
          <c:showVal val="0"/>
          <c:showCatName val="0"/>
          <c:showSerName val="0"/>
          <c:showPercent val="0"/>
          <c:showBubbleSize val="0"/>
        </c:dLbls>
        <c:gapWidth val="150"/>
        <c:axId val="124270080"/>
        <c:axId val="124271616"/>
      </c:barChart>
      <c:catAx>
        <c:axId val="124270080"/>
        <c:scaling>
          <c:orientation val="minMax"/>
        </c:scaling>
        <c:delete val="0"/>
        <c:axPos val="l"/>
        <c:majorTickMark val="out"/>
        <c:minorTickMark val="none"/>
        <c:tickLblPos val="nextTo"/>
        <c:crossAx val="124271616"/>
        <c:crosses val="autoZero"/>
        <c:auto val="1"/>
        <c:lblAlgn val="ctr"/>
        <c:lblOffset val="100"/>
        <c:noMultiLvlLbl val="0"/>
      </c:catAx>
      <c:valAx>
        <c:axId val="124271616"/>
        <c:scaling>
          <c:orientation val="minMax"/>
        </c:scaling>
        <c:delete val="0"/>
        <c:axPos val="b"/>
        <c:majorGridlines/>
        <c:numFmt formatCode="General" sourceLinked="1"/>
        <c:majorTickMark val="out"/>
        <c:minorTickMark val="none"/>
        <c:tickLblPos val="nextTo"/>
        <c:crossAx val="124270080"/>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0.06199</cdr:x>
      <cdr:y>0.90038</cdr:y>
    </cdr:from>
    <cdr:to>
      <cdr:x>0.22256</cdr:x>
      <cdr:y>1</cdr:y>
    </cdr:to>
    <cdr:sp macro="" textlink="">
      <cdr:nvSpPr>
        <cdr:cNvPr id="2" name="TextBox 1"/>
        <cdr:cNvSpPr txBox="1"/>
      </cdr:nvSpPr>
      <cdr:spPr>
        <a:xfrm xmlns:a="http://schemas.openxmlformats.org/drawingml/2006/main">
          <a:off x="581024" y="4705350"/>
          <a:ext cx="150495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11EDF-C558-41A8-A3B4-B2FFE1872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36</Pages>
  <Words>6805</Words>
  <Characters>38795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ABS</Company>
  <LinksUpToDate>false</LinksUpToDate>
  <CharactersWithSpaces>45509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Manson Hao</dc:creator>
  <cp:lastModifiedBy>Manson Hao</cp:lastModifiedBy>
  <cp:revision>92</cp:revision>
  <cp:lastPrinted>2012-05-20T03:36:00Z</cp:lastPrinted>
  <dcterms:created xsi:type="dcterms:W3CDTF">2012-05-15T23:51:00Z</dcterms:created>
  <dcterms:modified xsi:type="dcterms:W3CDTF">2012-05-20T04:55:00Z</dcterms:modified>
</cp:coreProperties>
</file>