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BE" w:rsidRPr="00430437" w:rsidRDefault="00847440" w:rsidP="00430437">
      <w:pPr>
        <w:pStyle w:val="Heading1"/>
        <w:rPr>
          <w:rStyle w:val="BookTitle"/>
          <w:b/>
          <w:bCs/>
          <w:smallCaps w:val="0"/>
          <w:color w:val="auto"/>
          <w:spacing w:val="0"/>
        </w:rPr>
      </w:pPr>
      <w:r w:rsidRPr="00430437">
        <w:rPr>
          <w:rStyle w:val="BookTitle"/>
          <w:b/>
          <w:bCs/>
          <w:smallCaps w:val="0"/>
          <w:color w:val="auto"/>
          <w:spacing w:val="0"/>
        </w:rPr>
        <w:t>I</w:t>
      </w:r>
      <w:r w:rsidR="000A0ABE" w:rsidRPr="00430437">
        <w:rPr>
          <w:rStyle w:val="BookTitle"/>
          <w:b/>
          <w:bCs/>
          <w:smallCaps w:val="0"/>
          <w:color w:val="auto"/>
          <w:spacing w:val="0"/>
        </w:rPr>
        <w:t>nput-</w:t>
      </w:r>
      <w:r w:rsidR="00E06FE7">
        <w:rPr>
          <w:rStyle w:val="BookTitle"/>
          <w:b/>
          <w:bCs/>
          <w:smallCaps w:val="0"/>
          <w:color w:val="auto"/>
          <w:spacing w:val="0"/>
        </w:rPr>
        <w:t>O</w:t>
      </w:r>
      <w:r w:rsidR="007550AC" w:rsidRPr="00430437">
        <w:rPr>
          <w:rStyle w:val="BookTitle"/>
          <w:b/>
          <w:bCs/>
          <w:smallCaps w:val="0"/>
          <w:color w:val="auto"/>
          <w:spacing w:val="0"/>
        </w:rPr>
        <w:t xml:space="preserve">utput </w:t>
      </w:r>
      <w:r w:rsidR="000A0ABE" w:rsidRPr="00430437">
        <w:rPr>
          <w:rStyle w:val="BookTitle"/>
          <w:b/>
          <w:bCs/>
          <w:smallCaps w:val="0"/>
          <w:color w:val="auto"/>
          <w:spacing w:val="0"/>
        </w:rPr>
        <w:t xml:space="preserve">tables </w:t>
      </w:r>
      <w:r w:rsidR="007550AC">
        <w:rPr>
          <w:rStyle w:val="BookTitle"/>
          <w:b/>
          <w:bCs/>
          <w:smallCaps w:val="0"/>
          <w:color w:val="auto"/>
          <w:spacing w:val="0"/>
        </w:rPr>
        <w:t>and household effects of pricing carbon in Australia</w:t>
      </w:r>
    </w:p>
    <w:p w:rsidR="00430437" w:rsidRPr="00430437" w:rsidRDefault="00430437" w:rsidP="00430437">
      <w:pPr>
        <w:autoSpaceDE w:val="0"/>
        <w:autoSpaceDN w:val="0"/>
        <w:adjustRightInd w:val="0"/>
        <w:spacing w:before="240" w:after="30" w:line="360" w:lineRule="auto"/>
        <w:rPr>
          <w:rFonts w:cstheme="minorHAnsi"/>
          <w:sz w:val="24"/>
          <w:szCs w:val="24"/>
        </w:rPr>
      </w:pPr>
      <w:r w:rsidRPr="00430437">
        <w:rPr>
          <w:rFonts w:cstheme="minorHAnsi"/>
          <w:sz w:val="24"/>
          <w:szCs w:val="24"/>
        </w:rPr>
        <w:t xml:space="preserve">Belinda Cheong, Gregory </w:t>
      </w:r>
      <w:proofErr w:type="spellStart"/>
      <w:r w:rsidRPr="00430437">
        <w:rPr>
          <w:rFonts w:cstheme="minorHAnsi"/>
          <w:sz w:val="24"/>
          <w:szCs w:val="24"/>
        </w:rPr>
        <w:t>Legoff</w:t>
      </w:r>
      <w:proofErr w:type="spellEnd"/>
      <w:r w:rsidRPr="00430437">
        <w:rPr>
          <w:rFonts w:cstheme="minorHAnsi"/>
          <w:sz w:val="24"/>
          <w:szCs w:val="24"/>
        </w:rPr>
        <w:t xml:space="preserve">, Leanne Neo, </w:t>
      </w:r>
      <w:proofErr w:type="spellStart"/>
      <w:r w:rsidRPr="00430437">
        <w:rPr>
          <w:rFonts w:cstheme="minorHAnsi"/>
          <w:sz w:val="24"/>
          <w:szCs w:val="24"/>
        </w:rPr>
        <w:t>Nik</w:t>
      </w:r>
      <w:proofErr w:type="spellEnd"/>
      <w:r w:rsidRPr="00430437">
        <w:rPr>
          <w:rFonts w:cstheme="minorHAnsi"/>
          <w:sz w:val="24"/>
          <w:szCs w:val="24"/>
        </w:rPr>
        <w:t xml:space="preserve"> Nimpradit and Luke Willard</w:t>
      </w:r>
      <w:r w:rsidR="00825DA6">
        <w:rPr>
          <w:rFonts w:cstheme="minorHAnsi"/>
          <w:sz w:val="24"/>
          <w:szCs w:val="24"/>
        </w:rPr>
        <w:t>*</w:t>
      </w:r>
    </w:p>
    <w:p w:rsidR="00430437" w:rsidRDefault="00290194" w:rsidP="00B168D7">
      <w:pPr>
        <w:autoSpaceDE w:val="0"/>
        <w:autoSpaceDN w:val="0"/>
        <w:adjustRightInd w:val="0"/>
        <w:spacing w:after="30" w:line="360" w:lineRule="auto"/>
        <w:rPr>
          <w:rFonts w:cstheme="minorHAnsi"/>
          <w:b/>
          <w:sz w:val="24"/>
          <w:szCs w:val="24"/>
        </w:rPr>
      </w:pPr>
      <w:r>
        <w:rPr>
          <w:rFonts w:cstheme="minorHAnsi"/>
          <w:b/>
          <w:sz w:val="24"/>
          <w:szCs w:val="24"/>
        </w:rPr>
        <w:t>20</w:t>
      </w:r>
      <w:r w:rsidRPr="00290194">
        <w:rPr>
          <w:rFonts w:cstheme="minorHAnsi"/>
          <w:b/>
          <w:sz w:val="24"/>
          <w:szCs w:val="24"/>
          <w:vertAlign w:val="superscript"/>
        </w:rPr>
        <w:t>th</w:t>
      </w:r>
      <w:r>
        <w:rPr>
          <w:rFonts w:cstheme="minorHAnsi"/>
          <w:b/>
          <w:sz w:val="24"/>
          <w:szCs w:val="24"/>
        </w:rPr>
        <w:t xml:space="preserve"> International Input-Output Conference</w:t>
      </w:r>
    </w:p>
    <w:p w:rsidR="00290194" w:rsidRDefault="00290194" w:rsidP="00B168D7">
      <w:pPr>
        <w:autoSpaceDE w:val="0"/>
        <w:autoSpaceDN w:val="0"/>
        <w:adjustRightInd w:val="0"/>
        <w:spacing w:after="30" w:line="360" w:lineRule="auto"/>
        <w:rPr>
          <w:rFonts w:cstheme="minorHAnsi"/>
          <w:b/>
          <w:sz w:val="24"/>
          <w:szCs w:val="24"/>
        </w:rPr>
      </w:pPr>
      <w:r>
        <w:rPr>
          <w:rFonts w:cstheme="minorHAnsi"/>
          <w:b/>
          <w:sz w:val="24"/>
          <w:szCs w:val="24"/>
        </w:rPr>
        <w:t>Bratislava, June 2012</w:t>
      </w:r>
    </w:p>
    <w:p w:rsidR="00290194" w:rsidRDefault="00290194" w:rsidP="00B168D7">
      <w:pPr>
        <w:autoSpaceDE w:val="0"/>
        <w:autoSpaceDN w:val="0"/>
        <w:adjustRightInd w:val="0"/>
        <w:spacing w:after="30" w:line="360" w:lineRule="auto"/>
        <w:rPr>
          <w:rFonts w:cstheme="minorHAnsi"/>
          <w:b/>
          <w:sz w:val="24"/>
          <w:szCs w:val="24"/>
        </w:rPr>
      </w:pPr>
    </w:p>
    <w:p w:rsidR="00290194" w:rsidRDefault="00290194" w:rsidP="00B168D7">
      <w:pPr>
        <w:autoSpaceDE w:val="0"/>
        <w:autoSpaceDN w:val="0"/>
        <w:adjustRightInd w:val="0"/>
        <w:spacing w:after="30" w:line="360" w:lineRule="auto"/>
        <w:rPr>
          <w:rFonts w:cstheme="minorHAnsi"/>
          <w:b/>
          <w:sz w:val="24"/>
          <w:szCs w:val="24"/>
        </w:rPr>
      </w:pPr>
    </w:p>
    <w:p w:rsidR="00290194" w:rsidRDefault="00290194" w:rsidP="00B168D7">
      <w:pPr>
        <w:autoSpaceDE w:val="0"/>
        <w:autoSpaceDN w:val="0"/>
        <w:adjustRightInd w:val="0"/>
        <w:spacing w:after="30" w:line="360" w:lineRule="auto"/>
        <w:rPr>
          <w:rFonts w:cstheme="minorHAnsi"/>
          <w:b/>
          <w:sz w:val="24"/>
          <w:szCs w:val="24"/>
        </w:rPr>
      </w:pPr>
    </w:p>
    <w:p w:rsidR="00290194" w:rsidRDefault="00290194" w:rsidP="00B168D7">
      <w:pPr>
        <w:autoSpaceDE w:val="0"/>
        <w:autoSpaceDN w:val="0"/>
        <w:adjustRightInd w:val="0"/>
        <w:spacing w:after="30" w:line="360" w:lineRule="auto"/>
        <w:rPr>
          <w:rFonts w:cstheme="minorHAnsi"/>
          <w:b/>
          <w:sz w:val="24"/>
          <w:szCs w:val="24"/>
        </w:rPr>
      </w:pPr>
    </w:p>
    <w:p w:rsidR="000953D9" w:rsidRPr="00482F01" w:rsidRDefault="000A0ABE" w:rsidP="00B168D7">
      <w:pPr>
        <w:autoSpaceDE w:val="0"/>
        <w:autoSpaceDN w:val="0"/>
        <w:adjustRightInd w:val="0"/>
        <w:spacing w:after="30" w:line="360" w:lineRule="auto"/>
        <w:rPr>
          <w:rFonts w:cstheme="minorHAnsi"/>
          <w:b/>
          <w:sz w:val="24"/>
          <w:szCs w:val="24"/>
        </w:rPr>
      </w:pPr>
      <w:r w:rsidRPr="00482F01">
        <w:rPr>
          <w:rFonts w:cstheme="minorHAnsi"/>
          <w:b/>
          <w:sz w:val="24"/>
          <w:szCs w:val="24"/>
        </w:rPr>
        <w:t>Abstract</w:t>
      </w:r>
    </w:p>
    <w:p w:rsidR="000A0ABE" w:rsidRDefault="00A030F4" w:rsidP="00B168D7">
      <w:pPr>
        <w:autoSpaceDE w:val="0"/>
        <w:autoSpaceDN w:val="0"/>
        <w:adjustRightInd w:val="0"/>
        <w:spacing w:after="30" w:line="360" w:lineRule="auto"/>
        <w:rPr>
          <w:rFonts w:cstheme="minorHAnsi"/>
          <w:bCs/>
          <w:sz w:val="24"/>
          <w:szCs w:val="24"/>
        </w:rPr>
      </w:pPr>
      <w:r>
        <w:rPr>
          <w:rFonts w:cstheme="minorHAnsi"/>
          <w:bCs/>
          <w:sz w:val="24"/>
          <w:szCs w:val="24"/>
        </w:rPr>
        <w:t xml:space="preserve">The </w:t>
      </w:r>
      <w:r w:rsidR="00B072E0" w:rsidRPr="00482F01">
        <w:rPr>
          <w:rFonts w:cstheme="minorHAnsi"/>
          <w:bCs/>
          <w:sz w:val="24"/>
          <w:szCs w:val="24"/>
        </w:rPr>
        <w:t>Australian Bureau of Statistics (ABS)</w:t>
      </w:r>
      <w:r w:rsidR="000A0ABE" w:rsidRPr="00482F01">
        <w:rPr>
          <w:rFonts w:cstheme="minorHAnsi"/>
          <w:bCs/>
          <w:sz w:val="24"/>
          <w:szCs w:val="24"/>
        </w:rPr>
        <w:t xml:space="preserve"> Input-Output tables </w:t>
      </w:r>
      <w:r w:rsidR="002811F2">
        <w:rPr>
          <w:rFonts w:cstheme="minorHAnsi"/>
          <w:bCs/>
          <w:sz w:val="24"/>
          <w:szCs w:val="24"/>
        </w:rPr>
        <w:t>have been</w:t>
      </w:r>
      <w:r w:rsidR="00C448DC" w:rsidRPr="00482F01">
        <w:rPr>
          <w:rFonts w:cstheme="minorHAnsi"/>
          <w:bCs/>
          <w:sz w:val="24"/>
          <w:szCs w:val="24"/>
        </w:rPr>
        <w:t xml:space="preserve"> </w:t>
      </w:r>
      <w:r w:rsidR="000A0ABE" w:rsidRPr="00482F01">
        <w:rPr>
          <w:rFonts w:cstheme="minorHAnsi"/>
          <w:bCs/>
          <w:sz w:val="24"/>
          <w:szCs w:val="24"/>
        </w:rPr>
        <w:t>used by the Australian Treasury to analyse the impact of policy changes.  This paper discusses recent analysis of the impact of introducing a price on carbon (and associated reforms to the tax</w:t>
      </w:r>
      <w:r w:rsidR="00B35F3F">
        <w:rPr>
          <w:rFonts w:cstheme="minorHAnsi"/>
          <w:bCs/>
          <w:sz w:val="24"/>
          <w:szCs w:val="24"/>
        </w:rPr>
        <w:t xml:space="preserve"> and </w:t>
      </w:r>
      <w:r w:rsidR="000A0ABE" w:rsidRPr="00482F01">
        <w:rPr>
          <w:rFonts w:cstheme="minorHAnsi"/>
          <w:bCs/>
          <w:sz w:val="24"/>
          <w:szCs w:val="24"/>
        </w:rPr>
        <w:t xml:space="preserve">transfer system) on prices and the distributional effects on households using the Australian Treasury’s Price Revenue Incidence Simulation Model. </w:t>
      </w:r>
      <w:r w:rsidR="00663125">
        <w:rPr>
          <w:rFonts w:cstheme="minorHAnsi"/>
          <w:bCs/>
          <w:sz w:val="24"/>
          <w:szCs w:val="24"/>
        </w:rPr>
        <w:t xml:space="preserve"> </w:t>
      </w:r>
      <w:r w:rsidR="000A0ABE" w:rsidRPr="00482F01">
        <w:rPr>
          <w:rFonts w:cstheme="minorHAnsi"/>
          <w:bCs/>
          <w:sz w:val="24"/>
          <w:szCs w:val="24"/>
        </w:rPr>
        <w:t xml:space="preserve">In order to meet the data needs </w:t>
      </w:r>
      <w:r w:rsidR="00847440">
        <w:rPr>
          <w:rFonts w:cstheme="minorHAnsi"/>
          <w:bCs/>
          <w:sz w:val="24"/>
          <w:szCs w:val="24"/>
        </w:rPr>
        <w:t>of</w:t>
      </w:r>
      <w:r w:rsidR="000A0ABE" w:rsidRPr="00482F01">
        <w:rPr>
          <w:rFonts w:cstheme="minorHAnsi"/>
          <w:bCs/>
          <w:sz w:val="24"/>
          <w:szCs w:val="24"/>
        </w:rPr>
        <w:t xml:space="preserve"> </w:t>
      </w:r>
      <w:r w:rsidR="00B072E0" w:rsidRPr="00482F01">
        <w:rPr>
          <w:rFonts w:cstheme="minorHAnsi"/>
          <w:bCs/>
          <w:sz w:val="24"/>
          <w:szCs w:val="24"/>
        </w:rPr>
        <w:t>the Australian Treasury, the ABS</w:t>
      </w:r>
      <w:r w:rsidR="000A0ABE" w:rsidRPr="00482F01">
        <w:rPr>
          <w:rFonts w:cstheme="minorHAnsi"/>
          <w:bCs/>
          <w:sz w:val="24"/>
          <w:szCs w:val="24"/>
        </w:rPr>
        <w:t xml:space="preserve"> developed new editing strategies </w:t>
      </w:r>
      <w:r w:rsidR="008F7736">
        <w:rPr>
          <w:rFonts w:cstheme="minorHAnsi"/>
          <w:bCs/>
          <w:sz w:val="24"/>
          <w:szCs w:val="24"/>
        </w:rPr>
        <w:t>for the 2004-05 and subsequent Input-Output tables</w:t>
      </w:r>
      <w:r w:rsidR="000A0ABE" w:rsidRPr="00482F01">
        <w:rPr>
          <w:rFonts w:cstheme="minorHAnsi"/>
          <w:bCs/>
          <w:sz w:val="24"/>
          <w:szCs w:val="24"/>
        </w:rPr>
        <w:t>. The paper also explores recent challenges faced by the ABS while undertaking a major</w:t>
      </w:r>
      <w:r w:rsidR="002E28F1">
        <w:rPr>
          <w:rFonts w:cstheme="minorHAnsi"/>
          <w:bCs/>
          <w:sz w:val="24"/>
          <w:szCs w:val="24"/>
        </w:rPr>
        <w:t xml:space="preserve"> review of its energy estimates.</w:t>
      </w:r>
    </w:p>
    <w:p w:rsidR="00825DA6" w:rsidRDefault="00825DA6"/>
    <w:p w:rsidR="00825DA6" w:rsidRDefault="00825DA6"/>
    <w:p w:rsidR="00825DA6" w:rsidRDefault="00825DA6"/>
    <w:p w:rsidR="00825DA6" w:rsidRDefault="00825DA6"/>
    <w:p w:rsidR="00825DA6" w:rsidRDefault="00825DA6"/>
    <w:p w:rsidR="00825DA6" w:rsidRDefault="00825DA6"/>
    <w:p w:rsidR="00430437" w:rsidRDefault="005D2D74">
      <w:pPr>
        <w:rPr>
          <w:rFonts w:ascii="Verdana" w:hAnsi="Verdana" w:cs="Verdana"/>
        </w:rPr>
      </w:pPr>
      <w:r>
        <w:t xml:space="preserve">Gregory </w:t>
      </w:r>
      <w:proofErr w:type="spellStart"/>
      <w:r>
        <w:t>Legoff</w:t>
      </w:r>
      <w:proofErr w:type="spellEnd"/>
      <w:r>
        <w:t xml:space="preserve"> is with the Australian Bureau of Statistics. The other authors are with the Australian Treasury. The views expressed in this paper are those of the authors and</w:t>
      </w:r>
      <w:r w:rsidR="00782023">
        <w:t xml:space="preserve"> do</w:t>
      </w:r>
      <w:r>
        <w:t xml:space="preserve"> not necessarily reflect those of the Australian Treasury</w:t>
      </w:r>
      <w:r w:rsidR="00B10FDC">
        <w:t xml:space="preserve"> and the Australian Bureau of Statistics</w:t>
      </w:r>
      <w:r>
        <w:t>. This paper has</w:t>
      </w:r>
      <w:r w:rsidR="00825DA6">
        <w:t xml:space="preserve"> benefited from comments </w:t>
      </w:r>
      <w:r>
        <w:t xml:space="preserve">and suggestions </w:t>
      </w:r>
      <w:r w:rsidR="00825DA6">
        <w:t>provided by</w:t>
      </w:r>
      <w:r>
        <w:t xml:space="preserve"> </w:t>
      </w:r>
      <w:r w:rsidR="00BB6472">
        <w:t xml:space="preserve">Ben Dolman, </w:t>
      </w:r>
      <w:r>
        <w:t>Jyothi Gali, Pauline Halchuk</w:t>
      </w:r>
      <w:r w:rsidR="008F7736">
        <w:t>,</w:t>
      </w:r>
      <w:r w:rsidR="005337E2">
        <w:t xml:space="preserve"> Susie Kluth,</w:t>
      </w:r>
      <w:r w:rsidR="008F7736">
        <w:t xml:space="preserve"> Brendan McKenna, </w:t>
      </w:r>
      <w:r>
        <w:t>David Tellis</w:t>
      </w:r>
      <w:r w:rsidR="006C5422">
        <w:t xml:space="preserve"> </w:t>
      </w:r>
      <w:r w:rsidR="008F7736">
        <w:t xml:space="preserve">and Jim Thomson </w:t>
      </w:r>
      <w:r w:rsidR="006C5422">
        <w:t xml:space="preserve">from the Australian Treasury as well as </w:t>
      </w:r>
      <w:r w:rsidR="009801FA">
        <w:t>by</w:t>
      </w:r>
      <w:r w:rsidR="006C5422">
        <w:t xml:space="preserve"> Danielle Anderson, Kevin Donovan</w:t>
      </w:r>
      <w:r w:rsidR="00562F28">
        <w:t>, David Skutenko</w:t>
      </w:r>
      <w:bookmarkStart w:id="0" w:name="_GoBack"/>
      <w:bookmarkEnd w:id="0"/>
      <w:r w:rsidR="006C5422">
        <w:t xml:space="preserve"> and Adrienne Yeo from the Australian Bureau of Statistics.</w:t>
      </w:r>
      <w:r w:rsidR="00430437">
        <w:rPr>
          <w:rFonts w:ascii="Verdana" w:hAnsi="Verdana" w:cs="Verdana"/>
        </w:rPr>
        <w:br w:type="page"/>
      </w:r>
    </w:p>
    <w:p w:rsidR="00B072E0" w:rsidRPr="000E1369" w:rsidRDefault="00B072E0" w:rsidP="00A0309C">
      <w:pPr>
        <w:pStyle w:val="Heading1"/>
        <w:spacing w:before="0" w:after="120"/>
      </w:pPr>
      <w:r w:rsidRPr="000E1369">
        <w:lastRenderedPageBreak/>
        <w:t>Introduction</w:t>
      </w:r>
    </w:p>
    <w:p w:rsidR="002811F2" w:rsidRPr="008E50A0" w:rsidRDefault="00A236F7" w:rsidP="001F487A">
      <w:pPr>
        <w:pStyle w:val="NormalWeb"/>
        <w:spacing w:after="0" w:line="360" w:lineRule="auto"/>
        <w:rPr>
          <w:rFonts w:asciiTheme="minorHAnsi" w:hAnsiTheme="minorHAnsi" w:cstheme="minorHAnsi"/>
        </w:rPr>
      </w:pPr>
      <w:r w:rsidRPr="008E50A0">
        <w:rPr>
          <w:rFonts w:asciiTheme="minorHAnsi" w:hAnsiTheme="minorHAnsi" w:cstheme="minorHAnsi"/>
        </w:rPr>
        <w:t xml:space="preserve">The ABS </w:t>
      </w:r>
      <w:r w:rsidR="005C0116" w:rsidRPr="008E50A0">
        <w:rPr>
          <w:rFonts w:asciiTheme="minorHAnsi" w:hAnsiTheme="minorHAnsi" w:cstheme="minorHAnsi"/>
        </w:rPr>
        <w:t xml:space="preserve">Input-Output (I-O) tables provide a framework </w:t>
      </w:r>
      <w:r w:rsidR="003A28A3">
        <w:rPr>
          <w:rFonts w:asciiTheme="minorHAnsi" w:hAnsiTheme="minorHAnsi" w:cstheme="minorHAnsi"/>
        </w:rPr>
        <w:t>for</w:t>
      </w:r>
      <w:r w:rsidR="005C0116" w:rsidRPr="008E50A0">
        <w:rPr>
          <w:rFonts w:asciiTheme="minorHAnsi" w:hAnsiTheme="minorHAnsi" w:cstheme="minorHAnsi"/>
        </w:rPr>
        <w:t xml:space="preserve"> the supply and use of products in</w:t>
      </w:r>
      <w:r w:rsidR="00C448DC" w:rsidRPr="008E50A0">
        <w:rPr>
          <w:rFonts w:asciiTheme="minorHAnsi" w:hAnsiTheme="minorHAnsi" w:cstheme="minorHAnsi"/>
        </w:rPr>
        <w:t xml:space="preserve"> the</w:t>
      </w:r>
      <w:r w:rsidR="005C0116" w:rsidRPr="008E50A0">
        <w:rPr>
          <w:rFonts w:asciiTheme="minorHAnsi" w:hAnsiTheme="minorHAnsi" w:cstheme="minorHAnsi"/>
        </w:rPr>
        <w:t xml:space="preserve"> Australian economy and the structure of inter-relationships between Australian industries a</w:t>
      </w:r>
      <w:r w:rsidR="00F74209" w:rsidRPr="008E50A0">
        <w:rPr>
          <w:rFonts w:asciiTheme="minorHAnsi" w:hAnsiTheme="minorHAnsi" w:cstheme="minorHAnsi"/>
        </w:rPr>
        <w:t>t</w:t>
      </w:r>
      <w:r w:rsidR="008E50A0" w:rsidRPr="008E50A0">
        <w:rPr>
          <w:rFonts w:asciiTheme="minorHAnsi" w:hAnsiTheme="minorHAnsi" w:cstheme="minorHAnsi"/>
        </w:rPr>
        <w:t xml:space="preserve"> a highly disaggregated level.  </w:t>
      </w:r>
      <w:proofErr w:type="gramStart"/>
      <w:r w:rsidR="00C7406C" w:rsidRPr="008E50A0">
        <w:rPr>
          <w:rFonts w:asciiTheme="minorHAnsi" w:hAnsiTheme="minorHAnsi" w:cstheme="minorHAnsi"/>
        </w:rPr>
        <w:t>The I</w:t>
      </w:r>
      <w:proofErr w:type="gramEnd"/>
      <w:r w:rsidR="00576878" w:rsidRPr="008E50A0">
        <w:rPr>
          <w:rFonts w:asciiTheme="minorHAnsi" w:hAnsiTheme="minorHAnsi" w:cstheme="minorHAnsi"/>
        </w:rPr>
        <w:t>-</w:t>
      </w:r>
      <w:r w:rsidR="00C7406C" w:rsidRPr="008E50A0">
        <w:rPr>
          <w:rFonts w:asciiTheme="minorHAnsi" w:hAnsiTheme="minorHAnsi" w:cstheme="minorHAnsi"/>
        </w:rPr>
        <w:t xml:space="preserve">O framework enables changes in one sector to be traced through the </w:t>
      </w:r>
      <w:r w:rsidR="00A030F4" w:rsidRPr="008E50A0">
        <w:rPr>
          <w:rFonts w:asciiTheme="minorHAnsi" w:hAnsiTheme="minorHAnsi" w:cstheme="minorHAnsi"/>
        </w:rPr>
        <w:t>economy</w:t>
      </w:r>
      <w:r w:rsidR="00F74209" w:rsidRPr="008E50A0">
        <w:rPr>
          <w:rFonts w:asciiTheme="minorHAnsi" w:hAnsiTheme="minorHAnsi" w:cstheme="minorHAnsi"/>
        </w:rPr>
        <w:t xml:space="preserve">. </w:t>
      </w:r>
      <w:r w:rsidR="008E50A0" w:rsidRPr="008E50A0">
        <w:rPr>
          <w:rFonts w:asciiTheme="minorHAnsi" w:hAnsiTheme="minorHAnsi" w:cstheme="minorHAnsi"/>
        </w:rPr>
        <w:t xml:space="preserve"> This is done </w:t>
      </w:r>
      <w:r w:rsidR="003A28A3">
        <w:rPr>
          <w:rFonts w:asciiTheme="minorHAnsi" w:hAnsiTheme="minorHAnsi" w:cstheme="minorHAnsi"/>
        </w:rPr>
        <w:t>by</w:t>
      </w:r>
      <w:r w:rsidR="003A28A3" w:rsidRPr="008E50A0">
        <w:rPr>
          <w:rFonts w:asciiTheme="minorHAnsi" w:hAnsiTheme="minorHAnsi" w:cstheme="minorHAnsi"/>
        </w:rPr>
        <w:t xml:space="preserve"> </w:t>
      </w:r>
      <w:r w:rsidR="008E50A0" w:rsidRPr="008E50A0">
        <w:rPr>
          <w:rFonts w:asciiTheme="minorHAnsi" w:hAnsiTheme="minorHAnsi" w:cstheme="minorHAnsi"/>
        </w:rPr>
        <w:t xml:space="preserve">traditional I-O analysis using the standard </w:t>
      </w:r>
      <w:r w:rsidR="008E50A0" w:rsidRPr="008E50A0">
        <w:rPr>
          <w:rFonts w:asciiTheme="minorHAnsi" w:hAnsiTheme="minorHAnsi" w:cstheme="minorHAnsi"/>
          <w:i/>
          <w:iCs/>
        </w:rPr>
        <w:t>Leontief inverse</w:t>
      </w:r>
      <w:r w:rsidR="008E50A0" w:rsidRPr="008E50A0">
        <w:rPr>
          <w:rFonts w:asciiTheme="minorHAnsi" w:hAnsiTheme="minorHAnsi" w:cstheme="minorHAnsi"/>
        </w:rPr>
        <w:t xml:space="preserve"> formula, including variations and extensions, and</w:t>
      </w:r>
      <w:r w:rsidR="003A28A3">
        <w:rPr>
          <w:rFonts w:asciiTheme="minorHAnsi" w:hAnsiTheme="minorHAnsi" w:cstheme="minorHAnsi"/>
        </w:rPr>
        <w:t xml:space="preserve"> by</w:t>
      </w:r>
      <w:r w:rsidR="008E50A0" w:rsidRPr="008E50A0">
        <w:rPr>
          <w:rFonts w:asciiTheme="minorHAnsi" w:hAnsiTheme="minorHAnsi" w:cstheme="minorHAnsi"/>
        </w:rPr>
        <w:t xml:space="preserve"> computable general equilibrium (CGE) modelling, the core of which is usually a set of I-O tables. </w:t>
      </w:r>
      <w:r w:rsidR="00F74209" w:rsidRPr="008E50A0">
        <w:rPr>
          <w:rFonts w:asciiTheme="minorHAnsi" w:hAnsiTheme="minorHAnsi" w:cstheme="minorHAnsi"/>
        </w:rPr>
        <w:t xml:space="preserve"> </w:t>
      </w:r>
    </w:p>
    <w:p w:rsidR="002811F2" w:rsidRDefault="002811F2" w:rsidP="002811F2">
      <w:pPr>
        <w:pStyle w:val="NormalWeb"/>
        <w:spacing w:after="0" w:line="360" w:lineRule="auto"/>
        <w:rPr>
          <w:rFonts w:asciiTheme="minorHAnsi" w:hAnsiTheme="minorHAnsi" w:cstheme="minorHAnsi"/>
        </w:rPr>
      </w:pPr>
    </w:p>
    <w:p w:rsidR="00C7406C" w:rsidRPr="008217E0" w:rsidRDefault="00C7406C" w:rsidP="00DC7CF7">
      <w:pPr>
        <w:spacing w:after="0" w:line="360" w:lineRule="auto"/>
        <w:jc w:val="both"/>
        <w:rPr>
          <w:rFonts w:cstheme="minorHAnsi"/>
          <w:sz w:val="24"/>
          <w:szCs w:val="24"/>
        </w:rPr>
      </w:pPr>
      <w:r w:rsidRPr="008217E0">
        <w:rPr>
          <w:rFonts w:cstheme="minorHAnsi"/>
          <w:sz w:val="24"/>
          <w:szCs w:val="24"/>
        </w:rPr>
        <w:t>In Australia</w:t>
      </w:r>
      <w:r w:rsidR="008F7736">
        <w:rPr>
          <w:rFonts w:cstheme="minorHAnsi"/>
          <w:sz w:val="24"/>
          <w:szCs w:val="24"/>
        </w:rPr>
        <w:t>,</w:t>
      </w:r>
      <w:r w:rsidR="006005E8" w:rsidRPr="008217E0">
        <w:rPr>
          <w:rFonts w:cstheme="minorHAnsi"/>
          <w:sz w:val="24"/>
          <w:szCs w:val="24"/>
        </w:rPr>
        <w:t xml:space="preserve"> the national I-O</w:t>
      </w:r>
      <w:r w:rsidRPr="008217E0">
        <w:rPr>
          <w:rFonts w:cstheme="minorHAnsi"/>
          <w:sz w:val="24"/>
          <w:szCs w:val="24"/>
        </w:rPr>
        <w:t xml:space="preserve"> tables are used for a broad range of analytical purposes including </w:t>
      </w:r>
      <w:r w:rsidR="003A28A3">
        <w:rPr>
          <w:rFonts w:cstheme="minorHAnsi"/>
          <w:sz w:val="24"/>
          <w:szCs w:val="24"/>
        </w:rPr>
        <w:t xml:space="preserve">both </w:t>
      </w:r>
      <w:r w:rsidRPr="008217E0">
        <w:rPr>
          <w:rFonts w:cstheme="minorHAnsi"/>
          <w:sz w:val="24"/>
          <w:szCs w:val="24"/>
        </w:rPr>
        <w:t>I-O</w:t>
      </w:r>
      <w:r w:rsidR="00B07535">
        <w:rPr>
          <w:rFonts w:cstheme="minorHAnsi"/>
          <w:sz w:val="24"/>
          <w:szCs w:val="24"/>
        </w:rPr>
        <w:t xml:space="preserve"> multiplier analysis and CGE modelling</w:t>
      </w:r>
      <w:r w:rsidR="00147D2F">
        <w:rPr>
          <w:rFonts w:cstheme="minorHAnsi"/>
          <w:sz w:val="24"/>
          <w:szCs w:val="24"/>
        </w:rPr>
        <w:t xml:space="preserve"> </w:t>
      </w:r>
      <w:r w:rsidR="00147D2F" w:rsidRPr="008217E0">
        <w:rPr>
          <w:rFonts w:cstheme="minorHAnsi"/>
          <w:sz w:val="24"/>
          <w:szCs w:val="24"/>
        </w:rPr>
        <w:t xml:space="preserve">(see for </w:t>
      </w:r>
      <w:r w:rsidR="00147D2F">
        <w:rPr>
          <w:rFonts w:cstheme="minorHAnsi"/>
          <w:sz w:val="24"/>
          <w:szCs w:val="24"/>
        </w:rPr>
        <w:t xml:space="preserve">example the studies by </w:t>
      </w:r>
      <w:proofErr w:type="spellStart"/>
      <w:r w:rsidR="00147D2F">
        <w:rPr>
          <w:rFonts w:cstheme="minorHAnsi"/>
          <w:sz w:val="24"/>
          <w:szCs w:val="24"/>
        </w:rPr>
        <w:t>Gretton</w:t>
      </w:r>
      <w:proofErr w:type="spellEnd"/>
      <w:r w:rsidR="00147D2F">
        <w:rPr>
          <w:rFonts w:cstheme="minorHAnsi"/>
          <w:sz w:val="24"/>
          <w:szCs w:val="24"/>
        </w:rPr>
        <w:t xml:space="preserve">, </w:t>
      </w:r>
      <w:r w:rsidR="00147D2F" w:rsidRPr="008217E0">
        <w:rPr>
          <w:rFonts w:cstheme="minorHAnsi"/>
          <w:sz w:val="24"/>
          <w:szCs w:val="24"/>
        </w:rPr>
        <w:t xml:space="preserve">2005 and </w:t>
      </w:r>
      <w:proofErr w:type="spellStart"/>
      <w:r w:rsidR="00147D2F" w:rsidRPr="008217E0">
        <w:rPr>
          <w:rFonts w:cstheme="minorHAnsi"/>
          <w:sz w:val="24"/>
          <w:szCs w:val="24"/>
        </w:rPr>
        <w:t>Gretton</w:t>
      </w:r>
      <w:proofErr w:type="spellEnd"/>
      <w:r w:rsidR="00147D2F" w:rsidRPr="008217E0">
        <w:rPr>
          <w:rFonts w:cstheme="minorHAnsi"/>
          <w:sz w:val="24"/>
          <w:szCs w:val="24"/>
        </w:rPr>
        <w:t xml:space="preserve"> </w:t>
      </w:r>
      <w:r w:rsidR="00147D2F" w:rsidRPr="006E7A78">
        <w:rPr>
          <w:rFonts w:cstheme="minorHAnsi"/>
          <w:i/>
          <w:sz w:val="24"/>
          <w:szCs w:val="24"/>
        </w:rPr>
        <w:t>et al.</w:t>
      </w:r>
      <w:r w:rsidR="00147D2F">
        <w:rPr>
          <w:rFonts w:cstheme="minorHAnsi"/>
          <w:i/>
          <w:sz w:val="24"/>
          <w:szCs w:val="24"/>
        </w:rPr>
        <w:t>,</w:t>
      </w:r>
      <w:r w:rsidR="00147D2F" w:rsidRPr="008217E0">
        <w:rPr>
          <w:rFonts w:cstheme="minorHAnsi"/>
          <w:sz w:val="24"/>
          <w:szCs w:val="24"/>
        </w:rPr>
        <w:t xml:space="preserve"> 2004</w:t>
      </w:r>
      <w:r w:rsidR="00147D2F">
        <w:rPr>
          <w:rFonts w:cstheme="minorHAnsi"/>
          <w:sz w:val="24"/>
          <w:szCs w:val="24"/>
        </w:rPr>
        <w:t>)</w:t>
      </w:r>
      <w:r w:rsidR="003A28A3">
        <w:rPr>
          <w:rFonts w:cstheme="minorHAnsi"/>
          <w:sz w:val="24"/>
          <w:szCs w:val="24"/>
        </w:rPr>
        <w:t>. These</w:t>
      </w:r>
      <w:r w:rsidR="00B07535">
        <w:rPr>
          <w:rFonts w:cstheme="minorHAnsi"/>
          <w:sz w:val="24"/>
          <w:szCs w:val="24"/>
        </w:rPr>
        <w:t xml:space="preserve"> have been used to perform</w:t>
      </w:r>
      <w:r w:rsidRPr="008217E0">
        <w:rPr>
          <w:rFonts w:cstheme="minorHAnsi"/>
          <w:sz w:val="24"/>
          <w:szCs w:val="24"/>
        </w:rPr>
        <w:t xml:space="preserve"> state policy analysis, environmental</w:t>
      </w:r>
      <w:r w:rsidR="00D47322" w:rsidRPr="008217E0">
        <w:rPr>
          <w:rFonts w:cstheme="minorHAnsi"/>
          <w:sz w:val="24"/>
          <w:szCs w:val="24"/>
        </w:rPr>
        <w:t xml:space="preserve"> studies and impact analysis.  </w:t>
      </w:r>
      <w:r w:rsidR="007A5D1E" w:rsidRPr="008217E0">
        <w:rPr>
          <w:rFonts w:cstheme="minorHAnsi"/>
          <w:sz w:val="24"/>
          <w:szCs w:val="24"/>
        </w:rPr>
        <w:t>Box 1 provides an overview of the use of Australian I-O tables</w:t>
      </w:r>
      <w:r w:rsidR="00027924" w:rsidRPr="008217E0">
        <w:rPr>
          <w:rFonts w:cstheme="minorHAnsi"/>
          <w:sz w:val="24"/>
          <w:szCs w:val="24"/>
        </w:rPr>
        <w:t xml:space="preserve"> for analytical purposes</w:t>
      </w:r>
      <w:r w:rsidR="007A5D1E" w:rsidRPr="008217E0">
        <w:rPr>
          <w:rFonts w:cstheme="minorHAnsi"/>
          <w:sz w:val="24"/>
          <w:szCs w:val="24"/>
        </w:rPr>
        <w:t>.</w:t>
      </w:r>
      <w:r w:rsidR="00027924" w:rsidRPr="008217E0">
        <w:rPr>
          <w:rFonts w:cstheme="minorHAnsi"/>
          <w:sz w:val="24"/>
          <w:szCs w:val="24"/>
        </w:rPr>
        <w:t xml:space="preserve"> </w:t>
      </w:r>
    </w:p>
    <w:p w:rsidR="001A61E0" w:rsidRDefault="001A61E0" w:rsidP="00504AF3">
      <w:pPr>
        <w:pStyle w:val="NormalWeb"/>
        <w:spacing w:after="0" w:line="360" w:lineRule="auto"/>
        <w:rPr>
          <w:rFonts w:asciiTheme="minorHAnsi" w:hAnsiTheme="minorHAnsi" w:cstheme="minorHAnsi"/>
        </w:rPr>
      </w:pPr>
    </w:p>
    <w:p w:rsidR="00050DF2" w:rsidRPr="00623A4D" w:rsidRDefault="00322E9C" w:rsidP="00A0309C">
      <w:pPr>
        <w:pStyle w:val="Bullet"/>
        <w:numPr>
          <w:ilvl w:val="0"/>
          <w:numId w:val="0"/>
        </w:numPr>
        <w:spacing w:after="0" w:line="360" w:lineRule="auto"/>
        <w:rPr>
          <w:color w:val="auto"/>
          <w:sz w:val="24"/>
          <w:szCs w:val="24"/>
        </w:rPr>
      </w:pPr>
      <w:r w:rsidRPr="00623A4D">
        <w:rPr>
          <w:color w:val="auto"/>
          <w:sz w:val="24"/>
          <w:szCs w:val="24"/>
        </w:rPr>
        <w:t>The pu</w:t>
      </w:r>
      <w:r w:rsidR="00A22474">
        <w:rPr>
          <w:color w:val="auto"/>
          <w:sz w:val="24"/>
          <w:szCs w:val="24"/>
        </w:rPr>
        <w:t>rpose of this paper is to briefly outline</w:t>
      </w:r>
      <w:r w:rsidRPr="00623A4D">
        <w:rPr>
          <w:color w:val="auto"/>
          <w:sz w:val="24"/>
          <w:szCs w:val="24"/>
        </w:rPr>
        <w:t xml:space="preserve"> how the ABS and Australian Treasury have worked on a number of issues to ensure that high quality I-O tables can be used to assist with the provision of sound policy advice to the Australian Government.</w:t>
      </w:r>
      <w:r w:rsidR="00A22474">
        <w:rPr>
          <w:color w:val="auto"/>
          <w:sz w:val="24"/>
          <w:szCs w:val="24"/>
        </w:rPr>
        <w:t xml:space="preserve">  The paper discusses</w:t>
      </w:r>
      <w:r w:rsidRPr="00623A4D">
        <w:rPr>
          <w:color w:val="auto"/>
          <w:sz w:val="24"/>
          <w:szCs w:val="24"/>
        </w:rPr>
        <w:t xml:space="preserve"> the ABS quality assurance procedure</w:t>
      </w:r>
      <w:r w:rsidR="003A0C03">
        <w:rPr>
          <w:color w:val="auto"/>
          <w:sz w:val="24"/>
          <w:szCs w:val="24"/>
        </w:rPr>
        <w:t>s</w:t>
      </w:r>
      <w:r w:rsidRPr="00623A4D">
        <w:rPr>
          <w:color w:val="auto"/>
          <w:sz w:val="24"/>
          <w:szCs w:val="24"/>
        </w:rPr>
        <w:t xml:space="preserve"> for </w:t>
      </w:r>
      <w:r w:rsidR="008B1F8C" w:rsidRPr="00623A4D">
        <w:rPr>
          <w:color w:val="auto"/>
          <w:sz w:val="24"/>
          <w:szCs w:val="24"/>
        </w:rPr>
        <w:t>the I-O tables and the recent Treasury analysis of the impact of the Australian Government’s carbon pricing policy on consumer prices and the distributiona</w:t>
      </w:r>
      <w:r w:rsidR="001A61E0">
        <w:rPr>
          <w:color w:val="auto"/>
          <w:sz w:val="24"/>
          <w:szCs w:val="24"/>
        </w:rPr>
        <w:t>l implications for households.</w:t>
      </w:r>
      <w:r w:rsidR="00FF04E2">
        <w:rPr>
          <w:color w:val="auto"/>
          <w:sz w:val="24"/>
          <w:szCs w:val="24"/>
        </w:rPr>
        <w:t xml:space="preserve">  </w:t>
      </w:r>
      <w:r w:rsidR="003A0C03">
        <w:rPr>
          <w:color w:val="auto"/>
          <w:sz w:val="24"/>
          <w:szCs w:val="24"/>
        </w:rPr>
        <w:t>The latter is</w:t>
      </w:r>
      <w:r w:rsidR="00A22474">
        <w:rPr>
          <w:color w:val="auto"/>
          <w:sz w:val="24"/>
          <w:szCs w:val="24"/>
        </w:rPr>
        <w:t xml:space="preserve"> of particular interest as countries implement</w:t>
      </w:r>
      <w:r w:rsidR="003A0C03">
        <w:rPr>
          <w:color w:val="auto"/>
          <w:sz w:val="24"/>
          <w:szCs w:val="24"/>
        </w:rPr>
        <w:t xml:space="preserve"> policies to address climate change.  </w:t>
      </w:r>
      <w:r w:rsidR="008B1F8C" w:rsidRPr="00623A4D">
        <w:rPr>
          <w:color w:val="auto"/>
          <w:sz w:val="24"/>
          <w:szCs w:val="24"/>
        </w:rPr>
        <w:t xml:space="preserve">Recent ABS work on the Energy Hybrid Accounts is also discussed. </w:t>
      </w:r>
    </w:p>
    <w:p w:rsidR="00504AF3" w:rsidRPr="00050DF2" w:rsidRDefault="00050DF2" w:rsidP="00050DF2">
      <w:pPr>
        <w:spacing w:after="30" w:line="360" w:lineRule="auto"/>
        <w:jc w:val="both"/>
        <w:rPr>
          <w:rFonts w:cstheme="minorHAnsi"/>
          <w:b/>
          <w:sz w:val="24"/>
          <w:szCs w:val="24"/>
        </w:rPr>
      </w:pPr>
      <w:r>
        <w:rPr>
          <w:noProof/>
          <w:lang w:eastAsia="en-AU"/>
        </w:rPr>
        <w:lastRenderedPageBreak/>
        <mc:AlternateContent>
          <mc:Choice Requires="wps">
            <w:drawing>
              <wp:anchor distT="0" distB="0" distL="114300" distR="114300" simplePos="0" relativeHeight="251680768" behindDoc="0" locked="0" layoutInCell="1" allowOverlap="1" wp14:anchorId="43AA6B18" wp14:editId="7BDB4079">
                <wp:simplePos x="0" y="0"/>
                <wp:positionH relativeFrom="column">
                  <wp:posOffset>0</wp:posOffset>
                </wp:positionH>
                <wp:positionV relativeFrom="paragraph">
                  <wp:posOffset>0</wp:posOffset>
                </wp:positionV>
                <wp:extent cx="182880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A22474" w:rsidRPr="00B07535" w:rsidRDefault="00A22474" w:rsidP="006005E8">
                            <w:pPr>
                              <w:pStyle w:val="Bullet"/>
                              <w:numPr>
                                <w:ilvl w:val="0"/>
                                <w:numId w:val="0"/>
                              </w:numPr>
                              <w:spacing w:before="240" w:after="30" w:line="360" w:lineRule="auto"/>
                              <w:rPr>
                                <w:color w:val="000000" w:themeColor="text1"/>
                                <w:sz w:val="24"/>
                                <w:szCs w:val="24"/>
                              </w:rPr>
                            </w:pPr>
                            <w:r w:rsidRPr="00B07535">
                              <w:rPr>
                                <w:b/>
                                <w:color w:val="000000" w:themeColor="text1"/>
                                <w:sz w:val="24"/>
                                <w:szCs w:val="24"/>
                              </w:rPr>
                              <w:t xml:space="preserve">Box 1: Major uses of ABS national I-O tables for analytical purposes </w:t>
                            </w:r>
                          </w:p>
                          <w:p w:rsidR="00A22474" w:rsidRDefault="00A22474" w:rsidP="006E7A78">
                            <w:pPr>
                              <w:autoSpaceDE w:val="0"/>
                              <w:autoSpaceDN w:val="0"/>
                              <w:adjustRightInd w:val="0"/>
                              <w:spacing w:after="0" w:line="360" w:lineRule="auto"/>
                              <w:rPr>
                                <w:rFonts w:cstheme="minorHAnsi"/>
                                <w:color w:val="000000" w:themeColor="text1"/>
                              </w:rPr>
                            </w:pPr>
                            <w:r>
                              <w:rPr>
                                <w:rFonts w:cstheme="minorHAnsi"/>
                                <w:color w:val="000000" w:themeColor="text1"/>
                              </w:rPr>
                              <w:t xml:space="preserve">The ABS I-O tables are used by both public and private institutions in Australia and overseas.  In Australia, some users include the Productivity Commission (PC), the Australian Treasury and other federal and state government departments.  </w:t>
                            </w:r>
                          </w:p>
                          <w:p w:rsidR="00A22474" w:rsidRDefault="00A22474" w:rsidP="006E7A78">
                            <w:pPr>
                              <w:autoSpaceDE w:val="0"/>
                              <w:autoSpaceDN w:val="0"/>
                              <w:adjustRightInd w:val="0"/>
                              <w:spacing w:after="0" w:line="360" w:lineRule="auto"/>
                              <w:rPr>
                                <w:rFonts w:cstheme="minorHAnsi"/>
                                <w:color w:val="000000" w:themeColor="text1"/>
                              </w:rPr>
                            </w:pPr>
                          </w:p>
                          <w:p w:rsidR="00A22474" w:rsidRPr="00A20567" w:rsidRDefault="00A22474" w:rsidP="006E7A78">
                            <w:pPr>
                              <w:autoSpaceDE w:val="0"/>
                              <w:autoSpaceDN w:val="0"/>
                              <w:adjustRightInd w:val="0"/>
                              <w:spacing w:after="0" w:line="360" w:lineRule="auto"/>
                              <w:rPr>
                                <w:rFonts w:cstheme="minorHAnsi"/>
                                <w:color w:val="000000" w:themeColor="text1"/>
                              </w:rPr>
                            </w:pPr>
                            <w:r w:rsidRPr="00A20567">
                              <w:rPr>
                                <w:rFonts w:cstheme="minorHAnsi"/>
                                <w:color w:val="000000" w:themeColor="text1"/>
                              </w:rPr>
                              <w:t xml:space="preserve">I-O tables have </w:t>
                            </w:r>
                            <w:r>
                              <w:rPr>
                                <w:rFonts w:cstheme="minorHAnsi"/>
                                <w:color w:val="000000" w:themeColor="text1"/>
                              </w:rPr>
                              <w:t xml:space="preserve">also </w:t>
                            </w:r>
                            <w:r w:rsidRPr="00A20567">
                              <w:rPr>
                                <w:rFonts w:cstheme="minorHAnsi"/>
                                <w:color w:val="000000" w:themeColor="text1"/>
                              </w:rPr>
                              <w:t xml:space="preserve">been used to examine a wide range of issues in Australia. This includes the introduction of the Goods and Services Tax (GST) (which is the Australian version of a value added tax) </w:t>
                            </w:r>
                            <w:r w:rsidRPr="006E7A78">
                              <w:rPr>
                                <w:rFonts w:cstheme="minorHAnsi"/>
                                <w:color w:val="000000" w:themeColor="text1"/>
                              </w:rPr>
                              <w:t>and related changes to the tax system in 2000</w:t>
                            </w:r>
                            <w:r w:rsidRPr="00A20567">
                              <w:rPr>
                                <w:rFonts w:cstheme="minorHAnsi"/>
                                <w:color w:val="000000" w:themeColor="text1"/>
                              </w:rPr>
                              <w:noBreakHyphen/>
                            </w:r>
                            <w:r w:rsidRPr="006E7A78">
                              <w:rPr>
                                <w:rFonts w:cstheme="minorHAnsi"/>
                                <w:color w:val="000000" w:themeColor="text1"/>
                              </w:rPr>
                              <w:t>01</w:t>
                            </w:r>
                            <w:r w:rsidRPr="00A20567">
                              <w:rPr>
                                <w:rFonts w:cstheme="minorHAnsi"/>
                                <w:color w:val="000000" w:themeColor="text1"/>
                              </w:rPr>
                              <w:t>. The Australian Treasury modelling of the GST reforms was based on the I-O multiplier framework (Costello, 1998)</w:t>
                            </w:r>
                            <w:r>
                              <w:rPr>
                                <w:rFonts w:cstheme="minorHAnsi"/>
                                <w:color w:val="000000" w:themeColor="text1"/>
                              </w:rPr>
                              <w:t xml:space="preserve"> developed in the Treasury’s Price Revenue Incidence Simulation Model (PRISMOD) which will be explored further in this paper</w:t>
                            </w:r>
                            <w:r w:rsidRPr="00A20567">
                              <w:rPr>
                                <w:rFonts w:cstheme="minorHAnsi"/>
                                <w:color w:val="000000" w:themeColor="text1"/>
                              </w:rPr>
                              <w:t>.</w:t>
                            </w:r>
                            <w:r>
                              <w:rPr>
                                <w:rFonts w:cstheme="minorHAnsi"/>
                                <w:color w:val="000000" w:themeColor="text1"/>
                              </w:rPr>
                              <w:t xml:space="preserve">  The PC has </w:t>
                            </w:r>
                            <w:proofErr w:type="gramStart"/>
                            <w:r>
                              <w:rPr>
                                <w:rFonts w:cstheme="minorHAnsi"/>
                                <w:color w:val="000000" w:themeColor="text1"/>
                              </w:rPr>
                              <w:t xml:space="preserve">used  </w:t>
                            </w:r>
                            <w:r w:rsidRPr="00A20567">
                              <w:rPr>
                                <w:rFonts w:cstheme="minorHAnsi"/>
                                <w:color w:val="000000" w:themeColor="text1"/>
                              </w:rPr>
                              <w:t>I</w:t>
                            </w:r>
                            <w:proofErr w:type="gramEnd"/>
                            <w:r w:rsidRPr="00A20567">
                              <w:rPr>
                                <w:rFonts w:cstheme="minorHAnsi"/>
                                <w:color w:val="000000" w:themeColor="text1"/>
                              </w:rPr>
                              <w:t>-O</w:t>
                            </w:r>
                            <w:r>
                              <w:rPr>
                                <w:rFonts w:cstheme="minorHAnsi"/>
                                <w:color w:val="000000" w:themeColor="text1"/>
                              </w:rPr>
                              <w:t xml:space="preserve"> data </w:t>
                            </w:r>
                            <w:r w:rsidRPr="006E7A78">
                              <w:rPr>
                                <w:rFonts w:cstheme="minorHAnsi"/>
                                <w:color w:val="000000" w:themeColor="text1"/>
                              </w:rPr>
                              <w:t>to provide information about the structure of industry for the measurement and evaluation</w:t>
                            </w:r>
                            <w:r>
                              <w:rPr>
                                <w:rFonts w:cstheme="minorHAnsi"/>
                                <w:color w:val="000000" w:themeColor="text1"/>
                              </w:rPr>
                              <w:t xml:space="preserve"> of</w:t>
                            </w:r>
                            <w:r w:rsidRPr="006E7A78">
                              <w:rPr>
                                <w:rFonts w:cstheme="minorHAnsi"/>
                                <w:color w:val="000000" w:themeColor="text1"/>
                              </w:rPr>
                              <w:t xml:space="preserve"> industry assistance (</w:t>
                            </w:r>
                            <w:r>
                              <w:rPr>
                                <w:rFonts w:cstheme="minorHAnsi"/>
                                <w:color w:val="000000" w:themeColor="text1"/>
                              </w:rPr>
                              <w:t xml:space="preserve">see </w:t>
                            </w:r>
                            <w:r w:rsidRPr="006E7A78">
                              <w:rPr>
                                <w:rFonts w:cstheme="minorHAnsi"/>
                                <w:color w:val="000000" w:themeColor="text1"/>
                              </w:rPr>
                              <w:t>Productivity Commission, 2003)</w:t>
                            </w:r>
                            <w:r>
                              <w:rPr>
                                <w:rFonts w:cstheme="minorHAnsi"/>
                                <w:color w:val="000000" w:themeColor="text1"/>
                              </w:rPr>
                              <w:t xml:space="preserve"> and </w:t>
                            </w:r>
                            <w:r w:rsidRPr="00A20567">
                              <w:rPr>
                                <w:rFonts w:cstheme="minorHAnsi"/>
                                <w:color w:val="000000" w:themeColor="text1"/>
                              </w:rPr>
                              <w:t xml:space="preserve">to analyse the impact of </w:t>
                            </w:r>
                            <w:r w:rsidRPr="006E7A78">
                              <w:rPr>
                                <w:rFonts w:cstheme="minorHAnsi"/>
                                <w:color w:val="000000" w:themeColor="text1"/>
                              </w:rPr>
                              <w:t>assistance in the Australian</w:t>
                            </w:r>
                            <w:r w:rsidRPr="00A20567">
                              <w:rPr>
                                <w:rFonts w:cstheme="minorHAnsi"/>
                                <w:color w:val="000000" w:themeColor="text1"/>
                              </w:rPr>
                              <w:t>-</w:t>
                            </w:r>
                            <w:r w:rsidRPr="006E7A78">
                              <w:rPr>
                                <w:rFonts w:cstheme="minorHAnsi"/>
                                <w:color w:val="000000" w:themeColor="text1"/>
                              </w:rPr>
                              <w:t>New Zealand Closer Economic Relations Agreement (Productivity Com</w:t>
                            </w:r>
                            <w:r w:rsidRPr="00A20567">
                              <w:rPr>
                                <w:rFonts w:cstheme="minorHAnsi"/>
                                <w:color w:val="000000" w:themeColor="text1"/>
                              </w:rPr>
                              <w:t>m</w:t>
                            </w:r>
                            <w:r w:rsidRPr="006E7A78">
                              <w:rPr>
                                <w:rFonts w:cstheme="minorHAnsi"/>
                                <w:color w:val="000000" w:themeColor="text1"/>
                              </w:rPr>
                              <w:t xml:space="preserve">ission, 2004). </w:t>
                            </w:r>
                          </w:p>
                          <w:p w:rsidR="00A22474" w:rsidRPr="00A20567" w:rsidRDefault="00A22474" w:rsidP="00B07535">
                            <w:pPr>
                              <w:autoSpaceDE w:val="0"/>
                              <w:autoSpaceDN w:val="0"/>
                              <w:adjustRightInd w:val="0"/>
                              <w:spacing w:after="0" w:line="360" w:lineRule="auto"/>
                              <w:rPr>
                                <w:rFonts w:cstheme="minorHAnsi"/>
                                <w:color w:val="000000" w:themeColor="text1"/>
                              </w:rPr>
                            </w:pPr>
                          </w:p>
                          <w:p w:rsidR="00A22474" w:rsidRPr="00A20567" w:rsidRDefault="00A22474" w:rsidP="00C155F8">
                            <w:pPr>
                              <w:autoSpaceDE w:val="0"/>
                              <w:autoSpaceDN w:val="0"/>
                              <w:adjustRightInd w:val="0"/>
                              <w:spacing w:after="0" w:line="360" w:lineRule="auto"/>
                              <w:rPr>
                                <w:rFonts w:cstheme="minorHAnsi"/>
                                <w:color w:val="000000" w:themeColor="text1"/>
                              </w:rPr>
                            </w:pPr>
                            <w:r w:rsidRPr="00A20567">
                              <w:rPr>
                                <w:rFonts w:cstheme="minorHAnsi"/>
                                <w:color w:val="000000" w:themeColor="text1"/>
                              </w:rPr>
                              <w:t>The ABS produces I-O tables for Australia</w:t>
                            </w:r>
                            <w:r>
                              <w:rPr>
                                <w:rFonts w:cstheme="minorHAnsi"/>
                                <w:color w:val="000000" w:themeColor="text1"/>
                              </w:rPr>
                              <w:t xml:space="preserve"> at the national level</w:t>
                            </w:r>
                            <w:r w:rsidRPr="00A20567">
                              <w:rPr>
                                <w:rFonts w:cstheme="minorHAnsi"/>
                                <w:color w:val="000000" w:themeColor="text1"/>
                              </w:rPr>
                              <w:t xml:space="preserve">. </w:t>
                            </w:r>
                            <w:r>
                              <w:rPr>
                                <w:rFonts w:cstheme="minorHAnsi"/>
                                <w:color w:val="000000" w:themeColor="text1"/>
                              </w:rPr>
                              <w:t xml:space="preserve"> </w:t>
                            </w:r>
                            <w:r w:rsidRPr="00A20567">
                              <w:rPr>
                                <w:rFonts w:cstheme="minorHAnsi"/>
                                <w:color w:val="000000" w:themeColor="text1"/>
                              </w:rPr>
                              <w:t>These tables are typically used by other organisations (see South Australian Centre for Economic Studies, 2005) as a basis for constructing state I-O ta</w:t>
                            </w:r>
                            <w:r>
                              <w:rPr>
                                <w:rFonts w:cstheme="minorHAnsi"/>
                                <w:color w:val="000000" w:themeColor="text1"/>
                              </w:rPr>
                              <w:t>bles</w:t>
                            </w:r>
                            <w:r w:rsidRPr="00A20567">
                              <w:rPr>
                                <w:rFonts w:cstheme="minorHAnsi"/>
                                <w:color w:val="000000" w:themeColor="text1"/>
                              </w:rPr>
                              <w:t>.</w:t>
                            </w:r>
                          </w:p>
                          <w:p w:rsidR="00A22474" w:rsidRPr="00A20567" w:rsidRDefault="00A22474" w:rsidP="006E7A78">
                            <w:pPr>
                              <w:autoSpaceDE w:val="0"/>
                              <w:autoSpaceDN w:val="0"/>
                              <w:adjustRightInd w:val="0"/>
                              <w:spacing w:after="0" w:line="240" w:lineRule="auto"/>
                              <w:rPr>
                                <w:rFonts w:cstheme="minorHAnsi"/>
                                <w:color w:val="000000" w:themeColor="text1"/>
                              </w:rPr>
                            </w:pPr>
                          </w:p>
                          <w:p w:rsidR="00A22474" w:rsidRPr="006E7A78" w:rsidRDefault="00A22474" w:rsidP="006E7A78">
                            <w:pPr>
                              <w:autoSpaceDE w:val="0"/>
                              <w:autoSpaceDN w:val="0"/>
                              <w:adjustRightInd w:val="0"/>
                              <w:spacing w:after="0" w:line="360" w:lineRule="auto"/>
                              <w:rPr>
                                <w:rFonts w:cstheme="minorHAnsi"/>
                                <w:color w:val="000000" w:themeColor="text1"/>
                              </w:rPr>
                            </w:pPr>
                            <w:r w:rsidRPr="006E7A78">
                              <w:rPr>
                                <w:rFonts w:cstheme="minorHAnsi"/>
                                <w:color w:val="000000" w:themeColor="text1"/>
                              </w:rPr>
                              <w:t xml:space="preserve">Australian I-O tables </w:t>
                            </w:r>
                            <w:r w:rsidRPr="00A20567">
                              <w:rPr>
                                <w:rFonts w:cstheme="minorHAnsi"/>
                                <w:color w:val="000000" w:themeColor="text1"/>
                              </w:rPr>
                              <w:t xml:space="preserve">have </w:t>
                            </w:r>
                            <w:r w:rsidRPr="006E7A78">
                              <w:rPr>
                                <w:rFonts w:cstheme="minorHAnsi"/>
                                <w:color w:val="000000" w:themeColor="text1"/>
                              </w:rPr>
                              <w:t xml:space="preserve">also </w:t>
                            </w:r>
                            <w:r w:rsidRPr="00A20567">
                              <w:rPr>
                                <w:rFonts w:cstheme="minorHAnsi"/>
                                <w:color w:val="000000" w:themeColor="text1"/>
                              </w:rPr>
                              <w:t>been used to study the i</w:t>
                            </w:r>
                            <w:r w:rsidRPr="006E7A78">
                              <w:rPr>
                                <w:rFonts w:cstheme="minorHAnsi"/>
                                <w:color w:val="000000" w:themeColor="text1"/>
                              </w:rPr>
                              <w:t>mplications of changes in infrastructure costs on the competitiveness of Australian agriculture and food sectors (Bureau of Industry Economics, 1996</w:t>
                            </w:r>
                            <w:r w:rsidRPr="00A20567">
                              <w:rPr>
                                <w:rFonts w:cstheme="minorHAnsi"/>
                                <w:color w:val="000000" w:themeColor="text1"/>
                              </w:rPr>
                              <w:t>),</w:t>
                            </w:r>
                            <w:r w:rsidRPr="006E7A78">
                              <w:rPr>
                                <w:rFonts w:cstheme="minorHAnsi"/>
                                <w:color w:val="000000" w:themeColor="text1"/>
                              </w:rPr>
                              <w:t xml:space="preserve"> micro-economic reforms</w:t>
                            </w:r>
                            <w:r w:rsidRPr="00A20567">
                              <w:rPr>
                                <w:rFonts w:cstheme="minorHAnsi"/>
                                <w:color w:val="000000" w:themeColor="text1"/>
                              </w:rPr>
                              <w:t xml:space="preserve"> by State G</w:t>
                            </w:r>
                            <w:r w:rsidRPr="006E7A78">
                              <w:rPr>
                                <w:rFonts w:cstheme="minorHAnsi"/>
                                <w:color w:val="000000" w:themeColor="text1"/>
                              </w:rPr>
                              <w:t xml:space="preserve">overnments and the research on the introduction of genetically modified (GM) crops (see Acworth, </w:t>
                            </w:r>
                            <w:proofErr w:type="spellStart"/>
                            <w:r w:rsidRPr="006E7A78">
                              <w:rPr>
                                <w:rFonts w:cstheme="minorHAnsi"/>
                                <w:color w:val="000000" w:themeColor="text1"/>
                              </w:rPr>
                              <w:t>Yainshet</w:t>
                            </w:r>
                            <w:proofErr w:type="spellEnd"/>
                            <w:r w:rsidRPr="006E7A78">
                              <w:rPr>
                                <w:rFonts w:cstheme="minorHAnsi"/>
                                <w:color w:val="000000" w:themeColor="text1"/>
                              </w:rPr>
                              <w:t xml:space="preserve"> and </w:t>
                            </w:r>
                            <w:proofErr w:type="spellStart"/>
                            <w:r w:rsidRPr="006E7A78">
                              <w:rPr>
                                <w:rFonts w:cstheme="minorHAnsi"/>
                                <w:color w:val="000000" w:themeColor="text1"/>
                              </w:rPr>
                              <w:t>Curtotti</w:t>
                            </w:r>
                            <w:proofErr w:type="spellEnd"/>
                            <w:r w:rsidRPr="006E7A78">
                              <w:rPr>
                                <w:rFonts w:cstheme="minorHAnsi"/>
                                <w:color w:val="000000" w:themeColor="text1"/>
                              </w:rPr>
                              <w:t>, 2008).</w:t>
                            </w:r>
                          </w:p>
                          <w:p w:rsidR="00A22474" w:rsidRPr="00A20567" w:rsidRDefault="00A22474" w:rsidP="008217E0">
                            <w:pPr>
                              <w:pStyle w:val="NormalWeb"/>
                              <w:spacing w:after="0"/>
                              <w:rPr>
                                <w:rFonts w:asciiTheme="minorHAnsi" w:hAnsiTheme="minorHAnsi" w:cstheme="minorHAnsi"/>
                                <w:color w:val="000000" w:themeColor="text1"/>
                                <w:sz w:val="22"/>
                                <w:szCs w:val="22"/>
                              </w:rPr>
                            </w:pPr>
                          </w:p>
                          <w:p w:rsidR="00A22474" w:rsidRPr="00A20567" w:rsidRDefault="00A22474" w:rsidP="00E72E31">
                            <w:pPr>
                              <w:spacing w:after="0" w:line="360" w:lineRule="auto"/>
                              <w:rPr>
                                <w:rFonts w:cstheme="minorHAnsi"/>
                                <w:color w:val="000000" w:themeColor="text1"/>
                              </w:rPr>
                            </w:pPr>
                            <w:r w:rsidRPr="00A20567">
                              <w:rPr>
                                <w:rFonts w:cstheme="minorHAnsi"/>
                                <w:color w:val="000000" w:themeColor="text1"/>
                              </w:rPr>
                              <w:t xml:space="preserve">At the international level, the </w:t>
                            </w:r>
                            <w:r>
                              <w:rPr>
                                <w:rFonts w:cstheme="minorHAnsi"/>
                                <w:color w:val="000000" w:themeColor="text1"/>
                              </w:rPr>
                              <w:t xml:space="preserve">Australian </w:t>
                            </w:r>
                            <w:r w:rsidRPr="00A20567">
                              <w:rPr>
                                <w:rFonts w:cstheme="minorHAnsi"/>
                                <w:color w:val="000000" w:themeColor="text1"/>
                              </w:rPr>
                              <w:t>I-O tables contribute to the Global Trade Analysis Project (GTAP), a</w:t>
                            </w:r>
                            <w:r w:rsidRPr="00A20567">
                              <w:rPr>
                                <w:rFonts w:cstheme="minorHAnsi"/>
                                <w:b/>
                                <w:bCs/>
                                <w:color w:val="000000" w:themeColor="text1"/>
                              </w:rPr>
                              <w:t> </w:t>
                            </w:r>
                            <w:r w:rsidRPr="00A20567">
                              <w:rPr>
                                <w:rFonts w:cstheme="minorHAnsi"/>
                                <w:color w:val="000000" w:themeColor="text1"/>
                              </w:rPr>
                              <w:t xml:space="preserve">global economic database and model based on national I-O tables; the OECD I-O </w:t>
                            </w:r>
                            <w:proofErr w:type="gramStart"/>
                            <w:r w:rsidRPr="00A20567">
                              <w:rPr>
                                <w:rFonts w:cstheme="minorHAnsi"/>
                                <w:color w:val="000000" w:themeColor="text1"/>
                              </w:rPr>
                              <w:t>tables</w:t>
                            </w:r>
                            <w:proofErr w:type="gramEnd"/>
                            <w:r w:rsidRPr="00A20567">
                              <w:rPr>
                                <w:rFonts w:cstheme="minorHAnsi"/>
                                <w:color w:val="000000" w:themeColor="text1"/>
                              </w:rPr>
                              <w:t xml:space="preserve"> database; as well as other international projects requiring I-O data at the national level.  GTAP has been used to analyse international </w:t>
                            </w:r>
                            <w:r>
                              <w:rPr>
                                <w:rFonts w:cstheme="minorHAnsi"/>
                                <w:color w:val="000000" w:themeColor="text1"/>
                              </w:rPr>
                              <w:t xml:space="preserve">trade </w:t>
                            </w:r>
                            <w:r w:rsidRPr="00A20567">
                              <w:rPr>
                                <w:rFonts w:cstheme="minorHAnsi"/>
                                <w:color w:val="000000" w:themeColor="text1"/>
                              </w:rPr>
                              <w:t>policy (see</w:t>
                            </w:r>
                            <w:r>
                              <w:rPr>
                                <w:rFonts w:cstheme="minorHAnsi"/>
                                <w:color w:val="000000" w:themeColor="text1"/>
                              </w:rPr>
                              <w:t xml:space="preserve"> for example</w:t>
                            </w:r>
                            <w:r w:rsidRPr="00A20567">
                              <w:rPr>
                                <w:rFonts w:cstheme="minorHAnsi"/>
                                <w:color w:val="000000" w:themeColor="text1"/>
                              </w:rPr>
                              <w:t xml:space="preserve"> Mai </w:t>
                            </w:r>
                            <w:r w:rsidRPr="00A20567">
                              <w:rPr>
                                <w:rFonts w:cstheme="minorHAnsi"/>
                                <w:i/>
                                <w:color w:val="000000" w:themeColor="text1"/>
                              </w:rPr>
                              <w:t>et al.</w:t>
                            </w:r>
                            <w:r w:rsidRPr="00A77E54">
                              <w:rPr>
                                <w:rFonts w:cstheme="minorHAnsi"/>
                                <w:color w:val="000000" w:themeColor="text1"/>
                              </w:rPr>
                              <w:t>,</w:t>
                            </w:r>
                            <w:r w:rsidRPr="00A20567">
                              <w:rPr>
                                <w:rFonts w:cstheme="minorHAnsi"/>
                                <w:i/>
                                <w:color w:val="000000" w:themeColor="text1"/>
                              </w:rPr>
                              <w:t xml:space="preserve"> </w:t>
                            </w:r>
                            <w:r w:rsidRPr="00A20567">
                              <w:rPr>
                                <w:rFonts w:cstheme="minorHAnsi"/>
                                <w:color w:val="000000" w:themeColor="text1"/>
                              </w:rPr>
                              <w:t>2005).</w:t>
                            </w:r>
                          </w:p>
                          <w:p w:rsidR="00A22474" w:rsidRPr="00A20567" w:rsidRDefault="00A22474" w:rsidP="008217E0">
                            <w:pPr>
                              <w:spacing w:after="0" w:line="240" w:lineRule="auto"/>
                              <w:rPr>
                                <w:rFonts w:cstheme="minorHAnsi"/>
                                <w:color w:val="000000" w:themeColor="text1"/>
                              </w:rPr>
                            </w:pPr>
                          </w:p>
                          <w:p w:rsidR="00A22474" w:rsidRPr="00A20567" w:rsidRDefault="00A22474" w:rsidP="00E72E31">
                            <w:pPr>
                              <w:spacing w:after="0" w:line="360" w:lineRule="auto"/>
                              <w:rPr>
                                <w:rFonts w:cstheme="minorHAnsi"/>
                                <w:color w:val="000000" w:themeColor="text1"/>
                              </w:rPr>
                            </w:pPr>
                            <w:r w:rsidRPr="00A20567">
                              <w:rPr>
                                <w:rFonts w:cstheme="minorHAnsi"/>
                                <w:color w:val="000000" w:themeColor="text1"/>
                              </w:rPr>
                              <w:t xml:space="preserve">Australian institutions contribute to global research in I-O related analyses </w:t>
                            </w:r>
                            <w:r>
                              <w:rPr>
                                <w:rFonts w:cstheme="minorHAnsi"/>
                                <w:color w:val="000000" w:themeColor="text1"/>
                              </w:rPr>
                              <w:t xml:space="preserve">by </w:t>
                            </w:r>
                            <w:r w:rsidRPr="00A20567">
                              <w:rPr>
                                <w:rFonts w:cstheme="minorHAnsi"/>
                                <w:color w:val="000000" w:themeColor="text1"/>
                              </w:rPr>
                              <w:t>contracting their expertise to international clients and providing software designed for CGE modelling purposes.  Examples of these are the Centre of Policy Studies (</w:t>
                            </w:r>
                            <w:proofErr w:type="spellStart"/>
                            <w:r w:rsidRPr="00A20567">
                              <w:rPr>
                                <w:rFonts w:cstheme="minorHAnsi"/>
                                <w:color w:val="000000" w:themeColor="text1"/>
                              </w:rPr>
                              <w:t>CoPS</w:t>
                            </w:r>
                            <w:proofErr w:type="spellEnd"/>
                            <w:r w:rsidRPr="00A20567">
                              <w:rPr>
                                <w:rFonts w:cstheme="minorHAnsi"/>
                                <w:color w:val="000000" w:themeColor="text1"/>
                              </w:rPr>
                              <w:t xml:space="preserve">) based at Monash University, with its MONASH and Monash Multi-Regional Forecasting (MMRF) models (Adams </w:t>
                            </w:r>
                            <w:r w:rsidRPr="00A20567">
                              <w:rPr>
                                <w:rFonts w:cstheme="minorHAnsi"/>
                                <w:i/>
                                <w:color w:val="000000" w:themeColor="text1"/>
                              </w:rPr>
                              <w:t>et al.</w:t>
                            </w:r>
                            <w:r w:rsidRPr="00A20567">
                              <w:rPr>
                                <w:rFonts w:cstheme="minorHAnsi"/>
                                <w:color w:val="000000" w:themeColor="text1"/>
                              </w:rPr>
                              <w:t xml:space="preserve">, 2011), the </w:t>
                            </w:r>
                            <w:r w:rsidRPr="00A20567">
                              <w:rPr>
                                <w:rStyle w:val="st1"/>
                                <w:rFonts w:cstheme="minorHAnsi"/>
                                <w:bCs/>
                                <w:color w:val="000000" w:themeColor="text1"/>
                              </w:rPr>
                              <w:t>Commonwealth Scientific and Industrial Research Organisation</w:t>
                            </w:r>
                            <w:r w:rsidRPr="00A20567">
                              <w:rPr>
                                <w:rStyle w:val="st1"/>
                                <w:rFonts w:cstheme="minorHAnsi"/>
                                <w:color w:val="000000" w:themeColor="text1"/>
                              </w:rPr>
                              <w:t xml:space="preserve"> (</w:t>
                            </w:r>
                            <w:r w:rsidRPr="00A20567">
                              <w:rPr>
                                <w:rFonts w:cstheme="minorHAnsi"/>
                                <w:color w:val="000000" w:themeColor="text1"/>
                              </w:rPr>
                              <w:t xml:space="preserve">CSIRO) and the Centre for Integrated Sustainability Analysis based at the University of Sydney.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" filled="f" strokeweight=".5pt">
                <v:textbox style="mso-fit-shape-to-text:t">
                  <w:txbxContent>
                    <w:p w:rsidR="005337E2" w:rsidRPr="00B07535" w:rsidRDefault="005337E2" w:rsidP="006005E8">
                      <w:pPr>
                        <w:pStyle w:val="Bullet"/>
                        <w:numPr>
                          <w:ilvl w:val="0"/>
                          <w:numId w:val="0"/>
                        </w:numPr>
                        <w:spacing w:before="240" w:after="30" w:line="360" w:lineRule="auto"/>
                        <w:rPr>
                          <w:color w:val="000000" w:themeColor="text1"/>
                          <w:sz w:val="24"/>
                          <w:szCs w:val="24"/>
                        </w:rPr>
                      </w:pPr>
                      <w:r w:rsidRPr="00B07535">
                        <w:rPr>
                          <w:b/>
                          <w:color w:val="000000" w:themeColor="text1"/>
                          <w:sz w:val="24"/>
                          <w:szCs w:val="24"/>
                        </w:rPr>
                        <w:t xml:space="preserve">Box 1: Major uses of ABS national I-O tables for analytical purposes </w:t>
                      </w:r>
                    </w:p>
                    <w:p w:rsidR="005337E2" w:rsidRDefault="005337E2" w:rsidP="006E7A78">
                      <w:pPr>
                        <w:autoSpaceDE w:val="0"/>
                        <w:autoSpaceDN w:val="0"/>
                        <w:adjustRightInd w:val="0"/>
                        <w:spacing w:after="0" w:line="360" w:lineRule="auto"/>
                        <w:rPr>
                          <w:rFonts w:cstheme="minorHAnsi"/>
                          <w:color w:val="000000" w:themeColor="text1"/>
                        </w:rPr>
                      </w:pPr>
                      <w:r>
                        <w:rPr>
                          <w:rFonts w:cstheme="minorHAnsi"/>
                          <w:color w:val="000000" w:themeColor="text1"/>
                        </w:rPr>
                        <w:t xml:space="preserve">The ABS I-O tables are used by both public and private institutions in Australia and overseas.  In Australia, some users include the Productivity Commission (PC), the Australian Treasury and other federal and state government departments.  </w:t>
                      </w:r>
                    </w:p>
                    <w:p w:rsidR="005337E2" w:rsidRDefault="005337E2" w:rsidP="006E7A78">
                      <w:pPr>
                        <w:autoSpaceDE w:val="0"/>
                        <w:autoSpaceDN w:val="0"/>
                        <w:adjustRightInd w:val="0"/>
                        <w:spacing w:after="0" w:line="360" w:lineRule="auto"/>
                        <w:rPr>
                          <w:rFonts w:cstheme="minorHAnsi"/>
                          <w:color w:val="000000" w:themeColor="text1"/>
                        </w:rPr>
                      </w:pPr>
                    </w:p>
                    <w:p w:rsidR="005337E2" w:rsidRPr="00A20567" w:rsidRDefault="005337E2" w:rsidP="006E7A78">
                      <w:pPr>
                        <w:autoSpaceDE w:val="0"/>
                        <w:autoSpaceDN w:val="0"/>
                        <w:adjustRightInd w:val="0"/>
                        <w:spacing w:after="0" w:line="360" w:lineRule="auto"/>
                        <w:rPr>
                          <w:rFonts w:cstheme="minorHAnsi"/>
                          <w:color w:val="000000" w:themeColor="text1"/>
                        </w:rPr>
                      </w:pPr>
                      <w:r w:rsidRPr="00A20567">
                        <w:rPr>
                          <w:rFonts w:cstheme="minorHAnsi"/>
                          <w:color w:val="000000" w:themeColor="text1"/>
                        </w:rPr>
                        <w:t xml:space="preserve">I-O tables have </w:t>
                      </w:r>
                      <w:r>
                        <w:rPr>
                          <w:rFonts w:cstheme="minorHAnsi"/>
                          <w:color w:val="000000" w:themeColor="text1"/>
                        </w:rPr>
                        <w:t xml:space="preserve">also </w:t>
                      </w:r>
                      <w:r w:rsidRPr="00A20567">
                        <w:rPr>
                          <w:rFonts w:cstheme="minorHAnsi"/>
                          <w:color w:val="000000" w:themeColor="text1"/>
                        </w:rPr>
                        <w:t xml:space="preserve">been used to examine a wide range of issues in Australia. This includes the introduction of the Goods and Services Tax (GST) (which is the Australian version of a value added tax) </w:t>
                      </w:r>
                      <w:r w:rsidRPr="006E7A78">
                        <w:rPr>
                          <w:rFonts w:cstheme="minorHAnsi"/>
                          <w:color w:val="000000" w:themeColor="text1"/>
                        </w:rPr>
                        <w:t>and related changes to the tax system in 2000</w:t>
                      </w:r>
                      <w:r w:rsidRPr="00A20567">
                        <w:rPr>
                          <w:rFonts w:cstheme="minorHAnsi"/>
                          <w:color w:val="000000" w:themeColor="text1"/>
                        </w:rPr>
                        <w:noBreakHyphen/>
                      </w:r>
                      <w:r w:rsidRPr="006E7A78">
                        <w:rPr>
                          <w:rFonts w:cstheme="minorHAnsi"/>
                          <w:color w:val="000000" w:themeColor="text1"/>
                        </w:rPr>
                        <w:t>01</w:t>
                      </w:r>
                      <w:r w:rsidRPr="00A20567">
                        <w:rPr>
                          <w:rFonts w:cstheme="minorHAnsi"/>
                          <w:color w:val="000000" w:themeColor="text1"/>
                        </w:rPr>
                        <w:t>. The Australian Treasury modelling of the GST reforms was based on the I-O multiplier framework (Costello, 1998)</w:t>
                      </w:r>
                      <w:r>
                        <w:rPr>
                          <w:rFonts w:cstheme="minorHAnsi"/>
                          <w:color w:val="000000" w:themeColor="text1"/>
                        </w:rPr>
                        <w:t xml:space="preserve"> developed in the Treasury’s Price Revenue Incidence Simulation Model (PRISMOD) which will be explored further in this paper</w:t>
                      </w:r>
                      <w:r w:rsidRPr="00A20567">
                        <w:rPr>
                          <w:rFonts w:cstheme="minorHAnsi"/>
                          <w:color w:val="000000" w:themeColor="text1"/>
                        </w:rPr>
                        <w:t>.</w:t>
                      </w:r>
                      <w:r>
                        <w:rPr>
                          <w:rFonts w:cstheme="minorHAnsi"/>
                          <w:color w:val="000000" w:themeColor="text1"/>
                        </w:rPr>
                        <w:t xml:space="preserve">  The PC has </w:t>
                      </w:r>
                      <w:proofErr w:type="gramStart"/>
                      <w:r>
                        <w:rPr>
                          <w:rFonts w:cstheme="minorHAnsi"/>
                          <w:color w:val="000000" w:themeColor="text1"/>
                        </w:rPr>
                        <w:t xml:space="preserve">used  </w:t>
                      </w:r>
                      <w:r w:rsidRPr="00A20567">
                        <w:rPr>
                          <w:rFonts w:cstheme="minorHAnsi"/>
                          <w:color w:val="000000" w:themeColor="text1"/>
                        </w:rPr>
                        <w:t>I</w:t>
                      </w:r>
                      <w:proofErr w:type="gramEnd"/>
                      <w:r w:rsidRPr="00A20567">
                        <w:rPr>
                          <w:rFonts w:cstheme="minorHAnsi"/>
                          <w:color w:val="000000" w:themeColor="text1"/>
                        </w:rPr>
                        <w:t>-O</w:t>
                      </w:r>
                      <w:r>
                        <w:rPr>
                          <w:rFonts w:cstheme="minorHAnsi"/>
                          <w:color w:val="000000" w:themeColor="text1"/>
                        </w:rPr>
                        <w:t xml:space="preserve"> data </w:t>
                      </w:r>
                      <w:r w:rsidRPr="006E7A78">
                        <w:rPr>
                          <w:rFonts w:cstheme="minorHAnsi"/>
                          <w:color w:val="000000" w:themeColor="text1"/>
                        </w:rPr>
                        <w:t>to provide information about the structure of industry for the measurement and evaluation</w:t>
                      </w:r>
                      <w:r>
                        <w:rPr>
                          <w:rFonts w:cstheme="minorHAnsi"/>
                          <w:color w:val="000000" w:themeColor="text1"/>
                        </w:rPr>
                        <w:t xml:space="preserve"> of</w:t>
                      </w:r>
                      <w:r w:rsidRPr="006E7A78">
                        <w:rPr>
                          <w:rFonts w:cstheme="minorHAnsi"/>
                          <w:color w:val="000000" w:themeColor="text1"/>
                        </w:rPr>
                        <w:t xml:space="preserve"> industry assistance (</w:t>
                      </w:r>
                      <w:r>
                        <w:rPr>
                          <w:rFonts w:cstheme="minorHAnsi"/>
                          <w:color w:val="000000" w:themeColor="text1"/>
                        </w:rPr>
                        <w:t xml:space="preserve">see </w:t>
                      </w:r>
                      <w:r w:rsidRPr="006E7A78">
                        <w:rPr>
                          <w:rFonts w:cstheme="minorHAnsi"/>
                          <w:color w:val="000000" w:themeColor="text1"/>
                        </w:rPr>
                        <w:t>Productivity Commission, 2003)</w:t>
                      </w:r>
                      <w:r>
                        <w:rPr>
                          <w:rFonts w:cstheme="minorHAnsi"/>
                          <w:color w:val="000000" w:themeColor="text1"/>
                        </w:rPr>
                        <w:t xml:space="preserve"> and </w:t>
                      </w:r>
                      <w:r w:rsidRPr="00A20567">
                        <w:rPr>
                          <w:rFonts w:cstheme="minorHAnsi"/>
                          <w:color w:val="000000" w:themeColor="text1"/>
                        </w:rPr>
                        <w:t xml:space="preserve">to analyse the impact of </w:t>
                      </w:r>
                      <w:r w:rsidRPr="006E7A78">
                        <w:rPr>
                          <w:rFonts w:cstheme="minorHAnsi"/>
                          <w:color w:val="000000" w:themeColor="text1"/>
                        </w:rPr>
                        <w:t>assistance in the Australian</w:t>
                      </w:r>
                      <w:r w:rsidRPr="00A20567">
                        <w:rPr>
                          <w:rFonts w:cstheme="minorHAnsi"/>
                          <w:color w:val="000000" w:themeColor="text1"/>
                        </w:rPr>
                        <w:t>-</w:t>
                      </w:r>
                      <w:r w:rsidRPr="006E7A78">
                        <w:rPr>
                          <w:rFonts w:cstheme="minorHAnsi"/>
                          <w:color w:val="000000" w:themeColor="text1"/>
                        </w:rPr>
                        <w:t>New Zealand Closer Economic Relations Agreement (Productivity Com</w:t>
                      </w:r>
                      <w:r w:rsidRPr="00A20567">
                        <w:rPr>
                          <w:rFonts w:cstheme="minorHAnsi"/>
                          <w:color w:val="000000" w:themeColor="text1"/>
                        </w:rPr>
                        <w:t>m</w:t>
                      </w:r>
                      <w:r w:rsidRPr="006E7A78">
                        <w:rPr>
                          <w:rFonts w:cstheme="minorHAnsi"/>
                          <w:color w:val="000000" w:themeColor="text1"/>
                        </w:rPr>
                        <w:t xml:space="preserve">ission, 2004). </w:t>
                      </w:r>
                    </w:p>
                    <w:p w:rsidR="005337E2" w:rsidRPr="00A20567" w:rsidRDefault="005337E2" w:rsidP="00B07535">
                      <w:pPr>
                        <w:autoSpaceDE w:val="0"/>
                        <w:autoSpaceDN w:val="0"/>
                        <w:adjustRightInd w:val="0"/>
                        <w:spacing w:after="0" w:line="360" w:lineRule="auto"/>
                        <w:rPr>
                          <w:rFonts w:cstheme="minorHAnsi"/>
                          <w:color w:val="000000" w:themeColor="text1"/>
                        </w:rPr>
                      </w:pPr>
                    </w:p>
                    <w:p w:rsidR="005337E2" w:rsidRPr="00A20567" w:rsidRDefault="005337E2" w:rsidP="00C155F8">
                      <w:pPr>
                        <w:autoSpaceDE w:val="0"/>
                        <w:autoSpaceDN w:val="0"/>
                        <w:adjustRightInd w:val="0"/>
                        <w:spacing w:after="0" w:line="360" w:lineRule="auto"/>
                        <w:rPr>
                          <w:rFonts w:cstheme="minorHAnsi"/>
                          <w:color w:val="000000" w:themeColor="text1"/>
                        </w:rPr>
                      </w:pPr>
                      <w:r w:rsidRPr="00A20567">
                        <w:rPr>
                          <w:rFonts w:cstheme="minorHAnsi"/>
                          <w:color w:val="000000" w:themeColor="text1"/>
                        </w:rPr>
                        <w:t>The ABS produces I-O tables for Australia</w:t>
                      </w:r>
                      <w:r>
                        <w:rPr>
                          <w:rFonts w:cstheme="minorHAnsi"/>
                          <w:color w:val="000000" w:themeColor="text1"/>
                        </w:rPr>
                        <w:t xml:space="preserve"> at the national level</w:t>
                      </w:r>
                      <w:r w:rsidRPr="00A20567">
                        <w:rPr>
                          <w:rFonts w:cstheme="minorHAnsi"/>
                          <w:color w:val="000000" w:themeColor="text1"/>
                        </w:rPr>
                        <w:t xml:space="preserve">. </w:t>
                      </w:r>
                      <w:r>
                        <w:rPr>
                          <w:rFonts w:cstheme="minorHAnsi"/>
                          <w:color w:val="000000" w:themeColor="text1"/>
                        </w:rPr>
                        <w:t xml:space="preserve"> </w:t>
                      </w:r>
                      <w:r w:rsidRPr="00A20567">
                        <w:rPr>
                          <w:rFonts w:cstheme="minorHAnsi"/>
                          <w:color w:val="000000" w:themeColor="text1"/>
                        </w:rPr>
                        <w:t>These tables are typically used by other organisations (see South Australian Centre for Economic Studies, 2005) as a basis for constructing state I-O ta</w:t>
                      </w:r>
                      <w:r>
                        <w:rPr>
                          <w:rFonts w:cstheme="minorHAnsi"/>
                          <w:color w:val="000000" w:themeColor="text1"/>
                        </w:rPr>
                        <w:t>bles</w:t>
                      </w:r>
                      <w:r w:rsidRPr="00A20567">
                        <w:rPr>
                          <w:rFonts w:cstheme="minorHAnsi"/>
                          <w:color w:val="000000" w:themeColor="text1"/>
                        </w:rPr>
                        <w:t>.</w:t>
                      </w:r>
                    </w:p>
                    <w:p w:rsidR="005337E2" w:rsidRPr="00A20567" w:rsidRDefault="005337E2" w:rsidP="006E7A78">
                      <w:pPr>
                        <w:autoSpaceDE w:val="0"/>
                        <w:autoSpaceDN w:val="0"/>
                        <w:adjustRightInd w:val="0"/>
                        <w:spacing w:after="0" w:line="240" w:lineRule="auto"/>
                        <w:rPr>
                          <w:rFonts w:cstheme="minorHAnsi"/>
                          <w:color w:val="000000" w:themeColor="text1"/>
                        </w:rPr>
                      </w:pPr>
                    </w:p>
                    <w:p w:rsidR="005337E2" w:rsidRPr="006E7A78" w:rsidRDefault="005337E2" w:rsidP="006E7A78">
                      <w:pPr>
                        <w:autoSpaceDE w:val="0"/>
                        <w:autoSpaceDN w:val="0"/>
                        <w:adjustRightInd w:val="0"/>
                        <w:spacing w:after="0" w:line="360" w:lineRule="auto"/>
                        <w:rPr>
                          <w:rFonts w:cstheme="minorHAnsi"/>
                          <w:color w:val="000000" w:themeColor="text1"/>
                        </w:rPr>
                      </w:pPr>
                      <w:r w:rsidRPr="006E7A78">
                        <w:rPr>
                          <w:rFonts w:cstheme="minorHAnsi"/>
                          <w:color w:val="000000" w:themeColor="text1"/>
                        </w:rPr>
                        <w:t xml:space="preserve">Australian I-O tables </w:t>
                      </w:r>
                      <w:r w:rsidRPr="00A20567">
                        <w:rPr>
                          <w:rFonts w:cstheme="minorHAnsi"/>
                          <w:color w:val="000000" w:themeColor="text1"/>
                        </w:rPr>
                        <w:t xml:space="preserve">have </w:t>
                      </w:r>
                      <w:r w:rsidRPr="006E7A78">
                        <w:rPr>
                          <w:rFonts w:cstheme="minorHAnsi"/>
                          <w:color w:val="000000" w:themeColor="text1"/>
                        </w:rPr>
                        <w:t xml:space="preserve">also </w:t>
                      </w:r>
                      <w:r w:rsidRPr="00A20567">
                        <w:rPr>
                          <w:rFonts w:cstheme="minorHAnsi"/>
                          <w:color w:val="000000" w:themeColor="text1"/>
                        </w:rPr>
                        <w:t>been used to study the i</w:t>
                      </w:r>
                      <w:r w:rsidRPr="006E7A78">
                        <w:rPr>
                          <w:rFonts w:cstheme="minorHAnsi"/>
                          <w:color w:val="000000" w:themeColor="text1"/>
                        </w:rPr>
                        <w:t>mplications of changes in infrastructure costs on the competitiveness of Australian agriculture and food sectors (Bureau of Industry Economics, 1996</w:t>
                      </w:r>
                      <w:r w:rsidRPr="00A20567">
                        <w:rPr>
                          <w:rFonts w:cstheme="minorHAnsi"/>
                          <w:color w:val="000000" w:themeColor="text1"/>
                        </w:rPr>
                        <w:t>),</w:t>
                      </w:r>
                      <w:r w:rsidRPr="006E7A78">
                        <w:rPr>
                          <w:rFonts w:cstheme="minorHAnsi"/>
                          <w:color w:val="000000" w:themeColor="text1"/>
                        </w:rPr>
                        <w:t xml:space="preserve"> micro-economic reforms</w:t>
                      </w:r>
                      <w:r w:rsidRPr="00A20567">
                        <w:rPr>
                          <w:rFonts w:cstheme="minorHAnsi"/>
                          <w:color w:val="000000" w:themeColor="text1"/>
                        </w:rPr>
                        <w:t xml:space="preserve"> by State G</w:t>
                      </w:r>
                      <w:r w:rsidRPr="006E7A78">
                        <w:rPr>
                          <w:rFonts w:cstheme="minorHAnsi"/>
                          <w:color w:val="000000" w:themeColor="text1"/>
                        </w:rPr>
                        <w:t xml:space="preserve">overnments and the research on the introduction of genetically modified (GM) crops (see Acworth, </w:t>
                      </w:r>
                      <w:proofErr w:type="spellStart"/>
                      <w:r w:rsidRPr="006E7A78">
                        <w:rPr>
                          <w:rFonts w:cstheme="minorHAnsi"/>
                          <w:color w:val="000000" w:themeColor="text1"/>
                        </w:rPr>
                        <w:t>Yainshet</w:t>
                      </w:r>
                      <w:proofErr w:type="spellEnd"/>
                      <w:r w:rsidRPr="006E7A78">
                        <w:rPr>
                          <w:rFonts w:cstheme="minorHAnsi"/>
                          <w:color w:val="000000" w:themeColor="text1"/>
                        </w:rPr>
                        <w:t xml:space="preserve"> and </w:t>
                      </w:r>
                      <w:proofErr w:type="spellStart"/>
                      <w:r w:rsidRPr="006E7A78">
                        <w:rPr>
                          <w:rFonts w:cstheme="minorHAnsi"/>
                          <w:color w:val="000000" w:themeColor="text1"/>
                        </w:rPr>
                        <w:t>Curtotti</w:t>
                      </w:r>
                      <w:proofErr w:type="spellEnd"/>
                      <w:r w:rsidRPr="006E7A78">
                        <w:rPr>
                          <w:rFonts w:cstheme="minorHAnsi"/>
                          <w:color w:val="000000" w:themeColor="text1"/>
                        </w:rPr>
                        <w:t>, 2008).</w:t>
                      </w:r>
                    </w:p>
                    <w:p w:rsidR="005337E2" w:rsidRPr="00A20567" w:rsidRDefault="005337E2" w:rsidP="008217E0">
                      <w:pPr>
                        <w:pStyle w:val="NormalWeb"/>
                        <w:spacing w:after="0"/>
                        <w:rPr>
                          <w:rFonts w:asciiTheme="minorHAnsi" w:hAnsiTheme="minorHAnsi" w:cstheme="minorHAnsi"/>
                          <w:color w:val="000000" w:themeColor="text1"/>
                          <w:sz w:val="22"/>
                          <w:szCs w:val="22"/>
                        </w:rPr>
                      </w:pPr>
                    </w:p>
                    <w:p w:rsidR="005337E2" w:rsidRPr="00A20567" w:rsidRDefault="005337E2" w:rsidP="00E72E31">
                      <w:pPr>
                        <w:spacing w:after="0" w:line="360" w:lineRule="auto"/>
                        <w:rPr>
                          <w:rFonts w:cstheme="minorHAnsi"/>
                          <w:color w:val="000000" w:themeColor="text1"/>
                        </w:rPr>
                      </w:pPr>
                      <w:r w:rsidRPr="00A20567">
                        <w:rPr>
                          <w:rFonts w:cstheme="minorHAnsi"/>
                          <w:color w:val="000000" w:themeColor="text1"/>
                        </w:rPr>
                        <w:t xml:space="preserve">At the international level, the </w:t>
                      </w:r>
                      <w:r>
                        <w:rPr>
                          <w:rFonts w:cstheme="minorHAnsi"/>
                          <w:color w:val="000000" w:themeColor="text1"/>
                        </w:rPr>
                        <w:t xml:space="preserve">Australian </w:t>
                      </w:r>
                      <w:r w:rsidRPr="00A20567">
                        <w:rPr>
                          <w:rFonts w:cstheme="minorHAnsi"/>
                          <w:color w:val="000000" w:themeColor="text1"/>
                        </w:rPr>
                        <w:t>I-O tables contribute to the Global Trade Analysis Project (GTAP), a</w:t>
                      </w:r>
                      <w:r w:rsidRPr="00A20567">
                        <w:rPr>
                          <w:rFonts w:cstheme="minorHAnsi"/>
                          <w:b/>
                          <w:bCs/>
                          <w:color w:val="000000" w:themeColor="text1"/>
                        </w:rPr>
                        <w:t> </w:t>
                      </w:r>
                      <w:r w:rsidRPr="00A20567">
                        <w:rPr>
                          <w:rFonts w:cstheme="minorHAnsi"/>
                          <w:color w:val="000000" w:themeColor="text1"/>
                        </w:rPr>
                        <w:t xml:space="preserve">global economic database and model based on national I-O tables; the OECD I-O </w:t>
                      </w:r>
                      <w:proofErr w:type="gramStart"/>
                      <w:r w:rsidRPr="00A20567">
                        <w:rPr>
                          <w:rFonts w:cstheme="minorHAnsi"/>
                          <w:color w:val="000000" w:themeColor="text1"/>
                        </w:rPr>
                        <w:t>tables</w:t>
                      </w:r>
                      <w:proofErr w:type="gramEnd"/>
                      <w:r w:rsidRPr="00A20567">
                        <w:rPr>
                          <w:rFonts w:cstheme="minorHAnsi"/>
                          <w:color w:val="000000" w:themeColor="text1"/>
                        </w:rPr>
                        <w:t xml:space="preserve"> database; as well as other international projects requiring I-O data at the national level.  GTAP has been used to analyse international </w:t>
                      </w:r>
                      <w:r>
                        <w:rPr>
                          <w:rFonts w:cstheme="minorHAnsi"/>
                          <w:color w:val="000000" w:themeColor="text1"/>
                        </w:rPr>
                        <w:t xml:space="preserve">trade </w:t>
                      </w:r>
                      <w:r w:rsidRPr="00A20567">
                        <w:rPr>
                          <w:rFonts w:cstheme="minorHAnsi"/>
                          <w:color w:val="000000" w:themeColor="text1"/>
                        </w:rPr>
                        <w:t>policy (see</w:t>
                      </w:r>
                      <w:r>
                        <w:rPr>
                          <w:rFonts w:cstheme="minorHAnsi"/>
                          <w:color w:val="000000" w:themeColor="text1"/>
                        </w:rPr>
                        <w:t xml:space="preserve"> for example</w:t>
                      </w:r>
                      <w:r w:rsidRPr="00A20567">
                        <w:rPr>
                          <w:rFonts w:cstheme="minorHAnsi"/>
                          <w:color w:val="000000" w:themeColor="text1"/>
                        </w:rPr>
                        <w:t xml:space="preserve"> Mai </w:t>
                      </w:r>
                      <w:r w:rsidRPr="00A20567">
                        <w:rPr>
                          <w:rFonts w:cstheme="minorHAnsi"/>
                          <w:i/>
                          <w:color w:val="000000" w:themeColor="text1"/>
                        </w:rPr>
                        <w:t>et al.</w:t>
                      </w:r>
                      <w:r w:rsidRPr="00A77E54">
                        <w:rPr>
                          <w:rFonts w:cstheme="minorHAnsi"/>
                          <w:color w:val="000000" w:themeColor="text1"/>
                        </w:rPr>
                        <w:t>,</w:t>
                      </w:r>
                      <w:r w:rsidRPr="00A20567">
                        <w:rPr>
                          <w:rFonts w:cstheme="minorHAnsi"/>
                          <w:i/>
                          <w:color w:val="000000" w:themeColor="text1"/>
                        </w:rPr>
                        <w:t xml:space="preserve"> </w:t>
                      </w:r>
                      <w:r w:rsidRPr="00A20567">
                        <w:rPr>
                          <w:rFonts w:cstheme="minorHAnsi"/>
                          <w:color w:val="000000" w:themeColor="text1"/>
                        </w:rPr>
                        <w:t>2005).</w:t>
                      </w:r>
                    </w:p>
                    <w:p w:rsidR="005337E2" w:rsidRPr="00A20567" w:rsidRDefault="005337E2" w:rsidP="008217E0">
                      <w:pPr>
                        <w:spacing w:after="0" w:line="240" w:lineRule="auto"/>
                        <w:rPr>
                          <w:rFonts w:cstheme="minorHAnsi"/>
                          <w:color w:val="000000" w:themeColor="text1"/>
                        </w:rPr>
                      </w:pPr>
                    </w:p>
                    <w:p w:rsidR="005337E2" w:rsidRPr="00A20567" w:rsidRDefault="005337E2" w:rsidP="00E72E31">
                      <w:pPr>
                        <w:spacing w:after="0" w:line="360" w:lineRule="auto"/>
                        <w:rPr>
                          <w:rFonts w:cstheme="minorHAnsi"/>
                          <w:color w:val="000000" w:themeColor="text1"/>
                        </w:rPr>
                      </w:pPr>
                      <w:r w:rsidRPr="00A20567">
                        <w:rPr>
                          <w:rFonts w:cstheme="minorHAnsi"/>
                          <w:color w:val="000000" w:themeColor="text1"/>
                        </w:rPr>
                        <w:t xml:space="preserve">Australian institutions contribute to global research in I-O related analyses </w:t>
                      </w:r>
                      <w:r>
                        <w:rPr>
                          <w:rFonts w:cstheme="minorHAnsi"/>
                          <w:color w:val="000000" w:themeColor="text1"/>
                        </w:rPr>
                        <w:t xml:space="preserve">by </w:t>
                      </w:r>
                      <w:r w:rsidRPr="00A20567">
                        <w:rPr>
                          <w:rFonts w:cstheme="minorHAnsi"/>
                          <w:color w:val="000000" w:themeColor="text1"/>
                        </w:rPr>
                        <w:t>contracting their expertise to international clients and providing software designed for CGE modelling purposes.  Examples of these are the Centre of Policy Studies (</w:t>
                      </w:r>
                      <w:proofErr w:type="spellStart"/>
                      <w:r w:rsidRPr="00A20567">
                        <w:rPr>
                          <w:rFonts w:cstheme="minorHAnsi"/>
                          <w:color w:val="000000" w:themeColor="text1"/>
                        </w:rPr>
                        <w:t>CoPS</w:t>
                      </w:r>
                      <w:proofErr w:type="spellEnd"/>
                      <w:r w:rsidRPr="00A20567">
                        <w:rPr>
                          <w:rFonts w:cstheme="minorHAnsi"/>
                          <w:color w:val="000000" w:themeColor="text1"/>
                        </w:rPr>
                        <w:t xml:space="preserve">) based at Monash University, with its MONASH and Monash Multi-Regional Forecasting (MMRF) models (Adams </w:t>
                      </w:r>
                      <w:r w:rsidRPr="00A20567">
                        <w:rPr>
                          <w:rFonts w:cstheme="minorHAnsi"/>
                          <w:i/>
                          <w:color w:val="000000" w:themeColor="text1"/>
                        </w:rPr>
                        <w:t>et al.</w:t>
                      </w:r>
                      <w:r w:rsidRPr="00A20567">
                        <w:rPr>
                          <w:rFonts w:cstheme="minorHAnsi"/>
                          <w:color w:val="000000" w:themeColor="text1"/>
                        </w:rPr>
                        <w:t xml:space="preserve">, 2011), the </w:t>
                      </w:r>
                      <w:r w:rsidRPr="00A20567">
                        <w:rPr>
                          <w:rStyle w:val="st1"/>
                          <w:rFonts w:cstheme="minorHAnsi"/>
                          <w:bCs/>
                          <w:color w:val="000000" w:themeColor="text1"/>
                        </w:rPr>
                        <w:t>Commonwealth Scientific and Industrial Research Organisation</w:t>
                      </w:r>
                      <w:r w:rsidRPr="00A20567">
                        <w:rPr>
                          <w:rStyle w:val="st1"/>
                          <w:rFonts w:cstheme="minorHAnsi"/>
                          <w:color w:val="000000" w:themeColor="text1"/>
                        </w:rPr>
                        <w:t xml:space="preserve"> (</w:t>
                      </w:r>
                      <w:r w:rsidRPr="00A20567">
                        <w:rPr>
                          <w:rFonts w:cstheme="minorHAnsi"/>
                          <w:color w:val="000000" w:themeColor="text1"/>
                        </w:rPr>
                        <w:t xml:space="preserve">CSIRO) and the Centre for Integrated Sustainability Analysis based at the University of Sydney.  </w:t>
                      </w:r>
                    </w:p>
                  </w:txbxContent>
                </v:textbox>
                <w10:wrap type="square"/>
              </v:shape>
            </w:pict>
          </mc:Fallback>
        </mc:AlternateContent>
      </w:r>
    </w:p>
    <w:p w:rsidR="0010439F" w:rsidRPr="00B07535" w:rsidRDefault="0010439F" w:rsidP="00A0309C">
      <w:pPr>
        <w:pStyle w:val="Heading1"/>
        <w:spacing w:before="0" w:after="120"/>
        <w:rPr>
          <w:rFonts w:eastAsia="Times New Roman"/>
          <w:lang w:eastAsia="en-AU"/>
        </w:rPr>
      </w:pPr>
      <w:r w:rsidRPr="00B07535">
        <w:lastRenderedPageBreak/>
        <w:t>Ensuring high quality I-O tables</w:t>
      </w:r>
    </w:p>
    <w:p w:rsidR="0010439F" w:rsidRPr="00B07535" w:rsidRDefault="00802ED9" w:rsidP="0010439F">
      <w:pPr>
        <w:spacing w:after="0" w:line="360" w:lineRule="auto"/>
        <w:rPr>
          <w:rFonts w:ascii="Calibri" w:hAnsi="Calibri" w:cs="Arial"/>
          <w:color w:val="000000" w:themeColor="text1"/>
          <w:sz w:val="24"/>
        </w:rPr>
      </w:pPr>
      <w:r>
        <w:rPr>
          <w:rFonts w:eastAsia="Times New Roman" w:cstheme="minorHAnsi"/>
          <w:color w:val="000000" w:themeColor="text1"/>
          <w:sz w:val="24"/>
          <w:szCs w:val="24"/>
          <w:lang w:eastAsia="en-AU"/>
        </w:rPr>
        <w:t>The k</w:t>
      </w:r>
      <w:r w:rsidR="0010439F" w:rsidRPr="00B07535">
        <w:rPr>
          <w:rFonts w:eastAsia="Times New Roman" w:cstheme="minorHAnsi"/>
          <w:color w:val="000000" w:themeColor="text1"/>
          <w:sz w:val="24"/>
          <w:szCs w:val="24"/>
          <w:lang w:eastAsia="en-AU"/>
        </w:rPr>
        <w:t xml:space="preserve">ey to sound policy analysis based on the I-O framework is the quality of the I-O tables.  </w:t>
      </w:r>
      <w:r w:rsidR="00B07535">
        <w:rPr>
          <w:rFonts w:ascii="Calibri" w:hAnsi="Calibri" w:cs="Arial"/>
          <w:color w:val="000000" w:themeColor="text1"/>
          <w:sz w:val="24"/>
        </w:rPr>
        <w:t xml:space="preserve">Compiling </w:t>
      </w:r>
      <w:r w:rsidR="0010439F" w:rsidRPr="00B07535">
        <w:rPr>
          <w:rFonts w:ascii="Calibri" w:hAnsi="Calibri" w:cs="Arial"/>
          <w:color w:val="000000" w:themeColor="text1"/>
          <w:sz w:val="24"/>
        </w:rPr>
        <w:t xml:space="preserve">high quality I-O tables is a significant challenge due to their size </w:t>
      </w:r>
      <w:r w:rsidR="003A28A3">
        <w:rPr>
          <w:rFonts w:ascii="Calibri" w:hAnsi="Calibri" w:cs="Arial"/>
          <w:color w:val="000000" w:themeColor="text1"/>
          <w:sz w:val="24"/>
        </w:rPr>
        <w:t xml:space="preserve">– </w:t>
      </w:r>
      <w:r w:rsidR="0010439F" w:rsidRPr="00B07535">
        <w:rPr>
          <w:rFonts w:ascii="Calibri" w:hAnsi="Calibri" w:cs="Arial"/>
          <w:color w:val="000000" w:themeColor="text1"/>
          <w:sz w:val="24"/>
        </w:rPr>
        <w:t xml:space="preserve">7.7 million data points </w:t>
      </w:r>
      <w:r w:rsidR="008F7736">
        <w:rPr>
          <w:rFonts w:ascii="Calibri" w:hAnsi="Calibri" w:cs="Arial"/>
          <w:color w:val="000000" w:themeColor="text1"/>
          <w:sz w:val="24"/>
        </w:rPr>
        <w:t xml:space="preserve">for the 2007-08 I-O tables </w:t>
      </w:r>
      <w:r w:rsidR="003A28A3">
        <w:rPr>
          <w:rFonts w:ascii="Calibri" w:hAnsi="Calibri" w:cs="Arial"/>
          <w:color w:val="000000" w:themeColor="text1"/>
          <w:sz w:val="24"/>
        </w:rPr>
        <w:t xml:space="preserve">– </w:t>
      </w:r>
      <w:r w:rsidR="0010439F" w:rsidRPr="00B07535">
        <w:rPr>
          <w:rFonts w:ascii="Calibri" w:hAnsi="Calibri" w:cs="Arial"/>
          <w:color w:val="000000" w:themeColor="text1"/>
          <w:sz w:val="24"/>
        </w:rPr>
        <w:t xml:space="preserve">and the resulting need to develop a strategy to monitor the data quality efficiently. </w:t>
      </w:r>
    </w:p>
    <w:p w:rsidR="0010439F" w:rsidRPr="00B07535" w:rsidRDefault="0010439F" w:rsidP="0010439F">
      <w:pPr>
        <w:spacing w:after="0" w:line="360" w:lineRule="auto"/>
        <w:rPr>
          <w:rFonts w:ascii="Calibri" w:hAnsi="Calibri" w:cs="Arial"/>
          <w:color w:val="000000" w:themeColor="text1"/>
          <w:sz w:val="24"/>
        </w:rPr>
      </w:pPr>
    </w:p>
    <w:p w:rsidR="0010439F" w:rsidRPr="00B07535" w:rsidRDefault="003A28A3" w:rsidP="0010439F">
      <w:pPr>
        <w:spacing w:after="0" w:line="360" w:lineRule="auto"/>
        <w:rPr>
          <w:rFonts w:cstheme="minorHAnsi"/>
          <w:color w:val="000000" w:themeColor="text1"/>
          <w:sz w:val="24"/>
          <w:szCs w:val="24"/>
        </w:rPr>
      </w:pPr>
      <w:r>
        <w:rPr>
          <w:rFonts w:cstheme="minorHAnsi"/>
          <w:color w:val="000000" w:themeColor="text1"/>
          <w:sz w:val="24"/>
          <w:szCs w:val="24"/>
        </w:rPr>
        <w:t xml:space="preserve">An important part of maintaining qualities is the use of “Quality Gates”.  </w:t>
      </w:r>
      <w:r w:rsidR="0010439F" w:rsidRPr="00B07535">
        <w:rPr>
          <w:rFonts w:cstheme="minorHAnsi"/>
          <w:color w:val="000000" w:themeColor="text1"/>
          <w:sz w:val="24"/>
          <w:szCs w:val="24"/>
        </w:rPr>
        <w:t xml:space="preserve">The ABS implemented Quality Gates into the production of the 2004-05 </w:t>
      </w:r>
      <w:r w:rsidR="000F6243">
        <w:rPr>
          <w:rFonts w:cstheme="minorHAnsi"/>
          <w:color w:val="000000" w:themeColor="text1"/>
          <w:sz w:val="24"/>
          <w:szCs w:val="24"/>
        </w:rPr>
        <w:t>I</w:t>
      </w:r>
      <w:r w:rsidR="000F6243">
        <w:rPr>
          <w:rFonts w:cstheme="minorHAnsi"/>
          <w:color w:val="000000" w:themeColor="text1"/>
          <w:sz w:val="24"/>
          <w:szCs w:val="24"/>
        </w:rPr>
        <w:noBreakHyphen/>
        <w:t>O </w:t>
      </w:r>
      <w:r w:rsidR="0010439F" w:rsidRPr="00B07535">
        <w:rPr>
          <w:rFonts w:cstheme="minorHAnsi"/>
          <w:color w:val="000000" w:themeColor="text1"/>
          <w:sz w:val="24"/>
          <w:szCs w:val="24"/>
        </w:rPr>
        <w:t>tables</w:t>
      </w:r>
      <w:r>
        <w:rPr>
          <w:rFonts w:cstheme="minorHAnsi"/>
          <w:color w:val="000000" w:themeColor="text1"/>
          <w:sz w:val="24"/>
          <w:szCs w:val="24"/>
        </w:rPr>
        <w:t>, which were released</w:t>
      </w:r>
      <w:r w:rsidR="00BB6472">
        <w:rPr>
          <w:rFonts w:cstheme="minorHAnsi"/>
          <w:color w:val="000000" w:themeColor="text1"/>
          <w:sz w:val="24"/>
          <w:szCs w:val="24"/>
        </w:rPr>
        <w:t xml:space="preserve"> in 2008</w:t>
      </w:r>
      <w:r w:rsidR="0010439F" w:rsidRPr="00B07535">
        <w:rPr>
          <w:rFonts w:cstheme="minorHAnsi"/>
          <w:color w:val="000000" w:themeColor="text1"/>
          <w:sz w:val="24"/>
          <w:szCs w:val="24"/>
        </w:rPr>
        <w:t>.  Quality Gates are tools designed to improve the early detection of errors or flaws in a compilation process.</w:t>
      </w:r>
      <w:r w:rsidR="00FF04E2">
        <w:rPr>
          <w:rFonts w:cstheme="minorHAnsi"/>
          <w:color w:val="000000" w:themeColor="text1"/>
          <w:sz w:val="24"/>
          <w:szCs w:val="24"/>
        </w:rPr>
        <w:t xml:space="preserve">  </w:t>
      </w:r>
      <w:r w:rsidR="0010439F" w:rsidRPr="00B07535">
        <w:rPr>
          <w:rFonts w:cstheme="minorHAnsi"/>
          <w:color w:val="000000" w:themeColor="text1"/>
          <w:sz w:val="24"/>
          <w:szCs w:val="24"/>
        </w:rPr>
        <w:t>At every strategic point in both the compilation and dissemination process, the data are assessed against a set of objective measures.</w:t>
      </w:r>
      <w:r w:rsidR="0010439F" w:rsidRPr="00B07535">
        <w:rPr>
          <w:rFonts w:cstheme="minorHAnsi"/>
          <w:color w:val="000000" w:themeColor="text1"/>
          <w:sz w:val="24"/>
          <w:szCs w:val="24"/>
        </w:rPr>
        <w:br/>
      </w:r>
    </w:p>
    <w:p w:rsidR="0010439F" w:rsidRPr="00B07535" w:rsidRDefault="0010439F" w:rsidP="0010439F">
      <w:pPr>
        <w:spacing w:after="0" w:line="360" w:lineRule="auto"/>
        <w:rPr>
          <w:rFonts w:cstheme="minorHAnsi"/>
          <w:color w:val="000000" w:themeColor="text1"/>
          <w:sz w:val="24"/>
          <w:szCs w:val="24"/>
        </w:rPr>
      </w:pPr>
      <w:r w:rsidRPr="00B07535">
        <w:rPr>
          <w:rFonts w:cstheme="minorHAnsi"/>
          <w:color w:val="000000" w:themeColor="text1"/>
          <w:sz w:val="24"/>
          <w:szCs w:val="24"/>
        </w:rPr>
        <w:t>The concept of Quality Gates has contributed to the development of a formal strategy to ensure data quality in the I-O tables.</w:t>
      </w:r>
      <w:r w:rsidR="00FF04E2">
        <w:rPr>
          <w:rFonts w:cstheme="minorHAnsi"/>
          <w:color w:val="000000" w:themeColor="text1"/>
          <w:sz w:val="24"/>
          <w:szCs w:val="24"/>
        </w:rPr>
        <w:t xml:space="preserve">  </w:t>
      </w:r>
      <w:r w:rsidRPr="00B07535">
        <w:rPr>
          <w:rFonts w:cstheme="minorHAnsi"/>
          <w:color w:val="000000" w:themeColor="text1"/>
          <w:sz w:val="24"/>
          <w:szCs w:val="24"/>
        </w:rPr>
        <w:t>It is an important component of progress monitoring, risk management and quality assurance in the tables.</w:t>
      </w:r>
      <w:r w:rsidR="00FF04E2">
        <w:rPr>
          <w:rFonts w:cstheme="minorHAnsi"/>
          <w:color w:val="000000" w:themeColor="text1"/>
          <w:sz w:val="24"/>
          <w:szCs w:val="24"/>
        </w:rPr>
        <w:t xml:space="preserve">  </w:t>
      </w:r>
      <w:r w:rsidRPr="00B07535">
        <w:rPr>
          <w:rFonts w:cstheme="minorHAnsi"/>
          <w:color w:val="000000" w:themeColor="text1"/>
          <w:sz w:val="24"/>
          <w:szCs w:val="24"/>
        </w:rPr>
        <w:t xml:space="preserve">Quality Gates also ensure accountability and responsibility for each stage of processing, and formalise documentation of processes for future reference. </w:t>
      </w:r>
    </w:p>
    <w:p w:rsidR="0010439F" w:rsidRPr="00B07535" w:rsidRDefault="0010439F" w:rsidP="0010439F">
      <w:pPr>
        <w:spacing w:after="0" w:line="360" w:lineRule="auto"/>
        <w:rPr>
          <w:rFonts w:cstheme="minorHAnsi"/>
          <w:color w:val="000000" w:themeColor="text1"/>
          <w:sz w:val="24"/>
          <w:szCs w:val="24"/>
        </w:rPr>
      </w:pPr>
    </w:p>
    <w:p w:rsidR="0010439F" w:rsidRPr="00B07535" w:rsidRDefault="0010439F" w:rsidP="0010439F">
      <w:pPr>
        <w:spacing w:after="0" w:line="360" w:lineRule="auto"/>
        <w:rPr>
          <w:rFonts w:cstheme="minorHAnsi"/>
          <w:b/>
          <w:color w:val="000000" w:themeColor="text1"/>
          <w:sz w:val="24"/>
          <w:szCs w:val="24"/>
        </w:rPr>
      </w:pPr>
      <w:r w:rsidRPr="00B07535">
        <w:rPr>
          <w:rFonts w:cstheme="minorHAnsi"/>
          <w:color w:val="000000" w:themeColor="text1"/>
          <w:sz w:val="24"/>
          <w:szCs w:val="24"/>
        </w:rPr>
        <w:t>The Quality Gates have proven to be a valuable tool in maintaining data quality, especially with a large, complicated data set like the I-O tables.</w:t>
      </w:r>
      <w:r w:rsidR="00FF04E2">
        <w:rPr>
          <w:rFonts w:cstheme="minorHAnsi"/>
          <w:color w:val="000000" w:themeColor="text1"/>
          <w:sz w:val="24"/>
          <w:szCs w:val="24"/>
        </w:rPr>
        <w:t xml:space="preserve">  </w:t>
      </w:r>
      <w:r w:rsidRPr="00B07535">
        <w:rPr>
          <w:rFonts w:cstheme="minorHAnsi"/>
          <w:color w:val="000000" w:themeColor="text1"/>
          <w:sz w:val="24"/>
          <w:szCs w:val="24"/>
        </w:rPr>
        <w:t>They affect the compilation process by setting the quality objectives to attain.  Box 2 provides more detailed information on the implementation process of Quality Gates.</w:t>
      </w:r>
      <w:r w:rsidRPr="00B07535">
        <w:rPr>
          <w:rFonts w:cstheme="minorHAnsi"/>
          <w:b/>
          <w:color w:val="000000" w:themeColor="text1"/>
          <w:sz w:val="24"/>
          <w:szCs w:val="24"/>
        </w:rPr>
        <w:t xml:space="preserve"> </w:t>
      </w:r>
    </w:p>
    <w:p w:rsidR="0010439F" w:rsidRPr="00B07535" w:rsidRDefault="0010439F" w:rsidP="0010439F">
      <w:pPr>
        <w:spacing w:after="0" w:line="360" w:lineRule="auto"/>
        <w:rPr>
          <w:rFonts w:cstheme="minorHAnsi"/>
          <w:color w:val="000000" w:themeColor="text1"/>
          <w:sz w:val="24"/>
          <w:szCs w:val="24"/>
        </w:rPr>
      </w:pPr>
    </w:p>
    <w:p w:rsidR="0010439F" w:rsidRPr="00B07535" w:rsidRDefault="0010439F" w:rsidP="0010439F">
      <w:pPr>
        <w:spacing w:after="0" w:line="360" w:lineRule="auto"/>
        <w:rPr>
          <w:rFonts w:cstheme="minorHAnsi"/>
          <w:b/>
          <w:color w:val="000000" w:themeColor="text1"/>
          <w:sz w:val="24"/>
          <w:szCs w:val="24"/>
        </w:rPr>
      </w:pPr>
    </w:p>
    <w:p w:rsidR="0010439F" w:rsidRPr="00B07535" w:rsidRDefault="0010439F" w:rsidP="0010439F">
      <w:pPr>
        <w:autoSpaceDE w:val="0"/>
        <w:autoSpaceDN w:val="0"/>
        <w:adjustRightInd w:val="0"/>
        <w:spacing w:after="0" w:line="480" w:lineRule="auto"/>
        <w:rPr>
          <w:rFonts w:cstheme="minorHAnsi"/>
          <w:b/>
          <w:color w:val="000000" w:themeColor="text1"/>
          <w:sz w:val="24"/>
          <w:szCs w:val="24"/>
        </w:rPr>
      </w:pPr>
      <w:r w:rsidRPr="00B07535">
        <w:rPr>
          <w:noProof/>
          <w:color w:val="000000" w:themeColor="text1"/>
          <w:lang w:eastAsia="en-AU"/>
        </w:rPr>
        <w:lastRenderedPageBreak/>
        <mc:AlternateContent>
          <mc:Choice Requires="wps">
            <w:drawing>
              <wp:anchor distT="0" distB="0" distL="114300" distR="114300" simplePos="0" relativeHeight="251682816" behindDoc="0" locked="0" layoutInCell="1" allowOverlap="1" wp14:anchorId="6859254D" wp14:editId="3EF8E1D9">
                <wp:simplePos x="0" y="0"/>
                <wp:positionH relativeFrom="column">
                  <wp:posOffset>0</wp:posOffset>
                </wp:positionH>
                <wp:positionV relativeFrom="paragraph">
                  <wp:posOffset>0</wp:posOffset>
                </wp:positionV>
                <wp:extent cx="1828800" cy="8943975"/>
                <wp:effectExtent l="0" t="0" r="15240" b="28575"/>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8943975"/>
                        </a:xfrm>
                        <a:prstGeom prst="rect">
                          <a:avLst/>
                        </a:prstGeom>
                        <a:noFill/>
                        <a:ln w="6350">
                          <a:solidFill>
                            <a:prstClr val="black"/>
                          </a:solidFill>
                        </a:ln>
                        <a:effectLst/>
                      </wps:spPr>
                      <wps:txbx>
                        <w:txbxContent>
                          <w:p w:rsidR="00A22474" w:rsidRPr="00B07535" w:rsidRDefault="00A22474" w:rsidP="0010439F">
                            <w:pPr>
                              <w:spacing w:after="0" w:line="360" w:lineRule="auto"/>
                              <w:rPr>
                                <w:rFonts w:cstheme="minorHAnsi"/>
                                <w:b/>
                                <w:color w:val="000000" w:themeColor="text1"/>
                                <w:sz w:val="24"/>
                                <w:szCs w:val="24"/>
                              </w:rPr>
                            </w:pPr>
                            <w:r w:rsidRPr="00B07535">
                              <w:rPr>
                                <w:rFonts w:cstheme="minorHAnsi"/>
                                <w:b/>
                                <w:color w:val="000000" w:themeColor="text1"/>
                                <w:sz w:val="24"/>
                                <w:szCs w:val="24"/>
                              </w:rPr>
                              <w:t>Box 2: Quality Gates to ensure high quality I-O tables</w:t>
                            </w:r>
                          </w:p>
                          <w:p w:rsidR="00A22474" w:rsidRPr="00A20567" w:rsidRDefault="00A22474" w:rsidP="0010439F">
                            <w:pPr>
                              <w:spacing w:after="0" w:line="360" w:lineRule="auto"/>
                              <w:rPr>
                                <w:rFonts w:ascii="Calibri" w:hAnsi="Calibri" w:cs="Arial"/>
                                <w:color w:val="000000" w:themeColor="text1"/>
                              </w:rPr>
                            </w:pPr>
                            <w:r w:rsidRPr="00A20567">
                              <w:rPr>
                                <w:rFonts w:ascii="Calibri" w:hAnsi="Calibri" w:cs="Arial"/>
                                <w:color w:val="000000" w:themeColor="text1"/>
                              </w:rPr>
                              <w:t xml:space="preserve">The introduction of Quality Gates required the mapping of the entire I-O process. Such mapping ensured the inclusion of Quality Gates </w:t>
                            </w:r>
                            <w:r>
                              <w:rPr>
                                <w:rFonts w:ascii="Calibri" w:hAnsi="Calibri" w:cs="Arial"/>
                                <w:color w:val="000000" w:themeColor="text1"/>
                              </w:rPr>
                              <w:t xml:space="preserve">at each of the following stages: </w:t>
                            </w:r>
                            <w:r w:rsidRPr="00A20567">
                              <w:rPr>
                                <w:rFonts w:ascii="Calibri" w:hAnsi="Calibri" w:cs="Arial"/>
                                <w:color w:val="000000" w:themeColor="text1"/>
                              </w:rPr>
                              <w:t xml:space="preserve"> input data, pre-balancing investigation, compilation and balancing, release of preliminary and final tables, release of alternative view tables</w:t>
                            </w:r>
                            <w:r>
                              <w:rPr>
                                <w:rFonts w:ascii="Calibri" w:hAnsi="Calibri" w:cs="Arial"/>
                                <w:color w:val="000000" w:themeColor="text1"/>
                              </w:rPr>
                              <w:t xml:space="preserve"> for modellers</w:t>
                            </w:r>
                            <w:r w:rsidRPr="00A20567">
                              <w:rPr>
                                <w:rFonts w:ascii="Calibri" w:hAnsi="Calibri" w:cs="Arial"/>
                                <w:color w:val="000000" w:themeColor="text1"/>
                              </w:rPr>
                              <w:t>, release of product details (commodity cards) and process review.</w:t>
                            </w:r>
                          </w:p>
                          <w:p w:rsidR="00A22474" w:rsidRPr="00A20567" w:rsidRDefault="00A22474" w:rsidP="0010439F">
                            <w:pPr>
                              <w:spacing w:after="0" w:line="360" w:lineRule="auto"/>
                              <w:rPr>
                                <w:rFonts w:ascii="Calibri" w:hAnsi="Calibri" w:cs="Arial"/>
                                <w:color w:val="000000" w:themeColor="text1"/>
                              </w:rPr>
                            </w:pPr>
                          </w:p>
                          <w:p w:rsidR="00A22474" w:rsidRPr="00A20567" w:rsidRDefault="00A22474" w:rsidP="00D407BB">
                            <w:pPr>
                              <w:autoSpaceDE w:val="0"/>
                              <w:autoSpaceDN w:val="0"/>
                              <w:adjustRightInd w:val="0"/>
                              <w:spacing w:after="0" w:line="360" w:lineRule="auto"/>
                              <w:rPr>
                                <w:rFonts w:cstheme="minorHAnsi"/>
                                <w:color w:val="000000" w:themeColor="text1"/>
                              </w:rPr>
                            </w:pPr>
                            <w:r w:rsidRPr="00A20567">
                              <w:rPr>
                                <w:rFonts w:cstheme="minorHAnsi"/>
                                <w:color w:val="000000" w:themeColor="text1"/>
                              </w:rPr>
                              <w:t xml:space="preserve">Each gate includes a series of manual checks or measures which have been progressively improved using experience </w:t>
                            </w:r>
                            <w:r>
                              <w:rPr>
                                <w:rFonts w:cstheme="minorHAnsi"/>
                                <w:color w:val="000000" w:themeColor="text1"/>
                              </w:rPr>
                              <w:t xml:space="preserve">from </w:t>
                            </w:r>
                            <w:r w:rsidRPr="00A20567">
                              <w:rPr>
                                <w:rFonts w:cstheme="minorHAnsi"/>
                                <w:color w:val="000000" w:themeColor="text1"/>
                              </w:rPr>
                              <w:t>previous cycles and</w:t>
                            </w:r>
                            <w:r>
                              <w:rPr>
                                <w:rFonts w:cstheme="minorHAnsi"/>
                                <w:color w:val="000000" w:themeColor="text1"/>
                              </w:rPr>
                              <w:t xml:space="preserve"> user feedback</w:t>
                            </w:r>
                            <w:r w:rsidRPr="00A20567">
                              <w:rPr>
                                <w:rFonts w:cstheme="minorHAnsi"/>
                                <w:color w:val="000000" w:themeColor="text1"/>
                              </w:rPr>
                              <w:t xml:space="preserve">. One measure, for example, ensures that all three measures of </w:t>
                            </w:r>
                            <w:r>
                              <w:rPr>
                                <w:rFonts w:cstheme="minorHAnsi"/>
                                <w:color w:val="000000" w:themeColor="text1"/>
                              </w:rPr>
                              <w:t>Gross Domestic Product (GDP)</w:t>
                            </w:r>
                            <w:r w:rsidRPr="00A20567">
                              <w:rPr>
                                <w:rFonts w:cstheme="minorHAnsi"/>
                                <w:color w:val="000000" w:themeColor="text1"/>
                              </w:rPr>
                              <w:t xml:space="preserve"> match published estimates from the Australian National Accounts.  Each measure has a different tolerance level.  For example, there is nil to</w:t>
                            </w:r>
                            <w:r>
                              <w:rPr>
                                <w:rFonts w:cstheme="minorHAnsi"/>
                                <w:color w:val="000000" w:themeColor="text1"/>
                              </w:rPr>
                              <w:t>lerance for I</w:t>
                            </w:r>
                            <w:r>
                              <w:rPr>
                                <w:rFonts w:cstheme="minorHAnsi"/>
                                <w:color w:val="000000" w:themeColor="text1"/>
                              </w:rPr>
                              <w:noBreakHyphen/>
                            </w:r>
                            <w:r w:rsidRPr="00A20567">
                              <w:rPr>
                                <w:rFonts w:cstheme="minorHAnsi"/>
                                <w:color w:val="000000" w:themeColor="text1"/>
                              </w:rPr>
                              <w:t>O aggregates misaligning with published National Accounts estimates whilst the tolerance level for</w:t>
                            </w:r>
                            <w:r>
                              <w:rPr>
                                <w:rFonts w:cstheme="minorHAnsi"/>
                                <w:color w:val="000000" w:themeColor="text1"/>
                              </w:rPr>
                              <w:t xml:space="preserve"> the coverage and specialisation ratios is higher.  </w:t>
                            </w:r>
                            <w:r w:rsidRPr="00A20567">
                              <w:rPr>
                                <w:rFonts w:cstheme="minorHAnsi"/>
                                <w:color w:val="000000" w:themeColor="text1"/>
                              </w:rPr>
                              <w:t>Importantly, the majority of the Quality Measures are assessed at every quality gate. The measures incl</w:t>
                            </w:r>
                            <w:r>
                              <w:rPr>
                                <w:rFonts w:cstheme="minorHAnsi"/>
                                <w:color w:val="000000" w:themeColor="text1"/>
                              </w:rPr>
                              <w:t>ude:</w:t>
                            </w:r>
                          </w:p>
                          <w:p w:rsidR="00A22474" w:rsidRPr="00A20567" w:rsidRDefault="00A22474" w:rsidP="00D407BB">
                            <w:pPr>
                              <w:pStyle w:val="ListParagraph"/>
                              <w:numPr>
                                <w:ilvl w:val="0"/>
                                <w:numId w:val="8"/>
                              </w:numPr>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w:t>
                            </w:r>
                            <w:r w:rsidRPr="00A20567">
                              <w:rPr>
                                <w:rFonts w:asciiTheme="minorHAnsi" w:hAnsiTheme="minorHAnsi" w:cstheme="minorHAnsi"/>
                                <w:color w:val="000000" w:themeColor="text1"/>
                                <w:sz w:val="22"/>
                                <w:szCs w:val="22"/>
                              </w:rPr>
                              <w:t>ll three measures of GDP equal;</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Supply-Use tables are balanced in both rows and columns;</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t</w:t>
                            </w:r>
                            <w:r w:rsidRPr="00A20567">
                              <w:rPr>
                                <w:rFonts w:asciiTheme="minorHAnsi" w:hAnsiTheme="minorHAnsi" w:cstheme="minorHAnsi"/>
                                <w:color w:val="000000" w:themeColor="text1"/>
                                <w:sz w:val="22"/>
                                <w:szCs w:val="22"/>
                              </w:rPr>
                              <w:t xml:space="preserve">here are no negative values in Supply, Intermediate Use and </w:t>
                            </w:r>
                            <w:r w:rsidRPr="00A20567">
                              <w:rPr>
                                <w:rFonts w:asciiTheme="minorHAnsi" w:hAnsiTheme="minorHAnsi" w:cstheme="minorHAnsi"/>
                                <w:color w:val="000000" w:themeColor="text1"/>
                                <w:sz w:val="22"/>
                                <w:szCs w:val="22"/>
                              </w:rPr>
                              <w:br/>
                              <w:t xml:space="preserve">       Final Demand (excluding change in Inventories, second hand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 xml:space="preserve">Gross Fixed Capital Formation (GFCF) and </w:t>
                            </w:r>
                            <w:r w:rsidRPr="00A20567">
                              <w:rPr>
                                <w:rFonts w:asciiTheme="minorHAnsi" w:hAnsiTheme="minorHAnsi" w:cstheme="minorHAnsi"/>
                                <w:color w:val="000000" w:themeColor="text1"/>
                                <w:sz w:val="22"/>
                                <w:szCs w:val="22"/>
                              </w:rPr>
                              <w:br/>
                              <w:t xml:space="preserve">       imports of non-margin transport products);</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a</w:t>
                            </w:r>
                            <w:r w:rsidRPr="00A20567">
                              <w:rPr>
                                <w:rFonts w:asciiTheme="minorHAnsi" w:hAnsiTheme="minorHAnsi" w:cstheme="minorHAnsi"/>
                                <w:color w:val="000000" w:themeColor="text1"/>
                                <w:sz w:val="22"/>
                                <w:szCs w:val="22"/>
                              </w:rPr>
                              <w:t xml:space="preserve">ggregate data matches the relevant release of the Australian </w:t>
                            </w:r>
                            <w:r w:rsidRPr="00A20567">
                              <w:rPr>
                                <w:rFonts w:asciiTheme="minorHAnsi" w:hAnsiTheme="minorHAnsi" w:cstheme="minorHAnsi"/>
                                <w:color w:val="000000" w:themeColor="text1"/>
                                <w:sz w:val="22"/>
                                <w:szCs w:val="22"/>
                              </w:rPr>
                              <w:br/>
                              <w:t xml:space="preserve">       National Accounts;</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w:t>
                            </w:r>
                            <w:r w:rsidRPr="00A20567">
                              <w:rPr>
                                <w:rFonts w:asciiTheme="minorHAnsi" w:hAnsiTheme="minorHAnsi" w:cstheme="minorHAnsi"/>
                                <w:color w:val="000000" w:themeColor="text1"/>
                                <w:sz w:val="22"/>
                                <w:szCs w:val="22"/>
                              </w:rPr>
                              <w:t>ll known issues from previous tables have been resolved;</w:t>
                            </w:r>
                          </w:p>
                          <w:p w:rsidR="00A22474" w:rsidRPr="0096748F"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t</w:t>
                            </w:r>
                            <w:r w:rsidRPr="0096748F">
                              <w:rPr>
                                <w:rFonts w:asciiTheme="minorHAnsi" w:hAnsiTheme="minorHAnsi" w:cstheme="minorHAnsi"/>
                                <w:color w:val="000000" w:themeColor="text1"/>
                                <w:sz w:val="22"/>
                                <w:szCs w:val="22"/>
                              </w:rPr>
                              <w:t>he cost insurance freight–free on board (</w:t>
                            </w:r>
                            <w:proofErr w:type="spellStart"/>
                            <w:r w:rsidRPr="0096748F">
                              <w:rPr>
                                <w:rFonts w:asciiTheme="minorHAnsi" w:hAnsiTheme="minorHAnsi" w:cstheme="minorHAnsi"/>
                                <w:color w:val="000000" w:themeColor="text1"/>
                                <w:sz w:val="22"/>
                                <w:szCs w:val="22"/>
                              </w:rPr>
                              <w:t>cif</w:t>
                            </w:r>
                            <w:proofErr w:type="spellEnd"/>
                            <w:r w:rsidRPr="0096748F">
                              <w:rPr>
                                <w:rFonts w:asciiTheme="minorHAnsi" w:hAnsiTheme="minorHAnsi" w:cstheme="minorHAnsi"/>
                                <w:color w:val="000000" w:themeColor="text1"/>
                                <w:sz w:val="22"/>
                                <w:szCs w:val="22"/>
                              </w:rPr>
                              <w:t xml:space="preserve">-fob) adjustment has been </w:t>
                            </w: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br/>
                            </w:r>
                            <w:r w:rsidRPr="0096748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96748F">
                              <w:rPr>
                                <w:rFonts w:asciiTheme="minorHAnsi" w:hAnsiTheme="minorHAnsi" w:cstheme="minorHAnsi"/>
                                <w:color w:val="000000" w:themeColor="text1"/>
                                <w:sz w:val="22"/>
                                <w:szCs w:val="22"/>
                              </w:rPr>
                              <w:t>applied;</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S</w:t>
                            </w:r>
                            <w:r w:rsidRPr="00A20567">
                              <w:rPr>
                                <w:rFonts w:asciiTheme="minorHAnsi" w:hAnsiTheme="minorHAnsi" w:cstheme="minorHAnsi"/>
                                <w:color w:val="000000" w:themeColor="text1"/>
                                <w:sz w:val="22"/>
                                <w:szCs w:val="22"/>
                              </w:rPr>
                              <w:t xml:space="preserve">ervices at I-O Product Category (IOPC) level do not have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inventories or margins;</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GST and retail margins are consistent with HFCE data;</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E</w:t>
                            </w:r>
                            <w:r w:rsidRPr="00A20567">
                              <w:rPr>
                                <w:rFonts w:asciiTheme="minorHAnsi" w:hAnsiTheme="minorHAnsi" w:cstheme="minorHAnsi"/>
                                <w:color w:val="000000" w:themeColor="text1"/>
                                <w:sz w:val="22"/>
                                <w:szCs w:val="22"/>
                              </w:rPr>
                              <w:t>xports do not exceed Australian Production;</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 xml:space="preserve">Re-exports do not exceed imports (unless Inventories are </w:t>
                            </w:r>
                            <w:r w:rsidRPr="00A20567">
                              <w:rPr>
                                <w:rFonts w:asciiTheme="minorHAnsi" w:hAnsiTheme="minorHAnsi" w:cstheme="minorHAnsi"/>
                                <w:color w:val="000000" w:themeColor="text1"/>
                                <w:sz w:val="22"/>
                                <w:szCs w:val="22"/>
                              </w:rPr>
                              <w:br/>
                              <w:t xml:space="preserve">       drawn down);</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Coverage and Specialisation ratios are plausible;</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Supply and Use are plausible for the top 50 products;</w:t>
                            </w:r>
                          </w:p>
                          <w:p w:rsidR="00A22474" w:rsidRPr="00A20567" w:rsidRDefault="00A22474"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 xml:space="preserve">Compensation of Employees and Intermediate Use and Gross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Operating Surplus and Intermediate Use ratios are plausible;</w:t>
                            </w:r>
                            <w:r>
                              <w:rPr>
                                <w:rFonts w:asciiTheme="minorHAnsi" w:hAnsiTheme="minorHAnsi" w:cstheme="minorHAnsi"/>
                                <w:color w:val="000000" w:themeColor="text1"/>
                                <w:sz w:val="22"/>
                                <w:szCs w:val="22"/>
                              </w:rPr>
                              <w:t xml:space="preserve"> and</w:t>
                            </w: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ab/>
                            </w:r>
                          </w:p>
                          <w:p w:rsidR="00A22474" w:rsidRPr="00A20567" w:rsidRDefault="00A22474" w:rsidP="00A77E54">
                            <w:pPr>
                              <w:pStyle w:val="ListParagraph"/>
                              <w:numPr>
                                <w:ilvl w:val="0"/>
                                <w:numId w:val="8"/>
                              </w:numPr>
                              <w:spacing w:before="60"/>
                              <w:ind w:left="1077" w:hanging="357"/>
                              <w:rPr>
                                <w:rFonts w:cstheme="minorHAnsi"/>
                                <w:color w:val="000000" w:themeColor="text1"/>
                                <w:sz w:val="22"/>
                                <w:szCs w:val="22"/>
                              </w:rPr>
                            </w:pPr>
                            <w:r w:rsidRPr="00A20567">
                              <w:rPr>
                                <w:rFonts w:asciiTheme="minorHAnsi" w:hAnsiTheme="minorHAnsi" w:cstheme="minorHAnsi"/>
                                <w:color w:val="000000" w:themeColor="text1"/>
                                <w:sz w:val="22"/>
                                <w:szCs w:val="22"/>
                              </w:rPr>
                              <w:tab/>
                            </w:r>
                            <w:proofErr w:type="gramStart"/>
                            <w:r>
                              <w:rPr>
                                <w:rFonts w:asciiTheme="minorHAnsi" w:hAnsiTheme="minorHAnsi" w:cstheme="minorHAnsi"/>
                                <w:color w:val="000000" w:themeColor="text1"/>
                                <w:sz w:val="22"/>
                                <w:szCs w:val="22"/>
                              </w:rPr>
                              <w:t>industry</w:t>
                            </w:r>
                            <w:proofErr w:type="gramEnd"/>
                            <w:r>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 xml:space="preserve">division growth rates are comparable with the </w:t>
                            </w:r>
                            <w:r w:rsidRPr="00A20567">
                              <w:rPr>
                                <w:rFonts w:asciiTheme="minorHAnsi" w:hAnsiTheme="minorHAnsi" w:cstheme="minorHAnsi"/>
                                <w:color w:val="000000" w:themeColor="text1"/>
                                <w:sz w:val="22"/>
                                <w:szCs w:val="22"/>
                              </w:rPr>
                              <w:br/>
                              <w:t xml:space="preserve">       Australian National Accounts.</w:t>
                            </w:r>
                          </w:p>
                          <w:p w:rsidR="00A22474" w:rsidRPr="000E11C0" w:rsidRDefault="00A22474" w:rsidP="0010439F">
                            <w:pPr>
                              <w:autoSpaceDE w:val="0"/>
                              <w:autoSpaceDN w:val="0"/>
                              <w:adjustRightInd w:val="0"/>
                              <w:spacing w:after="0" w:line="360" w:lineRule="auto"/>
                              <w:rPr>
                                <w:rFonts w:cstheme="minorHAnsi"/>
                                <w:color w:val="C0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7" type="#_x0000_t202" style="position:absolute;margin-left:0;margin-top:0;width:2in;height:704.25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" filled="f" strokeweight=".5pt">
                <v:textbox>
                  <w:txbxContent>
                    <w:p w:rsidR="005337E2" w:rsidRPr="00B07535" w:rsidRDefault="005337E2" w:rsidP="0010439F">
                      <w:pPr>
                        <w:spacing w:after="0" w:line="360" w:lineRule="auto"/>
                        <w:rPr>
                          <w:rFonts w:cstheme="minorHAnsi"/>
                          <w:b/>
                          <w:color w:val="000000" w:themeColor="text1"/>
                          <w:sz w:val="24"/>
                          <w:szCs w:val="24"/>
                        </w:rPr>
                      </w:pPr>
                      <w:r w:rsidRPr="00B07535">
                        <w:rPr>
                          <w:rFonts w:cstheme="minorHAnsi"/>
                          <w:b/>
                          <w:color w:val="000000" w:themeColor="text1"/>
                          <w:sz w:val="24"/>
                          <w:szCs w:val="24"/>
                        </w:rPr>
                        <w:t>Box 2: Quality Gates to ensure high quality I-O tables</w:t>
                      </w:r>
                    </w:p>
                    <w:p w:rsidR="005337E2" w:rsidRPr="00A20567" w:rsidRDefault="005337E2" w:rsidP="0010439F">
                      <w:pPr>
                        <w:spacing w:after="0" w:line="360" w:lineRule="auto"/>
                        <w:rPr>
                          <w:rFonts w:ascii="Calibri" w:hAnsi="Calibri" w:cs="Arial"/>
                          <w:color w:val="000000" w:themeColor="text1"/>
                        </w:rPr>
                      </w:pPr>
                      <w:r w:rsidRPr="00A20567">
                        <w:rPr>
                          <w:rFonts w:ascii="Calibri" w:hAnsi="Calibri" w:cs="Arial"/>
                          <w:color w:val="000000" w:themeColor="text1"/>
                        </w:rPr>
                        <w:t xml:space="preserve">The introduction of Quality Gates required the mapping of the entire I-O process. Such mapping ensured the inclusion of Quality Gates </w:t>
                      </w:r>
                      <w:r>
                        <w:rPr>
                          <w:rFonts w:ascii="Calibri" w:hAnsi="Calibri" w:cs="Arial"/>
                          <w:color w:val="000000" w:themeColor="text1"/>
                        </w:rPr>
                        <w:t xml:space="preserve">at each of the following stages: </w:t>
                      </w:r>
                      <w:r w:rsidRPr="00A20567">
                        <w:rPr>
                          <w:rFonts w:ascii="Calibri" w:hAnsi="Calibri" w:cs="Arial"/>
                          <w:color w:val="000000" w:themeColor="text1"/>
                        </w:rPr>
                        <w:t xml:space="preserve"> input data, pre-balancing investigation, compilation and balancing, release of preliminary and final tables, release of alternative view tables</w:t>
                      </w:r>
                      <w:r>
                        <w:rPr>
                          <w:rFonts w:ascii="Calibri" w:hAnsi="Calibri" w:cs="Arial"/>
                          <w:color w:val="000000" w:themeColor="text1"/>
                        </w:rPr>
                        <w:t xml:space="preserve"> for modellers</w:t>
                      </w:r>
                      <w:r w:rsidRPr="00A20567">
                        <w:rPr>
                          <w:rFonts w:ascii="Calibri" w:hAnsi="Calibri" w:cs="Arial"/>
                          <w:color w:val="000000" w:themeColor="text1"/>
                        </w:rPr>
                        <w:t>, release of product details (commodity cards) and process review.</w:t>
                      </w:r>
                    </w:p>
                    <w:p w:rsidR="005337E2" w:rsidRPr="00A20567" w:rsidRDefault="005337E2" w:rsidP="0010439F">
                      <w:pPr>
                        <w:spacing w:after="0" w:line="360" w:lineRule="auto"/>
                        <w:rPr>
                          <w:rFonts w:ascii="Calibri" w:hAnsi="Calibri" w:cs="Arial"/>
                          <w:color w:val="000000" w:themeColor="text1"/>
                        </w:rPr>
                      </w:pPr>
                    </w:p>
                    <w:p w:rsidR="005337E2" w:rsidRPr="00A20567" w:rsidRDefault="005337E2" w:rsidP="00D407BB">
                      <w:pPr>
                        <w:autoSpaceDE w:val="0"/>
                        <w:autoSpaceDN w:val="0"/>
                        <w:adjustRightInd w:val="0"/>
                        <w:spacing w:after="0" w:line="360" w:lineRule="auto"/>
                        <w:rPr>
                          <w:rFonts w:cstheme="minorHAnsi"/>
                          <w:color w:val="000000" w:themeColor="text1"/>
                        </w:rPr>
                      </w:pPr>
                      <w:r w:rsidRPr="00A20567">
                        <w:rPr>
                          <w:rFonts w:cstheme="minorHAnsi"/>
                          <w:color w:val="000000" w:themeColor="text1"/>
                        </w:rPr>
                        <w:t xml:space="preserve">Each gate includes a series of manual checks or measures which have been progressively improved using experience </w:t>
                      </w:r>
                      <w:r>
                        <w:rPr>
                          <w:rFonts w:cstheme="minorHAnsi"/>
                          <w:color w:val="000000" w:themeColor="text1"/>
                        </w:rPr>
                        <w:t xml:space="preserve">from </w:t>
                      </w:r>
                      <w:r w:rsidRPr="00A20567">
                        <w:rPr>
                          <w:rFonts w:cstheme="minorHAnsi"/>
                          <w:color w:val="000000" w:themeColor="text1"/>
                        </w:rPr>
                        <w:t>previous cycles and</w:t>
                      </w:r>
                      <w:r>
                        <w:rPr>
                          <w:rFonts w:cstheme="minorHAnsi"/>
                          <w:color w:val="000000" w:themeColor="text1"/>
                        </w:rPr>
                        <w:t xml:space="preserve"> user feedback</w:t>
                      </w:r>
                      <w:r w:rsidRPr="00A20567">
                        <w:rPr>
                          <w:rFonts w:cstheme="minorHAnsi"/>
                          <w:color w:val="000000" w:themeColor="text1"/>
                        </w:rPr>
                        <w:t xml:space="preserve">. One measure, for example, ensures that all three measures of </w:t>
                      </w:r>
                      <w:r>
                        <w:rPr>
                          <w:rFonts w:cstheme="minorHAnsi"/>
                          <w:color w:val="000000" w:themeColor="text1"/>
                        </w:rPr>
                        <w:t>Gross Domestic Product (GDP)</w:t>
                      </w:r>
                      <w:r w:rsidRPr="00A20567">
                        <w:rPr>
                          <w:rFonts w:cstheme="minorHAnsi"/>
                          <w:color w:val="000000" w:themeColor="text1"/>
                        </w:rPr>
                        <w:t xml:space="preserve"> match published estimates from the Australian National Accounts.  Each measure has a different tolerance level.  For example, there is nil to</w:t>
                      </w:r>
                      <w:r>
                        <w:rPr>
                          <w:rFonts w:cstheme="minorHAnsi"/>
                          <w:color w:val="000000" w:themeColor="text1"/>
                        </w:rPr>
                        <w:t>lerance for I</w:t>
                      </w:r>
                      <w:r>
                        <w:rPr>
                          <w:rFonts w:cstheme="minorHAnsi"/>
                          <w:color w:val="000000" w:themeColor="text1"/>
                        </w:rPr>
                        <w:noBreakHyphen/>
                      </w:r>
                      <w:r w:rsidRPr="00A20567">
                        <w:rPr>
                          <w:rFonts w:cstheme="minorHAnsi"/>
                          <w:color w:val="000000" w:themeColor="text1"/>
                        </w:rPr>
                        <w:t>O aggregates misaligning with published National Accounts estimates whilst the tolerance level for</w:t>
                      </w:r>
                      <w:r>
                        <w:rPr>
                          <w:rFonts w:cstheme="minorHAnsi"/>
                          <w:color w:val="000000" w:themeColor="text1"/>
                        </w:rPr>
                        <w:t xml:space="preserve"> the coverage and specialisation ratios is higher.  </w:t>
                      </w:r>
                      <w:r w:rsidRPr="00A20567">
                        <w:rPr>
                          <w:rFonts w:cstheme="minorHAnsi"/>
                          <w:color w:val="000000" w:themeColor="text1"/>
                        </w:rPr>
                        <w:t>Importantly, the majority of the Quality Measures are assessed at every quality gate. The measures incl</w:t>
                      </w:r>
                      <w:r>
                        <w:rPr>
                          <w:rFonts w:cstheme="minorHAnsi"/>
                          <w:color w:val="000000" w:themeColor="text1"/>
                        </w:rPr>
                        <w:t>ude:</w:t>
                      </w:r>
                    </w:p>
                    <w:p w:rsidR="005337E2" w:rsidRPr="00A20567" w:rsidRDefault="005337E2" w:rsidP="00D407BB">
                      <w:pPr>
                        <w:pStyle w:val="ListParagraph"/>
                        <w:numPr>
                          <w:ilvl w:val="0"/>
                          <w:numId w:val="8"/>
                        </w:numPr>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w:t>
                      </w:r>
                      <w:r w:rsidRPr="00A20567">
                        <w:rPr>
                          <w:rFonts w:asciiTheme="minorHAnsi" w:hAnsiTheme="minorHAnsi" w:cstheme="minorHAnsi"/>
                          <w:color w:val="000000" w:themeColor="text1"/>
                          <w:sz w:val="22"/>
                          <w:szCs w:val="22"/>
                        </w:rPr>
                        <w:t>ll three measures of GDP equal;</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Supply-Use tables are balanced in both rows and columns;</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t</w:t>
                      </w:r>
                      <w:r w:rsidRPr="00A20567">
                        <w:rPr>
                          <w:rFonts w:asciiTheme="minorHAnsi" w:hAnsiTheme="minorHAnsi" w:cstheme="minorHAnsi"/>
                          <w:color w:val="000000" w:themeColor="text1"/>
                          <w:sz w:val="22"/>
                          <w:szCs w:val="22"/>
                        </w:rPr>
                        <w:t xml:space="preserve">here are no negative values in Supply, Intermediate Use and </w:t>
                      </w:r>
                      <w:r w:rsidRPr="00A20567">
                        <w:rPr>
                          <w:rFonts w:asciiTheme="minorHAnsi" w:hAnsiTheme="minorHAnsi" w:cstheme="minorHAnsi"/>
                          <w:color w:val="000000" w:themeColor="text1"/>
                          <w:sz w:val="22"/>
                          <w:szCs w:val="22"/>
                        </w:rPr>
                        <w:br/>
                        <w:t xml:space="preserve">       Final Demand (excluding change in Inventories, second hand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 xml:space="preserve">Gross Fixed Capital Formation (GFCF) and </w:t>
                      </w:r>
                      <w:r w:rsidRPr="00A20567">
                        <w:rPr>
                          <w:rFonts w:asciiTheme="minorHAnsi" w:hAnsiTheme="minorHAnsi" w:cstheme="minorHAnsi"/>
                          <w:color w:val="000000" w:themeColor="text1"/>
                          <w:sz w:val="22"/>
                          <w:szCs w:val="22"/>
                        </w:rPr>
                        <w:br/>
                        <w:t xml:space="preserve">       imports of non-margin transport products);</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a</w:t>
                      </w:r>
                      <w:r w:rsidRPr="00A20567">
                        <w:rPr>
                          <w:rFonts w:asciiTheme="minorHAnsi" w:hAnsiTheme="minorHAnsi" w:cstheme="minorHAnsi"/>
                          <w:color w:val="000000" w:themeColor="text1"/>
                          <w:sz w:val="22"/>
                          <w:szCs w:val="22"/>
                        </w:rPr>
                        <w:t xml:space="preserve">ggregate data matches the relevant release of the Australian </w:t>
                      </w:r>
                      <w:r w:rsidRPr="00A20567">
                        <w:rPr>
                          <w:rFonts w:asciiTheme="minorHAnsi" w:hAnsiTheme="minorHAnsi" w:cstheme="minorHAnsi"/>
                          <w:color w:val="000000" w:themeColor="text1"/>
                          <w:sz w:val="22"/>
                          <w:szCs w:val="22"/>
                        </w:rPr>
                        <w:br/>
                        <w:t xml:space="preserve">       National Accounts;</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w:t>
                      </w:r>
                      <w:r w:rsidRPr="00A20567">
                        <w:rPr>
                          <w:rFonts w:asciiTheme="minorHAnsi" w:hAnsiTheme="minorHAnsi" w:cstheme="minorHAnsi"/>
                          <w:color w:val="000000" w:themeColor="text1"/>
                          <w:sz w:val="22"/>
                          <w:szCs w:val="22"/>
                        </w:rPr>
                        <w:t>ll known issues from previous tables have been resolved;</w:t>
                      </w:r>
                    </w:p>
                    <w:p w:rsidR="005337E2" w:rsidRPr="0096748F"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t</w:t>
                      </w:r>
                      <w:r w:rsidRPr="0096748F">
                        <w:rPr>
                          <w:rFonts w:asciiTheme="minorHAnsi" w:hAnsiTheme="minorHAnsi" w:cstheme="minorHAnsi"/>
                          <w:color w:val="000000" w:themeColor="text1"/>
                          <w:sz w:val="22"/>
                          <w:szCs w:val="22"/>
                        </w:rPr>
                        <w:t>he cost insurance freight–free on board (</w:t>
                      </w:r>
                      <w:proofErr w:type="spellStart"/>
                      <w:r w:rsidRPr="0096748F">
                        <w:rPr>
                          <w:rFonts w:asciiTheme="minorHAnsi" w:hAnsiTheme="minorHAnsi" w:cstheme="minorHAnsi"/>
                          <w:color w:val="000000" w:themeColor="text1"/>
                          <w:sz w:val="22"/>
                          <w:szCs w:val="22"/>
                        </w:rPr>
                        <w:t>cif</w:t>
                      </w:r>
                      <w:proofErr w:type="spellEnd"/>
                      <w:r w:rsidRPr="0096748F">
                        <w:rPr>
                          <w:rFonts w:asciiTheme="minorHAnsi" w:hAnsiTheme="minorHAnsi" w:cstheme="minorHAnsi"/>
                          <w:color w:val="000000" w:themeColor="text1"/>
                          <w:sz w:val="22"/>
                          <w:szCs w:val="22"/>
                        </w:rPr>
                        <w:t xml:space="preserve">-fob) adjustment has been </w:t>
                      </w: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br/>
                      </w:r>
                      <w:r w:rsidRPr="0096748F">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96748F">
                        <w:rPr>
                          <w:rFonts w:asciiTheme="minorHAnsi" w:hAnsiTheme="minorHAnsi" w:cstheme="minorHAnsi"/>
                          <w:color w:val="000000" w:themeColor="text1"/>
                          <w:sz w:val="22"/>
                          <w:szCs w:val="22"/>
                        </w:rPr>
                        <w:t>applied;</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S</w:t>
                      </w:r>
                      <w:r w:rsidRPr="00A20567">
                        <w:rPr>
                          <w:rFonts w:asciiTheme="minorHAnsi" w:hAnsiTheme="minorHAnsi" w:cstheme="minorHAnsi"/>
                          <w:color w:val="000000" w:themeColor="text1"/>
                          <w:sz w:val="22"/>
                          <w:szCs w:val="22"/>
                        </w:rPr>
                        <w:t xml:space="preserve">ervices at I-O Product Category (IOPC) level do not have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inventories or margins;</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GST and retail margins are consistent with HFCE data;</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E</w:t>
                      </w:r>
                      <w:r w:rsidRPr="00A20567">
                        <w:rPr>
                          <w:rFonts w:asciiTheme="minorHAnsi" w:hAnsiTheme="minorHAnsi" w:cstheme="minorHAnsi"/>
                          <w:color w:val="000000" w:themeColor="text1"/>
                          <w:sz w:val="22"/>
                          <w:szCs w:val="22"/>
                        </w:rPr>
                        <w:t>xports do not exceed Australian Production;</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 xml:space="preserve">Re-exports do not exceed imports (unless Inventories are </w:t>
                      </w:r>
                      <w:r w:rsidRPr="00A20567">
                        <w:rPr>
                          <w:rFonts w:asciiTheme="minorHAnsi" w:hAnsiTheme="minorHAnsi" w:cstheme="minorHAnsi"/>
                          <w:color w:val="000000" w:themeColor="text1"/>
                          <w:sz w:val="22"/>
                          <w:szCs w:val="22"/>
                        </w:rPr>
                        <w:br/>
                        <w:t xml:space="preserve">       drawn down);</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Coverage and Specialisation ratios are plausible;</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Supply and Use are plausible for the top 50 products;</w:t>
                      </w:r>
                    </w:p>
                    <w:p w:rsidR="005337E2" w:rsidRPr="00A20567" w:rsidRDefault="005337E2" w:rsidP="00A77E54">
                      <w:pPr>
                        <w:pStyle w:val="ListParagraph"/>
                        <w:numPr>
                          <w:ilvl w:val="0"/>
                          <w:numId w:val="8"/>
                        </w:numPr>
                        <w:spacing w:before="60"/>
                        <w:ind w:left="1077" w:hanging="357"/>
                        <w:rPr>
                          <w:rFonts w:asciiTheme="minorHAnsi" w:hAnsiTheme="minorHAnsi" w:cstheme="minorHAnsi"/>
                          <w:color w:val="000000" w:themeColor="text1"/>
                          <w:sz w:val="22"/>
                          <w:szCs w:val="22"/>
                        </w:rPr>
                      </w:pPr>
                      <w:r w:rsidRPr="00A20567">
                        <w:rPr>
                          <w:rFonts w:asciiTheme="minorHAnsi" w:hAnsiTheme="minorHAnsi" w:cstheme="minorHAnsi"/>
                          <w:color w:val="000000" w:themeColor="text1"/>
                          <w:sz w:val="22"/>
                          <w:szCs w:val="22"/>
                        </w:rPr>
                        <w:tab/>
                        <w:t xml:space="preserve">Compensation of Employees and Intermediate Use and Gross </w:t>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r>
                      <w:r w:rsidRPr="00A20567">
                        <w:rPr>
                          <w:rFonts w:asciiTheme="minorHAnsi" w:hAnsiTheme="minorHAnsi" w:cstheme="minorHAnsi"/>
                          <w:color w:val="000000" w:themeColor="text1"/>
                          <w:sz w:val="22"/>
                          <w:szCs w:val="22"/>
                        </w:rPr>
                        <w:tab/>
                        <w:t>Operating Surplus and Intermediate Use ratios are plausible;</w:t>
                      </w:r>
                      <w:r>
                        <w:rPr>
                          <w:rFonts w:asciiTheme="minorHAnsi" w:hAnsiTheme="minorHAnsi" w:cstheme="minorHAnsi"/>
                          <w:color w:val="000000" w:themeColor="text1"/>
                          <w:sz w:val="22"/>
                          <w:szCs w:val="22"/>
                        </w:rPr>
                        <w:t xml:space="preserve"> and</w:t>
                      </w:r>
                      <w:r w:rsidRPr="00A20567">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ab/>
                      </w:r>
                    </w:p>
                    <w:p w:rsidR="005337E2" w:rsidRPr="00A20567" w:rsidRDefault="005337E2" w:rsidP="00A77E54">
                      <w:pPr>
                        <w:pStyle w:val="ListParagraph"/>
                        <w:numPr>
                          <w:ilvl w:val="0"/>
                          <w:numId w:val="8"/>
                        </w:numPr>
                        <w:spacing w:before="60"/>
                        <w:ind w:left="1077" w:hanging="357"/>
                        <w:rPr>
                          <w:rFonts w:cstheme="minorHAnsi"/>
                          <w:color w:val="000000" w:themeColor="text1"/>
                          <w:sz w:val="22"/>
                          <w:szCs w:val="22"/>
                        </w:rPr>
                      </w:pPr>
                      <w:r w:rsidRPr="00A20567">
                        <w:rPr>
                          <w:rFonts w:asciiTheme="minorHAnsi" w:hAnsiTheme="minorHAnsi" w:cstheme="minorHAnsi"/>
                          <w:color w:val="000000" w:themeColor="text1"/>
                          <w:sz w:val="22"/>
                          <w:szCs w:val="22"/>
                        </w:rPr>
                        <w:tab/>
                      </w:r>
                      <w:proofErr w:type="gramStart"/>
                      <w:r>
                        <w:rPr>
                          <w:rFonts w:asciiTheme="minorHAnsi" w:hAnsiTheme="minorHAnsi" w:cstheme="minorHAnsi"/>
                          <w:color w:val="000000" w:themeColor="text1"/>
                          <w:sz w:val="22"/>
                          <w:szCs w:val="22"/>
                        </w:rPr>
                        <w:t>industry</w:t>
                      </w:r>
                      <w:proofErr w:type="gramEnd"/>
                      <w:r>
                        <w:rPr>
                          <w:rFonts w:asciiTheme="minorHAnsi" w:hAnsiTheme="minorHAnsi" w:cstheme="minorHAnsi"/>
                          <w:color w:val="000000" w:themeColor="text1"/>
                          <w:sz w:val="22"/>
                          <w:szCs w:val="22"/>
                        </w:rPr>
                        <w:t xml:space="preserve"> </w:t>
                      </w:r>
                      <w:r w:rsidRPr="00A20567">
                        <w:rPr>
                          <w:rFonts w:asciiTheme="minorHAnsi" w:hAnsiTheme="minorHAnsi" w:cstheme="minorHAnsi"/>
                          <w:color w:val="000000" w:themeColor="text1"/>
                          <w:sz w:val="22"/>
                          <w:szCs w:val="22"/>
                        </w:rPr>
                        <w:t xml:space="preserve">division growth rates are comparable with the </w:t>
                      </w:r>
                      <w:r w:rsidRPr="00A20567">
                        <w:rPr>
                          <w:rFonts w:asciiTheme="minorHAnsi" w:hAnsiTheme="minorHAnsi" w:cstheme="minorHAnsi"/>
                          <w:color w:val="000000" w:themeColor="text1"/>
                          <w:sz w:val="22"/>
                          <w:szCs w:val="22"/>
                        </w:rPr>
                        <w:br/>
                        <w:t xml:space="preserve">       Australian National Accounts.</w:t>
                      </w:r>
                    </w:p>
                    <w:p w:rsidR="005337E2" w:rsidRPr="000E11C0" w:rsidRDefault="005337E2" w:rsidP="0010439F">
                      <w:pPr>
                        <w:autoSpaceDE w:val="0"/>
                        <w:autoSpaceDN w:val="0"/>
                        <w:adjustRightInd w:val="0"/>
                        <w:spacing w:after="0" w:line="360" w:lineRule="auto"/>
                        <w:rPr>
                          <w:rFonts w:cstheme="minorHAnsi"/>
                          <w:color w:val="C00000"/>
                        </w:rPr>
                      </w:pPr>
                    </w:p>
                  </w:txbxContent>
                </v:textbox>
                <w10:wrap type="square"/>
              </v:shape>
            </w:pict>
          </mc:Fallback>
        </mc:AlternateContent>
      </w:r>
    </w:p>
    <w:p w:rsidR="00197769" w:rsidRDefault="00197769" w:rsidP="008F7736">
      <w:pPr>
        <w:pStyle w:val="Heading1"/>
      </w:pPr>
      <w:r>
        <w:lastRenderedPageBreak/>
        <w:t xml:space="preserve">Public </w:t>
      </w:r>
      <w:r w:rsidR="000E1369">
        <w:t>p</w:t>
      </w:r>
      <w:r>
        <w:t xml:space="preserve">olicy </w:t>
      </w:r>
      <w:r w:rsidR="000E1369">
        <w:t>u</w:t>
      </w:r>
      <w:r>
        <w:t xml:space="preserve">se of </w:t>
      </w:r>
      <w:r w:rsidR="00252010">
        <w:t>I-O</w:t>
      </w:r>
      <w:r>
        <w:t xml:space="preserve"> </w:t>
      </w:r>
      <w:r w:rsidR="000E1369">
        <w:t>t</w:t>
      </w:r>
      <w:r>
        <w:t xml:space="preserve">ables: </w:t>
      </w:r>
      <w:r w:rsidR="000E1369">
        <w:t>c</w:t>
      </w:r>
      <w:r>
        <w:t xml:space="preserve">arbon </w:t>
      </w:r>
      <w:r w:rsidR="000E1369">
        <w:t>p</w:t>
      </w:r>
      <w:r>
        <w:t xml:space="preserve">rice </w:t>
      </w:r>
      <w:r w:rsidR="000E1369">
        <w:t>m</w:t>
      </w:r>
      <w:r>
        <w:t xml:space="preserve">odelling </w:t>
      </w:r>
    </w:p>
    <w:p w:rsidR="00C24988" w:rsidRDefault="001A043D" w:rsidP="008F7736">
      <w:pPr>
        <w:pStyle w:val="Heading2"/>
      </w:pPr>
      <w:r w:rsidRPr="006E7A78">
        <w:t xml:space="preserve">Background on </w:t>
      </w:r>
      <w:r w:rsidR="00A24712" w:rsidRPr="006E7A78">
        <w:t xml:space="preserve">the modelling of </w:t>
      </w:r>
      <w:r w:rsidRPr="006E7A78">
        <w:t>carbon price policy</w:t>
      </w:r>
    </w:p>
    <w:p w:rsidR="00FD5BED" w:rsidRPr="00A77E54" w:rsidRDefault="009D16D3" w:rsidP="000E63C5">
      <w:pPr>
        <w:pStyle w:val="Bullet"/>
        <w:numPr>
          <w:ilvl w:val="0"/>
          <w:numId w:val="0"/>
        </w:numPr>
        <w:spacing w:after="30" w:line="360" w:lineRule="auto"/>
        <w:rPr>
          <w:rFonts w:ascii="Calibri" w:hAnsi="Calibri" w:cs="Calibri"/>
          <w:color w:val="333333"/>
          <w:sz w:val="24"/>
          <w:szCs w:val="24"/>
          <w:lang w:val="en"/>
        </w:rPr>
      </w:pPr>
      <w:r w:rsidRPr="005E1910">
        <w:rPr>
          <w:rFonts w:ascii="Calibri" w:hAnsi="Calibri" w:cs="Calibri"/>
          <w:color w:val="333333"/>
          <w:sz w:val="24"/>
          <w:szCs w:val="24"/>
          <w:lang w:val="en"/>
        </w:rPr>
        <w:t>In July 2011, the A</w:t>
      </w:r>
      <w:r w:rsidR="004D4BAA" w:rsidRPr="005E1910">
        <w:rPr>
          <w:rFonts w:ascii="Calibri" w:hAnsi="Calibri" w:cs="Calibri"/>
          <w:color w:val="333333"/>
          <w:sz w:val="24"/>
          <w:szCs w:val="24"/>
          <w:lang w:val="en"/>
        </w:rPr>
        <w:t xml:space="preserve">ustralian Government announced </w:t>
      </w:r>
      <w:r w:rsidRPr="005E1910">
        <w:rPr>
          <w:rFonts w:ascii="Calibri" w:hAnsi="Calibri" w:cs="Calibri"/>
          <w:color w:val="333333"/>
          <w:sz w:val="24"/>
          <w:szCs w:val="24"/>
          <w:lang w:val="en"/>
        </w:rPr>
        <w:t xml:space="preserve">the </w:t>
      </w:r>
      <w:r w:rsidR="004D4BAA" w:rsidRPr="005E1910">
        <w:rPr>
          <w:rFonts w:ascii="Calibri" w:hAnsi="Calibri" w:cs="Calibri"/>
          <w:color w:val="333333"/>
          <w:sz w:val="24"/>
          <w:szCs w:val="24"/>
          <w:lang w:val="en"/>
        </w:rPr>
        <w:t>“</w:t>
      </w:r>
      <w:r w:rsidRPr="005E1910">
        <w:rPr>
          <w:rFonts w:ascii="Calibri" w:hAnsi="Calibri" w:cs="Calibri"/>
          <w:color w:val="333333"/>
          <w:sz w:val="24"/>
          <w:szCs w:val="24"/>
          <w:lang w:val="en"/>
        </w:rPr>
        <w:t xml:space="preserve">Clean Energy Future” package (CEFP) to commence from </w:t>
      </w:r>
      <w:r w:rsidR="00B35F3F">
        <w:rPr>
          <w:rFonts w:ascii="Calibri" w:hAnsi="Calibri" w:cs="Calibri"/>
          <w:color w:val="333333"/>
          <w:sz w:val="24"/>
          <w:szCs w:val="24"/>
          <w:lang w:val="en"/>
        </w:rPr>
        <w:t xml:space="preserve">1 </w:t>
      </w:r>
      <w:r w:rsidRPr="005E1910">
        <w:rPr>
          <w:rFonts w:ascii="Calibri" w:hAnsi="Calibri" w:cs="Calibri"/>
          <w:color w:val="333333"/>
          <w:sz w:val="24"/>
          <w:szCs w:val="24"/>
          <w:lang w:val="en"/>
        </w:rPr>
        <w:t>July 2012</w:t>
      </w:r>
      <w:r w:rsidR="004D64AC" w:rsidRPr="005E1910">
        <w:rPr>
          <w:rFonts w:ascii="Calibri" w:hAnsi="Calibri" w:cs="Calibri"/>
          <w:color w:val="333333"/>
          <w:sz w:val="24"/>
          <w:szCs w:val="24"/>
          <w:lang w:val="en"/>
        </w:rPr>
        <w:t xml:space="preserve"> (Australian Government, 2011</w:t>
      </w:r>
      <w:r w:rsidR="00863CCC" w:rsidRPr="005E1910">
        <w:rPr>
          <w:rFonts w:ascii="Calibri" w:hAnsi="Calibri" w:cs="Calibri"/>
          <w:color w:val="333333"/>
          <w:sz w:val="24"/>
          <w:szCs w:val="24"/>
          <w:lang w:val="en"/>
        </w:rPr>
        <w:t>a</w:t>
      </w:r>
      <w:r w:rsidR="004D64AC" w:rsidRPr="005E1910">
        <w:rPr>
          <w:rFonts w:ascii="Calibri" w:hAnsi="Calibri" w:cs="Calibri"/>
          <w:color w:val="333333"/>
          <w:sz w:val="24"/>
          <w:szCs w:val="24"/>
          <w:lang w:val="en"/>
        </w:rPr>
        <w:t>)</w:t>
      </w:r>
      <w:r w:rsidR="00482F01" w:rsidRPr="005E1910">
        <w:rPr>
          <w:rFonts w:ascii="Calibri" w:hAnsi="Calibri" w:cs="Calibri"/>
          <w:color w:val="333333"/>
          <w:sz w:val="24"/>
          <w:szCs w:val="24"/>
          <w:lang w:val="en"/>
        </w:rPr>
        <w:t>.</w:t>
      </w:r>
      <w:r w:rsidR="00FF04E2">
        <w:rPr>
          <w:rFonts w:ascii="Calibri" w:hAnsi="Calibri" w:cs="Calibri"/>
          <w:color w:val="333333"/>
          <w:sz w:val="24"/>
          <w:szCs w:val="24"/>
          <w:lang w:val="en"/>
        </w:rPr>
        <w:t xml:space="preserve">  </w:t>
      </w:r>
      <w:r w:rsidRPr="005E1910">
        <w:rPr>
          <w:rFonts w:ascii="Calibri" w:hAnsi="Calibri" w:cs="Calibri"/>
          <w:color w:val="333333"/>
          <w:sz w:val="24"/>
          <w:szCs w:val="24"/>
          <w:lang w:val="en"/>
        </w:rPr>
        <w:t xml:space="preserve">A major component of the CEFP is the introduction of a fixed carbon </w:t>
      </w:r>
      <w:r w:rsidR="00BB65B4" w:rsidRPr="005E1910">
        <w:rPr>
          <w:rFonts w:ascii="Calibri" w:hAnsi="Calibri" w:cs="Calibri"/>
          <w:color w:val="333333"/>
          <w:sz w:val="24"/>
          <w:szCs w:val="24"/>
          <w:lang w:val="en"/>
        </w:rPr>
        <w:t xml:space="preserve">price </w:t>
      </w:r>
      <w:r w:rsidR="00863CCC" w:rsidRPr="005E1910">
        <w:rPr>
          <w:rFonts w:ascii="Calibri" w:hAnsi="Calibri" w:cs="Calibri"/>
          <w:color w:val="333333"/>
          <w:sz w:val="24"/>
          <w:szCs w:val="24"/>
          <w:lang w:val="en"/>
        </w:rPr>
        <w:t>at $23</w:t>
      </w:r>
      <w:r w:rsidR="00067E2A">
        <w:rPr>
          <w:rFonts w:ascii="Calibri" w:hAnsi="Calibri" w:cs="Calibri"/>
          <w:color w:val="333333"/>
          <w:sz w:val="24"/>
          <w:szCs w:val="24"/>
          <w:lang w:val="en"/>
        </w:rPr>
        <w:t xml:space="preserve"> AUD</w:t>
      </w:r>
      <w:r w:rsidR="00863CCC" w:rsidRPr="005E1910">
        <w:rPr>
          <w:rFonts w:ascii="Calibri" w:hAnsi="Calibri" w:cs="Calibri"/>
          <w:color w:val="333333"/>
          <w:sz w:val="24"/>
          <w:szCs w:val="24"/>
          <w:lang w:val="en"/>
        </w:rPr>
        <w:t xml:space="preserve"> per </w:t>
      </w:r>
      <w:proofErr w:type="spellStart"/>
      <w:r w:rsidR="00863CCC" w:rsidRPr="005E1910">
        <w:rPr>
          <w:rFonts w:ascii="Calibri" w:hAnsi="Calibri" w:cs="Calibri"/>
          <w:color w:val="333333"/>
          <w:sz w:val="24"/>
          <w:szCs w:val="24"/>
          <w:lang w:val="en"/>
        </w:rPr>
        <w:t>tonne</w:t>
      </w:r>
      <w:proofErr w:type="spellEnd"/>
      <w:r w:rsidR="00B35F3F">
        <w:rPr>
          <w:rFonts w:ascii="Calibri" w:hAnsi="Calibri" w:cs="Calibri"/>
          <w:color w:val="333333"/>
          <w:sz w:val="24"/>
          <w:szCs w:val="24"/>
          <w:lang w:val="en"/>
        </w:rPr>
        <w:t xml:space="preserve"> of </w:t>
      </w:r>
      <w:r w:rsidR="003A28A3">
        <w:rPr>
          <w:rFonts w:ascii="Calibri" w:hAnsi="Calibri" w:cs="Calibri"/>
          <w:color w:val="333333"/>
          <w:sz w:val="24"/>
          <w:szCs w:val="24"/>
          <w:lang w:val="en"/>
        </w:rPr>
        <w:t>carbon dioxide equivalent (CO</w:t>
      </w:r>
      <w:r w:rsidR="003A28A3" w:rsidRPr="008F7736">
        <w:rPr>
          <w:rFonts w:ascii="Calibri" w:hAnsi="Calibri" w:cs="Calibri"/>
          <w:color w:val="333333"/>
          <w:sz w:val="24"/>
          <w:szCs w:val="24"/>
          <w:vertAlign w:val="subscript"/>
          <w:lang w:val="en"/>
        </w:rPr>
        <w:t>2</w:t>
      </w:r>
      <w:r w:rsidR="003A28A3">
        <w:rPr>
          <w:rFonts w:ascii="Calibri" w:hAnsi="Calibri" w:cs="Calibri"/>
          <w:color w:val="333333"/>
          <w:sz w:val="24"/>
          <w:szCs w:val="24"/>
          <w:lang w:val="en"/>
        </w:rPr>
        <w:t xml:space="preserve">-e) </w:t>
      </w:r>
      <w:r w:rsidR="00482F01" w:rsidRPr="005E1910">
        <w:rPr>
          <w:rFonts w:ascii="Calibri" w:hAnsi="Calibri" w:cs="Calibri"/>
          <w:color w:val="333333"/>
          <w:sz w:val="24"/>
          <w:szCs w:val="24"/>
          <w:lang w:val="en"/>
        </w:rPr>
        <w:t xml:space="preserve">starting on </w:t>
      </w:r>
      <w:r w:rsidR="0010439F" w:rsidRPr="005E1910">
        <w:rPr>
          <w:rFonts w:ascii="Calibri" w:hAnsi="Calibri" w:cs="Calibri"/>
          <w:color w:val="333333"/>
          <w:sz w:val="24"/>
          <w:szCs w:val="24"/>
          <w:lang w:val="en"/>
        </w:rPr>
        <w:t xml:space="preserve">1 </w:t>
      </w:r>
      <w:r w:rsidR="00482F01" w:rsidRPr="005E1910">
        <w:rPr>
          <w:rFonts w:ascii="Calibri" w:hAnsi="Calibri" w:cs="Calibri"/>
          <w:color w:val="333333"/>
          <w:sz w:val="24"/>
          <w:szCs w:val="24"/>
          <w:lang w:val="en"/>
        </w:rPr>
        <w:t>July </w:t>
      </w:r>
      <w:r w:rsidR="00BB65B4" w:rsidRPr="005E1910">
        <w:rPr>
          <w:rFonts w:ascii="Calibri" w:hAnsi="Calibri" w:cs="Calibri"/>
          <w:color w:val="333333"/>
          <w:sz w:val="24"/>
          <w:szCs w:val="24"/>
          <w:lang w:val="en"/>
        </w:rPr>
        <w:t>2012, transitioning to a flexible market-based price from 1 July 2015.</w:t>
      </w:r>
    </w:p>
    <w:p w:rsidR="0047613E" w:rsidRPr="00C010B3" w:rsidRDefault="00EF7D02" w:rsidP="00A456AE">
      <w:pPr>
        <w:pStyle w:val="Bullet"/>
        <w:numPr>
          <w:ilvl w:val="0"/>
          <w:numId w:val="0"/>
        </w:numPr>
        <w:spacing w:after="30" w:line="360" w:lineRule="auto"/>
        <w:rPr>
          <w:rFonts w:ascii="Calibri" w:hAnsi="Calibri" w:cs="Calibri"/>
          <w:color w:val="333333"/>
          <w:sz w:val="24"/>
          <w:szCs w:val="24"/>
          <w:lang w:val="en"/>
        </w:rPr>
      </w:pPr>
      <w:r w:rsidRPr="005E1910">
        <w:rPr>
          <w:rFonts w:ascii="Calibri" w:hAnsi="Calibri" w:cs="Calibri"/>
          <w:color w:val="333333"/>
          <w:sz w:val="24"/>
          <w:szCs w:val="24"/>
          <w:lang w:val="en"/>
        </w:rPr>
        <w:t xml:space="preserve">  </w:t>
      </w:r>
    </w:p>
    <w:p w:rsidR="00DB2388" w:rsidRDefault="003237BC" w:rsidP="006E7A78">
      <w:pPr>
        <w:pStyle w:val="Bullet"/>
        <w:numPr>
          <w:ilvl w:val="0"/>
          <w:numId w:val="0"/>
        </w:numPr>
        <w:spacing w:after="30" w:line="360" w:lineRule="auto"/>
        <w:rPr>
          <w:rFonts w:ascii="Calibri" w:hAnsi="Calibri" w:cs="Calibri"/>
          <w:color w:val="333333"/>
          <w:sz w:val="24"/>
          <w:szCs w:val="24"/>
          <w:lang w:val="en"/>
        </w:rPr>
      </w:pPr>
      <w:r w:rsidRPr="00D21AB4">
        <w:rPr>
          <w:rFonts w:ascii="Calibri" w:hAnsi="Calibri" w:cs="Calibri"/>
          <w:color w:val="333333"/>
          <w:sz w:val="24"/>
          <w:szCs w:val="24"/>
          <w:lang w:val="en"/>
        </w:rPr>
        <w:t xml:space="preserve">The </w:t>
      </w:r>
      <w:proofErr w:type="spellStart"/>
      <w:r w:rsidRPr="00D21AB4">
        <w:rPr>
          <w:rFonts w:ascii="Calibri" w:hAnsi="Calibri" w:cs="Calibri"/>
          <w:color w:val="333333"/>
          <w:sz w:val="24"/>
          <w:szCs w:val="24"/>
          <w:lang w:val="en"/>
        </w:rPr>
        <w:t>modelling</w:t>
      </w:r>
      <w:proofErr w:type="spellEnd"/>
      <w:r w:rsidRPr="00D21AB4">
        <w:rPr>
          <w:rFonts w:ascii="Calibri" w:hAnsi="Calibri" w:cs="Calibri"/>
          <w:color w:val="333333"/>
          <w:sz w:val="24"/>
          <w:szCs w:val="24"/>
          <w:lang w:val="en"/>
        </w:rPr>
        <w:t xml:space="preserve"> of the</w:t>
      </w:r>
      <w:r w:rsidR="00B35F3F" w:rsidRPr="00D21AB4">
        <w:rPr>
          <w:rFonts w:ascii="Calibri" w:hAnsi="Calibri" w:cs="Calibri"/>
          <w:color w:val="333333"/>
          <w:sz w:val="24"/>
          <w:szCs w:val="24"/>
          <w:lang w:val="en"/>
        </w:rPr>
        <w:t xml:space="preserve"> </w:t>
      </w:r>
      <w:r w:rsidRPr="00D21AB4">
        <w:rPr>
          <w:rFonts w:ascii="Calibri" w:hAnsi="Calibri" w:cs="Calibri"/>
          <w:color w:val="333333"/>
          <w:sz w:val="24"/>
          <w:szCs w:val="24"/>
          <w:lang w:val="en"/>
        </w:rPr>
        <w:t xml:space="preserve">impacts of the introduction of a </w:t>
      </w:r>
      <w:r w:rsidR="00B35F3F" w:rsidRPr="00D21AB4">
        <w:rPr>
          <w:rFonts w:ascii="Calibri" w:hAnsi="Calibri" w:cs="Calibri"/>
          <w:color w:val="333333"/>
          <w:sz w:val="24"/>
          <w:szCs w:val="24"/>
          <w:lang w:val="en"/>
        </w:rPr>
        <w:t xml:space="preserve">$23 </w:t>
      </w:r>
      <w:r w:rsidRPr="00D21AB4">
        <w:rPr>
          <w:rFonts w:ascii="Calibri" w:hAnsi="Calibri" w:cs="Calibri"/>
          <w:color w:val="333333"/>
          <w:sz w:val="24"/>
          <w:szCs w:val="24"/>
          <w:lang w:val="en"/>
        </w:rPr>
        <w:t xml:space="preserve">carbon price </w:t>
      </w:r>
      <w:r w:rsidR="00FD5BED" w:rsidRPr="00D21AB4">
        <w:rPr>
          <w:rFonts w:ascii="Calibri" w:hAnsi="Calibri" w:cs="Calibri"/>
          <w:color w:val="333333"/>
          <w:sz w:val="24"/>
          <w:szCs w:val="24"/>
          <w:lang w:val="en"/>
        </w:rPr>
        <w:t xml:space="preserve">on prices </w:t>
      </w:r>
      <w:r w:rsidR="002B67BC" w:rsidRPr="00D21AB4">
        <w:rPr>
          <w:rFonts w:ascii="Calibri" w:hAnsi="Calibri" w:cs="Calibri"/>
          <w:color w:val="333333"/>
          <w:sz w:val="24"/>
          <w:szCs w:val="24"/>
          <w:lang w:val="en"/>
        </w:rPr>
        <w:t>was</w:t>
      </w:r>
      <w:r w:rsidRPr="00D21AB4">
        <w:rPr>
          <w:rFonts w:ascii="Calibri" w:hAnsi="Calibri" w:cs="Calibri"/>
          <w:color w:val="333333"/>
          <w:sz w:val="24"/>
          <w:szCs w:val="24"/>
          <w:lang w:val="en"/>
        </w:rPr>
        <w:t xml:space="preserve"> bas</w:t>
      </w:r>
      <w:r w:rsidR="002B67BC" w:rsidRPr="00D21AB4">
        <w:rPr>
          <w:rFonts w:ascii="Calibri" w:hAnsi="Calibri" w:cs="Calibri"/>
          <w:color w:val="333333"/>
          <w:sz w:val="24"/>
          <w:szCs w:val="24"/>
          <w:lang w:val="en"/>
        </w:rPr>
        <w:t xml:space="preserve">ed on an </w:t>
      </w:r>
      <w:r w:rsidR="00847440" w:rsidRPr="00D21AB4">
        <w:rPr>
          <w:rFonts w:ascii="Calibri" w:hAnsi="Calibri" w:cs="Calibri"/>
          <w:color w:val="333333"/>
          <w:sz w:val="24"/>
          <w:szCs w:val="24"/>
          <w:lang w:val="en"/>
        </w:rPr>
        <w:t>I-O</w:t>
      </w:r>
      <w:r w:rsidR="004C63DC" w:rsidRPr="00D21AB4">
        <w:rPr>
          <w:rFonts w:ascii="Calibri" w:hAnsi="Calibri" w:cs="Calibri"/>
          <w:color w:val="333333"/>
          <w:sz w:val="24"/>
          <w:szCs w:val="24"/>
          <w:lang w:val="en"/>
        </w:rPr>
        <w:t xml:space="preserve"> framework</w:t>
      </w:r>
      <w:r w:rsidR="0047613E" w:rsidRPr="00D21AB4">
        <w:rPr>
          <w:rFonts w:ascii="Calibri" w:hAnsi="Calibri" w:cs="Calibri"/>
          <w:color w:val="333333"/>
          <w:sz w:val="24"/>
          <w:szCs w:val="24"/>
          <w:lang w:val="en"/>
        </w:rPr>
        <w:t xml:space="preserve"> which </w:t>
      </w:r>
      <w:r w:rsidR="002B67BC" w:rsidRPr="00D21AB4">
        <w:rPr>
          <w:rFonts w:ascii="Calibri" w:hAnsi="Calibri" w:cs="Calibri"/>
          <w:color w:val="333333"/>
          <w:sz w:val="24"/>
          <w:szCs w:val="24"/>
          <w:lang w:val="en"/>
        </w:rPr>
        <w:t>models</w:t>
      </w:r>
      <w:r w:rsidR="004C63DC" w:rsidRPr="00D21AB4">
        <w:rPr>
          <w:rFonts w:ascii="Calibri" w:hAnsi="Calibri" w:cs="Calibri"/>
          <w:color w:val="333333"/>
          <w:sz w:val="24"/>
          <w:szCs w:val="24"/>
          <w:lang w:val="en"/>
        </w:rPr>
        <w:t xml:space="preserve"> the flow through of </w:t>
      </w:r>
      <w:r w:rsidR="00236A23" w:rsidRPr="00D21AB4">
        <w:rPr>
          <w:rFonts w:ascii="Calibri" w:hAnsi="Calibri" w:cs="Calibri"/>
          <w:color w:val="333333"/>
          <w:sz w:val="24"/>
          <w:szCs w:val="24"/>
          <w:lang w:val="en"/>
        </w:rPr>
        <w:t>the c</w:t>
      </w:r>
      <w:r w:rsidR="004C63DC" w:rsidRPr="00D21AB4">
        <w:rPr>
          <w:rFonts w:ascii="Calibri" w:hAnsi="Calibri" w:cs="Calibri"/>
          <w:color w:val="333333"/>
          <w:sz w:val="24"/>
          <w:szCs w:val="24"/>
          <w:lang w:val="en"/>
        </w:rPr>
        <w:t xml:space="preserve">arbon price to different industry sectors, and calculates how this will </w:t>
      </w:r>
      <w:r w:rsidR="00B35F3F" w:rsidRPr="00D21AB4">
        <w:rPr>
          <w:rFonts w:ascii="Calibri" w:hAnsi="Calibri" w:cs="Calibri"/>
          <w:color w:val="333333"/>
          <w:sz w:val="24"/>
          <w:szCs w:val="24"/>
          <w:lang w:val="en"/>
        </w:rPr>
        <w:t xml:space="preserve">impact </w:t>
      </w:r>
      <w:r w:rsidR="002B67BC" w:rsidRPr="00D21AB4">
        <w:rPr>
          <w:rFonts w:ascii="Calibri" w:hAnsi="Calibri" w:cs="Calibri"/>
          <w:color w:val="333333"/>
          <w:sz w:val="24"/>
          <w:szCs w:val="24"/>
          <w:lang w:val="en"/>
        </w:rPr>
        <w:t>consumer prices</w:t>
      </w:r>
      <w:r w:rsidR="00252010">
        <w:rPr>
          <w:rFonts w:ascii="Calibri" w:hAnsi="Calibri" w:cs="Calibri"/>
          <w:color w:val="333333"/>
          <w:sz w:val="24"/>
          <w:szCs w:val="24"/>
          <w:lang w:val="en"/>
        </w:rPr>
        <w:t>.</w:t>
      </w:r>
      <w:r w:rsidR="002B67BC" w:rsidRPr="00D21AB4">
        <w:rPr>
          <w:rFonts w:ascii="Calibri" w:hAnsi="Calibri" w:cs="Calibri"/>
          <w:color w:val="333333"/>
          <w:sz w:val="24"/>
          <w:szCs w:val="24"/>
          <w:lang w:val="en"/>
        </w:rPr>
        <w:t xml:space="preserve">  The</w:t>
      </w:r>
      <w:r w:rsidR="00236A23" w:rsidRPr="00D21AB4">
        <w:rPr>
          <w:rFonts w:ascii="Calibri" w:hAnsi="Calibri" w:cs="Calibri"/>
          <w:color w:val="333333"/>
          <w:sz w:val="24"/>
          <w:szCs w:val="24"/>
          <w:lang w:val="en"/>
        </w:rPr>
        <w:t>se</w:t>
      </w:r>
      <w:r w:rsidR="008E0FF9" w:rsidRPr="00D21AB4">
        <w:rPr>
          <w:rFonts w:ascii="Calibri" w:hAnsi="Calibri" w:cs="Calibri"/>
          <w:color w:val="333333"/>
          <w:sz w:val="24"/>
          <w:szCs w:val="24"/>
          <w:lang w:val="en"/>
        </w:rPr>
        <w:t xml:space="preserve"> price impacts</w:t>
      </w:r>
      <w:r w:rsidR="00252010">
        <w:rPr>
          <w:rFonts w:ascii="Calibri" w:hAnsi="Calibri" w:cs="Calibri"/>
          <w:color w:val="333333"/>
          <w:sz w:val="24"/>
          <w:szCs w:val="24"/>
          <w:lang w:val="en"/>
        </w:rPr>
        <w:t>,</w:t>
      </w:r>
      <w:r w:rsidR="008E0FF9" w:rsidRPr="00D21AB4">
        <w:rPr>
          <w:rFonts w:ascii="Calibri" w:hAnsi="Calibri" w:cs="Calibri"/>
          <w:color w:val="333333"/>
          <w:sz w:val="24"/>
          <w:szCs w:val="24"/>
          <w:lang w:val="en"/>
        </w:rPr>
        <w:t xml:space="preserve"> combined with the government assistance estimated from a micro</w:t>
      </w:r>
      <w:r w:rsidR="005235BE">
        <w:rPr>
          <w:rFonts w:ascii="Calibri" w:hAnsi="Calibri" w:cs="Calibri"/>
          <w:color w:val="333333"/>
          <w:sz w:val="24"/>
          <w:szCs w:val="24"/>
          <w:lang w:val="en"/>
        </w:rPr>
        <w:t xml:space="preserve"> </w:t>
      </w:r>
      <w:r w:rsidR="008E0FF9" w:rsidRPr="00D21AB4">
        <w:rPr>
          <w:rFonts w:ascii="Calibri" w:hAnsi="Calibri" w:cs="Calibri"/>
          <w:color w:val="333333"/>
          <w:sz w:val="24"/>
          <w:szCs w:val="24"/>
          <w:lang w:val="en"/>
        </w:rPr>
        <w:t xml:space="preserve">simulation model of the Australian tax and </w:t>
      </w:r>
      <w:r w:rsidR="002B67BC" w:rsidRPr="00D21AB4">
        <w:rPr>
          <w:rFonts w:ascii="Calibri" w:hAnsi="Calibri" w:cs="Calibri"/>
          <w:color w:val="333333"/>
          <w:sz w:val="24"/>
          <w:szCs w:val="24"/>
          <w:lang w:val="en"/>
        </w:rPr>
        <w:t>transfer system</w:t>
      </w:r>
      <w:r w:rsidR="00252010">
        <w:rPr>
          <w:rFonts w:ascii="Calibri" w:hAnsi="Calibri" w:cs="Calibri"/>
          <w:color w:val="333333"/>
          <w:sz w:val="24"/>
          <w:szCs w:val="24"/>
          <w:lang w:val="en"/>
        </w:rPr>
        <w:t>,</w:t>
      </w:r>
      <w:r w:rsidR="008E0FF9" w:rsidRPr="00D21AB4">
        <w:rPr>
          <w:rFonts w:ascii="Calibri" w:hAnsi="Calibri" w:cs="Calibri"/>
          <w:color w:val="333333"/>
          <w:sz w:val="24"/>
          <w:szCs w:val="24"/>
          <w:lang w:val="en"/>
        </w:rPr>
        <w:t xml:space="preserve"> </w:t>
      </w:r>
      <w:r w:rsidR="00236A23" w:rsidRPr="00D21AB4">
        <w:rPr>
          <w:rFonts w:ascii="Calibri" w:hAnsi="Calibri" w:cs="Calibri"/>
          <w:color w:val="333333"/>
          <w:sz w:val="24"/>
          <w:szCs w:val="24"/>
          <w:lang w:val="en"/>
        </w:rPr>
        <w:t>provided</w:t>
      </w:r>
      <w:r w:rsidR="008E0FF9" w:rsidRPr="00D21AB4">
        <w:rPr>
          <w:rFonts w:ascii="Calibri" w:hAnsi="Calibri" w:cs="Calibri"/>
          <w:color w:val="333333"/>
          <w:sz w:val="24"/>
          <w:szCs w:val="24"/>
          <w:lang w:val="en"/>
        </w:rPr>
        <w:t xml:space="preserve"> estimates of the </w:t>
      </w:r>
      <w:r w:rsidR="00236A23" w:rsidRPr="00D21AB4">
        <w:rPr>
          <w:rFonts w:ascii="Calibri" w:hAnsi="Calibri" w:cs="Calibri"/>
          <w:color w:val="333333"/>
          <w:sz w:val="24"/>
          <w:szCs w:val="24"/>
          <w:lang w:val="en"/>
        </w:rPr>
        <w:t>effects</w:t>
      </w:r>
      <w:r w:rsidR="008E0FF9" w:rsidRPr="00D21AB4">
        <w:rPr>
          <w:rFonts w:ascii="Calibri" w:hAnsi="Calibri" w:cs="Calibri"/>
          <w:color w:val="333333"/>
          <w:sz w:val="24"/>
          <w:szCs w:val="24"/>
          <w:lang w:val="en"/>
        </w:rPr>
        <w:t xml:space="preserve"> of </w:t>
      </w:r>
      <w:r w:rsidR="00236A23" w:rsidRPr="00D21AB4">
        <w:rPr>
          <w:rFonts w:ascii="Calibri" w:hAnsi="Calibri" w:cs="Calibri"/>
          <w:color w:val="333333"/>
          <w:sz w:val="24"/>
          <w:szCs w:val="24"/>
          <w:lang w:val="en"/>
        </w:rPr>
        <w:t xml:space="preserve">the </w:t>
      </w:r>
      <w:r w:rsidR="002B67BC" w:rsidRPr="00D21AB4">
        <w:rPr>
          <w:rFonts w:ascii="Calibri" w:hAnsi="Calibri" w:cs="Calibri"/>
          <w:color w:val="333333"/>
          <w:sz w:val="24"/>
          <w:szCs w:val="24"/>
          <w:lang w:val="en"/>
        </w:rPr>
        <w:t xml:space="preserve">Government’s </w:t>
      </w:r>
      <w:r w:rsidR="00236A23" w:rsidRPr="00D21AB4">
        <w:rPr>
          <w:rFonts w:ascii="Calibri" w:hAnsi="Calibri" w:cs="Calibri"/>
          <w:color w:val="333333"/>
          <w:sz w:val="24"/>
          <w:szCs w:val="24"/>
          <w:lang w:val="en"/>
        </w:rPr>
        <w:t xml:space="preserve">overall </w:t>
      </w:r>
      <w:r w:rsidR="001A043D" w:rsidRPr="00D21AB4">
        <w:rPr>
          <w:rFonts w:ascii="Calibri" w:hAnsi="Calibri" w:cs="Calibri"/>
          <w:color w:val="333333"/>
          <w:sz w:val="24"/>
          <w:szCs w:val="24"/>
          <w:lang w:val="en"/>
        </w:rPr>
        <w:t>assistance to households by household types at difference income levels</w:t>
      </w:r>
      <w:r w:rsidR="008E0FF9" w:rsidRPr="00D21AB4">
        <w:rPr>
          <w:rFonts w:ascii="Calibri" w:hAnsi="Calibri" w:cs="Calibri"/>
          <w:color w:val="333333"/>
          <w:sz w:val="24"/>
          <w:szCs w:val="24"/>
          <w:lang w:val="en"/>
        </w:rPr>
        <w:t>.</w:t>
      </w:r>
      <w:r w:rsidR="00C56A19" w:rsidRPr="00D21AB4">
        <w:rPr>
          <w:rFonts w:ascii="Calibri" w:hAnsi="Calibri" w:cs="Calibri"/>
          <w:color w:val="333333"/>
          <w:sz w:val="24"/>
          <w:szCs w:val="24"/>
          <w:lang w:val="en"/>
        </w:rPr>
        <w:t xml:space="preserve">  </w:t>
      </w:r>
    </w:p>
    <w:p w:rsidR="00822BD4" w:rsidRDefault="00822BD4" w:rsidP="006E7A78">
      <w:pPr>
        <w:pStyle w:val="Bullet"/>
        <w:numPr>
          <w:ilvl w:val="0"/>
          <w:numId w:val="0"/>
        </w:numPr>
        <w:spacing w:after="30" w:line="360" w:lineRule="auto"/>
        <w:rPr>
          <w:rFonts w:ascii="Calibri" w:hAnsi="Calibri" w:cs="Calibri"/>
          <w:color w:val="333333"/>
          <w:sz w:val="24"/>
          <w:szCs w:val="24"/>
          <w:lang w:val="en"/>
        </w:rPr>
      </w:pPr>
    </w:p>
    <w:p w:rsidR="00212609" w:rsidRDefault="00822BD4" w:rsidP="00803A7D">
      <w:pPr>
        <w:spacing w:after="30" w:line="360" w:lineRule="auto"/>
        <w:rPr>
          <w:rFonts w:cstheme="minorHAnsi"/>
          <w:sz w:val="24"/>
          <w:szCs w:val="24"/>
        </w:rPr>
      </w:pPr>
      <w:r>
        <w:rPr>
          <w:rFonts w:ascii="Calibri" w:hAnsi="Calibri" w:cs="Calibri"/>
          <w:color w:val="333333"/>
          <w:sz w:val="24"/>
          <w:szCs w:val="24"/>
          <w:lang w:val="en"/>
        </w:rPr>
        <w:t xml:space="preserve">The Australian Treasury </w:t>
      </w:r>
      <w:proofErr w:type="spellStart"/>
      <w:r>
        <w:rPr>
          <w:rFonts w:ascii="Calibri" w:hAnsi="Calibri" w:cs="Calibri"/>
          <w:color w:val="333333"/>
          <w:sz w:val="24"/>
          <w:szCs w:val="24"/>
          <w:lang w:val="en"/>
        </w:rPr>
        <w:t>modelling</w:t>
      </w:r>
      <w:proofErr w:type="spellEnd"/>
      <w:r>
        <w:rPr>
          <w:rFonts w:ascii="Calibri" w:hAnsi="Calibri" w:cs="Calibri"/>
          <w:color w:val="333333"/>
          <w:sz w:val="24"/>
          <w:szCs w:val="24"/>
          <w:lang w:val="en"/>
        </w:rPr>
        <w:t xml:space="preserve"> of carbon price impacts w</w:t>
      </w:r>
      <w:r w:rsidR="008F7736">
        <w:rPr>
          <w:rFonts w:ascii="Calibri" w:hAnsi="Calibri" w:cs="Calibri"/>
          <w:color w:val="333333"/>
          <w:sz w:val="24"/>
          <w:szCs w:val="24"/>
          <w:lang w:val="en"/>
        </w:rPr>
        <w:t>as</w:t>
      </w:r>
      <w:r>
        <w:rPr>
          <w:rFonts w:ascii="Calibri" w:hAnsi="Calibri" w:cs="Calibri"/>
          <w:color w:val="333333"/>
          <w:sz w:val="24"/>
          <w:szCs w:val="24"/>
          <w:lang w:val="en"/>
        </w:rPr>
        <w:t xml:space="preserve"> based on a suite of models which include two top down CGE models developed in Australia </w:t>
      </w:r>
      <w:r w:rsidR="00803A7D">
        <w:rPr>
          <w:rFonts w:cstheme="minorHAnsi"/>
          <w:sz w:val="24"/>
          <w:szCs w:val="24"/>
        </w:rPr>
        <w:t xml:space="preserve">– the Global Trade and Environment </w:t>
      </w:r>
      <w:r w:rsidR="003A28A3">
        <w:rPr>
          <w:rFonts w:cstheme="minorHAnsi"/>
          <w:sz w:val="24"/>
          <w:szCs w:val="24"/>
        </w:rPr>
        <w:t xml:space="preserve">Model </w:t>
      </w:r>
      <w:r w:rsidR="00803A7D">
        <w:rPr>
          <w:rFonts w:cstheme="minorHAnsi"/>
          <w:sz w:val="24"/>
          <w:szCs w:val="24"/>
        </w:rPr>
        <w:t>(GTEM) and the Monash Multi-Regional Forecasting (MMRF) model</w:t>
      </w:r>
      <w:r w:rsidR="00E5695E">
        <w:rPr>
          <w:rFonts w:cstheme="minorHAnsi"/>
          <w:sz w:val="24"/>
          <w:szCs w:val="24"/>
        </w:rPr>
        <w:t xml:space="preserve">, </w:t>
      </w:r>
      <w:r w:rsidR="00803A7D">
        <w:rPr>
          <w:rFonts w:cstheme="minorHAnsi"/>
          <w:sz w:val="24"/>
          <w:szCs w:val="24"/>
        </w:rPr>
        <w:t>the Treasury’s Price Revenue Incide</w:t>
      </w:r>
      <w:r w:rsidR="006F1A83">
        <w:rPr>
          <w:rFonts w:cstheme="minorHAnsi"/>
          <w:sz w:val="24"/>
          <w:szCs w:val="24"/>
        </w:rPr>
        <w:t>nce Simulation Model (PRISMOD)</w:t>
      </w:r>
      <w:r w:rsidR="00E81C6C">
        <w:rPr>
          <w:rFonts w:cstheme="minorHAnsi"/>
          <w:sz w:val="24"/>
          <w:szCs w:val="24"/>
        </w:rPr>
        <w:t xml:space="preserve"> and the Static Incomes Model (STINMOD)</w:t>
      </w:r>
      <w:r w:rsidR="006F1A83">
        <w:rPr>
          <w:rFonts w:cstheme="minorHAnsi"/>
          <w:sz w:val="24"/>
          <w:szCs w:val="24"/>
        </w:rPr>
        <w:t>.</w:t>
      </w:r>
      <w:r w:rsidR="006F1A83">
        <w:rPr>
          <w:rStyle w:val="FootnoteReference"/>
          <w:rFonts w:cstheme="minorHAnsi"/>
          <w:sz w:val="24"/>
          <w:szCs w:val="24"/>
        </w:rPr>
        <w:footnoteReference w:id="1"/>
      </w:r>
      <w:r w:rsidR="006F1A83">
        <w:rPr>
          <w:rFonts w:cstheme="minorHAnsi"/>
          <w:sz w:val="24"/>
          <w:szCs w:val="24"/>
        </w:rPr>
        <w:t xml:space="preserve"> </w:t>
      </w:r>
      <w:r w:rsidR="007D0ACB">
        <w:rPr>
          <w:rFonts w:cstheme="minorHAnsi"/>
          <w:sz w:val="24"/>
          <w:szCs w:val="24"/>
        </w:rPr>
        <w:t xml:space="preserve"> </w:t>
      </w:r>
      <w:r w:rsidR="00803A7D">
        <w:rPr>
          <w:rFonts w:cstheme="minorHAnsi"/>
          <w:sz w:val="24"/>
          <w:szCs w:val="24"/>
        </w:rPr>
        <w:t xml:space="preserve">This paper focuses on the household price impact analysis of carbon pricing. </w:t>
      </w:r>
    </w:p>
    <w:p w:rsidR="00393FCB" w:rsidRDefault="00393FCB" w:rsidP="00A0309C">
      <w:pPr>
        <w:spacing w:after="0" w:line="240" w:lineRule="auto"/>
        <w:rPr>
          <w:b/>
          <w:lang w:val="en"/>
        </w:rPr>
      </w:pPr>
    </w:p>
    <w:p w:rsidR="00B26E5E" w:rsidRDefault="00252010" w:rsidP="008F7736">
      <w:pPr>
        <w:pStyle w:val="Heading2"/>
      </w:pPr>
      <w:r>
        <w:t xml:space="preserve">Price and Household </w:t>
      </w:r>
      <w:r w:rsidR="00B26E5E" w:rsidRPr="00115A00">
        <w:t xml:space="preserve">Modelling </w:t>
      </w:r>
    </w:p>
    <w:p w:rsidR="00B26E5E" w:rsidRDefault="007550AC" w:rsidP="00A0309C">
      <w:pPr>
        <w:spacing w:before="120" w:after="30" w:line="360" w:lineRule="auto"/>
        <w:rPr>
          <w:rFonts w:cstheme="minorHAnsi"/>
          <w:sz w:val="24"/>
          <w:szCs w:val="24"/>
        </w:rPr>
      </w:pPr>
      <w:r>
        <w:rPr>
          <w:rFonts w:cstheme="minorHAnsi"/>
          <w:sz w:val="24"/>
          <w:szCs w:val="24"/>
        </w:rPr>
        <w:t>M</w:t>
      </w:r>
      <w:r w:rsidR="00B26E5E" w:rsidRPr="005C1E7C">
        <w:rPr>
          <w:rFonts w:cstheme="minorHAnsi"/>
          <w:sz w:val="24"/>
          <w:szCs w:val="24"/>
        </w:rPr>
        <w:t xml:space="preserve">odelling of the impact of the </w:t>
      </w:r>
      <w:r w:rsidR="00B26E5E">
        <w:rPr>
          <w:rFonts w:cstheme="minorHAnsi"/>
          <w:sz w:val="24"/>
          <w:szCs w:val="24"/>
        </w:rPr>
        <w:t xml:space="preserve">Australian Government’s carbon </w:t>
      </w:r>
      <w:r w:rsidR="00B26E5E" w:rsidRPr="005C1E7C">
        <w:rPr>
          <w:rFonts w:cstheme="minorHAnsi"/>
          <w:sz w:val="24"/>
          <w:szCs w:val="24"/>
        </w:rPr>
        <w:t xml:space="preserve">price </w:t>
      </w:r>
      <w:r w:rsidR="00B26E5E">
        <w:rPr>
          <w:rFonts w:cstheme="minorHAnsi"/>
          <w:sz w:val="24"/>
          <w:szCs w:val="24"/>
        </w:rPr>
        <w:t xml:space="preserve">policy </w:t>
      </w:r>
      <w:r w:rsidR="00B26E5E" w:rsidRPr="005C1E7C">
        <w:rPr>
          <w:rFonts w:cstheme="minorHAnsi"/>
          <w:sz w:val="24"/>
          <w:szCs w:val="24"/>
        </w:rPr>
        <w:t xml:space="preserve">on </w:t>
      </w:r>
      <w:r w:rsidR="00B26E5E" w:rsidRPr="00A0309C">
        <w:rPr>
          <w:rFonts w:cstheme="minorHAnsi"/>
          <w:sz w:val="24"/>
          <w:szCs w:val="24"/>
        </w:rPr>
        <w:t>consumer prices and household income distributions</w:t>
      </w:r>
      <w:r w:rsidR="00B26E5E" w:rsidRPr="00096B95">
        <w:rPr>
          <w:rFonts w:cstheme="minorHAnsi"/>
          <w:sz w:val="24"/>
          <w:szCs w:val="24"/>
        </w:rPr>
        <w:t xml:space="preserve"> </w:t>
      </w:r>
      <w:r w:rsidR="00B26E5E">
        <w:rPr>
          <w:rFonts w:cstheme="minorHAnsi"/>
          <w:sz w:val="24"/>
          <w:szCs w:val="24"/>
        </w:rPr>
        <w:t>was</w:t>
      </w:r>
      <w:r w:rsidR="00B26E5E" w:rsidRPr="005C1E7C">
        <w:rPr>
          <w:rFonts w:cstheme="minorHAnsi"/>
          <w:sz w:val="24"/>
          <w:szCs w:val="24"/>
        </w:rPr>
        <w:t xml:space="preserve"> undertaken with the </w:t>
      </w:r>
      <w:r w:rsidR="00825A68">
        <w:rPr>
          <w:rFonts w:cstheme="minorHAnsi"/>
          <w:sz w:val="24"/>
          <w:szCs w:val="24"/>
        </w:rPr>
        <w:t>Australian</w:t>
      </w:r>
      <w:r w:rsidR="00825A68" w:rsidRPr="005C1E7C">
        <w:rPr>
          <w:rFonts w:cstheme="minorHAnsi"/>
          <w:sz w:val="24"/>
          <w:szCs w:val="24"/>
        </w:rPr>
        <w:t xml:space="preserve"> </w:t>
      </w:r>
      <w:r w:rsidR="00B26E5E" w:rsidRPr="005C1E7C">
        <w:rPr>
          <w:rFonts w:cstheme="minorHAnsi"/>
          <w:sz w:val="24"/>
          <w:szCs w:val="24"/>
        </w:rPr>
        <w:t>Treasury’s PRISMOD</w:t>
      </w:r>
      <w:r w:rsidR="009801FA">
        <w:rPr>
          <w:rFonts w:cstheme="minorHAnsi"/>
          <w:sz w:val="24"/>
          <w:szCs w:val="24"/>
        </w:rPr>
        <w:t>.</w:t>
      </w:r>
      <w:r w:rsidR="00E5695E">
        <w:rPr>
          <w:rFonts w:cstheme="minorHAnsi"/>
          <w:sz w:val="24"/>
          <w:szCs w:val="24"/>
        </w:rPr>
        <w:t xml:space="preserve"> (</w:t>
      </w:r>
      <w:r w:rsidR="009801FA">
        <w:rPr>
          <w:rFonts w:cstheme="minorHAnsi"/>
          <w:sz w:val="24"/>
          <w:szCs w:val="24"/>
        </w:rPr>
        <w:t>F</w:t>
      </w:r>
      <w:r w:rsidR="00096B95">
        <w:rPr>
          <w:rFonts w:cstheme="minorHAnsi"/>
          <w:sz w:val="24"/>
          <w:szCs w:val="24"/>
        </w:rPr>
        <w:t>or an overview of the modelling approach see Figure 1</w:t>
      </w:r>
      <w:r w:rsidR="009801FA">
        <w:rPr>
          <w:rFonts w:cstheme="minorHAnsi"/>
          <w:sz w:val="24"/>
          <w:szCs w:val="24"/>
        </w:rPr>
        <w:t>.</w:t>
      </w:r>
      <w:r w:rsidR="00E5695E">
        <w:rPr>
          <w:rFonts w:cstheme="minorHAnsi"/>
          <w:sz w:val="24"/>
          <w:szCs w:val="24"/>
        </w:rPr>
        <w:t>)</w:t>
      </w:r>
      <w:r w:rsidR="00B26E5E">
        <w:rPr>
          <w:rFonts w:cstheme="minorHAnsi"/>
          <w:sz w:val="24"/>
          <w:szCs w:val="24"/>
        </w:rPr>
        <w:t xml:space="preserve"> </w:t>
      </w:r>
      <w:r w:rsidR="00E5695E">
        <w:rPr>
          <w:rFonts w:cstheme="minorHAnsi"/>
          <w:sz w:val="24"/>
          <w:szCs w:val="24"/>
        </w:rPr>
        <w:t xml:space="preserve"> </w:t>
      </w:r>
      <w:r w:rsidR="00F5009A">
        <w:rPr>
          <w:rFonts w:cstheme="minorHAnsi"/>
          <w:sz w:val="24"/>
          <w:szCs w:val="24"/>
        </w:rPr>
        <w:t xml:space="preserve">PRISMOD </w:t>
      </w:r>
      <w:r w:rsidR="00B26E5E">
        <w:rPr>
          <w:rFonts w:cstheme="minorHAnsi"/>
          <w:sz w:val="24"/>
          <w:szCs w:val="24"/>
        </w:rPr>
        <w:t>consists of two major modules – industry level PRISMOD.IO and household level PRISMOD.DIST.</w:t>
      </w:r>
      <w:r w:rsidR="00B26E5E">
        <w:rPr>
          <w:rStyle w:val="FootnoteReference"/>
          <w:rFonts w:cstheme="minorHAnsi"/>
          <w:sz w:val="24"/>
          <w:szCs w:val="24"/>
        </w:rPr>
        <w:footnoteReference w:id="2"/>
      </w:r>
    </w:p>
    <w:p w:rsidR="00B26E5E" w:rsidRPr="005C1E7C" w:rsidRDefault="00B26E5E" w:rsidP="00B26E5E">
      <w:pPr>
        <w:spacing w:after="0" w:line="240" w:lineRule="auto"/>
        <w:rPr>
          <w:rFonts w:cstheme="minorHAnsi"/>
          <w:sz w:val="24"/>
          <w:szCs w:val="24"/>
        </w:rPr>
      </w:pPr>
    </w:p>
    <w:p w:rsidR="000E63C5" w:rsidRDefault="000E63C5" w:rsidP="00236A23">
      <w:pPr>
        <w:pStyle w:val="NormalWeb"/>
        <w:shd w:val="clear" w:color="auto" w:fill="FFFFFF"/>
        <w:spacing w:after="0"/>
        <w:rPr>
          <w:rFonts w:asciiTheme="minorHAnsi" w:hAnsiTheme="minorHAnsi" w:cstheme="minorHAnsi"/>
          <w:b/>
          <w:color w:val="000000"/>
          <w:lang w:val="en"/>
        </w:rPr>
      </w:pPr>
    </w:p>
    <w:p w:rsidR="00236A23" w:rsidRPr="00050DF2" w:rsidRDefault="00236A23" w:rsidP="00236A23">
      <w:pPr>
        <w:pStyle w:val="NormalWeb"/>
        <w:shd w:val="clear" w:color="auto" w:fill="FFFFFF"/>
        <w:spacing w:after="0"/>
        <w:rPr>
          <w:rFonts w:asciiTheme="minorHAnsi" w:hAnsiTheme="minorHAnsi" w:cstheme="minorHAnsi"/>
          <w:b/>
          <w:color w:val="000000"/>
          <w:lang w:val="en"/>
        </w:rPr>
      </w:pPr>
      <w:r w:rsidRPr="00050DF2">
        <w:rPr>
          <w:rFonts w:asciiTheme="minorHAnsi" w:hAnsiTheme="minorHAnsi" w:cstheme="minorHAnsi"/>
          <w:b/>
          <w:color w:val="000000"/>
          <w:lang w:val="en"/>
        </w:rPr>
        <w:lastRenderedPageBreak/>
        <w:t xml:space="preserve">Figure 1: Overview of the </w:t>
      </w:r>
      <w:proofErr w:type="spellStart"/>
      <w:r w:rsidR="00825A68">
        <w:rPr>
          <w:rFonts w:asciiTheme="minorHAnsi" w:hAnsiTheme="minorHAnsi" w:cstheme="minorHAnsi"/>
          <w:b/>
          <w:color w:val="000000"/>
          <w:lang w:val="en"/>
        </w:rPr>
        <w:t>modelling</w:t>
      </w:r>
      <w:proofErr w:type="spellEnd"/>
      <w:r w:rsidR="00825A68">
        <w:rPr>
          <w:rFonts w:asciiTheme="minorHAnsi" w:hAnsiTheme="minorHAnsi" w:cstheme="minorHAnsi"/>
          <w:b/>
          <w:color w:val="000000"/>
          <w:lang w:val="en"/>
        </w:rPr>
        <w:t xml:space="preserve"> </w:t>
      </w:r>
      <w:r w:rsidRPr="00050DF2">
        <w:rPr>
          <w:rFonts w:asciiTheme="minorHAnsi" w:hAnsiTheme="minorHAnsi" w:cstheme="minorHAnsi"/>
          <w:b/>
          <w:color w:val="000000"/>
          <w:lang w:val="en"/>
        </w:rPr>
        <w:t>approach</w:t>
      </w:r>
    </w:p>
    <w:p w:rsidR="00236A23" w:rsidRDefault="00DF325C" w:rsidP="00236A23">
      <w:pPr>
        <w:pStyle w:val="NormalWeb"/>
        <w:shd w:val="clear" w:color="auto" w:fill="FFFFFF"/>
        <w:spacing w:after="0"/>
        <w:rPr>
          <w:rFonts w:ascii="Lucida Sans Unicode" w:hAnsi="Lucida Sans Unicode" w:cs="Lucida Sans Unicode"/>
          <w:color w:val="000000"/>
          <w:sz w:val="17"/>
          <w:szCs w:val="17"/>
          <w:lang w:val="en"/>
        </w:rPr>
      </w:pPr>
      <w:r>
        <w:rPr>
          <w:noProof/>
        </w:rPr>
        <mc:AlternateContent>
          <mc:Choice Requires="wps">
            <w:drawing>
              <wp:anchor distT="0" distB="0" distL="114300" distR="114300" simplePos="0" relativeHeight="251678720" behindDoc="0" locked="0" layoutInCell="1" allowOverlap="1" wp14:anchorId="681AD84B" wp14:editId="68E89680">
                <wp:simplePos x="0" y="0"/>
                <wp:positionH relativeFrom="column">
                  <wp:posOffset>3048000</wp:posOffset>
                </wp:positionH>
                <wp:positionV relativeFrom="paragraph">
                  <wp:posOffset>1194435</wp:posOffset>
                </wp:positionV>
                <wp:extent cx="419100" cy="704850"/>
                <wp:effectExtent l="19050" t="38100" r="57150" b="19050"/>
                <wp:wrapNone/>
                <wp:docPr id="9" name="Straight Arrow Connector 9"/>
                <wp:cNvGraphicFramePr/>
                <a:graphic xmlns:a="http://schemas.openxmlformats.org/drawingml/2006/main">
                  <a:graphicData uri="http://schemas.microsoft.com/office/word/2010/wordprocessingShape">
                    <wps:wsp>
                      <wps:cNvCnPr/>
                      <wps:spPr>
                        <a:xfrm flipV="1">
                          <a:off x="0" y="0"/>
                          <a:ext cx="419100" cy="704850"/>
                        </a:xfrm>
                        <a:prstGeom prst="straightConnector1">
                          <a:avLst/>
                        </a:prstGeom>
                        <a:ln w="28575">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40pt;margin-top:94.05pt;width:33pt;height:5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" strokecolor="#943634 [2405]" strokeweight="2.25pt">
                <v:stroke endarrow="open"/>
              </v:shape>
            </w:pict>
          </mc:Fallback>
        </mc:AlternateContent>
      </w:r>
      <w:r>
        <w:rPr>
          <w:noProof/>
        </w:rPr>
        <mc:AlternateContent>
          <mc:Choice Requires="wps">
            <w:drawing>
              <wp:anchor distT="0" distB="0" distL="114300" distR="114300" simplePos="0" relativeHeight="251673600" behindDoc="0" locked="0" layoutInCell="1" allowOverlap="1" wp14:anchorId="3DE2A3DC" wp14:editId="3AB51653">
                <wp:simplePos x="0" y="0"/>
                <wp:positionH relativeFrom="column">
                  <wp:posOffset>2676525</wp:posOffset>
                </wp:positionH>
                <wp:positionV relativeFrom="paragraph">
                  <wp:posOffset>1451610</wp:posOffset>
                </wp:positionV>
                <wp:extent cx="161925" cy="447675"/>
                <wp:effectExtent l="19050" t="0" r="28575" b="47625"/>
                <wp:wrapNone/>
                <wp:docPr id="2" name="Down Arrow 2"/>
                <wp:cNvGraphicFramePr/>
                <a:graphic xmlns:a="http://schemas.openxmlformats.org/drawingml/2006/main">
                  <a:graphicData uri="http://schemas.microsoft.com/office/word/2010/wordprocessingShape">
                    <wps:wsp>
                      <wps:cNvSpPr/>
                      <wps:spPr>
                        <a:xfrm>
                          <a:off x="0" y="0"/>
                          <a:ext cx="161925" cy="4476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75pt;margin-top:114.3pt;width:12.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" adj="17694" fillcolor="white [3201]" strokecolor="#f79646 [3209]" strokeweight="2pt"/>
            </w:pict>
          </mc:Fallback>
        </mc:AlternateContent>
      </w:r>
      <w:r>
        <w:rPr>
          <w:noProof/>
        </w:rPr>
        <mc:AlternateContent>
          <mc:Choice Requires="wps">
            <w:drawing>
              <wp:anchor distT="0" distB="0" distL="114300" distR="114300" simplePos="0" relativeHeight="251674624" behindDoc="0" locked="0" layoutInCell="1" allowOverlap="1" wp14:anchorId="50263B1A" wp14:editId="65B64330">
                <wp:simplePos x="0" y="0"/>
                <wp:positionH relativeFrom="column">
                  <wp:posOffset>2390775</wp:posOffset>
                </wp:positionH>
                <wp:positionV relativeFrom="paragraph">
                  <wp:posOffset>1899920</wp:posOffset>
                </wp:positionV>
                <wp:extent cx="1695450" cy="9048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695450" cy="9048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22474" w:rsidRDefault="00A22474" w:rsidP="00236A23">
                            <w:r>
                              <w:t>Changes in consumer prices and household income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88.25pt;margin-top:149.6pt;width:133.5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" fillcolor="white [3201]" strokecolor="#c0504d [3205]" strokeweight="2pt">
                <v:textbox>
                  <w:txbxContent>
                    <w:p w:rsidR="000E1369" w:rsidRDefault="000E1369" w:rsidP="00236A23">
                      <w:r>
                        <w:t>Changes in consumer prices and household income distribution</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C3C741D" wp14:editId="563F30AF">
                <wp:simplePos x="0" y="0"/>
                <wp:positionH relativeFrom="column">
                  <wp:posOffset>1933575</wp:posOffset>
                </wp:positionH>
                <wp:positionV relativeFrom="paragraph">
                  <wp:posOffset>1165860</wp:posOffset>
                </wp:positionV>
                <wp:extent cx="400050" cy="752475"/>
                <wp:effectExtent l="19050" t="38100" r="57150" b="9525"/>
                <wp:wrapNone/>
                <wp:docPr id="7" name="Straight Arrow Connector 7"/>
                <wp:cNvGraphicFramePr/>
                <a:graphic xmlns:a="http://schemas.openxmlformats.org/drawingml/2006/main">
                  <a:graphicData uri="http://schemas.microsoft.com/office/word/2010/wordprocessingShape">
                    <wps:wsp>
                      <wps:cNvCnPr/>
                      <wps:spPr>
                        <a:xfrm flipV="1">
                          <a:off x="0" y="0"/>
                          <a:ext cx="400050" cy="752475"/>
                        </a:xfrm>
                        <a:prstGeom prst="straightConnector1">
                          <a:avLst/>
                        </a:prstGeom>
                        <a:ln w="28575">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52.25pt;margin-top:91.8pt;width:31.5pt;height:59.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" strokecolor="#943634 [2405]" strokeweight="2.25pt">
                <v:stroke endarrow="open"/>
              </v:shape>
            </w:pict>
          </mc:Fallback>
        </mc:AlternateContent>
      </w:r>
      <w:r>
        <w:rPr>
          <w:noProof/>
        </w:rPr>
        <mc:AlternateContent>
          <mc:Choice Requires="wps">
            <w:drawing>
              <wp:anchor distT="0" distB="0" distL="114300" distR="114300" simplePos="0" relativeHeight="251671552" behindDoc="0" locked="0" layoutInCell="1" allowOverlap="1" wp14:anchorId="513B9399" wp14:editId="759A2F3E">
                <wp:simplePos x="0" y="0"/>
                <wp:positionH relativeFrom="column">
                  <wp:posOffset>1476375</wp:posOffset>
                </wp:positionH>
                <wp:positionV relativeFrom="paragraph">
                  <wp:posOffset>1470025</wp:posOffset>
                </wp:positionV>
                <wp:extent cx="161925" cy="44767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161925" cy="44767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 o:spid="_x0000_s1026" type="#_x0000_t67" style="position:absolute;margin-left:116.25pt;margin-top:115.75pt;width:12.7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" adj="17694" fillcolor="white [3201]" strokecolor="#f79646 [3209]" strokeweight="2pt"/>
            </w:pict>
          </mc:Fallback>
        </mc:AlternateContent>
      </w:r>
      <w:r>
        <w:rPr>
          <w:noProof/>
        </w:rPr>
        <mc:AlternateContent>
          <mc:Choice Requires="wps">
            <w:drawing>
              <wp:anchor distT="0" distB="0" distL="114300" distR="114300" simplePos="0" relativeHeight="251672576" behindDoc="0" locked="0" layoutInCell="1" allowOverlap="1" wp14:anchorId="3713557C" wp14:editId="7BC3488A">
                <wp:simplePos x="0" y="0"/>
                <wp:positionH relativeFrom="column">
                  <wp:posOffset>609600</wp:posOffset>
                </wp:positionH>
                <wp:positionV relativeFrom="paragraph">
                  <wp:posOffset>1918970</wp:posOffset>
                </wp:positionV>
                <wp:extent cx="1724025" cy="8858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724025" cy="8858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A22474" w:rsidRPr="00290F9B" w:rsidRDefault="00A22474" w:rsidP="00236A23">
                            <w:r>
                              <w:t>Changes in industry costs and price impact on household consumption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48pt;margin-top:151.1pt;width:135.75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" fillcolor="white [3201]" strokecolor="#c0504d [3205]" strokeweight="2pt">
                <v:textbox>
                  <w:txbxContent>
                    <w:p w:rsidR="000E1369" w:rsidRPr="00290F9B" w:rsidRDefault="000E1369" w:rsidP="00236A23">
                      <w:r>
                        <w:t>Changes in industry costs and price impact on household consumption expenditure</w:t>
                      </w:r>
                    </w:p>
                  </w:txbxContent>
                </v:textbox>
              </v:shape>
            </w:pict>
          </mc:Fallback>
        </mc:AlternateContent>
      </w:r>
      <w:r w:rsidR="00236A23">
        <w:rPr>
          <w:noProof/>
        </w:rPr>
        <w:drawing>
          <wp:inline distT="0" distB="0" distL="0" distR="0" wp14:anchorId="0DC2D5D0" wp14:editId="069153D3">
            <wp:extent cx="5731510" cy="196054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57527" w:rsidRDefault="00241222" w:rsidP="00A456AE">
      <w:pPr>
        <w:pStyle w:val="Bullet"/>
        <w:numPr>
          <w:ilvl w:val="0"/>
          <w:numId w:val="0"/>
        </w:numPr>
        <w:spacing w:after="30" w:line="360" w:lineRule="auto"/>
        <w:ind w:left="520" w:hanging="520"/>
        <w:rPr>
          <w:sz w:val="24"/>
          <w:szCs w:val="24"/>
        </w:rPr>
      </w:pPr>
      <w:r>
        <w:rPr>
          <w:noProof/>
        </w:rPr>
        <mc:AlternateContent>
          <mc:Choice Requires="wps">
            <w:drawing>
              <wp:anchor distT="0" distB="0" distL="114300" distR="114300" simplePos="0" relativeHeight="251675648" behindDoc="0" locked="0" layoutInCell="1" allowOverlap="1" wp14:anchorId="10496F2A" wp14:editId="6C3A69DC">
                <wp:simplePos x="0" y="0"/>
                <wp:positionH relativeFrom="column">
                  <wp:posOffset>-171450</wp:posOffset>
                </wp:positionH>
                <wp:positionV relativeFrom="paragraph">
                  <wp:posOffset>271780</wp:posOffset>
                </wp:positionV>
                <wp:extent cx="7143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7143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474" w:rsidRPr="00C2480A" w:rsidRDefault="00A22474">
                            <w:pPr>
                              <w:rPr>
                                <w:b/>
                                <w:color w:val="F79646" w:themeColor="accent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3.5pt;margin-top:21.4pt;width:56.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pAfwIAAGg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" filled="f" stroked="f" strokeweight=".5pt">
                <v:textbox>
                  <w:txbxContent>
                    <w:p w:rsidR="005337E2" w:rsidRPr="00C2480A" w:rsidRDefault="005337E2">
                      <w:pPr>
                        <w:rPr>
                          <w:b/>
                          <w:color w:val="F79646" w:themeColor="accent6"/>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b/>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Output</w:t>
                      </w:r>
                    </w:p>
                  </w:txbxContent>
                </v:textbox>
              </v:shape>
            </w:pict>
          </mc:Fallback>
        </mc:AlternateContent>
      </w:r>
    </w:p>
    <w:p w:rsidR="00236A23" w:rsidRPr="00C010B3" w:rsidRDefault="00236A23" w:rsidP="00A456AE">
      <w:pPr>
        <w:pStyle w:val="Bullet"/>
        <w:numPr>
          <w:ilvl w:val="0"/>
          <w:numId w:val="0"/>
        </w:numPr>
        <w:spacing w:after="30" w:line="360" w:lineRule="auto"/>
        <w:ind w:left="520" w:hanging="520"/>
        <w:rPr>
          <w:sz w:val="24"/>
          <w:szCs w:val="24"/>
        </w:rPr>
      </w:pPr>
    </w:p>
    <w:p w:rsidR="001433CE" w:rsidRDefault="001433CE">
      <w:pPr>
        <w:rPr>
          <w:sz w:val="24"/>
          <w:szCs w:val="24"/>
          <w:u w:val="single"/>
        </w:rPr>
      </w:pPr>
    </w:p>
    <w:p w:rsidR="00AE76BA" w:rsidRDefault="00AE76BA" w:rsidP="001433CE">
      <w:pPr>
        <w:spacing w:after="0" w:line="360" w:lineRule="auto"/>
        <w:rPr>
          <w:rFonts w:cstheme="minorHAnsi"/>
          <w:sz w:val="24"/>
          <w:szCs w:val="24"/>
        </w:rPr>
      </w:pPr>
    </w:p>
    <w:p w:rsidR="001433CE" w:rsidRDefault="001433CE" w:rsidP="001433CE">
      <w:pPr>
        <w:spacing w:after="0" w:line="360" w:lineRule="auto"/>
        <w:rPr>
          <w:rFonts w:cstheme="minorHAnsi"/>
          <w:sz w:val="24"/>
          <w:szCs w:val="24"/>
        </w:rPr>
      </w:pPr>
      <w:r w:rsidRPr="00A9029F">
        <w:rPr>
          <w:rFonts w:cstheme="minorHAnsi"/>
          <w:sz w:val="24"/>
          <w:szCs w:val="24"/>
        </w:rPr>
        <w:t>PRISMOD.IO</w:t>
      </w:r>
      <w:r>
        <w:rPr>
          <w:rFonts w:cstheme="minorHAnsi"/>
          <w:sz w:val="24"/>
          <w:szCs w:val="24"/>
        </w:rPr>
        <w:t xml:space="preserve"> is</w:t>
      </w:r>
      <w:r w:rsidRPr="00A9029F">
        <w:rPr>
          <w:rFonts w:cstheme="minorHAnsi"/>
          <w:sz w:val="24"/>
          <w:szCs w:val="24"/>
        </w:rPr>
        <w:t xml:space="preserve"> a large-scale, highly disaggregated </w:t>
      </w:r>
      <w:r w:rsidRPr="00E66446">
        <w:rPr>
          <w:rFonts w:cstheme="minorHAnsi"/>
          <w:sz w:val="24"/>
          <w:szCs w:val="24"/>
        </w:rPr>
        <w:t>model of the Australian economy</w:t>
      </w:r>
      <w:r>
        <w:rPr>
          <w:rFonts w:cstheme="minorHAnsi"/>
          <w:sz w:val="24"/>
          <w:szCs w:val="24"/>
        </w:rPr>
        <w:t xml:space="preserve"> which</w:t>
      </w:r>
      <w:r w:rsidRPr="00A9029F">
        <w:rPr>
          <w:rFonts w:cstheme="minorHAnsi"/>
          <w:sz w:val="24"/>
          <w:szCs w:val="24"/>
        </w:rPr>
        <w:t xml:space="preserve"> captures the flows of goods between industries and final consumers</w:t>
      </w:r>
      <w:r>
        <w:rPr>
          <w:rFonts w:cstheme="minorHAnsi"/>
          <w:sz w:val="24"/>
          <w:szCs w:val="24"/>
        </w:rPr>
        <w:t>, and was used to examine</w:t>
      </w:r>
      <w:r w:rsidRPr="00380697">
        <w:rPr>
          <w:rFonts w:cstheme="minorHAnsi"/>
          <w:sz w:val="24"/>
          <w:szCs w:val="24"/>
        </w:rPr>
        <w:t xml:space="preserve"> the inter</w:t>
      </w:r>
      <w:r>
        <w:rPr>
          <w:rFonts w:cstheme="minorHAnsi"/>
          <w:sz w:val="24"/>
          <w:szCs w:val="24"/>
        </w:rPr>
        <w:noBreakHyphen/>
      </w:r>
      <w:r w:rsidRPr="00380697">
        <w:rPr>
          <w:rFonts w:cstheme="minorHAnsi"/>
          <w:sz w:val="24"/>
          <w:szCs w:val="24"/>
        </w:rPr>
        <w:t>industry transmission of price changes</w:t>
      </w:r>
      <w:r>
        <w:rPr>
          <w:rFonts w:cstheme="minorHAnsi"/>
          <w:sz w:val="24"/>
          <w:szCs w:val="24"/>
        </w:rPr>
        <w:t xml:space="preserve"> due to carbon pricing. </w:t>
      </w:r>
    </w:p>
    <w:p w:rsidR="001433CE" w:rsidRDefault="001433CE" w:rsidP="001433CE">
      <w:pPr>
        <w:autoSpaceDE w:val="0"/>
        <w:autoSpaceDN w:val="0"/>
        <w:adjustRightInd w:val="0"/>
        <w:spacing w:after="30" w:line="360" w:lineRule="auto"/>
        <w:rPr>
          <w:rFonts w:cstheme="minorHAnsi"/>
          <w:sz w:val="24"/>
          <w:szCs w:val="24"/>
        </w:rPr>
      </w:pPr>
    </w:p>
    <w:p w:rsidR="001433CE" w:rsidRDefault="001433CE" w:rsidP="001433CE">
      <w:pPr>
        <w:spacing w:after="0" w:line="360" w:lineRule="auto"/>
        <w:rPr>
          <w:sz w:val="24"/>
          <w:szCs w:val="24"/>
        </w:rPr>
      </w:pPr>
      <w:r w:rsidRPr="009C5F25">
        <w:rPr>
          <w:sz w:val="24"/>
          <w:szCs w:val="24"/>
        </w:rPr>
        <w:t>PRISMOD.DIST</w:t>
      </w:r>
      <w:r>
        <w:rPr>
          <w:sz w:val="24"/>
          <w:szCs w:val="24"/>
        </w:rPr>
        <w:t xml:space="preserve"> </w:t>
      </w:r>
      <w:r w:rsidRPr="009C5F25">
        <w:rPr>
          <w:sz w:val="24"/>
          <w:szCs w:val="24"/>
        </w:rPr>
        <w:t>is a static micro</w:t>
      </w:r>
      <w:r>
        <w:rPr>
          <w:sz w:val="24"/>
          <w:szCs w:val="24"/>
        </w:rPr>
        <w:t xml:space="preserve"> </w:t>
      </w:r>
      <w:r w:rsidRPr="009C5F25">
        <w:rPr>
          <w:sz w:val="24"/>
          <w:szCs w:val="24"/>
        </w:rPr>
        <w:t xml:space="preserve">simulation model which </w:t>
      </w:r>
      <w:r>
        <w:rPr>
          <w:sz w:val="24"/>
          <w:szCs w:val="24"/>
        </w:rPr>
        <w:t>can be</w:t>
      </w:r>
      <w:r w:rsidRPr="009C5F25">
        <w:rPr>
          <w:sz w:val="24"/>
          <w:szCs w:val="24"/>
        </w:rPr>
        <w:t xml:space="preserve"> used to examine the </w:t>
      </w:r>
      <w:r>
        <w:rPr>
          <w:sz w:val="24"/>
          <w:szCs w:val="24"/>
        </w:rPr>
        <w:t xml:space="preserve">impact on consumer prices and the </w:t>
      </w:r>
      <w:r w:rsidRPr="009C5F25">
        <w:rPr>
          <w:sz w:val="24"/>
          <w:szCs w:val="24"/>
        </w:rPr>
        <w:t>distributional effects of government policies on spendi</w:t>
      </w:r>
      <w:r w:rsidR="00E5695E">
        <w:rPr>
          <w:sz w:val="24"/>
          <w:szCs w:val="24"/>
        </w:rPr>
        <w:t xml:space="preserve">ng by different households.  </w:t>
      </w:r>
      <w:r>
        <w:rPr>
          <w:sz w:val="24"/>
          <w:szCs w:val="24"/>
        </w:rPr>
        <w:t xml:space="preserve">The price changes by industry output are mapped to the Household Expenditure Survey (HES) expenditure categories to determine the impact of the industry level price effects on consumer prices. </w:t>
      </w:r>
    </w:p>
    <w:p w:rsidR="001433CE" w:rsidRDefault="001433CE" w:rsidP="001433CE">
      <w:pPr>
        <w:spacing w:after="0" w:line="360" w:lineRule="auto"/>
        <w:rPr>
          <w:sz w:val="24"/>
          <w:szCs w:val="24"/>
        </w:rPr>
      </w:pPr>
    </w:p>
    <w:p w:rsidR="001433CE" w:rsidRPr="005E1910" w:rsidRDefault="001433CE" w:rsidP="001433CE">
      <w:pPr>
        <w:spacing w:after="0" w:line="360" w:lineRule="auto"/>
        <w:rPr>
          <w:sz w:val="24"/>
          <w:szCs w:val="24"/>
        </w:rPr>
      </w:pPr>
      <w:r>
        <w:rPr>
          <w:sz w:val="24"/>
          <w:szCs w:val="24"/>
        </w:rPr>
        <w:t xml:space="preserve">Finally, the </w:t>
      </w:r>
      <w:r w:rsidRPr="009C5F25">
        <w:rPr>
          <w:sz w:val="24"/>
          <w:szCs w:val="24"/>
        </w:rPr>
        <w:t>Australi</w:t>
      </w:r>
      <w:r w:rsidR="00F229CF">
        <w:rPr>
          <w:sz w:val="24"/>
          <w:szCs w:val="24"/>
        </w:rPr>
        <w:t>an Treasury version of STINMOD</w:t>
      </w:r>
      <w:r w:rsidR="00AE76BA">
        <w:rPr>
          <w:rStyle w:val="FootnoteReference"/>
          <w:sz w:val="24"/>
          <w:szCs w:val="24"/>
        </w:rPr>
        <w:footnoteReference w:id="3"/>
      </w:r>
      <w:r w:rsidR="00F229CF">
        <w:rPr>
          <w:sz w:val="24"/>
          <w:szCs w:val="24"/>
        </w:rPr>
        <w:t xml:space="preserve"> </w:t>
      </w:r>
      <w:r w:rsidRPr="009C5F25">
        <w:rPr>
          <w:sz w:val="24"/>
          <w:szCs w:val="24"/>
        </w:rPr>
        <w:t xml:space="preserve">was used to model the household assistance package using the price impacts by household type and income quintile from PRISMOD.DIST.  </w:t>
      </w:r>
    </w:p>
    <w:p w:rsidR="001433CE" w:rsidRDefault="001433CE" w:rsidP="001433CE">
      <w:pPr>
        <w:pStyle w:val="NormalWeb"/>
        <w:shd w:val="clear" w:color="auto" w:fill="FFFFFF"/>
        <w:spacing w:after="0"/>
        <w:rPr>
          <w:rFonts w:asciiTheme="minorHAnsi" w:hAnsiTheme="minorHAnsi" w:cstheme="minorHAnsi"/>
          <w:b/>
          <w:color w:val="000000"/>
          <w:lang w:val="en"/>
        </w:rPr>
      </w:pPr>
    </w:p>
    <w:p w:rsidR="00252010" w:rsidRPr="00A0309C" w:rsidRDefault="001433CE" w:rsidP="00A0309C">
      <w:pPr>
        <w:spacing w:after="0" w:line="360" w:lineRule="auto"/>
        <w:rPr>
          <w:rFonts w:cstheme="minorHAnsi"/>
          <w:sz w:val="24"/>
        </w:rPr>
      </w:pPr>
      <w:r>
        <w:rPr>
          <w:rFonts w:cstheme="minorHAnsi"/>
          <w:sz w:val="24"/>
        </w:rPr>
        <w:t xml:space="preserve">The analytical framework assumes no behavioural changes in response to carbon pricing. This results in the modelling presenting conservative estimates of the price impacts, </w:t>
      </w:r>
      <w:r>
        <w:rPr>
          <w:rFonts w:cstheme="minorHAnsi"/>
          <w:sz w:val="24"/>
        </w:rPr>
        <w:lastRenderedPageBreak/>
        <w:t>ensuring the government’s assistance (whi</w:t>
      </w:r>
      <w:r w:rsidR="009801FA">
        <w:rPr>
          <w:rFonts w:cstheme="minorHAnsi"/>
          <w:sz w:val="24"/>
        </w:rPr>
        <w:t xml:space="preserve">ch is based on the modelling) </w:t>
      </w:r>
      <w:r>
        <w:rPr>
          <w:rFonts w:cstheme="minorHAnsi"/>
          <w:sz w:val="24"/>
        </w:rPr>
        <w:t>fully compensate</w:t>
      </w:r>
      <w:r w:rsidR="009801FA">
        <w:rPr>
          <w:rFonts w:cstheme="minorHAnsi"/>
          <w:sz w:val="24"/>
        </w:rPr>
        <w:t>s</w:t>
      </w:r>
      <w:r>
        <w:rPr>
          <w:rFonts w:cstheme="minorHAnsi"/>
          <w:sz w:val="24"/>
        </w:rPr>
        <w:t xml:space="preserve"> the most vulnerable household on average.   </w:t>
      </w:r>
    </w:p>
    <w:p w:rsidR="00B26E5E" w:rsidRDefault="00B26E5E" w:rsidP="008F7736">
      <w:pPr>
        <w:pStyle w:val="Heading2"/>
      </w:pPr>
      <w:r w:rsidRPr="008F7736">
        <w:t>PRISMOD.IO</w:t>
      </w:r>
    </w:p>
    <w:p w:rsidR="00A24712" w:rsidRDefault="00A24712" w:rsidP="008F7736">
      <w:pPr>
        <w:autoSpaceDE w:val="0"/>
        <w:autoSpaceDN w:val="0"/>
        <w:adjustRightInd w:val="0"/>
        <w:spacing w:before="120" w:after="30" w:line="360" w:lineRule="auto"/>
        <w:rPr>
          <w:rFonts w:eastAsia="Times New Roman" w:cstheme="minorHAnsi"/>
          <w:color w:val="000000"/>
          <w:sz w:val="24"/>
          <w:szCs w:val="24"/>
          <w:lang w:eastAsia="en-AU"/>
        </w:rPr>
      </w:pPr>
      <w:r w:rsidRPr="00A9029F">
        <w:rPr>
          <w:rFonts w:cstheme="minorHAnsi"/>
          <w:sz w:val="24"/>
          <w:szCs w:val="24"/>
        </w:rPr>
        <w:t>PRISMOD.IO</w:t>
      </w:r>
      <w:r>
        <w:rPr>
          <w:rFonts w:cstheme="minorHAnsi"/>
          <w:sz w:val="24"/>
          <w:szCs w:val="24"/>
        </w:rPr>
        <w:t xml:space="preserve"> </w:t>
      </w:r>
      <w:r w:rsidR="002A7607">
        <w:rPr>
          <w:rFonts w:cstheme="minorHAnsi"/>
          <w:sz w:val="24"/>
          <w:szCs w:val="24"/>
        </w:rPr>
        <w:t>was use</w:t>
      </w:r>
      <w:r w:rsidR="009C5F25">
        <w:rPr>
          <w:rFonts w:cstheme="minorHAnsi"/>
          <w:sz w:val="24"/>
          <w:szCs w:val="24"/>
        </w:rPr>
        <w:t>d</w:t>
      </w:r>
      <w:r w:rsidR="002A7607">
        <w:rPr>
          <w:rFonts w:cstheme="minorHAnsi"/>
          <w:sz w:val="24"/>
          <w:szCs w:val="24"/>
        </w:rPr>
        <w:t xml:space="preserve"> to </w:t>
      </w:r>
      <w:r w:rsidR="00DE5DCD">
        <w:rPr>
          <w:rFonts w:cstheme="minorHAnsi"/>
          <w:sz w:val="24"/>
          <w:szCs w:val="24"/>
        </w:rPr>
        <w:t>examine the inter</w:t>
      </w:r>
      <w:r w:rsidR="005858AF">
        <w:rPr>
          <w:rFonts w:cstheme="minorHAnsi"/>
          <w:sz w:val="24"/>
          <w:szCs w:val="24"/>
        </w:rPr>
        <w:t>-</w:t>
      </w:r>
      <w:r w:rsidR="00DE5DCD">
        <w:rPr>
          <w:rFonts w:cstheme="minorHAnsi"/>
          <w:sz w:val="24"/>
          <w:szCs w:val="24"/>
        </w:rPr>
        <w:t xml:space="preserve">industry transmission of price changes (also called second round effects) in addition to </w:t>
      </w:r>
      <w:r w:rsidR="00F5009A">
        <w:rPr>
          <w:rFonts w:cstheme="minorHAnsi"/>
          <w:sz w:val="24"/>
          <w:szCs w:val="24"/>
        </w:rPr>
        <w:t xml:space="preserve">the </w:t>
      </w:r>
      <w:r w:rsidR="00DE5DCD">
        <w:rPr>
          <w:rFonts w:cstheme="minorHAnsi"/>
          <w:sz w:val="24"/>
          <w:szCs w:val="24"/>
        </w:rPr>
        <w:t>direct effects</w:t>
      </w:r>
      <w:r w:rsidR="00B26E5E">
        <w:rPr>
          <w:rFonts w:cstheme="minorHAnsi"/>
          <w:sz w:val="24"/>
          <w:szCs w:val="24"/>
        </w:rPr>
        <w:t xml:space="preserve"> of policy change</w:t>
      </w:r>
      <w:r w:rsidR="00DE5DCD">
        <w:rPr>
          <w:rFonts w:cstheme="minorHAnsi"/>
          <w:sz w:val="24"/>
          <w:szCs w:val="24"/>
        </w:rPr>
        <w:t>.</w:t>
      </w:r>
      <w:r>
        <w:rPr>
          <w:rFonts w:cstheme="minorHAnsi"/>
          <w:sz w:val="24"/>
          <w:szCs w:val="24"/>
        </w:rPr>
        <w:t xml:space="preserve">  </w:t>
      </w:r>
      <w:r>
        <w:rPr>
          <w:rFonts w:eastAsia="Times New Roman" w:cstheme="minorHAnsi"/>
          <w:color w:val="000000"/>
          <w:sz w:val="24"/>
          <w:szCs w:val="24"/>
          <w:lang w:eastAsia="en-AU"/>
        </w:rPr>
        <w:t>In the context of carbon price modelling,</w:t>
      </w:r>
      <w:r w:rsidRPr="00C010B3">
        <w:rPr>
          <w:rFonts w:eastAsia="Times New Roman" w:cstheme="minorHAnsi"/>
          <w:color w:val="000000"/>
          <w:sz w:val="24"/>
          <w:szCs w:val="24"/>
          <w:lang w:eastAsia="en-AU"/>
        </w:rPr>
        <w:t xml:space="preserve"> it tracks</w:t>
      </w:r>
      <w:r>
        <w:rPr>
          <w:rFonts w:eastAsia="Times New Roman" w:cstheme="minorHAnsi"/>
          <w:color w:val="000000"/>
          <w:sz w:val="24"/>
          <w:szCs w:val="24"/>
          <w:lang w:eastAsia="en-AU"/>
        </w:rPr>
        <w:t>, for example,</w:t>
      </w:r>
      <w:r w:rsidRPr="00C010B3">
        <w:rPr>
          <w:rFonts w:eastAsia="Times New Roman" w:cstheme="minorHAnsi"/>
          <w:color w:val="000000"/>
          <w:sz w:val="24"/>
          <w:szCs w:val="24"/>
          <w:lang w:eastAsia="en-AU"/>
        </w:rPr>
        <w:t xml:space="preserve"> how </w:t>
      </w:r>
      <w:r w:rsidR="007550AC">
        <w:rPr>
          <w:rFonts w:eastAsia="Times New Roman" w:cstheme="minorHAnsi"/>
          <w:color w:val="000000"/>
          <w:sz w:val="24"/>
          <w:szCs w:val="24"/>
          <w:lang w:eastAsia="en-AU"/>
        </w:rPr>
        <w:t>pricing carbon affects the cost of producing electricity, the downstream effect of the</w:t>
      </w:r>
      <w:r w:rsidRPr="00C010B3">
        <w:rPr>
          <w:rFonts w:eastAsia="Times New Roman" w:cstheme="minorHAnsi"/>
          <w:color w:val="000000"/>
          <w:sz w:val="24"/>
          <w:szCs w:val="24"/>
          <w:lang w:eastAsia="en-AU"/>
        </w:rPr>
        <w:t xml:space="preserve"> change in the price of electricity</w:t>
      </w:r>
      <w:r>
        <w:rPr>
          <w:rFonts w:eastAsia="Times New Roman" w:cstheme="minorHAnsi"/>
          <w:color w:val="000000"/>
          <w:sz w:val="24"/>
          <w:szCs w:val="24"/>
          <w:lang w:eastAsia="en-AU"/>
        </w:rPr>
        <w:t xml:space="preserve"> </w:t>
      </w:r>
      <w:r w:rsidR="007550AC">
        <w:rPr>
          <w:rFonts w:eastAsia="Times New Roman" w:cstheme="minorHAnsi"/>
          <w:color w:val="000000"/>
          <w:sz w:val="24"/>
          <w:szCs w:val="24"/>
          <w:lang w:eastAsia="en-AU"/>
        </w:rPr>
        <w:t>on</w:t>
      </w:r>
      <w:r w:rsidRPr="00C010B3">
        <w:rPr>
          <w:rFonts w:eastAsia="Times New Roman" w:cstheme="minorHAnsi"/>
          <w:color w:val="000000"/>
          <w:sz w:val="24"/>
          <w:szCs w:val="24"/>
          <w:lang w:eastAsia="en-AU"/>
        </w:rPr>
        <w:t xml:space="preserve"> </w:t>
      </w:r>
      <w:r w:rsidR="007550AC">
        <w:rPr>
          <w:rFonts w:eastAsia="Times New Roman" w:cstheme="minorHAnsi"/>
          <w:color w:val="000000"/>
          <w:sz w:val="24"/>
          <w:szCs w:val="24"/>
          <w:lang w:eastAsia="en-AU"/>
        </w:rPr>
        <w:t xml:space="preserve">the output prices of </w:t>
      </w:r>
      <w:r w:rsidRPr="00C010B3">
        <w:rPr>
          <w:rFonts w:eastAsia="Times New Roman" w:cstheme="minorHAnsi"/>
          <w:color w:val="000000"/>
          <w:sz w:val="24"/>
          <w:szCs w:val="24"/>
          <w:lang w:eastAsia="en-AU"/>
        </w:rPr>
        <w:t>industries that purchase electricity, and on all industries that purchase from those industries, and on all purchasers of those industries, and so forth.</w:t>
      </w:r>
    </w:p>
    <w:p w:rsidR="009F1B7C" w:rsidRPr="00C010B3" w:rsidRDefault="009F1B7C" w:rsidP="00A24712">
      <w:pPr>
        <w:autoSpaceDE w:val="0"/>
        <w:autoSpaceDN w:val="0"/>
        <w:adjustRightInd w:val="0"/>
        <w:spacing w:after="30" w:line="360" w:lineRule="auto"/>
        <w:rPr>
          <w:rFonts w:eastAsia="Times New Roman" w:cstheme="minorHAnsi"/>
          <w:color w:val="000000"/>
          <w:sz w:val="24"/>
          <w:szCs w:val="24"/>
          <w:lang w:eastAsia="en-AU"/>
        </w:rPr>
      </w:pPr>
    </w:p>
    <w:p w:rsidR="00E819FE" w:rsidRPr="00C010B3" w:rsidRDefault="00DE5DCD" w:rsidP="006E7A78">
      <w:pPr>
        <w:spacing w:after="30" w:line="360" w:lineRule="auto"/>
        <w:rPr>
          <w:rFonts w:eastAsia="Times New Roman" w:cstheme="minorHAnsi"/>
          <w:color w:val="000000"/>
          <w:sz w:val="24"/>
          <w:szCs w:val="24"/>
          <w:lang w:eastAsia="en-AU"/>
        </w:rPr>
      </w:pPr>
      <w:r w:rsidRPr="005E1910">
        <w:rPr>
          <w:rFonts w:eastAsia="Times New Roman" w:cstheme="minorHAnsi"/>
          <w:color w:val="000000"/>
          <w:sz w:val="24"/>
          <w:szCs w:val="24"/>
          <w:lang w:eastAsia="en-AU"/>
        </w:rPr>
        <w:t xml:space="preserve">The 2011 version of PRISMOD.IO used for the carbon price modelling </w:t>
      </w:r>
      <w:r w:rsidR="00F5009A">
        <w:rPr>
          <w:rFonts w:eastAsia="Times New Roman" w:cstheme="minorHAnsi"/>
          <w:color w:val="000000"/>
          <w:sz w:val="24"/>
          <w:szCs w:val="24"/>
          <w:lang w:eastAsia="en-AU"/>
        </w:rPr>
        <w:t xml:space="preserve">disaggregates the economy into </w:t>
      </w:r>
      <w:r>
        <w:rPr>
          <w:rFonts w:cstheme="minorHAnsi"/>
          <w:sz w:val="24"/>
          <w:szCs w:val="24"/>
        </w:rPr>
        <w:t xml:space="preserve">109 industry categories and seven final </w:t>
      </w:r>
      <w:r w:rsidR="00F5009A">
        <w:rPr>
          <w:rFonts w:cstheme="minorHAnsi"/>
          <w:sz w:val="24"/>
          <w:szCs w:val="24"/>
        </w:rPr>
        <w:t xml:space="preserve">expenditure </w:t>
      </w:r>
      <w:r>
        <w:rPr>
          <w:rFonts w:cstheme="minorHAnsi"/>
          <w:sz w:val="24"/>
          <w:szCs w:val="24"/>
        </w:rPr>
        <w:t xml:space="preserve">categories and is based on data from the 2005-06 ABS </w:t>
      </w:r>
      <w:r w:rsidR="007D2993">
        <w:rPr>
          <w:rFonts w:cstheme="minorHAnsi"/>
          <w:sz w:val="24"/>
          <w:szCs w:val="24"/>
        </w:rPr>
        <w:t>I-O</w:t>
      </w:r>
      <w:r>
        <w:rPr>
          <w:rFonts w:cstheme="minorHAnsi"/>
          <w:sz w:val="24"/>
          <w:szCs w:val="24"/>
        </w:rPr>
        <w:t xml:space="preserve"> tables and </w:t>
      </w:r>
      <w:r w:rsidRPr="005C1E7C">
        <w:rPr>
          <w:rFonts w:eastAsia="Times New Roman" w:cstheme="minorHAnsi"/>
          <w:color w:val="000000"/>
          <w:sz w:val="24"/>
          <w:szCs w:val="24"/>
          <w:lang w:eastAsia="en-AU"/>
        </w:rPr>
        <w:t>2005-06 emissions data from the 2009 National Greenhouse Gas Inventory Report (DCCEE, 2011)</w:t>
      </w:r>
      <w:r>
        <w:rPr>
          <w:rFonts w:eastAsia="Times New Roman" w:cstheme="minorHAnsi"/>
          <w:color w:val="000000"/>
          <w:sz w:val="24"/>
          <w:szCs w:val="24"/>
          <w:lang w:eastAsia="en-AU"/>
        </w:rPr>
        <w:t xml:space="preserve"> published by the </w:t>
      </w:r>
      <w:r w:rsidR="00FB1DE6">
        <w:rPr>
          <w:rFonts w:eastAsia="Times New Roman" w:cstheme="minorHAnsi"/>
          <w:color w:val="000000"/>
          <w:sz w:val="24"/>
          <w:szCs w:val="24"/>
          <w:lang w:eastAsia="en-AU"/>
        </w:rPr>
        <w:t xml:space="preserve">Australian </w:t>
      </w:r>
      <w:r>
        <w:rPr>
          <w:rFonts w:eastAsia="Times New Roman" w:cstheme="minorHAnsi"/>
          <w:color w:val="000000"/>
          <w:sz w:val="24"/>
          <w:szCs w:val="24"/>
          <w:lang w:eastAsia="en-AU"/>
        </w:rPr>
        <w:t xml:space="preserve">Department of Climate Change and </w:t>
      </w:r>
      <w:r w:rsidR="00EB1685">
        <w:rPr>
          <w:rFonts w:eastAsia="Times New Roman" w:cstheme="minorHAnsi"/>
          <w:color w:val="000000"/>
          <w:sz w:val="24"/>
          <w:szCs w:val="24"/>
          <w:lang w:eastAsia="en-AU"/>
        </w:rPr>
        <w:t xml:space="preserve">Energy </w:t>
      </w:r>
      <w:r>
        <w:rPr>
          <w:rFonts w:eastAsia="Times New Roman" w:cstheme="minorHAnsi"/>
          <w:color w:val="000000"/>
          <w:sz w:val="24"/>
          <w:szCs w:val="24"/>
          <w:lang w:eastAsia="en-AU"/>
        </w:rPr>
        <w:t>Efficiency</w:t>
      </w:r>
      <w:r w:rsidR="002A7607">
        <w:rPr>
          <w:rFonts w:eastAsia="Times New Roman" w:cstheme="minorHAnsi"/>
          <w:color w:val="000000"/>
          <w:sz w:val="24"/>
          <w:szCs w:val="24"/>
          <w:lang w:eastAsia="en-AU"/>
        </w:rPr>
        <w:t xml:space="preserve"> (DCCEE)</w:t>
      </w:r>
      <w:r w:rsidRPr="005C1E7C">
        <w:rPr>
          <w:rFonts w:eastAsia="Times New Roman" w:cstheme="minorHAnsi"/>
          <w:color w:val="000000"/>
          <w:sz w:val="24"/>
          <w:szCs w:val="24"/>
          <w:lang w:eastAsia="en-AU"/>
        </w:rPr>
        <w:t>.</w:t>
      </w:r>
    </w:p>
    <w:p w:rsidR="00B168D7" w:rsidRPr="00C010B3" w:rsidRDefault="00B168D7" w:rsidP="00A456AE">
      <w:pPr>
        <w:autoSpaceDE w:val="0"/>
        <w:autoSpaceDN w:val="0"/>
        <w:adjustRightInd w:val="0"/>
        <w:spacing w:after="30" w:line="240" w:lineRule="auto"/>
        <w:rPr>
          <w:rFonts w:eastAsia="Times New Roman" w:cstheme="minorHAnsi"/>
          <w:color w:val="000000"/>
          <w:sz w:val="24"/>
          <w:szCs w:val="24"/>
          <w:lang w:eastAsia="en-AU"/>
        </w:rPr>
      </w:pPr>
    </w:p>
    <w:p w:rsidR="005337E2" w:rsidRDefault="00673F67" w:rsidP="00A456AE">
      <w:pPr>
        <w:autoSpaceDE w:val="0"/>
        <w:autoSpaceDN w:val="0"/>
        <w:adjustRightInd w:val="0"/>
        <w:spacing w:after="30" w:line="360" w:lineRule="auto"/>
        <w:rPr>
          <w:rFonts w:eastAsia="Times New Roman" w:cstheme="minorHAnsi"/>
          <w:color w:val="000000"/>
          <w:sz w:val="24"/>
          <w:szCs w:val="24"/>
          <w:lang w:eastAsia="en-AU"/>
        </w:rPr>
      </w:pPr>
      <w:r>
        <w:rPr>
          <w:rFonts w:eastAsia="Times New Roman" w:cstheme="minorHAnsi"/>
          <w:color w:val="000000"/>
          <w:sz w:val="24"/>
          <w:szCs w:val="24"/>
          <w:lang w:eastAsia="en-AU"/>
        </w:rPr>
        <w:t>PRISMOD.IO assumes business</w:t>
      </w:r>
      <w:r w:rsidR="00FB1DE6">
        <w:rPr>
          <w:rFonts w:eastAsia="Times New Roman" w:cstheme="minorHAnsi"/>
          <w:color w:val="000000"/>
          <w:sz w:val="24"/>
          <w:szCs w:val="24"/>
          <w:lang w:eastAsia="en-AU"/>
        </w:rPr>
        <w:t>es</w:t>
      </w:r>
      <w:r w:rsidR="007B62AD" w:rsidRPr="00C010B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continue </w:t>
      </w:r>
      <w:r w:rsidR="007B62AD" w:rsidRPr="00C010B3">
        <w:rPr>
          <w:rFonts w:eastAsia="Times New Roman" w:cstheme="minorHAnsi"/>
          <w:color w:val="000000"/>
          <w:sz w:val="24"/>
          <w:szCs w:val="24"/>
          <w:lang w:eastAsia="en-AU"/>
        </w:rPr>
        <w:t xml:space="preserve">to </w:t>
      </w:r>
      <w:r w:rsidR="00802D24" w:rsidRPr="00C010B3">
        <w:rPr>
          <w:rFonts w:eastAsia="Times New Roman" w:cstheme="minorHAnsi"/>
          <w:color w:val="000000"/>
          <w:sz w:val="24"/>
          <w:szCs w:val="24"/>
          <w:lang w:eastAsia="en-AU"/>
        </w:rPr>
        <w:t xml:space="preserve">operate with the </w:t>
      </w:r>
      <w:r w:rsidR="007B62AD" w:rsidRPr="00C010B3">
        <w:rPr>
          <w:rFonts w:eastAsia="Times New Roman" w:cstheme="minorHAnsi"/>
          <w:color w:val="000000"/>
          <w:sz w:val="24"/>
          <w:szCs w:val="24"/>
          <w:lang w:eastAsia="en-AU"/>
        </w:rPr>
        <w:t xml:space="preserve">same production techniques and that </w:t>
      </w:r>
      <w:r w:rsidR="00256D71" w:rsidRPr="00C010B3">
        <w:rPr>
          <w:rFonts w:cstheme="minorHAnsi"/>
          <w:sz w:val="24"/>
          <w:szCs w:val="24"/>
        </w:rPr>
        <w:t xml:space="preserve">business </w:t>
      </w:r>
      <w:r w:rsidR="00A22474">
        <w:rPr>
          <w:rFonts w:cstheme="minorHAnsi"/>
          <w:sz w:val="24"/>
          <w:szCs w:val="24"/>
        </w:rPr>
        <w:t>and consumer</w:t>
      </w:r>
      <w:r w:rsidR="007B62AD" w:rsidRPr="00C010B3">
        <w:rPr>
          <w:rFonts w:cstheme="minorHAnsi"/>
          <w:sz w:val="24"/>
          <w:szCs w:val="24"/>
        </w:rPr>
        <w:t xml:space="preserve"> behaviour remain fixed after the policy change.</w:t>
      </w:r>
      <w:r w:rsidR="00826C44" w:rsidRPr="00C010B3">
        <w:rPr>
          <w:rFonts w:cstheme="minorHAnsi"/>
          <w:sz w:val="24"/>
          <w:szCs w:val="24"/>
        </w:rPr>
        <w:t xml:space="preserve"> </w:t>
      </w:r>
      <w:r w:rsidR="00B76C02">
        <w:rPr>
          <w:rFonts w:cstheme="minorHAnsi"/>
          <w:sz w:val="24"/>
          <w:szCs w:val="24"/>
        </w:rPr>
        <w:t xml:space="preserve"> </w:t>
      </w:r>
      <w:r w:rsidR="007B62AD" w:rsidRPr="00C010B3">
        <w:rPr>
          <w:rFonts w:eastAsia="Times New Roman" w:cstheme="minorHAnsi"/>
          <w:color w:val="000000"/>
          <w:sz w:val="24"/>
          <w:szCs w:val="24"/>
          <w:lang w:eastAsia="en-AU"/>
        </w:rPr>
        <w:t>In other words,</w:t>
      </w:r>
      <w:r w:rsidR="00D63A6B" w:rsidRPr="00C010B3">
        <w:rPr>
          <w:rFonts w:eastAsia="Times New Roman" w:cstheme="minorHAnsi"/>
          <w:color w:val="000000"/>
          <w:sz w:val="24"/>
          <w:szCs w:val="24"/>
          <w:lang w:eastAsia="en-AU"/>
        </w:rPr>
        <w:t xml:space="preserve"> </w:t>
      </w:r>
      <w:r w:rsidR="007550AC">
        <w:rPr>
          <w:rFonts w:eastAsia="Times New Roman" w:cstheme="minorHAnsi"/>
          <w:color w:val="000000"/>
          <w:sz w:val="24"/>
          <w:szCs w:val="24"/>
          <w:lang w:eastAsia="en-AU"/>
        </w:rPr>
        <w:t xml:space="preserve">it assumes </w:t>
      </w:r>
      <w:r w:rsidR="007B62AD" w:rsidRPr="00C010B3">
        <w:rPr>
          <w:rFonts w:eastAsia="Times New Roman" w:cstheme="minorHAnsi"/>
          <w:color w:val="000000"/>
          <w:sz w:val="24"/>
          <w:szCs w:val="24"/>
          <w:lang w:eastAsia="en-AU"/>
        </w:rPr>
        <w:t xml:space="preserve">there is no supply </w:t>
      </w:r>
      <w:r w:rsidR="008616DF">
        <w:rPr>
          <w:rFonts w:eastAsia="Times New Roman" w:cstheme="minorHAnsi"/>
          <w:color w:val="000000"/>
          <w:sz w:val="24"/>
          <w:szCs w:val="24"/>
          <w:lang w:eastAsia="en-AU"/>
        </w:rPr>
        <w:t>or</w:t>
      </w:r>
      <w:r w:rsidR="007B62AD" w:rsidRPr="00C010B3">
        <w:rPr>
          <w:rFonts w:eastAsia="Times New Roman" w:cstheme="minorHAnsi"/>
          <w:color w:val="000000"/>
          <w:sz w:val="24"/>
          <w:szCs w:val="24"/>
          <w:lang w:eastAsia="en-AU"/>
        </w:rPr>
        <w:t xml:space="preserve"> dema</w:t>
      </w:r>
      <w:r w:rsidR="00A456AE">
        <w:rPr>
          <w:rFonts w:eastAsia="Times New Roman" w:cstheme="minorHAnsi"/>
          <w:color w:val="000000"/>
          <w:sz w:val="24"/>
          <w:szCs w:val="24"/>
          <w:lang w:eastAsia="en-AU"/>
        </w:rPr>
        <w:t>nd response to policy changes.</w:t>
      </w:r>
      <w:r w:rsidR="00124DE6">
        <w:rPr>
          <w:rFonts w:eastAsia="Times New Roman" w:cstheme="minorHAnsi"/>
          <w:color w:val="000000"/>
          <w:sz w:val="24"/>
          <w:szCs w:val="24"/>
          <w:lang w:eastAsia="en-AU"/>
        </w:rPr>
        <w:t xml:space="preserve">  </w:t>
      </w:r>
      <w:r w:rsidR="007B62AD" w:rsidRPr="00C010B3">
        <w:rPr>
          <w:rFonts w:eastAsia="Times New Roman" w:cstheme="minorHAnsi"/>
          <w:color w:val="000000"/>
          <w:sz w:val="24"/>
          <w:szCs w:val="24"/>
          <w:lang w:eastAsia="en-AU"/>
        </w:rPr>
        <w:t>A</w:t>
      </w:r>
      <w:r w:rsidR="00D63A6B" w:rsidRPr="00C010B3">
        <w:rPr>
          <w:rFonts w:eastAsia="Times New Roman" w:cstheme="minorHAnsi"/>
          <w:color w:val="000000"/>
          <w:sz w:val="24"/>
          <w:szCs w:val="24"/>
          <w:lang w:eastAsia="en-AU"/>
        </w:rPr>
        <w:t xml:space="preserve">ll price impacts are </w:t>
      </w:r>
      <w:r w:rsidR="00FB1DE6">
        <w:rPr>
          <w:rFonts w:eastAsia="Times New Roman" w:cstheme="minorHAnsi"/>
          <w:color w:val="000000"/>
          <w:sz w:val="24"/>
          <w:szCs w:val="24"/>
          <w:lang w:eastAsia="en-AU"/>
        </w:rPr>
        <w:t xml:space="preserve">assumed </w:t>
      </w:r>
      <w:r w:rsidR="00EA151B">
        <w:rPr>
          <w:rFonts w:eastAsia="Times New Roman" w:cstheme="minorHAnsi"/>
          <w:color w:val="000000"/>
          <w:sz w:val="24"/>
          <w:szCs w:val="24"/>
          <w:lang w:eastAsia="en-AU"/>
        </w:rPr>
        <w:t xml:space="preserve">to be </w:t>
      </w:r>
      <w:r w:rsidR="00D63A6B" w:rsidRPr="00C010B3">
        <w:rPr>
          <w:rFonts w:eastAsia="Times New Roman" w:cstheme="minorHAnsi"/>
          <w:color w:val="000000"/>
          <w:sz w:val="24"/>
          <w:szCs w:val="24"/>
          <w:lang w:eastAsia="en-AU"/>
        </w:rPr>
        <w:t>passed on fully to final purchasers (</w:t>
      </w:r>
      <w:r w:rsidR="00B168D7" w:rsidRPr="00C010B3">
        <w:rPr>
          <w:rFonts w:eastAsia="Times New Roman" w:cstheme="minorHAnsi"/>
          <w:color w:val="000000"/>
          <w:sz w:val="24"/>
          <w:szCs w:val="24"/>
          <w:lang w:eastAsia="en-AU"/>
        </w:rPr>
        <w:t>governments and households)</w:t>
      </w:r>
      <w:r w:rsidR="00124DE6">
        <w:rPr>
          <w:rFonts w:eastAsia="Times New Roman" w:cstheme="minorHAnsi"/>
          <w:color w:val="000000"/>
          <w:sz w:val="24"/>
          <w:szCs w:val="24"/>
          <w:lang w:eastAsia="en-AU"/>
        </w:rPr>
        <w:t xml:space="preserve">.  </w:t>
      </w:r>
    </w:p>
    <w:p w:rsidR="00802D24" w:rsidRDefault="00802D24" w:rsidP="00A456AE">
      <w:pPr>
        <w:autoSpaceDE w:val="0"/>
        <w:autoSpaceDN w:val="0"/>
        <w:adjustRightInd w:val="0"/>
        <w:spacing w:after="30" w:line="360" w:lineRule="auto"/>
        <w:rPr>
          <w:rFonts w:eastAsia="Times New Roman" w:cstheme="minorHAnsi"/>
          <w:color w:val="000000"/>
          <w:sz w:val="24"/>
          <w:szCs w:val="24"/>
          <w:lang w:eastAsia="en-AU"/>
        </w:rPr>
      </w:pPr>
    </w:p>
    <w:p w:rsidR="005337E2" w:rsidRPr="00A0309C" w:rsidRDefault="005337E2" w:rsidP="00A0309C">
      <w:pPr>
        <w:spacing w:after="0" w:line="360" w:lineRule="auto"/>
        <w:rPr>
          <w:sz w:val="24"/>
          <w:szCs w:val="24"/>
          <w:lang w:eastAsia="en-AU"/>
        </w:rPr>
      </w:pPr>
      <w:r w:rsidRPr="00A0309C">
        <w:rPr>
          <w:sz w:val="24"/>
          <w:szCs w:val="24"/>
          <w:lang w:eastAsia="en-AU"/>
        </w:rPr>
        <w:t>This may overestimate costs as behaviour effects by households and businesses in the economy are not taken into account. This approach ensures that the government assistance to low-income households will, on average, fully compensate for the average expected cost of carbon pricing, even if households and businesses do not change their behaviour. Further, the assistance package will also support incentives for households to adopt energy saving measures and, there</w:t>
      </w:r>
      <w:r w:rsidR="00A22474">
        <w:rPr>
          <w:sz w:val="24"/>
          <w:szCs w:val="24"/>
          <w:lang w:eastAsia="en-AU"/>
        </w:rPr>
        <w:t>fore, realise additional benefits to households</w:t>
      </w:r>
      <w:r w:rsidRPr="00A0309C">
        <w:rPr>
          <w:sz w:val="24"/>
          <w:szCs w:val="24"/>
          <w:lang w:eastAsia="en-AU"/>
        </w:rPr>
        <w:t xml:space="preserve"> than what was modelled. </w:t>
      </w:r>
    </w:p>
    <w:p w:rsidR="005337E2" w:rsidRPr="00A0309C" w:rsidRDefault="005337E2" w:rsidP="00A456AE">
      <w:pPr>
        <w:autoSpaceDE w:val="0"/>
        <w:autoSpaceDN w:val="0"/>
        <w:adjustRightInd w:val="0"/>
        <w:spacing w:after="30" w:line="360" w:lineRule="auto"/>
        <w:rPr>
          <w:rFonts w:eastAsia="Times New Roman" w:cstheme="minorHAnsi"/>
          <w:sz w:val="24"/>
          <w:szCs w:val="24"/>
          <w:lang w:eastAsia="en-AU"/>
        </w:rPr>
      </w:pPr>
    </w:p>
    <w:p w:rsidR="00802D24" w:rsidRPr="00C2480A" w:rsidRDefault="00802D24" w:rsidP="00C2480A">
      <w:pPr>
        <w:spacing w:after="30" w:line="240" w:lineRule="auto"/>
        <w:rPr>
          <w:rFonts w:cstheme="minorHAnsi"/>
          <w:b/>
          <w:sz w:val="24"/>
          <w:szCs w:val="24"/>
        </w:rPr>
      </w:pPr>
    </w:p>
    <w:p w:rsidR="00E230AE" w:rsidRDefault="00DC272D" w:rsidP="00A456AE">
      <w:pPr>
        <w:spacing w:after="30" w:line="360" w:lineRule="auto"/>
        <w:rPr>
          <w:rFonts w:cstheme="minorHAnsi"/>
          <w:sz w:val="24"/>
          <w:szCs w:val="24"/>
        </w:rPr>
      </w:pPr>
      <w:proofErr w:type="gramStart"/>
      <w:r>
        <w:rPr>
          <w:rFonts w:cstheme="minorHAnsi"/>
          <w:sz w:val="24"/>
          <w:szCs w:val="24"/>
        </w:rPr>
        <w:lastRenderedPageBreak/>
        <w:t>The I</w:t>
      </w:r>
      <w:proofErr w:type="gramEnd"/>
      <w:r>
        <w:rPr>
          <w:rFonts w:cstheme="minorHAnsi"/>
          <w:sz w:val="24"/>
          <w:szCs w:val="24"/>
        </w:rPr>
        <w:t>-O</w:t>
      </w:r>
      <w:r w:rsidR="00D30F93">
        <w:rPr>
          <w:rFonts w:cstheme="minorHAnsi"/>
          <w:sz w:val="24"/>
          <w:szCs w:val="24"/>
        </w:rPr>
        <w:t xml:space="preserve"> analysis in PRISMOD.IO models how </w:t>
      </w:r>
      <w:r w:rsidR="00A22474">
        <w:rPr>
          <w:rFonts w:cstheme="minorHAnsi"/>
          <w:sz w:val="24"/>
          <w:szCs w:val="24"/>
        </w:rPr>
        <w:t xml:space="preserve">a </w:t>
      </w:r>
      <w:r w:rsidR="00D30F93">
        <w:rPr>
          <w:rFonts w:cstheme="minorHAnsi"/>
          <w:sz w:val="24"/>
          <w:szCs w:val="24"/>
        </w:rPr>
        <w:t xml:space="preserve">carbon price flows through to different sectors of the economy and </w:t>
      </w:r>
      <w:r w:rsidR="00E230AE" w:rsidRPr="00C010B3">
        <w:rPr>
          <w:rFonts w:cstheme="minorHAnsi"/>
          <w:sz w:val="24"/>
          <w:szCs w:val="24"/>
        </w:rPr>
        <w:t>estimates a highly disaggregated set of industry and product price impacts arising</w:t>
      </w:r>
      <w:r w:rsidR="00A22474">
        <w:rPr>
          <w:rFonts w:cstheme="minorHAnsi"/>
          <w:sz w:val="24"/>
          <w:szCs w:val="24"/>
        </w:rPr>
        <w:t xml:space="preserve"> from the imposition of carbon</w:t>
      </w:r>
      <w:r w:rsidR="00E230AE" w:rsidRPr="00C010B3">
        <w:rPr>
          <w:rFonts w:cstheme="minorHAnsi"/>
          <w:sz w:val="24"/>
          <w:szCs w:val="24"/>
        </w:rPr>
        <w:t xml:space="preserve"> pricing.  These</w:t>
      </w:r>
      <w:r w:rsidR="00D30F93">
        <w:rPr>
          <w:rFonts w:cstheme="minorHAnsi"/>
          <w:sz w:val="24"/>
          <w:szCs w:val="24"/>
        </w:rPr>
        <w:t xml:space="preserve"> estimates</w:t>
      </w:r>
      <w:r w:rsidR="00A22474">
        <w:rPr>
          <w:rFonts w:cstheme="minorHAnsi"/>
          <w:sz w:val="24"/>
          <w:szCs w:val="24"/>
        </w:rPr>
        <w:t xml:space="preserve"> are then aggregated and incorporated</w:t>
      </w:r>
      <w:r w:rsidR="00E230AE" w:rsidRPr="00C010B3">
        <w:rPr>
          <w:rFonts w:cstheme="minorHAnsi"/>
          <w:sz w:val="24"/>
          <w:szCs w:val="24"/>
        </w:rPr>
        <w:t xml:space="preserve"> into PRISMOD.DIST to estimate the impact on</w:t>
      </w:r>
      <w:r w:rsidR="00A77E54">
        <w:rPr>
          <w:rFonts w:cstheme="minorHAnsi"/>
          <w:sz w:val="24"/>
          <w:szCs w:val="24"/>
        </w:rPr>
        <w:t xml:space="preserve"> </w:t>
      </w:r>
      <w:r w:rsidR="00825A68">
        <w:rPr>
          <w:rFonts w:cstheme="minorHAnsi"/>
          <w:sz w:val="24"/>
          <w:szCs w:val="24"/>
        </w:rPr>
        <w:t>consumer prices</w:t>
      </w:r>
      <w:r w:rsidR="00E230AE" w:rsidRPr="00C010B3">
        <w:rPr>
          <w:rFonts w:cstheme="minorHAnsi"/>
          <w:sz w:val="24"/>
          <w:szCs w:val="24"/>
        </w:rPr>
        <w:t xml:space="preserve"> and the distributio</w:t>
      </w:r>
      <w:r w:rsidR="001F4CC3">
        <w:rPr>
          <w:rFonts w:cstheme="minorHAnsi"/>
          <w:sz w:val="24"/>
          <w:szCs w:val="24"/>
        </w:rPr>
        <w:t>nal implications for households.</w:t>
      </w:r>
    </w:p>
    <w:p w:rsidR="00E80EF4" w:rsidRPr="008F7736" w:rsidRDefault="00A22474" w:rsidP="00A0309C">
      <w:pPr>
        <w:pStyle w:val="Heading2"/>
      </w:pPr>
      <w:r>
        <w:t>Treasury</w:t>
      </w:r>
      <w:r w:rsidR="00E80EF4" w:rsidRPr="008F7736">
        <w:t xml:space="preserve"> an</w:t>
      </w:r>
      <w:r>
        <w:t>alysis of the impact of carbon</w:t>
      </w:r>
      <w:r w:rsidR="00E80EF4" w:rsidRPr="008F7736">
        <w:t xml:space="preserve"> pricing</w:t>
      </w:r>
    </w:p>
    <w:p w:rsidR="00E80EF4" w:rsidRPr="00DC272D" w:rsidRDefault="00E80EF4" w:rsidP="008F7736">
      <w:pPr>
        <w:spacing w:before="120" w:after="0" w:line="360" w:lineRule="auto"/>
        <w:rPr>
          <w:sz w:val="24"/>
          <w:szCs w:val="24"/>
        </w:rPr>
      </w:pPr>
      <w:r w:rsidRPr="00DC272D">
        <w:rPr>
          <w:sz w:val="24"/>
          <w:szCs w:val="24"/>
        </w:rPr>
        <w:t xml:space="preserve">To capture the full price effect of a carbon price, the total emissions embodied in the production of </w:t>
      </w:r>
      <w:r>
        <w:rPr>
          <w:sz w:val="24"/>
          <w:szCs w:val="24"/>
        </w:rPr>
        <w:t>a commodity</w:t>
      </w:r>
      <w:r w:rsidRPr="00DC272D">
        <w:rPr>
          <w:sz w:val="24"/>
          <w:szCs w:val="24"/>
        </w:rPr>
        <w:t xml:space="preserve"> need to be taken into account.</w:t>
      </w:r>
      <w:r w:rsidR="00124DE6">
        <w:rPr>
          <w:sz w:val="24"/>
          <w:szCs w:val="24"/>
        </w:rPr>
        <w:t xml:space="preserve">  </w:t>
      </w:r>
      <w:r w:rsidR="006559CA">
        <w:rPr>
          <w:sz w:val="24"/>
          <w:szCs w:val="24"/>
        </w:rPr>
        <w:t>This includes both the emissions that arise directly from the production of the commodity and the indirect emissions from the production of inputs that go into the commodity.</w:t>
      </w:r>
    </w:p>
    <w:p w:rsidR="00E80EF4" w:rsidRDefault="00E80EF4" w:rsidP="00E80EF4">
      <w:pPr>
        <w:spacing w:after="0" w:line="360" w:lineRule="auto"/>
        <w:rPr>
          <w:sz w:val="24"/>
          <w:szCs w:val="24"/>
        </w:rPr>
      </w:pPr>
      <w:r>
        <w:rPr>
          <w:sz w:val="24"/>
          <w:szCs w:val="24"/>
        </w:rPr>
        <w:t xml:space="preserve"> </w:t>
      </w:r>
    </w:p>
    <w:p w:rsidR="00E80EF4" w:rsidRDefault="00E80EF4" w:rsidP="00E80EF4">
      <w:pPr>
        <w:spacing w:after="0" w:line="360" w:lineRule="auto"/>
        <w:rPr>
          <w:sz w:val="24"/>
          <w:szCs w:val="24"/>
        </w:rPr>
      </w:pPr>
      <w:r w:rsidRPr="00C010B3">
        <w:rPr>
          <w:sz w:val="24"/>
          <w:szCs w:val="24"/>
        </w:rPr>
        <w:t xml:space="preserve">The direct impact </w:t>
      </w:r>
      <w:r>
        <w:rPr>
          <w:sz w:val="24"/>
          <w:szCs w:val="24"/>
        </w:rPr>
        <w:t xml:space="preserve">of a carbon price </w:t>
      </w:r>
      <w:r w:rsidRPr="00C010B3">
        <w:rPr>
          <w:sz w:val="24"/>
          <w:szCs w:val="24"/>
        </w:rPr>
        <w:t>on</w:t>
      </w:r>
      <w:r>
        <w:rPr>
          <w:sz w:val="24"/>
          <w:szCs w:val="24"/>
        </w:rPr>
        <w:t xml:space="preserve"> an</w:t>
      </w:r>
      <w:r w:rsidRPr="00C010B3">
        <w:rPr>
          <w:sz w:val="24"/>
          <w:szCs w:val="24"/>
        </w:rPr>
        <w:t xml:space="preserve"> industry </w:t>
      </w:r>
      <w:r>
        <w:rPr>
          <w:sz w:val="24"/>
          <w:szCs w:val="24"/>
        </w:rPr>
        <w:t xml:space="preserve">depends on the industry’s </w:t>
      </w:r>
      <w:r w:rsidRPr="00C010B3">
        <w:rPr>
          <w:sz w:val="24"/>
          <w:szCs w:val="24"/>
        </w:rPr>
        <w:t xml:space="preserve">emission intensity (its level of emissions relative to its level of production </w:t>
      </w:r>
      <w:r w:rsidR="00FB6A46">
        <w:rPr>
          <w:sz w:val="24"/>
          <w:szCs w:val="24"/>
        </w:rPr>
        <w:t xml:space="preserve">which can be </w:t>
      </w:r>
      <w:r w:rsidRPr="00C010B3">
        <w:rPr>
          <w:sz w:val="24"/>
          <w:szCs w:val="24"/>
        </w:rPr>
        <w:t xml:space="preserve">measured as </w:t>
      </w:r>
      <w:proofErr w:type="spellStart"/>
      <w:r w:rsidR="00170044">
        <w:rPr>
          <w:sz w:val="24"/>
          <w:szCs w:val="24"/>
        </w:rPr>
        <w:t>megatonne</w:t>
      </w:r>
      <w:proofErr w:type="spellEnd"/>
      <w:r w:rsidR="00170044">
        <w:rPr>
          <w:sz w:val="24"/>
          <w:szCs w:val="24"/>
        </w:rPr>
        <w:t xml:space="preserve"> </w:t>
      </w:r>
      <w:r w:rsidR="00FB6A46">
        <w:rPr>
          <w:sz w:val="24"/>
          <w:szCs w:val="24"/>
        </w:rPr>
        <w:t xml:space="preserve">of </w:t>
      </w:r>
      <w:r w:rsidRPr="00C010B3">
        <w:rPr>
          <w:sz w:val="24"/>
          <w:szCs w:val="24"/>
        </w:rPr>
        <w:t>CO</w:t>
      </w:r>
      <w:r w:rsidRPr="00C010B3">
        <w:rPr>
          <w:sz w:val="24"/>
          <w:szCs w:val="24"/>
          <w:vertAlign w:val="subscript"/>
        </w:rPr>
        <w:t>2</w:t>
      </w:r>
      <w:r w:rsidRPr="00C010B3">
        <w:rPr>
          <w:sz w:val="24"/>
          <w:szCs w:val="24"/>
        </w:rPr>
        <w:t xml:space="preserve">-e per </w:t>
      </w:r>
      <w:r w:rsidR="006559CA">
        <w:rPr>
          <w:sz w:val="24"/>
          <w:szCs w:val="24"/>
        </w:rPr>
        <w:t>dollar</w:t>
      </w:r>
      <w:r w:rsidRPr="00C010B3">
        <w:rPr>
          <w:sz w:val="24"/>
          <w:szCs w:val="24"/>
        </w:rPr>
        <w:t xml:space="preserve"> of Australian production)</w:t>
      </w:r>
      <w:r>
        <w:rPr>
          <w:sz w:val="24"/>
          <w:szCs w:val="24"/>
        </w:rPr>
        <w:t>. The analysis used</w:t>
      </w:r>
      <w:r w:rsidRPr="00C010B3">
        <w:rPr>
          <w:sz w:val="24"/>
          <w:szCs w:val="24"/>
        </w:rPr>
        <w:t xml:space="preserve"> </w:t>
      </w:r>
      <w:r>
        <w:rPr>
          <w:sz w:val="24"/>
          <w:szCs w:val="24"/>
        </w:rPr>
        <w:t xml:space="preserve">emissions </w:t>
      </w:r>
      <w:r w:rsidRPr="00C010B3">
        <w:rPr>
          <w:sz w:val="24"/>
          <w:szCs w:val="24"/>
        </w:rPr>
        <w:t xml:space="preserve">data from the National Greenhouse Gas Inventory (NGGI) produced by the DCCEE.  </w:t>
      </w:r>
    </w:p>
    <w:p w:rsidR="00E80EF4" w:rsidRDefault="00E80EF4" w:rsidP="00E80EF4">
      <w:pPr>
        <w:spacing w:after="0" w:line="360" w:lineRule="auto"/>
        <w:rPr>
          <w:sz w:val="24"/>
          <w:szCs w:val="24"/>
        </w:rPr>
      </w:pPr>
    </w:p>
    <w:p w:rsidR="00E80EF4" w:rsidRPr="00C010B3" w:rsidRDefault="00E80EF4" w:rsidP="00E80EF4">
      <w:pPr>
        <w:spacing w:after="0" w:line="360" w:lineRule="auto"/>
        <w:rPr>
          <w:sz w:val="24"/>
          <w:szCs w:val="24"/>
        </w:rPr>
      </w:pPr>
      <w:r w:rsidRPr="00C010B3">
        <w:rPr>
          <w:sz w:val="24"/>
          <w:szCs w:val="24"/>
        </w:rPr>
        <w:t>Indirect emissions from the production of inputs that are used to produce a commodity are also taken into account</w:t>
      </w:r>
      <w:r>
        <w:rPr>
          <w:sz w:val="24"/>
          <w:szCs w:val="24"/>
        </w:rPr>
        <w:t xml:space="preserve"> by using </w:t>
      </w:r>
      <w:r w:rsidRPr="00C010B3">
        <w:rPr>
          <w:sz w:val="24"/>
          <w:szCs w:val="24"/>
        </w:rPr>
        <w:t xml:space="preserve">data on the amount of each intermediate input that </w:t>
      </w:r>
      <w:r>
        <w:rPr>
          <w:sz w:val="24"/>
          <w:szCs w:val="24"/>
        </w:rPr>
        <w:t>is</w:t>
      </w:r>
      <w:r w:rsidRPr="00C010B3">
        <w:rPr>
          <w:sz w:val="24"/>
          <w:szCs w:val="24"/>
        </w:rPr>
        <w:t xml:space="preserve"> required </w:t>
      </w:r>
      <w:r>
        <w:rPr>
          <w:sz w:val="24"/>
          <w:szCs w:val="24"/>
        </w:rPr>
        <w:t>by each particular industry</w:t>
      </w:r>
      <w:r w:rsidRPr="00C010B3">
        <w:rPr>
          <w:sz w:val="24"/>
          <w:szCs w:val="24"/>
        </w:rPr>
        <w:t>.</w:t>
      </w:r>
      <w:r w:rsidR="00124DE6">
        <w:rPr>
          <w:sz w:val="24"/>
          <w:szCs w:val="24"/>
        </w:rPr>
        <w:t xml:space="preserve">  </w:t>
      </w:r>
      <w:r w:rsidRPr="00C010B3">
        <w:rPr>
          <w:sz w:val="24"/>
          <w:szCs w:val="24"/>
        </w:rPr>
        <w:t>This information is obtained from the ABS I</w:t>
      </w:r>
      <w:r>
        <w:rPr>
          <w:sz w:val="24"/>
          <w:szCs w:val="24"/>
        </w:rPr>
        <w:t>-</w:t>
      </w:r>
      <w:r w:rsidRPr="00C010B3">
        <w:rPr>
          <w:sz w:val="24"/>
          <w:szCs w:val="24"/>
        </w:rPr>
        <w:t>O tables</w:t>
      </w:r>
      <w:r>
        <w:rPr>
          <w:sz w:val="24"/>
          <w:szCs w:val="24"/>
        </w:rPr>
        <w:t>.</w:t>
      </w:r>
      <w:r w:rsidRPr="00C010B3">
        <w:rPr>
          <w:sz w:val="24"/>
          <w:szCs w:val="24"/>
        </w:rPr>
        <w:t xml:space="preserve"> </w:t>
      </w:r>
    </w:p>
    <w:p w:rsidR="00E80EF4" w:rsidRDefault="00E80EF4" w:rsidP="00E80EF4">
      <w:pPr>
        <w:spacing w:after="0" w:line="360" w:lineRule="auto"/>
        <w:rPr>
          <w:sz w:val="24"/>
          <w:szCs w:val="24"/>
        </w:rPr>
      </w:pPr>
      <w:r w:rsidRPr="00F66D5E">
        <w:rPr>
          <w:sz w:val="24"/>
          <w:szCs w:val="24"/>
        </w:rPr>
        <w:t xml:space="preserve">The information from the I-O tables can be used to derive the following formula </w:t>
      </w:r>
      <w:r>
        <w:rPr>
          <w:sz w:val="24"/>
          <w:szCs w:val="24"/>
        </w:rPr>
        <w:t>to estimate the impact of carbon pricing on costs of production (see</w:t>
      </w:r>
      <w:r w:rsidRPr="00F66D5E">
        <w:rPr>
          <w:sz w:val="24"/>
          <w:szCs w:val="24"/>
        </w:rPr>
        <w:t xml:space="preserve"> Henry and Wright</w:t>
      </w:r>
      <w:r>
        <w:rPr>
          <w:sz w:val="24"/>
          <w:szCs w:val="24"/>
        </w:rPr>
        <w:t>, 1992, for a richer formula for the industry costs of production</w:t>
      </w:r>
      <w:r w:rsidRPr="00F66D5E">
        <w:rPr>
          <w:sz w:val="24"/>
          <w:szCs w:val="24"/>
        </w:rPr>
        <w:t>)</w:t>
      </w:r>
      <w:r>
        <w:rPr>
          <w:sz w:val="24"/>
          <w:szCs w:val="24"/>
        </w:rPr>
        <w:t>:</w:t>
      </w:r>
    </w:p>
    <w:p w:rsidR="00E80EF4" w:rsidRDefault="00E80EF4" w:rsidP="00E80EF4">
      <w:pPr>
        <w:spacing w:after="0" w:line="360" w:lineRule="auto"/>
        <w:rPr>
          <w:rFonts w:eastAsiaTheme="minorEastAsia"/>
          <w:sz w:val="24"/>
          <w:szCs w:val="24"/>
        </w:rPr>
      </w:pPr>
    </w:p>
    <w:p w:rsidR="00E80EF4" w:rsidRDefault="00E80EF4" w:rsidP="00E80EF4">
      <w:pPr>
        <w:spacing w:after="0" w:line="360" w:lineRule="auto"/>
        <w:rPr>
          <w:rFonts w:eastAsiaTheme="minorEastAsia"/>
          <w:sz w:val="24"/>
          <w:szCs w:val="24"/>
        </w:rPr>
      </w:pPr>
      <w:r>
        <w:rPr>
          <w:rFonts w:eastAsiaTheme="minorEastAsia"/>
          <w:sz w:val="24"/>
          <w:szCs w:val="24"/>
        </w:rPr>
        <w:t>(1)</w:t>
      </w:r>
      <w:r>
        <w:rPr>
          <w:rFonts w:eastAsiaTheme="minorEastAsia"/>
          <w:sz w:val="24"/>
          <w:szCs w:val="24"/>
        </w:rPr>
        <w:tab/>
      </w:r>
      <m:oMath>
        <m:r>
          <w:rPr>
            <w:rFonts w:ascii="Cambria Math" w:hAnsi="Cambria Math"/>
            <w:sz w:val="24"/>
            <w:szCs w:val="24"/>
          </w:rPr>
          <m:t>C=C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r>
          <w:rPr>
            <w:rFonts w:ascii="Cambria Math" w:hAnsi="Cambria Math"/>
            <w:sz w:val="24"/>
            <w:szCs w:val="24"/>
          </w:rPr>
          <m:t>+E+C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r>
          <w:rPr>
            <w:rFonts w:ascii="Cambria Math" w:hAnsi="Cambria Math"/>
            <w:sz w:val="24"/>
            <w:szCs w:val="24"/>
          </w:rPr>
          <m:t>R+</m:t>
        </m:r>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m:t>
            </m:r>
          </m:sup>
        </m:sSup>
      </m:oMath>
    </w:p>
    <w:p w:rsidR="00E80EF4" w:rsidRDefault="00E80EF4" w:rsidP="00E80EF4">
      <w:pPr>
        <w:spacing w:after="0" w:line="360" w:lineRule="auto"/>
        <w:rPr>
          <w:rFonts w:eastAsiaTheme="minorEastAsia"/>
          <w:sz w:val="24"/>
          <w:szCs w:val="24"/>
        </w:rPr>
      </w:pPr>
    </w:p>
    <w:p w:rsidR="00E80EF4" w:rsidRPr="00F66D5E" w:rsidRDefault="00E80EF4" w:rsidP="00E80EF4">
      <w:pPr>
        <w:spacing w:after="0" w:line="360" w:lineRule="auto"/>
        <w:rPr>
          <w:sz w:val="24"/>
          <w:szCs w:val="24"/>
        </w:rPr>
      </w:pPr>
      <w:r>
        <w:rPr>
          <w:rFonts w:eastAsiaTheme="minorEastAsia"/>
          <w:sz w:val="24"/>
          <w:szCs w:val="24"/>
        </w:rPr>
        <w:t>Equation 1</w:t>
      </w:r>
      <w:r w:rsidR="006559CA">
        <w:rPr>
          <w:sz w:val="24"/>
          <w:szCs w:val="24"/>
        </w:rPr>
        <w:t xml:space="preserve"> </w:t>
      </w:r>
      <w:r w:rsidRPr="00F66D5E">
        <w:rPr>
          <w:sz w:val="24"/>
          <w:szCs w:val="24"/>
        </w:rPr>
        <w:t xml:space="preserve">says that industry costs of </w:t>
      </w:r>
      <w:r>
        <w:rPr>
          <w:sz w:val="24"/>
          <w:szCs w:val="24"/>
        </w:rPr>
        <w:t>production are affected by:</w:t>
      </w:r>
      <w:r w:rsidRPr="00F66D5E">
        <w:rPr>
          <w:sz w:val="24"/>
          <w:szCs w:val="24"/>
        </w:rPr>
        <w:t xml:space="preserve"> </w:t>
      </w:r>
    </w:p>
    <w:p w:rsidR="00E80EF4" w:rsidRDefault="00E80EF4" w:rsidP="00E80EF4">
      <w:pPr>
        <w:pStyle w:val="Bullet"/>
        <w:numPr>
          <w:ilvl w:val="0"/>
          <w:numId w:val="9"/>
        </w:numPr>
        <w:rPr>
          <w:sz w:val="24"/>
          <w:szCs w:val="24"/>
        </w:rPr>
      </w:pPr>
      <w:r>
        <w:rPr>
          <w:sz w:val="24"/>
          <w:szCs w:val="24"/>
        </w:rPr>
        <w:t>costs of domestic non</w:t>
      </w:r>
      <w:r w:rsidR="006559CA">
        <w:rPr>
          <w:sz w:val="24"/>
          <w:szCs w:val="24"/>
        </w:rPr>
        <w:t>-</w:t>
      </w:r>
      <w:r>
        <w:rPr>
          <w:sz w:val="24"/>
          <w:szCs w:val="24"/>
        </w:rPr>
        <w:t>margin inp</w:t>
      </w:r>
      <w:r w:rsidR="00A22474">
        <w:rPr>
          <w:sz w:val="24"/>
          <w:szCs w:val="24"/>
        </w:rPr>
        <w:t xml:space="preserve">uts and their associated taxes -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oMath>
      <w:r>
        <w:rPr>
          <w:sz w:val="24"/>
          <w:szCs w:val="24"/>
        </w:rPr>
        <w:t xml:space="preserve"> ;</w:t>
      </w:r>
    </w:p>
    <w:p w:rsidR="00E80EF4" w:rsidRDefault="00E80EF4" w:rsidP="00E80EF4">
      <w:pPr>
        <w:pStyle w:val="Bullet"/>
        <w:numPr>
          <w:ilvl w:val="0"/>
          <w:numId w:val="9"/>
        </w:numPr>
        <w:rPr>
          <w:sz w:val="24"/>
          <w:szCs w:val="24"/>
        </w:rPr>
      </w:pPr>
      <w:r>
        <w:rPr>
          <w:sz w:val="24"/>
          <w:szCs w:val="24"/>
        </w:rPr>
        <w:t>costs from carbon pricing</w:t>
      </w:r>
      <w:r w:rsidR="00A22474">
        <w:rPr>
          <w:sz w:val="24"/>
          <w:szCs w:val="24"/>
        </w:rPr>
        <w:t xml:space="preserve"> - E</w:t>
      </w:r>
      <w:r>
        <w:rPr>
          <w:sz w:val="24"/>
          <w:szCs w:val="24"/>
        </w:rPr>
        <w:t>;</w:t>
      </w:r>
    </w:p>
    <w:p w:rsidR="00E80EF4" w:rsidRDefault="00E80EF4" w:rsidP="00E80EF4">
      <w:pPr>
        <w:pStyle w:val="Bullet"/>
        <w:numPr>
          <w:ilvl w:val="0"/>
          <w:numId w:val="9"/>
        </w:numPr>
        <w:rPr>
          <w:sz w:val="24"/>
          <w:szCs w:val="24"/>
        </w:rPr>
      </w:pPr>
      <w:r>
        <w:rPr>
          <w:sz w:val="24"/>
          <w:szCs w:val="24"/>
        </w:rPr>
        <w:t xml:space="preserve">domestically produced margins and their associated taxes </w:t>
      </w:r>
      <w:r w:rsidR="00A22474">
        <w:rPr>
          <w:sz w:val="24"/>
          <w:szCs w:val="24"/>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oMath>
      <w:r>
        <w:rPr>
          <w:sz w:val="24"/>
          <w:szCs w:val="24"/>
        </w:rPr>
        <w:t xml:space="preserve"> ;</w:t>
      </w:r>
    </w:p>
    <w:p w:rsidR="00E80EF4" w:rsidRDefault="00E80EF4" w:rsidP="00E80EF4">
      <w:pPr>
        <w:pStyle w:val="Bullet"/>
        <w:numPr>
          <w:ilvl w:val="0"/>
          <w:numId w:val="9"/>
        </w:numPr>
        <w:rPr>
          <w:sz w:val="24"/>
          <w:szCs w:val="24"/>
        </w:rPr>
      </w:pPr>
      <w:r w:rsidRPr="001F1AB1">
        <w:rPr>
          <w:sz w:val="24"/>
          <w:szCs w:val="24"/>
        </w:rPr>
        <w:t>domestically produced</w:t>
      </w:r>
      <w:r>
        <w:rPr>
          <w:sz w:val="24"/>
          <w:szCs w:val="24"/>
        </w:rPr>
        <w:t xml:space="preserve"> capital inputs and their associated taxes </w:t>
      </w:r>
      <w:r w:rsidR="00A22474">
        <w:rPr>
          <w:sz w:val="24"/>
          <w:szCs w:val="24"/>
        </w:rPr>
        <w:t xml:space="preserve">- </w:t>
      </w:r>
      <m:oMath>
        <m:r>
          <w:rPr>
            <w:rFonts w:ascii="Cambria Math" w:hAnsi="Cambria Math"/>
            <w:sz w:val="24"/>
            <w:szCs w:val="24"/>
          </w:rPr>
          <m:t>C</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r>
          <w:rPr>
            <w:rFonts w:ascii="Cambria Math" w:hAnsi="Cambria Math"/>
            <w:sz w:val="24"/>
            <w:szCs w:val="24"/>
          </w:rPr>
          <m:t>R</m:t>
        </m:r>
      </m:oMath>
      <w:r>
        <w:rPr>
          <w:sz w:val="24"/>
          <w:szCs w:val="24"/>
        </w:rPr>
        <w:t xml:space="preserve"> ; and</w:t>
      </w:r>
    </w:p>
    <w:p w:rsidR="00E80EF4" w:rsidRDefault="00E80EF4" w:rsidP="00E80EF4">
      <w:pPr>
        <w:pStyle w:val="Bullet"/>
        <w:numPr>
          <w:ilvl w:val="0"/>
          <w:numId w:val="9"/>
        </w:numPr>
        <w:rPr>
          <w:sz w:val="24"/>
          <w:szCs w:val="24"/>
        </w:rPr>
      </w:pPr>
      <w:r>
        <w:rPr>
          <w:sz w:val="24"/>
          <w:szCs w:val="24"/>
        </w:rPr>
        <w:lastRenderedPageBreak/>
        <w:t xml:space="preserve">other costs </w:t>
      </w:r>
      <w:r w:rsidR="00A22474">
        <w:rPr>
          <w:sz w:val="24"/>
          <w:szCs w:val="24"/>
        </w:rPr>
        <w:t>- C*</w:t>
      </w:r>
      <w:r>
        <w:rPr>
          <w:sz w:val="24"/>
          <w:szCs w:val="24"/>
        </w:rPr>
        <w:t>;</w:t>
      </w:r>
      <w:r w:rsidR="006559CA">
        <w:rPr>
          <w:rStyle w:val="FootnoteReference"/>
          <w:sz w:val="24"/>
          <w:szCs w:val="24"/>
        </w:rPr>
        <w:footnoteReference w:id="4"/>
      </w:r>
    </w:p>
    <w:p w:rsidR="00E80EF4" w:rsidRPr="00403C24" w:rsidRDefault="00E80EF4" w:rsidP="00E80EF4">
      <w:pPr>
        <w:pStyle w:val="Bullet"/>
        <w:numPr>
          <w:ilvl w:val="0"/>
          <w:numId w:val="0"/>
        </w:numPr>
        <w:ind w:left="520"/>
        <w:rPr>
          <w:sz w:val="24"/>
          <w:szCs w:val="24"/>
        </w:rPr>
      </w:pPr>
    </w:p>
    <w:p w:rsidR="00E80EF4" w:rsidRDefault="00E80EF4" w:rsidP="00E80EF4">
      <w:pPr>
        <w:spacing w:after="0" w:line="360" w:lineRule="auto"/>
        <w:rPr>
          <w:sz w:val="24"/>
          <w:szCs w:val="24"/>
        </w:rPr>
      </w:pPr>
      <w:r>
        <w:rPr>
          <w:sz w:val="24"/>
          <w:szCs w:val="24"/>
        </w:rPr>
        <w:t>Equation 1</w:t>
      </w:r>
      <w:r w:rsidRPr="00F66D5E">
        <w:rPr>
          <w:sz w:val="24"/>
          <w:szCs w:val="24"/>
        </w:rPr>
        <w:t xml:space="preserve"> can be rewritten as</w:t>
      </w:r>
      <w:r>
        <w:rPr>
          <w:sz w:val="24"/>
          <w:szCs w:val="24"/>
        </w:rPr>
        <w:t>:</w:t>
      </w:r>
    </w:p>
    <w:p w:rsidR="00E80EF4" w:rsidRPr="00F66D5E" w:rsidRDefault="00E80EF4" w:rsidP="00E80EF4">
      <w:pPr>
        <w:spacing w:after="0" w:line="360" w:lineRule="auto"/>
        <w:rPr>
          <w:sz w:val="24"/>
          <w:szCs w:val="24"/>
        </w:rPr>
      </w:pPr>
      <m:oMathPara>
        <m:oMath>
          <m:r>
            <w:rPr>
              <w:rFonts w:ascii="Cambria Math" w:hAnsi="Cambria Math"/>
              <w:sz w:val="24"/>
              <w:szCs w:val="24"/>
            </w:rPr>
            <m:t>C=</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C</m:t>
                  </m:r>
                </m:e>
                <m:sup>
                  <m:r>
                    <w:rPr>
                      <w:rFonts w:ascii="Cambria Math" w:hAnsi="Cambria Math"/>
                      <w:sz w:val="24"/>
                      <w:szCs w:val="24"/>
                    </w:rPr>
                    <m:t>*</m:t>
                  </m:r>
                </m:sup>
              </m:sSup>
              <m:r>
                <w:rPr>
                  <w:rFonts w:ascii="Cambria Math" w:hAnsi="Cambria Math"/>
                  <w:sz w:val="24"/>
                  <w:szCs w:val="24"/>
                </w:rPr>
                <m:t>+E</m:t>
              </m:r>
            </m:e>
          </m:d>
          <m:sSup>
            <m:sSupPr>
              <m:ctrlPr>
                <w:rPr>
                  <w:rFonts w:ascii="Cambria Math" w:hAnsi="Cambria Math"/>
                  <w:i/>
                  <w:sz w:val="24"/>
                  <w:szCs w:val="24"/>
                </w:rPr>
              </m:ctrlPr>
            </m:sSupPr>
            <m:e>
              <m:d>
                <m:dPr>
                  <m:begChr m:val="["/>
                  <m:endChr m:val="]"/>
                  <m:ctrlPr>
                    <w:rPr>
                      <w:rFonts w:ascii="Cambria Math" w:hAnsi="Cambria Math"/>
                      <w:i/>
                      <w:sz w:val="24"/>
                      <w:szCs w:val="24"/>
                    </w:rPr>
                  </m:ctrlPr>
                </m:dPr>
                <m:e>
                  <m:r>
                    <w:rPr>
                      <w:rFonts w:ascii="Cambria Math" w:hAnsi="Cambria Math"/>
                      <w:sz w:val="24"/>
                      <w:szCs w:val="24"/>
                    </w:rPr>
                    <m:t>I-</m:t>
                  </m:r>
                  <m:sSup>
                    <m:sSupPr>
                      <m:ctrlPr>
                        <w:rPr>
                          <w:rFonts w:ascii="Cambria Math" w:hAnsi="Cambria Math"/>
                          <w:i/>
                          <w:sz w:val="24"/>
                          <w:szCs w:val="24"/>
                        </w:rPr>
                      </m:ctrlPr>
                    </m:sSupPr>
                    <m:e>
                      <m:r>
                        <w:rPr>
                          <w:rFonts w:ascii="Cambria Math" w:hAnsi="Cambria Math"/>
                          <w:sz w:val="24"/>
                          <w:szCs w:val="24"/>
                        </w:rPr>
                        <m:t>θ</m:t>
                      </m:r>
                    </m:e>
                    <m:sup>
                      <m:r>
                        <w:rPr>
                          <w:rFonts w:ascii="Cambria Math" w:hAnsi="Cambria Math"/>
                          <w:sz w:val="24"/>
                          <w:szCs w:val="24"/>
                        </w:rPr>
                        <m:t>'</m:t>
                      </m:r>
                    </m:sup>
                  </m:sSup>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m:t>
                      </m:r>
                    </m:e>
                    <m:sup>
                      <m:r>
                        <w:rPr>
                          <w:rFonts w:ascii="Cambria Math" w:hAnsi="Cambria Math"/>
                          <w:sz w:val="24"/>
                          <w:szCs w:val="24"/>
                        </w:rPr>
                        <m:t>*</m:t>
                      </m:r>
                    </m:sup>
                  </m:sSup>
                  <m:r>
                    <w:rPr>
                      <w:rFonts w:ascii="Cambria Math" w:hAnsi="Cambria Math"/>
                      <w:sz w:val="24"/>
                      <w:szCs w:val="24"/>
                    </w:rPr>
                    <m:t>+R)</m:t>
                  </m:r>
                </m:e>
              </m:d>
            </m:e>
            <m:sup>
              <m:r>
                <w:rPr>
                  <w:rFonts w:ascii="Cambria Math" w:hAnsi="Cambria Math"/>
                  <w:sz w:val="24"/>
                  <w:szCs w:val="24"/>
                </w:rPr>
                <m:t>-1</m:t>
              </m:r>
            </m:sup>
          </m:sSup>
        </m:oMath>
      </m:oMathPara>
    </w:p>
    <w:p w:rsidR="00E80EF4" w:rsidRPr="00F66D5E" w:rsidRDefault="00E80EF4" w:rsidP="00E80EF4">
      <w:pPr>
        <w:spacing w:before="240" w:after="0" w:line="360" w:lineRule="auto"/>
        <w:rPr>
          <w:sz w:val="24"/>
          <w:szCs w:val="24"/>
        </w:rPr>
      </w:pPr>
      <w:proofErr w:type="gramStart"/>
      <w:r w:rsidRPr="00F66D5E">
        <w:rPr>
          <w:sz w:val="24"/>
          <w:szCs w:val="24"/>
        </w:rPr>
        <w:t>where</w:t>
      </w:r>
      <w:proofErr w:type="gramEnd"/>
      <w:r w:rsidRPr="00F66D5E">
        <w:rPr>
          <w:sz w:val="24"/>
          <w:szCs w:val="24"/>
        </w:rPr>
        <w:t xml:space="preserve"> the last element is a type of Leontief inverse matrix and enables us to account for both the direct and indirect input requirements.</w:t>
      </w:r>
      <w:r>
        <w:rPr>
          <w:sz w:val="24"/>
          <w:szCs w:val="24"/>
        </w:rPr>
        <w:t xml:space="preserve">  </w:t>
      </w:r>
      <w:r w:rsidRPr="00F66D5E">
        <w:rPr>
          <w:sz w:val="24"/>
          <w:szCs w:val="24"/>
        </w:rPr>
        <w:t>By accounting for the indirect requirements, we recognise that the inputs directly required in the production of commodities</w:t>
      </w:r>
      <w:r w:rsidR="00FB6A46">
        <w:rPr>
          <w:sz w:val="24"/>
          <w:szCs w:val="24"/>
        </w:rPr>
        <w:t xml:space="preserve"> </w:t>
      </w:r>
      <w:r w:rsidRPr="00F66D5E">
        <w:rPr>
          <w:sz w:val="24"/>
          <w:szCs w:val="24"/>
        </w:rPr>
        <w:t xml:space="preserve">may require inputs </w:t>
      </w:r>
      <w:r w:rsidR="00FB6A46">
        <w:rPr>
          <w:sz w:val="24"/>
          <w:szCs w:val="24"/>
        </w:rPr>
        <w:t>of</w:t>
      </w:r>
      <w:r w:rsidR="00FB6A46" w:rsidRPr="00F66D5E">
        <w:rPr>
          <w:sz w:val="24"/>
          <w:szCs w:val="24"/>
        </w:rPr>
        <w:t xml:space="preserve"> </w:t>
      </w:r>
      <w:r w:rsidRPr="00F66D5E">
        <w:rPr>
          <w:sz w:val="24"/>
          <w:szCs w:val="24"/>
        </w:rPr>
        <w:t>other commodities.</w:t>
      </w:r>
    </w:p>
    <w:p w:rsidR="00E80EF4" w:rsidRPr="008F7736" w:rsidRDefault="00E80EF4" w:rsidP="008F7736">
      <w:pPr>
        <w:pStyle w:val="Heading3"/>
        <w:rPr>
          <w:sz w:val="24"/>
          <w:szCs w:val="24"/>
        </w:rPr>
      </w:pPr>
      <w:r w:rsidRPr="008F7736">
        <w:rPr>
          <w:sz w:val="24"/>
          <w:szCs w:val="24"/>
        </w:rPr>
        <w:t>Incorporation of other policy measures in the PRISMOD.IO modelling</w:t>
      </w:r>
    </w:p>
    <w:p w:rsidR="00E80EF4" w:rsidRDefault="00E80EF4" w:rsidP="008F7736">
      <w:pPr>
        <w:spacing w:before="120" w:after="0" w:line="360" w:lineRule="auto"/>
        <w:rPr>
          <w:sz w:val="24"/>
          <w:szCs w:val="24"/>
        </w:rPr>
      </w:pPr>
      <w:r>
        <w:rPr>
          <w:sz w:val="24"/>
          <w:szCs w:val="24"/>
        </w:rPr>
        <w:t xml:space="preserve">The modelling </w:t>
      </w:r>
      <w:r w:rsidRPr="00C010B3">
        <w:rPr>
          <w:sz w:val="24"/>
          <w:szCs w:val="24"/>
        </w:rPr>
        <w:t xml:space="preserve">takes into account </w:t>
      </w:r>
      <w:r>
        <w:rPr>
          <w:sz w:val="24"/>
          <w:szCs w:val="24"/>
        </w:rPr>
        <w:t xml:space="preserve">the specific </w:t>
      </w:r>
      <w:r w:rsidRPr="00C010B3">
        <w:rPr>
          <w:sz w:val="24"/>
          <w:szCs w:val="24"/>
        </w:rPr>
        <w:t xml:space="preserve">features of </w:t>
      </w:r>
      <w:r>
        <w:rPr>
          <w:sz w:val="24"/>
          <w:szCs w:val="24"/>
        </w:rPr>
        <w:t>the Australian G</w:t>
      </w:r>
      <w:r w:rsidRPr="00C010B3">
        <w:rPr>
          <w:sz w:val="24"/>
          <w:szCs w:val="24"/>
        </w:rPr>
        <w:t>overnment</w:t>
      </w:r>
      <w:r>
        <w:rPr>
          <w:sz w:val="24"/>
          <w:szCs w:val="24"/>
        </w:rPr>
        <w:t>’s</w:t>
      </w:r>
      <w:r w:rsidRPr="00C010B3">
        <w:rPr>
          <w:sz w:val="24"/>
          <w:szCs w:val="24"/>
        </w:rPr>
        <w:t xml:space="preserve"> </w:t>
      </w:r>
      <w:r>
        <w:rPr>
          <w:sz w:val="24"/>
          <w:szCs w:val="24"/>
        </w:rPr>
        <w:t xml:space="preserve">carbon pricing </w:t>
      </w:r>
      <w:r w:rsidRPr="00C010B3">
        <w:rPr>
          <w:sz w:val="24"/>
          <w:szCs w:val="24"/>
        </w:rPr>
        <w:t>policy</w:t>
      </w:r>
      <w:r>
        <w:rPr>
          <w:sz w:val="24"/>
          <w:szCs w:val="24"/>
        </w:rPr>
        <w:t>, including the structure of assistance measures</w:t>
      </w:r>
      <w:r w:rsidR="006559CA">
        <w:rPr>
          <w:sz w:val="24"/>
          <w:szCs w:val="24"/>
        </w:rPr>
        <w:t>.</w:t>
      </w:r>
      <w:r>
        <w:rPr>
          <w:sz w:val="24"/>
          <w:szCs w:val="24"/>
        </w:rPr>
        <w:t xml:space="preserve">  </w:t>
      </w:r>
    </w:p>
    <w:p w:rsidR="00E80EF4" w:rsidRDefault="00E80EF4" w:rsidP="00A0309C">
      <w:pPr>
        <w:spacing w:after="0" w:line="240" w:lineRule="auto"/>
        <w:rPr>
          <w:sz w:val="24"/>
          <w:szCs w:val="24"/>
        </w:rPr>
      </w:pPr>
    </w:p>
    <w:p w:rsidR="00322E9C" w:rsidRDefault="00E80EF4" w:rsidP="00322E9C">
      <w:pPr>
        <w:spacing w:after="0" w:line="360" w:lineRule="auto"/>
        <w:rPr>
          <w:sz w:val="24"/>
          <w:szCs w:val="24"/>
        </w:rPr>
      </w:pPr>
      <w:r>
        <w:rPr>
          <w:sz w:val="24"/>
          <w:szCs w:val="24"/>
        </w:rPr>
        <w:t xml:space="preserve">For example, the estimated costs of carbon pricing modelled are net of assistance to emission-intensive, trade-exposed industries through the Australian Government’s Jobs and Competitiveness Program.  Eligible industries will receive a level of assistance based on a percentage of historical industry average </w:t>
      </w:r>
      <w:r w:rsidR="00246AF1">
        <w:rPr>
          <w:sz w:val="24"/>
          <w:szCs w:val="24"/>
        </w:rPr>
        <w:t xml:space="preserve">carbon intensity of production.  </w:t>
      </w:r>
      <w:r w:rsidR="00322E9C">
        <w:rPr>
          <w:sz w:val="24"/>
          <w:szCs w:val="24"/>
        </w:rPr>
        <w:t xml:space="preserve">While the assistance will </w:t>
      </w:r>
      <w:r w:rsidR="00A22474">
        <w:rPr>
          <w:sz w:val="24"/>
          <w:szCs w:val="24"/>
        </w:rPr>
        <w:t xml:space="preserve">help </w:t>
      </w:r>
      <w:r w:rsidR="00322E9C">
        <w:rPr>
          <w:sz w:val="24"/>
          <w:szCs w:val="24"/>
        </w:rPr>
        <w:t>shield emission-intensive trade-exposed industries from the full impact of the carbon price on profitability, it has been designed to ensure businesses retain the incentive to reduce their pollution.</w:t>
      </w:r>
    </w:p>
    <w:p w:rsidR="00E80EF4" w:rsidRDefault="00E80EF4" w:rsidP="00A0309C">
      <w:pPr>
        <w:spacing w:after="0" w:line="240" w:lineRule="auto"/>
        <w:rPr>
          <w:sz w:val="24"/>
          <w:szCs w:val="24"/>
        </w:rPr>
      </w:pPr>
    </w:p>
    <w:p w:rsidR="00E80EF4" w:rsidRDefault="00E80EF4" w:rsidP="00E80EF4">
      <w:pPr>
        <w:spacing w:after="0" w:line="360" w:lineRule="auto"/>
        <w:rPr>
          <w:sz w:val="24"/>
          <w:szCs w:val="24"/>
        </w:rPr>
      </w:pPr>
      <w:r>
        <w:rPr>
          <w:sz w:val="24"/>
          <w:szCs w:val="24"/>
        </w:rPr>
        <w:t xml:space="preserve">The modelling also incorporates </w:t>
      </w:r>
      <w:r w:rsidRPr="003D7882">
        <w:rPr>
          <w:sz w:val="24"/>
          <w:szCs w:val="24"/>
        </w:rPr>
        <w:t xml:space="preserve">the </w:t>
      </w:r>
      <w:r>
        <w:rPr>
          <w:sz w:val="24"/>
          <w:szCs w:val="24"/>
        </w:rPr>
        <w:t xml:space="preserve">cost </w:t>
      </w:r>
      <w:r w:rsidRPr="003D7882">
        <w:rPr>
          <w:sz w:val="24"/>
          <w:szCs w:val="24"/>
        </w:rPr>
        <w:t>impact on importers of synthetic greenhouse gases covered by the Kyoto Protocol</w:t>
      </w:r>
      <w:r w:rsidR="005C23DF">
        <w:rPr>
          <w:sz w:val="24"/>
          <w:szCs w:val="24"/>
        </w:rPr>
        <w:t>.  I</w:t>
      </w:r>
      <w:r>
        <w:rPr>
          <w:sz w:val="24"/>
          <w:szCs w:val="24"/>
        </w:rPr>
        <w:t xml:space="preserve">mportation (or manufacture) </w:t>
      </w:r>
      <w:r w:rsidR="005C23DF">
        <w:rPr>
          <w:sz w:val="24"/>
          <w:szCs w:val="24"/>
        </w:rPr>
        <w:t xml:space="preserve">of these gases </w:t>
      </w:r>
      <w:r w:rsidRPr="00F42357">
        <w:rPr>
          <w:sz w:val="24"/>
          <w:szCs w:val="24"/>
        </w:rPr>
        <w:t>will be subject</w:t>
      </w:r>
      <w:r>
        <w:rPr>
          <w:sz w:val="24"/>
          <w:szCs w:val="24"/>
        </w:rPr>
        <w:t xml:space="preserve"> </w:t>
      </w:r>
      <w:r w:rsidRPr="00F42357">
        <w:rPr>
          <w:sz w:val="24"/>
          <w:szCs w:val="24"/>
        </w:rPr>
        <w:t>to an equivalent carbon price</w:t>
      </w:r>
      <w:r w:rsidR="005C23DF">
        <w:rPr>
          <w:sz w:val="24"/>
          <w:szCs w:val="24"/>
        </w:rPr>
        <w:t xml:space="preserve"> using existing import or manufacture levies</w:t>
      </w:r>
      <w:r w:rsidRPr="003D7882">
        <w:rPr>
          <w:sz w:val="24"/>
          <w:szCs w:val="24"/>
        </w:rPr>
        <w:t>.</w:t>
      </w:r>
    </w:p>
    <w:p w:rsidR="00E80EF4" w:rsidRDefault="00E80EF4" w:rsidP="00E80EF4">
      <w:pPr>
        <w:spacing w:after="0" w:line="360" w:lineRule="auto"/>
        <w:rPr>
          <w:sz w:val="24"/>
          <w:szCs w:val="24"/>
        </w:rPr>
      </w:pPr>
    </w:p>
    <w:p w:rsidR="00E80EF4" w:rsidRDefault="00E80EF4" w:rsidP="00E80EF4">
      <w:pPr>
        <w:spacing w:after="0" w:line="360" w:lineRule="auto"/>
        <w:rPr>
          <w:sz w:val="24"/>
          <w:szCs w:val="24"/>
        </w:rPr>
      </w:pPr>
      <w:r>
        <w:rPr>
          <w:sz w:val="24"/>
          <w:szCs w:val="24"/>
        </w:rPr>
        <w:t xml:space="preserve">Finally, the modelling reflects the exclusion of </w:t>
      </w:r>
      <w:r w:rsidRPr="00C010B3">
        <w:rPr>
          <w:sz w:val="24"/>
          <w:szCs w:val="24"/>
        </w:rPr>
        <w:t>agriculture, f</w:t>
      </w:r>
      <w:r>
        <w:rPr>
          <w:sz w:val="24"/>
          <w:szCs w:val="24"/>
        </w:rPr>
        <w:t>isheries and f</w:t>
      </w:r>
      <w:r w:rsidRPr="00C010B3">
        <w:rPr>
          <w:sz w:val="24"/>
          <w:szCs w:val="24"/>
        </w:rPr>
        <w:t>orestry</w:t>
      </w:r>
      <w:r>
        <w:rPr>
          <w:sz w:val="24"/>
          <w:szCs w:val="24"/>
        </w:rPr>
        <w:t xml:space="preserve"> from the scheme, as well as the initial exclusion of fuel use for on-road transport.</w:t>
      </w:r>
      <w:r>
        <w:rPr>
          <w:rStyle w:val="FootnoteReference"/>
          <w:sz w:val="24"/>
          <w:szCs w:val="24"/>
        </w:rPr>
        <w:footnoteReference w:id="5"/>
      </w:r>
    </w:p>
    <w:p w:rsidR="00197769" w:rsidRPr="00212609" w:rsidRDefault="001F4CC3" w:rsidP="008F7736">
      <w:pPr>
        <w:pStyle w:val="Heading2"/>
      </w:pPr>
      <w:r w:rsidRPr="00A0309C">
        <w:rPr>
          <w:bCs w:val="0"/>
        </w:rPr>
        <w:t>PRISMOD.DIST</w:t>
      </w:r>
    </w:p>
    <w:p w:rsidR="001F4CC3" w:rsidRDefault="001F4CC3" w:rsidP="008F7736">
      <w:pPr>
        <w:spacing w:before="120" w:after="0" w:line="360" w:lineRule="auto"/>
        <w:rPr>
          <w:sz w:val="24"/>
          <w:szCs w:val="24"/>
        </w:rPr>
      </w:pPr>
      <w:r>
        <w:rPr>
          <w:sz w:val="24"/>
          <w:szCs w:val="24"/>
        </w:rPr>
        <w:t>PRISMO</w:t>
      </w:r>
      <w:r w:rsidR="005E1910">
        <w:rPr>
          <w:sz w:val="24"/>
          <w:szCs w:val="24"/>
        </w:rPr>
        <w:t xml:space="preserve">D.DIST </w:t>
      </w:r>
      <w:r w:rsidR="00197769">
        <w:rPr>
          <w:sz w:val="24"/>
          <w:szCs w:val="24"/>
        </w:rPr>
        <w:t xml:space="preserve">models </w:t>
      </w:r>
      <w:r>
        <w:rPr>
          <w:sz w:val="24"/>
          <w:szCs w:val="24"/>
        </w:rPr>
        <w:t>t</w:t>
      </w:r>
      <w:r w:rsidR="005E1910">
        <w:rPr>
          <w:sz w:val="24"/>
          <w:szCs w:val="24"/>
        </w:rPr>
        <w:t>he effects of price changes at the industry level</w:t>
      </w:r>
      <w:r w:rsidR="00197769">
        <w:rPr>
          <w:sz w:val="24"/>
          <w:szCs w:val="24"/>
        </w:rPr>
        <w:t>, as described above,</w:t>
      </w:r>
      <w:r w:rsidR="005E1910">
        <w:rPr>
          <w:sz w:val="24"/>
          <w:szCs w:val="24"/>
        </w:rPr>
        <w:t xml:space="preserve"> on</w:t>
      </w:r>
      <w:r>
        <w:rPr>
          <w:sz w:val="24"/>
          <w:szCs w:val="24"/>
        </w:rPr>
        <w:t xml:space="preserve"> </w:t>
      </w:r>
      <w:r w:rsidRPr="009C5F25">
        <w:rPr>
          <w:sz w:val="24"/>
          <w:szCs w:val="24"/>
        </w:rPr>
        <w:t xml:space="preserve">household </w:t>
      </w:r>
      <w:r>
        <w:rPr>
          <w:sz w:val="24"/>
          <w:szCs w:val="24"/>
        </w:rPr>
        <w:t xml:space="preserve">expenditure and </w:t>
      </w:r>
      <w:r w:rsidR="00825A68">
        <w:rPr>
          <w:rFonts w:cstheme="minorHAnsi"/>
          <w:sz w:val="24"/>
          <w:szCs w:val="24"/>
        </w:rPr>
        <w:t>consumer prices</w:t>
      </w:r>
      <w:r>
        <w:rPr>
          <w:sz w:val="24"/>
          <w:szCs w:val="24"/>
        </w:rPr>
        <w:t>.</w:t>
      </w:r>
      <w:r w:rsidR="00124DE6">
        <w:rPr>
          <w:sz w:val="24"/>
          <w:szCs w:val="24"/>
        </w:rPr>
        <w:t xml:space="preserve">  </w:t>
      </w:r>
      <w:r w:rsidR="009F1B7C">
        <w:rPr>
          <w:sz w:val="24"/>
          <w:szCs w:val="24"/>
        </w:rPr>
        <w:t xml:space="preserve">It is a static model </w:t>
      </w:r>
      <w:r w:rsidR="00E9684E">
        <w:rPr>
          <w:sz w:val="24"/>
          <w:szCs w:val="24"/>
        </w:rPr>
        <w:t>which assumes</w:t>
      </w:r>
      <w:r w:rsidR="009F1B7C">
        <w:rPr>
          <w:sz w:val="24"/>
          <w:szCs w:val="24"/>
        </w:rPr>
        <w:t xml:space="preserve"> no </w:t>
      </w:r>
      <w:r w:rsidR="009F1B7C">
        <w:rPr>
          <w:sz w:val="24"/>
          <w:szCs w:val="24"/>
        </w:rPr>
        <w:lastRenderedPageBreak/>
        <w:t>behavioural effects</w:t>
      </w:r>
      <w:r w:rsidR="00A22474">
        <w:rPr>
          <w:sz w:val="24"/>
          <w:szCs w:val="24"/>
        </w:rPr>
        <w:t xml:space="preserve"> by </w:t>
      </w:r>
      <w:r w:rsidR="00E9684E">
        <w:rPr>
          <w:sz w:val="24"/>
          <w:szCs w:val="24"/>
        </w:rPr>
        <w:t>consumers</w:t>
      </w:r>
      <w:r w:rsidR="009F1B7C">
        <w:rPr>
          <w:sz w:val="24"/>
          <w:szCs w:val="24"/>
        </w:rPr>
        <w:t xml:space="preserve"> </w:t>
      </w:r>
      <w:r w:rsidR="00A22474">
        <w:rPr>
          <w:sz w:val="24"/>
          <w:szCs w:val="24"/>
        </w:rPr>
        <w:t>in response to</w:t>
      </w:r>
      <w:r w:rsidR="00E9684E">
        <w:rPr>
          <w:sz w:val="24"/>
          <w:szCs w:val="24"/>
        </w:rPr>
        <w:t xml:space="preserve"> carbon pricing</w:t>
      </w:r>
      <w:r w:rsidR="009F1B7C">
        <w:rPr>
          <w:sz w:val="24"/>
          <w:szCs w:val="24"/>
        </w:rPr>
        <w:t>.</w:t>
      </w:r>
      <w:r w:rsidR="00124DE6">
        <w:rPr>
          <w:sz w:val="24"/>
          <w:szCs w:val="24"/>
        </w:rPr>
        <w:t xml:space="preserve"> </w:t>
      </w:r>
      <w:r>
        <w:rPr>
          <w:sz w:val="24"/>
          <w:szCs w:val="24"/>
        </w:rPr>
        <w:t xml:space="preserve"> In order to map the </w:t>
      </w:r>
      <w:r w:rsidR="006C5422">
        <w:rPr>
          <w:sz w:val="24"/>
          <w:szCs w:val="24"/>
        </w:rPr>
        <w:t xml:space="preserve">final consumption expenditure </w:t>
      </w:r>
      <w:r w:rsidR="00E7461F">
        <w:rPr>
          <w:sz w:val="24"/>
          <w:szCs w:val="24"/>
        </w:rPr>
        <w:t xml:space="preserve">from PRISMOD.IO </w:t>
      </w:r>
      <w:r>
        <w:rPr>
          <w:sz w:val="24"/>
          <w:szCs w:val="24"/>
        </w:rPr>
        <w:t>to the household level</w:t>
      </w:r>
      <w:r w:rsidRPr="009C5F25">
        <w:rPr>
          <w:sz w:val="24"/>
          <w:szCs w:val="24"/>
        </w:rPr>
        <w:t>, the Australian Treasury dr</w:t>
      </w:r>
      <w:r>
        <w:rPr>
          <w:sz w:val="24"/>
          <w:szCs w:val="24"/>
        </w:rPr>
        <w:t>ew</w:t>
      </w:r>
      <w:r w:rsidRPr="009C5F25">
        <w:rPr>
          <w:sz w:val="24"/>
          <w:szCs w:val="24"/>
        </w:rPr>
        <w:t xml:space="preserve"> on </w:t>
      </w:r>
      <w:r>
        <w:rPr>
          <w:sz w:val="24"/>
          <w:szCs w:val="24"/>
        </w:rPr>
        <w:t xml:space="preserve">data from the ABS, including the Household Expenditure Survey </w:t>
      </w:r>
      <w:r w:rsidRPr="00A9029F">
        <w:rPr>
          <w:sz w:val="24"/>
          <w:szCs w:val="24"/>
        </w:rPr>
        <w:t xml:space="preserve">(HES), </w:t>
      </w:r>
      <w:r>
        <w:rPr>
          <w:sz w:val="24"/>
          <w:szCs w:val="24"/>
        </w:rPr>
        <w:t xml:space="preserve">the </w:t>
      </w:r>
      <w:r w:rsidRPr="00A9029F">
        <w:rPr>
          <w:sz w:val="24"/>
          <w:szCs w:val="24"/>
        </w:rPr>
        <w:t>Survey of Income and Housing (SIH)</w:t>
      </w:r>
      <w:r>
        <w:rPr>
          <w:rStyle w:val="FootnoteReference"/>
          <w:sz w:val="24"/>
          <w:szCs w:val="24"/>
        </w:rPr>
        <w:footnoteReference w:id="6"/>
      </w:r>
      <w:r w:rsidRPr="00A9029F">
        <w:rPr>
          <w:sz w:val="24"/>
          <w:szCs w:val="24"/>
        </w:rPr>
        <w:t xml:space="preserve">, </w:t>
      </w:r>
      <w:r w:rsidR="005E1910">
        <w:rPr>
          <w:sz w:val="24"/>
          <w:szCs w:val="24"/>
        </w:rPr>
        <w:t>the</w:t>
      </w:r>
      <w:r w:rsidR="00FD5BED">
        <w:rPr>
          <w:sz w:val="24"/>
          <w:szCs w:val="24"/>
        </w:rPr>
        <w:t xml:space="preserve"> </w:t>
      </w:r>
      <w:r w:rsidR="00825A68">
        <w:rPr>
          <w:sz w:val="24"/>
          <w:szCs w:val="24"/>
        </w:rPr>
        <w:t>CPI</w:t>
      </w:r>
      <w:r w:rsidRPr="006E7A78">
        <w:rPr>
          <w:vertAlign w:val="superscript"/>
        </w:rPr>
        <w:footnoteReference w:id="7"/>
      </w:r>
      <w:r w:rsidRPr="00A9029F">
        <w:rPr>
          <w:sz w:val="24"/>
          <w:szCs w:val="24"/>
        </w:rPr>
        <w:t xml:space="preserve"> and Average Weekly Earnings (AWE)</w:t>
      </w:r>
      <w:r w:rsidRPr="006E7A78">
        <w:rPr>
          <w:vertAlign w:val="superscript"/>
        </w:rPr>
        <w:footnoteReference w:id="8"/>
      </w:r>
      <w:r w:rsidRPr="00A9029F">
        <w:rPr>
          <w:sz w:val="24"/>
          <w:szCs w:val="24"/>
        </w:rPr>
        <w:t>.</w:t>
      </w:r>
    </w:p>
    <w:p w:rsidR="00BF5777" w:rsidRPr="009C5F25" w:rsidRDefault="00BF5777" w:rsidP="009C5F25">
      <w:pPr>
        <w:spacing w:after="0" w:line="360" w:lineRule="auto"/>
        <w:rPr>
          <w:sz w:val="24"/>
          <w:szCs w:val="24"/>
        </w:rPr>
      </w:pPr>
    </w:p>
    <w:p w:rsidR="009C5F25" w:rsidRDefault="009C5F25" w:rsidP="009C5F25">
      <w:pPr>
        <w:spacing w:after="0" w:line="360" w:lineRule="auto"/>
        <w:rPr>
          <w:sz w:val="24"/>
          <w:szCs w:val="24"/>
        </w:rPr>
      </w:pPr>
      <w:r w:rsidRPr="009C5F25">
        <w:rPr>
          <w:sz w:val="24"/>
          <w:szCs w:val="24"/>
        </w:rPr>
        <w:t xml:space="preserve">Information on price changes for expenditure classes underlying the CPI are published regularly by the ABS.  </w:t>
      </w:r>
      <w:r w:rsidR="00E7461F">
        <w:rPr>
          <w:sz w:val="24"/>
          <w:szCs w:val="24"/>
        </w:rPr>
        <w:t>These price changes</w:t>
      </w:r>
      <w:r w:rsidR="00E7461F" w:rsidRPr="009C5F25">
        <w:rPr>
          <w:sz w:val="24"/>
          <w:szCs w:val="24"/>
        </w:rPr>
        <w:t xml:space="preserve"> </w:t>
      </w:r>
      <w:r w:rsidR="00E7461F">
        <w:rPr>
          <w:sz w:val="24"/>
          <w:szCs w:val="24"/>
        </w:rPr>
        <w:t>were</w:t>
      </w:r>
      <w:r w:rsidR="00E7461F" w:rsidRPr="009C5F25">
        <w:rPr>
          <w:sz w:val="24"/>
          <w:szCs w:val="24"/>
        </w:rPr>
        <w:t xml:space="preserve"> </w:t>
      </w:r>
      <w:r w:rsidRPr="009C5F25">
        <w:rPr>
          <w:sz w:val="24"/>
          <w:szCs w:val="24"/>
        </w:rPr>
        <w:t>used to update expenditure estimates for each of the expenditure categories in the HES up to 2010</w:t>
      </w:r>
      <w:r w:rsidRPr="009C5F25">
        <w:rPr>
          <w:sz w:val="24"/>
          <w:szCs w:val="24"/>
        </w:rPr>
        <w:noBreakHyphen/>
        <w:t xml:space="preserve">11, </w:t>
      </w:r>
      <w:r w:rsidR="008616DF">
        <w:rPr>
          <w:sz w:val="24"/>
          <w:szCs w:val="24"/>
        </w:rPr>
        <w:t>assuming</w:t>
      </w:r>
      <w:r w:rsidR="00034BAF">
        <w:rPr>
          <w:sz w:val="24"/>
          <w:szCs w:val="24"/>
        </w:rPr>
        <w:t xml:space="preserve"> households continue</w:t>
      </w:r>
      <w:r w:rsidRPr="009C5F25">
        <w:rPr>
          <w:sz w:val="24"/>
          <w:szCs w:val="24"/>
        </w:rPr>
        <w:t xml:space="preserve"> to purchase constant quantities of goods and services over time.  </w:t>
      </w:r>
      <w:r w:rsidR="001E4996" w:rsidRPr="009C5F25">
        <w:rPr>
          <w:sz w:val="24"/>
          <w:szCs w:val="24"/>
        </w:rPr>
        <w:t xml:space="preserve">Household incomes </w:t>
      </w:r>
      <w:r w:rsidR="001E4996">
        <w:rPr>
          <w:sz w:val="24"/>
          <w:szCs w:val="24"/>
        </w:rPr>
        <w:t>and expenditure were</w:t>
      </w:r>
      <w:r w:rsidRPr="009C5F25">
        <w:rPr>
          <w:sz w:val="24"/>
          <w:szCs w:val="24"/>
        </w:rPr>
        <w:t xml:space="preserve"> projected </w:t>
      </w:r>
      <w:r w:rsidR="001E4996">
        <w:rPr>
          <w:sz w:val="24"/>
          <w:szCs w:val="24"/>
        </w:rPr>
        <w:t xml:space="preserve">forward </w:t>
      </w:r>
      <w:r w:rsidRPr="009C5F25">
        <w:rPr>
          <w:sz w:val="24"/>
          <w:szCs w:val="24"/>
        </w:rPr>
        <w:t>to 2012</w:t>
      </w:r>
      <w:r w:rsidRPr="009C5F25">
        <w:rPr>
          <w:sz w:val="24"/>
          <w:szCs w:val="24"/>
        </w:rPr>
        <w:noBreakHyphen/>
        <w:t xml:space="preserve">13 price levels </w:t>
      </w:r>
      <w:r w:rsidR="001E4996">
        <w:rPr>
          <w:sz w:val="24"/>
          <w:szCs w:val="24"/>
        </w:rPr>
        <w:t>based on projected growth in the CPI for expenditure classes together with growth in wages and transfer payments and legislated tax rates and thresholds</w:t>
      </w:r>
      <w:r w:rsidR="00E7461F">
        <w:rPr>
          <w:sz w:val="24"/>
          <w:szCs w:val="24"/>
        </w:rPr>
        <w:t xml:space="preserve">. </w:t>
      </w:r>
      <w:r w:rsidR="00124DE6">
        <w:rPr>
          <w:sz w:val="24"/>
          <w:szCs w:val="24"/>
        </w:rPr>
        <w:t xml:space="preserve"> </w:t>
      </w:r>
      <w:r w:rsidR="00E7461F">
        <w:rPr>
          <w:sz w:val="24"/>
          <w:szCs w:val="24"/>
        </w:rPr>
        <w:t xml:space="preserve">As the </w:t>
      </w:r>
      <w:r w:rsidRPr="009C5F25">
        <w:rPr>
          <w:sz w:val="24"/>
          <w:szCs w:val="24"/>
        </w:rPr>
        <w:t>number and composition of households also change over time,</w:t>
      </w:r>
      <w:r w:rsidR="00E7461F">
        <w:rPr>
          <w:sz w:val="24"/>
          <w:szCs w:val="24"/>
        </w:rPr>
        <w:t xml:space="preserve"> the</w:t>
      </w:r>
      <w:r w:rsidRPr="009C5F25">
        <w:rPr>
          <w:sz w:val="24"/>
          <w:szCs w:val="24"/>
        </w:rPr>
        <w:t xml:space="preserve"> modelling</w:t>
      </w:r>
      <w:r w:rsidR="00E7461F">
        <w:rPr>
          <w:sz w:val="24"/>
          <w:szCs w:val="24"/>
        </w:rPr>
        <w:t xml:space="preserve"> also</w:t>
      </w:r>
      <w:r w:rsidRPr="009C5F25">
        <w:rPr>
          <w:sz w:val="24"/>
          <w:szCs w:val="24"/>
        </w:rPr>
        <w:t xml:space="preserve"> </w:t>
      </w:r>
      <w:r w:rsidR="00E7461F">
        <w:rPr>
          <w:sz w:val="24"/>
          <w:szCs w:val="24"/>
        </w:rPr>
        <w:t>i</w:t>
      </w:r>
      <w:r w:rsidRPr="009C5F25">
        <w:rPr>
          <w:sz w:val="24"/>
          <w:szCs w:val="24"/>
        </w:rPr>
        <w:t>ncorporate</w:t>
      </w:r>
      <w:r w:rsidR="00E7461F">
        <w:rPr>
          <w:sz w:val="24"/>
          <w:szCs w:val="24"/>
        </w:rPr>
        <w:t>d</w:t>
      </w:r>
      <w:r w:rsidRPr="009C5F25">
        <w:rPr>
          <w:sz w:val="24"/>
          <w:szCs w:val="24"/>
        </w:rPr>
        <w:t xml:space="preserve"> projected movements in Australia’s demographic composition.</w:t>
      </w:r>
      <w:r>
        <w:rPr>
          <w:rStyle w:val="FootnoteReference"/>
          <w:sz w:val="24"/>
          <w:szCs w:val="24"/>
        </w:rPr>
        <w:footnoteReference w:id="9"/>
      </w:r>
    </w:p>
    <w:p w:rsidR="009C5F25" w:rsidRPr="009C5F25" w:rsidRDefault="009C5F25" w:rsidP="009C5F25">
      <w:pPr>
        <w:spacing w:after="0" w:line="360" w:lineRule="auto"/>
        <w:rPr>
          <w:sz w:val="24"/>
          <w:szCs w:val="24"/>
        </w:rPr>
      </w:pPr>
    </w:p>
    <w:p w:rsidR="009C5F25" w:rsidRDefault="009C5F25" w:rsidP="009C5F25">
      <w:pPr>
        <w:spacing w:after="0" w:line="360" w:lineRule="auto"/>
        <w:rPr>
          <w:sz w:val="24"/>
          <w:szCs w:val="24"/>
        </w:rPr>
      </w:pPr>
      <w:r w:rsidRPr="009C5F25">
        <w:rPr>
          <w:sz w:val="24"/>
          <w:szCs w:val="24"/>
        </w:rPr>
        <w:t xml:space="preserve">The price impacts of the carbon price estimated on an industry basis from PRISMOD.IO </w:t>
      </w:r>
      <w:r w:rsidR="008616DF">
        <w:rPr>
          <w:sz w:val="24"/>
          <w:szCs w:val="24"/>
        </w:rPr>
        <w:t>were</w:t>
      </w:r>
      <w:r w:rsidR="008616DF" w:rsidRPr="009C5F25">
        <w:rPr>
          <w:sz w:val="24"/>
          <w:szCs w:val="24"/>
        </w:rPr>
        <w:t xml:space="preserve"> </w:t>
      </w:r>
      <w:r w:rsidRPr="009C5F25">
        <w:rPr>
          <w:sz w:val="24"/>
          <w:szCs w:val="24"/>
        </w:rPr>
        <w:t>applied to the price</w:t>
      </w:r>
      <w:r w:rsidR="00E0023E">
        <w:rPr>
          <w:sz w:val="24"/>
          <w:szCs w:val="24"/>
        </w:rPr>
        <w:t>-</w:t>
      </w:r>
      <w:r w:rsidRPr="009C5F25">
        <w:rPr>
          <w:sz w:val="24"/>
          <w:szCs w:val="24"/>
        </w:rPr>
        <w:t xml:space="preserve">updated expenditure data with the assistance of a concordance that matches </w:t>
      </w:r>
      <w:r w:rsidR="006C5422">
        <w:rPr>
          <w:sz w:val="24"/>
          <w:szCs w:val="24"/>
        </w:rPr>
        <w:t xml:space="preserve">product </w:t>
      </w:r>
      <w:r w:rsidRPr="009C5F25">
        <w:rPr>
          <w:sz w:val="24"/>
          <w:szCs w:val="24"/>
        </w:rPr>
        <w:t xml:space="preserve">level classifications to the Household Expenditure Classifications </w:t>
      </w:r>
      <w:r w:rsidR="00F2252A">
        <w:rPr>
          <w:sz w:val="24"/>
          <w:szCs w:val="24"/>
        </w:rPr>
        <w:t xml:space="preserve">(HECs) </w:t>
      </w:r>
      <w:r w:rsidRPr="009C5F25">
        <w:rPr>
          <w:sz w:val="24"/>
          <w:szCs w:val="24"/>
        </w:rPr>
        <w:t xml:space="preserve">in the HES.  </w:t>
      </w:r>
    </w:p>
    <w:p w:rsidR="009C5F25" w:rsidRPr="009C5F25" w:rsidRDefault="009C5F25" w:rsidP="009C5F25">
      <w:pPr>
        <w:spacing w:after="0" w:line="360" w:lineRule="auto"/>
        <w:rPr>
          <w:sz w:val="24"/>
          <w:szCs w:val="24"/>
        </w:rPr>
      </w:pPr>
    </w:p>
    <w:p w:rsidR="009C5F25" w:rsidRDefault="009C5F25" w:rsidP="009C5F25">
      <w:pPr>
        <w:spacing w:after="0" w:line="360" w:lineRule="auto"/>
        <w:rPr>
          <w:sz w:val="24"/>
          <w:szCs w:val="24"/>
        </w:rPr>
      </w:pPr>
      <w:r w:rsidRPr="009C5F25">
        <w:rPr>
          <w:sz w:val="24"/>
          <w:szCs w:val="24"/>
        </w:rPr>
        <w:t xml:space="preserve">A concordance between the </w:t>
      </w:r>
      <w:r w:rsidR="004E737B">
        <w:rPr>
          <w:sz w:val="24"/>
          <w:szCs w:val="24"/>
        </w:rPr>
        <w:t>HECs</w:t>
      </w:r>
      <w:r w:rsidRPr="009C5F25">
        <w:rPr>
          <w:sz w:val="24"/>
          <w:szCs w:val="24"/>
        </w:rPr>
        <w:t xml:space="preserve"> and the CPI expenditure classes was used to map between the two classifications in order to </w:t>
      </w:r>
      <w:r w:rsidR="00A22474">
        <w:rPr>
          <w:sz w:val="24"/>
          <w:szCs w:val="24"/>
        </w:rPr>
        <w:t>‘</w:t>
      </w:r>
      <w:r w:rsidRPr="009C5F25">
        <w:rPr>
          <w:sz w:val="24"/>
          <w:szCs w:val="24"/>
        </w:rPr>
        <w:t>price update</w:t>
      </w:r>
      <w:r w:rsidR="00A22474">
        <w:rPr>
          <w:sz w:val="24"/>
          <w:szCs w:val="24"/>
        </w:rPr>
        <w:t>’</w:t>
      </w:r>
      <w:r w:rsidRPr="009C5F25">
        <w:rPr>
          <w:sz w:val="24"/>
          <w:szCs w:val="24"/>
        </w:rPr>
        <w:t xml:space="preserve"> the HES data and estimate the impact of a carbon price on CPI.  The price</w:t>
      </w:r>
      <w:r w:rsidR="00E0023E">
        <w:rPr>
          <w:sz w:val="24"/>
          <w:szCs w:val="24"/>
        </w:rPr>
        <w:t>-</w:t>
      </w:r>
      <w:r w:rsidRPr="009C5F25">
        <w:rPr>
          <w:sz w:val="24"/>
          <w:szCs w:val="24"/>
        </w:rPr>
        <w:t xml:space="preserve">updated HES data was normalised to the fifteenth series CPI weighting pattern to take account of under and over reporting of expenditure data in the HES.  </w:t>
      </w:r>
    </w:p>
    <w:p w:rsidR="009C5F25" w:rsidRPr="009C5F25" w:rsidRDefault="009C5F25" w:rsidP="009C5F25">
      <w:pPr>
        <w:spacing w:after="0" w:line="360" w:lineRule="auto"/>
        <w:rPr>
          <w:sz w:val="24"/>
          <w:szCs w:val="24"/>
        </w:rPr>
      </w:pPr>
    </w:p>
    <w:p w:rsidR="00E80EF4" w:rsidRDefault="009C5F25" w:rsidP="00E80EF4">
      <w:pPr>
        <w:pStyle w:val="Default"/>
        <w:spacing w:line="360" w:lineRule="auto"/>
        <w:rPr>
          <w:rFonts w:asciiTheme="minorHAnsi" w:hAnsiTheme="minorHAnsi" w:cstheme="minorHAnsi"/>
          <w:color w:val="auto"/>
        </w:rPr>
      </w:pPr>
      <w:r w:rsidRPr="009C5F25">
        <w:lastRenderedPageBreak/>
        <w:t xml:space="preserve">The Australian Treasury sought assistance from the ABS to develop </w:t>
      </w:r>
      <w:r w:rsidR="003C3DD8">
        <w:t>product</w:t>
      </w:r>
      <w:r w:rsidRPr="009C5F25">
        <w:t xml:space="preserve"> concordance</w:t>
      </w:r>
      <w:r w:rsidR="00F47CCD">
        <w:t>s</w:t>
      </w:r>
      <w:r w:rsidRPr="009C5F25">
        <w:t xml:space="preserve"> to match the</w:t>
      </w:r>
      <w:r w:rsidR="00E0023E">
        <w:t xml:space="preserve"> classification of Household Final Consumption Expenditure (HFCE)</w:t>
      </w:r>
      <w:r w:rsidRPr="009C5F25">
        <w:t xml:space="preserve"> from PRISMOD.IO to the </w:t>
      </w:r>
      <w:r w:rsidR="00F47CCD">
        <w:t>e</w:t>
      </w:r>
      <w:r w:rsidRPr="009C5F25">
        <w:t xml:space="preserve">xpenditure </w:t>
      </w:r>
      <w:r w:rsidR="00F47CCD">
        <w:t>c</w:t>
      </w:r>
      <w:r w:rsidR="00F47CCD" w:rsidRPr="009C5F25">
        <w:t xml:space="preserve">lassification </w:t>
      </w:r>
      <w:r w:rsidRPr="009C5F25">
        <w:t xml:space="preserve">in the HES.  </w:t>
      </w:r>
      <w:r w:rsidR="00F47CCD">
        <w:t>Specifically, the ABS provided a concordance for the Input</w:t>
      </w:r>
      <w:r w:rsidR="006A60B6">
        <w:t>-</w:t>
      </w:r>
      <w:r w:rsidR="00F47CCD">
        <w:t xml:space="preserve">Output </w:t>
      </w:r>
      <w:r w:rsidR="006A60B6">
        <w:t>Product</w:t>
      </w:r>
      <w:r w:rsidR="00F47CCD">
        <w:t xml:space="preserve"> Groups (IOPG</w:t>
      </w:r>
      <w:r w:rsidR="006A60B6">
        <w:t>s</w:t>
      </w:r>
      <w:r w:rsidR="00F47CCD">
        <w:t>) to the Input</w:t>
      </w:r>
      <w:r w:rsidR="006A60B6">
        <w:t>-</w:t>
      </w:r>
      <w:r w:rsidR="00F47CCD">
        <w:t xml:space="preserve">Output </w:t>
      </w:r>
      <w:r w:rsidR="006A60B6">
        <w:t>Product</w:t>
      </w:r>
      <w:r w:rsidR="00F47CCD">
        <w:t xml:space="preserve"> Classification (IOPC) and the IOPC to the HEC.</w:t>
      </w:r>
      <w:r w:rsidR="00E0023E" w:rsidRPr="008217E0">
        <w:t xml:space="preserve"> </w:t>
      </w:r>
      <w:r w:rsidR="00124DE6">
        <w:t xml:space="preserve"> </w:t>
      </w:r>
      <w:r w:rsidR="00252010">
        <w:t>The concordances allow</w:t>
      </w:r>
      <w:r w:rsidR="00E80EF4">
        <w:t xml:space="preserve"> the</w:t>
      </w:r>
      <w:r w:rsidR="00E80EF4" w:rsidRPr="00482F01">
        <w:t xml:space="preserve"> Australian Treasury</w:t>
      </w:r>
      <w:r w:rsidR="00E80EF4">
        <w:t xml:space="preserve"> to create the required links between PRISMOD.IO</w:t>
      </w:r>
      <w:r w:rsidR="00252010">
        <w:t xml:space="preserve"> and </w:t>
      </w:r>
      <w:r w:rsidR="00E80EF4">
        <w:t>PRISMOD.DIST.</w:t>
      </w:r>
      <w:r w:rsidR="00246AF1">
        <w:rPr>
          <w:rFonts w:asciiTheme="minorHAnsi" w:hAnsiTheme="minorHAnsi" w:cstheme="minorHAnsi"/>
          <w:color w:val="auto"/>
        </w:rPr>
        <w:t xml:space="preserve">  </w:t>
      </w:r>
      <w:r w:rsidR="00E80EF4">
        <w:rPr>
          <w:rFonts w:asciiTheme="minorHAnsi" w:hAnsiTheme="minorHAnsi" w:cstheme="minorHAnsi"/>
          <w:color w:val="auto"/>
        </w:rPr>
        <w:t>Subsequent to the release of the carbon price modelling, Treasury requested a more direct concordance between the IOPG to the HEC from the ABS</w:t>
      </w:r>
      <w:r w:rsidR="006A60B6">
        <w:rPr>
          <w:rFonts w:asciiTheme="minorHAnsi" w:hAnsiTheme="minorHAnsi" w:cstheme="minorHAnsi"/>
          <w:color w:val="auto"/>
        </w:rPr>
        <w:t>.</w:t>
      </w:r>
      <w:r w:rsidR="00E80EF4" w:rsidRPr="008217E0">
        <w:rPr>
          <w:rStyle w:val="FootnoteReference"/>
          <w:rFonts w:cstheme="minorHAnsi"/>
        </w:rPr>
        <w:footnoteReference w:id="10"/>
      </w:r>
      <w:r w:rsidR="00E80EF4">
        <w:rPr>
          <w:rFonts w:asciiTheme="minorHAnsi" w:hAnsiTheme="minorHAnsi" w:cstheme="minorHAnsi"/>
          <w:color w:val="auto"/>
        </w:rPr>
        <w:t xml:space="preserve"> </w:t>
      </w:r>
    </w:p>
    <w:p w:rsidR="00E80EF4" w:rsidRDefault="00E80EF4" w:rsidP="00E0023E">
      <w:pPr>
        <w:spacing w:after="0" w:line="360" w:lineRule="auto"/>
        <w:rPr>
          <w:sz w:val="24"/>
          <w:szCs w:val="24"/>
        </w:rPr>
      </w:pPr>
    </w:p>
    <w:p w:rsidR="001745F7" w:rsidRDefault="00E0023E" w:rsidP="00E0023E">
      <w:pPr>
        <w:spacing w:after="0" w:line="360" w:lineRule="auto"/>
        <w:rPr>
          <w:rFonts w:cstheme="minorHAnsi"/>
          <w:sz w:val="24"/>
          <w:szCs w:val="24"/>
        </w:rPr>
      </w:pPr>
      <w:r w:rsidRPr="008217E0">
        <w:rPr>
          <w:rFonts w:cstheme="minorHAnsi"/>
          <w:sz w:val="24"/>
          <w:szCs w:val="24"/>
        </w:rPr>
        <w:t xml:space="preserve">The development of </w:t>
      </w:r>
      <w:r w:rsidR="003A0C03">
        <w:rPr>
          <w:rFonts w:cstheme="minorHAnsi"/>
          <w:sz w:val="24"/>
          <w:szCs w:val="24"/>
        </w:rPr>
        <w:t xml:space="preserve">correspondence </w:t>
      </w:r>
      <w:r w:rsidRPr="008217E0">
        <w:rPr>
          <w:rFonts w:cstheme="minorHAnsi"/>
          <w:sz w:val="24"/>
          <w:szCs w:val="24"/>
        </w:rPr>
        <w:t xml:space="preserve">tables </w:t>
      </w:r>
      <w:r w:rsidR="00170044">
        <w:rPr>
          <w:rFonts w:cstheme="minorHAnsi"/>
          <w:sz w:val="24"/>
          <w:szCs w:val="24"/>
        </w:rPr>
        <w:t xml:space="preserve">is </w:t>
      </w:r>
      <w:r w:rsidRPr="008217E0">
        <w:rPr>
          <w:rFonts w:cstheme="minorHAnsi"/>
          <w:sz w:val="24"/>
          <w:szCs w:val="24"/>
        </w:rPr>
        <w:t>subject to a number of challenges in</w:t>
      </w:r>
      <w:r w:rsidR="00E80EF4">
        <w:rPr>
          <w:rFonts w:cstheme="minorHAnsi"/>
          <w:sz w:val="24"/>
          <w:szCs w:val="24"/>
        </w:rPr>
        <w:t>cluding</w:t>
      </w:r>
      <w:r w:rsidRPr="008217E0">
        <w:rPr>
          <w:rFonts w:cstheme="minorHAnsi"/>
          <w:sz w:val="24"/>
          <w:szCs w:val="24"/>
        </w:rPr>
        <w:t xml:space="preserve"> confidentiality, coverage and consistency of concepts. </w:t>
      </w:r>
      <w:r w:rsidR="00124DE6">
        <w:rPr>
          <w:rFonts w:cstheme="minorHAnsi"/>
          <w:sz w:val="24"/>
          <w:szCs w:val="24"/>
        </w:rPr>
        <w:t xml:space="preserve"> </w:t>
      </w:r>
      <w:r w:rsidRPr="008217E0">
        <w:rPr>
          <w:rFonts w:cstheme="minorHAnsi"/>
          <w:sz w:val="24"/>
          <w:szCs w:val="24"/>
        </w:rPr>
        <w:t>The HFCE and HES data, for example, differ in terms of scope. The HFCE d</w:t>
      </w:r>
      <w:r w:rsidR="00977C4B">
        <w:rPr>
          <w:rFonts w:cstheme="minorHAnsi"/>
          <w:sz w:val="24"/>
          <w:szCs w:val="24"/>
        </w:rPr>
        <w:t>ata include expenditure by non</w:t>
      </w:r>
      <w:r w:rsidR="00977C4B">
        <w:rPr>
          <w:rFonts w:cstheme="minorHAnsi"/>
          <w:sz w:val="24"/>
          <w:szCs w:val="24"/>
        </w:rPr>
        <w:noBreakHyphen/>
      </w:r>
      <w:r w:rsidRPr="008217E0">
        <w:rPr>
          <w:rFonts w:cstheme="minorHAnsi"/>
          <w:sz w:val="24"/>
          <w:szCs w:val="24"/>
        </w:rPr>
        <w:t>profit institutions serving households (as recommended by the SNA) whereas the HES data exclude such expenditure.</w:t>
      </w:r>
      <w:r w:rsidR="00124DE6">
        <w:rPr>
          <w:rFonts w:cstheme="minorHAnsi"/>
          <w:sz w:val="24"/>
          <w:szCs w:val="24"/>
        </w:rPr>
        <w:t xml:space="preserve">  </w:t>
      </w:r>
      <w:r w:rsidRPr="008217E0">
        <w:rPr>
          <w:rFonts w:cstheme="minorHAnsi"/>
          <w:sz w:val="24"/>
          <w:szCs w:val="24"/>
        </w:rPr>
        <w:t>The treatment of imputed rent provides another example, being included in HFCE data and excluded from the HES data.</w:t>
      </w:r>
      <w:r w:rsidR="00730079" w:rsidRPr="008217E0">
        <w:rPr>
          <w:rStyle w:val="FootnoteReference"/>
          <w:rFonts w:cstheme="minorHAnsi"/>
          <w:sz w:val="24"/>
          <w:szCs w:val="24"/>
        </w:rPr>
        <w:t xml:space="preserve"> </w:t>
      </w:r>
    </w:p>
    <w:p w:rsidR="00E0023E" w:rsidRPr="008217E0" w:rsidRDefault="00E0023E" w:rsidP="00E0023E">
      <w:pPr>
        <w:spacing w:after="0" w:line="360" w:lineRule="auto"/>
        <w:rPr>
          <w:rFonts w:cstheme="minorHAnsi"/>
          <w:sz w:val="24"/>
          <w:szCs w:val="24"/>
        </w:rPr>
      </w:pPr>
    </w:p>
    <w:p w:rsidR="00A74D04" w:rsidRPr="008217E0" w:rsidRDefault="00A74D04" w:rsidP="00A74D04">
      <w:pPr>
        <w:pStyle w:val="Default"/>
        <w:spacing w:line="360" w:lineRule="auto"/>
        <w:rPr>
          <w:rFonts w:asciiTheme="minorHAnsi" w:hAnsiTheme="minorHAnsi" w:cstheme="minorHAnsi"/>
          <w:color w:val="auto"/>
        </w:rPr>
      </w:pPr>
      <w:r w:rsidRPr="008217E0">
        <w:rPr>
          <w:rFonts w:asciiTheme="minorHAnsi" w:hAnsiTheme="minorHAnsi" w:cstheme="minorHAnsi"/>
          <w:color w:val="auto"/>
        </w:rPr>
        <w:t xml:space="preserve">Such </w:t>
      </w:r>
      <w:r w:rsidR="003A0C03">
        <w:rPr>
          <w:rFonts w:asciiTheme="minorHAnsi" w:hAnsiTheme="minorHAnsi" w:cstheme="minorHAnsi"/>
          <w:color w:val="auto"/>
        </w:rPr>
        <w:t xml:space="preserve">correspondence </w:t>
      </w:r>
      <w:r w:rsidRPr="008217E0">
        <w:rPr>
          <w:rFonts w:asciiTheme="minorHAnsi" w:hAnsiTheme="minorHAnsi" w:cstheme="minorHAnsi"/>
          <w:color w:val="auto"/>
        </w:rPr>
        <w:t xml:space="preserve">tables enable I-O data to be used in conjunction with other statistics. However, as illustrated in the above example, there are limitations involved when coverage and conceptual differences apply to the data sets being corresponded. </w:t>
      </w:r>
    </w:p>
    <w:p w:rsidR="001A61E0" w:rsidRDefault="001A61E0" w:rsidP="00A0309C">
      <w:pPr>
        <w:rPr>
          <w:rFonts w:cstheme="minorHAnsi"/>
          <w:color w:val="C00000"/>
          <w:sz w:val="24"/>
          <w:szCs w:val="24"/>
        </w:rPr>
      </w:pPr>
    </w:p>
    <w:p w:rsidR="009C5F25" w:rsidRPr="00A0309C" w:rsidRDefault="00E4533F" w:rsidP="00A0309C">
      <w:pPr>
        <w:pStyle w:val="Heading2"/>
      </w:pPr>
      <w:r w:rsidRPr="00E06FE7">
        <w:t>Modelling results –</w:t>
      </w:r>
      <w:r w:rsidRPr="00A0309C">
        <w:t xml:space="preserve"> price i</w:t>
      </w:r>
      <w:r w:rsidR="009C5F25" w:rsidRPr="00A0309C">
        <w:t>mpacts</w:t>
      </w:r>
    </w:p>
    <w:p w:rsidR="009C5F25" w:rsidRDefault="001745F7" w:rsidP="008F7736">
      <w:pPr>
        <w:spacing w:before="120" w:after="0" w:line="360" w:lineRule="auto"/>
        <w:rPr>
          <w:sz w:val="24"/>
          <w:szCs w:val="24"/>
        </w:rPr>
      </w:pPr>
      <w:r>
        <w:rPr>
          <w:sz w:val="24"/>
          <w:szCs w:val="24"/>
        </w:rPr>
        <w:t xml:space="preserve">The modelling found that </w:t>
      </w:r>
      <w:r w:rsidR="004914B9">
        <w:rPr>
          <w:sz w:val="24"/>
          <w:szCs w:val="24"/>
        </w:rPr>
        <w:t xml:space="preserve">a </w:t>
      </w:r>
      <w:r w:rsidR="00825A68" w:rsidRPr="00827471">
        <w:rPr>
          <w:sz w:val="24"/>
          <w:szCs w:val="24"/>
        </w:rPr>
        <w:t>$23</w:t>
      </w:r>
      <w:r w:rsidR="00825A68">
        <w:rPr>
          <w:sz w:val="24"/>
          <w:szCs w:val="24"/>
        </w:rPr>
        <w:t xml:space="preserve"> </w:t>
      </w:r>
      <w:r w:rsidR="00A74D04" w:rsidRPr="00827471">
        <w:rPr>
          <w:sz w:val="24"/>
          <w:szCs w:val="24"/>
        </w:rPr>
        <w:t xml:space="preserve">carbon price in 2012-13 will </w:t>
      </w:r>
      <w:r w:rsidR="00170044">
        <w:rPr>
          <w:sz w:val="24"/>
          <w:szCs w:val="24"/>
        </w:rPr>
        <w:t>cause</w:t>
      </w:r>
      <w:r w:rsidR="00A74D04" w:rsidRPr="00827471">
        <w:rPr>
          <w:sz w:val="24"/>
          <w:szCs w:val="24"/>
        </w:rPr>
        <w:t xml:space="preserve"> a </w:t>
      </w:r>
      <w:r w:rsidR="00825A68">
        <w:rPr>
          <w:sz w:val="24"/>
          <w:szCs w:val="24"/>
        </w:rPr>
        <w:t xml:space="preserve">modest </w:t>
      </w:r>
      <w:r w:rsidR="00A74D04" w:rsidRPr="00827471">
        <w:rPr>
          <w:sz w:val="24"/>
          <w:szCs w:val="24"/>
        </w:rPr>
        <w:t xml:space="preserve">one-off rise in the CPI of around 0.7 per cent.  </w:t>
      </w:r>
      <w:r w:rsidR="009C5F25" w:rsidRPr="009C5F25">
        <w:rPr>
          <w:sz w:val="24"/>
          <w:szCs w:val="24"/>
        </w:rPr>
        <w:t>Table 1 shows the estimated average price impacts across all households following the introduction of a $23 carbon price in 2012</w:t>
      </w:r>
      <w:r w:rsidR="00730079">
        <w:rPr>
          <w:sz w:val="24"/>
          <w:szCs w:val="24"/>
        </w:rPr>
        <w:t>-</w:t>
      </w:r>
      <w:r w:rsidR="009C5F25" w:rsidRPr="009C5F25">
        <w:rPr>
          <w:sz w:val="24"/>
          <w:szCs w:val="24"/>
        </w:rPr>
        <w:t>13 by CPI subgroup. The modelling estimates average price changes across household expenditure categories</w:t>
      </w:r>
      <w:r w:rsidR="00302849">
        <w:rPr>
          <w:sz w:val="24"/>
          <w:szCs w:val="24"/>
        </w:rPr>
        <w:t xml:space="preserve"> taking into</w:t>
      </w:r>
      <w:r w:rsidR="009C5F25" w:rsidRPr="009C5F25">
        <w:rPr>
          <w:sz w:val="24"/>
          <w:szCs w:val="24"/>
        </w:rPr>
        <w:t xml:space="preserve"> account the different inputs involved in generating the goods and services that make up each CPI subgroup, such as energy use and transportation. While the modelling is intended to provide an accurate indication of how the price of different categories of goods will change on average, it is important to recognise that price impacts for specific items will depend on aspects particular to the product, such as degree of price pass through, the </w:t>
      </w:r>
      <w:r w:rsidR="009C5F25" w:rsidRPr="009C5F25">
        <w:rPr>
          <w:sz w:val="24"/>
          <w:szCs w:val="24"/>
        </w:rPr>
        <w:lastRenderedPageBreak/>
        <w:t>location, and the extent to which production processes and transportation required differ from the average across the CPI subgroup.</w:t>
      </w:r>
    </w:p>
    <w:p w:rsidR="009C5F25" w:rsidRPr="00C32B59" w:rsidRDefault="009C5F25" w:rsidP="00246AF1">
      <w:pPr>
        <w:spacing w:before="240"/>
        <w:rPr>
          <w:b/>
          <w:sz w:val="24"/>
          <w:szCs w:val="24"/>
        </w:rPr>
      </w:pPr>
      <w:r w:rsidRPr="00C32B59">
        <w:rPr>
          <w:b/>
          <w:sz w:val="24"/>
          <w:szCs w:val="24"/>
        </w:rPr>
        <w:t xml:space="preserve">Table 1: Price impacts </w:t>
      </w:r>
      <w:r w:rsidR="007B519F">
        <w:rPr>
          <w:b/>
          <w:sz w:val="24"/>
          <w:szCs w:val="24"/>
        </w:rPr>
        <w:t xml:space="preserve">on households </w:t>
      </w:r>
      <w:r w:rsidRPr="00C32B59">
        <w:rPr>
          <w:b/>
          <w:sz w:val="24"/>
          <w:szCs w:val="24"/>
        </w:rPr>
        <w:t>for a $23 carbon price in 2012</w:t>
      </w:r>
      <w:r w:rsidRPr="00C32B59">
        <w:rPr>
          <w:b/>
          <w:sz w:val="24"/>
          <w:szCs w:val="24"/>
        </w:rPr>
        <w:noBreakHyphen/>
        <w:t>13*</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1353"/>
        <w:gridCol w:w="837"/>
        <w:gridCol w:w="2632"/>
        <w:gridCol w:w="1346"/>
        <w:gridCol w:w="837"/>
      </w:tblGrid>
      <w:tr w:rsidR="009C5F25" w:rsidRPr="0095022D" w:rsidTr="009C5F25">
        <w:trPr>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color w:val="000000"/>
                <w:lang w:eastAsia="en-AU"/>
              </w:rPr>
            </w:pPr>
            <w:r w:rsidRPr="0095022D">
              <w:rPr>
                <w:rFonts w:eastAsia="Times New Roman" w:cstheme="minorHAnsi"/>
                <w:b/>
                <w:bCs/>
                <w:color w:val="000000"/>
                <w:lang w:eastAsia="en-AU"/>
              </w:rPr>
              <w:t>CPI subgroup</w:t>
            </w:r>
            <w:r>
              <w:rPr>
                <w:rStyle w:val="FootnoteReference"/>
                <w:rFonts w:eastAsia="Times New Roman" w:cstheme="minorHAnsi"/>
                <w:b/>
                <w:bCs/>
                <w:color w:val="000000"/>
                <w:lang w:eastAsia="en-AU"/>
              </w:rPr>
              <w:footnoteReference w:id="11"/>
            </w:r>
          </w:p>
        </w:tc>
        <w:tc>
          <w:tcPr>
            <w:tcW w:w="1353" w:type="dxa"/>
            <w:shd w:val="clear" w:color="auto" w:fill="auto"/>
            <w:vAlign w:val="bottom"/>
            <w:hideMark/>
          </w:tcPr>
          <w:p w:rsidR="009C5F25" w:rsidRPr="0095022D" w:rsidRDefault="009C5F25" w:rsidP="009C5F25">
            <w:pPr>
              <w:spacing w:after="0" w:line="240" w:lineRule="auto"/>
              <w:jc w:val="both"/>
              <w:rPr>
                <w:rFonts w:eastAsia="Times New Roman" w:cstheme="minorHAnsi"/>
                <w:i/>
                <w:color w:val="000000"/>
                <w:lang w:eastAsia="en-AU"/>
              </w:rPr>
            </w:pPr>
            <w:r w:rsidRPr="0095022D">
              <w:rPr>
                <w:rFonts w:eastAsia="Times New Roman" w:cstheme="minorHAnsi"/>
                <w:i/>
                <w:color w:val="000000"/>
                <w:lang w:eastAsia="en-AU"/>
              </w:rPr>
              <w:t>Average price impact ($ per week)</w:t>
            </w:r>
          </w:p>
        </w:tc>
        <w:tc>
          <w:tcPr>
            <w:tcW w:w="837" w:type="dxa"/>
            <w:shd w:val="clear" w:color="auto" w:fill="auto"/>
            <w:vAlign w:val="bottom"/>
            <w:hideMark/>
          </w:tcPr>
          <w:p w:rsidR="009C5F25" w:rsidRPr="0095022D" w:rsidRDefault="009C5F25" w:rsidP="009C5F25">
            <w:pPr>
              <w:spacing w:after="0" w:line="240" w:lineRule="auto"/>
              <w:jc w:val="both"/>
              <w:rPr>
                <w:rFonts w:eastAsia="Times New Roman" w:cstheme="minorHAnsi"/>
                <w:i/>
                <w:color w:val="000000"/>
                <w:lang w:eastAsia="en-AU"/>
              </w:rPr>
            </w:pPr>
            <w:r w:rsidRPr="0095022D">
              <w:rPr>
                <w:rFonts w:eastAsia="Times New Roman" w:cstheme="minorHAnsi"/>
                <w:i/>
                <w:color w:val="000000"/>
                <w:lang w:eastAsia="en-AU"/>
              </w:rPr>
              <w:t>Price Impact (%)</w:t>
            </w:r>
          </w:p>
        </w:tc>
        <w:tc>
          <w:tcPr>
            <w:tcW w:w="2632" w:type="dxa"/>
            <w:vAlign w:val="bottom"/>
          </w:tcPr>
          <w:p w:rsidR="009C5F25" w:rsidRPr="0095022D" w:rsidRDefault="009C5F25" w:rsidP="009C5F25">
            <w:pPr>
              <w:spacing w:after="0" w:line="240" w:lineRule="auto"/>
              <w:jc w:val="both"/>
              <w:rPr>
                <w:rFonts w:eastAsia="Times New Roman" w:cstheme="minorHAnsi"/>
                <w:b/>
                <w:bCs/>
                <w:color w:val="000000"/>
                <w:lang w:eastAsia="en-AU"/>
              </w:rPr>
            </w:pPr>
            <w:r w:rsidRPr="0095022D">
              <w:rPr>
                <w:rFonts w:eastAsia="Times New Roman" w:cstheme="minorHAnsi"/>
                <w:b/>
                <w:bCs/>
                <w:color w:val="000000"/>
                <w:lang w:eastAsia="en-AU"/>
              </w:rPr>
              <w:t>CPI subgroup</w:t>
            </w:r>
          </w:p>
        </w:tc>
        <w:tc>
          <w:tcPr>
            <w:tcW w:w="1346" w:type="dxa"/>
            <w:vAlign w:val="bottom"/>
          </w:tcPr>
          <w:p w:rsidR="009C5F25" w:rsidRPr="0095022D" w:rsidRDefault="009C5F25" w:rsidP="009C5F25">
            <w:pPr>
              <w:spacing w:after="0" w:line="240" w:lineRule="auto"/>
              <w:jc w:val="both"/>
              <w:rPr>
                <w:rFonts w:eastAsia="Times New Roman" w:cstheme="minorHAnsi"/>
                <w:i/>
                <w:color w:val="000000"/>
                <w:lang w:eastAsia="en-AU"/>
              </w:rPr>
            </w:pPr>
            <w:r w:rsidRPr="0095022D">
              <w:rPr>
                <w:rFonts w:eastAsia="Times New Roman" w:cstheme="minorHAnsi"/>
                <w:i/>
                <w:color w:val="000000"/>
                <w:lang w:eastAsia="en-AU"/>
              </w:rPr>
              <w:t>Average price impact ($ per week)</w:t>
            </w:r>
          </w:p>
        </w:tc>
        <w:tc>
          <w:tcPr>
            <w:tcW w:w="837" w:type="dxa"/>
            <w:vAlign w:val="bottom"/>
          </w:tcPr>
          <w:p w:rsidR="009C5F25" w:rsidRPr="0095022D" w:rsidRDefault="009C5F25" w:rsidP="009C5F25">
            <w:pPr>
              <w:spacing w:after="0" w:line="240" w:lineRule="auto"/>
              <w:jc w:val="both"/>
              <w:rPr>
                <w:rFonts w:eastAsia="Times New Roman" w:cstheme="minorHAnsi"/>
                <w:i/>
                <w:color w:val="000000"/>
                <w:lang w:eastAsia="en-AU"/>
              </w:rPr>
            </w:pPr>
            <w:r w:rsidRPr="0095022D">
              <w:rPr>
                <w:rFonts w:eastAsia="Times New Roman" w:cstheme="minorHAnsi"/>
                <w:i/>
                <w:color w:val="000000"/>
                <w:lang w:eastAsia="en-AU"/>
              </w:rPr>
              <w:t>Price Impact (%)</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Dairy and related products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Furniture and furnishings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Bread and cereal products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Household appliances utensils and tools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0.8%</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 xml:space="preserve">Meat and </w:t>
            </w:r>
            <w:proofErr w:type="spellStart"/>
            <w:r w:rsidRPr="0095022D">
              <w:rPr>
                <w:rFonts w:eastAsia="Times New Roman" w:cstheme="minorHAnsi"/>
                <w:b/>
                <w:bCs/>
                <w:sz w:val="20"/>
                <w:szCs w:val="20"/>
                <w:lang w:eastAsia="en-AU"/>
              </w:rPr>
              <w:t>seafoods</w:t>
            </w:r>
            <w:proofErr w:type="spellEnd"/>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Household Supplies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Fruit and vegetables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Household Services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Non-alcoholic drinks and snack food</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Health services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Meals out and takeaway foods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Pharmaceuticals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Other food</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Private motoring</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Alcoholic drinks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Urban transport fares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0.5%</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Tobacco</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Communication</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0.5%</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Men's clothing</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Audio, visual and computing</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Women's clothing</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Books, newspapers and magazines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Children's and infants' clothing</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Sport and other recreation</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Footwear</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0.2%</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Holiday travel and accommodation</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0.5%</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Accessories and clothing services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Education</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Rents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$0.40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0.6%</w:t>
            </w:r>
          </w:p>
        </w:tc>
        <w:tc>
          <w:tcPr>
            <w:tcW w:w="2632" w:type="dxa"/>
            <w:vAlign w:val="bottom"/>
          </w:tcPr>
          <w:p w:rsidR="009C5F25" w:rsidRPr="007D762B" w:rsidRDefault="009C5F25" w:rsidP="009C5F25">
            <w:pPr>
              <w:spacing w:after="0" w:line="240" w:lineRule="auto"/>
              <w:jc w:val="both"/>
              <w:rPr>
                <w:rFonts w:eastAsia="Times New Roman" w:cstheme="minorHAnsi"/>
                <w:b/>
                <w:bCs/>
                <w:sz w:val="20"/>
                <w:szCs w:val="20"/>
                <w:lang w:eastAsia="en-AU"/>
              </w:rPr>
            </w:pPr>
            <w:r w:rsidRPr="007D762B">
              <w:rPr>
                <w:rFonts w:eastAsia="Times New Roman" w:cstheme="minorHAnsi"/>
                <w:b/>
                <w:bCs/>
                <w:sz w:val="20"/>
                <w:szCs w:val="20"/>
                <w:lang w:eastAsia="en-AU"/>
              </w:rPr>
              <w:t>Insurance services</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&lt; $0.10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0.3%</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Utilities</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$4.60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7.9%</w:t>
            </w:r>
          </w:p>
        </w:tc>
        <w:tc>
          <w:tcPr>
            <w:tcW w:w="2632" w:type="dxa"/>
            <w:vAlign w:val="bottom"/>
          </w:tcPr>
          <w:p w:rsidR="009C5F25" w:rsidRPr="007D762B" w:rsidRDefault="009C5F25" w:rsidP="009C5F25">
            <w:pPr>
              <w:spacing w:after="0" w:line="240" w:lineRule="auto"/>
              <w:jc w:val="both"/>
              <w:rPr>
                <w:rFonts w:eastAsia="Times New Roman" w:cstheme="minorHAnsi"/>
                <w:b/>
                <w:bCs/>
                <w:color w:val="000000"/>
                <w:sz w:val="20"/>
                <w:szCs w:val="20"/>
                <w:lang w:eastAsia="en-AU"/>
              </w:rPr>
            </w:pPr>
            <w:r w:rsidRPr="007D762B">
              <w:rPr>
                <w:rFonts w:eastAsia="Times New Roman" w:cstheme="minorHAnsi"/>
                <w:b/>
                <w:bCs/>
                <w:color w:val="000000"/>
                <w:sz w:val="20"/>
                <w:szCs w:val="20"/>
                <w:lang w:eastAsia="en-AU"/>
              </w:rPr>
              <w:t>Other</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$0.90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w:t>
            </w:r>
            <w:r>
              <w:rPr>
                <w:rFonts w:eastAsia="Times New Roman" w:cstheme="minorHAnsi"/>
                <w:color w:val="000000"/>
                <w:sz w:val="20"/>
                <w:szCs w:val="20"/>
                <w:lang w:eastAsia="en-AU"/>
              </w:rPr>
              <w:t>*</w:t>
            </w:r>
          </w:p>
        </w:tc>
      </w:tr>
      <w:tr w:rsidR="009C5F25" w:rsidRPr="0095022D" w:rsidTr="009C5F25">
        <w:trPr>
          <w:trHeight w:val="300"/>
          <w:jc w:val="center"/>
        </w:trPr>
        <w:tc>
          <w:tcPr>
            <w:tcW w:w="2624" w:type="dxa"/>
            <w:shd w:val="clear" w:color="auto" w:fill="auto"/>
            <w:noWrap/>
            <w:vAlign w:val="bottom"/>
            <w:hideMark/>
          </w:tcPr>
          <w:p w:rsidR="009C5F25" w:rsidRPr="0095022D" w:rsidRDefault="009C5F25" w:rsidP="009C5F25">
            <w:pPr>
              <w:spacing w:after="0" w:line="240" w:lineRule="auto"/>
              <w:jc w:val="both"/>
              <w:rPr>
                <w:rFonts w:eastAsia="Times New Roman" w:cstheme="minorHAnsi"/>
                <w:b/>
                <w:bCs/>
                <w:sz w:val="20"/>
                <w:szCs w:val="20"/>
                <w:lang w:eastAsia="en-AU"/>
              </w:rPr>
            </w:pPr>
            <w:r w:rsidRPr="0095022D">
              <w:rPr>
                <w:rFonts w:eastAsia="Times New Roman" w:cstheme="minorHAnsi"/>
                <w:b/>
                <w:bCs/>
                <w:sz w:val="20"/>
                <w:szCs w:val="20"/>
                <w:lang w:eastAsia="en-AU"/>
              </w:rPr>
              <w:t>Other housing</w:t>
            </w:r>
          </w:p>
        </w:tc>
        <w:tc>
          <w:tcPr>
            <w:tcW w:w="1353"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$0.90</w:t>
            </w:r>
          </w:p>
        </w:tc>
        <w:tc>
          <w:tcPr>
            <w:tcW w:w="837" w:type="dxa"/>
            <w:shd w:val="clear" w:color="auto" w:fill="auto"/>
            <w:noWrap/>
            <w:vAlign w:val="bottom"/>
            <w:hideMark/>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0.6%</w:t>
            </w:r>
          </w:p>
        </w:tc>
        <w:tc>
          <w:tcPr>
            <w:tcW w:w="2632" w:type="dxa"/>
            <w:vAlign w:val="bottom"/>
          </w:tcPr>
          <w:p w:rsidR="009C5F25" w:rsidRPr="007D762B" w:rsidRDefault="009C5F25" w:rsidP="009C5F25">
            <w:pPr>
              <w:spacing w:after="0" w:line="240" w:lineRule="auto"/>
              <w:jc w:val="both"/>
              <w:rPr>
                <w:rFonts w:eastAsia="Times New Roman" w:cstheme="minorHAnsi"/>
                <w:b/>
                <w:bCs/>
                <w:color w:val="000000"/>
                <w:sz w:val="20"/>
                <w:szCs w:val="20"/>
                <w:lang w:eastAsia="en-AU"/>
              </w:rPr>
            </w:pPr>
            <w:r w:rsidRPr="007D762B">
              <w:rPr>
                <w:rFonts w:eastAsia="Times New Roman" w:cstheme="minorHAnsi"/>
                <w:b/>
                <w:bCs/>
                <w:color w:val="000000"/>
                <w:sz w:val="20"/>
                <w:szCs w:val="20"/>
                <w:lang w:eastAsia="en-AU"/>
              </w:rPr>
              <w:t>Total Expenditure</w:t>
            </w:r>
          </w:p>
        </w:tc>
        <w:tc>
          <w:tcPr>
            <w:tcW w:w="1346"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$9.90</w:t>
            </w:r>
          </w:p>
        </w:tc>
        <w:tc>
          <w:tcPr>
            <w:tcW w:w="837" w:type="dxa"/>
            <w:vAlign w:val="bottom"/>
          </w:tcPr>
          <w:p w:rsidR="009C5F25" w:rsidRPr="007D762B" w:rsidRDefault="009C5F25" w:rsidP="009C5F25">
            <w:pPr>
              <w:spacing w:after="0" w:line="240" w:lineRule="auto"/>
              <w:jc w:val="both"/>
              <w:rPr>
                <w:rFonts w:eastAsia="Times New Roman" w:cstheme="minorHAnsi"/>
                <w:color w:val="000000"/>
                <w:sz w:val="20"/>
                <w:szCs w:val="20"/>
                <w:lang w:eastAsia="en-AU"/>
              </w:rPr>
            </w:pPr>
            <w:r w:rsidRPr="007D762B">
              <w:rPr>
                <w:rFonts w:eastAsia="Times New Roman" w:cstheme="minorHAnsi"/>
                <w:color w:val="000000"/>
                <w:sz w:val="20"/>
                <w:szCs w:val="20"/>
                <w:lang w:eastAsia="en-AU"/>
              </w:rPr>
              <w:t>0.7%</w:t>
            </w:r>
          </w:p>
        </w:tc>
      </w:tr>
    </w:tbl>
    <w:p w:rsidR="009C5F25" w:rsidRPr="0095022D" w:rsidRDefault="009C5F25" w:rsidP="006E7A78">
      <w:pPr>
        <w:spacing w:after="0" w:line="240" w:lineRule="auto"/>
        <w:rPr>
          <w:rFonts w:eastAsia="Times New Roman" w:cstheme="minorHAnsi"/>
          <w:color w:val="000000"/>
          <w:sz w:val="20"/>
          <w:szCs w:val="20"/>
          <w:lang w:eastAsia="en-AU"/>
        </w:rPr>
      </w:pPr>
      <w:r w:rsidRPr="0095022D">
        <w:rPr>
          <w:rFonts w:eastAsia="Times New Roman" w:cstheme="minorHAnsi"/>
          <w:color w:val="000000"/>
          <w:sz w:val="20"/>
          <w:szCs w:val="20"/>
          <w:lang w:eastAsia="en-AU"/>
        </w:rPr>
        <w:t xml:space="preserve">*Note: </w:t>
      </w:r>
      <w:r w:rsidR="006559CA">
        <w:rPr>
          <w:rFonts w:eastAsia="Times New Roman" w:cstheme="minorHAnsi"/>
          <w:color w:val="000000"/>
          <w:sz w:val="20"/>
          <w:szCs w:val="20"/>
          <w:lang w:eastAsia="en-AU"/>
        </w:rPr>
        <w:t>E</w:t>
      </w:r>
      <w:r w:rsidRPr="0095022D">
        <w:rPr>
          <w:rFonts w:eastAsia="Times New Roman" w:cstheme="minorHAnsi"/>
          <w:color w:val="000000"/>
          <w:sz w:val="20"/>
          <w:szCs w:val="20"/>
          <w:lang w:eastAsia="en-AU"/>
        </w:rPr>
        <w:t>stimating the impact on household goods and services has been undertaken across broad product categories and the estimates represent the average price impact across each category. Within each category there will be a range of goods with different levels of direct and indirect emission intensity, for instance due to the source of the electricity used in the production of a particular company or for a particular type of good.</w:t>
      </w:r>
    </w:p>
    <w:p w:rsidR="009C5F25" w:rsidRDefault="009C5F25" w:rsidP="006E7A78">
      <w:pPr>
        <w:spacing w:after="0" w:line="240" w:lineRule="auto"/>
        <w:rPr>
          <w:rFonts w:eastAsia="Times New Roman" w:cstheme="minorHAnsi"/>
          <w:color w:val="000000"/>
          <w:sz w:val="20"/>
          <w:szCs w:val="20"/>
          <w:lang w:eastAsia="en-AU"/>
        </w:rPr>
      </w:pPr>
      <w:r w:rsidRPr="0095022D">
        <w:rPr>
          <w:rFonts w:eastAsia="Times New Roman" w:cstheme="minorHAnsi"/>
          <w:color w:val="000000"/>
          <w:sz w:val="20"/>
          <w:szCs w:val="20"/>
          <w:lang w:eastAsia="en-AU"/>
        </w:rPr>
        <w:t>** The ‘other’ category is comprised of a range of household expenditures expected to increase in price by around a quarter of a per cent, which represents an average increase in prices for services across the general economy. Analysis of these products is difficult due to data limitations — many of these products are not included in the CPI basket of goods and services, for example — such that specific price increases cannot be determined. Examples of these products include life insurance premiums, fees for some financial services, gambling and outright purchases of dwellings.</w:t>
      </w:r>
    </w:p>
    <w:p w:rsidR="009C5F25" w:rsidRPr="00E15B76" w:rsidRDefault="009C5F25" w:rsidP="006E7A78">
      <w:pPr>
        <w:spacing w:after="0" w:line="240" w:lineRule="auto"/>
        <w:rPr>
          <w:rFonts w:eastAsia="Times New Roman" w:cstheme="minorHAnsi"/>
          <w:b/>
          <w:color w:val="000000"/>
          <w:sz w:val="20"/>
          <w:szCs w:val="20"/>
          <w:lang w:eastAsia="en-AU"/>
        </w:rPr>
      </w:pPr>
      <w:r w:rsidRPr="00E15B76">
        <w:rPr>
          <w:rFonts w:eastAsia="Times New Roman" w:cstheme="minorHAnsi"/>
          <w:b/>
          <w:color w:val="000000"/>
          <w:sz w:val="20"/>
          <w:szCs w:val="20"/>
          <w:lang w:eastAsia="en-AU"/>
        </w:rPr>
        <w:t>Source:</w:t>
      </w:r>
      <w:r w:rsidRPr="00286F67">
        <w:rPr>
          <w:rFonts w:eastAsia="Times New Roman" w:cstheme="minorHAnsi"/>
          <w:color w:val="000000"/>
          <w:sz w:val="20"/>
          <w:szCs w:val="20"/>
          <w:lang w:eastAsia="en-AU"/>
        </w:rPr>
        <w:t xml:space="preserve"> </w:t>
      </w:r>
      <w:r>
        <w:rPr>
          <w:rFonts w:eastAsia="Times New Roman" w:cstheme="minorHAnsi"/>
          <w:color w:val="000000"/>
          <w:sz w:val="20"/>
          <w:szCs w:val="20"/>
          <w:lang w:eastAsia="en-AU"/>
        </w:rPr>
        <w:t xml:space="preserve">Australian </w:t>
      </w:r>
      <w:r w:rsidRPr="00E15B76">
        <w:rPr>
          <w:rFonts w:eastAsia="Times New Roman" w:cstheme="minorHAnsi"/>
          <w:color w:val="000000"/>
          <w:sz w:val="20"/>
          <w:szCs w:val="20"/>
          <w:lang w:eastAsia="en-AU"/>
        </w:rPr>
        <w:t>Treasur</w:t>
      </w:r>
      <w:r>
        <w:rPr>
          <w:rFonts w:eastAsia="Times New Roman" w:cstheme="minorHAnsi"/>
          <w:color w:val="000000"/>
          <w:sz w:val="20"/>
          <w:szCs w:val="20"/>
          <w:lang w:eastAsia="en-AU"/>
        </w:rPr>
        <w:t>y</w:t>
      </w:r>
      <w:r>
        <w:rPr>
          <w:rStyle w:val="FootnoteReference"/>
          <w:rFonts w:eastAsia="Times New Roman" w:cstheme="minorHAnsi"/>
          <w:color w:val="000000"/>
          <w:sz w:val="20"/>
          <w:szCs w:val="20"/>
          <w:lang w:eastAsia="en-AU"/>
        </w:rPr>
        <w:footnoteReference w:id="12"/>
      </w:r>
      <w:r>
        <w:rPr>
          <w:rFonts w:eastAsia="Times New Roman" w:cstheme="minorHAnsi"/>
          <w:color w:val="000000"/>
          <w:sz w:val="20"/>
          <w:szCs w:val="20"/>
          <w:lang w:eastAsia="en-AU"/>
        </w:rPr>
        <w:t>.</w:t>
      </w:r>
    </w:p>
    <w:p w:rsidR="00A74073" w:rsidRDefault="00A74073" w:rsidP="001A61E0">
      <w:pPr>
        <w:spacing w:after="0" w:line="360" w:lineRule="auto"/>
        <w:rPr>
          <w:sz w:val="24"/>
          <w:szCs w:val="24"/>
        </w:rPr>
      </w:pPr>
    </w:p>
    <w:p w:rsidR="00A74073" w:rsidRDefault="00A74073" w:rsidP="001A61E0">
      <w:pPr>
        <w:spacing w:after="0" w:line="360" w:lineRule="auto"/>
        <w:rPr>
          <w:sz w:val="24"/>
          <w:szCs w:val="24"/>
        </w:rPr>
      </w:pPr>
    </w:p>
    <w:p w:rsidR="001A61E0" w:rsidRDefault="001A61E0" w:rsidP="001A61E0">
      <w:pPr>
        <w:spacing w:after="0" w:line="360" w:lineRule="auto"/>
        <w:rPr>
          <w:sz w:val="24"/>
          <w:szCs w:val="24"/>
        </w:rPr>
      </w:pPr>
      <w:r w:rsidRPr="009C5F25">
        <w:rPr>
          <w:sz w:val="24"/>
          <w:szCs w:val="24"/>
        </w:rPr>
        <w:lastRenderedPageBreak/>
        <w:t xml:space="preserve">Electricity and gas are the </w:t>
      </w:r>
      <w:r>
        <w:rPr>
          <w:sz w:val="24"/>
          <w:szCs w:val="24"/>
        </w:rPr>
        <w:t>most</w:t>
      </w:r>
      <w:r w:rsidRPr="009C5F25">
        <w:rPr>
          <w:sz w:val="24"/>
          <w:szCs w:val="24"/>
        </w:rPr>
        <w:t xml:space="preserve"> emission</w:t>
      </w:r>
      <w:r>
        <w:rPr>
          <w:sz w:val="24"/>
          <w:szCs w:val="24"/>
        </w:rPr>
        <w:noBreakHyphen/>
      </w:r>
      <w:r w:rsidRPr="009C5F25">
        <w:rPr>
          <w:sz w:val="24"/>
          <w:szCs w:val="24"/>
        </w:rPr>
        <w:t xml:space="preserve">intensive goods that households consume so it would be expected that a carbon price would impact these items relatively more.  On average, a $23 carbon price </w:t>
      </w:r>
      <w:r>
        <w:rPr>
          <w:sz w:val="24"/>
          <w:szCs w:val="24"/>
        </w:rPr>
        <w:t>i</w:t>
      </w:r>
      <w:r w:rsidRPr="009C5F25">
        <w:rPr>
          <w:sz w:val="24"/>
          <w:szCs w:val="24"/>
        </w:rPr>
        <w:t xml:space="preserve">s estimated to increase weekly </w:t>
      </w:r>
      <w:r>
        <w:rPr>
          <w:sz w:val="24"/>
          <w:szCs w:val="24"/>
        </w:rPr>
        <w:t xml:space="preserve">household </w:t>
      </w:r>
      <w:r w:rsidRPr="009C5F25">
        <w:rPr>
          <w:sz w:val="24"/>
          <w:szCs w:val="24"/>
        </w:rPr>
        <w:t xml:space="preserve">electricity expenditure by around $3.30 and gas </w:t>
      </w:r>
      <w:r>
        <w:rPr>
          <w:sz w:val="24"/>
          <w:szCs w:val="24"/>
        </w:rPr>
        <w:t xml:space="preserve">expenditure by </w:t>
      </w:r>
      <w:r w:rsidRPr="009C5F25">
        <w:rPr>
          <w:sz w:val="24"/>
          <w:szCs w:val="24"/>
        </w:rPr>
        <w:t xml:space="preserve">around $1.50.  In percentage terms, a $23 carbon price </w:t>
      </w:r>
      <w:r>
        <w:rPr>
          <w:sz w:val="24"/>
          <w:szCs w:val="24"/>
        </w:rPr>
        <w:t>i</w:t>
      </w:r>
      <w:r w:rsidRPr="009C5F25">
        <w:rPr>
          <w:sz w:val="24"/>
          <w:szCs w:val="24"/>
        </w:rPr>
        <w:t xml:space="preserve">s estimated to increase </w:t>
      </w:r>
      <w:r>
        <w:rPr>
          <w:sz w:val="24"/>
          <w:szCs w:val="24"/>
        </w:rPr>
        <w:t xml:space="preserve">retail </w:t>
      </w:r>
      <w:r w:rsidRPr="009C5F25">
        <w:rPr>
          <w:sz w:val="24"/>
          <w:szCs w:val="24"/>
        </w:rPr>
        <w:t xml:space="preserve">electricity prices by 10 per cent and gas prices </w:t>
      </w:r>
      <w:r>
        <w:rPr>
          <w:sz w:val="24"/>
          <w:szCs w:val="24"/>
        </w:rPr>
        <w:t xml:space="preserve">by </w:t>
      </w:r>
      <w:r w:rsidRPr="009C5F25">
        <w:rPr>
          <w:sz w:val="24"/>
          <w:szCs w:val="24"/>
        </w:rPr>
        <w:t>9 per cent</w:t>
      </w:r>
      <w:r>
        <w:rPr>
          <w:sz w:val="24"/>
          <w:szCs w:val="24"/>
        </w:rPr>
        <w:t>.</w:t>
      </w:r>
    </w:p>
    <w:p w:rsidR="001A61E0" w:rsidRDefault="001A61E0" w:rsidP="006E7A78">
      <w:pPr>
        <w:spacing w:after="0" w:line="360" w:lineRule="auto"/>
        <w:rPr>
          <w:sz w:val="24"/>
          <w:szCs w:val="24"/>
        </w:rPr>
      </w:pPr>
    </w:p>
    <w:p w:rsidR="009C5F25" w:rsidRPr="009C5F25" w:rsidRDefault="009C5F25" w:rsidP="006E7A78">
      <w:pPr>
        <w:spacing w:after="0" w:line="360" w:lineRule="auto"/>
        <w:rPr>
          <w:sz w:val="24"/>
          <w:szCs w:val="24"/>
        </w:rPr>
      </w:pPr>
      <w:r w:rsidRPr="009C5F25">
        <w:rPr>
          <w:sz w:val="24"/>
          <w:szCs w:val="24"/>
        </w:rPr>
        <w:t>The carbon price will have a different impact on each individual household according to what they purchase, as shown in Table 2.  These estimates were published in</w:t>
      </w:r>
      <w:r w:rsidR="00825A68">
        <w:rPr>
          <w:sz w:val="24"/>
          <w:szCs w:val="24"/>
        </w:rPr>
        <w:t xml:space="preserve"> SGLP (</w:t>
      </w:r>
      <w:r w:rsidR="008F385B">
        <w:rPr>
          <w:sz w:val="24"/>
          <w:szCs w:val="24"/>
        </w:rPr>
        <w:t>Australian Government (2011b)</w:t>
      </w:r>
      <w:r w:rsidR="00825A68">
        <w:rPr>
          <w:sz w:val="24"/>
          <w:szCs w:val="24"/>
        </w:rPr>
        <w:t>)</w:t>
      </w:r>
      <w:r w:rsidRPr="009C5F25">
        <w:rPr>
          <w:sz w:val="24"/>
          <w:szCs w:val="24"/>
        </w:rPr>
        <w:t xml:space="preserve"> and used as part of the design process of the household assistance package.</w:t>
      </w:r>
      <w:r w:rsidR="00124DE6">
        <w:rPr>
          <w:sz w:val="24"/>
          <w:szCs w:val="24"/>
        </w:rPr>
        <w:t xml:space="preserve">  </w:t>
      </w:r>
      <w:r w:rsidRPr="009C5F25">
        <w:rPr>
          <w:sz w:val="24"/>
          <w:szCs w:val="24"/>
        </w:rPr>
        <w:t xml:space="preserve">It is impossible to examine each household’s </w:t>
      </w:r>
      <w:proofErr w:type="gramStart"/>
      <w:r w:rsidRPr="009C5F25">
        <w:rPr>
          <w:sz w:val="24"/>
          <w:szCs w:val="24"/>
        </w:rPr>
        <w:t>circumstances,</w:t>
      </w:r>
      <w:proofErr w:type="gramEnd"/>
      <w:r w:rsidRPr="009C5F25">
        <w:rPr>
          <w:sz w:val="24"/>
          <w:szCs w:val="24"/>
        </w:rPr>
        <w:t xml:space="preserve"> however certain trends exist between groups of households.</w:t>
      </w:r>
      <w:r w:rsidR="00124DE6">
        <w:rPr>
          <w:sz w:val="24"/>
          <w:szCs w:val="24"/>
        </w:rPr>
        <w:t xml:space="preserve">  </w:t>
      </w:r>
      <w:r w:rsidRPr="009C5F25">
        <w:rPr>
          <w:sz w:val="24"/>
          <w:szCs w:val="24"/>
        </w:rPr>
        <w:t xml:space="preserve">For example, households in the lower income </w:t>
      </w:r>
      <w:r w:rsidR="008F385B">
        <w:rPr>
          <w:sz w:val="24"/>
          <w:szCs w:val="24"/>
        </w:rPr>
        <w:t>quintiles</w:t>
      </w:r>
      <w:r w:rsidRPr="009C5F25">
        <w:rPr>
          <w:sz w:val="24"/>
          <w:szCs w:val="24"/>
        </w:rPr>
        <w:t xml:space="preserve"> generally face a slightly higher </w:t>
      </w:r>
      <w:r w:rsidR="00F94D56">
        <w:rPr>
          <w:sz w:val="24"/>
          <w:szCs w:val="24"/>
        </w:rPr>
        <w:t xml:space="preserve">proportional </w:t>
      </w:r>
      <w:r w:rsidRPr="009C5F25">
        <w:rPr>
          <w:sz w:val="24"/>
          <w:szCs w:val="24"/>
        </w:rPr>
        <w:t xml:space="preserve">price impact.  This is largely because electricity and gas expenditure form a higher proportion of lower income households’ total expenditure and both electricity and gas are highly emission intensive goods.  </w:t>
      </w:r>
    </w:p>
    <w:p w:rsidR="001A61E0" w:rsidRDefault="001A61E0">
      <w:pPr>
        <w:rPr>
          <w:rFonts w:eastAsia="Times New Roman" w:cstheme="minorHAnsi"/>
          <w:b/>
          <w:bCs/>
          <w:sz w:val="24"/>
          <w:szCs w:val="24"/>
          <w:lang w:eastAsia="en-AU"/>
        </w:rPr>
      </w:pPr>
      <w:r>
        <w:rPr>
          <w:rFonts w:eastAsia="Times New Roman" w:cstheme="minorHAnsi"/>
          <w:b/>
          <w:bCs/>
          <w:sz w:val="24"/>
          <w:szCs w:val="24"/>
          <w:lang w:eastAsia="en-AU"/>
        </w:rPr>
        <w:br w:type="page"/>
      </w:r>
    </w:p>
    <w:p w:rsidR="009C5F25" w:rsidRPr="006E7A78" w:rsidRDefault="009C5F25" w:rsidP="006E7A78">
      <w:pPr>
        <w:spacing w:before="240" w:after="0" w:line="360" w:lineRule="auto"/>
        <w:jc w:val="both"/>
        <w:rPr>
          <w:rFonts w:eastAsia="Times New Roman" w:cstheme="minorHAnsi"/>
          <w:b/>
          <w:bCs/>
          <w:sz w:val="24"/>
          <w:szCs w:val="24"/>
          <w:lang w:eastAsia="en-AU"/>
        </w:rPr>
      </w:pPr>
      <w:r w:rsidRPr="006E7A78">
        <w:rPr>
          <w:rFonts w:eastAsia="Times New Roman" w:cstheme="minorHAnsi"/>
          <w:b/>
          <w:bCs/>
          <w:sz w:val="24"/>
          <w:szCs w:val="24"/>
          <w:lang w:eastAsia="en-AU"/>
        </w:rPr>
        <w:lastRenderedPageBreak/>
        <w:t>Table 2: Estimated price impacts by household type of a $23 carbon price in 2012-13</w:t>
      </w:r>
    </w:p>
    <w:tbl>
      <w:tblPr>
        <w:tblW w:w="9616" w:type="dxa"/>
        <w:tblCellSpacing w:w="15" w:type="dxa"/>
        <w:tblBorders>
          <w:top w:val="single" w:sz="6" w:space="0" w:color="4E9A29"/>
          <w:bottom w:val="single" w:sz="6" w:space="0" w:color="4E9A29"/>
        </w:tblBorders>
        <w:tblCellMar>
          <w:top w:w="60" w:type="dxa"/>
          <w:left w:w="120" w:type="dxa"/>
          <w:bottom w:w="60" w:type="dxa"/>
          <w:right w:w="120" w:type="dxa"/>
        </w:tblCellMar>
        <w:tblLook w:val="04A0" w:firstRow="1" w:lastRow="0" w:firstColumn="1" w:lastColumn="0" w:noHBand="0" w:noVBand="1"/>
      </w:tblPr>
      <w:tblGrid>
        <w:gridCol w:w="3759"/>
        <w:gridCol w:w="706"/>
        <w:gridCol w:w="1003"/>
        <w:gridCol w:w="1058"/>
        <w:gridCol w:w="1020"/>
        <w:gridCol w:w="1047"/>
        <w:gridCol w:w="1023"/>
      </w:tblGrid>
      <w:tr w:rsidR="009C5F25" w:rsidRPr="00891DF0" w:rsidTr="009C5F25">
        <w:trPr>
          <w:tblCellSpacing w:w="15" w:type="dxa"/>
        </w:trPr>
        <w:tc>
          <w:tcPr>
            <w:tcW w:w="3714" w:type="dxa"/>
            <w:tcBorders>
              <w:bottom w:val="single" w:sz="6" w:space="0" w:color="4E9A29"/>
            </w:tcBorders>
            <w:tcMar>
              <w:top w:w="75" w:type="dxa"/>
              <w:left w:w="120" w:type="dxa"/>
              <w:bottom w:w="75" w:type="dxa"/>
              <w:right w:w="120" w:type="dxa"/>
            </w:tcMa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p>
        </w:tc>
        <w:tc>
          <w:tcPr>
            <w:tcW w:w="0" w:type="auto"/>
            <w:gridSpan w:val="6"/>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Household income quintile (a)</w:t>
            </w:r>
          </w:p>
        </w:tc>
      </w:tr>
      <w:tr w:rsidR="009C5F25" w:rsidRPr="00891DF0" w:rsidTr="009C5F25">
        <w:trPr>
          <w:tblCellSpacing w:w="15" w:type="dxa"/>
        </w:trPr>
        <w:tc>
          <w:tcPr>
            <w:tcW w:w="3714" w:type="dxa"/>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Household type and primary source of income</w:t>
            </w:r>
          </w:p>
        </w:tc>
        <w:tc>
          <w:tcPr>
            <w:tcW w:w="0" w:type="auto"/>
            <w:tcBorders>
              <w:bottom w:val="single" w:sz="6" w:space="0" w:color="4E9A29"/>
            </w:tcBorders>
            <w:shd w:val="clear" w:color="auto" w:fill="D8D8D8"/>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All</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First quintile</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Second quintile</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Third quintile</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Fourth quintile</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Fifth quintile</w:t>
            </w:r>
          </w:p>
        </w:tc>
      </w:tr>
      <w:tr w:rsidR="009C5F25" w:rsidRPr="00891DF0" w:rsidTr="009C5F25">
        <w:trPr>
          <w:tblCellSpacing w:w="15" w:type="dxa"/>
        </w:trPr>
        <w:tc>
          <w:tcPr>
            <w:tcW w:w="3714" w:type="dxa"/>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p>
        </w:tc>
        <w:tc>
          <w:tcPr>
            <w:tcW w:w="0" w:type="auto"/>
            <w:tcBorders>
              <w:bottom w:val="single" w:sz="6" w:space="0" w:color="4E9A29"/>
            </w:tcBorders>
            <w:shd w:val="clear" w:color="auto" w:fill="D8D8D8"/>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c>
          <w:tcPr>
            <w:tcW w:w="0" w:type="auto"/>
            <w:tcBorders>
              <w:bottom w:val="single" w:sz="6" w:space="0" w:color="4E9A29"/>
            </w:tcBorders>
            <w:tcMar>
              <w:top w:w="75" w:type="dxa"/>
              <w:left w:w="120" w:type="dxa"/>
              <w:bottom w:w="75" w:type="dxa"/>
              <w:right w:w="120" w:type="dxa"/>
            </w:tcMar>
            <w:vAlign w:val="center"/>
            <w:hideMark/>
          </w:tcPr>
          <w:p w:rsidR="009C5F25" w:rsidRPr="00891DF0" w:rsidRDefault="009C5F25" w:rsidP="009C5F25">
            <w:pPr>
              <w:spacing w:after="0" w:line="240" w:lineRule="auto"/>
              <w:jc w:val="both"/>
              <w:rPr>
                <w:rFonts w:eastAsia="Times New Roman" w:cstheme="minorHAnsi"/>
                <w:b/>
                <w:bCs/>
                <w:color w:val="084598"/>
                <w:sz w:val="20"/>
                <w:szCs w:val="20"/>
                <w:lang w:eastAsia="en-AU"/>
              </w:rPr>
            </w:pPr>
            <w:r w:rsidRPr="00891DF0">
              <w:rPr>
                <w:rFonts w:eastAsia="Times New Roman" w:cstheme="minorHAnsi"/>
                <w:b/>
                <w:bCs/>
                <w:color w:val="084598"/>
                <w:sz w:val="20"/>
                <w:szCs w:val="20"/>
                <w:lang w:eastAsia="en-AU"/>
              </w:rPr>
              <w:t>Per cent</w:t>
            </w:r>
          </w:p>
        </w:tc>
      </w:tr>
      <w:tr w:rsidR="009C5F25" w:rsidRPr="00891DF0" w:rsidTr="009C5F25">
        <w:trPr>
          <w:tblCellSpacing w:w="15" w:type="dxa"/>
        </w:trPr>
        <w:tc>
          <w:tcPr>
            <w:tcW w:w="3714" w:type="dxa"/>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All</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Two income household, no children (b)</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Two income household, with children (b)</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One income household, no children (b)</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0.6</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One income household, with children (b)</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One income single person household</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Self-employed household</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 xml:space="preserve">Household with primary income source from Commonwealth allowances (e.g. </w:t>
            </w:r>
            <w:proofErr w:type="spellStart"/>
            <w:r w:rsidRPr="00891DF0">
              <w:rPr>
                <w:rFonts w:eastAsia="Times New Roman" w:cstheme="minorHAnsi"/>
                <w:sz w:val="20"/>
                <w:szCs w:val="20"/>
                <w:lang w:eastAsia="en-AU"/>
              </w:rPr>
              <w:t>Newstart</w:t>
            </w:r>
            <w:proofErr w:type="spellEnd"/>
            <w:r w:rsidRPr="00891DF0">
              <w:rPr>
                <w:rFonts w:eastAsia="Times New Roman" w:cstheme="minorHAnsi"/>
                <w:sz w:val="20"/>
                <w:szCs w:val="20"/>
                <w:lang w:eastAsia="en-AU"/>
              </w:rPr>
              <w:t xml:space="preserve"> Allowance, Youth Allowance)</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Married pensioner household</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Single pensioner household</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Sole parent pensioner household</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1.1</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1.0</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w:t>
            </w:r>
          </w:p>
        </w:tc>
      </w:tr>
      <w:tr w:rsidR="009C5F25" w:rsidRPr="00891DF0" w:rsidTr="009C5F25">
        <w:trPr>
          <w:tblCellSpacing w:w="15" w:type="dxa"/>
        </w:trPr>
        <w:tc>
          <w:tcPr>
            <w:tcW w:w="3714" w:type="dxa"/>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Part-pension and self-funded retiree households</w:t>
            </w:r>
          </w:p>
        </w:tc>
        <w:tc>
          <w:tcPr>
            <w:tcW w:w="0" w:type="auto"/>
            <w:tcBorders>
              <w:bottom w:val="single" w:sz="6" w:space="0" w:color="EBEBEB"/>
            </w:tcBorders>
            <w:shd w:val="clear" w:color="auto" w:fill="D8D8D8"/>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0.8</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0.9</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c>
          <w:tcPr>
            <w:tcW w:w="0" w:type="auto"/>
            <w:tcBorders>
              <w:bottom w:val="single" w:sz="6" w:space="0" w:color="EBEBEB"/>
            </w:tcBorders>
            <w:tcMar>
              <w:top w:w="30" w:type="dxa"/>
              <w:left w:w="120" w:type="dxa"/>
              <w:bottom w:w="30" w:type="dxa"/>
              <w:right w:w="120" w:type="dxa"/>
            </w:tcMar>
            <w:vAlign w:val="center"/>
            <w:hideMark/>
          </w:tcPr>
          <w:p w:rsidR="009C5F25" w:rsidRPr="00891DF0" w:rsidRDefault="009C5F25" w:rsidP="009C5F25">
            <w:pPr>
              <w:spacing w:after="0" w:line="240" w:lineRule="auto"/>
              <w:jc w:val="both"/>
              <w:rPr>
                <w:rFonts w:eastAsia="Times New Roman" w:cstheme="minorHAnsi"/>
                <w:sz w:val="20"/>
                <w:szCs w:val="20"/>
                <w:lang w:eastAsia="en-AU"/>
              </w:rPr>
            </w:pPr>
            <w:r w:rsidRPr="00891DF0">
              <w:rPr>
                <w:rFonts w:eastAsia="Times New Roman" w:cstheme="minorHAnsi"/>
                <w:sz w:val="20"/>
                <w:szCs w:val="20"/>
                <w:lang w:eastAsia="en-AU"/>
              </w:rPr>
              <w:t>0.7</w:t>
            </w:r>
          </w:p>
        </w:tc>
      </w:tr>
    </w:tbl>
    <w:p w:rsidR="009C5F25" w:rsidRPr="006E7A78" w:rsidRDefault="009C5F25" w:rsidP="009C5F25">
      <w:pPr>
        <w:spacing w:after="0" w:line="240" w:lineRule="auto"/>
        <w:jc w:val="both"/>
        <w:rPr>
          <w:rFonts w:eastAsia="Times New Roman" w:cstheme="minorHAnsi"/>
          <w:color w:val="000000"/>
          <w:sz w:val="18"/>
          <w:szCs w:val="18"/>
          <w:lang w:eastAsia="en-AU"/>
        </w:rPr>
      </w:pPr>
      <w:r w:rsidRPr="006E7A78">
        <w:rPr>
          <w:rFonts w:eastAsia="Times New Roman" w:cstheme="minorHAnsi"/>
          <w:color w:val="000000"/>
          <w:sz w:val="18"/>
          <w:szCs w:val="18"/>
          <w:lang w:eastAsia="en-AU"/>
        </w:rPr>
        <w:t>** indicates the sample size was too small to produce statistically reliable results.</w:t>
      </w:r>
    </w:p>
    <w:p w:rsidR="009C5F25" w:rsidRPr="006E7A78" w:rsidRDefault="009C5F25" w:rsidP="009C5F25">
      <w:pPr>
        <w:spacing w:after="0" w:line="240" w:lineRule="auto"/>
        <w:jc w:val="both"/>
        <w:rPr>
          <w:rFonts w:eastAsia="Times New Roman" w:cstheme="minorHAnsi"/>
          <w:color w:val="000000"/>
          <w:sz w:val="18"/>
          <w:szCs w:val="18"/>
          <w:lang w:eastAsia="en-AU"/>
        </w:rPr>
      </w:pPr>
      <w:r w:rsidRPr="006E7A78">
        <w:rPr>
          <w:rFonts w:eastAsia="Times New Roman" w:cstheme="minorHAnsi"/>
          <w:color w:val="000000"/>
          <w:sz w:val="18"/>
          <w:szCs w:val="18"/>
          <w:lang w:eastAsia="en-AU"/>
        </w:rPr>
        <w:t>Notes: These estimates assume that the carbon price costs are immediately passed through to consumers; that firms do not change their production processes; and that households do not change their consumption behaviour in response to the scheme. To the extent that households reduce their consumption of goods whose relative prices have risen, and increase their consumption of goods whose relative prices have decreased, the real impact on households would be expected to be lower.</w:t>
      </w:r>
    </w:p>
    <w:p w:rsidR="009C5F25" w:rsidRPr="006E7A78" w:rsidRDefault="009C5F25" w:rsidP="009C5F25">
      <w:pPr>
        <w:spacing w:after="0" w:line="240" w:lineRule="auto"/>
        <w:jc w:val="both"/>
        <w:rPr>
          <w:rFonts w:eastAsia="Times New Roman" w:cstheme="minorHAnsi"/>
          <w:color w:val="000000"/>
          <w:sz w:val="18"/>
          <w:szCs w:val="18"/>
          <w:lang w:eastAsia="en-AU"/>
        </w:rPr>
      </w:pPr>
      <w:r w:rsidRPr="006E7A78">
        <w:rPr>
          <w:rFonts w:eastAsia="Times New Roman" w:cstheme="minorHAnsi"/>
          <w:color w:val="000000"/>
          <w:sz w:val="18"/>
          <w:szCs w:val="18"/>
          <w:lang w:eastAsia="en-AU"/>
        </w:rPr>
        <w:t>(a) Income quintiles rank households from the lowest 20 per cent of disposable income to the highest 20 per cent. Modified OECD equivalence scales are applied to household disposable incomes to allow for comparisons across households of different sizes and compositions.</w:t>
      </w:r>
    </w:p>
    <w:p w:rsidR="009C5F25" w:rsidRPr="006E7A78" w:rsidRDefault="009C5F25" w:rsidP="009C5F25">
      <w:pPr>
        <w:spacing w:after="0" w:line="240" w:lineRule="auto"/>
        <w:jc w:val="both"/>
        <w:rPr>
          <w:rFonts w:eastAsia="Times New Roman" w:cstheme="minorHAnsi"/>
          <w:color w:val="000000"/>
          <w:sz w:val="18"/>
          <w:szCs w:val="18"/>
          <w:lang w:eastAsia="en-AU"/>
        </w:rPr>
      </w:pPr>
      <w:r w:rsidRPr="006E7A78">
        <w:rPr>
          <w:rFonts w:eastAsia="Times New Roman" w:cstheme="minorHAnsi"/>
          <w:color w:val="000000"/>
          <w:sz w:val="18"/>
          <w:szCs w:val="18"/>
          <w:lang w:eastAsia="en-AU"/>
        </w:rPr>
        <w:t>(b) Principal source of income is wages and salaries.</w:t>
      </w:r>
    </w:p>
    <w:p w:rsidR="009C5F25" w:rsidRPr="006E7A78" w:rsidRDefault="009C5F25" w:rsidP="009C5F25">
      <w:pPr>
        <w:spacing w:after="0" w:line="240" w:lineRule="auto"/>
        <w:jc w:val="both"/>
        <w:rPr>
          <w:rFonts w:eastAsia="Times New Roman" w:cstheme="minorHAnsi"/>
          <w:color w:val="000000"/>
          <w:sz w:val="18"/>
          <w:szCs w:val="18"/>
          <w:lang w:eastAsia="en-AU"/>
        </w:rPr>
      </w:pPr>
      <w:r w:rsidRPr="006E7A78">
        <w:rPr>
          <w:rFonts w:eastAsia="Times New Roman" w:cstheme="minorHAnsi"/>
          <w:b/>
          <w:color w:val="000000"/>
          <w:sz w:val="18"/>
          <w:szCs w:val="18"/>
          <w:lang w:eastAsia="en-AU"/>
        </w:rPr>
        <w:t>Source:</w:t>
      </w:r>
      <w:r w:rsidRPr="006E7A78">
        <w:rPr>
          <w:rFonts w:eastAsia="Times New Roman" w:cstheme="minorHAnsi"/>
          <w:color w:val="000000"/>
          <w:sz w:val="18"/>
          <w:szCs w:val="18"/>
          <w:lang w:eastAsia="en-AU"/>
        </w:rPr>
        <w:t xml:space="preserve"> Australian </w:t>
      </w:r>
      <w:r w:rsidR="007C4BD1">
        <w:rPr>
          <w:rFonts w:eastAsia="Times New Roman" w:cstheme="minorHAnsi"/>
          <w:color w:val="000000"/>
          <w:sz w:val="18"/>
          <w:szCs w:val="18"/>
          <w:lang w:eastAsia="en-AU"/>
        </w:rPr>
        <w:t>Government</w:t>
      </w:r>
      <w:r w:rsidRPr="006E7A78">
        <w:rPr>
          <w:rFonts w:eastAsia="Times New Roman" w:cstheme="minorHAnsi"/>
          <w:color w:val="000000"/>
          <w:sz w:val="18"/>
          <w:szCs w:val="18"/>
          <w:lang w:eastAsia="en-AU"/>
        </w:rPr>
        <w:t>,</w:t>
      </w:r>
      <w:r w:rsidR="007C4BD1">
        <w:rPr>
          <w:rFonts w:eastAsia="Times New Roman" w:cstheme="minorHAnsi"/>
          <w:color w:val="000000"/>
          <w:sz w:val="18"/>
          <w:szCs w:val="18"/>
          <w:lang w:eastAsia="en-AU"/>
        </w:rPr>
        <w:t xml:space="preserve"> 2011b,</w:t>
      </w:r>
      <w:r w:rsidRPr="006E7A78">
        <w:rPr>
          <w:rFonts w:eastAsia="Times New Roman" w:cstheme="minorHAnsi"/>
          <w:color w:val="000000"/>
          <w:sz w:val="18"/>
          <w:szCs w:val="18"/>
          <w:lang w:eastAsia="en-AU"/>
        </w:rPr>
        <w:t xml:space="preserve"> </w:t>
      </w:r>
      <w:r w:rsidRPr="006E7A78">
        <w:rPr>
          <w:rFonts w:eastAsia="Times New Roman" w:cstheme="minorHAnsi"/>
          <w:i/>
          <w:color w:val="000000"/>
          <w:sz w:val="18"/>
          <w:szCs w:val="18"/>
          <w:lang w:eastAsia="en-AU"/>
        </w:rPr>
        <w:t xml:space="preserve">Strong </w:t>
      </w:r>
      <w:r w:rsidR="008F385B" w:rsidRPr="006E7A78">
        <w:rPr>
          <w:rFonts w:eastAsia="Times New Roman" w:cstheme="minorHAnsi"/>
          <w:i/>
          <w:color w:val="000000"/>
          <w:sz w:val="18"/>
          <w:szCs w:val="18"/>
          <w:lang w:eastAsia="en-AU"/>
        </w:rPr>
        <w:t>g</w:t>
      </w:r>
      <w:r w:rsidRPr="006E7A78">
        <w:rPr>
          <w:rFonts w:eastAsia="Times New Roman" w:cstheme="minorHAnsi"/>
          <w:i/>
          <w:color w:val="000000"/>
          <w:sz w:val="18"/>
          <w:szCs w:val="18"/>
          <w:lang w:eastAsia="en-AU"/>
        </w:rPr>
        <w:t xml:space="preserve">rowth, </w:t>
      </w:r>
      <w:r w:rsidR="008F385B" w:rsidRPr="006E7A78">
        <w:rPr>
          <w:rFonts w:eastAsia="Times New Roman" w:cstheme="minorHAnsi"/>
          <w:i/>
          <w:color w:val="000000"/>
          <w:sz w:val="18"/>
          <w:szCs w:val="18"/>
          <w:lang w:eastAsia="en-AU"/>
        </w:rPr>
        <w:t>l</w:t>
      </w:r>
      <w:r w:rsidRPr="006E7A78">
        <w:rPr>
          <w:rFonts w:eastAsia="Times New Roman" w:cstheme="minorHAnsi"/>
          <w:i/>
          <w:color w:val="000000"/>
          <w:sz w:val="18"/>
          <w:szCs w:val="18"/>
          <w:lang w:eastAsia="en-AU"/>
        </w:rPr>
        <w:t xml:space="preserve">ow </w:t>
      </w:r>
      <w:r w:rsidR="008F385B" w:rsidRPr="006E7A78">
        <w:rPr>
          <w:rFonts w:eastAsia="Times New Roman" w:cstheme="minorHAnsi"/>
          <w:i/>
          <w:color w:val="000000"/>
          <w:sz w:val="18"/>
          <w:szCs w:val="18"/>
          <w:lang w:eastAsia="en-AU"/>
        </w:rPr>
        <w:t>p</w:t>
      </w:r>
      <w:r w:rsidRPr="006E7A78">
        <w:rPr>
          <w:rFonts w:eastAsia="Times New Roman" w:cstheme="minorHAnsi"/>
          <w:i/>
          <w:color w:val="000000"/>
          <w:sz w:val="18"/>
          <w:szCs w:val="18"/>
          <w:lang w:eastAsia="en-AU"/>
        </w:rPr>
        <w:t xml:space="preserve">ollution: Modelling a </w:t>
      </w:r>
      <w:r w:rsidR="008F385B" w:rsidRPr="006E7A78">
        <w:rPr>
          <w:rFonts w:eastAsia="Times New Roman" w:cstheme="minorHAnsi"/>
          <w:i/>
          <w:color w:val="000000"/>
          <w:sz w:val="18"/>
          <w:szCs w:val="18"/>
          <w:lang w:eastAsia="en-AU"/>
        </w:rPr>
        <w:t>c</w:t>
      </w:r>
      <w:r w:rsidRPr="006E7A78">
        <w:rPr>
          <w:rFonts w:eastAsia="Times New Roman" w:cstheme="minorHAnsi"/>
          <w:i/>
          <w:color w:val="000000"/>
          <w:sz w:val="18"/>
          <w:szCs w:val="18"/>
          <w:lang w:eastAsia="en-AU"/>
        </w:rPr>
        <w:t xml:space="preserve">arbon </w:t>
      </w:r>
      <w:r w:rsidR="008F385B" w:rsidRPr="006E7A78">
        <w:rPr>
          <w:rFonts w:eastAsia="Times New Roman" w:cstheme="minorHAnsi"/>
          <w:i/>
          <w:color w:val="000000"/>
          <w:sz w:val="18"/>
          <w:szCs w:val="18"/>
          <w:lang w:eastAsia="en-AU"/>
        </w:rPr>
        <w:t>p</w:t>
      </w:r>
      <w:r w:rsidRPr="006E7A78">
        <w:rPr>
          <w:rFonts w:eastAsia="Times New Roman" w:cstheme="minorHAnsi"/>
          <w:i/>
          <w:color w:val="000000"/>
          <w:sz w:val="18"/>
          <w:szCs w:val="18"/>
          <w:lang w:eastAsia="en-AU"/>
        </w:rPr>
        <w:t>rice</w:t>
      </w:r>
      <w:r w:rsidR="00034BAF">
        <w:rPr>
          <w:rFonts w:eastAsia="Times New Roman" w:cstheme="minorHAnsi"/>
          <w:color w:val="000000"/>
          <w:sz w:val="18"/>
          <w:szCs w:val="18"/>
          <w:lang w:eastAsia="en-AU"/>
        </w:rPr>
        <w:t xml:space="preserve"> report</w:t>
      </w:r>
    </w:p>
    <w:p w:rsidR="001745F7" w:rsidRPr="008F7736" w:rsidRDefault="001745F7"/>
    <w:p w:rsidR="002A6A72" w:rsidRDefault="002A6A72">
      <w:pPr>
        <w:rPr>
          <w:rFonts w:asciiTheme="majorHAnsi" w:eastAsiaTheme="majorEastAsia" w:hAnsiTheme="majorHAnsi" w:cstheme="majorBidi"/>
          <w:b/>
          <w:bCs/>
          <w:color w:val="4F81BD" w:themeColor="accent1"/>
          <w:sz w:val="26"/>
          <w:szCs w:val="26"/>
        </w:rPr>
      </w:pPr>
      <w:r>
        <w:br w:type="page"/>
      </w:r>
    </w:p>
    <w:p w:rsidR="009C5F25" w:rsidRDefault="0086452A" w:rsidP="008F7736">
      <w:pPr>
        <w:pStyle w:val="Heading2"/>
      </w:pPr>
      <w:r w:rsidRPr="008F7736">
        <w:lastRenderedPageBreak/>
        <w:t>Providing assistance to households</w:t>
      </w:r>
    </w:p>
    <w:p w:rsidR="009C5F25" w:rsidRDefault="009C5F25" w:rsidP="008F7736">
      <w:pPr>
        <w:spacing w:before="120" w:after="0" w:line="360" w:lineRule="auto"/>
        <w:rPr>
          <w:rFonts w:cstheme="minorHAnsi"/>
          <w:sz w:val="24"/>
        </w:rPr>
      </w:pPr>
      <w:r w:rsidRPr="009C5F25">
        <w:rPr>
          <w:rFonts w:cstheme="minorHAnsi"/>
          <w:sz w:val="24"/>
        </w:rPr>
        <w:t xml:space="preserve">With the introduction of the carbon price, the government made a number of commitments </w:t>
      </w:r>
      <w:r w:rsidR="00D26A19">
        <w:rPr>
          <w:rFonts w:cstheme="minorHAnsi"/>
          <w:sz w:val="24"/>
        </w:rPr>
        <w:t xml:space="preserve">relating to household assistance, </w:t>
      </w:r>
      <w:r w:rsidR="002A6A72">
        <w:rPr>
          <w:rFonts w:cstheme="minorHAnsi"/>
          <w:sz w:val="24"/>
        </w:rPr>
        <w:t>including</w:t>
      </w:r>
      <w:r w:rsidR="00D26A19">
        <w:rPr>
          <w:rFonts w:cstheme="minorHAnsi"/>
          <w:sz w:val="24"/>
        </w:rPr>
        <w:t xml:space="preserve"> that</w:t>
      </w:r>
      <w:r w:rsidRPr="009C5F25">
        <w:rPr>
          <w:rFonts w:cstheme="minorHAnsi"/>
          <w:sz w:val="24"/>
        </w:rPr>
        <w:t>:</w:t>
      </w:r>
    </w:p>
    <w:p w:rsidR="009C5F25" w:rsidRPr="009C5F25" w:rsidRDefault="009C5F25" w:rsidP="003E0D74">
      <w:pPr>
        <w:pStyle w:val="ListParagraph"/>
        <w:numPr>
          <w:ilvl w:val="0"/>
          <w:numId w:val="11"/>
        </w:numPr>
        <w:spacing w:line="360" w:lineRule="auto"/>
        <w:contextualSpacing/>
        <w:rPr>
          <w:rFonts w:asciiTheme="minorHAnsi" w:hAnsiTheme="minorHAnsi" w:cstheme="minorHAnsi"/>
        </w:rPr>
      </w:pPr>
      <w:r w:rsidRPr="009C5F25">
        <w:rPr>
          <w:rFonts w:asciiTheme="minorHAnsi" w:hAnsiTheme="minorHAnsi" w:cstheme="minorHAnsi"/>
        </w:rPr>
        <w:t>all low-income households will be eligible for assistance that at least offsets their expected average price impact from the carbon price</w:t>
      </w:r>
      <w:r w:rsidR="0086452A">
        <w:rPr>
          <w:rFonts w:asciiTheme="minorHAnsi" w:hAnsiTheme="minorHAnsi" w:cstheme="minorHAnsi"/>
        </w:rPr>
        <w:t>; and</w:t>
      </w:r>
    </w:p>
    <w:p w:rsidR="00E0238D" w:rsidRPr="001A61E0" w:rsidRDefault="009C5F25" w:rsidP="00A0309C">
      <w:pPr>
        <w:pStyle w:val="ListParagraph"/>
        <w:numPr>
          <w:ilvl w:val="0"/>
          <w:numId w:val="11"/>
        </w:numPr>
        <w:spacing w:line="360" w:lineRule="auto"/>
        <w:contextualSpacing/>
        <w:rPr>
          <w:rFonts w:cstheme="minorHAnsi"/>
        </w:rPr>
      </w:pPr>
      <w:proofErr w:type="gramStart"/>
      <w:r w:rsidRPr="009C5F25">
        <w:rPr>
          <w:rFonts w:asciiTheme="minorHAnsi" w:hAnsiTheme="minorHAnsi" w:cstheme="minorHAnsi"/>
        </w:rPr>
        <w:t>middle-income</w:t>
      </w:r>
      <w:proofErr w:type="gramEnd"/>
      <w:r w:rsidRPr="009C5F25">
        <w:rPr>
          <w:rFonts w:asciiTheme="minorHAnsi" w:hAnsiTheme="minorHAnsi" w:cstheme="minorHAnsi"/>
        </w:rPr>
        <w:t xml:space="preserve"> households will be eligible for assistance that helps them meet their expected average price impact</w:t>
      </w:r>
      <w:r w:rsidR="0086452A">
        <w:rPr>
          <w:rFonts w:asciiTheme="minorHAnsi" w:hAnsiTheme="minorHAnsi" w:cstheme="minorHAnsi"/>
        </w:rPr>
        <w:t>.</w:t>
      </w:r>
    </w:p>
    <w:p w:rsidR="00E0238D" w:rsidRDefault="00E0238D" w:rsidP="00A0309C">
      <w:pPr>
        <w:spacing w:before="120" w:after="0" w:line="360" w:lineRule="auto"/>
        <w:rPr>
          <w:rFonts w:cstheme="minorHAnsi"/>
          <w:sz w:val="24"/>
        </w:rPr>
      </w:pPr>
      <w:r>
        <w:rPr>
          <w:rFonts w:cstheme="minorHAnsi"/>
          <w:sz w:val="24"/>
        </w:rPr>
        <w:t>The estimated price impacts</w:t>
      </w:r>
      <w:r w:rsidRPr="00E0238D">
        <w:rPr>
          <w:rFonts w:cstheme="minorHAnsi"/>
          <w:sz w:val="24"/>
        </w:rPr>
        <w:t xml:space="preserve"> were then used to determine the necessary increase in payments and necessary tax changes to make sure that all low income and pensioner households are fully assisted given the e</w:t>
      </w:r>
      <w:r w:rsidR="00F94D56">
        <w:rPr>
          <w:rFonts w:cstheme="minorHAnsi"/>
          <w:sz w:val="24"/>
        </w:rPr>
        <w:t xml:space="preserve">stimated average price impact. </w:t>
      </w:r>
      <w:r w:rsidR="00246AF1">
        <w:rPr>
          <w:rFonts w:cstheme="minorHAnsi"/>
          <w:sz w:val="24"/>
        </w:rPr>
        <w:t xml:space="preserve"> </w:t>
      </w:r>
      <w:r w:rsidRPr="00E0238D">
        <w:rPr>
          <w:rFonts w:cstheme="minorHAnsi"/>
          <w:sz w:val="24"/>
        </w:rPr>
        <w:t>While the policy</w:t>
      </w:r>
      <w:r>
        <w:rPr>
          <w:rFonts w:cstheme="minorHAnsi"/>
          <w:sz w:val="24"/>
        </w:rPr>
        <w:t xml:space="preserve"> is expected</w:t>
      </w:r>
      <w:r w:rsidRPr="00E0238D">
        <w:rPr>
          <w:rFonts w:cstheme="minorHAnsi"/>
          <w:sz w:val="24"/>
        </w:rPr>
        <w:t xml:space="preserve"> to induce behaviour change in the longer term, some households will not be able to respond immediately</w:t>
      </w:r>
      <w:r w:rsidR="00246AF1">
        <w:rPr>
          <w:rFonts w:cstheme="minorHAnsi"/>
          <w:sz w:val="24"/>
        </w:rPr>
        <w:t xml:space="preserve"> to higher electricity prices.  </w:t>
      </w:r>
      <w:r w:rsidRPr="00E0238D">
        <w:rPr>
          <w:rFonts w:cstheme="minorHAnsi"/>
          <w:sz w:val="24"/>
        </w:rPr>
        <w:t xml:space="preserve">For example, lower income households may not have the financial means to make energy efficient </w:t>
      </w:r>
      <w:r>
        <w:rPr>
          <w:rFonts w:cstheme="minorHAnsi"/>
          <w:sz w:val="24"/>
        </w:rPr>
        <w:t>improvements around the house. The</w:t>
      </w:r>
      <w:r w:rsidRPr="00E0238D">
        <w:rPr>
          <w:rFonts w:cstheme="minorHAnsi"/>
          <w:sz w:val="24"/>
        </w:rPr>
        <w:t xml:space="preserve"> modelling presents a more conservative assumption to ensure that the assistance is sufficient to fully assist the most vulnerable households.</w:t>
      </w:r>
    </w:p>
    <w:p w:rsidR="00E0238D" w:rsidRDefault="00E0238D" w:rsidP="001745F7">
      <w:pPr>
        <w:spacing w:after="0" w:line="360" w:lineRule="auto"/>
        <w:rPr>
          <w:rFonts w:cstheme="minorHAnsi"/>
          <w:sz w:val="24"/>
        </w:rPr>
      </w:pPr>
    </w:p>
    <w:p w:rsidR="002A6A72" w:rsidRDefault="00E0238D" w:rsidP="008F7736">
      <w:pPr>
        <w:spacing w:after="0" w:line="360" w:lineRule="auto"/>
        <w:rPr>
          <w:rFonts w:asciiTheme="majorHAnsi" w:eastAsiaTheme="majorEastAsia" w:hAnsiTheme="majorHAnsi" w:cstheme="majorBidi"/>
          <w:b/>
          <w:bCs/>
          <w:color w:val="365F91" w:themeColor="accent1" w:themeShade="BF"/>
          <w:sz w:val="28"/>
          <w:szCs w:val="28"/>
        </w:rPr>
      </w:pPr>
      <w:r w:rsidRPr="00E0238D">
        <w:rPr>
          <w:rFonts w:cstheme="minorHAnsi"/>
          <w:sz w:val="24"/>
        </w:rPr>
        <w:t>STINMOD, a static micro</w:t>
      </w:r>
      <w:r w:rsidR="007B519F">
        <w:rPr>
          <w:rFonts w:cstheme="minorHAnsi"/>
          <w:sz w:val="24"/>
        </w:rPr>
        <w:t xml:space="preserve"> </w:t>
      </w:r>
      <w:r w:rsidRPr="00E0238D">
        <w:rPr>
          <w:rFonts w:cstheme="minorHAnsi"/>
          <w:sz w:val="24"/>
        </w:rPr>
        <w:t>simulation model of the Australian tax and transfer system, was used to model the Government’s Household Assistance Package.   The price impacts from PRISMOD.DIST were combined with the assistance estimated from S</w:t>
      </w:r>
      <w:r w:rsidR="00FB6A46">
        <w:rPr>
          <w:rFonts w:cstheme="minorHAnsi"/>
          <w:sz w:val="24"/>
        </w:rPr>
        <w:t>TIN</w:t>
      </w:r>
      <w:r w:rsidRPr="00E0238D">
        <w:rPr>
          <w:rFonts w:cstheme="minorHAnsi"/>
          <w:sz w:val="24"/>
        </w:rPr>
        <w:t>MOD and used to generate overall estimates of the level of assistance received by households at various income levels.</w:t>
      </w:r>
      <w:r>
        <w:rPr>
          <w:rFonts w:cstheme="minorHAnsi"/>
          <w:sz w:val="24"/>
        </w:rPr>
        <w:t xml:space="preserve"> </w:t>
      </w:r>
      <w:r w:rsidR="00D26A19">
        <w:rPr>
          <w:rFonts w:cstheme="minorHAnsi"/>
          <w:sz w:val="24"/>
        </w:rPr>
        <w:t>To ensure that these commitments will be achieved, t</w:t>
      </w:r>
      <w:r w:rsidR="00D26A19" w:rsidRPr="009C5F25">
        <w:rPr>
          <w:rFonts w:cstheme="minorHAnsi"/>
          <w:sz w:val="24"/>
        </w:rPr>
        <w:t xml:space="preserve">he </w:t>
      </w:r>
      <w:r w:rsidR="00D26A19">
        <w:rPr>
          <w:rFonts w:cstheme="minorHAnsi"/>
          <w:sz w:val="24"/>
        </w:rPr>
        <w:t xml:space="preserve">design of the </w:t>
      </w:r>
      <w:r w:rsidR="00D26A19" w:rsidRPr="009C5F25">
        <w:rPr>
          <w:rFonts w:cstheme="minorHAnsi"/>
          <w:sz w:val="24"/>
        </w:rPr>
        <w:t>Government</w:t>
      </w:r>
      <w:r w:rsidR="00D26A19">
        <w:rPr>
          <w:rFonts w:cstheme="minorHAnsi"/>
          <w:sz w:val="24"/>
        </w:rPr>
        <w:t xml:space="preserve"> assistance package was informed by the analysis using I-O tables.</w:t>
      </w:r>
      <w:r w:rsidR="00246AF1">
        <w:rPr>
          <w:rFonts w:cstheme="minorHAnsi"/>
          <w:sz w:val="24"/>
        </w:rPr>
        <w:t xml:space="preserve"> </w:t>
      </w:r>
      <w:r w:rsidR="001745F7" w:rsidRPr="001745F7">
        <w:rPr>
          <w:sz w:val="24"/>
          <w:szCs w:val="24"/>
        </w:rPr>
        <w:t xml:space="preserve"> </w:t>
      </w:r>
      <w:r w:rsidR="001745F7" w:rsidRPr="00827471">
        <w:rPr>
          <w:sz w:val="24"/>
          <w:szCs w:val="24"/>
        </w:rPr>
        <w:t xml:space="preserve">On average, households will see cost increases of $9.90 a </w:t>
      </w:r>
      <w:proofErr w:type="gramStart"/>
      <w:r w:rsidR="001745F7" w:rsidRPr="00827471">
        <w:rPr>
          <w:sz w:val="24"/>
          <w:szCs w:val="24"/>
        </w:rPr>
        <w:t>week,</w:t>
      </w:r>
      <w:proofErr w:type="gramEnd"/>
      <w:r w:rsidR="001745F7" w:rsidRPr="00827471">
        <w:rPr>
          <w:sz w:val="24"/>
          <w:szCs w:val="24"/>
        </w:rPr>
        <w:t xml:space="preserve"> while the average assistance </w:t>
      </w:r>
      <w:r w:rsidR="001745F7">
        <w:rPr>
          <w:sz w:val="24"/>
          <w:szCs w:val="24"/>
        </w:rPr>
        <w:t xml:space="preserve">provided </w:t>
      </w:r>
      <w:r w:rsidR="001745F7" w:rsidRPr="00827471">
        <w:rPr>
          <w:sz w:val="24"/>
          <w:szCs w:val="24"/>
        </w:rPr>
        <w:t xml:space="preserve">will be $10.10 a week (see Australian Government, 2011b and </w:t>
      </w:r>
      <w:r w:rsidR="001745F7" w:rsidRPr="00827471">
        <w:t>2011c).</w:t>
      </w:r>
      <w:r w:rsidR="001745F7" w:rsidRPr="00482F01">
        <w:rPr>
          <w:rFonts w:ascii="Calibri" w:hAnsi="Calibri" w:cs="Calibri"/>
          <w:color w:val="333333"/>
          <w:lang w:val="en"/>
        </w:rPr>
        <w:t xml:space="preserve"> </w:t>
      </w:r>
      <w:r w:rsidR="002A6A72">
        <w:br w:type="page"/>
      </w:r>
    </w:p>
    <w:p w:rsidR="007F48E3" w:rsidRDefault="00530906" w:rsidP="008F7736">
      <w:pPr>
        <w:pStyle w:val="Heading1"/>
      </w:pPr>
      <w:r>
        <w:lastRenderedPageBreak/>
        <w:t xml:space="preserve">Recent </w:t>
      </w:r>
      <w:r w:rsidR="00115A00">
        <w:t>d</w:t>
      </w:r>
      <w:r>
        <w:t>evelopment of the ABS Energy Hybrid Account</w:t>
      </w:r>
    </w:p>
    <w:p w:rsidR="002948B8" w:rsidRDefault="00D26A19" w:rsidP="008F7736">
      <w:pPr>
        <w:spacing w:before="120" w:after="0" w:line="360" w:lineRule="auto"/>
        <w:rPr>
          <w:rFonts w:cstheme="minorHAnsi"/>
          <w:sz w:val="24"/>
          <w:szCs w:val="24"/>
        </w:rPr>
      </w:pPr>
      <w:r>
        <w:rPr>
          <w:rFonts w:cstheme="minorHAnsi"/>
          <w:sz w:val="24"/>
          <w:szCs w:val="24"/>
        </w:rPr>
        <w:t>The</w:t>
      </w:r>
      <w:r w:rsidR="003D783A" w:rsidRPr="006005E8">
        <w:rPr>
          <w:rFonts w:cstheme="minorHAnsi"/>
          <w:sz w:val="24"/>
          <w:szCs w:val="24"/>
        </w:rPr>
        <w:t xml:space="preserve"> ABS a</w:t>
      </w:r>
      <w:r w:rsidR="00034BAF">
        <w:rPr>
          <w:rFonts w:cstheme="minorHAnsi"/>
          <w:sz w:val="24"/>
          <w:szCs w:val="24"/>
        </w:rPr>
        <w:t xml:space="preserve">nd DCCEE will </w:t>
      </w:r>
      <w:r>
        <w:rPr>
          <w:rFonts w:cstheme="minorHAnsi"/>
          <w:sz w:val="24"/>
          <w:szCs w:val="24"/>
        </w:rPr>
        <w:t>continue to develop data on</w:t>
      </w:r>
      <w:r w:rsidR="003D783A" w:rsidRPr="006005E8">
        <w:rPr>
          <w:rFonts w:cstheme="minorHAnsi"/>
          <w:sz w:val="24"/>
          <w:szCs w:val="24"/>
        </w:rPr>
        <w:t xml:space="preserve"> emissions and energy usage. </w:t>
      </w:r>
      <w:r w:rsidR="003D783A">
        <w:rPr>
          <w:rFonts w:cstheme="minorHAnsi"/>
          <w:sz w:val="24"/>
          <w:szCs w:val="24"/>
        </w:rPr>
        <w:t>One initiative includes</w:t>
      </w:r>
      <w:r w:rsidR="003D783A" w:rsidRPr="006005E8">
        <w:rPr>
          <w:rFonts w:cstheme="minorHAnsi"/>
          <w:sz w:val="24"/>
          <w:szCs w:val="24"/>
        </w:rPr>
        <w:t xml:space="preserve"> </w:t>
      </w:r>
      <w:r w:rsidR="004A21F9">
        <w:rPr>
          <w:rFonts w:cstheme="minorHAnsi"/>
          <w:sz w:val="24"/>
          <w:szCs w:val="24"/>
        </w:rPr>
        <w:t xml:space="preserve">the </w:t>
      </w:r>
      <w:r w:rsidR="003D783A" w:rsidRPr="006005E8">
        <w:rPr>
          <w:rFonts w:cstheme="minorHAnsi"/>
          <w:sz w:val="24"/>
          <w:szCs w:val="24"/>
        </w:rPr>
        <w:t>recent development of the ABS Energy Hybrid</w:t>
      </w:r>
      <w:r w:rsidR="003D783A">
        <w:rPr>
          <w:rFonts w:cstheme="minorHAnsi"/>
          <w:sz w:val="24"/>
          <w:szCs w:val="24"/>
        </w:rPr>
        <w:t xml:space="preserve"> Account</w:t>
      </w:r>
      <w:r w:rsidR="000B0D61">
        <w:rPr>
          <w:rFonts w:cstheme="minorHAnsi"/>
          <w:sz w:val="24"/>
          <w:szCs w:val="24"/>
        </w:rPr>
        <w:t xml:space="preserve"> which is useful for monitoring the evolution of </w:t>
      </w:r>
      <w:r w:rsidR="00170044">
        <w:rPr>
          <w:rFonts w:cstheme="minorHAnsi"/>
          <w:sz w:val="24"/>
          <w:szCs w:val="24"/>
        </w:rPr>
        <w:t xml:space="preserve">the </w:t>
      </w:r>
      <w:r w:rsidR="000B0D61">
        <w:rPr>
          <w:rFonts w:cstheme="minorHAnsi"/>
          <w:sz w:val="24"/>
          <w:szCs w:val="24"/>
        </w:rPr>
        <w:t>Australian economy under carbon pricing.</w:t>
      </w:r>
    </w:p>
    <w:p w:rsidR="003D783A" w:rsidRPr="003D783A" w:rsidRDefault="003D783A" w:rsidP="008C41FA">
      <w:pPr>
        <w:spacing w:after="0" w:line="240" w:lineRule="auto"/>
        <w:rPr>
          <w:rFonts w:cstheme="minorHAnsi"/>
          <w:sz w:val="24"/>
          <w:szCs w:val="24"/>
        </w:rPr>
      </w:pPr>
    </w:p>
    <w:p w:rsidR="003D783A" w:rsidRPr="006E7A78" w:rsidRDefault="003D783A" w:rsidP="003D783A">
      <w:pPr>
        <w:spacing w:after="0" w:line="360" w:lineRule="auto"/>
        <w:rPr>
          <w:rFonts w:cstheme="minorHAnsi"/>
          <w:sz w:val="24"/>
          <w:szCs w:val="24"/>
        </w:rPr>
      </w:pPr>
      <w:r w:rsidRPr="006E7A78">
        <w:rPr>
          <w:rFonts w:cstheme="minorHAnsi"/>
          <w:sz w:val="24"/>
          <w:szCs w:val="24"/>
        </w:rPr>
        <w:t>The Energy Accounts are produced using the System of Environmental-Economic Accounts (SEEA) developed by the United Nations Statistical Commission, a satellite system to the System of National Accounts 2008 (SNA08). They encompass a set of supply and use tables showing how energy products are used and transacted between various industries and sectors of the economy. These energy data are presented in physical volume terms (Energy Account) and corresponding expenditure terms (Energy Hybrid Account).</w:t>
      </w:r>
    </w:p>
    <w:p w:rsidR="003D783A" w:rsidRPr="006E7A78" w:rsidRDefault="003D783A" w:rsidP="008C41FA">
      <w:pPr>
        <w:spacing w:after="0" w:line="240" w:lineRule="auto"/>
        <w:rPr>
          <w:rFonts w:cstheme="minorHAnsi"/>
          <w:sz w:val="24"/>
          <w:szCs w:val="24"/>
        </w:rPr>
      </w:pPr>
    </w:p>
    <w:p w:rsidR="003D783A" w:rsidRPr="006E7A78" w:rsidRDefault="003D783A" w:rsidP="003D783A">
      <w:pPr>
        <w:spacing w:after="0" w:line="360" w:lineRule="auto"/>
        <w:rPr>
          <w:rFonts w:cstheme="minorHAnsi"/>
          <w:sz w:val="24"/>
          <w:szCs w:val="24"/>
        </w:rPr>
      </w:pPr>
      <w:r w:rsidRPr="006E7A78">
        <w:rPr>
          <w:rFonts w:cstheme="minorHAnsi"/>
          <w:sz w:val="24"/>
          <w:szCs w:val="24"/>
        </w:rPr>
        <w:t xml:space="preserve">The SEEA framework enables linkages to be made between physical information and economic data as presented in the Australian System of National </w:t>
      </w:r>
      <w:r w:rsidR="00907EE4">
        <w:rPr>
          <w:rFonts w:cstheme="minorHAnsi"/>
          <w:sz w:val="24"/>
          <w:szCs w:val="24"/>
        </w:rPr>
        <w:t xml:space="preserve">Accounts (ABS cat. no. 5204.0).  </w:t>
      </w:r>
      <w:r w:rsidRPr="006E7A78">
        <w:rPr>
          <w:rFonts w:cstheme="minorHAnsi"/>
          <w:sz w:val="24"/>
          <w:szCs w:val="24"/>
        </w:rPr>
        <w:t xml:space="preserve">Although the Energy Hybrid Account and the I-O tables are compiled from different data sources, they are conceptually aligned via the SNA framework. There are likely to be some minor differences in estimates between the two accounts, due to differences in compilation timing, energy product classifications and conceptual frameworks. However, overall, data integration across different accounts improves the quality of the statistics by utilising additional </w:t>
      </w:r>
      <w:r w:rsidR="00034BAF">
        <w:rPr>
          <w:rFonts w:cstheme="minorHAnsi"/>
          <w:sz w:val="24"/>
          <w:szCs w:val="24"/>
        </w:rPr>
        <w:t xml:space="preserve">data </w:t>
      </w:r>
      <w:r w:rsidRPr="006E7A78">
        <w:rPr>
          <w:rFonts w:cstheme="minorHAnsi"/>
          <w:sz w:val="24"/>
          <w:szCs w:val="24"/>
        </w:rPr>
        <w:t>sources while applying a common conceptual framework.</w:t>
      </w:r>
    </w:p>
    <w:p w:rsidR="003D783A" w:rsidRPr="006E7A78" w:rsidRDefault="00115A00" w:rsidP="008F7736">
      <w:pPr>
        <w:rPr>
          <w:rFonts w:cstheme="minorHAnsi"/>
          <w:sz w:val="24"/>
          <w:szCs w:val="24"/>
        </w:rPr>
      </w:pPr>
      <w:r>
        <w:rPr>
          <w:rFonts w:cstheme="minorHAnsi"/>
          <w:sz w:val="24"/>
          <w:szCs w:val="24"/>
        </w:rPr>
        <w:br w:type="page"/>
      </w:r>
    </w:p>
    <w:tbl>
      <w:tblPr>
        <w:tblStyle w:val="TableGrid"/>
        <w:tblW w:w="0" w:type="auto"/>
        <w:tblLook w:val="04A0" w:firstRow="1" w:lastRow="0" w:firstColumn="1" w:lastColumn="0" w:noHBand="0" w:noVBand="1"/>
      </w:tblPr>
      <w:tblGrid>
        <w:gridCol w:w="9242"/>
      </w:tblGrid>
      <w:tr w:rsidR="003D783A" w:rsidRPr="00DB2388" w:rsidTr="003D783A">
        <w:tc>
          <w:tcPr>
            <w:tcW w:w="9242" w:type="dxa"/>
          </w:tcPr>
          <w:p w:rsidR="003D783A" w:rsidRPr="008C41FA" w:rsidRDefault="003D783A" w:rsidP="008C41FA">
            <w:pPr>
              <w:spacing w:line="360" w:lineRule="auto"/>
              <w:rPr>
                <w:rFonts w:cstheme="minorHAnsi"/>
                <w:b/>
              </w:rPr>
            </w:pPr>
            <w:r w:rsidRPr="008C41FA">
              <w:rPr>
                <w:rFonts w:cstheme="minorHAnsi"/>
                <w:b/>
              </w:rPr>
              <w:lastRenderedPageBreak/>
              <w:t>Box 3: Examples of data integration challenges</w:t>
            </w:r>
          </w:p>
          <w:p w:rsidR="007B519F" w:rsidRDefault="00734468" w:rsidP="008C41FA">
            <w:pPr>
              <w:spacing w:line="360" w:lineRule="auto"/>
              <w:rPr>
                <w:rFonts w:cstheme="minorHAnsi"/>
              </w:rPr>
            </w:pPr>
            <w:r w:rsidRPr="008C41FA">
              <w:rPr>
                <w:rFonts w:cstheme="minorHAnsi"/>
              </w:rPr>
              <w:t>Monetary estimates in the Energy Hybrid Accounts are compiled using estimates of physical energy supply and consumption data</w:t>
            </w:r>
            <w:r w:rsidRPr="008C41FA">
              <w:rPr>
                <w:rStyle w:val="FootnoteReference"/>
                <w:rFonts w:cstheme="minorHAnsi"/>
              </w:rPr>
              <w:footnoteReference w:id="13"/>
            </w:r>
            <w:r w:rsidRPr="008C41FA">
              <w:rPr>
                <w:rFonts w:cstheme="minorHAnsi"/>
              </w:rPr>
              <w:t xml:space="preserve"> that are used </w:t>
            </w:r>
            <w:r w:rsidR="006C5422" w:rsidRPr="008C41FA">
              <w:rPr>
                <w:rFonts w:cstheme="minorHAnsi"/>
              </w:rPr>
              <w:t xml:space="preserve">primarily </w:t>
            </w:r>
            <w:r w:rsidRPr="008C41FA">
              <w:rPr>
                <w:rFonts w:cstheme="minorHAnsi"/>
              </w:rPr>
              <w:t>for Australia’s official energy reporting obligations to the International Energy Agency.  These estimates are not fully compliant with the SNA and have to be adjusted accordingly.  Physical energy consumption and corresponding expenditures are collected separately from businesses in the economy</w:t>
            </w:r>
            <w:r w:rsidRPr="008C41FA">
              <w:rPr>
                <w:rStyle w:val="FootnoteReference"/>
                <w:rFonts w:cstheme="minorHAnsi"/>
              </w:rPr>
              <w:footnoteReference w:id="14"/>
            </w:r>
            <w:r w:rsidRPr="008C41FA">
              <w:rPr>
                <w:rFonts w:cstheme="minorHAnsi"/>
              </w:rPr>
              <w:t xml:space="preserve"> allowing the inclusion of non-market transactions.</w:t>
            </w:r>
          </w:p>
          <w:p w:rsidR="00734468" w:rsidRPr="008C41FA" w:rsidRDefault="00734468" w:rsidP="008C41FA">
            <w:pPr>
              <w:spacing w:line="360" w:lineRule="auto"/>
              <w:rPr>
                <w:rFonts w:cstheme="minorHAnsi"/>
              </w:rPr>
            </w:pPr>
            <w:r w:rsidRPr="008C41FA">
              <w:rPr>
                <w:rFonts w:cstheme="minorHAnsi"/>
              </w:rPr>
              <w:t xml:space="preserve"> </w:t>
            </w:r>
          </w:p>
          <w:p w:rsidR="003D783A" w:rsidRPr="008C41FA" w:rsidRDefault="003D783A" w:rsidP="008C41FA">
            <w:pPr>
              <w:autoSpaceDE w:val="0"/>
              <w:autoSpaceDN w:val="0"/>
              <w:adjustRightInd w:val="0"/>
              <w:spacing w:line="360" w:lineRule="auto"/>
              <w:rPr>
                <w:rFonts w:cstheme="minorHAnsi"/>
              </w:rPr>
            </w:pPr>
            <w:r w:rsidRPr="008C41FA">
              <w:rPr>
                <w:rFonts w:cstheme="minorHAnsi"/>
              </w:rPr>
              <w:t xml:space="preserve">In the compilation of the I-O tables, supply and use of energy products is a subset of a broader model in which various components of the tables are </w:t>
            </w:r>
            <w:r w:rsidR="004829E8">
              <w:rPr>
                <w:rFonts w:cstheme="minorHAnsi"/>
              </w:rPr>
              <w:t>reconciled with</w:t>
            </w:r>
            <w:r w:rsidRPr="008C41FA">
              <w:rPr>
                <w:rFonts w:cstheme="minorHAnsi"/>
              </w:rPr>
              <w:t xml:space="preserve"> the National Accounts framework. </w:t>
            </w:r>
            <w:proofErr w:type="gramStart"/>
            <w:r w:rsidRPr="008C41FA">
              <w:rPr>
                <w:rFonts w:cstheme="minorHAnsi"/>
              </w:rPr>
              <w:t>The I</w:t>
            </w:r>
            <w:proofErr w:type="gramEnd"/>
            <w:r w:rsidRPr="008C41FA">
              <w:rPr>
                <w:rFonts w:cstheme="minorHAnsi"/>
              </w:rPr>
              <w:t>-O tables are compiled from a broad range of sources, the primary source being current values as reported by business.</w:t>
            </w:r>
            <w:r w:rsidR="00055227">
              <w:rPr>
                <w:rStyle w:val="FootnoteReference"/>
                <w:rFonts w:cstheme="minorHAnsi"/>
              </w:rPr>
              <w:footnoteReference w:id="15"/>
            </w:r>
            <w:r w:rsidR="00055227">
              <w:rPr>
                <w:rFonts w:cstheme="minorHAnsi"/>
                <w:vertAlign w:val="superscript"/>
              </w:rPr>
              <w:t xml:space="preserve">  </w:t>
            </w:r>
            <w:r w:rsidRPr="008C41FA">
              <w:rPr>
                <w:rFonts w:cstheme="minorHAnsi"/>
              </w:rPr>
              <w:t xml:space="preserve">Whilst utilising such a broad range of sources, compilers need to ensure standards of data reliability and consistency with National Accounts are met at aggregate levels. </w:t>
            </w:r>
          </w:p>
          <w:p w:rsidR="003D783A" w:rsidRPr="008C41FA" w:rsidRDefault="003D783A" w:rsidP="008C41FA">
            <w:pPr>
              <w:autoSpaceDE w:val="0"/>
              <w:autoSpaceDN w:val="0"/>
              <w:adjustRightInd w:val="0"/>
              <w:spacing w:line="360" w:lineRule="auto"/>
              <w:rPr>
                <w:rFonts w:cstheme="minorHAnsi"/>
                <w:u w:val="single"/>
              </w:rPr>
            </w:pPr>
          </w:p>
          <w:p w:rsidR="003D783A" w:rsidRDefault="003D783A" w:rsidP="008C41FA">
            <w:pPr>
              <w:autoSpaceDE w:val="0"/>
              <w:autoSpaceDN w:val="0"/>
              <w:adjustRightInd w:val="0"/>
              <w:spacing w:line="360" w:lineRule="auto"/>
              <w:rPr>
                <w:rFonts w:cstheme="minorHAnsi"/>
              </w:rPr>
            </w:pPr>
            <w:r w:rsidRPr="008C41FA">
              <w:rPr>
                <w:rFonts w:cstheme="minorHAnsi"/>
              </w:rPr>
              <w:t>The Energy Hybrid Account and the I-O tables both adopt the principals of Australian and New Zealand Standard Industrial Classification (ANZSIC06). The Hybrid Account bases its classification on the Standard International Energy Product C</w:t>
            </w:r>
            <w:r w:rsidR="00034BAF" w:rsidRPr="008C41FA">
              <w:rPr>
                <w:rFonts w:cstheme="minorHAnsi"/>
              </w:rPr>
              <w:t>lassification (SIEC) while I-O tables are based on the I-O</w:t>
            </w:r>
            <w:r w:rsidRPr="008C41FA">
              <w:rPr>
                <w:rFonts w:cstheme="minorHAnsi"/>
              </w:rPr>
              <w:t xml:space="preserve"> Product Classification (IOPC09), which generally concords directly to the SIEC. However, there are some minor exceptions where the IOPC includes some aspects of service income not directly attributable to the production or consumption of specific energy products.  This may result in small differences between the Energy Hybrid Account and the I-O tables. A specific example relates to the definition of liquefied natural gas (LNG). It is not differentiated from natural gas in the SIEC, whereas in the I-O product classifications natural gas and LNG are treated as two separate products.</w:t>
            </w:r>
            <w:r w:rsidRPr="008C41FA" w:rsidDel="007E39E7">
              <w:rPr>
                <w:rFonts w:cstheme="minorHAnsi"/>
              </w:rPr>
              <w:t xml:space="preserve"> </w:t>
            </w:r>
          </w:p>
          <w:p w:rsidR="008C41FA" w:rsidRPr="008C41FA" w:rsidRDefault="008C41FA" w:rsidP="008C41FA">
            <w:pPr>
              <w:autoSpaceDE w:val="0"/>
              <w:autoSpaceDN w:val="0"/>
              <w:adjustRightInd w:val="0"/>
              <w:spacing w:line="360" w:lineRule="auto"/>
              <w:rPr>
                <w:rFonts w:cstheme="minorHAnsi"/>
                <w:u w:val="single"/>
              </w:rPr>
            </w:pPr>
          </w:p>
          <w:p w:rsidR="003D783A" w:rsidRPr="006E7A78" w:rsidRDefault="003D783A" w:rsidP="008C41FA">
            <w:pPr>
              <w:autoSpaceDE w:val="0"/>
              <w:autoSpaceDN w:val="0"/>
              <w:adjustRightInd w:val="0"/>
              <w:spacing w:line="360" w:lineRule="auto"/>
              <w:rPr>
                <w:rFonts w:cstheme="minorHAnsi"/>
                <w:sz w:val="24"/>
                <w:szCs w:val="24"/>
              </w:rPr>
            </w:pPr>
            <w:r w:rsidRPr="008C41FA">
              <w:rPr>
                <w:rFonts w:cstheme="minorHAnsi"/>
              </w:rPr>
              <w:t>Lastly, estimates of physical energy supply and consumption data are collected on an activity basis and compiled on a ‘partial activity basis’ which is not fully consistent with the SNA. As a result, the compilation of the Hybrid Account requires reallocation of physical use data from an activity basis to an industry basis. Where possible, the energy use within vertically integrated businesses is imputed to the supply and use data by using modelling techniques to overcome the lack of reported financial transactions.</w:t>
            </w:r>
            <w:r w:rsidRPr="006E7A78">
              <w:rPr>
                <w:rFonts w:cstheme="minorHAnsi"/>
                <w:sz w:val="24"/>
                <w:szCs w:val="24"/>
              </w:rPr>
              <w:t xml:space="preserve"> </w:t>
            </w:r>
          </w:p>
        </w:tc>
      </w:tr>
    </w:tbl>
    <w:p w:rsidR="000E11C0" w:rsidRDefault="000E11C0" w:rsidP="000E11C0">
      <w:pPr>
        <w:rPr>
          <w:rFonts w:ascii="Arial" w:hAnsi="Arial" w:cs="Arial"/>
        </w:rPr>
      </w:pPr>
    </w:p>
    <w:p w:rsidR="00CD63DA" w:rsidRPr="000E11C0" w:rsidRDefault="00CD63DA" w:rsidP="00A0309C">
      <w:pPr>
        <w:pStyle w:val="Heading1"/>
        <w:spacing w:after="120"/>
        <w:rPr>
          <w:rFonts w:ascii="Arial" w:hAnsi="Arial" w:cs="Arial"/>
        </w:rPr>
      </w:pPr>
      <w:r w:rsidRPr="00C2480A">
        <w:lastRenderedPageBreak/>
        <w:t>Conclusion</w:t>
      </w:r>
    </w:p>
    <w:p w:rsidR="00C56A19" w:rsidRDefault="008B1F8C" w:rsidP="00A456AE">
      <w:pPr>
        <w:spacing w:after="0" w:line="360" w:lineRule="auto"/>
        <w:rPr>
          <w:sz w:val="24"/>
          <w:szCs w:val="24"/>
        </w:rPr>
      </w:pPr>
      <w:r>
        <w:rPr>
          <w:sz w:val="24"/>
          <w:szCs w:val="24"/>
        </w:rPr>
        <w:t xml:space="preserve">The ABS and Australian Treasury have worked to ensure high quality I-O data is used to produce well-informed analysis of policy issues.  This is illustrated by the </w:t>
      </w:r>
      <w:r w:rsidR="00C56A19" w:rsidRPr="00C010B3">
        <w:rPr>
          <w:sz w:val="24"/>
          <w:szCs w:val="24"/>
        </w:rPr>
        <w:t>PRISMOD modelling</w:t>
      </w:r>
      <w:r w:rsidR="0013677B">
        <w:rPr>
          <w:sz w:val="24"/>
          <w:szCs w:val="24"/>
        </w:rPr>
        <w:t>.</w:t>
      </w:r>
      <w:r w:rsidR="00246AF1">
        <w:rPr>
          <w:sz w:val="24"/>
          <w:szCs w:val="24"/>
        </w:rPr>
        <w:t xml:space="preserve">  </w:t>
      </w:r>
      <w:r w:rsidR="0013677B">
        <w:rPr>
          <w:sz w:val="24"/>
          <w:szCs w:val="24"/>
        </w:rPr>
        <w:t>It</w:t>
      </w:r>
      <w:r>
        <w:rPr>
          <w:sz w:val="24"/>
          <w:szCs w:val="24"/>
        </w:rPr>
        <w:t xml:space="preserve"> </w:t>
      </w:r>
      <w:r w:rsidR="00C56A19" w:rsidRPr="00C010B3">
        <w:rPr>
          <w:sz w:val="24"/>
          <w:szCs w:val="24"/>
        </w:rPr>
        <w:t xml:space="preserve">combines information about the Australian Government’s </w:t>
      </w:r>
      <w:r w:rsidR="00825A68">
        <w:rPr>
          <w:sz w:val="24"/>
          <w:szCs w:val="24"/>
        </w:rPr>
        <w:t xml:space="preserve">CEFP </w:t>
      </w:r>
      <w:r w:rsidR="00C56A19" w:rsidRPr="00C010B3">
        <w:rPr>
          <w:sz w:val="24"/>
          <w:szCs w:val="24"/>
        </w:rPr>
        <w:t xml:space="preserve">carbon price policy with ABS </w:t>
      </w:r>
      <w:r w:rsidR="0090426C">
        <w:rPr>
          <w:sz w:val="24"/>
          <w:szCs w:val="24"/>
        </w:rPr>
        <w:t>I-O</w:t>
      </w:r>
      <w:r w:rsidR="00C56A19" w:rsidRPr="00C010B3">
        <w:rPr>
          <w:sz w:val="24"/>
          <w:szCs w:val="24"/>
        </w:rPr>
        <w:t xml:space="preserve"> data on inter</w:t>
      </w:r>
      <w:r w:rsidR="00BB550C">
        <w:rPr>
          <w:sz w:val="24"/>
          <w:szCs w:val="24"/>
        </w:rPr>
        <w:t>-</w:t>
      </w:r>
      <w:r w:rsidR="00C56A19" w:rsidRPr="00C010B3">
        <w:rPr>
          <w:sz w:val="24"/>
          <w:szCs w:val="24"/>
        </w:rPr>
        <w:t>linkages across the economy</w:t>
      </w:r>
      <w:r w:rsidR="004D62CB">
        <w:rPr>
          <w:sz w:val="24"/>
          <w:szCs w:val="24"/>
        </w:rPr>
        <w:t xml:space="preserve"> </w:t>
      </w:r>
      <w:r w:rsidR="00825A68">
        <w:rPr>
          <w:sz w:val="24"/>
          <w:szCs w:val="24"/>
        </w:rPr>
        <w:t>and household data from the HES and CPI</w:t>
      </w:r>
      <w:r w:rsidR="0013677B">
        <w:rPr>
          <w:sz w:val="24"/>
          <w:szCs w:val="24"/>
        </w:rPr>
        <w:t>,</w:t>
      </w:r>
      <w:r w:rsidR="00825A68">
        <w:rPr>
          <w:sz w:val="24"/>
          <w:szCs w:val="24"/>
        </w:rPr>
        <w:t xml:space="preserve"> </w:t>
      </w:r>
      <w:r w:rsidR="00C56A19" w:rsidRPr="00C010B3">
        <w:rPr>
          <w:sz w:val="24"/>
          <w:szCs w:val="24"/>
        </w:rPr>
        <w:t xml:space="preserve">to calculate the effect of carbon pricing on industry and household </w:t>
      </w:r>
      <w:r w:rsidR="00A86F8A">
        <w:rPr>
          <w:sz w:val="24"/>
          <w:szCs w:val="24"/>
        </w:rPr>
        <w:t>prices</w:t>
      </w:r>
      <w:r w:rsidR="00825A68">
        <w:rPr>
          <w:sz w:val="24"/>
          <w:szCs w:val="24"/>
        </w:rPr>
        <w:t xml:space="preserve"> </w:t>
      </w:r>
      <w:r w:rsidR="00C56A19" w:rsidRPr="00C010B3">
        <w:rPr>
          <w:sz w:val="24"/>
          <w:szCs w:val="24"/>
        </w:rPr>
        <w:t>throughout the economy</w:t>
      </w:r>
      <w:r w:rsidR="00C47B6C">
        <w:rPr>
          <w:sz w:val="24"/>
          <w:szCs w:val="24"/>
        </w:rPr>
        <w:t>.</w:t>
      </w:r>
      <w:r w:rsidR="000E1369">
        <w:rPr>
          <w:sz w:val="24"/>
          <w:szCs w:val="24"/>
        </w:rPr>
        <w:t xml:space="preserve">  </w:t>
      </w:r>
      <w:r w:rsidR="00B079DD">
        <w:rPr>
          <w:sz w:val="24"/>
          <w:szCs w:val="24"/>
        </w:rPr>
        <w:t xml:space="preserve">Quality gates ensure that the I-O tables are of good quality and the ABS continues to innovate to produce </w:t>
      </w:r>
      <w:r w:rsidR="00E850D8">
        <w:rPr>
          <w:sz w:val="24"/>
          <w:szCs w:val="24"/>
        </w:rPr>
        <w:t xml:space="preserve">fit for purpose </w:t>
      </w:r>
      <w:r w:rsidR="00B079DD">
        <w:rPr>
          <w:sz w:val="24"/>
          <w:szCs w:val="24"/>
        </w:rPr>
        <w:t>statistics for users.</w:t>
      </w:r>
      <w:r w:rsidR="003D783A">
        <w:rPr>
          <w:sz w:val="24"/>
          <w:szCs w:val="24"/>
        </w:rPr>
        <w:t xml:space="preserve">   </w:t>
      </w:r>
    </w:p>
    <w:p w:rsidR="00343B7B" w:rsidRPr="00343B7B" w:rsidRDefault="00907EE4" w:rsidP="00A456AE">
      <w:pPr>
        <w:spacing w:after="0" w:line="360" w:lineRule="auto"/>
        <w:rPr>
          <w:sz w:val="24"/>
          <w:szCs w:val="24"/>
        </w:rPr>
      </w:pPr>
      <w:r>
        <w:rPr>
          <w:sz w:val="24"/>
          <w:szCs w:val="24"/>
        </w:rPr>
        <w:t xml:space="preserve"> </w:t>
      </w:r>
    </w:p>
    <w:p w:rsidR="002A6A72" w:rsidRDefault="002A6A72">
      <w:pPr>
        <w:rPr>
          <w:rFonts w:asciiTheme="majorHAnsi" w:eastAsiaTheme="majorEastAsia" w:hAnsiTheme="majorHAnsi" w:cstheme="majorBidi"/>
          <w:b/>
          <w:bCs/>
          <w:color w:val="365F91" w:themeColor="accent1" w:themeShade="BF"/>
          <w:sz w:val="28"/>
          <w:szCs w:val="28"/>
        </w:rPr>
      </w:pPr>
      <w:r>
        <w:br w:type="page"/>
      </w:r>
    </w:p>
    <w:p w:rsidR="00D30F93" w:rsidRPr="00DC76F5" w:rsidRDefault="00DC76F5" w:rsidP="008F7736">
      <w:pPr>
        <w:pStyle w:val="Heading1"/>
      </w:pPr>
      <w:r>
        <w:lastRenderedPageBreak/>
        <w:t>Refere</w:t>
      </w:r>
      <w:r w:rsidRPr="00DC76F5">
        <w:t>n</w:t>
      </w:r>
      <w:r>
        <w:t>c</w:t>
      </w:r>
      <w:r w:rsidRPr="00DC76F5">
        <w:t>es</w:t>
      </w:r>
    </w:p>
    <w:p w:rsidR="00DC76F5" w:rsidRPr="000F6243" w:rsidRDefault="00DC76F5" w:rsidP="00C010B3">
      <w:pPr>
        <w:autoSpaceDE w:val="0"/>
        <w:autoSpaceDN w:val="0"/>
        <w:adjustRightInd w:val="0"/>
        <w:spacing w:after="0" w:line="240" w:lineRule="auto"/>
        <w:ind w:left="720" w:hanging="720"/>
        <w:rPr>
          <w:rFonts w:cstheme="minorHAnsi"/>
          <w:sz w:val="24"/>
          <w:szCs w:val="24"/>
        </w:rPr>
      </w:pPr>
    </w:p>
    <w:p w:rsidR="00B25A70" w:rsidRPr="00A0309C" w:rsidRDefault="00B25A70" w:rsidP="00B25A70">
      <w:pPr>
        <w:spacing w:after="0" w:line="240" w:lineRule="auto"/>
        <w:ind w:left="720" w:hanging="720"/>
        <w:rPr>
          <w:rFonts w:cstheme="minorHAnsi"/>
          <w:sz w:val="24"/>
          <w:szCs w:val="24"/>
        </w:rPr>
      </w:pPr>
      <w:r w:rsidRPr="000F6243">
        <w:rPr>
          <w:sz w:val="24"/>
          <w:szCs w:val="24"/>
        </w:rPr>
        <w:t xml:space="preserve">Acworth, W., </w:t>
      </w:r>
      <w:proofErr w:type="spellStart"/>
      <w:r w:rsidRPr="000F6243">
        <w:rPr>
          <w:sz w:val="24"/>
          <w:szCs w:val="24"/>
        </w:rPr>
        <w:t>Yainshet</w:t>
      </w:r>
      <w:proofErr w:type="spellEnd"/>
      <w:r w:rsidRPr="000F6243">
        <w:rPr>
          <w:sz w:val="24"/>
          <w:szCs w:val="24"/>
        </w:rPr>
        <w:t xml:space="preserve">, A. and </w:t>
      </w:r>
      <w:proofErr w:type="spellStart"/>
      <w:r w:rsidRPr="000F6243">
        <w:rPr>
          <w:sz w:val="24"/>
          <w:szCs w:val="24"/>
        </w:rPr>
        <w:t>Curtotti</w:t>
      </w:r>
      <w:proofErr w:type="spellEnd"/>
      <w:r w:rsidRPr="000F6243">
        <w:rPr>
          <w:sz w:val="24"/>
          <w:szCs w:val="24"/>
        </w:rPr>
        <w:t>, R., 2008, “Economic Impact of GM crops in Australia”, Research Report No. 08.4, May 2008</w:t>
      </w:r>
      <w:proofErr w:type="gramStart"/>
      <w:r w:rsidRPr="000F6243">
        <w:rPr>
          <w:sz w:val="24"/>
          <w:szCs w:val="24"/>
        </w:rPr>
        <w:t>,  ABARES</w:t>
      </w:r>
      <w:proofErr w:type="gramEnd"/>
      <w:r w:rsidRPr="000F6243">
        <w:rPr>
          <w:sz w:val="24"/>
          <w:szCs w:val="24"/>
        </w:rPr>
        <w:t xml:space="preserve">. </w:t>
      </w:r>
      <w:hyperlink r:id="rId14" w:history="1">
        <w:r w:rsidRPr="00A0309C">
          <w:rPr>
            <w:rStyle w:val="Hyperlink"/>
            <w:color w:val="auto"/>
          </w:rPr>
          <w:t>http://adl.brs.gov.au/data/warehouse/pe_abarebrs99001439/rr08.4_impacts_gm_crops.pdf</w:t>
        </w:r>
      </w:hyperlink>
    </w:p>
    <w:p w:rsidR="00B25A70" w:rsidRPr="000F6243" w:rsidRDefault="00B25A70" w:rsidP="00F66D5E">
      <w:pPr>
        <w:spacing w:after="0" w:line="240" w:lineRule="auto"/>
        <w:ind w:left="720" w:hanging="720"/>
        <w:rPr>
          <w:rFonts w:cstheme="minorHAnsi"/>
          <w:color w:val="000000"/>
          <w:sz w:val="24"/>
          <w:szCs w:val="24"/>
        </w:rPr>
      </w:pPr>
    </w:p>
    <w:p w:rsidR="00F66D5E" w:rsidRPr="000F6243" w:rsidRDefault="00F821AA" w:rsidP="00F66D5E">
      <w:pPr>
        <w:spacing w:after="0" w:line="240" w:lineRule="auto"/>
        <w:ind w:left="720" w:hanging="720"/>
        <w:rPr>
          <w:rFonts w:cstheme="minorHAnsi"/>
          <w:sz w:val="24"/>
          <w:szCs w:val="24"/>
        </w:rPr>
      </w:pPr>
      <w:r w:rsidRPr="000F6243">
        <w:rPr>
          <w:rFonts w:cstheme="minorHAnsi"/>
          <w:color w:val="000000"/>
          <w:sz w:val="24"/>
          <w:szCs w:val="24"/>
        </w:rPr>
        <w:t>Adams, P.</w:t>
      </w:r>
      <w:r w:rsidR="00F66D5E" w:rsidRPr="000F6243">
        <w:rPr>
          <w:rFonts w:cstheme="minorHAnsi"/>
          <w:color w:val="000000"/>
          <w:sz w:val="24"/>
          <w:szCs w:val="24"/>
        </w:rPr>
        <w:t xml:space="preserve">, Dixon, J., </w:t>
      </w:r>
      <w:proofErr w:type="spellStart"/>
      <w:r w:rsidR="00F66D5E" w:rsidRPr="000F6243">
        <w:rPr>
          <w:rFonts w:cstheme="minorHAnsi"/>
          <w:color w:val="000000"/>
          <w:sz w:val="24"/>
          <w:szCs w:val="24"/>
        </w:rPr>
        <w:t>Giese</w:t>
      </w:r>
      <w:r w:rsidRPr="000F6243">
        <w:rPr>
          <w:rFonts w:cstheme="minorHAnsi"/>
          <w:color w:val="000000"/>
          <w:sz w:val="24"/>
          <w:szCs w:val="24"/>
        </w:rPr>
        <w:t>ke</w:t>
      </w:r>
      <w:proofErr w:type="spellEnd"/>
      <w:r w:rsidRPr="000F6243">
        <w:rPr>
          <w:rFonts w:cstheme="minorHAnsi"/>
          <w:color w:val="000000"/>
          <w:sz w:val="24"/>
          <w:szCs w:val="24"/>
        </w:rPr>
        <w:t xml:space="preserve">, J. and </w:t>
      </w:r>
      <w:proofErr w:type="spellStart"/>
      <w:r w:rsidRPr="000F6243">
        <w:rPr>
          <w:rFonts w:cstheme="minorHAnsi"/>
          <w:color w:val="000000"/>
          <w:sz w:val="24"/>
          <w:szCs w:val="24"/>
        </w:rPr>
        <w:t>Horridge</w:t>
      </w:r>
      <w:proofErr w:type="spellEnd"/>
      <w:r w:rsidRPr="000F6243">
        <w:rPr>
          <w:rFonts w:cstheme="minorHAnsi"/>
          <w:color w:val="000000"/>
          <w:sz w:val="24"/>
          <w:szCs w:val="24"/>
        </w:rPr>
        <w:t>, M.</w:t>
      </w:r>
      <w:r w:rsidR="00F66D5E" w:rsidRPr="000F6243">
        <w:rPr>
          <w:rFonts w:cstheme="minorHAnsi"/>
          <w:color w:val="000000"/>
          <w:sz w:val="24"/>
          <w:szCs w:val="24"/>
        </w:rPr>
        <w:t>, 2011,</w:t>
      </w:r>
      <w:r w:rsidRPr="000F6243">
        <w:rPr>
          <w:rFonts w:cstheme="minorHAnsi"/>
          <w:color w:val="000000"/>
          <w:sz w:val="24"/>
          <w:szCs w:val="24"/>
        </w:rPr>
        <w:t xml:space="preserve"> “MMRF: Monash m</w:t>
      </w:r>
      <w:r w:rsidR="00F66D5E" w:rsidRPr="000F6243">
        <w:rPr>
          <w:rFonts w:cstheme="minorHAnsi"/>
          <w:color w:val="000000"/>
          <w:sz w:val="24"/>
          <w:szCs w:val="24"/>
        </w:rPr>
        <w:t xml:space="preserve">ulti-regional forecasting model: a dynamic multi-regional applied general equilibrium model of the Australian economy”, </w:t>
      </w:r>
      <w:r w:rsidRPr="000F6243">
        <w:rPr>
          <w:rFonts w:cstheme="minorHAnsi"/>
          <w:color w:val="000000"/>
          <w:sz w:val="24"/>
          <w:szCs w:val="24"/>
        </w:rPr>
        <w:t xml:space="preserve">General Paper No. </w:t>
      </w:r>
      <w:proofErr w:type="gramStart"/>
      <w:r w:rsidRPr="000F6243">
        <w:rPr>
          <w:rFonts w:cstheme="minorHAnsi"/>
          <w:color w:val="000000"/>
          <w:sz w:val="24"/>
          <w:szCs w:val="24"/>
        </w:rPr>
        <w:t>G-223</w:t>
      </w:r>
      <w:r w:rsidR="00F66D5E" w:rsidRPr="000F6243">
        <w:rPr>
          <w:rFonts w:cstheme="minorHAnsi"/>
          <w:color w:val="000000"/>
          <w:sz w:val="24"/>
          <w:szCs w:val="24"/>
        </w:rPr>
        <w:t>, Centre of Policy Studies, Monash University.</w:t>
      </w:r>
      <w:proofErr w:type="gramEnd"/>
      <w:r w:rsidR="00F66D5E" w:rsidRPr="000F6243">
        <w:rPr>
          <w:rFonts w:cstheme="minorHAnsi"/>
          <w:sz w:val="24"/>
          <w:szCs w:val="24"/>
        </w:rPr>
        <w:t xml:space="preserve"> </w:t>
      </w:r>
    </w:p>
    <w:p w:rsidR="00D30F93" w:rsidRPr="000F6243" w:rsidRDefault="00D30F93" w:rsidP="00031F9B">
      <w:pPr>
        <w:autoSpaceDE w:val="0"/>
        <w:autoSpaceDN w:val="0"/>
        <w:adjustRightInd w:val="0"/>
        <w:spacing w:after="0" w:line="240" w:lineRule="auto"/>
        <w:rPr>
          <w:rFonts w:cstheme="minorHAnsi"/>
          <w:sz w:val="24"/>
          <w:szCs w:val="24"/>
        </w:rPr>
      </w:pPr>
    </w:p>
    <w:p w:rsidR="009D16D3" w:rsidRPr="000F6243" w:rsidRDefault="009D16D3" w:rsidP="00BA68BF">
      <w:pPr>
        <w:autoSpaceDE w:val="0"/>
        <w:autoSpaceDN w:val="0"/>
        <w:adjustRightInd w:val="0"/>
        <w:spacing w:after="0" w:line="240" w:lineRule="auto"/>
        <w:ind w:left="720" w:hanging="720"/>
        <w:rPr>
          <w:rFonts w:cstheme="minorHAnsi"/>
          <w:sz w:val="24"/>
          <w:szCs w:val="24"/>
        </w:rPr>
      </w:pPr>
      <w:r w:rsidRPr="000F6243">
        <w:rPr>
          <w:rFonts w:cstheme="minorHAnsi"/>
          <w:sz w:val="24"/>
          <w:szCs w:val="24"/>
        </w:rPr>
        <w:t>Australian Government, 2011</w:t>
      </w:r>
      <w:r w:rsidR="00863CCC" w:rsidRPr="000F6243">
        <w:rPr>
          <w:rFonts w:cstheme="minorHAnsi"/>
          <w:sz w:val="24"/>
          <w:szCs w:val="24"/>
        </w:rPr>
        <w:t>a</w:t>
      </w:r>
      <w:r w:rsidRPr="000F6243">
        <w:rPr>
          <w:rFonts w:cstheme="minorHAnsi"/>
          <w:sz w:val="24"/>
          <w:szCs w:val="24"/>
        </w:rPr>
        <w:t xml:space="preserve">, </w:t>
      </w:r>
      <w:proofErr w:type="gramStart"/>
      <w:r w:rsidRPr="000F6243">
        <w:rPr>
          <w:rFonts w:cstheme="minorHAnsi"/>
          <w:i/>
          <w:iCs/>
          <w:sz w:val="24"/>
          <w:szCs w:val="24"/>
        </w:rPr>
        <w:t>Securing</w:t>
      </w:r>
      <w:proofErr w:type="gramEnd"/>
      <w:r w:rsidRPr="000F6243">
        <w:rPr>
          <w:rFonts w:cstheme="minorHAnsi"/>
          <w:i/>
          <w:iCs/>
          <w:sz w:val="24"/>
          <w:szCs w:val="24"/>
        </w:rPr>
        <w:t xml:space="preserve"> a clean energy future</w:t>
      </w:r>
      <w:r w:rsidR="00F821AA" w:rsidRPr="000F6243">
        <w:rPr>
          <w:rFonts w:cstheme="minorHAnsi"/>
          <w:i/>
          <w:iCs/>
          <w:sz w:val="24"/>
          <w:szCs w:val="24"/>
        </w:rPr>
        <w:t>: The Australian Government’s Climate Change P</w:t>
      </w:r>
      <w:r w:rsidRPr="000F6243">
        <w:rPr>
          <w:rFonts w:cstheme="minorHAnsi"/>
          <w:i/>
          <w:iCs/>
          <w:sz w:val="24"/>
          <w:szCs w:val="24"/>
        </w:rPr>
        <w:t>lan</w:t>
      </w:r>
      <w:r w:rsidR="004D64AC" w:rsidRPr="000F6243">
        <w:rPr>
          <w:rFonts w:cstheme="minorHAnsi"/>
          <w:sz w:val="24"/>
          <w:szCs w:val="24"/>
        </w:rPr>
        <w:t>, Department of Climate Change and Energy Efficiency</w:t>
      </w:r>
      <w:r w:rsidRPr="000F6243">
        <w:rPr>
          <w:rFonts w:cstheme="minorHAnsi"/>
          <w:sz w:val="24"/>
          <w:szCs w:val="24"/>
        </w:rPr>
        <w:t>, Canberra, July 2011.</w:t>
      </w:r>
    </w:p>
    <w:p w:rsidR="00863CCC" w:rsidRPr="000F6243" w:rsidRDefault="00863CCC" w:rsidP="00BA68BF">
      <w:pPr>
        <w:autoSpaceDE w:val="0"/>
        <w:autoSpaceDN w:val="0"/>
        <w:adjustRightInd w:val="0"/>
        <w:spacing w:after="0" w:line="240" w:lineRule="auto"/>
        <w:ind w:left="720" w:hanging="720"/>
        <w:rPr>
          <w:rFonts w:cstheme="minorHAnsi"/>
          <w:sz w:val="24"/>
          <w:szCs w:val="24"/>
        </w:rPr>
      </w:pPr>
    </w:p>
    <w:p w:rsidR="00863CCC" w:rsidRPr="000F6243" w:rsidRDefault="00863CCC" w:rsidP="00BA68BF">
      <w:pPr>
        <w:autoSpaceDE w:val="0"/>
        <w:autoSpaceDN w:val="0"/>
        <w:adjustRightInd w:val="0"/>
        <w:spacing w:after="0" w:line="240" w:lineRule="auto"/>
        <w:ind w:left="720" w:hanging="720"/>
        <w:rPr>
          <w:rFonts w:cstheme="minorHAnsi"/>
          <w:sz w:val="24"/>
          <w:szCs w:val="24"/>
        </w:rPr>
      </w:pPr>
      <w:r w:rsidRPr="000F6243">
        <w:rPr>
          <w:rFonts w:cstheme="minorHAnsi"/>
          <w:sz w:val="24"/>
          <w:szCs w:val="24"/>
        </w:rPr>
        <w:t xml:space="preserve">Australian Government, 2011b, </w:t>
      </w:r>
      <w:proofErr w:type="gramStart"/>
      <w:r w:rsidRPr="000F6243">
        <w:rPr>
          <w:rFonts w:cstheme="minorHAnsi"/>
          <w:i/>
          <w:sz w:val="24"/>
          <w:szCs w:val="24"/>
        </w:rPr>
        <w:t>Strong</w:t>
      </w:r>
      <w:proofErr w:type="gramEnd"/>
      <w:r w:rsidRPr="000F6243">
        <w:rPr>
          <w:rFonts w:cstheme="minorHAnsi"/>
          <w:i/>
          <w:sz w:val="24"/>
          <w:szCs w:val="24"/>
        </w:rPr>
        <w:t xml:space="preserve"> </w:t>
      </w:r>
      <w:r w:rsidR="003C68B6" w:rsidRPr="000F6243">
        <w:rPr>
          <w:rFonts w:cstheme="minorHAnsi"/>
          <w:i/>
          <w:sz w:val="24"/>
          <w:szCs w:val="24"/>
        </w:rPr>
        <w:t>g</w:t>
      </w:r>
      <w:r w:rsidRPr="000F6243">
        <w:rPr>
          <w:rFonts w:cstheme="minorHAnsi"/>
          <w:i/>
          <w:sz w:val="24"/>
          <w:szCs w:val="24"/>
        </w:rPr>
        <w:t xml:space="preserve">rowth, </w:t>
      </w:r>
      <w:r w:rsidR="003C68B6" w:rsidRPr="000F6243">
        <w:rPr>
          <w:rFonts w:cstheme="minorHAnsi"/>
          <w:i/>
          <w:sz w:val="24"/>
          <w:szCs w:val="24"/>
        </w:rPr>
        <w:t>l</w:t>
      </w:r>
      <w:r w:rsidRPr="000F6243">
        <w:rPr>
          <w:rFonts w:cstheme="minorHAnsi"/>
          <w:i/>
          <w:sz w:val="24"/>
          <w:szCs w:val="24"/>
        </w:rPr>
        <w:t xml:space="preserve">ow </w:t>
      </w:r>
      <w:r w:rsidR="003C68B6" w:rsidRPr="000F6243">
        <w:rPr>
          <w:rFonts w:cstheme="minorHAnsi"/>
          <w:i/>
          <w:sz w:val="24"/>
          <w:szCs w:val="24"/>
        </w:rPr>
        <w:t>p</w:t>
      </w:r>
      <w:r w:rsidRPr="000F6243">
        <w:rPr>
          <w:rFonts w:cstheme="minorHAnsi"/>
          <w:i/>
          <w:sz w:val="24"/>
          <w:szCs w:val="24"/>
        </w:rPr>
        <w:t xml:space="preserve">ollution: Modelling a </w:t>
      </w:r>
      <w:r w:rsidR="003C68B6" w:rsidRPr="000F6243">
        <w:rPr>
          <w:rFonts w:cstheme="minorHAnsi"/>
          <w:i/>
          <w:sz w:val="24"/>
          <w:szCs w:val="24"/>
        </w:rPr>
        <w:t>c</w:t>
      </w:r>
      <w:r w:rsidRPr="000F6243">
        <w:rPr>
          <w:rFonts w:cstheme="minorHAnsi"/>
          <w:i/>
          <w:sz w:val="24"/>
          <w:szCs w:val="24"/>
        </w:rPr>
        <w:t xml:space="preserve">arbon </w:t>
      </w:r>
      <w:r w:rsidR="003C68B6" w:rsidRPr="000F6243">
        <w:rPr>
          <w:rFonts w:cstheme="minorHAnsi"/>
          <w:i/>
          <w:sz w:val="24"/>
          <w:szCs w:val="24"/>
        </w:rPr>
        <w:t>p</w:t>
      </w:r>
      <w:r w:rsidRPr="000F6243">
        <w:rPr>
          <w:rFonts w:cstheme="minorHAnsi"/>
          <w:i/>
          <w:sz w:val="24"/>
          <w:szCs w:val="24"/>
        </w:rPr>
        <w:t>rice</w:t>
      </w:r>
      <w:r w:rsidRPr="000F6243">
        <w:rPr>
          <w:rFonts w:cstheme="minorHAnsi"/>
          <w:sz w:val="24"/>
          <w:szCs w:val="24"/>
        </w:rPr>
        <w:t>, The Treasury, July 2011.</w:t>
      </w:r>
    </w:p>
    <w:p w:rsidR="00BB3984" w:rsidRPr="000F6243" w:rsidRDefault="00BB3984" w:rsidP="00BA68BF">
      <w:pPr>
        <w:autoSpaceDE w:val="0"/>
        <w:autoSpaceDN w:val="0"/>
        <w:adjustRightInd w:val="0"/>
        <w:spacing w:after="0" w:line="240" w:lineRule="auto"/>
        <w:ind w:left="720" w:hanging="720"/>
        <w:rPr>
          <w:rFonts w:cstheme="minorHAnsi"/>
          <w:sz w:val="24"/>
          <w:szCs w:val="24"/>
        </w:rPr>
      </w:pPr>
    </w:p>
    <w:p w:rsidR="00BB3984" w:rsidRPr="000F6243" w:rsidRDefault="00BB3984" w:rsidP="00BA68BF">
      <w:pPr>
        <w:autoSpaceDE w:val="0"/>
        <w:autoSpaceDN w:val="0"/>
        <w:adjustRightInd w:val="0"/>
        <w:spacing w:after="0" w:line="240" w:lineRule="auto"/>
        <w:ind w:left="720" w:hanging="720"/>
        <w:rPr>
          <w:rFonts w:cstheme="minorHAnsi"/>
          <w:sz w:val="24"/>
          <w:szCs w:val="24"/>
        </w:rPr>
      </w:pPr>
      <w:r w:rsidRPr="000F6243">
        <w:rPr>
          <w:rFonts w:cstheme="minorHAnsi"/>
          <w:sz w:val="24"/>
          <w:szCs w:val="24"/>
        </w:rPr>
        <w:t xml:space="preserve">Australian Government, 2011c, </w:t>
      </w:r>
      <w:proofErr w:type="gramStart"/>
      <w:r w:rsidRPr="000F6243">
        <w:rPr>
          <w:rFonts w:cstheme="minorHAnsi"/>
          <w:i/>
          <w:sz w:val="24"/>
          <w:szCs w:val="24"/>
        </w:rPr>
        <w:t>Strong</w:t>
      </w:r>
      <w:proofErr w:type="gramEnd"/>
      <w:r w:rsidRPr="000F6243">
        <w:rPr>
          <w:rFonts w:cstheme="minorHAnsi"/>
          <w:i/>
          <w:sz w:val="24"/>
          <w:szCs w:val="24"/>
        </w:rPr>
        <w:t xml:space="preserve"> </w:t>
      </w:r>
      <w:r w:rsidR="003C68B6" w:rsidRPr="000F6243">
        <w:rPr>
          <w:rFonts w:cstheme="minorHAnsi"/>
          <w:i/>
          <w:sz w:val="24"/>
          <w:szCs w:val="24"/>
        </w:rPr>
        <w:t>g</w:t>
      </w:r>
      <w:r w:rsidRPr="000F6243">
        <w:rPr>
          <w:rFonts w:cstheme="minorHAnsi"/>
          <w:i/>
          <w:sz w:val="24"/>
          <w:szCs w:val="24"/>
        </w:rPr>
        <w:t xml:space="preserve">rowth, </w:t>
      </w:r>
      <w:r w:rsidR="003C68B6" w:rsidRPr="000F6243">
        <w:rPr>
          <w:rFonts w:cstheme="minorHAnsi"/>
          <w:i/>
          <w:sz w:val="24"/>
          <w:szCs w:val="24"/>
        </w:rPr>
        <w:t>l</w:t>
      </w:r>
      <w:r w:rsidRPr="000F6243">
        <w:rPr>
          <w:rFonts w:cstheme="minorHAnsi"/>
          <w:i/>
          <w:sz w:val="24"/>
          <w:szCs w:val="24"/>
        </w:rPr>
        <w:t xml:space="preserve">ow </w:t>
      </w:r>
      <w:r w:rsidR="003C68B6" w:rsidRPr="000F6243">
        <w:rPr>
          <w:rFonts w:cstheme="minorHAnsi"/>
          <w:i/>
          <w:sz w:val="24"/>
          <w:szCs w:val="24"/>
        </w:rPr>
        <w:t>p</w:t>
      </w:r>
      <w:r w:rsidRPr="000F6243">
        <w:rPr>
          <w:rFonts w:cstheme="minorHAnsi"/>
          <w:i/>
          <w:sz w:val="24"/>
          <w:szCs w:val="24"/>
        </w:rPr>
        <w:t xml:space="preserve">ollution: Modelling a </w:t>
      </w:r>
      <w:r w:rsidR="003C68B6" w:rsidRPr="000F6243">
        <w:rPr>
          <w:rFonts w:cstheme="minorHAnsi"/>
          <w:i/>
          <w:sz w:val="24"/>
          <w:szCs w:val="24"/>
        </w:rPr>
        <w:t>c</w:t>
      </w:r>
      <w:r w:rsidRPr="000F6243">
        <w:rPr>
          <w:rFonts w:cstheme="minorHAnsi"/>
          <w:i/>
          <w:sz w:val="24"/>
          <w:szCs w:val="24"/>
        </w:rPr>
        <w:t xml:space="preserve">arbon </w:t>
      </w:r>
      <w:r w:rsidR="003C68B6" w:rsidRPr="000F6243">
        <w:rPr>
          <w:rFonts w:cstheme="minorHAnsi"/>
          <w:i/>
          <w:sz w:val="24"/>
          <w:szCs w:val="24"/>
        </w:rPr>
        <w:t>p</w:t>
      </w:r>
      <w:r w:rsidRPr="000F6243">
        <w:rPr>
          <w:rFonts w:cstheme="minorHAnsi"/>
          <w:i/>
          <w:sz w:val="24"/>
          <w:szCs w:val="24"/>
        </w:rPr>
        <w:t>rice – Update</w:t>
      </w:r>
      <w:r w:rsidRPr="000F6243">
        <w:rPr>
          <w:rFonts w:cstheme="minorHAnsi"/>
          <w:sz w:val="24"/>
          <w:szCs w:val="24"/>
        </w:rPr>
        <w:t>, The Treasury, September 2011.</w:t>
      </w:r>
    </w:p>
    <w:p w:rsidR="00BA68BF" w:rsidRPr="000F6243" w:rsidRDefault="00BA68BF" w:rsidP="00DC76F5">
      <w:pPr>
        <w:spacing w:after="0" w:line="240" w:lineRule="auto"/>
        <w:rPr>
          <w:rFonts w:cstheme="minorHAnsi"/>
          <w:sz w:val="24"/>
          <w:szCs w:val="24"/>
        </w:rPr>
      </w:pPr>
    </w:p>
    <w:p w:rsidR="00797DE4" w:rsidRPr="000F6243" w:rsidRDefault="00797DE4" w:rsidP="006E7A78">
      <w:pPr>
        <w:autoSpaceDE w:val="0"/>
        <w:autoSpaceDN w:val="0"/>
        <w:adjustRightInd w:val="0"/>
        <w:spacing w:after="0" w:line="240" w:lineRule="auto"/>
        <w:ind w:left="720" w:hanging="720"/>
        <w:rPr>
          <w:rFonts w:cstheme="minorHAnsi"/>
          <w:sz w:val="24"/>
          <w:szCs w:val="24"/>
        </w:rPr>
      </w:pPr>
      <w:r w:rsidRPr="000F6243">
        <w:rPr>
          <w:rFonts w:cstheme="minorHAnsi"/>
          <w:sz w:val="24"/>
          <w:szCs w:val="24"/>
        </w:rPr>
        <w:t xml:space="preserve">Bureau of Industry Economics (BIE) 1996, </w:t>
      </w:r>
      <w:proofErr w:type="spellStart"/>
      <w:r w:rsidRPr="000F6243">
        <w:rPr>
          <w:rFonts w:cstheme="minorHAnsi"/>
          <w:i/>
          <w:iCs/>
          <w:sz w:val="24"/>
          <w:szCs w:val="24"/>
        </w:rPr>
        <w:t>Agri</w:t>
      </w:r>
      <w:proofErr w:type="spellEnd"/>
      <w:r w:rsidRPr="000F6243">
        <w:rPr>
          <w:rFonts w:cstheme="minorHAnsi"/>
          <w:i/>
          <w:iCs/>
          <w:sz w:val="24"/>
          <w:szCs w:val="24"/>
        </w:rPr>
        <w:t>-food case study: micro reform - impacts on firms</w:t>
      </w:r>
      <w:r w:rsidRPr="000F6243">
        <w:rPr>
          <w:rFonts w:cstheme="minorHAnsi"/>
          <w:sz w:val="24"/>
          <w:szCs w:val="24"/>
        </w:rPr>
        <w:t>, BIE Report, Canberra.</w:t>
      </w:r>
    </w:p>
    <w:p w:rsidR="00797DE4" w:rsidRPr="000F6243" w:rsidRDefault="00797DE4" w:rsidP="00DC76F5">
      <w:pPr>
        <w:spacing w:after="0" w:line="240" w:lineRule="auto"/>
        <w:rPr>
          <w:rFonts w:cstheme="minorHAnsi"/>
          <w:sz w:val="24"/>
          <w:szCs w:val="24"/>
        </w:rPr>
      </w:pPr>
    </w:p>
    <w:p w:rsidR="00C949B1" w:rsidRPr="000F6243" w:rsidRDefault="00EF765E" w:rsidP="00BA68BF">
      <w:pPr>
        <w:spacing w:after="0" w:line="240" w:lineRule="auto"/>
        <w:ind w:left="720" w:hanging="720"/>
        <w:rPr>
          <w:rFonts w:cstheme="minorHAnsi"/>
          <w:sz w:val="24"/>
          <w:szCs w:val="24"/>
        </w:rPr>
      </w:pPr>
      <w:proofErr w:type="gramStart"/>
      <w:r w:rsidRPr="000F6243">
        <w:rPr>
          <w:rFonts w:cstheme="minorHAnsi"/>
          <w:sz w:val="24"/>
          <w:szCs w:val="24"/>
        </w:rPr>
        <w:t>Department of Climate Cha</w:t>
      </w:r>
      <w:r w:rsidR="00BA68BF" w:rsidRPr="000F6243">
        <w:rPr>
          <w:rFonts w:cstheme="minorHAnsi"/>
          <w:sz w:val="24"/>
          <w:szCs w:val="24"/>
        </w:rPr>
        <w:t>nge and Energy Efficiency</w:t>
      </w:r>
      <w:r w:rsidR="00E5695E">
        <w:rPr>
          <w:rFonts w:cstheme="minorHAnsi"/>
          <w:sz w:val="24"/>
          <w:szCs w:val="24"/>
        </w:rPr>
        <w:t xml:space="preserve"> (DCCEE)</w:t>
      </w:r>
      <w:r w:rsidR="00BA68BF" w:rsidRPr="000F6243">
        <w:rPr>
          <w:rFonts w:cstheme="minorHAnsi"/>
          <w:sz w:val="24"/>
          <w:szCs w:val="24"/>
        </w:rPr>
        <w:t>, 2011,</w:t>
      </w:r>
      <w:r w:rsidRPr="000F6243">
        <w:rPr>
          <w:rFonts w:cstheme="minorHAnsi"/>
          <w:sz w:val="24"/>
          <w:szCs w:val="24"/>
        </w:rPr>
        <w:t xml:space="preserve"> </w:t>
      </w:r>
      <w:r w:rsidRPr="000F6243">
        <w:rPr>
          <w:rFonts w:cstheme="minorHAnsi"/>
          <w:i/>
          <w:sz w:val="24"/>
          <w:szCs w:val="24"/>
        </w:rPr>
        <w:t>National Inventory Report 2009</w:t>
      </w:r>
      <w:r w:rsidRPr="000F6243">
        <w:rPr>
          <w:rFonts w:cstheme="minorHAnsi"/>
          <w:sz w:val="24"/>
          <w:szCs w:val="24"/>
        </w:rPr>
        <w:t>, Department of Climate Change and Energy Efficiency, Canberra.</w:t>
      </w:r>
      <w:proofErr w:type="gramEnd"/>
    </w:p>
    <w:p w:rsidR="00F66D5E" w:rsidRPr="000F6243" w:rsidRDefault="00F66D5E" w:rsidP="00BA68BF">
      <w:pPr>
        <w:spacing w:after="0" w:line="240" w:lineRule="auto"/>
        <w:ind w:left="720" w:hanging="720"/>
        <w:rPr>
          <w:rFonts w:cstheme="minorHAnsi"/>
          <w:sz w:val="24"/>
          <w:szCs w:val="24"/>
        </w:rPr>
      </w:pPr>
    </w:p>
    <w:p w:rsidR="0074539D" w:rsidRPr="000F6243" w:rsidRDefault="0074539D" w:rsidP="00BA68BF">
      <w:pPr>
        <w:spacing w:after="0" w:line="240" w:lineRule="auto"/>
        <w:ind w:left="720" w:hanging="720"/>
        <w:rPr>
          <w:rFonts w:cstheme="minorHAnsi"/>
          <w:sz w:val="24"/>
          <w:szCs w:val="24"/>
        </w:rPr>
      </w:pPr>
      <w:r w:rsidRPr="000F6243">
        <w:rPr>
          <w:rFonts w:cstheme="minorHAnsi"/>
          <w:sz w:val="24"/>
          <w:szCs w:val="24"/>
        </w:rPr>
        <w:t xml:space="preserve">Costello, P., 1998, </w:t>
      </w:r>
      <w:r w:rsidRPr="000F6243">
        <w:rPr>
          <w:rFonts w:cstheme="minorHAnsi"/>
          <w:i/>
          <w:sz w:val="24"/>
          <w:szCs w:val="24"/>
        </w:rPr>
        <w:t>Tax reform, not a new tax, a New Tax System</w:t>
      </w:r>
      <w:r w:rsidRPr="000F6243">
        <w:rPr>
          <w:rFonts w:cstheme="minorHAnsi"/>
          <w:sz w:val="24"/>
          <w:szCs w:val="24"/>
        </w:rPr>
        <w:t>, Australian Government Publishing Service, Canberra.</w:t>
      </w:r>
    </w:p>
    <w:p w:rsidR="0074539D" w:rsidRPr="000F6243" w:rsidRDefault="0074539D" w:rsidP="00BA68BF">
      <w:pPr>
        <w:spacing w:after="0" w:line="240" w:lineRule="auto"/>
        <w:ind w:left="720" w:hanging="720"/>
        <w:rPr>
          <w:rFonts w:cstheme="minorHAnsi"/>
          <w:sz w:val="24"/>
          <w:szCs w:val="24"/>
        </w:rPr>
      </w:pPr>
    </w:p>
    <w:p w:rsidR="008F5015" w:rsidRPr="000F6243" w:rsidRDefault="008F5015" w:rsidP="00BA68BF">
      <w:pPr>
        <w:spacing w:after="0" w:line="240" w:lineRule="auto"/>
        <w:ind w:left="720" w:hanging="720"/>
        <w:rPr>
          <w:rFonts w:cstheme="minorHAnsi"/>
          <w:sz w:val="24"/>
          <w:szCs w:val="24"/>
        </w:rPr>
      </w:pPr>
      <w:proofErr w:type="spellStart"/>
      <w:r w:rsidRPr="000F6243">
        <w:rPr>
          <w:rFonts w:cstheme="minorHAnsi"/>
          <w:sz w:val="24"/>
          <w:szCs w:val="24"/>
        </w:rPr>
        <w:t>Gretton</w:t>
      </w:r>
      <w:proofErr w:type="spellEnd"/>
      <w:r w:rsidRPr="000F6243">
        <w:rPr>
          <w:rFonts w:cstheme="minorHAnsi"/>
          <w:sz w:val="24"/>
          <w:szCs w:val="24"/>
        </w:rPr>
        <w:t xml:space="preserve">, P., 2005, “Data Surveys: Australian input-output tables”, </w:t>
      </w:r>
      <w:r w:rsidRPr="000F6243">
        <w:rPr>
          <w:rFonts w:cstheme="minorHAnsi"/>
          <w:i/>
          <w:sz w:val="24"/>
          <w:szCs w:val="24"/>
        </w:rPr>
        <w:t>The Australian Economic Review</w:t>
      </w:r>
      <w:r w:rsidRPr="000F6243">
        <w:rPr>
          <w:rFonts w:cstheme="minorHAnsi"/>
          <w:sz w:val="24"/>
          <w:szCs w:val="24"/>
        </w:rPr>
        <w:t xml:space="preserve">, </w:t>
      </w:r>
      <w:r w:rsidR="00E231C2">
        <w:rPr>
          <w:rFonts w:cstheme="minorHAnsi"/>
          <w:sz w:val="24"/>
          <w:szCs w:val="24"/>
        </w:rPr>
        <w:t>V</w:t>
      </w:r>
      <w:r w:rsidRPr="000F6243">
        <w:rPr>
          <w:rFonts w:cstheme="minorHAnsi"/>
          <w:sz w:val="24"/>
          <w:szCs w:val="24"/>
        </w:rPr>
        <w:t>ol. 38, No. 3, pp. 319-32.</w:t>
      </w:r>
    </w:p>
    <w:p w:rsidR="00F85D66" w:rsidRPr="000F6243" w:rsidRDefault="00F85D66" w:rsidP="00BA68BF">
      <w:pPr>
        <w:spacing w:after="0" w:line="240" w:lineRule="auto"/>
        <w:ind w:left="720" w:hanging="720"/>
        <w:rPr>
          <w:rFonts w:cstheme="minorHAnsi"/>
          <w:sz w:val="24"/>
          <w:szCs w:val="24"/>
        </w:rPr>
      </w:pPr>
    </w:p>
    <w:p w:rsidR="00F85D66" w:rsidRPr="000F6243" w:rsidRDefault="00F85D66" w:rsidP="00F85D66">
      <w:pPr>
        <w:autoSpaceDE w:val="0"/>
        <w:autoSpaceDN w:val="0"/>
        <w:adjustRightInd w:val="0"/>
        <w:spacing w:after="0" w:line="240" w:lineRule="auto"/>
        <w:ind w:left="720" w:hanging="720"/>
        <w:rPr>
          <w:rFonts w:cstheme="minorHAnsi"/>
          <w:sz w:val="24"/>
          <w:szCs w:val="24"/>
        </w:rPr>
      </w:pPr>
      <w:proofErr w:type="spellStart"/>
      <w:r w:rsidRPr="000F6243">
        <w:rPr>
          <w:rFonts w:cstheme="minorHAnsi"/>
          <w:sz w:val="24"/>
          <w:szCs w:val="24"/>
        </w:rPr>
        <w:t>Gretton</w:t>
      </w:r>
      <w:proofErr w:type="spellEnd"/>
      <w:r w:rsidRPr="000F6243">
        <w:rPr>
          <w:rFonts w:cstheme="minorHAnsi"/>
          <w:sz w:val="24"/>
          <w:szCs w:val="24"/>
        </w:rPr>
        <w:t xml:space="preserve">, P., Bobbin, I. and </w:t>
      </w:r>
      <w:proofErr w:type="spellStart"/>
      <w:r w:rsidRPr="000F6243">
        <w:rPr>
          <w:rFonts w:cstheme="minorHAnsi"/>
          <w:sz w:val="24"/>
          <w:szCs w:val="24"/>
        </w:rPr>
        <w:t>Horridge</w:t>
      </w:r>
      <w:proofErr w:type="spellEnd"/>
      <w:r w:rsidRPr="000F6243">
        <w:rPr>
          <w:rFonts w:cstheme="minorHAnsi"/>
          <w:sz w:val="24"/>
          <w:szCs w:val="24"/>
        </w:rPr>
        <w:t xml:space="preserve">, M., 2004, “A </w:t>
      </w:r>
      <w:proofErr w:type="gramStart"/>
      <w:r w:rsidRPr="000F6243">
        <w:rPr>
          <w:rFonts w:cstheme="minorHAnsi"/>
          <w:sz w:val="24"/>
          <w:szCs w:val="24"/>
        </w:rPr>
        <w:t>users</w:t>
      </w:r>
      <w:proofErr w:type="gramEnd"/>
      <w:r w:rsidRPr="000F6243">
        <w:rPr>
          <w:rFonts w:cstheme="minorHAnsi"/>
          <w:sz w:val="24"/>
          <w:szCs w:val="24"/>
        </w:rPr>
        <w:t xml:space="preserve"> perspective on the treatment of transport activities in input-output tables and suggestions for the future”, paper presented to the International Conference on Input-output and General Equilibrium: Data, Modelling and Policy Analysis, September 2-4 2004, Brussels, Belgium.</w:t>
      </w:r>
    </w:p>
    <w:p w:rsidR="008F5015" w:rsidRPr="000F6243" w:rsidRDefault="008F5015" w:rsidP="00BA68BF">
      <w:pPr>
        <w:spacing w:after="0" w:line="240" w:lineRule="auto"/>
        <w:ind w:left="720" w:hanging="720"/>
        <w:rPr>
          <w:rFonts w:cstheme="minorHAnsi"/>
          <w:sz w:val="24"/>
          <w:szCs w:val="24"/>
        </w:rPr>
      </w:pPr>
    </w:p>
    <w:p w:rsidR="00F66D5E" w:rsidRPr="000F6243" w:rsidRDefault="00F66D5E" w:rsidP="00BA68BF">
      <w:pPr>
        <w:spacing w:after="0" w:line="240" w:lineRule="auto"/>
        <w:ind w:left="720" w:hanging="720"/>
        <w:rPr>
          <w:rFonts w:cstheme="minorHAnsi"/>
          <w:sz w:val="24"/>
          <w:szCs w:val="24"/>
        </w:rPr>
      </w:pPr>
      <w:r w:rsidRPr="000F6243">
        <w:rPr>
          <w:rFonts w:cstheme="minorHAnsi"/>
          <w:sz w:val="24"/>
          <w:szCs w:val="24"/>
        </w:rPr>
        <w:t>Henry, K.R. and Wright, J.S., 1992, “PRISMOD: Development, Database and Methodology”, paper presented to the Australian Economic Modelling Conference, September 2-5, 1992.</w:t>
      </w:r>
    </w:p>
    <w:p w:rsidR="00846B5C" w:rsidRPr="000F6243" w:rsidRDefault="00846B5C" w:rsidP="00BA68BF">
      <w:pPr>
        <w:spacing w:after="0" w:line="240" w:lineRule="auto"/>
        <w:ind w:left="720" w:hanging="720"/>
        <w:rPr>
          <w:rFonts w:cstheme="minorHAnsi"/>
          <w:sz w:val="24"/>
          <w:szCs w:val="24"/>
        </w:rPr>
      </w:pPr>
    </w:p>
    <w:p w:rsidR="00846B5C" w:rsidRPr="00A77E54" w:rsidRDefault="00846B5C" w:rsidP="005D0C6A">
      <w:pPr>
        <w:spacing w:after="0" w:line="240" w:lineRule="auto"/>
        <w:ind w:left="720" w:hanging="720"/>
        <w:rPr>
          <w:rFonts w:cstheme="minorHAnsi"/>
          <w:bCs/>
          <w:sz w:val="24"/>
          <w:szCs w:val="24"/>
        </w:rPr>
      </w:pPr>
      <w:proofErr w:type="gramStart"/>
      <w:r w:rsidRPr="000F6243">
        <w:rPr>
          <w:rFonts w:cstheme="minorHAnsi"/>
          <w:sz w:val="24"/>
          <w:szCs w:val="24"/>
        </w:rPr>
        <w:t xml:space="preserve">Mai, Y., Adams, P., Fan, M., Li, R. </w:t>
      </w:r>
      <w:proofErr w:type="spellStart"/>
      <w:r w:rsidRPr="000F6243">
        <w:rPr>
          <w:rFonts w:cstheme="minorHAnsi"/>
          <w:sz w:val="24"/>
          <w:szCs w:val="24"/>
        </w:rPr>
        <w:t>Zheng</w:t>
      </w:r>
      <w:proofErr w:type="spellEnd"/>
      <w:r w:rsidRPr="000F6243">
        <w:rPr>
          <w:rFonts w:cstheme="minorHAnsi"/>
          <w:sz w:val="24"/>
          <w:szCs w:val="24"/>
        </w:rPr>
        <w:t xml:space="preserve">, Z., 2005, “Modelling the potential benefits of an Australia-China Free Trade Agreement”, </w:t>
      </w:r>
      <w:r w:rsidR="00162F1D" w:rsidRPr="00A77E54">
        <w:rPr>
          <w:rFonts w:cstheme="minorHAnsi"/>
          <w:bCs/>
          <w:sz w:val="24"/>
          <w:szCs w:val="24"/>
        </w:rPr>
        <w:t xml:space="preserve">an independent report prepared for </w:t>
      </w:r>
      <w:r w:rsidR="00162F1D" w:rsidRPr="00A77E54">
        <w:rPr>
          <w:rFonts w:cstheme="minorHAnsi"/>
          <w:bCs/>
          <w:i/>
          <w:sz w:val="24"/>
          <w:szCs w:val="24"/>
        </w:rPr>
        <w:t>T</w:t>
      </w:r>
      <w:r w:rsidRPr="00A77E54">
        <w:rPr>
          <w:rFonts w:cstheme="minorHAnsi"/>
          <w:bCs/>
          <w:i/>
          <w:sz w:val="24"/>
          <w:szCs w:val="24"/>
        </w:rPr>
        <w:t xml:space="preserve">he </w:t>
      </w:r>
      <w:r w:rsidR="00162F1D" w:rsidRPr="00A77E54">
        <w:rPr>
          <w:rFonts w:cstheme="minorHAnsi"/>
          <w:bCs/>
          <w:i/>
          <w:sz w:val="24"/>
          <w:szCs w:val="24"/>
        </w:rPr>
        <w:t xml:space="preserve">Australia-China FTA Feasibility </w:t>
      </w:r>
      <w:r w:rsidRPr="00A77E54">
        <w:rPr>
          <w:rFonts w:cstheme="minorHAnsi"/>
          <w:bCs/>
          <w:i/>
          <w:sz w:val="24"/>
          <w:szCs w:val="24"/>
        </w:rPr>
        <w:t>Study</w:t>
      </w:r>
      <w:r w:rsidR="00162F1D" w:rsidRPr="00A77E54">
        <w:rPr>
          <w:rFonts w:cstheme="minorHAnsi"/>
          <w:bCs/>
          <w:sz w:val="24"/>
          <w:szCs w:val="24"/>
        </w:rPr>
        <w:t>,</w:t>
      </w:r>
      <w:r w:rsidRPr="00A77E54">
        <w:rPr>
          <w:rFonts w:cstheme="minorHAnsi"/>
          <w:bCs/>
          <w:sz w:val="24"/>
          <w:szCs w:val="24"/>
        </w:rPr>
        <w:t xml:space="preserve"> 2 March 2005.</w:t>
      </w:r>
      <w:proofErr w:type="gramEnd"/>
    </w:p>
    <w:p w:rsidR="00846B5C" w:rsidRDefault="00846B5C" w:rsidP="00846B5C">
      <w:pPr>
        <w:pStyle w:val="NoSpacing"/>
        <w:ind w:left="720" w:hanging="720"/>
        <w:rPr>
          <w:rFonts w:ascii="Times New Roman" w:hAnsi="Times New Roman" w:cs="Times New Roman"/>
          <w:bCs/>
          <w:sz w:val="24"/>
          <w:szCs w:val="20"/>
        </w:rPr>
      </w:pPr>
    </w:p>
    <w:p w:rsidR="00846B5C" w:rsidRPr="006E7A78" w:rsidRDefault="00846B5C" w:rsidP="000F6243">
      <w:pPr>
        <w:pStyle w:val="NoSpacing"/>
        <w:ind w:left="720" w:hanging="720"/>
        <w:rPr>
          <w:sz w:val="24"/>
          <w:szCs w:val="24"/>
        </w:rPr>
      </w:pPr>
      <w:r w:rsidRPr="006E7A78">
        <w:rPr>
          <w:sz w:val="24"/>
          <w:szCs w:val="24"/>
        </w:rPr>
        <w:lastRenderedPageBreak/>
        <w:t xml:space="preserve">Productivity Commission, 2004, “Industry assistance in Australian and New Zealand under the CER Agreement”, </w:t>
      </w:r>
      <w:r w:rsidRPr="006E7A78">
        <w:rPr>
          <w:i/>
          <w:sz w:val="24"/>
          <w:szCs w:val="24"/>
        </w:rPr>
        <w:t>Supplement to the Productivity Commission Research Report, Rules of Origin under the Australia-New Zealand Closer Economic Relations Trade Agreement</w:t>
      </w:r>
      <w:r w:rsidRPr="006E7A78">
        <w:rPr>
          <w:sz w:val="24"/>
          <w:szCs w:val="24"/>
        </w:rPr>
        <w:t xml:space="preserve">, </w:t>
      </w:r>
      <w:r w:rsidR="00E231C2">
        <w:rPr>
          <w:sz w:val="24"/>
          <w:szCs w:val="24"/>
        </w:rPr>
        <w:t xml:space="preserve">Productivity Commission, </w:t>
      </w:r>
      <w:r w:rsidRPr="006E7A78">
        <w:rPr>
          <w:sz w:val="24"/>
          <w:szCs w:val="24"/>
        </w:rPr>
        <w:t>Canberra.</w:t>
      </w:r>
    </w:p>
    <w:p w:rsidR="00846B5C" w:rsidRDefault="00846B5C" w:rsidP="00846B5C">
      <w:pPr>
        <w:pStyle w:val="NoSpacing"/>
        <w:ind w:left="720" w:hanging="720"/>
      </w:pPr>
    </w:p>
    <w:p w:rsidR="00846B5C" w:rsidRPr="006E7A78" w:rsidRDefault="00846B5C" w:rsidP="00846B5C">
      <w:pPr>
        <w:pStyle w:val="NoSpacing"/>
        <w:ind w:left="720" w:hanging="720"/>
        <w:rPr>
          <w:rFonts w:cstheme="minorHAnsi"/>
          <w:sz w:val="24"/>
          <w:szCs w:val="24"/>
        </w:rPr>
      </w:pPr>
      <w:r w:rsidRPr="006E7A78">
        <w:rPr>
          <w:rFonts w:cstheme="minorHAnsi"/>
          <w:sz w:val="24"/>
          <w:szCs w:val="24"/>
        </w:rPr>
        <w:t xml:space="preserve">Productivity Commission, 2003, </w:t>
      </w:r>
      <w:r w:rsidRPr="006E7A78">
        <w:rPr>
          <w:rFonts w:cstheme="minorHAnsi"/>
          <w:i/>
          <w:iCs/>
          <w:sz w:val="24"/>
          <w:szCs w:val="24"/>
        </w:rPr>
        <w:t>Review of TCF Assistance</w:t>
      </w:r>
      <w:r w:rsidRPr="006E7A78">
        <w:rPr>
          <w:rFonts w:cstheme="minorHAnsi"/>
          <w:sz w:val="24"/>
          <w:szCs w:val="24"/>
        </w:rPr>
        <w:t>,</w:t>
      </w:r>
      <w:r w:rsidR="00212609">
        <w:rPr>
          <w:rFonts w:cstheme="minorHAnsi"/>
          <w:sz w:val="24"/>
          <w:szCs w:val="24"/>
        </w:rPr>
        <w:t xml:space="preserve"> Inquiry </w:t>
      </w:r>
      <w:r w:rsidRPr="006E7A78">
        <w:rPr>
          <w:rFonts w:cstheme="minorHAnsi"/>
          <w:sz w:val="24"/>
          <w:szCs w:val="24"/>
        </w:rPr>
        <w:t>Report</w:t>
      </w:r>
      <w:r w:rsidR="00212609">
        <w:rPr>
          <w:rFonts w:cstheme="minorHAnsi"/>
          <w:sz w:val="24"/>
          <w:szCs w:val="24"/>
        </w:rPr>
        <w:t>, Report</w:t>
      </w:r>
      <w:r w:rsidRPr="006E7A78">
        <w:rPr>
          <w:rFonts w:cstheme="minorHAnsi"/>
          <w:sz w:val="24"/>
          <w:szCs w:val="24"/>
        </w:rPr>
        <w:t xml:space="preserve"> </w:t>
      </w:r>
      <w:r w:rsidR="00212609">
        <w:rPr>
          <w:rFonts w:cstheme="minorHAnsi"/>
          <w:sz w:val="24"/>
          <w:szCs w:val="24"/>
        </w:rPr>
        <w:t>N</w:t>
      </w:r>
      <w:r w:rsidRPr="006E7A78">
        <w:rPr>
          <w:rFonts w:cstheme="minorHAnsi"/>
          <w:sz w:val="24"/>
          <w:szCs w:val="24"/>
        </w:rPr>
        <w:t xml:space="preserve">o. 26, </w:t>
      </w:r>
      <w:r w:rsidR="00E231C2">
        <w:rPr>
          <w:rFonts w:cstheme="minorHAnsi"/>
          <w:sz w:val="24"/>
          <w:szCs w:val="24"/>
        </w:rPr>
        <w:t xml:space="preserve">Productivity Commission, </w:t>
      </w:r>
      <w:r w:rsidRPr="006E7A78">
        <w:rPr>
          <w:rFonts w:cstheme="minorHAnsi"/>
          <w:sz w:val="24"/>
          <w:szCs w:val="24"/>
        </w:rPr>
        <w:t>Canberra.</w:t>
      </w:r>
    </w:p>
    <w:p w:rsidR="00846B5C" w:rsidRPr="00C800B3" w:rsidRDefault="00846B5C" w:rsidP="00846B5C">
      <w:pPr>
        <w:spacing w:after="0" w:line="240" w:lineRule="auto"/>
        <w:rPr>
          <w:rFonts w:cstheme="minorHAnsi"/>
          <w:sz w:val="24"/>
          <w:szCs w:val="24"/>
        </w:rPr>
      </w:pPr>
    </w:p>
    <w:p w:rsidR="00162F1D" w:rsidRPr="00162F1D" w:rsidRDefault="00162F1D" w:rsidP="00162F1D">
      <w:pPr>
        <w:spacing w:after="0" w:line="340" w:lineRule="atLeast"/>
        <w:ind w:left="720" w:hanging="720"/>
        <w:rPr>
          <w:rFonts w:eastAsia="Times New Roman" w:cstheme="minorHAnsi"/>
          <w:sz w:val="24"/>
          <w:szCs w:val="24"/>
          <w:lang w:eastAsia="en-AU"/>
        </w:rPr>
      </w:pPr>
      <w:proofErr w:type="gramStart"/>
      <w:r w:rsidRPr="00162F1D">
        <w:rPr>
          <w:rFonts w:eastAsia="Times New Roman" w:cstheme="minorHAnsi"/>
          <w:bCs/>
          <w:sz w:val="24"/>
          <w:szCs w:val="24"/>
          <w:lang w:eastAsia="en-AU"/>
        </w:rPr>
        <w:t>South Australian Centre for Economic Studies</w:t>
      </w:r>
      <w:r>
        <w:rPr>
          <w:rFonts w:eastAsia="Times New Roman" w:cstheme="minorHAnsi"/>
          <w:bCs/>
          <w:sz w:val="24"/>
          <w:szCs w:val="24"/>
          <w:lang w:eastAsia="en-AU"/>
        </w:rPr>
        <w:t xml:space="preserve"> (SACES), 2005</w:t>
      </w:r>
      <w:r w:rsidRPr="00162F1D">
        <w:rPr>
          <w:rFonts w:eastAsia="Times New Roman" w:cstheme="minorHAnsi"/>
          <w:b/>
          <w:bCs/>
          <w:sz w:val="24"/>
          <w:szCs w:val="24"/>
          <w:lang w:eastAsia="en-AU"/>
        </w:rPr>
        <w:t xml:space="preserve">, </w:t>
      </w:r>
      <w:r w:rsidRPr="00162F1D">
        <w:rPr>
          <w:rFonts w:eastAsia="Times New Roman" w:cstheme="minorHAnsi"/>
          <w:bCs/>
          <w:sz w:val="24"/>
          <w:szCs w:val="24"/>
          <w:lang w:eastAsia="en-AU"/>
        </w:rPr>
        <w:t>“The</w:t>
      </w:r>
      <w:r w:rsidRPr="00162F1D">
        <w:rPr>
          <w:rFonts w:eastAsia="Times New Roman" w:cstheme="minorHAnsi"/>
          <w:b/>
          <w:bCs/>
          <w:sz w:val="24"/>
          <w:szCs w:val="24"/>
          <w:lang w:eastAsia="en-AU"/>
        </w:rPr>
        <w:t xml:space="preserve"> </w:t>
      </w:r>
      <w:r w:rsidRPr="00162F1D">
        <w:rPr>
          <w:rFonts w:eastAsia="Times New Roman" w:cstheme="minorHAnsi"/>
          <w:sz w:val="24"/>
          <w:szCs w:val="24"/>
          <w:lang w:eastAsia="en-AU"/>
        </w:rPr>
        <w:t>Gross Economic Impact of the Proposed Expansion of Olympic Dam on the South Australian Economy”, SACES, Adelaide, 2005.</w:t>
      </w:r>
      <w:proofErr w:type="gramEnd"/>
    </w:p>
    <w:p w:rsidR="00C800B3" w:rsidRDefault="00C800B3" w:rsidP="00050DF2">
      <w:pPr>
        <w:spacing w:after="0" w:line="340" w:lineRule="atLeast"/>
        <w:rPr>
          <w:rFonts w:ascii="Times New Roman" w:eastAsia="Times New Roman" w:hAnsi="Times New Roman" w:cs="Times New Roman"/>
          <w:sz w:val="18"/>
          <w:szCs w:val="18"/>
          <w:lang w:eastAsia="en-AU"/>
        </w:rPr>
      </w:pPr>
    </w:p>
    <w:sectPr w:rsidR="00C800B3" w:rsidSect="008F7736">
      <w:headerReference w:type="default" r:id="rId15"/>
      <w:foot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474" w:rsidRDefault="00A22474" w:rsidP="00D63A6B">
      <w:pPr>
        <w:spacing w:after="0" w:line="240" w:lineRule="auto"/>
      </w:pPr>
      <w:r>
        <w:separator/>
      </w:r>
    </w:p>
  </w:endnote>
  <w:endnote w:type="continuationSeparator" w:id="0">
    <w:p w:rsidR="00A22474" w:rsidRDefault="00A22474" w:rsidP="00D63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330629"/>
      <w:docPartObj>
        <w:docPartGallery w:val="Page Numbers (Bottom of Page)"/>
        <w:docPartUnique/>
      </w:docPartObj>
    </w:sdtPr>
    <w:sdtEndPr>
      <w:rPr>
        <w:noProof/>
      </w:rPr>
    </w:sdtEndPr>
    <w:sdtContent>
      <w:p w:rsidR="00A22474" w:rsidRDefault="00A22474" w:rsidP="006E7A78">
        <w:pPr>
          <w:pStyle w:val="Footer"/>
          <w:jc w:val="center"/>
        </w:pPr>
        <w:r>
          <w:fldChar w:fldCharType="begin"/>
        </w:r>
        <w:r>
          <w:instrText xml:space="preserve"> PAGE   \* MERGEFORMAT </w:instrText>
        </w:r>
        <w:r>
          <w:fldChar w:fldCharType="separate"/>
        </w:r>
        <w:r w:rsidR="00562F28">
          <w:rPr>
            <w:noProof/>
          </w:rPr>
          <w:t>1</w:t>
        </w:r>
        <w:r>
          <w:rPr>
            <w:noProof/>
          </w:rPr>
          <w:fldChar w:fldCharType="end"/>
        </w:r>
      </w:p>
    </w:sdtContent>
  </w:sdt>
  <w:p w:rsidR="00A22474" w:rsidRDefault="00A2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474" w:rsidRDefault="00A22474" w:rsidP="00D63A6B">
      <w:pPr>
        <w:spacing w:after="0" w:line="240" w:lineRule="auto"/>
      </w:pPr>
      <w:r>
        <w:separator/>
      </w:r>
    </w:p>
  </w:footnote>
  <w:footnote w:type="continuationSeparator" w:id="0">
    <w:p w:rsidR="00A22474" w:rsidRDefault="00A22474" w:rsidP="00D63A6B">
      <w:pPr>
        <w:spacing w:after="0" w:line="240" w:lineRule="auto"/>
      </w:pPr>
      <w:r>
        <w:continuationSeparator/>
      </w:r>
    </w:p>
  </w:footnote>
  <w:footnote w:id="1">
    <w:p w:rsidR="00A22474" w:rsidRDefault="00A22474">
      <w:pPr>
        <w:pStyle w:val="FootnoteText"/>
      </w:pPr>
      <w:r>
        <w:rPr>
          <w:rStyle w:val="FootnoteReference"/>
        </w:rPr>
        <w:footnoteRef/>
      </w:r>
      <w:r>
        <w:t xml:space="preserve"> The SGLP report and update (Australian Government, 2011b and 2011c) provide a detailed description of the carbon price modelling of the Australian economy and present the results of the modelling. </w:t>
      </w:r>
    </w:p>
  </w:footnote>
  <w:footnote w:id="2">
    <w:p w:rsidR="00A22474" w:rsidRDefault="00A22474" w:rsidP="00B26E5E">
      <w:pPr>
        <w:pStyle w:val="FootnoteText"/>
      </w:pPr>
      <w:r>
        <w:rPr>
          <w:rStyle w:val="FootnoteReference"/>
        </w:rPr>
        <w:footnoteRef/>
      </w:r>
      <w:r>
        <w:t xml:space="preserve"> Detailed information on Treasury’s PRISMOD can be found in Henry and Wright (1992). </w:t>
      </w:r>
    </w:p>
  </w:footnote>
  <w:footnote w:id="3">
    <w:p w:rsidR="00A22474" w:rsidRDefault="00A22474">
      <w:pPr>
        <w:pStyle w:val="FootnoteText"/>
      </w:pPr>
      <w:r>
        <w:rPr>
          <w:rStyle w:val="FootnoteReference"/>
        </w:rPr>
        <w:footnoteRef/>
      </w:r>
      <w:r>
        <w:t xml:space="preserve"> </w:t>
      </w:r>
      <w:r w:rsidRPr="00FA0174">
        <w:t xml:space="preserve">STINMOD (Static Incomes Model) is </w:t>
      </w:r>
      <w:r>
        <w:t>t</w:t>
      </w:r>
      <w:r w:rsidRPr="00150E79">
        <w:t xml:space="preserve">he National Centre for Social and Economic </w:t>
      </w:r>
      <w:proofErr w:type="spellStart"/>
      <w:r w:rsidRPr="00150E79">
        <w:t>Modelling</w:t>
      </w:r>
      <w:r>
        <w:t>’s</w:t>
      </w:r>
      <w:proofErr w:type="spellEnd"/>
      <w:r>
        <w:t xml:space="preserve"> (</w:t>
      </w:r>
      <w:r w:rsidRPr="00FA0174">
        <w:t>NATSEM</w:t>
      </w:r>
      <w:r>
        <w:t>)</w:t>
      </w:r>
      <w:r w:rsidRPr="00FA0174">
        <w:t xml:space="preserve"> static micro</w:t>
      </w:r>
      <w:r>
        <w:t xml:space="preserve"> </w:t>
      </w:r>
      <w:r w:rsidRPr="00FA0174">
        <w:t>simulation model of Australia's income tax and transfer system</w:t>
      </w:r>
      <w:r>
        <w:t xml:space="preserve">. </w:t>
      </w:r>
      <w:r w:rsidRPr="00FA0174">
        <w:t>The model is mostly used to analyse the distributional and individual impacts of income tax and income support policies and to estimate the fiscal and distributional impacts of policy reform.</w:t>
      </w:r>
    </w:p>
  </w:footnote>
  <w:footnote w:id="4">
    <w:p w:rsidR="00A22474" w:rsidRDefault="00A22474">
      <w:pPr>
        <w:pStyle w:val="FootnoteText"/>
      </w:pPr>
      <w:r>
        <w:rPr>
          <w:rStyle w:val="FootnoteReference"/>
        </w:rPr>
        <w:footnoteRef/>
      </w:r>
      <w:r>
        <w:t xml:space="preserve"> Henry and Wright (1992) </w:t>
      </w:r>
      <w:proofErr w:type="gramStart"/>
      <w:r>
        <w:t>explains</w:t>
      </w:r>
      <w:proofErr w:type="gramEnd"/>
      <w:r>
        <w:t xml:space="preserve"> much of the algebra in greater detail.</w:t>
      </w:r>
    </w:p>
  </w:footnote>
  <w:footnote w:id="5">
    <w:p w:rsidR="00A22474" w:rsidRDefault="00A22474" w:rsidP="00E80EF4">
      <w:pPr>
        <w:pStyle w:val="FootnoteText"/>
      </w:pPr>
      <w:r>
        <w:rPr>
          <w:rStyle w:val="FootnoteReference"/>
        </w:rPr>
        <w:footnoteRef/>
      </w:r>
      <w:r>
        <w:t xml:space="preserve"> The Australian Government has stated that it intends to apply an </w:t>
      </w:r>
      <w:r w:rsidRPr="00DA39D5">
        <w:t>effective carbon price on fuel used by heavy on</w:t>
      </w:r>
      <w:r>
        <w:noBreakHyphen/>
        <w:t>r</w:t>
      </w:r>
      <w:r w:rsidRPr="00DA39D5">
        <w:t>oad transport from 2014</w:t>
      </w:r>
      <w:r w:rsidRPr="00DA39D5">
        <w:rPr>
          <w:rFonts w:ascii="MS Gothic" w:eastAsia="MS Gothic" w:hAnsi="MS Gothic" w:cs="MS Gothic" w:hint="eastAsia"/>
        </w:rPr>
        <w:t>‑</w:t>
      </w:r>
      <w:r w:rsidRPr="00DA39D5">
        <w:t>15</w:t>
      </w:r>
      <w:r>
        <w:t>, though this was not part of the legislated Clean Energy Future package.</w:t>
      </w:r>
    </w:p>
  </w:footnote>
  <w:footnote w:id="6">
    <w:p w:rsidR="00A22474" w:rsidRDefault="00A22474">
      <w:pPr>
        <w:pStyle w:val="FootnoteText"/>
      </w:pPr>
      <w:r>
        <w:rPr>
          <w:rStyle w:val="FootnoteReference"/>
        </w:rPr>
        <w:footnoteRef/>
      </w:r>
      <w:r>
        <w:t xml:space="preserve"> </w:t>
      </w:r>
      <w:r w:rsidRPr="006E7A78">
        <w:rPr>
          <w:i/>
        </w:rPr>
        <w:t>Household Expenditure Survey</w:t>
      </w:r>
      <w:r w:rsidRPr="00E15B76">
        <w:t xml:space="preserve"> and </w:t>
      </w:r>
      <w:r w:rsidRPr="006E7A78">
        <w:rPr>
          <w:i/>
        </w:rPr>
        <w:t>Survey of Income and Housing 2003-04</w:t>
      </w:r>
      <w:r w:rsidRPr="00E15B76">
        <w:t xml:space="preserve">, Cat. </w:t>
      </w:r>
      <w:proofErr w:type="gramStart"/>
      <w:r w:rsidRPr="00E15B76">
        <w:t>No. 6540.0, Australian Bureau of Statistics, Canberra.</w:t>
      </w:r>
      <w:proofErr w:type="gramEnd"/>
    </w:p>
  </w:footnote>
  <w:footnote w:id="7">
    <w:p w:rsidR="00A22474" w:rsidRDefault="00A22474" w:rsidP="001F4CC3">
      <w:pPr>
        <w:pStyle w:val="FootnoteText"/>
      </w:pPr>
      <w:r w:rsidRPr="00A9029F">
        <w:rPr>
          <w:vertAlign w:val="superscript"/>
        </w:rPr>
        <w:footnoteRef/>
      </w:r>
      <w:r>
        <w:t xml:space="preserve"> </w:t>
      </w:r>
      <w:r w:rsidRPr="00D21AB4">
        <w:rPr>
          <w:i/>
        </w:rPr>
        <w:t>Consumer Price Index</w:t>
      </w:r>
      <w:r>
        <w:t xml:space="preserve">, Cat. </w:t>
      </w:r>
      <w:proofErr w:type="gramStart"/>
      <w:r>
        <w:t xml:space="preserve">No. </w:t>
      </w:r>
      <w:r w:rsidRPr="006C4A26">
        <w:t>6401.0</w:t>
      </w:r>
      <w:r>
        <w:t xml:space="preserve">, </w:t>
      </w:r>
      <w:r w:rsidRPr="00E15B76">
        <w:t>Australian Bureau of Statistics, Canberra.</w:t>
      </w:r>
      <w:proofErr w:type="gramEnd"/>
    </w:p>
  </w:footnote>
  <w:footnote w:id="8">
    <w:p w:rsidR="00A22474" w:rsidRPr="00933A07" w:rsidRDefault="00A22474" w:rsidP="001F4CC3">
      <w:pPr>
        <w:pStyle w:val="FootnoteText"/>
        <w:rPr>
          <w:rStyle w:val="FootnoteReference"/>
        </w:rPr>
      </w:pPr>
      <w:r w:rsidRPr="00A9029F">
        <w:rPr>
          <w:vertAlign w:val="superscript"/>
        </w:rPr>
        <w:footnoteRef/>
      </w:r>
      <w:r>
        <w:t xml:space="preserve"> </w:t>
      </w:r>
      <w:proofErr w:type="gramStart"/>
      <w:r w:rsidRPr="00D21AB4">
        <w:rPr>
          <w:i/>
        </w:rPr>
        <w:t>Average Weekly Earnings</w:t>
      </w:r>
      <w:r w:rsidRPr="00E15B76">
        <w:t>, Cat.</w:t>
      </w:r>
      <w:proofErr w:type="gramEnd"/>
      <w:r w:rsidRPr="00E15B76">
        <w:t xml:space="preserve"> </w:t>
      </w:r>
      <w:proofErr w:type="gramStart"/>
      <w:r w:rsidRPr="00E15B76">
        <w:t>No. 6302.0, Australian Bureau of Statistics, Canberra.</w:t>
      </w:r>
      <w:proofErr w:type="gramEnd"/>
    </w:p>
  </w:footnote>
  <w:footnote w:id="9">
    <w:p w:rsidR="00A22474" w:rsidRPr="001140C6" w:rsidRDefault="00A22474" w:rsidP="001140C6">
      <w:pPr>
        <w:pStyle w:val="FootnoteText"/>
        <w:jc w:val="both"/>
        <w:rPr>
          <w:sz w:val="22"/>
          <w:szCs w:val="22"/>
          <w:vertAlign w:val="superscript"/>
        </w:rPr>
      </w:pPr>
      <w:r>
        <w:rPr>
          <w:rStyle w:val="FootnoteReference"/>
        </w:rPr>
        <w:footnoteRef/>
      </w:r>
      <w:r>
        <w:t xml:space="preserve"> </w:t>
      </w:r>
      <w:r w:rsidRPr="00E15B76">
        <w:t>For each surveyed household, all wages, transfer payments, tax rates and thresholds are updated to derive a 2012-13 household disposable income. The ‘weights’ assigned to the survey households are then adjusted to reflect demographic changes. The household ‘weights’ then allow aggregation of the sample survey data to estimate impacts for the Australian population in 2012-13.</w:t>
      </w:r>
    </w:p>
  </w:footnote>
  <w:footnote w:id="10">
    <w:p w:rsidR="00A22474" w:rsidRDefault="00A22474" w:rsidP="00E80EF4">
      <w:pPr>
        <w:pStyle w:val="FootnoteText"/>
      </w:pPr>
      <w:r>
        <w:rPr>
          <w:rStyle w:val="FootnoteReference"/>
        </w:rPr>
        <w:footnoteRef/>
      </w:r>
      <w:r>
        <w:t xml:space="preserve"> </w:t>
      </w:r>
      <w:r w:rsidRPr="005A2EDF">
        <w:rPr>
          <w:rFonts w:cstheme="minorHAnsi"/>
        </w:rPr>
        <w:t xml:space="preserve">The IOPG 09 to HEC 2009-10 </w:t>
      </w:r>
      <w:r>
        <w:rPr>
          <w:rFonts w:cstheme="minorHAnsi"/>
        </w:rPr>
        <w:t>concordance</w:t>
      </w:r>
      <w:r w:rsidRPr="005A2EDF">
        <w:rPr>
          <w:rFonts w:cstheme="minorHAnsi"/>
        </w:rPr>
        <w:t xml:space="preserve"> </w:t>
      </w:r>
      <w:proofErr w:type="gramStart"/>
      <w:r w:rsidRPr="005A2EDF">
        <w:rPr>
          <w:rFonts w:cstheme="minorHAnsi"/>
        </w:rPr>
        <w:t>table</w:t>
      </w:r>
      <w:proofErr w:type="gramEnd"/>
      <w:r w:rsidRPr="005A2EDF">
        <w:rPr>
          <w:rFonts w:cstheme="minorHAnsi"/>
        </w:rPr>
        <w:t xml:space="preserve"> is available on the ABS </w:t>
      </w:r>
      <w:r>
        <w:rPr>
          <w:rFonts w:cstheme="minorHAnsi"/>
        </w:rPr>
        <w:t>web</w:t>
      </w:r>
      <w:r w:rsidRPr="005A2EDF">
        <w:rPr>
          <w:rFonts w:cstheme="minorHAnsi"/>
        </w:rPr>
        <w:t xml:space="preserve"> site with a number of caveats relating to coverage differences between HFCE data in the I-O tables and HES data.</w:t>
      </w:r>
    </w:p>
  </w:footnote>
  <w:footnote w:id="11">
    <w:p w:rsidR="00A22474" w:rsidRDefault="00A22474" w:rsidP="009C5F25">
      <w:pPr>
        <w:pStyle w:val="FootnoteText"/>
        <w:jc w:val="both"/>
      </w:pPr>
      <w:r>
        <w:rPr>
          <w:rStyle w:val="FootnoteReference"/>
        </w:rPr>
        <w:footnoteRef/>
      </w:r>
      <w:r>
        <w:t xml:space="preserve"> The CPI subgroup classification </w:t>
      </w:r>
      <w:r w:rsidRPr="00934414">
        <w:t>broadly aligns with the international standard Classification of Individual Consumption by Purpose</w:t>
      </w:r>
      <w:r>
        <w:rPr>
          <w:i/>
        </w:rPr>
        <w:t>.</w:t>
      </w:r>
      <w:r w:rsidRPr="007F678D">
        <w:t xml:space="preserve"> </w:t>
      </w:r>
      <w:r>
        <w:t xml:space="preserve">More information can be found in </w:t>
      </w:r>
      <w:r w:rsidRPr="00A0309C">
        <w:rPr>
          <w:i/>
        </w:rPr>
        <w:t>Information Paper: Introduction of the 15</w:t>
      </w:r>
      <w:r w:rsidRPr="00A0309C">
        <w:rPr>
          <w:i/>
          <w:vertAlign w:val="superscript"/>
        </w:rPr>
        <w:t>th</w:t>
      </w:r>
      <w:r w:rsidRPr="00A0309C">
        <w:rPr>
          <w:i/>
        </w:rPr>
        <w:t xml:space="preserve"> Series Australian Consumer Price Index Australia September 2009</w:t>
      </w:r>
      <w:r>
        <w:t xml:space="preserve"> (catalogue number 6470.0).</w:t>
      </w:r>
    </w:p>
  </w:footnote>
  <w:footnote w:id="12">
    <w:p w:rsidR="00A22474" w:rsidRPr="009C5F25" w:rsidRDefault="00A22474" w:rsidP="009C5F25">
      <w:pPr>
        <w:pStyle w:val="FootnoteText"/>
      </w:pPr>
      <w:r w:rsidRPr="009C5F25">
        <w:rPr>
          <w:rStyle w:val="FootnoteReference"/>
        </w:rPr>
        <w:footnoteRef/>
      </w:r>
      <w:r w:rsidRPr="009C5F25">
        <w:t xml:space="preserve"> </w:t>
      </w:r>
      <w:hyperlink r:id="rId1" w:history="1">
        <w:r w:rsidRPr="009C5F25">
          <w:rPr>
            <w:rStyle w:val="Hyperlink"/>
            <w:sz w:val="20"/>
            <w:szCs w:val="20"/>
          </w:rPr>
          <w:t>http://www.treasury.gov.au/contentitem.asp?NavId=035&amp;ContentID=2118</w:t>
        </w:r>
      </w:hyperlink>
    </w:p>
  </w:footnote>
  <w:footnote w:id="13">
    <w:p w:rsidR="00A22474" w:rsidRPr="001233B3" w:rsidRDefault="00A22474" w:rsidP="00734468">
      <w:pPr>
        <w:pStyle w:val="FootnoteText"/>
        <w:rPr>
          <w:rFonts w:cstheme="minorHAnsi"/>
        </w:rPr>
      </w:pPr>
      <w:r>
        <w:rPr>
          <w:rStyle w:val="FootnoteReference"/>
        </w:rPr>
        <w:footnoteRef/>
      </w:r>
      <w:r>
        <w:t xml:space="preserve"> </w:t>
      </w:r>
      <w:r w:rsidRPr="006B2B17">
        <w:rPr>
          <w:rFonts w:cstheme="minorHAnsi"/>
          <w:i/>
          <w:color w:val="000000"/>
        </w:rPr>
        <w:t>Australian Energy Statistics</w:t>
      </w:r>
      <w:r w:rsidRPr="001233B3">
        <w:rPr>
          <w:rFonts w:cstheme="minorHAnsi"/>
          <w:color w:val="000000"/>
        </w:rPr>
        <w:t xml:space="preserve"> (AES) produced by the Bureau of Resource and Energy Economics (BREE).</w:t>
      </w:r>
    </w:p>
  </w:footnote>
  <w:footnote w:id="14">
    <w:p w:rsidR="00A22474" w:rsidRPr="00055227" w:rsidRDefault="00A22474" w:rsidP="00734468">
      <w:pPr>
        <w:pStyle w:val="FootnoteText"/>
        <w:rPr>
          <w:rFonts w:cstheme="minorHAnsi"/>
        </w:rPr>
      </w:pPr>
      <w:r w:rsidRPr="001A61E0">
        <w:rPr>
          <w:rStyle w:val="FootnoteReference"/>
          <w:rFonts w:cstheme="minorHAnsi"/>
        </w:rPr>
        <w:footnoteRef/>
      </w:r>
      <w:r w:rsidRPr="001A61E0">
        <w:rPr>
          <w:rFonts w:cstheme="minorHAnsi"/>
        </w:rPr>
        <w:t xml:space="preserve"> </w:t>
      </w:r>
      <w:r w:rsidRPr="00055227">
        <w:rPr>
          <w:rFonts w:cstheme="minorHAnsi"/>
          <w:color w:val="000000"/>
        </w:rPr>
        <w:t xml:space="preserve">ABS </w:t>
      </w:r>
      <w:r w:rsidRPr="00055227">
        <w:rPr>
          <w:rFonts w:cstheme="minorHAnsi"/>
          <w:i/>
          <w:color w:val="000000"/>
        </w:rPr>
        <w:t xml:space="preserve">Energy, Water and Environment Management Survey </w:t>
      </w:r>
      <w:r w:rsidRPr="00055227">
        <w:rPr>
          <w:rFonts w:cstheme="minorHAnsi"/>
          <w:color w:val="000000"/>
        </w:rPr>
        <w:t>(EWES).</w:t>
      </w:r>
    </w:p>
  </w:footnote>
  <w:footnote w:id="15">
    <w:p w:rsidR="00A22474" w:rsidRPr="006B2B17" w:rsidRDefault="00A22474">
      <w:pPr>
        <w:pStyle w:val="FootnoteText"/>
        <w:rPr>
          <w:rFonts w:cstheme="minorHAnsi"/>
        </w:rPr>
      </w:pPr>
      <w:r w:rsidRPr="001A61E0">
        <w:rPr>
          <w:rStyle w:val="FootnoteReference"/>
          <w:rFonts w:cstheme="minorHAnsi"/>
        </w:rPr>
        <w:footnoteRef/>
      </w:r>
      <w:r w:rsidRPr="001A61E0">
        <w:rPr>
          <w:rFonts w:cstheme="minorHAnsi"/>
        </w:rPr>
        <w:t xml:space="preserve"> </w:t>
      </w:r>
      <w:proofErr w:type="gramStart"/>
      <w:r w:rsidRPr="00A0309C">
        <w:rPr>
          <w:rFonts w:cstheme="minorHAnsi"/>
          <w:color w:val="000000"/>
        </w:rPr>
        <w:t>ABS Annual Integrated Collection (</w:t>
      </w:r>
      <w:r w:rsidRPr="00A0309C">
        <w:rPr>
          <w:rFonts w:cstheme="minorHAnsi"/>
          <w:i/>
          <w:color w:val="000000"/>
        </w:rPr>
        <w:t>Economic Activity Survey</w:t>
      </w:r>
      <w:r w:rsidRPr="00A0309C">
        <w:rPr>
          <w:rFonts w:cstheme="minorHAnsi"/>
          <w:color w:val="000000"/>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474" w:rsidRDefault="00A22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12D"/>
    <w:multiLevelType w:val="singleLevel"/>
    <w:tmpl w:val="82C42F32"/>
    <w:name w:val="StandardNumberedParagraphList"/>
    <w:lvl w:ilvl="0">
      <w:start w:val="2"/>
      <w:numFmt w:val="decimal"/>
      <w:pStyle w:val="NumberedParagraph"/>
      <w:lvlText w:val="%1."/>
      <w:lvlJc w:val="left"/>
      <w:pPr>
        <w:tabs>
          <w:tab w:val="num" w:pos="567"/>
        </w:tabs>
        <w:ind w:left="0" w:firstLine="0"/>
      </w:pPr>
    </w:lvl>
  </w:abstractNum>
  <w:abstractNum w:abstractNumId="1">
    <w:nsid w:val="112D16C4"/>
    <w:multiLevelType w:val="multilevel"/>
    <w:tmpl w:val="6EB6940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73D37"/>
    <w:multiLevelType w:val="hybridMultilevel"/>
    <w:tmpl w:val="3FD6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E4E5633"/>
    <w:multiLevelType w:val="hybridMultilevel"/>
    <w:tmpl w:val="9C2249CC"/>
    <w:lvl w:ilvl="0" w:tplc="B6A09B3A">
      <w:numFmt w:val="bullet"/>
      <w:lvlText w:val="-"/>
      <w:lvlJc w:val="left"/>
      <w:pPr>
        <w:ind w:left="880" w:hanging="360"/>
      </w:pPr>
      <w:rPr>
        <w:rFonts w:ascii="Calibri" w:eastAsia="Times New Roman" w:hAnsi="Calibri" w:cs="Calibri"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
    <w:nsid w:val="2EF81A2F"/>
    <w:multiLevelType w:val="hybridMultilevel"/>
    <w:tmpl w:val="6DF6F68E"/>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319570C9"/>
    <w:multiLevelType w:val="hybridMultilevel"/>
    <w:tmpl w:val="25105E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976300"/>
    <w:multiLevelType w:val="hybridMultilevel"/>
    <w:tmpl w:val="9E54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F4291"/>
    <w:multiLevelType w:val="hybridMultilevel"/>
    <w:tmpl w:val="BBA40F98"/>
    <w:lvl w:ilvl="0" w:tplc="1954F5B0">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3BE558F"/>
    <w:multiLevelType w:val="hybridMultilevel"/>
    <w:tmpl w:val="1BCEFA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80F1EFB"/>
    <w:multiLevelType w:val="multilevel"/>
    <w:tmpl w:val="EF38EBF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4"/>
  </w:num>
  <w:num w:numId="4">
    <w:abstractNumId w:val="3"/>
  </w:num>
  <w:num w:numId="5">
    <w:abstractNumId w:val="2"/>
  </w:num>
  <w:num w:numId="6">
    <w:abstractNumId w:val="2"/>
  </w:num>
  <w:num w:numId="7">
    <w:abstractNumId w:val="5"/>
  </w:num>
  <w:num w:numId="8">
    <w:abstractNumId w:val="7"/>
  </w:num>
  <w:num w:numId="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B1"/>
    <w:rsid w:val="0000217D"/>
    <w:rsid w:val="00002321"/>
    <w:rsid w:val="00003F1E"/>
    <w:rsid w:val="00027924"/>
    <w:rsid w:val="00031F9B"/>
    <w:rsid w:val="00034BAF"/>
    <w:rsid w:val="00050DF2"/>
    <w:rsid w:val="00055227"/>
    <w:rsid w:val="000637A8"/>
    <w:rsid w:val="00063EF3"/>
    <w:rsid w:val="00067E2A"/>
    <w:rsid w:val="00072C5A"/>
    <w:rsid w:val="000765EA"/>
    <w:rsid w:val="000933C4"/>
    <w:rsid w:val="000953D9"/>
    <w:rsid w:val="00096B95"/>
    <w:rsid w:val="000A0ABE"/>
    <w:rsid w:val="000B0AB8"/>
    <w:rsid w:val="000B0D61"/>
    <w:rsid w:val="000B3C57"/>
    <w:rsid w:val="000D27CC"/>
    <w:rsid w:val="000E11C0"/>
    <w:rsid w:val="000E1369"/>
    <w:rsid w:val="000E63C5"/>
    <w:rsid w:val="000F2B92"/>
    <w:rsid w:val="000F6243"/>
    <w:rsid w:val="0010439F"/>
    <w:rsid w:val="001140C6"/>
    <w:rsid w:val="00115A00"/>
    <w:rsid w:val="00122B2F"/>
    <w:rsid w:val="001233B3"/>
    <w:rsid w:val="00124DE6"/>
    <w:rsid w:val="00126EA5"/>
    <w:rsid w:val="0013677B"/>
    <w:rsid w:val="001433CE"/>
    <w:rsid w:val="00147D2F"/>
    <w:rsid w:val="00153666"/>
    <w:rsid w:val="00162F1D"/>
    <w:rsid w:val="00167F82"/>
    <w:rsid w:val="00170044"/>
    <w:rsid w:val="001745F7"/>
    <w:rsid w:val="00197769"/>
    <w:rsid w:val="001A043D"/>
    <w:rsid w:val="001A61E0"/>
    <w:rsid w:val="001A6F2E"/>
    <w:rsid w:val="001A7907"/>
    <w:rsid w:val="001B09DA"/>
    <w:rsid w:val="001C3734"/>
    <w:rsid w:val="001C610D"/>
    <w:rsid w:val="001E18B2"/>
    <w:rsid w:val="001E4996"/>
    <w:rsid w:val="001F1AB1"/>
    <w:rsid w:val="001F1D9E"/>
    <w:rsid w:val="001F487A"/>
    <w:rsid w:val="001F4CC3"/>
    <w:rsid w:val="00212609"/>
    <w:rsid w:val="00230B29"/>
    <w:rsid w:val="00236A23"/>
    <w:rsid w:val="00241222"/>
    <w:rsid w:val="002452F4"/>
    <w:rsid w:val="00246AF1"/>
    <w:rsid w:val="00251D02"/>
    <w:rsid w:val="00252010"/>
    <w:rsid w:val="00256D71"/>
    <w:rsid w:val="00264E32"/>
    <w:rsid w:val="00265130"/>
    <w:rsid w:val="002811F2"/>
    <w:rsid w:val="00285FFD"/>
    <w:rsid w:val="00290194"/>
    <w:rsid w:val="00290F9B"/>
    <w:rsid w:val="002948B8"/>
    <w:rsid w:val="0029618D"/>
    <w:rsid w:val="002A6A72"/>
    <w:rsid w:val="002A7607"/>
    <w:rsid w:val="002B2835"/>
    <w:rsid w:val="002B67BC"/>
    <w:rsid w:val="002C429F"/>
    <w:rsid w:val="002D07C8"/>
    <w:rsid w:val="002D48C2"/>
    <w:rsid w:val="002D7A9F"/>
    <w:rsid w:val="002E28F1"/>
    <w:rsid w:val="002F16EA"/>
    <w:rsid w:val="002F5A4C"/>
    <w:rsid w:val="00302849"/>
    <w:rsid w:val="00303A46"/>
    <w:rsid w:val="00303B9C"/>
    <w:rsid w:val="00322E9C"/>
    <w:rsid w:val="003237BC"/>
    <w:rsid w:val="00336769"/>
    <w:rsid w:val="00343B7B"/>
    <w:rsid w:val="00352159"/>
    <w:rsid w:val="00354F6B"/>
    <w:rsid w:val="0037346B"/>
    <w:rsid w:val="00375A03"/>
    <w:rsid w:val="00377C1A"/>
    <w:rsid w:val="00380EE7"/>
    <w:rsid w:val="00381EE0"/>
    <w:rsid w:val="00393FCB"/>
    <w:rsid w:val="003A0C03"/>
    <w:rsid w:val="003A28A3"/>
    <w:rsid w:val="003A4BE7"/>
    <w:rsid w:val="003B5077"/>
    <w:rsid w:val="003B59EE"/>
    <w:rsid w:val="003B6673"/>
    <w:rsid w:val="003C217F"/>
    <w:rsid w:val="003C3DD8"/>
    <w:rsid w:val="003C68B6"/>
    <w:rsid w:val="003D1427"/>
    <w:rsid w:val="003D2014"/>
    <w:rsid w:val="003D783A"/>
    <w:rsid w:val="003D7882"/>
    <w:rsid w:val="003E0D74"/>
    <w:rsid w:val="003F0ACC"/>
    <w:rsid w:val="003F600E"/>
    <w:rsid w:val="00402DBE"/>
    <w:rsid w:val="00403C24"/>
    <w:rsid w:val="00430437"/>
    <w:rsid w:val="004319D5"/>
    <w:rsid w:val="004522A7"/>
    <w:rsid w:val="0047613E"/>
    <w:rsid w:val="004828EE"/>
    <w:rsid w:val="004829E8"/>
    <w:rsid w:val="00482F01"/>
    <w:rsid w:val="004914B9"/>
    <w:rsid w:val="004A21F9"/>
    <w:rsid w:val="004B0360"/>
    <w:rsid w:val="004C63DC"/>
    <w:rsid w:val="004D4BAA"/>
    <w:rsid w:val="004D62CB"/>
    <w:rsid w:val="004D64AC"/>
    <w:rsid w:val="004D68F8"/>
    <w:rsid w:val="004D773B"/>
    <w:rsid w:val="004E31FA"/>
    <w:rsid w:val="004E737B"/>
    <w:rsid w:val="004F78C3"/>
    <w:rsid w:val="00504AF3"/>
    <w:rsid w:val="005235BE"/>
    <w:rsid w:val="00530906"/>
    <w:rsid w:val="005337E2"/>
    <w:rsid w:val="005458B8"/>
    <w:rsid w:val="00551233"/>
    <w:rsid w:val="005601D1"/>
    <w:rsid w:val="00562F28"/>
    <w:rsid w:val="0057211A"/>
    <w:rsid w:val="00573DED"/>
    <w:rsid w:val="00576878"/>
    <w:rsid w:val="00577210"/>
    <w:rsid w:val="005772B1"/>
    <w:rsid w:val="00581377"/>
    <w:rsid w:val="005858AF"/>
    <w:rsid w:val="00591313"/>
    <w:rsid w:val="0059313C"/>
    <w:rsid w:val="00597899"/>
    <w:rsid w:val="005A2EDF"/>
    <w:rsid w:val="005A663D"/>
    <w:rsid w:val="005B40AB"/>
    <w:rsid w:val="005B49A5"/>
    <w:rsid w:val="005C0116"/>
    <w:rsid w:val="005C1E7C"/>
    <w:rsid w:val="005C23DF"/>
    <w:rsid w:val="005C455A"/>
    <w:rsid w:val="005C4FB7"/>
    <w:rsid w:val="005D0C6A"/>
    <w:rsid w:val="005D2D74"/>
    <w:rsid w:val="005E0BF5"/>
    <w:rsid w:val="005E1910"/>
    <w:rsid w:val="005F26DC"/>
    <w:rsid w:val="005F52D3"/>
    <w:rsid w:val="005F5D0C"/>
    <w:rsid w:val="006005E8"/>
    <w:rsid w:val="00600D45"/>
    <w:rsid w:val="00604D15"/>
    <w:rsid w:val="00605E1A"/>
    <w:rsid w:val="00622A30"/>
    <w:rsid w:val="00623A4D"/>
    <w:rsid w:val="00632611"/>
    <w:rsid w:val="00644DCE"/>
    <w:rsid w:val="00651511"/>
    <w:rsid w:val="006559CA"/>
    <w:rsid w:val="00655BF6"/>
    <w:rsid w:val="00663125"/>
    <w:rsid w:val="00673F67"/>
    <w:rsid w:val="00692130"/>
    <w:rsid w:val="00693904"/>
    <w:rsid w:val="006A60B6"/>
    <w:rsid w:val="006A723E"/>
    <w:rsid w:val="006B2B17"/>
    <w:rsid w:val="006B5C3A"/>
    <w:rsid w:val="006C5422"/>
    <w:rsid w:val="006D4ACC"/>
    <w:rsid w:val="006E7A78"/>
    <w:rsid w:val="006F1A83"/>
    <w:rsid w:val="0072354E"/>
    <w:rsid w:val="00730079"/>
    <w:rsid w:val="00734468"/>
    <w:rsid w:val="0074539D"/>
    <w:rsid w:val="007550AC"/>
    <w:rsid w:val="007616C6"/>
    <w:rsid w:val="0076243A"/>
    <w:rsid w:val="007638D8"/>
    <w:rsid w:val="00782023"/>
    <w:rsid w:val="00797330"/>
    <w:rsid w:val="00797DE4"/>
    <w:rsid w:val="007A0796"/>
    <w:rsid w:val="007A5D1E"/>
    <w:rsid w:val="007B519F"/>
    <w:rsid w:val="007B62AD"/>
    <w:rsid w:val="007B73B7"/>
    <w:rsid w:val="007C0028"/>
    <w:rsid w:val="007C4BD1"/>
    <w:rsid w:val="007D0ACB"/>
    <w:rsid w:val="007D2993"/>
    <w:rsid w:val="007F48E3"/>
    <w:rsid w:val="00801D69"/>
    <w:rsid w:val="00802D24"/>
    <w:rsid w:val="00802ED9"/>
    <w:rsid w:val="00803A7D"/>
    <w:rsid w:val="008217E0"/>
    <w:rsid w:val="00822BD4"/>
    <w:rsid w:val="00825A68"/>
    <w:rsid w:val="00825DA6"/>
    <w:rsid w:val="00826C44"/>
    <w:rsid w:val="008414D8"/>
    <w:rsid w:val="00844B28"/>
    <w:rsid w:val="00846B5C"/>
    <w:rsid w:val="00847440"/>
    <w:rsid w:val="008616DF"/>
    <w:rsid w:val="00863CCC"/>
    <w:rsid w:val="0086452A"/>
    <w:rsid w:val="008707D3"/>
    <w:rsid w:val="00877084"/>
    <w:rsid w:val="00886B5E"/>
    <w:rsid w:val="008B1F8C"/>
    <w:rsid w:val="008B4626"/>
    <w:rsid w:val="008C2F73"/>
    <w:rsid w:val="008C41FA"/>
    <w:rsid w:val="008C719C"/>
    <w:rsid w:val="008E0FF9"/>
    <w:rsid w:val="008E50A0"/>
    <w:rsid w:val="008E56F1"/>
    <w:rsid w:val="008F0958"/>
    <w:rsid w:val="008F21BE"/>
    <w:rsid w:val="008F385B"/>
    <w:rsid w:val="008F5015"/>
    <w:rsid w:val="008F7736"/>
    <w:rsid w:val="0090426C"/>
    <w:rsid w:val="00907EE4"/>
    <w:rsid w:val="009118B3"/>
    <w:rsid w:val="00911E85"/>
    <w:rsid w:val="00927084"/>
    <w:rsid w:val="0092735B"/>
    <w:rsid w:val="00935A79"/>
    <w:rsid w:val="009403A2"/>
    <w:rsid w:val="00946328"/>
    <w:rsid w:val="00947B7F"/>
    <w:rsid w:val="00962CBD"/>
    <w:rsid w:val="0096748F"/>
    <w:rsid w:val="00977C4B"/>
    <w:rsid w:val="009801FA"/>
    <w:rsid w:val="009A0F72"/>
    <w:rsid w:val="009A67EE"/>
    <w:rsid w:val="009C5F25"/>
    <w:rsid w:val="009D16D3"/>
    <w:rsid w:val="009D63C4"/>
    <w:rsid w:val="009D7FC3"/>
    <w:rsid w:val="009F1B7C"/>
    <w:rsid w:val="009F4712"/>
    <w:rsid w:val="009F6F2A"/>
    <w:rsid w:val="00A0309C"/>
    <w:rsid w:val="00A030F4"/>
    <w:rsid w:val="00A20567"/>
    <w:rsid w:val="00A22474"/>
    <w:rsid w:val="00A236F7"/>
    <w:rsid w:val="00A24712"/>
    <w:rsid w:val="00A26814"/>
    <w:rsid w:val="00A27623"/>
    <w:rsid w:val="00A35254"/>
    <w:rsid w:val="00A456AE"/>
    <w:rsid w:val="00A74073"/>
    <w:rsid w:val="00A74D04"/>
    <w:rsid w:val="00A77E54"/>
    <w:rsid w:val="00A84710"/>
    <w:rsid w:val="00A86F8A"/>
    <w:rsid w:val="00A90253"/>
    <w:rsid w:val="00AC6EB0"/>
    <w:rsid w:val="00AD2D8F"/>
    <w:rsid w:val="00AE1842"/>
    <w:rsid w:val="00AE3B5E"/>
    <w:rsid w:val="00AE76BA"/>
    <w:rsid w:val="00AF088A"/>
    <w:rsid w:val="00AF44D4"/>
    <w:rsid w:val="00B072E0"/>
    <w:rsid w:val="00B07535"/>
    <w:rsid w:val="00B079DD"/>
    <w:rsid w:val="00B10FDC"/>
    <w:rsid w:val="00B168D7"/>
    <w:rsid w:val="00B2221F"/>
    <w:rsid w:val="00B25A70"/>
    <w:rsid w:val="00B26E5E"/>
    <w:rsid w:val="00B35F3F"/>
    <w:rsid w:val="00B53D83"/>
    <w:rsid w:val="00B5449A"/>
    <w:rsid w:val="00B57527"/>
    <w:rsid w:val="00B700EA"/>
    <w:rsid w:val="00B76C02"/>
    <w:rsid w:val="00B82646"/>
    <w:rsid w:val="00B86BA6"/>
    <w:rsid w:val="00BA0F84"/>
    <w:rsid w:val="00BA28EC"/>
    <w:rsid w:val="00BA38AE"/>
    <w:rsid w:val="00BA68BF"/>
    <w:rsid w:val="00BB3984"/>
    <w:rsid w:val="00BB550C"/>
    <w:rsid w:val="00BB5EE1"/>
    <w:rsid w:val="00BB6472"/>
    <w:rsid w:val="00BB65B4"/>
    <w:rsid w:val="00BF5777"/>
    <w:rsid w:val="00C010B3"/>
    <w:rsid w:val="00C061E8"/>
    <w:rsid w:val="00C155F8"/>
    <w:rsid w:val="00C2480A"/>
    <w:rsid w:val="00C24988"/>
    <w:rsid w:val="00C32B59"/>
    <w:rsid w:val="00C34DD4"/>
    <w:rsid w:val="00C448DC"/>
    <w:rsid w:val="00C47B6C"/>
    <w:rsid w:val="00C56434"/>
    <w:rsid w:val="00C56A19"/>
    <w:rsid w:val="00C7406C"/>
    <w:rsid w:val="00C800B3"/>
    <w:rsid w:val="00C83E97"/>
    <w:rsid w:val="00C949B1"/>
    <w:rsid w:val="00CC360A"/>
    <w:rsid w:val="00CC743B"/>
    <w:rsid w:val="00CD070C"/>
    <w:rsid w:val="00CD53CD"/>
    <w:rsid w:val="00CD63DA"/>
    <w:rsid w:val="00CF1869"/>
    <w:rsid w:val="00D21AB4"/>
    <w:rsid w:val="00D22B59"/>
    <w:rsid w:val="00D259E5"/>
    <w:rsid w:val="00D26A19"/>
    <w:rsid w:val="00D30F93"/>
    <w:rsid w:val="00D407BB"/>
    <w:rsid w:val="00D42C78"/>
    <w:rsid w:val="00D47322"/>
    <w:rsid w:val="00D54CD1"/>
    <w:rsid w:val="00D55998"/>
    <w:rsid w:val="00D63A6B"/>
    <w:rsid w:val="00D7077E"/>
    <w:rsid w:val="00D97F3B"/>
    <w:rsid w:val="00DA05F9"/>
    <w:rsid w:val="00DA30E8"/>
    <w:rsid w:val="00DA39D5"/>
    <w:rsid w:val="00DB2388"/>
    <w:rsid w:val="00DB32EA"/>
    <w:rsid w:val="00DC272D"/>
    <w:rsid w:val="00DC76F5"/>
    <w:rsid w:val="00DC7CF7"/>
    <w:rsid w:val="00DD1993"/>
    <w:rsid w:val="00DE5DCD"/>
    <w:rsid w:val="00DE77D9"/>
    <w:rsid w:val="00DF325C"/>
    <w:rsid w:val="00DF555A"/>
    <w:rsid w:val="00E0023E"/>
    <w:rsid w:val="00E0238D"/>
    <w:rsid w:val="00E06FE7"/>
    <w:rsid w:val="00E144A9"/>
    <w:rsid w:val="00E230AE"/>
    <w:rsid w:val="00E231C2"/>
    <w:rsid w:val="00E26D36"/>
    <w:rsid w:val="00E42EBA"/>
    <w:rsid w:val="00E4533F"/>
    <w:rsid w:val="00E5695E"/>
    <w:rsid w:val="00E6529B"/>
    <w:rsid w:val="00E66E44"/>
    <w:rsid w:val="00E72E31"/>
    <w:rsid w:val="00E7461F"/>
    <w:rsid w:val="00E80EF4"/>
    <w:rsid w:val="00E819FE"/>
    <w:rsid w:val="00E81C6C"/>
    <w:rsid w:val="00E82D59"/>
    <w:rsid w:val="00E850D8"/>
    <w:rsid w:val="00E9684E"/>
    <w:rsid w:val="00EA151B"/>
    <w:rsid w:val="00EB1685"/>
    <w:rsid w:val="00EF765E"/>
    <w:rsid w:val="00EF7D02"/>
    <w:rsid w:val="00F16F4F"/>
    <w:rsid w:val="00F2252A"/>
    <w:rsid w:val="00F229CF"/>
    <w:rsid w:val="00F30DD0"/>
    <w:rsid w:val="00F37241"/>
    <w:rsid w:val="00F42357"/>
    <w:rsid w:val="00F47CCD"/>
    <w:rsid w:val="00F5009A"/>
    <w:rsid w:val="00F57F95"/>
    <w:rsid w:val="00F66D5E"/>
    <w:rsid w:val="00F74209"/>
    <w:rsid w:val="00F75AB6"/>
    <w:rsid w:val="00F821AA"/>
    <w:rsid w:val="00F83399"/>
    <w:rsid w:val="00F85D66"/>
    <w:rsid w:val="00F94D56"/>
    <w:rsid w:val="00FB1DE6"/>
    <w:rsid w:val="00FB6A46"/>
    <w:rsid w:val="00FD1E1D"/>
    <w:rsid w:val="00FD5BED"/>
    <w:rsid w:val="00FD60CF"/>
    <w:rsid w:val="00FE1820"/>
    <w:rsid w:val="00FE693F"/>
    <w:rsid w:val="00FF0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B1"/>
  </w:style>
  <w:style w:type="paragraph" w:styleId="Heading1">
    <w:name w:val="heading 1"/>
    <w:basedOn w:val="Normal"/>
    <w:next w:val="Normal"/>
    <w:link w:val="Heading1Char"/>
    <w:uiPriority w:val="9"/>
    <w:qFormat/>
    <w:rsid w:val="00430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F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04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EF765E"/>
    <w:pPr>
      <w:numPr>
        <w:numId w:val="1"/>
      </w:numPr>
      <w:spacing w:after="48" w:line="360" w:lineRule="atLeast"/>
    </w:pPr>
    <w:rPr>
      <w:rFonts w:eastAsia="Times New Roman" w:cstheme="minorHAnsi"/>
      <w:color w:val="000000"/>
      <w:lang w:eastAsia="en-AU"/>
    </w:rPr>
  </w:style>
  <w:style w:type="character" w:customStyle="1" w:styleId="BulletChar">
    <w:name w:val="Bullet Char"/>
    <w:basedOn w:val="DefaultParagraphFont"/>
    <w:link w:val="Bullet"/>
    <w:rsid w:val="00EF765E"/>
    <w:rPr>
      <w:rFonts w:eastAsia="Times New Roman" w:cstheme="minorHAnsi"/>
      <w:color w:val="000000"/>
      <w:lang w:eastAsia="en-AU"/>
    </w:rPr>
  </w:style>
  <w:style w:type="paragraph" w:customStyle="1" w:styleId="Dash">
    <w:name w:val="Dash"/>
    <w:basedOn w:val="Normal"/>
    <w:rsid w:val="00EF765E"/>
    <w:pPr>
      <w:numPr>
        <w:ilvl w:val="1"/>
        <w:numId w:val="1"/>
      </w:numPr>
      <w:spacing w:after="48" w:line="360" w:lineRule="atLeast"/>
    </w:pPr>
    <w:rPr>
      <w:rFonts w:eastAsia="Times New Roman" w:cstheme="minorHAnsi"/>
      <w:color w:val="000000"/>
      <w:lang w:eastAsia="en-AU"/>
    </w:rPr>
  </w:style>
  <w:style w:type="paragraph" w:customStyle="1" w:styleId="DoubleDot">
    <w:name w:val="Double Dot"/>
    <w:basedOn w:val="Normal"/>
    <w:rsid w:val="00EF765E"/>
    <w:pPr>
      <w:numPr>
        <w:ilvl w:val="2"/>
        <w:numId w:val="1"/>
      </w:numPr>
      <w:spacing w:after="48" w:line="360" w:lineRule="atLeast"/>
    </w:pPr>
    <w:rPr>
      <w:rFonts w:eastAsia="Times New Roman" w:cstheme="minorHAnsi"/>
      <w:color w:val="000000"/>
      <w:lang w:eastAsia="en-AU"/>
    </w:rPr>
  </w:style>
  <w:style w:type="paragraph" w:styleId="FootnoteText">
    <w:name w:val="footnote text"/>
    <w:basedOn w:val="Normal"/>
    <w:link w:val="FootnoteTextChar"/>
    <w:unhideWhenUsed/>
    <w:rsid w:val="00D63A6B"/>
    <w:pPr>
      <w:spacing w:after="0" w:line="240" w:lineRule="auto"/>
    </w:pPr>
    <w:rPr>
      <w:sz w:val="20"/>
      <w:szCs w:val="20"/>
    </w:rPr>
  </w:style>
  <w:style w:type="character" w:customStyle="1" w:styleId="FootnoteTextChar">
    <w:name w:val="Footnote Text Char"/>
    <w:basedOn w:val="DefaultParagraphFont"/>
    <w:link w:val="FootnoteText"/>
    <w:rsid w:val="00D63A6B"/>
    <w:rPr>
      <w:sz w:val="20"/>
      <w:szCs w:val="20"/>
    </w:rPr>
  </w:style>
  <w:style w:type="character" w:styleId="FootnoteReference">
    <w:name w:val="footnote reference"/>
    <w:basedOn w:val="DefaultParagraphFont"/>
    <w:unhideWhenUsed/>
    <w:rsid w:val="00D63A6B"/>
    <w:rPr>
      <w:vertAlign w:val="superscript"/>
    </w:rPr>
  </w:style>
  <w:style w:type="character" w:styleId="BookTitle">
    <w:name w:val="Book Title"/>
    <w:basedOn w:val="DefaultParagraphFont"/>
    <w:uiPriority w:val="33"/>
    <w:qFormat/>
    <w:rsid w:val="000953D9"/>
    <w:rPr>
      <w:b/>
      <w:bCs/>
      <w:smallCaps/>
      <w:spacing w:val="5"/>
    </w:rPr>
  </w:style>
  <w:style w:type="paragraph" w:styleId="BalloonText">
    <w:name w:val="Balloon Text"/>
    <w:basedOn w:val="Normal"/>
    <w:link w:val="BalloonTextChar"/>
    <w:uiPriority w:val="99"/>
    <w:semiHidden/>
    <w:unhideWhenUsed/>
    <w:rsid w:val="005C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7C"/>
    <w:rPr>
      <w:rFonts w:ascii="Tahoma" w:hAnsi="Tahoma" w:cs="Tahoma"/>
      <w:sz w:val="16"/>
      <w:szCs w:val="16"/>
    </w:rPr>
  </w:style>
  <w:style w:type="character" w:styleId="CommentReference">
    <w:name w:val="annotation reference"/>
    <w:basedOn w:val="DefaultParagraphFont"/>
    <w:uiPriority w:val="99"/>
    <w:semiHidden/>
    <w:unhideWhenUsed/>
    <w:rsid w:val="00167F82"/>
    <w:rPr>
      <w:sz w:val="16"/>
      <w:szCs w:val="16"/>
    </w:rPr>
  </w:style>
  <w:style w:type="paragraph" w:styleId="CommentText">
    <w:name w:val="annotation text"/>
    <w:basedOn w:val="Normal"/>
    <w:link w:val="CommentTextChar"/>
    <w:uiPriority w:val="99"/>
    <w:semiHidden/>
    <w:unhideWhenUsed/>
    <w:rsid w:val="00167F82"/>
    <w:pPr>
      <w:spacing w:line="240" w:lineRule="auto"/>
    </w:pPr>
    <w:rPr>
      <w:sz w:val="20"/>
      <w:szCs w:val="20"/>
    </w:rPr>
  </w:style>
  <w:style w:type="character" w:customStyle="1" w:styleId="CommentTextChar">
    <w:name w:val="Comment Text Char"/>
    <w:basedOn w:val="DefaultParagraphFont"/>
    <w:link w:val="CommentText"/>
    <w:uiPriority w:val="99"/>
    <w:semiHidden/>
    <w:rsid w:val="00167F82"/>
    <w:rPr>
      <w:sz w:val="20"/>
      <w:szCs w:val="20"/>
    </w:rPr>
  </w:style>
  <w:style w:type="paragraph" w:styleId="CommentSubject">
    <w:name w:val="annotation subject"/>
    <w:basedOn w:val="CommentText"/>
    <w:next w:val="CommentText"/>
    <w:link w:val="CommentSubjectChar"/>
    <w:uiPriority w:val="99"/>
    <w:semiHidden/>
    <w:unhideWhenUsed/>
    <w:rsid w:val="00167F82"/>
    <w:rPr>
      <w:b/>
      <w:bCs/>
    </w:rPr>
  </w:style>
  <w:style w:type="character" w:customStyle="1" w:styleId="CommentSubjectChar">
    <w:name w:val="Comment Subject Char"/>
    <w:basedOn w:val="CommentTextChar"/>
    <w:link w:val="CommentSubject"/>
    <w:uiPriority w:val="99"/>
    <w:semiHidden/>
    <w:rsid w:val="00167F82"/>
    <w:rPr>
      <w:b/>
      <w:bCs/>
      <w:sz w:val="20"/>
      <w:szCs w:val="20"/>
    </w:rPr>
  </w:style>
  <w:style w:type="paragraph" w:styleId="Revision">
    <w:name w:val="Revision"/>
    <w:hidden/>
    <w:uiPriority w:val="99"/>
    <w:semiHidden/>
    <w:rsid w:val="000B0AB8"/>
    <w:pPr>
      <w:spacing w:after="0" w:line="240" w:lineRule="auto"/>
    </w:pPr>
  </w:style>
  <w:style w:type="character" w:styleId="Hyperlink">
    <w:name w:val="Hyperlink"/>
    <w:basedOn w:val="DefaultParagraphFont"/>
    <w:uiPriority w:val="99"/>
    <w:unhideWhenUsed/>
    <w:rsid w:val="00D42C78"/>
    <w:rPr>
      <w:strike w:val="0"/>
      <w:dstrike w:val="0"/>
      <w:color w:val="045F85"/>
      <w:sz w:val="24"/>
      <w:szCs w:val="24"/>
      <w:u w:val="none"/>
      <w:effect w:val="none"/>
      <w:shd w:val="clear" w:color="auto" w:fill="auto"/>
      <w:vertAlign w:val="baseline"/>
    </w:rPr>
  </w:style>
  <w:style w:type="paragraph" w:styleId="NormalWeb">
    <w:name w:val="Normal (Web)"/>
    <w:basedOn w:val="Normal"/>
    <w:uiPriority w:val="99"/>
    <w:unhideWhenUsed/>
    <w:rsid w:val="00D42C78"/>
    <w:pPr>
      <w:spacing w:after="240"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482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2F0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22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B2F"/>
  </w:style>
  <w:style w:type="paragraph" w:styleId="Footer">
    <w:name w:val="footer"/>
    <w:basedOn w:val="Normal"/>
    <w:link w:val="FooterChar"/>
    <w:uiPriority w:val="99"/>
    <w:unhideWhenUsed/>
    <w:rsid w:val="00122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2F"/>
  </w:style>
  <w:style w:type="character" w:styleId="PlaceholderText">
    <w:name w:val="Placeholder Text"/>
    <w:basedOn w:val="DefaultParagraphFont"/>
    <w:uiPriority w:val="99"/>
    <w:semiHidden/>
    <w:rsid w:val="00230B29"/>
    <w:rPr>
      <w:color w:val="808080"/>
    </w:rPr>
  </w:style>
  <w:style w:type="character" w:customStyle="1" w:styleId="st1">
    <w:name w:val="st1"/>
    <w:basedOn w:val="DefaultParagraphFont"/>
    <w:rsid w:val="003B5077"/>
  </w:style>
  <w:style w:type="paragraph" w:styleId="EndnoteText">
    <w:name w:val="endnote text"/>
    <w:basedOn w:val="Normal"/>
    <w:link w:val="EndnoteTextChar"/>
    <w:uiPriority w:val="99"/>
    <w:semiHidden/>
    <w:unhideWhenUsed/>
    <w:rsid w:val="003B50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077"/>
    <w:rPr>
      <w:sz w:val="20"/>
      <w:szCs w:val="20"/>
    </w:rPr>
  </w:style>
  <w:style w:type="character" w:styleId="EndnoteReference">
    <w:name w:val="endnote reference"/>
    <w:basedOn w:val="DefaultParagraphFont"/>
    <w:uiPriority w:val="99"/>
    <w:semiHidden/>
    <w:unhideWhenUsed/>
    <w:rsid w:val="003B5077"/>
    <w:rPr>
      <w:vertAlign w:val="superscript"/>
    </w:rPr>
  </w:style>
  <w:style w:type="paragraph" w:styleId="ListParagraph">
    <w:name w:val="List Paragraph"/>
    <w:basedOn w:val="Normal"/>
    <w:link w:val="ListParagraphChar"/>
    <w:uiPriority w:val="34"/>
    <w:qFormat/>
    <w:rsid w:val="00644DCE"/>
    <w:pPr>
      <w:spacing w:after="0" w:line="240" w:lineRule="auto"/>
      <w:ind w:left="720"/>
    </w:pPr>
    <w:rPr>
      <w:rFonts w:ascii="Times New Roman" w:eastAsia="Times New Roman" w:hAnsi="Times New Roman" w:cs="Times New Roman"/>
      <w:sz w:val="24"/>
      <w:szCs w:val="24"/>
      <w:lang w:eastAsia="en-AU"/>
    </w:rPr>
  </w:style>
  <w:style w:type="paragraph" w:customStyle="1" w:styleId="Default">
    <w:name w:val="Default"/>
    <w:rsid w:val="005A2EDF"/>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NoSpacing">
    <w:name w:val="No Spacing"/>
    <w:uiPriority w:val="1"/>
    <w:qFormat/>
    <w:rsid w:val="00C800B3"/>
    <w:pPr>
      <w:spacing w:after="0" w:line="240" w:lineRule="auto"/>
    </w:pPr>
  </w:style>
  <w:style w:type="character" w:customStyle="1" w:styleId="Heading2Char">
    <w:name w:val="Heading 2 Char"/>
    <w:basedOn w:val="DefaultParagraphFont"/>
    <w:link w:val="Heading2"/>
    <w:uiPriority w:val="9"/>
    <w:rsid w:val="009C5F25"/>
    <w:rPr>
      <w:rFonts w:asciiTheme="majorHAnsi" w:eastAsiaTheme="majorEastAsia" w:hAnsiTheme="majorHAnsi" w:cstheme="majorBidi"/>
      <w:b/>
      <w:bCs/>
      <w:color w:val="4F81BD" w:themeColor="accent1"/>
      <w:sz w:val="26"/>
      <w:szCs w:val="26"/>
    </w:rPr>
  </w:style>
  <w:style w:type="paragraph" w:customStyle="1" w:styleId="tableheading1">
    <w:name w:val="table_heading1"/>
    <w:basedOn w:val="Normal"/>
    <w:rsid w:val="009C5F25"/>
    <w:pPr>
      <w:spacing w:before="480" w:after="0" w:line="360" w:lineRule="atLeast"/>
    </w:pPr>
    <w:rPr>
      <w:rFonts w:ascii="Times New Roman" w:eastAsia="Times New Roman" w:hAnsi="Times New Roman" w:cs="Times New Roman"/>
      <w:b/>
      <w:bCs/>
      <w:color w:val="084598"/>
      <w:sz w:val="24"/>
      <w:szCs w:val="24"/>
      <w:lang w:eastAsia="en-AU"/>
    </w:rPr>
  </w:style>
  <w:style w:type="paragraph" w:customStyle="1" w:styleId="OutlineNumbered1">
    <w:name w:val="Outline Numbered 1"/>
    <w:basedOn w:val="Normal"/>
    <w:link w:val="OutlineNumbered1Char"/>
    <w:rsid w:val="009C5F25"/>
    <w:pPr>
      <w:numPr>
        <w:numId w:val="12"/>
      </w:numPr>
    </w:pPr>
  </w:style>
  <w:style w:type="character" w:customStyle="1" w:styleId="OutlineNumbered1Char">
    <w:name w:val="Outline Numbered 1 Char"/>
    <w:basedOn w:val="DefaultParagraphFont"/>
    <w:link w:val="OutlineNumbered1"/>
    <w:rsid w:val="009C5F25"/>
  </w:style>
  <w:style w:type="paragraph" w:customStyle="1" w:styleId="OutlineNumbered2">
    <w:name w:val="Outline Numbered 2"/>
    <w:basedOn w:val="Normal"/>
    <w:rsid w:val="009C5F25"/>
    <w:pPr>
      <w:numPr>
        <w:ilvl w:val="1"/>
        <w:numId w:val="12"/>
      </w:numPr>
    </w:pPr>
  </w:style>
  <w:style w:type="paragraph" w:customStyle="1" w:styleId="OutlineNumbered3">
    <w:name w:val="Outline Numbered 3"/>
    <w:basedOn w:val="Normal"/>
    <w:rsid w:val="009C5F25"/>
    <w:pPr>
      <w:numPr>
        <w:ilvl w:val="2"/>
        <w:numId w:val="12"/>
      </w:numPr>
    </w:pPr>
  </w:style>
  <w:style w:type="character" w:customStyle="1" w:styleId="Heading3Char">
    <w:name w:val="Heading 3 Char"/>
    <w:basedOn w:val="DefaultParagraphFont"/>
    <w:link w:val="Heading3"/>
    <w:uiPriority w:val="9"/>
    <w:rsid w:val="0043043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3043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D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Normal"/>
    <w:link w:val="NumberedParagraphChar"/>
    <w:rsid w:val="00354F6B"/>
    <w:pPr>
      <w:numPr>
        <w:numId w:val="14"/>
      </w:numPr>
    </w:pPr>
    <w:rPr>
      <w:rFonts w:ascii="Times New Roman" w:eastAsia="Times New Roman" w:hAnsi="Times New Roman" w:cstheme="minorHAnsi"/>
      <w:color w:val="000000" w:themeColor="text1"/>
      <w:sz w:val="24"/>
      <w:szCs w:val="24"/>
      <w:lang w:eastAsia="en-AU"/>
    </w:rPr>
  </w:style>
  <w:style w:type="character" w:customStyle="1" w:styleId="ListParagraphChar">
    <w:name w:val="List Paragraph Char"/>
    <w:basedOn w:val="DefaultParagraphFont"/>
    <w:link w:val="ListParagraph"/>
    <w:uiPriority w:val="34"/>
    <w:rsid w:val="00354F6B"/>
    <w:rPr>
      <w:rFonts w:ascii="Times New Roman" w:eastAsia="Times New Roman" w:hAnsi="Times New Roman" w:cs="Times New Roman"/>
      <w:sz w:val="24"/>
      <w:szCs w:val="24"/>
      <w:lang w:eastAsia="en-AU"/>
    </w:rPr>
  </w:style>
  <w:style w:type="character" w:customStyle="1" w:styleId="NumberedParagraphChar">
    <w:name w:val="Numbered Paragraph Char"/>
    <w:basedOn w:val="ListParagraphChar"/>
    <w:link w:val="NumberedParagraph"/>
    <w:rsid w:val="00354F6B"/>
    <w:rPr>
      <w:rFonts w:ascii="Times New Roman" w:eastAsia="Times New Roman" w:hAnsi="Times New Roman" w:cstheme="minorHAnsi"/>
      <w:color w:val="000000" w:themeColor="tex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B1"/>
  </w:style>
  <w:style w:type="paragraph" w:styleId="Heading1">
    <w:name w:val="heading 1"/>
    <w:basedOn w:val="Normal"/>
    <w:next w:val="Normal"/>
    <w:link w:val="Heading1Char"/>
    <w:uiPriority w:val="9"/>
    <w:qFormat/>
    <w:rsid w:val="004304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5F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04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rsid w:val="00EF765E"/>
    <w:pPr>
      <w:numPr>
        <w:numId w:val="1"/>
      </w:numPr>
      <w:spacing w:after="48" w:line="360" w:lineRule="atLeast"/>
    </w:pPr>
    <w:rPr>
      <w:rFonts w:eastAsia="Times New Roman" w:cstheme="minorHAnsi"/>
      <w:color w:val="000000"/>
      <w:lang w:eastAsia="en-AU"/>
    </w:rPr>
  </w:style>
  <w:style w:type="character" w:customStyle="1" w:styleId="BulletChar">
    <w:name w:val="Bullet Char"/>
    <w:basedOn w:val="DefaultParagraphFont"/>
    <w:link w:val="Bullet"/>
    <w:rsid w:val="00EF765E"/>
    <w:rPr>
      <w:rFonts w:eastAsia="Times New Roman" w:cstheme="minorHAnsi"/>
      <w:color w:val="000000"/>
      <w:lang w:eastAsia="en-AU"/>
    </w:rPr>
  </w:style>
  <w:style w:type="paragraph" w:customStyle="1" w:styleId="Dash">
    <w:name w:val="Dash"/>
    <w:basedOn w:val="Normal"/>
    <w:rsid w:val="00EF765E"/>
    <w:pPr>
      <w:numPr>
        <w:ilvl w:val="1"/>
        <w:numId w:val="1"/>
      </w:numPr>
      <w:spacing w:after="48" w:line="360" w:lineRule="atLeast"/>
    </w:pPr>
    <w:rPr>
      <w:rFonts w:eastAsia="Times New Roman" w:cstheme="minorHAnsi"/>
      <w:color w:val="000000"/>
      <w:lang w:eastAsia="en-AU"/>
    </w:rPr>
  </w:style>
  <w:style w:type="paragraph" w:customStyle="1" w:styleId="DoubleDot">
    <w:name w:val="Double Dot"/>
    <w:basedOn w:val="Normal"/>
    <w:rsid w:val="00EF765E"/>
    <w:pPr>
      <w:numPr>
        <w:ilvl w:val="2"/>
        <w:numId w:val="1"/>
      </w:numPr>
      <w:spacing w:after="48" w:line="360" w:lineRule="atLeast"/>
    </w:pPr>
    <w:rPr>
      <w:rFonts w:eastAsia="Times New Roman" w:cstheme="minorHAnsi"/>
      <w:color w:val="000000"/>
      <w:lang w:eastAsia="en-AU"/>
    </w:rPr>
  </w:style>
  <w:style w:type="paragraph" w:styleId="FootnoteText">
    <w:name w:val="footnote text"/>
    <w:basedOn w:val="Normal"/>
    <w:link w:val="FootnoteTextChar"/>
    <w:unhideWhenUsed/>
    <w:rsid w:val="00D63A6B"/>
    <w:pPr>
      <w:spacing w:after="0" w:line="240" w:lineRule="auto"/>
    </w:pPr>
    <w:rPr>
      <w:sz w:val="20"/>
      <w:szCs w:val="20"/>
    </w:rPr>
  </w:style>
  <w:style w:type="character" w:customStyle="1" w:styleId="FootnoteTextChar">
    <w:name w:val="Footnote Text Char"/>
    <w:basedOn w:val="DefaultParagraphFont"/>
    <w:link w:val="FootnoteText"/>
    <w:rsid w:val="00D63A6B"/>
    <w:rPr>
      <w:sz w:val="20"/>
      <w:szCs w:val="20"/>
    </w:rPr>
  </w:style>
  <w:style w:type="character" w:styleId="FootnoteReference">
    <w:name w:val="footnote reference"/>
    <w:basedOn w:val="DefaultParagraphFont"/>
    <w:unhideWhenUsed/>
    <w:rsid w:val="00D63A6B"/>
    <w:rPr>
      <w:vertAlign w:val="superscript"/>
    </w:rPr>
  </w:style>
  <w:style w:type="character" w:styleId="BookTitle">
    <w:name w:val="Book Title"/>
    <w:basedOn w:val="DefaultParagraphFont"/>
    <w:uiPriority w:val="33"/>
    <w:qFormat/>
    <w:rsid w:val="000953D9"/>
    <w:rPr>
      <w:b/>
      <w:bCs/>
      <w:smallCaps/>
      <w:spacing w:val="5"/>
    </w:rPr>
  </w:style>
  <w:style w:type="paragraph" w:styleId="BalloonText">
    <w:name w:val="Balloon Text"/>
    <w:basedOn w:val="Normal"/>
    <w:link w:val="BalloonTextChar"/>
    <w:uiPriority w:val="99"/>
    <w:semiHidden/>
    <w:unhideWhenUsed/>
    <w:rsid w:val="005C1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E7C"/>
    <w:rPr>
      <w:rFonts w:ascii="Tahoma" w:hAnsi="Tahoma" w:cs="Tahoma"/>
      <w:sz w:val="16"/>
      <w:szCs w:val="16"/>
    </w:rPr>
  </w:style>
  <w:style w:type="character" w:styleId="CommentReference">
    <w:name w:val="annotation reference"/>
    <w:basedOn w:val="DefaultParagraphFont"/>
    <w:uiPriority w:val="99"/>
    <w:semiHidden/>
    <w:unhideWhenUsed/>
    <w:rsid w:val="00167F82"/>
    <w:rPr>
      <w:sz w:val="16"/>
      <w:szCs w:val="16"/>
    </w:rPr>
  </w:style>
  <w:style w:type="paragraph" w:styleId="CommentText">
    <w:name w:val="annotation text"/>
    <w:basedOn w:val="Normal"/>
    <w:link w:val="CommentTextChar"/>
    <w:uiPriority w:val="99"/>
    <w:semiHidden/>
    <w:unhideWhenUsed/>
    <w:rsid w:val="00167F82"/>
    <w:pPr>
      <w:spacing w:line="240" w:lineRule="auto"/>
    </w:pPr>
    <w:rPr>
      <w:sz w:val="20"/>
      <w:szCs w:val="20"/>
    </w:rPr>
  </w:style>
  <w:style w:type="character" w:customStyle="1" w:styleId="CommentTextChar">
    <w:name w:val="Comment Text Char"/>
    <w:basedOn w:val="DefaultParagraphFont"/>
    <w:link w:val="CommentText"/>
    <w:uiPriority w:val="99"/>
    <w:semiHidden/>
    <w:rsid w:val="00167F82"/>
    <w:rPr>
      <w:sz w:val="20"/>
      <w:szCs w:val="20"/>
    </w:rPr>
  </w:style>
  <w:style w:type="paragraph" w:styleId="CommentSubject">
    <w:name w:val="annotation subject"/>
    <w:basedOn w:val="CommentText"/>
    <w:next w:val="CommentText"/>
    <w:link w:val="CommentSubjectChar"/>
    <w:uiPriority w:val="99"/>
    <w:semiHidden/>
    <w:unhideWhenUsed/>
    <w:rsid w:val="00167F82"/>
    <w:rPr>
      <w:b/>
      <w:bCs/>
    </w:rPr>
  </w:style>
  <w:style w:type="character" w:customStyle="1" w:styleId="CommentSubjectChar">
    <w:name w:val="Comment Subject Char"/>
    <w:basedOn w:val="CommentTextChar"/>
    <w:link w:val="CommentSubject"/>
    <w:uiPriority w:val="99"/>
    <w:semiHidden/>
    <w:rsid w:val="00167F82"/>
    <w:rPr>
      <w:b/>
      <w:bCs/>
      <w:sz w:val="20"/>
      <w:szCs w:val="20"/>
    </w:rPr>
  </w:style>
  <w:style w:type="paragraph" w:styleId="Revision">
    <w:name w:val="Revision"/>
    <w:hidden/>
    <w:uiPriority w:val="99"/>
    <w:semiHidden/>
    <w:rsid w:val="000B0AB8"/>
    <w:pPr>
      <w:spacing w:after="0" w:line="240" w:lineRule="auto"/>
    </w:pPr>
  </w:style>
  <w:style w:type="character" w:styleId="Hyperlink">
    <w:name w:val="Hyperlink"/>
    <w:basedOn w:val="DefaultParagraphFont"/>
    <w:uiPriority w:val="99"/>
    <w:unhideWhenUsed/>
    <w:rsid w:val="00D42C78"/>
    <w:rPr>
      <w:strike w:val="0"/>
      <w:dstrike w:val="0"/>
      <w:color w:val="045F85"/>
      <w:sz w:val="24"/>
      <w:szCs w:val="24"/>
      <w:u w:val="none"/>
      <w:effect w:val="none"/>
      <w:shd w:val="clear" w:color="auto" w:fill="auto"/>
      <w:vertAlign w:val="baseline"/>
    </w:rPr>
  </w:style>
  <w:style w:type="paragraph" w:styleId="NormalWeb">
    <w:name w:val="Normal (Web)"/>
    <w:basedOn w:val="Normal"/>
    <w:uiPriority w:val="99"/>
    <w:unhideWhenUsed/>
    <w:rsid w:val="00D42C78"/>
    <w:pPr>
      <w:spacing w:after="240"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482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2F0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22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B2F"/>
  </w:style>
  <w:style w:type="paragraph" w:styleId="Footer">
    <w:name w:val="footer"/>
    <w:basedOn w:val="Normal"/>
    <w:link w:val="FooterChar"/>
    <w:uiPriority w:val="99"/>
    <w:unhideWhenUsed/>
    <w:rsid w:val="00122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2F"/>
  </w:style>
  <w:style w:type="character" w:styleId="PlaceholderText">
    <w:name w:val="Placeholder Text"/>
    <w:basedOn w:val="DefaultParagraphFont"/>
    <w:uiPriority w:val="99"/>
    <w:semiHidden/>
    <w:rsid w:val="00230B29"/>
    <w:rPr>
      <w:color w:val="808080"/>
    </w:rPr>
  </w:style>
  <w:style w:type="character" w:customStyle="1" w:styleId="st1">
    <w:name w:val="st1"/>
    <w:basedOn w:val="DefaultParagraphFont"/>
    <w:rsid w:val="003B5077"/>
  </w:style>
  <w:style w:type="paragraph" w:styleId="EndnoteText">
    <w:name w:val="endnote text"/>
    <w:basedOn w:val="Normal"/>
    <w:link w:val="EndnoteTextChar"/>
    <w:uiPriority w:val="99"/>
    <w:semiHidden/>
    <w:unhideWhenUsed/>
    <w:rsid w:val="003B50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5077"/>
    <w:rPr>
      <w:sz w:val="20"/>
      <w:szCs w:val="20"/>
    </w:rPr>
  </w:style>
  <w:style w:type="character" w:styleId="EndnoteReference">
    <w:name w:val="endnote reference"/>
    <w:basedOn w:val="DefaultParagraphFont"/>
    <w:uiPriority w:val="99"/>
    <w:semiHidden/>
    <w:unhideWhenUsed/>
    <w:rsid w:val="003B5077"/>
    <w:rPr>
      <w:vertAlign w:val="superscript"/>
    </w:rPr>
  </w:style>
  <w:style w:type="paragraph" w:styleId="ListParagraph">
    <w:name w:val="List Paragraph"/>
    <w:basedOn w:val="Normal"/>
    <w:link w:val="ListParagraphChar"/>
    <w:uiPriority w:val="34"/>
    <w:qFormat/>
    <w:rsid w:val="00644DCE"/>
    <w:pPr>
      <w:spacing w:after="0" w:line="240" w:lineRule="auto"/>
      <w:ind w:left="720"/>
    </w:pPr>
    <w:rPr>
      <w:rFonts w:ascii="Times New Roman" w:eastAsia="Times New Roman" w:hAnsi="Times New Roman" w:cs="Times New Roman"/>
      <w:sz w:val="24"/>
      <w:szCs w:val="24"/>
      <w:lang w:eastAsia="en-AU"/>
    </w:rPr>
  </w:style>
  <w:style w:type="paragraph" w:customStyle="1" w:styleId="Default">
    <w:name w:val="Default"/>
    <w:rsid w:val="005A2EDF"/>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NoSpacing">
    <w:name w:val="No Spacing"/>
    <w:uiPriority w:val="1"/>
    <w:qFormat/>
    <w:rsid w:val="00C800B3"/>
    <w:pPr>
      <w:spacing w:after="0" w:line="240" w:lineRule="auto"/>
    </w:pPr>
  </w:style>
  <w:style w:type="character" w:customStyle="1" w:styleId="Heading2Char">
    <w:name w:val="Heading 2 Char"/>
    <w:basedOn w:val="DefaultParagraphFont"/>
    <w:link w:val="Heading2"/>
    <w:uiPriority w:val="9"/>
    <w:rsid w:val="009C5F25"/>
    <w:rPr>
      <w:rFonts w:asciiTheme="majorHAnsi" w:eastAsiaTheme="majorEastAsia" w:hAnsiTheme="majorHAnsi" w:cstheme="majorBidi"/>
      <w:b/>
      <w:bCs/>
      <w:color w:val="4F81BD" w:themeColor="accent1"/>
      <w:sz w:val="26"/>
      <w:szCs w:val="26"/>
    </w:rPr>
  </w:style>
  <w:style w:type="paragraph" w:customStyle="1" w:styleId="tableheading1">
    <w:name w:val="table_heading1"/>
    <w:basedOn w:val="Normal"/>
    <w:rsid w:val="009C5F25"/>
    <w:pPr>
      <w:spacing w:before="480" w:after="0" w:line="360" w:lineRule="atLeast"/>
    </w:pPr>
    <w:rPr>
      <w:rFonts w:ascii="Times New Roman" w:eastAsia="Times New Roman" w:hAnsi="Times New Roman" w:cs="Times New Roman"/>
      <w:b/>
      <w:bCs/>
      <w:color w:val="084598"/>
      <w:sz w:val="24"/>
      <w:szCs w:val="24"/>
      <w:lang w:eastAsia="en-AU"/>
    </w:rPr>
  </w:style>
  <w:style w:type="paragraph" w:customStyle="1" w:styleId="OutlineNumbered1">
    <w:name w:val="Outline Numbered 1"/>
    <w:basedOn w:val="Normal"/>
    <w:link w:val="OutlineNumbered1Char"/>
    <w:rsid w:val="009C5F25"/>
    <w:pPr>
      <w:numPr>
        <w:numId w:val="12"/>
      </w:numPr>
    </w:pPr>
  </w:style>
  <w:style w:type="character" w:customStyle="1" w:styleId="OutlineNumbered1Char">
    <w:name w:val="Outline Numbered 1 Char"/>
    <w:basedOn w:val="DefaultParagraphFont"/>
    <w:link w:val="OutlineNumbered1"/>
    <w:rsid w:val="009C5F25"/>
  </w:style>
  <w:style w:type="paragraph" w:customStyle="1" w:styleId="OutlineNumbered2">
    <w:name w:val="Outline Numbered 2"/>
    <w:basedOn w:val="Normal"/>
    <w:rsid w:val="009C5F25"/>
    <w:pPr>
      <w:numPr>
        <w:ilvl w:val="1"/>
        <w:numId w:val="12"/>
      </w:numPr>
    </w:pPr>
  </w:style>
  <w:style w:type="paragraph" w:customStyle="1" w:styleId="OutlineNumbered3">
    <w:name w:val="Outline Numbered 3"/>
    <w:basedOn w:val="Normal"/>
    <w:rsid w:val="009C5F25"/>
    <w:pPr>
      <w:numPr>
        <w:ilvl w:val="2"/>
        <w:numId w:val="12"/>
      </w:numPr>
    </w:pPr>
  </w:style>
  <w:style w:type="character" w:customStyle="1" w:styleId="Heading3Char">
    <w:name w:val="Heading 3 Char"/>
    <w:basedOn w:val="DefaultParagraphFont"/>
    <w:link w:val="Heading3"/>
    <w:uiPriority w:val="9"/>
    <w:rsid w:val="00430437"/>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43043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D7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Paragraph">
    <w:name w:val="Numbered Paragraph"/>
    <w:basedOn w:val="Normal"/>
    <w:link w:val="NumberedParagraphChar"/>
    <w:rsid w:val="00354F6B"/>
    <w:pPr>
      <w:numPr>
        <w:numId w:val="14"/>
      </w:numPr>
    </w:pPr>
    <w:rPr>
      <w:rFonts w:ascii="Times New Roman" w:eastAsia="Times New Roman" w:hAnsi="Times New Roman" w:cstheme="minorHAnsi"/>
      <w:color w:val="000000" w:themeColor="text1"/>
      <w:sz w:val="24"/>
      <w:szCs w:val="24"/>
      <w:lang w:eastAsia="en-AU"/>
    </w:rPr>
  </w:style>
  <w:style w:type="character" w:customStyle="1" w:styleId="ListParagraphChar">
    <w:name w:val="List Paragraph Char"/>
    <w:basedOn w:val="DefaultParagraphFont"/>
    <w:link w:val="ListParagraph"/>
    <w:uiPriority w:val="34"/>
    <w:rsid w:val="00354F6B"/>
    <w:rPr>
      <w:rFonts w:ascii="Times New Roman" w:eastAsia="Times New Roman" w:hAnsi="Times New Roman" w:cs="Times New Roman"/>
      <w:sz w:val="24"/>
      <w:szCs w:val="24"/>
      <w:lang w:eastAsia="en-AU"/>
    </w:rPr>
  </w:style>
  <w:style w:type="character" w:customStyle="1" w:styleId="NumberedParagraphChar">
    <w:name w:val="Numbered Paragraph Char"/>
    <w:basedOn w:val="ListParagraphChar"/>
    <w:link w:val="NumberedParagraph"/>
    <w:rsid w:val="00354F6B"/>
    <w:rPr>
      <w:rFonts w:ascii="Times New Roman" w:eastAsia="Times New Roman" w:hAnsi="Times New Roman" w:cstheme="minorHAnsi"/>
      <w:color w:val="000000" w:themeColor="tex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5802">
      <w:bodyDiv w:val="1"/>
      <w:marLeft w:val="0"/>
      <w:marRight w:val="0"/>
      <w:marTop w:val="0"/>
      <w:marBottom w:val="0"/>
      <w:divBdr>
        <w:top w:val="none" w:sz="0" w:space="0" w:color="auto"/>
        <w:left w:val="none" w:sz="0" w:space="0" w:color="auto"/>
        <w:bottom w:val="none" w:sz="0" w:space="0" w:color="auto"/>
        <w:right w:val="none" w:sz="0" w:space="0" w:color="auto"/>
      </w:divBdr>
    </w:div>
    <w:div w:id="131598154">
      <w:bodyDiv w:val="1"/>
      <w:marLeft w:val="0"/>
      <w:marRight w:val="0"/>
      <w:marTop w:val="0"/>
      <w:marBottom w:val="0"/>
      <w:divBdr>
        <w:top w:val="none" w:sz="0" w:space="0" w:color="auto"/>
        <w:left w:val="none" w:sz="0" w:space="0" w:color="auto"/>
        <w:bottom w:val="none" w:sz="0" w:space="0" w:color="auto"/>
        <w:right w:val="none" w:sz="0" w:space="0" w:color="auto"/>
      </w:divBdr>
    </w:div>
    <w:div w:id="135346040">
      <w:bodyDiv w:val="1"/>
      <w:marLeft w:val="0"/>
      <w:marRight w:val="0"/>
      <w:marTop w:val="0"/>
      <w:marBottom w:val="0"/>
      <w:divBdr>
        <w:top w:val="none" w:sz="0" w:space="0" w:color="auto"/>
        <w:left w:val="none" w:sz="0" w:space="0" w:color="auto"/>
        <w:bottom w:val="none" w:sz="0" w:space="0" w:color="auto"/>
        <w:right w:val="none" w:sz="0" w:space="0" w:color="auto"/>
      </w:divBdr>
    </w:div>
    <w:div w:id="142279340">
      <w:bodyDiv w:val="1"/>
      <w:marLeft w:val="0"/>
      <w:marRight w:val="0"/>
      <w:marTop w:val="0"/>
      <w:marBottom w:val="0"/>
      <w:divBdr>
        <w:top w:val="none" w:sz="0" w:space="0" w:color="auto"/>
        <w:left w:val="none" w:sz="0" w:space="0" w:color="auto"/>
        <w:bottom w:val="none" w:sz="0" w:space="0" w:color="auto"/>
        <w:right w:val="none" w:sz="0" w:space="0" w:color="auto"/>
      </w:divBdr>
    </w:div>
    <w:div w:id="208155927">
      <w:bodyDiv w:val="1"/>
      <w:marLeft w:val="0"/>
      <w:marRight w:val="0"/>
      <w:marTop w:val="0"/>
      <w:marBottom w:val="0"/>
      <w:divBdr>
        <w:top w:val="none" w:sz="0" w:space="0" w:color="auto"/>
        <w:left w:val="none" w:sz="0" w:space="0" w:color="auto"/>
        <w:bottom w:val="none" w:sz="0" w:space="0" w:color="auto"/>
        <w:right w:val="none" w:sz="0" w:space="0" w:color="auto"/>
      </w:divBdr>
    </w:div>
    <w:div w:id="212232835">
      <w:bodyDiv w:val="1"/>
      <w:marLeft w:val="0"/>
      <w:marRight w:val="0"/>
      <w:marTop w:val="0"/>
      <w:marBottom w:val="0"/>
      <w:divBdr>
        <w:top w:val="none" w:sz="0" w:space="0" w:color="auto"/>
        <w:left w:val="none" w:sz="0" w:space="0" w:color="auto"/>
        <w:bottom w:val="none" w:sz="0" w:space="0" w:color="auto"/>
        <w:right w:val="none" w:sz="0" w:space="0" w:color="auto"/>
      </w:divBdr>
    </w:div>
    <w:div w:id="228926129">
      <w:bodyDiv w:val="1"/>
      <w:marLeft w:val="0"/>
      <w:marRight w:val="0"/>
      <w:marTop w:val="0"/>
      <w:marBottom w:val="0"/>
      <w:divBdr>
        <w:top w:val="none" w:sz="0" w:space="0" w:color="auto"/>
        <w:left w:val="none" w:sz="0" w:space="0" w:color="auto"/>
        <w:bottom w:val="none" w:sz="0" w:space="0" w:color="auto"/>
        <w:right w:val="none" w:sz="0" w:space="0" w:color="auto"/>
      </w:divBdr>
    </w:div>
    <w:div w:id="316737455">
      <w:bodyDiv w:val="1"/>
      <w:marLeft w:val="0"/>
      <w:marRight w:val="0"/>
      <w:marTop w:val="0"/>
      <w:marBottom w:val="0"/>
      <w:divBdr>
        <w:top w:val="none" w:sz="0" w:space="0" w:color="auto"/>
        <w:left w:val="none" w:sz="0" w:space="0" w:color="auto"/>
        <w:bottom w:val="none" w:sz="0" w:space="0" w:color="auto"/>
        <w:right w:val="none" w:sz="0" w:space="0" w:color="auto"/>
      </w:divBdr>
    </w:div>
    <w:div w:id="320352494">
      <w:bodyDiv w:val="1"/>
      <w:marLeft w:val="0"/>
      <w:marRight w:val="0"/>
      <w:marTop w:val="0"/>
      <w:marBottom w:val="0"/>
      <w:divBdr>
        <w:top w:val="none" w:sz="0" w:space="0" w:color="auto"/>
        <w:left w:val="none" w:sz="0" w:space="0" w:color="auto"/>
        <w:bottom w:val="none" w:sz="0" w:space="0" w:color="auto"/>
        <w:right w:val="none" w:sz="0" w:space="0" w:color="auto"/>
      </w:divBdr>
    </w:div>
    <w:div w:id="320619614">
      <w:bodyDiv w:val="1"/>
      <w:marLeft w:val="0"/>
      <w:marRight w:val="0"/>
      <w:marTop w:val="0"/>
      <w:marBottom w:val="0"/>
      <w:divBdr>
        <w:top w:val="none" w:sz="0" w:space="0" w:color="auto"/>
        <w:left w:val="none" w:sz="0" w:space="0" w:color="auto"/>
        <w:bottom w:val="none" w:sz="0" w:space="0" w:color="auto"/>
        <w:right w:val="none" w:sz="0" w:space="0" w:color="auto"/>
      </w:divBdr>
    </w:div>
    <w:div w:id="321931937">
      <w:bodyDiv w:val="1"/>
      <w:marLeft w:val="0"/>
      <w:marRight w:val="0"/>
      <w:marTop w:val="0"/>
      <w:marBottom w:val="0"/>
      <w:divBdr>
        <w:top w:val="none" w:sz="0" w:space="0" w:color="auto"/>
        <w:left w:val="none" w:sz="0" w:space="0" w:color="auto"/>
        <w:bottom w:val="none" w:sz="0" w:space="0" w:color="auto"/>
        <w:right w:val="none" w:sz="0" w:space="0" w:color="auto"/>
      </w:divBdr>
    </w:div>
    <w:div w:id="343482056">
      <w:bodyDiv w:val="1"/>
      <w:marLeft w:val="0"/>
      <w:marRight w:val="0"/>
      <w:marTop w:val="0"/>
      <w:marBottom w:val="0"/>
      <w:divBdr>
        <w:top w:val="none" w:sz="0" w:space="0" w:color="auto"/>
        <w:left w:val="none" w:sz="0" w:space="0" w:color="auto"/>
        <w:bottom w:val="none" w:sz="0" w:space="0" w:color="auto"/>
        <w:right w:val="none" w:sz="0" w:space="0" w:color="auto"/>
      </w:divBdr>
    </w:div>
    <w:div w:id="357706307">
      <w:bodyDiv w:val="1"/>
      <w:marLeft w:val="0"/>
      <w:marRight w:val="0"/>
      <w:marTop w:val="0"/>
      <w:marBottom w:val="0"/>
      <w:divBdr>
        <w:top w:val="none" w:sz="0" w:space="0" w:color="auto"/>
        <w:left w:val="none" w:sz="0" w:space="0" w:color="auto"/>
        <w:bottom w:val="none" w:sz="0" w:space="0" w:color="auto"/>
        <w:right w:val="none" w:sz="0" w:space="0" w:color="auto"/>
      </w:divBdr>
    </w:div>
    <w:div w:id="434639971">
      <w:bodyDiv w:val="1"/>
      <w:marLeft w:val="0"/>
      <w:marRight w:val="0"/>
      <w:marTop w:val="0"/>
      <w:marBottom w:val="0"/>
      <w:divBdr>
        <w:top w:val="none" w:sz="0" w:space="0" w:color="auto"/>
        <w:left w:val="none" w:sz="0" w:space="0" w:color="auto"/>
        <w:bottom w:val="none" w:sz="0" w:space="0" w:color="auto"/>
        <w:right w:val="none" w:sz="0" w:space="0" w:color="auto"/>
      </w:divBdr>
    </w:div>
    <w:div w:id="487064475">
      <w:bodyDiv w:val="1"/>
      <w:marLeft w:val="0"/>
      <w:marRight w:val="0"/>
      <w:marTop w:val="0"/>
      <w:marBottom w:val="0"/>
      <w:divBdr>
        <w:top w:val="none" w:sz="0" w:space="0" w:color="auto"/>
        <w:left w:val="none" w:sz="0" w:space="0" w:color="auto"/>
        <w:bottom w:val="none" w:sz="0" w:space="0" w:color="auto"/>
        <w:right w:val="none" w:sz="0" w:space="0" w:color="auto"/>
      </w:divBdr>
    </w:div>
    <w:div w:id="497498542">
      <w:bodyDiv w:val="1"/>
      <w:marLeft w:val="0"/>
      <w:marRight w:val="0"/>
      <w:marTop w:val="0"/>
      <w:marBottom w:val="0"/>
      <w:divBdr>
        <w:top w:val="none" w:sz="0" w:space="0" w:color="auto"/>
        <w:left w:val="none" w:sz="0" w:space="0" w:color="auto"/>
        <w:bottom w:val="none" w:sz="0" w:space="0" w:color="auto"/>
        <w:right w:val="none" w:sz="0" w:space="0" w:color="auto"/>
      </w:divBdr>
    </w:div>
    <w:div w:id="618682343">
      <w:bodyDiv w:val="1"/>
      <w:marLeft w:val="0"/>
      <w:marRight w:val="0"/>
      <w:marTop w:val="0"/>
      <w:marBottom w:val="0"/>
      <w:divBdr>
        <w:top w:val="none" w:sz="0" w:space="0" w:color="auto"/>
        <w:left w:val="none" w:sz="0" w:space="0" w:color="auto"/>
        <w:bottom w:val="none" w:sz="0" w:space="0" w:color="auto"/>
        <w:right w:val="none" w:sz="0" w:space="0" w:color="auto"/>
      </w:divBdr>
    </w:div>
    <w:div w:id="628515692">
      <w:bodyDiv w:val="1"/>
      <w:marLeft w:val="0"/>
      <w:marRight w:val="0"/>
      <w:marTop w:val="0"/>
      <w:marBottom w:val="0"/>
      <w:divBdr>
        <w:top w:val="none" w:sz="0" w:space="0" w:color="auto"/>
        <w:left w:val="none" w:sz="0" w:space="0" w:color="auto"/>
        <w:bottom w:val="none" w:sz="0" w:space="0" w:color="auto"/>
        <w:right w:val="none" w:sz="0" w:space="0" w:color="auto"/>
      </w:divBdr>
    </w:div>
    <w:div w:id="635372248">
      <w:bodyDiv w:val="1"/>
      <w:marLeft w:val="0"/>
      <w:marRight w:val="0"/>
      <w:marTop w:val="0"/>
      <w:marBottom w:val="0"/>
      <w:divBdr>
        <w:top w:val="none" w:sz="0" w:space="0" w:color="auto"/>
        <w:left w:val="none" w:sz="0" w:space="0" w:color="auto"/>
        <w:bottom w:val="none" w:sz="0" w:space="0" w:color="auto"/>
        <w:right w:val="none" w:sz="0" w:space="0" w:color="auto"/>
      </w:divBdr>
      <w:divsChild>
        <w:div w:id="1048451815">
          <w:marLeft w:val="0"/>
          <w:marRight w:val="0"/>
          <w:marTop w:val="0"/>
          <w:marBottom w:val="0"/>
          <w:divBdr>
            <w:top w:val="none" w:sz="0" w:space="0" w:color="auto"/>
            <w:left w:val="none" w:sz="0" w:space="0" w:color="auto"/>
            <w:bottom w:val="none" w:sz="0" w:space="0" w:color="auto"/>
            <w:right w:val="none" w:sz="0" w:space="0" w:color="auto"/>
          </w:divBdr>
          <w:divsChild>
            <w:div w:id="1470124666">
              <w:marLeft w:val="0"/>
              <w:marRight w:val="0"/>
              <w:marTop w:val="0"/>
              <w:marBottom w:val="0"/>
              <w:divBdr>
                <w:top w:val="none" w:sz="0" w:space="0" w:color="auto"/>
                <w:left w:val="none" w:sz="0" w:space="0" w:color="auto"/>
                <w:bottom w:val="none" w:sz="0" w:space="0" w:color="auto"/>
                <w:right w:val="none" w:sz="0" w:space="0" w:color="auto"/>
              </w:divBdr>
              <w:divsChild>
                <w:div w:id="1486504797">
                  <w:marLeft w:val="15"/>
                  <w:marRight w:val="15"/>
                  <w:marTop w:val="0"/>
                  <w:marBottom w:val="0"/>
                  <w:divBdr>
                    <w:top w:val="single" w:sz="6" w:space="0" w:color="FFFFFF"/>
                    <w:left w:val="single" w:sz="6" w:space="0" w:color="FFFFFF"/>
                    <w:bottom w:val="single" w:sz="6" w:space="11" w:color="FFFFFF"/>
                    <w:right w:val="single" w:sz="6" w:space="0" w:color="FFFFFF"/>
                  </w:divBdr>
                  <w:divsChild>
                    <w:div w:id="179122889">
                      <w:marLeft w:val="300"/>
                      <w:marRight w:val="300"/>
                      <w:marTop w:val="300"/>
                      <w:marBottom w:val="0"/>
                      <w:divBdr>
                        <w:top w:val="none" w:sz="0" w:space="0" w:color="auto"/>
                        <w:left w:val="none" w:sz="0" w:space="0" w:color="auto"/>
                        <w:bottom w:val="none" w:sz="0" w:space="0" w:color="auto"/>
                        <w:right w:val="none" w:sz="0" w:space="0" w:color="auto"/>
                      </w:divBdr>
                      <w:divsChild>
                        <w:div w:id="520241590">
                          <w:marLeft w:val="0"/>
                          <w:marRight w:val="0"/>
                          <w:marTop w:val="0"/>
                          <w:marBottom w:val="15"/>
                          <w:divBdr>
                            <w:top w:val="single" w:sz="6" w:space="12" w:color="C8C8C8"/>
                            <w:left w:val="single" w:sz="6" w:space="15" w:color="C8C8C8"/>
                            <w:bottom w:val="single" w:sz="6" w:space="0" w:color="C8C8C8"/>
                            <w:right w:val="single" w:sz="6" w:space="15" w:color="C8C8C8"/>
                          </w:divBdr>
                          <w:divsChild>
                            <w:div w:id="48189613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4699">
      <w:bodyDiv w:val="1"/>
      <w:marLeft w:val="0"/>
      <w:marRight w:val="0"/>
      <w:marTop w:val="0"/>
      <w:marBottom w:val="0"/>
      <w:divBdr>
        <w:top w:val="none" w:sz="0" w:space="0" w:color="auto"/>
        <w:left w:val="none" w:sz="0" w:space="0" w:color="auto"/>
        <w:bottom w:val="none" w:sz="0" w:space="0" w:color="auto"/>
        <w:right w:val="none" w:sz="0" w:space="0" w:color="auto"/>
      </w:divBdr>
    </w:div>
    <w:div w:id="688524615">
      <w:bodyDiv w:val="1"/>
      <w:marLeft w:val="0"/>
      <w:marRight w:val="0"/>
      <w:marTop w:val="0"/>
      <w:marBottom w:val="0"/>
      <w:divBdr>
        <w:top w:val="none" w:sz="0" w:space="0" w:color="auto"/>
        <w:left w:val="none" w:sz="0" w:space="0" w:color="auto"/>
        <w:bottom w:val="none" w:sz="0" w:space="0" w:color="auto"/>
        <w:right w:val="none" w:sz="0" w:space="0" w:color="auto"/>
      </w:divBdr>
    </w:div>
    <w:div w:id="782308422">
      <w:bodyDiv w:val="1"/>
      <w:marLeft w:val="0"/>
      <w:marRight w:val="0"/>
      <w:marTop w:val="0"/>
      <w:marBottom w:val="0"/>
      <w:divBdr>
        <w:top w:val="none" w:sz="0" w:space="0" w:color="auto"/>
        <w:left w:val="none" w:sz="0" w:space="0" w:color="auto"/>
        <w:bottom w:val="none" w:sz="0" w:space="0" w:color="auto"/>
        <w:right w:val="none" w:sz="0" w:space="0" w:color="auto"/>
      </w:divBdr>
    </w:div>
    <w:div w:id="873074944">
      <w:bodyDiv w:val="1"/>
      <w:marLeft w:val="0"/>
      <w:marRight w:val="0"/>
      <w:marTop w:val="0"/>
      <w:marBottom w:val="0"/>
      <w:divBdr>
        <w:top w:val="none" w:sz="0" w:space="0" w:color="auto"/>
        <w:left w:val="none" w:sz="0" w:space="0" w:color="auto"/>
        <w:bottom w:val="none" w:sz="0" w:space="0" w:color="auto"/>
        <w:right w:val="none" w:sz="0" w:space="0" w:color="auto"/>
      </w:divBdr>
    </w:div>
    <w:div w:id="945162960">
      <w:bodyDiv w:val="1"/>
      <w:marLeft w:val="0"/>
      <w:marRight w:val="0"/>
      <w:marTop w:val="0"/>
      <w:marBottom w:val="0"/>
      <w:divBdr>
        <w:top w:val="none" w:sz="0" w:space="0" w:color="auto"/>
        <w:left w:val="none" w:sz="0" w:space="0" w:color="auto"/>
        <w:bottom w:val="none" w:sz="0" w:space="0" w:color="auto"/>
        <w:right w:val="none" w:sz="0" w:space="0" w:color="auto"/>
      </w:divBdr>
    </w:div>
    <w:div w:id="949972606">
      <w:bodyDiv w:val="1"/>
      <w:marLeft w:val="0"/>
      <w:marRight w:val="0"/>
      <w:marTop w:val="0"/>
      <w:marBottom w:val="0"/>
      <w:divBdr>
        <w:top w:val="none" w:sz="0" w:space="0" w:color="auto"/>
        <w:left w:val="none" w:sz="0" w:space="0" w:color="auto"/>
        <w:bottom w:val="none" w:sz="0" w:space="0" w:color="auto"/>
        <w:right w:val="none" w:sz="0" w:space="0" w:color="auto"/>
      </w:divBdr>
    </w:div>
    <w:div w:id="1135836831">
      <w:bodyDiv w:val="1"/>
      <w:marLeft w:val="0"/>
      <w:marRight w:val="0"/>
      <w:marTop w:val="0"/>
      <w:marBottom w:val="0"/>
      <w:divBdr>
        <w:top w:val="none" w:sz="0" w:space="0" w:color="auto"/>
        <w:left w:val="none" w:sz="0" w:space="0" w:color="auto"/>
        <w:bottom w:val="none" w:sz="0" w:space="0" w:color="auto"/>
        <w:right w:val="none" w:sz="0" w:space="0" w:color="auto"/>
      </w:divBdr>
    </w:div>
    <w:div w:id="1170483147">
      <w:bodyDiv w:val="1"/>
      <w:marLeft w:val="0"/>
      <w:marRight w:val="0"/>
      <w:marTop w:val="0"/>
      <w:marBottom w:val="0"/>
      <w:divBdr>
        <w:top w:val="none" w:sz="0" w:space="0" w:color="auto"/>
        <w:left w:val="none" w:sz="0" w:space="0" w:color="auto"/>
        <w:bottom w:val="none" w:sz="0" w:space="0" w:color="auto"/>
        <w:right w:val="none" w:sz="0" w:space="0" w:color="auto"/>
      </w:divBdr>
    </w:div>
    <w:div w:id="1186796398">
      <w:bodyDiv w:val="1"/>
      <w:marLeft w:val="0"/>
      <w:marRight w:val="0"/>
      <w:marTop w:val="0"/>
      <w:marBottom w:val="0"/>
      <w:divBdr>
        <w:top w:val="none" w:sz="0" w:space="0" w:color="auto"/>
        <w:left w:val="none" w:sz="0" w:space="0" w:color="auto"/>
        <w:bottom w:val="none" w:sz="0" w:space="0" w:color="auto"/>
        <w:right w:val="none" w:sz="0" w:space="0" w:color="auto"/>
      </w:divBdr>
    </w:div>
    <w:div w:id="1225988072">
      <w:bodyDiv w:val="1"/>
      <w:marLeft w:val="0"/>
      <w:marRight w:val="0"/>
      <w:marTop w:val="0"/>
      <w:marBottom w:val="0"/>
      <w:divBdr>
        <w:top w:val="none" w:sz="0" w:space="0" w:color="auto"/>
        <w:left w:val="none" w:sz="0" w:space="0" w:color="auto"/>
        <w:bottom w:val="none" w:sz="0" w:space="0" w:color="auto"/>
        <w:right w:val="none" w:sz="0" w:space="0" w:color="auto"/>
      </w:divBdr>
    </w:div>
    <w:div w:id="1381242038">
      <w:bodyDiv w:val="1"/>
      <w:marLeft w:val="0"/>
      <w:marRight w:val="0"/>
      <w:marTop w:val="0"/>
      <w:marBottom w:val="0"/>
      <w:divBdr>
        <w:top w:val="none" w:sz="0" w:space="0" w:color="auto"/>
        <w:left w:val="none" w:sz="0" w:space="0" w:color="auto"/>
        <w:bottom w:val="none" w:sz="0" w:space="0" w:color="auto"/>
        <w:right w:val="none" w:sz="0" w:space="0" w:color="auto"/>
      </w:divBdr>
    </w:div>
    <w:div w:id="1440755411">
      <w:bodyDiv w:val="1"/>
      <w:marLeft w:val="0"/>
      <w:marRight w:val="0"/>
      <w:marTop w:val="0"/>
      <w:marBottom w:val="0"/>
      <w:divBdr>
        <w:top w:val="none" w:sz="0" w:space="0" w:color="auto"/>
        <w:left w:val="none" w:sz="0" w:space="0" w:color="auto"/>
        <w:bottom w:val="none" w:sz="0" w:space="0" w:color="auto"/>
        <w:right w:val="none" w:sz="0" w:space="0" w:color="auto"/>
      </w:divBdr>
    </w:div>
    <w:div w:id="1474908413">
      <w:bodyDiv w:val="1"/>
      <w:marLeft w:val="0"/>
      <w:marRight w:val="0"/>
      <w:marTop w:val="0"/>
      <w:marBottom w:val="0"/>
      <w:divBdr>
        <w:top w:val="none" w:sz="0" w:space="0" w:color="auto"/>
        <w:left w:val="none" w:sz="0" w:space="0" w:color="auto"/>
        <w:bottom w:val="none" w:sz="0" w:space="0" w:color="auto"/>
        <w:right w:val="none" w:sz="0" w:space="0" w:color="auto"/>
      </w:divBdr>
    </w:div>
    <w:div w:id="1522667650">
      <w:bodyDiv w:val="1"/>
      <w:marLeft w:val="0"/>
      <w:marRight w:val="0"/>
      <w:marTop w:val="0"/>
      <w:marBottom w:val="0"/>
      <w:divBdr>
        <w:top w:val="none" w:sz="0" w:space="0" w:color="auto"/>
        <w:left w:val="none" w:sz="0" w:space="0" w:color="auto"/>
        <w:bottom w:val="none" w:sz="0" w:space="0" w:color="auto"/>
        <w:right w:val="none" w:sz="0" w:space="0" w:color="auto"/>
      </w:divBdr>
    </w:div>
    <w:div w:id="1656831965">
      <w:bodyDiv w:val="1"/>
      <w:marLeft w:val="0"/>
      <w:marRight w:val="0"/>
      <w:marTop w:val="0"/>
      <w:marBottom w:val="0"/>
      <w:divBdr>
        <w:top w:val="none" w:sz="0" w:space="0" w:color="auto"/>
        <w:left w:val="none" w:sz="0" w:space="0" w:color="auto"/>
        <w:bottom w:val="none" w:sz="0" w:space="0" w:color="auto"/>
        <w:right w:val="none" w:sz="0" w:space="0" w:color="auto"/>
      </w:divBdr>
    </w:div>
    <w:div w:id="1852914916">
      <w:bodyDiv w:val="1"/>
      <w:marLeft w:val="0"/>
      <w:marRight w:val="0"/>
      <w:marTop w:val="0"/>
      <w:marBottom w:val="0"/>
      <w:divBdr>
        <w:top w:val="none" w:sz="0" w:space="0" w:color="auto"/>
        <w:left w:val="none" w:sz="0" w:space="0" w:color="auto"/>
        <w:bottom w:val="none" w:sz="0" w:space="0" w:color="auto"/>
        <w:right w:val="none" w:sz="0" w:space="0" w:color="auto"/>
      </w:divBdr>
    </w:div>
    <w:div w:id="1855413734">
      <w:bodyDiv w:val="1"/>
      <w:marLeft w:val="0"/>
      <w:marRight w:val="0"/>
      <w:marTop w:val="0"/>
      <w:marBottom w:val="0"/>
      <w:divBdr>
        <w:top w:val="none" w:sz="0" w:space="0" w:color="auto"/>
        <w:left w:val="none" w:sz="0" w:space="0" w:color="auto"/>
        <w:bottom w:val="none" w:sz="0" w:space="0" w:color="auto"/>
        <w:right w:val="none" w:sz="0" w:space="0" w:color="auto"/>
      </w:divBdr>
    </w:div>
    <w:div w:id="1863586495">
      <w:bodyDiv w:val="1"/>
      <w:marLeft w:val="0"/>
      <w:marRight w:val="0"/>
      <w:marTop w:val="0"/>
      <w:marBottom w:val="0"/>
      <w:divBdr>
        <w:top w:val="none" w:sz="0" w:space="0" w:color="auto"/>
        <w:left w:val="none" w:sz="0" w:space="0" w:color="auto"/>
        <w:bottom w:val="none" w:sz="0" w:space="0" w:color="auto"/>
        <w:right w:val="none" w:sz="0" w:space="0" w:color="auto"/>
      </w:divBdr>
    </w:div>
    <w:div w:id="2054691648">
      <w:bodyDiv w:val="1"/>
      <w:marLeft w:val="0"/>
      <w:marRight w:val="0"/>
      <w:marTop w:val="0"/>
      <w:marBottom w:val="0"/>
      <w:divBdr>
        <w:top w:val="none" w:sz="0" w:space="0" w:color="auto"/>
        <w:left w:val="none" w:sz="0" w:space="0" w:color="auto"/>
        <w:bottom w:val="none" w:sz="0" w:space="0" w:color="auto"/>
        <w:right w:val="none" w:sz="0" w:space="0" w:color="auto"/>
      </w:divBdr>
    </w:div>
    <w:div w:id="2055887991">
      <w:bodyDiv w:val="1"/>
      <w:marLeft w:val="0"/>
      <w:marRight w:val="0"/>
      <w:marTop w:val="0"/>
      <w:marBottom w:val="0"/>
      <w:divBdr>
        <w:top w:val="none" w:sz="0" w:space="0" w:color="auto"/>
        <w:left w:val="none" w:sz="0" w:space="0" w:color="auto"/>
        <w:bottom w:val="none" w:sz="0" w:space="0" w:color="auto"/>
        <w:right w:val="none" w:sz="0" w:space="0" w:color="auto"/>
      </w:divBdr>
    </w:div>
    <w:div w:id="212541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adl.brs.gov.au/data/warehouse/pe_abarebrs99001439/rr08.4_impacts_gm_crop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reasury.gov.au/contentitem.asp?NavId=035&amp;ContentID=211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BF4A7-3820-436E-AD59-1C4465E352CF}" type="doc">
      <dgm:prSet loTypeId="urn:microsoft.com/office/officeart/2005/8/layout/process1" loCatId="process" qsTypeId="urn:microsoft.com/office/officeart/2005/8/quickstyle/simple1" qsCatId="simple" csTypeId="urn:microsoft.com/office/officeart/2005/8/colors/accent1_2" csCatId="accent1" phldr="1"/>
      <dgm:spPr/>
    </dgm:pt>
    <dgm:pt modelId="{0D0BD6FB-D460-47EE-81D3-E43ABDAC437E}">
      <dgm:prSet phldrT="[Text]" custT="1"/>
      <dgm:spPr>
        <a:solidFill>
          <a:schemeClr val="bg1"/>
        </a:solidFill>
      </dgm:spPr>
      <dgm:t>
        <a:bodyPr/>
        <a:lstStyle/>
        <a:p>
          <a:r>
            <a:rPr lang="en-AU" sz="1400" b="0">
              <a:solidFill>
                <a:sysClr val="windowText" lastClr="000000"/>
              </a:solidFill>
            </a:rPr>
            <a:t>Carbon Price</a:t>
          </a:r>
        </a:p>
      </dgm:t>
    </dgm:pt>
    <dgm:pt modelId="{B9D7AD8B-B217-4476-AC95-325B023E692B}" type="parTrans" cxnId="{02FDEA91-2DFB-49D2-9906-57519BA83286}">
      <dgm:prSet/>
      <dgm:spPr/>
      <dgm:t>
        <a:bodyPr/>
        <a:lstStyle/>
        <a:p>
          <a:endParaRPr lang="en-AU"/>
        </a:p>
      </dgm:t>
    </dgm:pt>
    <dgm:pt modelId="{B2689717-7379-4070-9DD2-387FE7719925}" type="sibTrans" cxnId="{02FDEA91-2DFB-49D2-9906-57519BA83286}">
      <dgm:prSet/>
      <dgm:spPr/>
      <dgm:t>
        <a:bodyPr/>
        <a:lstStyle/>
        <a:p>
          <a:endParaRPr lang="en-AU"/>
        </a:p>
      </dgm:t>
    </dgm:pt>
    <dgm:pt modelId="{4EF84181-7830-4A23-99A7-8A0DC0E05448}">
      <dgm:prSet phldrT="[Text]" custT="1"/>
      <dgm:spPr/>
      <dgm:t>
        <a:bodyPr/>
        <a:lstStyle/>
        <a:p>
          <a:r>
            <a:rPr lang="en-AU" sz="1200"/>
            <a:t>PRISMOD.IO</a:t>
          </a:r>
        </a:p>
      </dgm:t>
    </dgm:pt>
    <dgm:pt modelId="{6D06B857-4C04-4916-89D6-86D3ED51EE10}" type="parTrans" cxnId="{61A81761-3A1D-422B-95F3-6FAAE9530A67}">
      <dgm:prSet/>
      <dgm:spPr/>
      <dgm:t>
        <a:bodyPr/>
        <a:lstStyle/>
        <a:p>
          <a:endParaRPr lang="en-AU"/>
        </a:p>
      </dgm:t>
    </dgm:pt>
    <dgm:pt modelId="{1B9390BD-AE27-4F0B-8F5C-4951F5E87BAF}" type="sibTrans" cxnId="{61A81761-3A1D-422B-95F3-6FAAE9530A67}">
      <dgm:prSet/>
      <dgm:spPr>
        <a:noFill/>
      </dgm:spPr>
      <dgm:t>
        <a:bodyPr/>
        <a:lstStyle/>
        <a:p>
          <a:endParaRPr lang="en-AU"/>
        </a:p>
      </dgm:t>
    </dgm:pt>
    <dgm:pt modelId="{9715EC36-FF44-4125-A67C-5C7A163D8552}">
      <dgm:prSet phldrT="[Text]" custT="1"/>
      <dgm:spPr/>
      <dgm:t>
        <a:bodyPr/>
        <a:lstStyle/>
        <a:p>
          <a:r>
            <a:rPr lang="en-AU" sz="1200"/>
            <a:t>PRISMOD.DIST</a:t>
          </a:r>
        </a:p>
      </dgm:t>
    </dgm:pt>
    <dgm:pt modelId="{3B521A4C-9352-4434-B974-72E95D5388BA}" type="parTrans" cxnId="{3E497DB0-6BD7-4335-A904-AA901C535352}">
      <dgm:prSet/>
      <dgm:spPr/>
      <dgm:t>
        <a:bodyPr/>
        <a:lstStyle/>
        <a:p>
          <a:endParaRPr lang="en-AU"/>
        </a:p>
      </dgm:t>
    </dgm:pt>
    <dgm:pt modelId="{FA2B5669-9B53-40E3-9E7B-2A48F56D16E4}" type="sibTrans" cxnId="{3E497DB0-6BD7-4335-A904-AA901C535352}">
      <dgm:prSet/>
      <dgm:spPr>
        <a:noFill/>
      </dgm:spPr>
      <dgm:t>
        <a:bodyPr/>
        <a:lstStyle/>
        <a:p>
          <a:endParaRPr lang="en-AU"/>
        </a:p>
      </dgm:t>
    </dgm:pt>
    <dgm:pt modelId="{3229E7B8-5466-49F2-899A-A875A3176E99}">
      <dgm:prSet/>
      <dgm:spPr/>
      <dgm:t>
        <a:bodyPr/>
        <a:lstStyle/>
        <a:p>
          <a:r>
            <a:rPr lang="en-AU"/>
            <a:t>STINMOD</a:t>
          </a:r>
        </a:p>
      </dgm:t>
    </dgm:pt>
    <dgm:pt modelId="{F00D4C63-641D-4E08-AB6A-916AB4CAA961}" type="parTrans" cxnId="{E7FCF060-EC19-4551-8A6E-133D63D83A62}">
      <dgm:prSet/>
      <dgm:spPr/>
      <dgm:t>
        <a:bodyPr/>
        <a:lstStyle/>
        <a:p>
          <a:endParaRPr lang="en-AU"/>
        </a:p>
      </dgm:t>
    </dgm:pt>
    <dgm:pt modelId="{EAD3BBC2-E8D8-4A06-B492-CC970CBC26C3}" type="sibTrans" cxnId="{E7FCF060-EC19-4551-8A6E-133D63D83A62}">
      <dgm:prSet/>
      <dgm:spPr/>
      <dgm:t>
        <a:bodyPr/>
        <a:lstStyle/>
        <a:p>
          <a:endParaRPr lang="en-AU"/>
        </a:p>
      </dgm:t>
    </dgm:pt>
    <dgm:pt modelId="{10734580-C202-4311-948F-244CCA57EDB0}">
      <dgm:prSet custT="1"/>
      <dgm:spPr>
        <a:noFill/>
        <a:ln>
          <a:noFill/>
        </a:ln>
      </dgm:spPr>
      <dgm:t>
        <a:bodyPr/>
        <a:lstStyle/>
        <a:p>
          <a:pPr algn="l"/>
          <a:r>
            <a:rPr lang="en-AU" sz="1400">
              <a:solidFill>
                <a:srgbClr val="FF0000"/>
              </a:solidFill>
            </a:rPr>
            <a:t>Impact and assistance for households at various levels</a:t>
          </a:r>
        </a:p>
      </dgm:t>
    </dgm:pt>
    <dgm:pt modelId="{99A4B1C0-AE92-454F-81F4-69C842C33A34}" type="sibTrans" cxnId="{A68EF25E-E1C9-4E70-8BB3-34944745153F}">
      <dgm:prSet/>
      <dgm:spPr/>
      <dgm:t>
        <a:bodyPr/>
        <a:lstStyle/>
        <a:p>
          <a:endParaRPr lang="en-AU"/>
        </a:p>
      </dgm:t>
    </dgm:pt>
    <dgm:pt modelId="{C92671ED-B149-48C2-A194-800C8C263BA2}" type="parTrans" cxnId="{A68EF25E-E1C9-4E70-8BB3-34944745153F}">
      <dgm:prSet/>
      <dgm:spPr/>
      <dgm:t>
        <a:bodyPr/>
        <a:lstStyle/>
        <a:p>
          <a:endParaRPr lang="en-AU"/>
        </a:p>
      </dgm:t>
    </dgm:pt>
    <dgm:pt modelId="{FC695513-6514-416D-9D63-0067ECE58D9E}" type="pres">
      <dgm:prSet presAssocID="{E51BF4A7-3820-436E-AD59-1C4465E352CF}" presName="Name0" presStyleCnt="0">
        <dgm:presLayoutVars>
          <dgm:dir/>
          <dgm:resizeHandles val="exact"/>
        </dgm:presLayoutVars>
      </dgm:prSet>
      <dgm:spPr/>
    </dgm:pt>
    <dgm:pt modelId="{C205C7E4-BA62-4021-956D-37CB3C93FE9A}" type="pres">
      <dgm:prSet presAssocID="{0D0BD6FB-D460-47EE-81D3-E43ABDAC437E}" presName="node" presStyleLbl="node1" presStyleIdx="0" presStyleCnt="5" custScaleX="133928">
        <dgm:presLayoutVars>
          <dgm:bulletEnabled val="1"/>
        </dgm:presLayoutVars>
      </dgm:prSet>
      <dgm:spPr/>
      <dgm:t>
        <a:bodyPr/>
        <a:lstStyle/>
        <a:p>
          <a:endParaRPr lang="en-AU"/>
        </a:p>
      </dgm:t>
    </dgm:pt>
    <dgm:pt modelId="{24670A6F-B727-48C8-8238-8638134FD7D0}" type="pres">
      <dgm:prSet presAssocID="{B2689717-7379-4070-9DD2-387FE7719925}" presName="sibTrans" presStyleLbl="sibTrans2D1" presStyleIdx="0" presStyleCnt="4" custScaleX="199812" custScaleY="103916" custLinFactNeighborX="-45128" custLinFactNeighborY="0"/>
      <dgm:spPr/>
      <dgm:t>
        <a:bodyPr/>
        <a:lstStyle/>
        <a:p>
          <a:endParaRPr lang="en-AU"/>
        </a:p>
      </dgm:t>
    </dgm:pt>
    <dgm:pt modelId="{E8456AB6-E761-4010-8314-04B67023D6BE}" type="pres">
      <dgm:prSet presAssocID="{B2689717-7379-4070-9DD2-387FE7719925}" presName="connectorText" presStyleLbl="sibTrans2D1" presStyleIdx="0" presStyleCnt="4"/>
      <dgm:spPr/>
      <dgm:t>
        <a:bodyPr/>
        <a:lstStyle/>
        <a:p>
          <a:endParaRPr lang="en-AU"/>
        </a:p>
      </dgm:t>
    </dgm:pt>
    <dgm:pt modelId="{57697E51-D1B6-4A8D-B2E5-ECEA7E25F10B}" type="pres">
      <dgm:prSet presAssocID="{4EF84181-7830-4A23-99A7-8A0DC0E05448}" presName="node" presStyleLbl="node1" presStyleIdx="1" presStyleCnt="5" custScaleX="131054" custLinFactNeighborX="-53529" custLinFactNeighborY="-2436">
        <dgm:presLayoutVars>
          <dgm:bulletEnabled val="1"/>
        </dgm:presLayoutVars>
      </dgm:prSet>
      <dgm:spPr/>
      <dgm:t>
        <a:bodyPr/>
        <a:lstStyle/>
        <a:p>
          <a:endParaRPr lang="en-AU"/>
        </a:p>
      </dgm:t>
    </dgm:pt>
    <dgm:pt modelId="{003D1D7B-9AF1-45BD-8E65-9B021DB6E1DE}" type="pres">
      <dgm:prSet presAssocID="{1B9390BD-AE27-4F0B-8F5C-4951F5E87BAF}" presName="sibTrans" presStyleLbl="sibTrans2D1" presStyleIdx="1" presStyleCnt="4" custScaleX="158654" custScaleY="110141"/>
      <dgm:spPr/>
      <dgm:t>
        <a:bodyPr/>
        <a:lstStyle/>
        <a:p>
          <a:endParaRPr lang="en-AU"/>
        </a:p>
      </dgm:t>
    </dgm:pt>
    <dgm:pt modelId="{BCAE4E94-2B04-4E32-BFC8-CB3E94534D41}" type="pres">
      <dgm:prSet presAssocID="{1B9390BD-AE27-4F0B-8F5C-4951F5E87BAF}" presName="connectorText" presStyleLbl="sibTrans2D1" presStyleIdx="1" presStyleCnt="4"/>
      <dgm:spPr/>
      <dgm:t>
        <a:bodyPr/>
        <a:lstStyle/>
        <a:p>
          <a:endParaRPr lang="en-AU"/>
        </a:p>
      </dgm:t>
    </dgm:pt>
    <dgm:pt modelId="{3E823FFE-208C-4CD8-B4E8-65777D3EA3C4}" type="pres">
      <dgm:prSet presAssocID="{9715EC36-FF44-4125-A67C-5C7A163D8552}" presName="node" presStyleLbl="node1" presStyleIdx="2" presStyleCnt="5" custScaleX="113245" custLinFactNeighborX="-52791" custLinFactNeighborY="-2436">
        <dgm:presLayoutVars>
          <dgm:bulletEnabled val="1"/>
        </dgm:presLayoutVars>
      </dgm:prSet>
      <dgm:spPr/>
      <dgm:t>
        <a:bodyPr/>
        <a:lstStyle/>
        <a:p>
          <a:endParaRPr lang="en-AU"/>
        </a:p>
      </dgm:t>
    </dgm:pt>
    <dgm:pt modelId="{3CB2CD0C-D7F1-49A7-80D0-85CEDEDF85B7}" type="pres">
      <dgm:prSet presAssocID="{FA2B5669-9B53-40E3-9E7B-2A48F56D16E4}" presName="sibTrans" presStyleLbl="sibTrans2D1" presStyleIdx="2" presStyleCnt="4" custFlipVert="1" custScaleX="142213" custScaleY="110815"/>
      <dgm:spPr/>
      <dgm:t>
        <a:bodyPr/>
        <a:lstStyle/>
        <a:p>
          <a:endParaRPr lang="en-AU"/>
        </a:p>
      </dgm:t>
    </dgm:pt>
    <dgm:pt modelId="{8BF93647-4037-4F98-8E43-13776A8FAE71}" type="pres">
      <dgm:prSet presAssocID="{FA2B5669-9B53-40E3-9E7B-2A48F56D16E4}" presName="connectorText" presStyleLbl="sibTrans2D1" presStyleIdx="2" presStyleCnt="4"/>
      <dgm:spPr/>
      <dgm:t>
        <a:bodyPr/>
        <a:lstStyle/>
        <a:p>
          <a:endParaRPr lang="en-AU"/>
        </a:p>
      </dgm:t>
    </dgm:pt>
    <dgm:pt modelId="{63FAE69A-9236-4F89-9570-F3FE5EA09706}" type="pres">
      <dgm:prSet presAssocID="{3229E7B8-5466-49F2-899A-A875A3176E99}" presName="node" presStyleLbl="node1" presStyleIdx="3" presStyleCnt="5" custScaleX="102406" custScaleY="107599" custLinFactNeighborX="-48005" custLinFactNeighborY="-145">
        <dgm:presLayoutVars>
          <dgm:bulletEnabled val="1"/>
        </dgm:presLayoutVars>
      </dgm:prSet>
      <dgm:spPr/>
      <dgm:t>
        <a:bodyPr/>
        <a:lstStyle/>
        <a:p>
          <a:endParaRPr lang="en-AU"/>
        </a:p>
      </dgm:t>
    </dgm:pt>
    <dgm:pt modelId="{2D17E304-0D40-448D-90A9-8A64D5CFC78B}" type="pres">
      <dgm:prSet presAssocID="{EAD3BBC2-E8D8-4A06-B492-CC970CBC26C3}" presName="sibTrans" presStyleLbl="sibTrans2D1" presStyleIdx="3" presStyleCnt="4" custScaleX="184585" custScaleY="140691"/>
      <dgm:spPr/>
      <dgm:t>
        <a:bodyPr/>
        <a:lstStyle/>
        <a:p>
          <a:endParaRPr lang="en-AU"/>
        </a:p>
      </dgm:t>
    </dgm:pt>
    <dgm:pt modelId="{98C7BEC9-F244-459D-818D-D36E5CACA742}" type="pres">
      <dgm:prSet presAssocID="{EAD3BBC2-E8D8-4A06-B492-CC970CBC26C3}" presName="connectorText" presStyleLbl="sibTrans2D1" presStyleIdx="3" presStyleCnt="4"/>
      <dgm:spPr/>
      <dgm:t>
        <a:bodyPr/>
        <a:lstStyle/>
        <a:p>
          <a:endParaRPr lang="en-AU"/>
        </a:p>
      </dgm:t>
    </dgm:pt>
    <dgm:pt modelId="{37EF9C64-19E4-45AE-BFDB-F20EE3860D35}" type="pres">
      <dgm:prSet presAssocID="{10734580-C202-4311-948F-244CCA57EDB0}" presName="node" presStyleLbl="node1" presStyleIdx="4" presStyleCnt="5" custScaleX="168506" custScaleY="239315" custLinFactNeighborX="-42128" custLinFactNeighborY="3020">
        <dgm:presLayoutVars>
          <dgm:bulletEnabled val="1"/>
        </dgm:presLayoutVars>
      </dgm:prSet>
      <dgm:spPr/>
      <dgm:t>
        <a:bodyPr/>
        <a:lstStyle/>
        <a:p>
          <a:endParaRPr lang="en-AU"/>
        </a:p>
      </dgm:t>
    </dgm:pt>
  </dgm:ptLst>
  <dgm:cxnLst>
    <dgm:cxn modelId="{48FBFF7F-74F3-4C7D-82C3-F648AD341B36}" type="presOf" srcId="{0D0BD6FB-D460-47EE-81D3-E43ABDAC437E}" destId="{C205C7E4-BA62-4021-956D-37CB3C93FE9A}" srcOrd="0" destOrd="0" presId="urn:microsoft.com/office/officeart/2005/8/layout/process1"/>
    <dgm:cxn modelId="{1A36ACA9-FD5D-43CC-8E25-737B2D8FB1BC}" type="presOf" srcId="{3229E7B8-5466-49F2-899A-A875A3176E99}" destId="{63FAE69A-9236-4F89-9570-F3FE5EA09706}" srcOrd="0" destOrd="0" presId="urn:microsoft.com/office/officeart/2005/8/layout/process1"/>
    <dgm:cxn modelId="{814BA6D2-CED0-466D-A641-13E65B2C930E}" type="presOf" srcId="{4EF84181-7830-4A23-99A7-8A0DC0E05448}" destId="{57697E51-D1B6-4A8D-B2E5-ECEA7E25F10B}" srcOrd="0" destOrd="0" presId="urn:microsoft.com/office/officeart/2005/8/layout/process1"/>
    <dgm:cxn modelId="{23E5AA0E-110C-4FAC-9827-3E35EFA49426}" type="presOf" srcId="{EAD3BBC2-E8D8-4A06-B492-CC970CBC26C3}" destId="{2D17E304-0D40-448D-90A9-8A64D5CFC78B}" srcOrd="0" destOrd="0" presId="urn:microsoft.com/office/officeart/2005/8/layout/process1"/>
    <dgm:cxn modelId="{A68EF25E-E1C9-4E70-8BB3-34944745153F}" srcId="{E51BF4A7-3820-436E-AD59-1C4465E352CF}" destId="{10734580-C202-4311-948F-244CCA57EDB0}" srcOrd="4" destOrd="0" parTransId="{C92671ED-B149-48C2-A194-800C8C263BA2}" sibTransId="{99A4B1C0-AE92-454F-81F4-69C842C33A34}"/>
    <dgm:cxn modelId="{F9F550EE-AFB3-4CC5-9006-617E19B466B6}" type="presOf" srcId="{10734580-C202-4311-948F-244CCA57EDB0}" destId="{37EF9C64-19E4-45AE-BFDB-F20EE3860D35}" srcOrd="0" destOrd="0" presId="urn:microsoft.com/office/officeart/2005/8/layout/process1"/>
    <dgm:cxn modelId="{9D0EAF91-68B4-484E-A31C-D6F5BA3C349C}" type="presOf" srcId="{B2689717-7379-4070-9DD2-387FE7719925}" destId="{24670A6F-B727-48C8-8238-8638134FD7D0}" srcOrd="0" destOrd="0" presId="urn:microsoft.com/office/officeart/2005/8/layout/process1"/>
    <dgm:cxn modelId="{2E3EB240-FFF9-4952-9A20-4013E86E1702}" type="presOf" srcId="{EAD3BBC2-E8D8-4A06-B492-CC970CBC26C3}" destId="{98C7BEC9-F244-459D-818D-D36E5CACA742}" srcOrd="1" destOrd="0" presId="urn:microsoft.com/office/officeart/2005/8/layout/process1"/>
    <dgm:cxn modelId="{3E497DB0-6BD7-4335-A904-AA901C535352}" srcId="{E51BF4A7-3820-436E-AD59-1C4465E352CF}" destId="{9715EC36-FF44-4125-A67C-5C7A163D8552}" srcOrd="2" destOrd="0" parTransId="{3B521A4C-9352-4434-B974-72E95D5388BA}" sibTransId="{FA2B5669-9B53-40E3-9E7B-2A48F56D16E4}"/>
    <dgm:cxn modelId="{E7FCF060-EC19-4551-8A6E-133D63D83A62}" srcId="{E51BF4A7-3820-436E-AD59-1C4465E352CF}" destId="{3229E7B8-5466-49F2-899A-A875A3176E99}" srcOrd="3" destOrd="0" parTransId="{F00D4C63-641D-4E08-AB6A-916AB4CAA961}" sibTransId="{EAD3BBC2-E8D8-4A06-B492-CC970CBC26C3}"/>
    <dgm:cxn modelId="{02FDEA91-2DFB-49D2-9906-57519BA83286}" srcId="{E51BF4A7-3820-436E-AD59-1C4465E352CF}" destId="{0D0BD6FB-D460-47EE-81D3-E43ABDAC437E}" srcOrd="0" destOrd="0" parTransId="{B9D7AD8B-B217-4476-AC95-325B023E692B}" sibTransId="{B2689717-7379-4070-9DD2-387FE7719925}"/>
    <dgm:cxn modelId="{BE0C4C68-86D5-4225-B768-734CC291498F}" type="presOf" srcId="{FA2B5669-9B53-40E3-9E7B-2A48F56D16E4}" destId="{3CB2CD0C-D7F1-49A7-80D0-85CEDEDF85B7}" srcOrd="0" destOrd="0" presId="urn:microsoft.com/office/officeart/2005/8/layout/process1"/>
    <dgm:cxn modelId="{1B49F05B-9B92-4B0E-83C9-529091BCE41A}" type="presOf" srcId="{FA2B5669-9B53-40E3-9E7B-2A48F56D16E4}" destId="{8BF93647-4037-4F98-8E43-13776A8FAE71}" srcOrd="1" destOrd="0" presId="urn:microsoft.com/office/officeart/2005/8/layout/process1"/>
    <dgm:cxn modelId="{C551931E-07F7-45C8-8A24-DA82527B705D}" type="presOf" srcId="{1B9390BD-AE27-4F0B-8F5C-4951F5E87BAF}" destId="{003D1D7B-9AF1-45BD-8E65-9B021DB6E1DE}" srcOrd="0" destOrd="0" presId="urn:microsoft.com/office/officeart/2005/8/layout/process1"/>
    <dgm:cxn modelId="{61A81761-3A1D-422B-95F3-6FAAE9530A67}" srcId="{E51BF4A7-3820-436E-AD59-1C4465E352CF}" destId="{4EF84181-7830-4A23-99A7-8A0DC0E05448}" srcOrd="1" destOrd="0" parTransId="{6D06B857-4C04-4916-89D6-86D3ED51EE10}" sibTransId="{1B9390BD-AE27-4F0B-8F5C-4951F5E87BAF}"/>
    <dgm:cxn modelId="{9767EFBD-E5FC-421D-8F2E-56CAD9E5ED3F}" type="presOf" srcId="{9715EC36-FF44-4125-A67C-5C7A163D8552}" destId="{3E823FFE-208C-4CD8-B4E8-65777D3EA3C4}" srcOrd="0" destOrd="0" presId="urn:microsoft.com/office/officeart/2005/8/layout/process1"/>
    <dgm:cxn modelId="{51C489DB-B855-48BD-8B47-AF05BE2292B0}" type="presOf" srcId="{E51BF4A7-3820-436E-AD59-1C4465E352CF}" destId="{FC695513-6514-416D-9D63-0067ECE58D9E}" srcOrd="0" destOrd="0" presId="urn:microsoft.com/office/officeart/2005/8/layout/process1"/>
    <dgm:cxn modelId="{6D1F07F3-1BFC-484C-B83C-3D96C4BED255}" type="presOf" srcId="{1B9390BD-AE27-4F0B-8F5C-4951F5E87BAF}" destId="{BCAE4E94-2B04-4E32-BFC8-CB3E94534D41}" srcOrd="1" destOrd="0" presId="urn:microsoft.com/office/officeart/2005/8/layout/process1"/>
    <dgm:cxn modelId="{5A29279F-7286-4DC3-912E-C4C8DA05E0DE}" type="presOf" srcId="{B2689717-7379-4070-9DD2-387FE7719925}" destId="{E8456AB6-E761-4010-8314-04B67023D6BE}" srcOrd="1" destOrd="0" presId="urn:microsoft.com/office/officeart/2005/8/layout/process1"/>
    <dgm:cxn modelId="{93B054F5-867D-4B4C-93B5-F07ED7D9F682}" type="presParOf" srcId="{FC695513-6514-416D-9D63-0067ECE58D9E}" destId="{C205C7E4-BA62-4021-956D-37CB3C93FE9A}" srcOrd="0" destOrd="0" presId="urn:microsoft.com/office/officeart/2005/8/layout/process1"/>
    <dgm:cxn modelId="{FDEF5FD1-855C-498C-A2FD-94A7D2D1ACC3}" type="presParOf" srcId="{FC695513-6514-416D-9D63-0067ECE58D9E}" destId="{24670A6F-B727-48C8-8238-8638134FD7D0}" srcOrd="1" destOrd="0" presId="urn:microsoft.com/office/officeart/2005/8/layout/process1"/>
    <dgm:cxn modelId="{96E169AD-55A1-4017-886D-0C1B4F65941C}" type="presParOf" srcId="{24670A6F-B727-48C8-8238-8638134FD7D0}" destId="{E8456AB6-E761-4010-8314-04B67023D6BE}" srcOrd="0" destOrd="0" presId="urn:microsoft.com/office/officeart/2005/8/layout/process1"/>
    <dgm:cxn modelId="{82D9BC44-9782-4107-82AC-3D422CDF75A0}" type="presParOf" srcId="{FC695513-6514-416D-9D63-0067ECE58D9E}" destId="{57697E51-D1B6-4A8D-B2E5-ECEA7E25F10B}" srcOrd="2" destOrd="0" presId="urn:microsoft.com/office/officeart/2005/8/layout/process1"/>
    <dgm:cxn modelId="{423089B1-AAA6-4AE7-A370-45F9D3500394}" type="presParOf" srcId="{FC695513-6514-416D-9D63-0067ECE58D9E}" destId="{003D1D7B-9AF1-45BD-8E65-9B021DB6E1DE}" srcOrd="3" destOrd="0" presId="urn:microsoft.com/office/officeart/2005/8/layout/process1"/>
    <dgm:cxn modelId="{E635CE33-9C19-4D07-8365-C9A6736C1372}" type="presParOf" srcId="{003D1D7B-9AF1-45BD-8E65-9B021DB6E1DE}" destId="{BCAE4E94-2B04-4E32-BFC8-CB3E94534D41}" srcOrd="0" destOrd="0" presId="urn:microsoft.com/office/officeart/2005/8/layout/process1"/>
    <dgm:cxn modelId="{9154C6F1-8E31-4BAB-9424-38CFE26FC750}" type="presParOf" srcId="{FC695513-6514-416D-9D63-0067ECE58D9E}" destId="{3E823FFE-208C-4CD8-B4E8-65777D3EA3C4}" srcOrd="4" destOrd="0" presId="urn:microsoft.com/office/officeart/2005/8/layout/process1"/>
    <dgm:cxn modelId="{281F6ECF-4800-4012-8AF5-2385A1CA5914}" type="presParOf" srcId="{FC695513-6514-416D-9D63-0067ECE58D9E}" destId="{3CB2CD0C-D7F1-49A7-80D0-85CEDEDF85B7}" srcOrd="5" destOrd="0" presId="urn:microsoft.com/office/officeart/2005/8/layout/process1"/>
    <dgm:cxn modelId="{BC40B51D-39EA-4FB0-9BCE-4E47A03A05D1}" type="presParOf" srcId="{3CB2CD0C-D7F1-49A7-80D0-85CEDEDF85B7}" destId="{8BF93647-4037-4F98-8E43-13776A8FAE71}" srcOrd="0" destOrd="0" presId="urn:microsoft.com/office/officeart/2005/8/layout/process1"/>
    <dgm:cxn modelId="{E6EE7E01-CF64-47FE-958E-5CF6BE3837EB}" type="presParOf" srcId="{FC695513-6514-416D-9D63-0067ECE58D9E}" destId="{63FAE69A-9236-4F89-9570-F3FE5EA09706}" srcOrd="6" destOrd="0" presId="urn:microsoft.com/office/officeart/2005/8/layout/process1"/>
    <dgm:cxn modelId="{0A42355C-185E-4556-8C8E-98DCD8DA47C0}" type="presParOf" srcId="{FC695513-6514-416D-9D63-0067ECE58D9E}" destId="{2D17E304-0D40-448D-90A9-8A64D5CFC78B}" srcOrd="7" destOrd="0" presId="urn:microsoft.com/office/officeart/2005/8/layout/process1"/>
    <dgm:cxn modelId="{C94DB233-C9A0-4076-8414-94B04A286972}" type="presParOf" srcId="{2D17E304-0D40-448D-90A9-8A64D5CFC78B}" destId="{98C7BEC9-F244-459D-818D-D36E5CACA742}" srcOrd="0" destOrd="0" presId="urn:microsoft.com/office/officeart/2005/8/layout/process1"/>
    <dgm:cxn modelId="{015B8DFF-ABBF-4FF2-ABAC-F1952CE5F9E8}" type="presParOf" srcId="{FC695513-6514-416D-9D63-0067ECE58D9E}" destId="{37EF9C64-19E4-45AE-BFDB-F20EE3860D35}" srcOrd="8" destOrd="0" presId="urn:microsoft.com/office/officeart/2005/8/layout/process1"/>
  </dgm:cxnLst>
  <dgm:bg>
    <a:noFill/>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05C7E4-BA62-4021-956D-37CB3C93FE9A}">
      <dsp:nvSpPr>
        <dsp:cNvPr id="0" name=""/>
        <dsp:cNvSpPr/>
      </dsp:nvSpPr>
      <dsp:spPr>
        <a:xfrm>
          <a:off x="4026" y="488492"/>
          <a:ext cx="947341" cy="983561"/>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AU" sz="1400" b="0" kern="1200">
              <a:solidFill>
                <a:sysClr val="windowText" lastClr="000000"/>
              </a:solidFill>
            </a:rPr>
            <a:t>Carbon Price</a:t>
          </a:r>
        </a:p>
      </dsp:txBody>
      <dsp:txXfrm>
        <a:off x="31773" y="516239"/>
        <a:ext cx="891847" cy="928067"/>
      </dsp:txXfrm>
    </dsp:sp>
    <dsp:sp modelId="{24670A6F-B727-48C8-8238-8638134FD7D0}">
      <dsp:nvSpPr>
        <dsp:cNvPr id="0" name=""/>
        <dsp:cNvSpPr/>
      </dsp:nvSpPr>
      <dsp:spPr>
        <a:xfrm rot="21526774">
          <a:off x="903776" y="876979"/>
          <a:ext cx="198584" cy="18229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AU" sz="700" kern="1200"/>
        </a:p>
      </dsp:txBody>
      <dsp:txXfrm>
        <a:off x="903782" y="914019"/>
        <a:ext cx="143896" cy="109376"/>
      </dsp:txXfrm>
    </dsp:sp>
    <dsp:sp modelId="{57697E51-D1B6-4A8D-B2E5-ECEA7E25F10B}">
      <dsp:nvSpPr>
        <dsp:cNvPr id="0" name=""/>
        <dsp:cNvSpPr/>
      </dsp:nvSpPr>
      <dsp:spPr>
        <a:xfrm>
          <a:off x="1138846" y="464533"/>
          <a:ext cx="927012" cy="983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PRISMOD.IO</a:t>
          </a:r>
        </a:p>
      </dsp:txBody>
      <dsp:txXfrm>
        <a:off x="1165997" y="491684"/>
        <a:ext cx="872710" cy="929259"/>
      </dsp:txXfrm>
    </dsp:sp>
    <dsp:sp modelId="{003D1D7B-9AF1-45BD-8E65-9B021DB6E1DE}">
      <dsp:nvSpPr>
        <dsp:cNvPr id="0" name=""/>
        <dsp:cNvSpPr/>
      </dsp:nvSpPr>
      <dsp:spPr>
        <a:xfrm>
          <a:off x="2091710" y="859707"/>
          <a:ext cx="229869" cy="193212"/>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a:off x="2091710" y="898349"/>
        <a:ext cx="171905" cy="115928"/>
      </dsp:txXfrm>
    </dsp:sp>
    <dsp:sp modelId="{3E823FFE-208C-4CD8-B4E8-65777D3EA3C4}">
      <dsp:nvSpPr>
        <dsp:cNvPr id="0" name=""/>
        <dsp:cNvSpPr/>
      </dsp:nvSpPr>
      <dsp:spPr>
        <a:xfrm>
          <a:off x="2339231" y="464533"/>
          <a:ext cx="801040" cy="983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t>PRISMOD.DIST</a:t>
          </a:r>
        </a:p>
      </dsp:txBody>
      <dsp:txXfrm>
        <a:off x="2362693" y="487995"/>
        <a:ext cx="754116" cy="936637"/>
      </dsp:txXfrm>
    </dsp:sp>
    <dsp:sp modelId="{3CB2CD0C-D7F1-49A7-80D0-85CEDEDF85B7}">
      <dsp:nvSpPr>
        <dsp:cNvPr id="0" name=""/>
        <dsp:cNvSpPr/>
      </dsp:nvSpPr>
      <dsp:spPr>
        <a:xfrm rot="21528091" flipV="1">
          <a:off x="3183673" y="870882"/>
          <a:ext cx="237014" cy="194395"/>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AU" sz="800" kern="1200"/>
        </a:p>
      </dsp:txBody>
      <dsp:txXfrm rot="-10800000">
        <a:off x="3183679" y="910371"/>
        <a:ext cx="178696" cy="116637"/>
      </dsp:txXfrm>
    </dsp:sp>
    <dsp:sp modelId="{63FAE69A-9236-4F89-9570-F3FE5EA09706}">
      <dsp:nvSpPr>
        <dsp:cNvPr id="0" name=""/>
        <dsp:cNvSpPr/>
      </dsp:nvSpPr>
      <dsp:spPr>
        <a:xfrm>
          <a:off x="3454658" y="449696"/>
          <a:ext cx="724370" cy="10583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AU" sz="1100" kern="1200"/>
            <a:t>STINMOD</a:t>
          </a:r>
        </a:p>
      </dsp:txBody>
      <dsp:txXfrm>
        <a:off x="3475874" y="470912"/>
        <a:ext cx="681938" cy="1015870"/>
      </dsp:txXfrm>
    </dsp:sp>
    <dsp:sp modelId="{2D17E304-0D40-448D-90A9-8A64D5CFC78B}">
      <dsp:nvSpPr>
        <dsp:cNvPr id="0" name=""/>
        <dsp:cNvSpPr/>
      </dsp:nvSpPr>
      <dsp:spPr>
        <a:xfrm rot="3922">
          <a:off x="4186575" y="856029"/>
          <a:ext cx="285614" cy="24680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AU" sz="900" kern="1200"/>
        </a:p>
      </dsp:txBody>
      <dsp:txXfrm>
        <a:off x="4186575" y="905348"/>
        <a:ext cx="211573" cy="148082"/>
      </dsp:txXfrm>
    </dsp:sp>
    <dsp:sp modelId="{37EF9C64-19E4-45AE-BFDB-F20EE3860D35}">
      <dsp:nvSpPr>
        <dsp:cNvPr id="0" name=""/>
        <dsp:cNvSpPr/>
      </dsp:nvSpPr>
      <dsp:spPr>
        <a:xfrm>
          <a:off x="4470978" y="-196631"/>
          <a:ext cx="1191929" cy="2353810"/>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AU" sz="1400" kern="1200">
              <a:solidFill>
                <a:srgbClr val="FF0000"/>
              </a:solidFill>
            </a:rPr>
            <a:t>Impact and assistance for households at various levels</a:t>
          </a:r>
        </a:p>
      </dsp:txBody>
      <dsp:txXfrm>
        <a:off x="4505888" y="-161721"/>
        <a:ext cx="1122109" cy="22839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0D77-4EE9-4323-86D9-50C086C0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4819</Words>
  <Characters>27471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 Leanne</dc:creator>
  <cp:lastModifiedBy>Gregory Legoff</cp:lastModifiedBy>
  <cp:revision>3</cp:revision>
  <cp:lastPrinted>2012-04-13T03:52:00Z</cp:lastPrinted>
  <dcterms:created xsi:type="dcterms:W3CDTF">2012-04-29T09:33:00Z</dcterms:created>
  <dcterms:modified xsi:type="dcterms:W3CDTF">2012-04-30T01:56:00Z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-1951574796</vt:i4>
  </property>
  <property fmtid="{D5CDD505-2E9C-101B-9397-08002B2CF9AE}" pid="3" name="_NewReviewCycle">
    <vt:lpwstr/>
  </property>
  <property fmtid="{D5CDD505-2E9C-101B-9397-08002B2CF9AE}" pid="4" name="_EmailSubject">
    <vt:lpwstr>2012 Input-Output Conference Paper</vt:lpwstr>
  </property>
  <property fmtid="{D5CDD505-2E9C-101B-9397-08002B2CF9AE}" pid="5" name="_AuthorEmail">
    <vt:lpwstr>Leanne.Neo@TREASURY.GOV.AU</vt:lpwstr>
  </property>
  <property fmtid="{D5CDD505-2E9C-101B-9397-08002B2CF9AE}" pid="6" name="_AuthorEmailDisplayName">
    <vt:lpwstr>Neo, Leanne</vt:lpwstr>
  </property>
  <property fmtid="{D5CDD505-2E9C-101B-9397-08002B2CF9AE}" pid="7" name="_PreviousAdHocReviewCycleID">
    <vt:i4>41330273</vt:i4>
  </property>
  <property fmtid="{D5CDD505-2E9C-101B-9397-08002B2CF9AE}" pid="8" name="_ReviewingToolsShownOnce">
    <vt:lpwstr/>
  </property>
</Properties>
</file>