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DF" w:rsidRPr="00031D8F" w:rsidRDefault="003D4774" w:rsidP="00884906">
      <w:pPr>
        <w:ind w:firstLine="0"/>
        <w:jc w:val="center"/>
        <w:rPr>
          <w:b/>
          <w:sz w:val="28"/>
        </w:rPr>
      </w:pPr>
      <w:r w:rsidRPr="00031D8F">
        <w:rPr>
          <w:b/>
          <w:sz w:val="28"/>
        </w:rPr>
        <w:t xml:space="preserve">Framework for </w:t>
      </w:r>
      <w:r w:rsidR="00A11598" w:rsidRPr="00031D8F">
        <w:rPr>
          <w:b/>
          <w:sz w:val="28"/>
        </w:rPr>
        <w:t>hybrid life-cycle inventory database</w:t>
      </w:r>
      <w:r w:rsidR="00D03789" w:rsidRPr="00031D8F">
        <w:rPr>
          <w:b/>
          <w:sz w:val="28"/>
        </w:rPr>
        <w:t>s</w:t>
      </w:r>
      <w:r w:rsidR="00A11598" w:rsidRPr="00031D8F">
        <w:rPr>
          <w:b/>
          <w:sz w:val="28"/>
        </w:rPr>
        <w:t xml:space="preserve">: </w:t>
      </w:r>
      <w:r w:rsidR="000A20CD" w:rsidRPr="00031D8F">
        <w:rPr>
          <w:b/>
          <w:sz w:val="28"/>
        </w:rPr>
        <w:t>a</w:t>
      </w:r>
      <w:r w:rsidR="004A2036" w:rsidRPr="00031D8F">
        <w:rPr>
          <w:b/>
          <w:sz w:val="28"/>
        </w:rPr>
        <w:t xml:space="preserve"> case study</w:t>
      </w:r>
      <w:r w:rsidR="000A20CD" w:rsidRPr="00031D8F">
        <w:rPr>
          <w:b/>
          <w:sz w:val="28"/>
        </w:rPr>
        <w:t xml:space="preserve"> on the Building for Environmental and Economic Sustainability (BEES) database</w:t>
      </w:r>
    </w:p>
    <w:p w:rsidR="007878A5" w:rsidRPr="00031D8F" w:rsidRDefault="007878A5" w:rsidP="00884906">
      <w:pPr>
        <w:jc w:val="center"/>
      </w:pPr>
    </w:p>
    <w:p w:rsidR="007878A5" w:rsidRPr="00031D8F" w:rsidRDefault="007878A5" w:rsidP="00884906">
      <w:pPr>
        <w:jc w:val="center"/>
      </w:pPr>
      <w:r w:rsidRPr="00031D8F">
        <w:t>Sangwon Suh</w:t>
      </w:r>
      <w:r w:rsidRPr="00031D8F">
        <w:rPr>
          <w:vertAlign w:val="superscript"/>
        </w:rPr>
        <w:t>1</w:t>
      </w:r>
      <w:r w:rsidR="00363D66" w:rsidRPr="00031D8F">
        <w:rPr>
          <w:vertAlign w:val="superscript"/>
        </w:rPr>
        <w:t>*</w:t>
      </w:r>
      <w:r w:rsidRPr="00031D8F">
        <w:t>, Barbara C. Lippiatt</w:t>
      </w:r>
      <w:r w:rsidRPr="00031D8F">
        <w:rPr>
          <w:vertAlign w:val="superscript"/>
        </w:rPr>
        <w:t>2</w:t>
      </w:r>
    </w:p>
    <w:p w:rsidR="007878A5" w:rsidRPr="00031D8F" w:rsidRDefault="007878A5" w:rsidP="00884906">
      <w:pPr>
        <w:jc w:val="center"/>
      </w:pPr>
      <w:r w:rsidRPr="00031D8F">
        <w:rPr>
          <w:vertAlign w:val="superscript"/>
        </w:rPr>
        <w:t>1</w:t>
      </w:r>
      <w:r w:rsidRPr="00031D8F">
        <w:t xml:space="preserve"> </w:t>
      </w:r>
      <w:r w:rsidR="00363D66" w:rsidRPr="00031D8F">
        <w:t xml:space="preserve">3422 Bren Hall, </w:t>
      </w:r>
      <w:r w:rsidRPr="00031D8F">
        <w:t>Bren School of Environmental Science and Management, University of California, Santa Barbara, CA 93106-5131</w:t>
      </w:r>
    </w:p>
    <w:p w:rsidR="00363D66" w:rsidRPr="00031D8F" w:rsidRDefault="007878A5" w:rsidP="00884906">
      <w:pPr>
        <w:jc w:val="center"/>
      </w:pPr>
      <w:r w:rsidRPr="00031D8F">
        <w:rPr>
          <w:vertAlign w:val="superscript"/>
        </w:rPr>
        <w:t>2</w:t>
      </w:r>
      <w:r w:rsidRPr="00031D8F">
        <w:t xml:space="preserve"> Office of Applied Economics, Building and Fire Research Laboratory, National Institute of Standards and Technology, 100 Bureau Drive, Mail Stop 8603, Gaithersburg, MD 20899-8603</w:t>
      </w:r>
    </w:p>
    <w:p w:rsidR="007878A5" w:rsidRPr="00031D8F" w:rsidRDefault="00363D66" w:rsidP="00884906">
      <w:pPr>
        <w:jc w:val="center"/>
      </w:pPr>
      <w:r w:rsidRPr="00031D8F">
        <w:t xml:space="preserve">* To whom correspondence should be addressed: Office Phone: (805) 893-7185; Fax: (805) 893-7612; Email: </w:t>
      </w:r>
      <w:hyperlink r:id="rId8" w:history="1">
        <w:r w:rsidRPr="00031D8F">
          <w:rPr>
            <w:rStyle w:val="Hyperlink"/>
            <w:color w:val="auto"/>
          </w:rPr>
          <w:t>suh@bren.ucsb.edu</w:t>
        </w:r>
      </w:hyperlink>
    </w:p>
    <w:p w:rsidR="00211EB8" w:rsidRPr="00031D8F" w:rsidRDefault="00211EB8" w:rsidP="0073539F">
      <w:pPr>
        <w:spacing w:line="240" w:lineRule="auto"/>
      </w:pPr>
    </w:p>
    <w:p w:rsidR="00166ADF" w:rsidRPr="00031D8F" w:rsidRDefault="00166ADF" w:rsidP="00166ADF">
      <w:pPr>
        <w:pStyle w:val="Heading1"/>
        <w:numPr>
          <w:ilvl w:val="0"/>
          <w:numId w:val="0"/>
        </w:numPr>
        <w:jc w:val="center"/>
      </w:pPr>
      <w:bookmarkStart w:id="0" w:name="_Toc297584479"/>
      <w:r w:rsidRPr="00031D8F">
        <w:t>Abstract</w:t>
      </w:r>
      <w:bookmarkEnd w:id="0"/>
    </w:p>
    <w:p w:rsidR="00166ADF" w:rsidRPr="00031D8F" w:rsidRDefault="00166ADF" w:rsidP="00166ADF">
      <w:pPr>
        <w:rPr>
          <w:b/>
        </w:rPr>
      </w:pPr>
      <w:r w:rsidRPr="00031D8F">
        <w:rPr>
          <w:b/>
        </w:rPr>
        <w:t xml:space="preserve">Purpose </w:t>
      </w:r>
    </w:p>
    <w:p w:rsidR="00166ADF" w:rsidRPr="00031D8F" w:rsidRDefault="00166ADF" w:rsidP="00166ADF">
      <w:r w:rsidRPr="00031D8F">
        <w:t xml:space="preserve">In an effort to develop a whole building LCA tool, NIST is transforming new bottom-up BEES data into a hybrid database in which the strengths of both bottom-up and top-down approaches can be combined. The objective of this paper is to describe the framework and the process under which the hybrid BEES database is being built, with an emphasis on its accounting structure. This paper can support other efforts to build hybrid LCI databases.  </w:t>
      </w:r>
    </w:p>
    <w:p w:rsidR="00166ADF" w:rsidRPr="00031D8F" w:rsidRDefault="00166ADF" w:rsidP="00166ADF"/>
    <w:p w:rsidR="00166ADF" w:rsidRPr="00031D8F" w:rsidRDefault="00166ADF" w:rsidP="00166ADF">
      <w:pPr>
        <w:rPr>
          <w:b/>
        </w:rPr>
      </w:pPr>
      <w:r w:rsidRPr="00031D8F">
        <w:rPr>
          <w:b/>
        </w:rPr>
        <w:t xml:space="preserve">Methods </w:t>
      </w:r>
    </w:p>
    <w:p w:rsidR="00166ADF" w:rsidRPr="00031D8F" w:rsidRDefault="00166ADF" w:rsidP="00166ADF">
      <w:r w:rsidRPr="00031D8F">
        <w:t xml:space="preserve">The BEES hybridization utilizes the most detailed Supply and Use Tables (SUTs) —known as item-level data—focusing particularly on the construction sectors. First, the partial SUTs at the item level are constructed and connected to standard SUTs that describe the rest of the economy, which is then followed by balancing and ‘redefinition.’ Second, item-level environmental data are compiled and then also balanced and redefined, which completes the compilation of the bi-resolution SUTs with environmental data. Third, the bi-resolution SUTs are integrated with BEES data that has been converted into matrix form. Because the completely rolled out BEES technology matrix involves a significant number of products, the integration prioritizes the product groups that are potentially the most significant contributors to the LCIA results for buildings.   </w:t>
      </w:r>
    </w:p>
    <w:p w:rsidR="00166ADF" w:rsidRPr="00031D8F" w:rsidRDefault="00166ADF" w:rsidP="00166ADF"/>
    <w:p w:rsidR="00166ADF" w:rsidRPr="00031D8F" w:rsidRDefault="00166ADF" w:rsidP="00166ADF">
      <w:pPr>
        <w:rPr>
          <w:b/>
        </w:rPr>
      </w:pPr>
      <w:r w:rsidRPr="00031D8F">
        <w:rPr>
          <w:b/>
        </w:rPr>
        <w:t>Results</w:t>
      </w:r>
    </w:p>
    <w:p w:rsidR="00166ADF" w:rsidRPr="00031D8F" w:rsidRDefault="00166ADF" w:rsidP="00166ADF">
      <w:r w:rsidRPr="00031D8F">
        <w:t xml:space="preserve">This step-by-step procedure will enable the creation of a hybridized BEES database, combining the strengths of both the bottom-up, process-based data and the top-down, input-output data with enhanced resolution. The benefit of hybridization at the database level—as opposed to at the individual LCA study level—is that whole-building LCA users can adopt the hybrid BEES approach, with its benefit of a more complete system definition, without the training or effort that would be required to construct a hybrid system from scratch. In addition, reformulation of new BEES data into a matrix structure better facilitates the parametric LCA application that is central to NIST’s vision to develop a tool for assessing the sustainability performance of energy technologies and systems in an integrated building design context. </w:t>
      </w:r>
    </w:p>
    <w:p w:rsidR="00166ADF" w:rsidRPr="00031D8F" w:rsidRDefault="00166ADF" w:rsidP="00166ADF"/>
    <w:p w:rsidR="00166ADF" w:rsidRPr="00031D8F" w:rsidRDefault="00166ADF" w:rsidP="00166ADF">
      <w:pPr>
        <w:rPr>
          <w:b/>
        </w:rPr>
      </w:pPr>
      <w:r w:rsidRPr="00031D8F">
        <w:rPr>
          <w:b/>
        </w:rPr>
        <w:t>Conclusions</w:t>
      </w:r>
    </w:p>
    <w:p w:rsidR="00166ADF" w:rsidRPr="00031D8F" w:rsidRDefault="00166ADF" w:rsidP="00166ADF">
      <w:r w:rsidRPr="00031D8F">
        <w:t xml:space="preserve">There are currently a number of initiatives being organized to implement a hybrid approach at the LCI database level. In laying out the methodological framework for efficiently transforming an existing LCI database into a hybrid database, this paper can support future development of hybrid LCI databases. </w:t>
      </w:r>
    </w:p>
    <w:p w:rsidR="00166ADF" w:rsidRPr="00031D8F" w:rsidRDefault="00166ADF" w:rsidP="00166ADF"/>
    <w:p w:rsidR="00166ADF" w:rsidRPr="00031D8F" w:rsidRDefault="00166ADF" w:rsidP="00166ADF">
      <w:r w:rsidRPr="00031D8F">
        <w:rPr>
          <w:b/>
        </w:rPr>
        <w:t>Keywords</w:t>
      </w:r>
      <w:r w:rsidRPr="00031D8F">
        <w:t>: hybrid, input-output, LCI database, BEES, building industry</w:t>
      </w:r>
    </w:p>
    <w:p w:rsidR="006A0DAF" w:rsidRPr="00031D8F" w:rsidRDefault="006A0DAF" w:rsidP="00884906"/>
    <w:p w:rsidR="00C41925" w:rsidRPr="00031D8F" w:rsidRDefault="00C41925" w:rsidP="00884906"/>
    <w:p w:rsidR="00C41925" w:rsidRPr="00031D8F" w:rsidRDefault="0019168E" w:rsidP="00884906">
      <w:pPr>
        <w:pStyle w:val="Heading1"/>
      </w:pPr>
      <w:bookmarkStart w:id="1" w:name="_Toc299376746"/>
      <w:r w:rsidRPr="00031D8F">
        <w:t>Introduction</w:t>
      </w:r>
      <w:bookmarkEnd w:id="1"/>
    </w:p>
    <w:p w:rsidR="0086136C" w:rsidRPr="00031D8F" w:rsidRDefault="0086136C" w:rsidP="00884906"/>
    <w:p w:rsidR="00EA3886" w:rsidRPr="00031D8F" w:rsidRDefault="00183427" w:rsidP="00884906">
      <w:r w:rsidRPr="00031D8F">
        <w:t>Recently, t</w:t>
      </w:r>
      <w:r w:rsidR="00EA3886" w:rsidRPr="00031D8F">
        <w:t>he U</w:t>
      </w:r>
      <w:r w:rsidRPr="00031D8F">
        <w:t>.</w:t>
      </w:r>
      <w:r w:rsidR="00EA3886" w:rsidRPr="00031D8F">
        <w:t>S</w:t>
      </w:r>
      <w:r w:rsidRPr="00031D8F">
        <w:t>.</w:t>
      </w:r>
      <w:r w:rsidR="00EA3886" w:rsidRPr="00031D8F">
        <w:t xml:space="preserve"> Department of Commerce</w:t>
      </w:r>
      <w:r w:rsidRPr="00031D8F">
        <w:t>’s</w:t>
      </w:r>
      <w:r w:rsidR="00EA3886" w:rsidRPr="00031D8F">
        <w:t xml:space="preserve"> National Institute of Standards and Technology (NIST) initiated the Metrics and Tools for Sustainable Buildings project</w:t>
      </w:r>
      <w:r w:rsidRPr="00031D8F">
        <w:t>,</w:t>
      </w:r>
      <w:r w:rsidR="00EA3886" w:rsidRPr="00031D8F">
        <w:t xml:space="preserve"> </w:t>
      </w:r>
      <w:r w:rsidRPr="00031D8F">
        <w:t xml:space="preserve">which </w:t>
      </w:r>
      <w:r w:rsidR="00EA3886" w:rsidRPr="00031D8F">
        <w:t xml:space="preserve">contributes to the </w:t>
      </w:r>
      <w:r w:rsidR="00BC079C" w:rsidRPr="00031D8F">
        <w:t xml:space="preserve">agency’s </w:t>
      </w:r>
      <w:r w:rsidR="00EA3886" w:rsidRPr="00031D8F">
        <w:t>Net</w:t>
      </w:r>
      <w:r w:rsidR="00BC079C" w:rsidRPr="00031D8F">
        <w:t>-</w:t>
      </w:r>
      <w:r w:rsidR="00EA3886" w:rsidRPr="00031D8F">
        <w:t>Zero Energy</w:t>
      </w:r>
      <w:r w:rsidR="00BC079C" w:rsidRPr="00031D8F">
        <w:t>, High-Performance</w:t>
      </w:r>
      <w:r w:rsidR="00EA3886" w:rsidRPr="00031D8F">
        <w:t xml:space="preserve"> Building</w:t>
      </w:r>
      <w:r w:rsidR="00BC079C" w:rsidRPr="00031D8F">
        <w:t>s</w:t>
      </w:r>
      <w:r w:rsidR="00EA3886" w:rsidRPr="00031D8F">
        <w:t xml:space="preserve"> Program. Its objective is to develop, integrate, and apply measurement science</w:t>
      </w:r>
      <w:r w:rsidRPr="00031D8F">
        <w:t xml:space="preserve"> to</w:t>
      </w:r>
      <w:r w:rsidR="00EA3886" w:rsidRPr="00031D8F">
        <w:t xml:space="preserve"> assess the sustainability performance of energy technologies and systems in an integrated building design and operation context. </w:t>
      </w:r>
      <w:r w:rsidRPr="00031D8F">
        <w:t>W</w:t>
      </w:r>
      <w:r w:rsidR="00EA3886" w:rsidRPr="00031D8F">
        <w:t xml:space="preserve">ith its sustainability performance measurement methods and tools, </w:t>
      </w:r>
      <w:r w:rsidRPr="00031D8F">
        <w:t xml:space="preserve">NIST is taking a lead role </w:t>
      </w:r>
      <w:r w:rsidR="00EA3886" w:rsidRPr="00031D8F">
        <w:t xml:space="preserve">in providing guidance to the building community on the life cycle environmental and economic </w:t>
      </w:r>
      <w:r w:rsidR="00EA3886" w:rsidRPr="00031D8F">
        <w:lastRenderedPageBreak/>
        <w:t xml:space="preserve">performance of specific building types designed to meet and exceed current building energy codes. NIST recognizes </w:t>
      </w:r>
      <w:r w:rsidRPr="00031D8F">
        <w:t xml:space="preserve">that </w:t>
      </w:r>
      <w:r w:rsidR="00EA3886" w:rsidRPr="00031D8F">
        <w:t xml:space="preserve">reliable, consistent Life Cycle Inventory (LCI) data </w:t>
      </w:r>
      <w:r w:rsidRPr="00031D8F">
        <w:t>i</w:t>
      </w:r>
      <w:r w:rsidR="00EA3886" w:rsidRPr="00031D8F">
        <w:t xml:space="preserve">s </w:t>
      </w:r>
      <w:r w:rsidR="00A822A0" w:rsidRPr="00031D8F">
        <w:t xml:space="preserve">important </w:t>
      </w:r>
      <w:r w:rsidR="00EA3886" w:rsidRPr="00031D8F">
        <w:t xml:space="preserve">to </w:t>
      </w:r>
      <w:r w:rsidRPr="00031D8F">
        <w:t xml:space="preserve">the </w:t>
      </w:r>
      <w:r w:rsidR="00EA3886" w:rsidRPr="00031D8F">
        <w:t xml:space="preserve">success of </w:t>
      </w:r>
      <w:r w:rsidR="00902CD6" w:rsidRPr="00031D8F">
        <w:t>this effort</w:t>
      </w:r>
      <w:r w:rsidR="00EA3886" w:rsidRPr="00031D8F">
        <w:t>.</w:t>
      </w:r>
    </w:p>
    <w:p w:rsidR="000047DD" w:rsidRPr="00031D8F" w:rsidRDefault="00EA3886" w:rsidP="00884906">
      <w:r w:rsidRPr="00031D8F">
        <w:t xml:space="preserve">NIST </w:t>
      </w:r>
      <w:proofErr w:type="gramStart"/>
      <w:r w:rsidRPr="00031D8F">
        <w:t xml:space="preserve">has </w:t>
      </w:r>
      <w:r w:rsidR="00183427" w:rsidRPr="00031D8F">
        <w:t xml:space="preserve"> </w:t>
      </w:r>
      <w:r w:rsidRPr="00031D8F">
        <w:t>developed</w:t>
      </w:r>
      <w:proofErr w:type="gramEnd"/>
      <w:r w:rsidRPr="00031D8F">
        <w:t xml:space="preserve"> and maintained the Building for Environmental and Economic Sustainability (BEES) database that contains LCI, Life Cycle Impact Asse</w:t>
      </w:r>
      <w:r w:rsidR="001F5F30" w:rsidRPr="00031D8F">
        <w:t>ssment (LCIA)</w:t>
      </w:r>
      <w:r w:rsidR="00496F03" w:rsidRPr="00031D8F">
        <w:t>,</w:t>
      </w:r>
      <w:r w:rsidR="001F5F30" w:rsidRPr="00031D8F">
        <w:t xml:space="preserve"> and cost </w:t>
      </w:r>
      <w:r w:rsidRPr="00031D8F">
        <w:t>results for building products.</w:t>
      </w:r>
      <w:r w:rsidR="000047DD" w:rsidRPr="00031D8F">
        <w:t xml:space="preserve"> </w:t>
      </w:r>
      <w:r w:rsidR="00DB3437" w:rsidRPr="00031D8F">
        <w:t>W</w:t>
      </w:r>
      <w:r w:rsidR="00496F03" w:rsidRPr="00031D8F">
        <w:t xml:space="preserve">ith the </w:t>
      </w:r>
      <w:r w:rsidR="00AB27B9" w:rsidRPr="00031D8F">
        <w:t xml:space="preserve">current </w:t>
      </w:r>
      <w:r w:rsidR="00496F03" w:rsidRPr="00031D8F">
        <w:t xml:space="preserve">move from building product LCAs to whole building LCAs, </w:t>
      </w:r>
      <w:r w:rsidRPr="00031D8F">
        <w:t xml:space="preserve">NIST recognizes (1) </w:t>
      </w:r>
      <w:r w:rsidR="00496F03" w:rsidRPr="00031D8F">
        <w:t xml:space="preserve">the need to close large gaps in product categories by broadening the product coverage available in the database and (2) </w:t>
      </w:r>
      <w:r w:rsidRPr="00031D8F">
        <w:t>the need to embed the BEES processes in the context of a broader economy, minimizing truncation and improving consistency in system boundary</w:t>
      </w:r>
      <w:r w:rsidR="00DB3437" w:rsidRPr="00031D8F">
        <w:t xml:space="preserve"> selections</w:t>
      </w:r>
      <w:r w:rsidRPr="00031D8F">
        <w:t>.</w:t>
      </w:r>
      <w:r w:rsidR="000047DD" w:rsidRPr="00031D8F">
        <w:t xml:space="preserve"> </w:t>
      </w:r>
      <w:r w:rsidRPr="00031D8F">
        <w:t xml:space="preserve">Addressing both needs, </w:t>
      </w:r>
      <w:r w:rsidR="000047DD" w:rsidRPr="00031D8F">
        <w:t>NIST</w:t>
      </w:r>
      <w:r w:rsidRPr="00031D8F">
        <w:t xml:space="preserve"> </w:t>
      </w:r>
      <w:r w:rsidR="00496F03" w:rsidRPr="00031D8F">
        <w:t>is</w:t>
      </w:r>
      <w:r w:rsidR="000047DD" w:rsidRPr="00031D8F">
        <w:t xml:space="preserve"> </w:t>
      </w:r>
      <w:r w:rsidR="00E41BC7" w:rsidRPr="00031D8F">
        <w:t>adopting</w:t>
      </w:r>
      <w:r w:rsidR="00DB3437" w:rsidRPr="00031D8F">
        <w:t xml:space="preserve"> the</w:t>
      </w:r>
      <w:r w:rsidRPr="00031D8F">
        <w:t xml:space="preserve"> integrated hybrid approach</w:t>
      </w:r>
      <w:r w:rsidR="000047DD" w:rsidRPr="00031D8F">
        <w:t xml:space="preserve"> </w:t>
      </w:r>
      <w:r w:rsidR="00E41BC7" w:rsidRPr="00031D8F">
        <w:t>for structuring its</w:t>
      </w:r>
      <w:r w:rsidR="00AB27B9" w:rsidRPr="00031D8F">
        <w:t xml:space="preserve"> </w:t>
      </w:r>
      <w:r w:rsidR="00C938F9" w:rsidRPr="00031D8F">
        <w:t>whole building LCA</w:t>
      </w:r>
      <w:r w:rsidR="00AB27B9" w:rsidRPr="00031D8F">
        <w:t xml:space="preserve"> database. </w:t>
      </w:r>
      <w:r w:rsidR="000047DD" w:rsidRPr="00031D8F">
        <w:t xml:space="preserve">Transforming </w:t>
      </w:r>
      <w:r w:rsidR="00AB27B9" w:rsidRPr="00031D8F">
        <w:t xml:space="preserve">new </w:t>
      </w:r>
      <w:r w:rsidR="000047DD" w:rsidRPr="00031D8F">
        <w:t xml:space="preserve">BEES </w:t>
      </w:r>
      <w:r w:rsidR="00AB27B9" w:rsidRPr="00031D8F">
        <w:t>data</w:t>
      </w:r>
      <w:r w:rsidR="00C938F9" w:rsidRPr="00031D8F">
        <w:t xml:space="preserve"> relating to building </w:t>
      </w:r>
      <w:r w:rsidR="00AB27B9" w:rsidRPr="00031D8F">
        <w:t>energy technologies</w:t>
      </w:r>
      <w:r w:rsidR="00C938F9" w:rsidRPr="00031D8F">
        <w:t xml:space="preserve"> </w:t>
      </w:r>
      <w:r w:rsidR="000047DD" w:rsidRPr="00031D8F">
        <w:t xml:space="preserve">into a hybrid LCI database </w:t>
      </w:r>
      <w:r w:rsidR="00C938F9" w:rsidRPr="00031D8F">
        <w:t>will yield LCAs for whole buildings designed to meet a range of energy codes</w:t>
      </w:r>
      <w:r w:rsidR="00357E0A" w:rsidRPr="00031D8F">
        <w:t xml:space="preserve">. At the same time, this transformation will help reduce </w:t>
      </w:r>
      <w:r w:rsidR="007D5A60" w:rsidRPr="00031D8F">
        <w:t xml:space="preserve">the truncation problem and—more importantly—the </w:t>
      </w:r>
      <w:r w:rsidR="00DB3437" w:rsidRPr="00031D8F">
        <w:t xml:space="preserve">heterogeneity </w:t>
      </w:r>
      <w:r w:rsidR="007D5A60" w:rsidRPr="00031D8F">
        <w:t>across products</w:t>
      </w:r>
      <w:r w:rsidR="00DB3437" w:rsidRPr="00031D8F">
        <w:t>, thereby</w:t>
      </w:r>
      <w:r w:rsidR="00962BCD" w:rsidRPr="00031D8F">
        <w:t xml:space="preserve"> improving consistency</w:t>
      </w:r>
      <w:r w:rsidR="007D5A60" w:rsidRPr="00031D8F">
        <w:t xml:space="preserve">. </w:t>
      </w:r>
      <w:r w:rsidR="00E41BC7" w:rsidRPr="00031D8F">
        <w:t>We will refer t</w:t>
      </w:r>
      <w:r w:rsidR="00425B27" w:rsidRPr="00031D8F">
        <w:t xml:space="preserve">o the </w:t>
      </w:r>
      <w:r w:rsidR="00E41BC7" w:rsidRPr="00031D8F">
        <w:t xml:space="preserve">hybrid LCI database </w:t>
      </w:r>
      <w:r w:rsidR="003A06F0" w:rsidRPr="00031D8F">
        <w:t>being developed for</w:t>
      </w:r>
      <w:r w:rsidR="0015018B" w:rsidRPr="00031D8F">
        <w:t xml:space="preserve"> whole building</w:t>
      </w:r>
      <w:r w:rsidR="003A06F0" w:rsidRPr="00031D8F">
        <w:t>s and</w:t>
      </w:r>
      <w:r w:rsidR="0015018B" w:rsidRPr="00031D8F">
        <w:t xml:space="preserve"> </w:t>
      </w:r>
      <w:r w:rsidR="00425B27" w:rsidRPr="00031D8F">
        <w:t>that embeds BEES processes as</w:t>
      </w:r>
      <w:r w:rsidR="00E41BC7" w:rsidRPr="00031D8F">
        <w:t xml:space="preserve"> </w:t>
      </w:r>
      <w:r w:rsidR="0015018B" w:rsidRPr="00031D8F">
        <w:t xml:space="preserve">the </w:t>
      </w:r>
      <w:r w:rsidR="00E41BC7" w:rsidRPr="00031D8F">
        <w:t>“hybrid BEES</w:t>
      </w:r>
      <w:r w:rsidR="004B3061" w:rsidRPr="00031D8F">
        <w:t>”</w:t>
      </w:r>
      <w:r w:rsidR="0015018B" w:rsidRPr="00031D8F">
        <w:t xml:space="preserve"> database</w:t>
      </w:r>
      <w:r w:rsidR="00E41BC7" w:rsidRPr="00031D8F">
        <w:t xml:space="preserve"> in this paper.</w:t>
      </w:r>
    </w:p>
    <w:p w:rsidR="000047DD" w:rsidRPr="00031D8F" w:rsidRDefault="00D95C23" w:rsidP="00DB3437">
      <w:r w:rsidRPr="00031D8F">
        <w:t>Beside</w:t>
      </w:r>
      <w:r w:rsidR="00011E39" w:rsidRPr="00031D8F">
        <w:t>s</w:t>
      </w:r>
      <w:r w:rsidRPr="00031D8F">
        <w:t xml:space="preserve"> </w:t>
      </w:r>
      <w:r w:rsidR="00DB3437" w:rsidRPr="00031D8F">
        <w:t xml:space="preserve">the </w:t>
      </w:r>
      <w:r w:rsidR="00357E0A" w:rsidRPr="00031D8F">
        <w:t>NIST initiative</w:t>
      </w:r>
      <w:r w:rsidR="0015018B" w:rsidRPr="00031D8F">
        <w:t xml:space="preserve"> to hybridize BEES</w:t>
      </w:r>
      <w:r w:rsidRPr="00031D8F">
        <w:t xml:space="preserve">, </w:t>
      </w:r>
      <w:r w:rsidR="00DB3437" w:rsidRPr="00031D8F">
        <w:t>a few other LCI database prov</w:t>
      </w:r>
      <w:r w:rsidR="00011E39" w:rsidRPr="00031D8F">
        <w:t xml:space="preserve">iders, including the </w:t>
      </w:r>
      <w:proofErr w:type="spellStart"/>
      <w:r w:rsidR="00011E39" w:rsidRPr="00031D8F">
        <w:t>Ecoinvent</w:t>
      </w:r>
      <w:proofErr w:type="spellEnd"/>
      <w:r w:rsidR="00011E39" w:rsidRPr="00031D8F">
        <w:t xml:space="preserve"> C</w:t>
      </w:r>
      <w:r w:rsidR="00DB3437" w:rsidRPr="00031D8F">
        <w:t xml:space="preserve">enter, are discussing or planning LCI database </w:t>
      </w:r>
      <w:r w:rsidRPr="00031D8F">
        <w:t>hybridization</w:t>
      </w:r>
      <w:r w:rsidR="00DB3437" w:rsidRPr="00031D8F">
        <w:t>s</w:t>
      </w:r>
      <w:r w:rsidRPr="00031D8F">
        <w:t xml:space="preserve"> </w:t>
      </w:r>
      <w:r w:rsidR="00D02116" w:rsidRPr="00031D8F">
        <w:t>(</w:t>
      </w:r>
      <w:proofErr w:type="spellStart"/>
      <w:r w:rsidR="00D02116" w:rsidRPr="00031D8F">
        <w:t>Weidema</w:t>
      </w:r>
      <w:proofErr w:type="spellEnd"/>
      <w:r w:rsidR="00D02116" w:rsidRPr="00031D8F">
        <w:t>, 2011).</w:t>
      </w:r>
      <w:r w:rsidR="00836495" w:rsidRPr="00031D8F">
        <w:t xml:space="preserve"> However, </w:t>
      </w:r>
      <w:r w:rsidR="00DA297C" w:rsidRPr="00031D8F">
        <w:t xml:space="preserve">the literature currently lacks </w:t>
      </w:r>
      <w:r w:rsidR="00836495" w:rsidRPr="00031D8F">
        <w:t xml:space="preserve">discussion </w:t>
      </w:r>
      <w:r w:rsidR="00DA297C" w:rsidRPr="00031D8F">
        <w:t>about</w:t>
      </w:r>
      <w:r w:rsidR="00836495" w:rsidRPr="00031D8F">
        <w:t xml:space="preserve"> the framework of hybrid LCI database</w:t>
      </w:r>
      <w:r w:rsidR="00DB3437" w:rsidRPr="00031D8F">
        <w:t>s</w:t>
      </w:r>
      <w:r w:rsidR="00836495" w:rsidRPr="00031D8F">
        <w:t xml:space="preserve">. </w:t>
      </w:r>
      <w:r w:rsidR="00D733B7" w:rsidRPr="00031D8F">
        <w:t xml:space="preserve">The objective of this paper is to describe the framework and the process under which the hybrid BEES database is being built, with an emphasis on its accounting structure. This paper can </w:t>
      </w:r>
      <w:r w:rsidR="00DB3437" w:rsidRPr="00031D8F">
        <w:t xml:space="preserve">help support </w:t>
      </w:r>
      <w:r w:rsidR="00D733B7" w:rsidRPr="00031D8F">
        <w:t>other efforts to build hybrid LCI databases.</w:t>
      </w:r>
    </w:p>
    <w:p w:rsidR="000047DD" w:rsidRPr="00031D8F" w:rsidRDefault="0067453E" w:rsidP="00884906">
      <w:r w:rsidRPr="00031D8F">
        <w:t xml:space="preserve">This paper is organized as follows: Section 2 describes a number of key methodological issues pertinent to the hybridization of BEES. Section 3 introduces </w:t>
      </w:r>
      <w:r w:rsidR="00DA297C" w:rsidRPr="00031D8F">
        <w:t xml:space="preserve">a </w:t>
      </w:r>
      <w:r w:rsidRPr="00031D8F">
        <w:t xml:space="preserve">step-by-step approach to </w:t>
      </w:r>
      <w:r w:rsidR="00DA297C" w:rsidRPr="00031D8F">
        <w:t xml:space="preserve">building the </w:t>
      </w:r>
      <w:r w:rsidRPr="00031D8F">
        <w:t>hybrid BEES database. Section 4 discusses the expected outcome and recommendations for hybrid LCA database building.</w:t>
      </w:r>
    </w:p>
    <w:p w:rsidR="00CC2826" w:rsidRPr="00031D8F" w:rsidRDefault="00CC2826" w:rsidP="00884906"/>
    <w:p w:rsidR="0019168E" w:rsidRPr="00031D8F" w:rsidRDefault="00C34270" w:rsidP="00884906">
      <w:pPr>
        <w:pStyle w:val="Heading1"/>
      </w:pPr>
      <w:bookmarkStart w:id="2" w:name="_Toc299376747"/>
      <w:r w:rsidRPr="00031D8F">
        <w:lastRenderedPageBreak/>
        <w:t>Method</w:t>
      </w:r>
      <w:bookmarkEnd w:id="2"/>
    </w:p>
    <w:p w:rsidR="00D87135" w:rsidRPr="00031D8F" w:rsidRDefault="008471C7" w:rsidP="00884906">
      <w:pPr>
        <w:pStyle w:val="Heading2"/>
      </w:pPr>
      <w:bookmarkStart w:id="3" w:name="_Toc299376748"/>
      <w:r w:rsidRPr="00031D8F">
        <w:t>H</w:t>
      </w:r>
      <w:r w:rsidR="00D87135" w:rsidRPr="00031D8F">
        <w:t>ybrid approach</w:t>
      </w:r>
      <w:bookmarkEnd w:id="3"/>
    </w:p>
    <w:p w:rsidR="00B96A53" w:rsidRPr="00031D8F" w:rsidRDefault="00B96A53" w:rsidP="008471C7">
      <w:r w:rsidRPr="00031D8F">
        <w:t xml:space="preserve">Life Cycle Assessment (LCA) methodology has </w:t>
      </w:r>
      <w:r w:rsidR="00EB36E9" w:rsidRPr="00031D8F">
        <w:t xml:space="preserve">often </w:t>
      </w:r>
      <w:r w:rsidRPr="00031D8F">
        <w:t xml:space="preserve">been described as a dichotomy </w:t>
      </w:r>
      <w:r w:rsidR="00450273" w:rsidRPr="00031D8F">
        <w:t xml:space="preserve">between </w:t>
      </w:r>
      <w:r w:rsidRPr="00031D8F">
        <w:t>bottom-up and top-down approaches</w:t>
      </w:r>
      <w:r w:rsidR="00EB36E9" w:rsidRPr="00031D8F">
        <w:t xml:space="preserve"> (Lave et al., 1995; Hendrickson et al., 1998)</w:t>
      </w:r>
      <w:r w:rsidRPr="00031D8F">
        <w:t xml:space="preserve">. </w:t>
      </w:r>
      <w:r w:rsidR="00E55BD0" w:rsidRPr="00031D8F">
        <w:t>It should be</w:t>
      </w:r>
      <w:r w:rsidR="00EB36E9" w:rsidRPr="00031D8F">
        <w:t xml:space="preserve"> also noted</w:t>
      </w:r>
      <w:r w:rsidR="008258E3" w:rsidRPr="00031D8F">
        <w:t>, however,</w:t>
      </w:r>
      <w:r w:rsidR="00EB36E9" w:rsidRPr="00031D8F">
        <w:t xml:space="preserve"> </w:t>
      </w:r>
      <w:r w:rsidR="00DA297C" w:rsidRPr="00031D8F">
        <w:t xml:space="preserve">that the </w:t>
      </w:r>
      <w:r w:rsidR="00E55BD0" w:rsidRPr="00031D8F">
        <w:t>complementar</w:t>
      </w:r>
      <w:r w:rsidR="008258E3" w:rsidRPr="00031D8F">
        <w:t xml:space="preserve">y nature of the two approaches has </w:t>
      </w:r>
      <w:r w:rsidR="00DA297C" w:rsidRPr="00031D8F">
        <w:t xml:space="preserve">been </w:t>
      </w:r>
      <w:r w:rsidR="008258E3" w:rsidRPr="00031D8F">
        <w:t>recognized in</w:t>
      </w:r>
      <w:r w:rsidR="00DA297C" w:rsidRPr="00031D8F">
        <w:t xml:space="preserve"> the</w:t>
      </w:r>
      <w:r w:rsidR="008258E3" w:rsidRPr="00031D8F">
        <w:t xml:space="preserve"> LCA community since</w:t>
      </w:r>
      <w:r w:rsidR="00DA297C" w:rsidRPr="00031D8F">
        <w:t xml:space="preserve"> the</w:t>
      </w:r>
      <w:r w:rsidR="008258E3" w:rsidRPr="00031D8F">
        <w:t xml:space="preserve"> early 1990s, and the two ha</w:t>
      </w:r>
      <w:r w:rsidR="00DA297C" w:rsidRPr="00031D8F">
        <w:t>ve</w:t>
      </w:r>
      <w:r w:rsidR="008258E3" w:rsidRPr="00031D8F">
        <w:t xml:space="preserve"> </w:t>
      </w:r>
      <w:r w:rsidR="00DA297C" w:rsidRPr="00031D8F">
        <w:t xml:space="preserve">often </w:t>
      </w:r>
      <w:r w:rsidR="008258E3" w:rsidRPr="00031D8F">
        <w:t>been used in combination</w:t>
      </w:r>
      <w:r w:rsidR="00EB36E9" w:rsidRPr="00031D8F">
        <w:t xml:space="preserve"> </w:t>
      </w:r>
      <w:r w:rsidR="008258E3" w:rsidRPr="00031D8F">
        <w:t xml:space="preserve">through hybrid approaches </w:t>
      </w:r>
      <w:r w:rsidRPr="00031D8F">
        <w:t>(</w:t>
      </w:r>
      <w:proofErr w:type="spellStart"/>
      <w:r w:rsidRPr="00031D8F">
        <w:t>Moriguchi</w:t>
      </w:r>
      <w:proofErr w:type="spellEnd"/>
      <w:r w:rsidRPr="00031D8F">
        <w:t xml:space="preserve"> et al., 1993</w:t>
      </w:r>
      <w:r w:rsidR="00EB36E9" w:rsidRPr="00031D8F">
        <w:t>;</w:t>
      </w:r>
      <w:r w:rsidRPr="00031D8F">
        <w:t xml:space="preserve"> Joshi, 1999</w:t>
      </w:r>
      <w:r w:rsidR="00EB36E9" w:rsidRPr="00031D8F">
        <w:t>;</w:t>
      </w:r>
      <w:r w:rsidRPr="00031D8F">
        <w:t xml:space="preserve"> Matthews and Small, 2000</w:t>
      </w:r>
      <w:r w:rsidR="00EB36E9" w:rsidRPr="00031D8F">
        <w:t>;</w:t>
      </w:r>
      <w:r w:rsidRPr="00031D8F">
        <w:t xml:space="preserve"> </w:t>
      </w:r>
      <w:proofErr w:type="spellStart"/>
      <w:r w:rsidRPr="00031D8F">
        <w:t>Lenzen</w:t>
      </w:r>
      <w:proofErr w:type="spellEnd"/>
      <w:r w:rsidRPr="00031D8F">
        <w:t>, 2002</w:t>
      </w:r>
      <w:r w:rsidR="00EB36E9" w:rsidRPr="00031D8F">
        <w:t>;</w:t>
      </w:r>
      <w:r w:rsidRPr="00031D8F">
        <w:t xml:space="preserve"> </w:t>
      </w:r>
      <w:r w:rsidR="00CC4FF5" w:rsidRPr="00031D8F">
        <w:t xml:space="preserve">Nakamura and Kondo, </w:t>
      </w:r>
      <w:r w:rsidR="0056647E" w:rsidRPr="00031D8F">
        <w:t xml:space="preserve">2002; </w:t>
      </w:r>
      <w:proofErr w:type="spellStart"/>
      <w:r w:rsidR="00EB36E9" w:rsidRPr="00031D8F">
        <w:t>Suh</w:t>
      </w:r>
      <w:proofErr w:type="spellEnd"/>
      <w:r w:rsidR="00EB36E9" w:rsidRPr="00031D8F">
        <w:t xml:space="preserve"> and </w:t>
      </w:r>
      <w:proofErr w:type="spellStart"/>
      <w:r w:rsidR="00EB36E9" w:rsidRPr="00031D8F">
        <w:t>Huppes</w:t>
      </w:r>
      <w:proofErr w:type="spellEnd"/>
      <w:r w:rsidR="00EB36E9" w:rsidRPr="00031D8F">
        <w:t xml:space="preserve">, 2002; </w:t>
      </w:r>
      <w:proofErr w:type="spellStart"/>
      <w:r w:rsidRPr="00031D8F">
        <w:t>Heijungs</w:t>
      </w:r>
      <w:proofErr w:type="spellEnd"/>
      <w:r w:rsidRPr="00031D8F">
        <w:t xml:space="preserve"> and Suh, 2002</w:t>
      </w:r>
      <w:r w:rsidR="00EB36E9" w:rsidRPr="00031D8F">
        <w:t>;</w:t>
      </w:r>
      <w:r w:rsidRPr="00031D8F">
        <w:t xml:space="preserve"> </w:t>
      </w:r>
      <w:r w:rsidR="00EB36E9" w:rsidRPr="00031D8F">
        <w:t>Suh et al., 2004</w:t>
      </w:r>
      <w:r w:rsidR="007B3F06" w:rsidRPr="00031D8F">
        <w:t xml:space="preserve">; </w:t>
      </w:r>
      <w:proofErr w:type="spellStart"/>
      <w:r w:rsidR="007B3F06" w:rsidRPr="00031D8F">
        <w:t>Finnveden</w:t>
      </w:r>
      <w:proofErr w:type="spellEnd"/>
      <w:r w:rsidR="007B3F06" w:rsidRPr="00031D8F">
        <w:t xml:space="preserve"> et al., 2009</w:t>
      </w:r>
      <w:r w:rsidR="006B51C7" w:rsidRPr="00031D8F">
        <w:t>; Suh, 2009</w:t>
      </w:r>
      <w:r w:rsidRPr="00031D8F">
        <w:t>)</w:t>
      </w:r>
      <w:r w:rsidR="007B3F06" w:rsidRPr="00031D8F">
        <w:t xml:space="preserve">. </w:t>
      </w:r>
      <w:r w:rsidR="008258E3" w:rsidRPr="00031D8F">
        <w:t>A</w:t>
      </w:r>
      <w:r w:rsidR="008471C7" w:rsidRPr="00031D8F">
        <w:t>pplications of</w:t>
      </w:r>
      <w:r w:rsidR="007B3F06" w:rsidRPr="00031D8F">
        <w:t xml:space="preserve"> </w:t>
      </w:r>
      <w:r w:rsidR="00CC4FF5" w:rsidRPr="00031D8F">
        <w:t>hybrid approaches ha</w:t>
      </w:r>
      <w:r w:rsidR="008471C7" w:rsidRPr="00031D8F">
        <w:t>ve</w:t>
      </w:r>
      <w:r w:rsidR="00CC4FF5" w:rsidRPr="00031D8F">
        <w:t xml:space="preserve"> </w:t>
      </w:r>
      <w:r w:rsidR="00450273" w:rsidRPr="00031D8F">
        <w:t xml:space="preserve">also </w:t>
      </w:r>
      <w:r w:rsidR="00CC4FF5" w:rsidRPr="00031D8F">
        <w:t xml:space="preserve">become </w:t>
      </w:r>
      <w:r w:rsidR="00450273" w:rsidRPr="00031D8F">
        <w:t xml:space="preserve">more frequently </w:t>
      </w:r>
      <w:r w:rsidR="008471C7" w:rsidRPr="00031D8F">
        <w:t xml:space="preserve">reported </w:t>
      </w:r>
      <w:r w:rsidR="008258E3" w:rsidRPr="00031D8F">
        <w:t xml:space="preserve">in the literature </w:t>
      </w:r>
      <w:r w:rsidR="008471C7" w:rsidRPr="00031D8F">
        <w:t>(</w:t>
      </w:r>
      <w:r w:rsidRPr="00031D8F">
        <w:t xml:space="preserve">Bright et al., 2010; Chang et al., 2010; </w:t>
      </w:r>
      <w:proofErr w:type="spellStart"/>
      <w:r w:rsidRPr="00031D8F">
        <w:t>Kofoworola</w:t>
      </w:r>
      <w:proofErr w:type="spellEnd"/>
      <w:r w:rsidRPr="00031D8F">
        <w:t xml:space="preserve"> and </w:t>
      </w:r>
      <w:proofErr w:type="spellStart"/>
      <w:r w:rsidRPr="00031D8F">
        <w:t>Gheewala</w:t>
      </w:r>
      <w:proofErr w:type="spellEnd"/>
      <w:r w:rsidRPr="00031D8F">
        <w:t xml:space="preserve">, 2008; Lin, 2009; Peters et al., 2010a; Peters et al., 2010b; </w:t>
      </w:r>
      <w:proofErr w:type="spellStart"/>
      <w:r w:rsidRPr="00031D8F">
        <w:t>Sharrard</w:t>
      </w:r>
      <w:proofErr w:type="spellEnd"/>
      <w:r w:rsidRPr="00031D8F">
        <w:t xml:space="preserve"> et al., 2008</w:t>
      </w:r>
      <w:r w:rsidR="008471C7" w:rsidRPr="00031D8F">
        <w:t xml:space="preserve">; </w:t>
      </w:r>
      <w:r w:rsidR="006B7191" w:rsidRPr="00031D8F">
        <w:rPr>
          <w:rFonts w:cs="Calibri"/>
          <w:noProof/>
        </w:rPr>
        <w:t>Reich-Weiser et al., 2010;</w:t>
      </w:r>
      <w:r w:rsidR="006B7191" w:rsidRPr="00031D8F">
        <w:t xml:space="preserve"> </w:t>
      </w:r>
      <w:proofErr w:type="spellStart"/>
      <w:r w:rsidR="008471C7" w:rsidRPr="00031D8F">
        <w:t>Wiedemann</w:t>
      </w:r>
      <w:proofErr w:type="spellEnd"/>
      <w:r w:rsidR="008471C7" w:rsidRPr="00031D8F">
        <w:t xml:space="preserve"> et al., 2011</w:t>
      </w:r>
      <w:r w:rsidRPr="00031D8F">
        <w:t>).</w:t>
      </w:r>
    </w:p>
    <w:p w:rsidR="00E55BD0" w:rsidRPr="00031D8F" w:rsidRDefault="00DA297C" w:rsidP="00E55BD0">
      <w:r w:rsidRPr="00031D8F">
        <w:t>The h</w:t>
      </w:r>
      <w:r w:rsidR="00E55BD0" w:rsidRPr="00031D8F">
        <w:t>ybrid approach combines the advantages of both bottom-up and top-down approaches</w:t>
      </w:r>
      <w:r w:rsidRPr="00031D8F">
        <w:t>—</w:t>
      </w:r>
      <w:r w:rsidR="00E55BD0" w:rsidRPr="00031D8F">
        <w:t xml:space="preserve">namely </w:t>
      </w:r>
      <w:r w:rsidR="008258E3" w:rsidRPr="00031D8F">
        <w:t xml:space="preserve">the </w:t>
      </w:r>
      <w:r w:rsidR="00E55BD0" w:rsidRPr="00031D8F">
        <w:t>use of higher</w:t>
      </w:r>
      <w:r w:rsidRPr="00031D8F">
        <w:t>-</w:t>
      </w:r>
      <w:r w:rsidR="00E55BD0" w:rsidRPr="00031D8F">
        <w:t xml:space="preserve">resolution, process data </w:t>
      </w:r>
      <w:r w:rsidRPr="00031D8F">
        <w:t>(</w:t>
      </w:r>
      <w:r w:rsidR="00E55BD0" w:rsidRPr="00031D8F">
        <w:t>bottom-up</w:t>
      </w:r>
      <w:r w:rsidRPr="00031D8F">
        <w:t>)</w:t>
      </w:r>
      <w:r w:rsidR="00E55BD0" w:rsidRPr="00031D8F">
        <w:t xml:space="preserve"> and </w:t>
      </w:r>
      <w:r w:rsidR="008258E3" w:rsidRPr="00031D8F">
        <w:t>the use of well-defined, regularly</w:t>
      </w:r>
      <w:r w:rsidRPr="00031D8F">
        <w:t>-</w:t>
      </w:r>
      <w:r w:rsidR="008258E3" w:rsidRPr="00031D8F">
        <w:t xml:space="preserve">updated statistical data without truncation </w:t>
      </w:r>
      <w:r w:rsidRPr="00031D8F">
        <w:t>(</w:t>
      </w:r>
      <w:r w:rsidR="008258E3" w:rsidRPr="00031D8F">
        <w:t>top-down</w:t>
      </w:r>
      <w:r w:rsidRPr="00031D8F">
        <w:t>)</w:t>
      </w:r>
      <w:r w:rsidR="008258E3" w:rsidRPr="00031D8F">
        <w:t xml:space="preserve"> (Suh et al., 2004; </w:t>
      </w:r>
      <w:proofErr w:type="spellStart"/>
      <w:r w:rsidR="008258E3" w:rsidRPr="00031D8F">
        <w:t>Suh</w:t>
      </w:r>
      <w:proofErr w:type="spellEnd"/>
      <w:r w:rsidR="008258E3" w:rsidRPr="00031D8F">
        <w:t xml:space="preserve"> and </w:t>
      </w:r>
      <w:proofErr w:type="spellStart"/>
      <w:r w:rsidR="008258E3" w:rsidRPr="00031D8F">
        <w:t>Huppes</w:t>
      </w:r>
      <w:proofErr w:type="spellEnd"/>
      <w:r w:rsidR="008258E3" w:rsidRPr="00031D8F">
        <w:t xml:space="preserve">, 2005). </w:t>
      </w:r>
      <w:r w:rsidR="003733C6" w:rsidRPr="00031D8F">
        <w:t xml:space="preserve">Under </w:t>
      </w:r>
      <w:r w:rsidRPr="00031D8F">
        <w:t xml:space="preserve">a </w:t>
      </w:r>
      <w:r w:rsidR="001031C4" w:rsidRPr="00031D8F">
        <w:t>generalized LCI framework</w:t>
      </w:r>
      <w:r w:rsidR="003733C6" w:rsidRPr="00031D8F">
        <w:t>, the pure process approach is on one end, the input-output approach is</w:t>
      </w:r>
      <w:r w:rsidR="00450273" w:rsidRPr="00031D8F">
        <w:t xml:space="preserve"> on the opposite end, and</w:t>
      </w:r>
      <w:r w:rsidR="003733C6" w:rsidRPr="00031D8F">
        <w:t xml:space="preserve"> i</w:t>
      </w:r>
      <w:r w:rsidRPr="00031D8F">
        <w:t xml:space="preserve">n between is a </w:t>
      </w:r>
      <w:r w:rsidR="001031C4" w:rsidRPr="00031D8F">
        <w:t>whole spectrum of hybrid approach</w:t>
      </w:r>
      <w:r w:rsidR="008458F4" w:rsidRPr="00031D8F">
        <w:t>es</w:t>
      </w:r>
      <w:r w:rsidR="001031C4" w:rsidRPr="00031D8F">
        <w:t xml:space="preserve"> (Suh, 2004). </w:t>
      </w:r>
      <w:r w:rsidR="003733C6" w:rsidRPr="00031D8F">
        <w:t xml:space="preserve">A </w:t>
      </w:r>
      <w:r w:rsidR="001031C4" w:rsidRPr="00031D8F">
        <w:t xml:space="preserve">hybrid approach </w:t>
      </w:r>
      <w:r w:rsidR="003733C6" w:rsidRPr="00031D8F">
        <w:t>could</w:t>
      </w:r>
      <w:r w:rsidR="001031C4" w:rsidRPr="00031D8F">
        <w:t xml:space="preserve"> </w:t>
      </w:r>
      <w:r w:rsidR="003733C6" w:rsidRPr="00031D8F">
        <w:t xml:space="preserve">therefore </w:t>
      </w:r>
      <w:r w:rsidR="001031C4" w:rsidRPr="00031D8F">
        <w:t xml:space="preserve">be tailored </w:t>
      </w:r>
      <w:r w:rsidR="003733C6" w:rsidRPr="00031D8F">
        <w:t xml:space="preserve">to be a pure process LCA with </w:t>
      </w:r>
      <w:r w:rsidR="001031C4" w:rsidRPr="00031D8F">
        <w:t xml:space="preserve">only a </w:t>
      </w:r>
      <w:r w:rsidR="003733C6" w:rsidRPr="00031D8F">
        <w:t xml:space="preserve">small </w:t>
      </w:r>
      <w:r w:rsidR="001031C4" w:rsidRPr="00031D8F">
        <w:t>input-output portion</w:t>
      </w:r>
      <w:r w:rsidR="003733C6" w:rsidRPr="00031D8F">
        <w:t>,</w:t>
      </w:r>
      <w:r w:rsidR="001031C4" w:rsidRPr="00031D8F">
        <w:t xml:space="preserve"> </w:t>
      </w:r>
      <w:r w:rsidR="003733C6" w:rsidRPr="00031D8F">
        <w:t>or vice versa</w:t>
      </w:r>
      <w:r w:rsidR="001031C4" w:rsidRPr="00031D8F">
        <w:t xml:space="preserve">. </w:t>
      </w:r>
      <w:r w:rsidR="006C2C4C" w:rsidRPr="00031D8F">
        <w:t>A</w:t>
      </w:r>
      <w:r w:rsidR="003733C6" w:rsidRPr="00031D8F">
        <w:t>s a result,</w:t>
      </w:r>
      <w:r w:rsidR="006C2C4C" w:rsidRPr="00031D8F">
        <w:t xml:space="preserve"> </w:t>
      </w:r>
      <w:r w:rsidR="003733C6" w:rsidRPr="00031D8F">
        <w:t xml:space="preserve">the </w:t>
      </w:r>
      <w:r w:rsidR="001031C4" w:rsidRPr="00031D8F">
        <w:t>hybrid approach</w:t>
      </w:r>
      <w:r w:rsidR="008458F4" w:rsidRPr="00031D8F">
        <w:t xml:space="preserve"> </w:t>
      </w:r>
      <w:r w:rsidR="001031C4" w:rsidRPr="00031D8F">
        <w:t xml:space="preserve">generally </w:t>
      </w:r>
      <w:r w:rsidR="006C2C4C" w:rsidRPr="00031D8F">
        <w:t>reduce</w:t>
      </w:r>
      <w:r w:rsidR="003733C6" w:rsidRPr="00031D8F">
        <w:t>s</w:t>
      </w:r>
      <w:r w:rsidR="001031C4" w:rsidRPr="00031D8F">
        <w:t xml:space="preserve"> </w:t>
      </w:r>
      <w:r w:rsidR="003733C6" w:rsidRPr="00031D8F">
        <w:t xml:space="preserve">the </w:t>
      </w:r>
      <w:r w:rsidR="001031C4" w:rsidRPr="00031D8F">
        <w:t xml:space="preserve">uncertainty </w:t>
      </w:r>
      <w:r w:rsidR="003733C6" w:rsidRPr="00031D8F">
        <w:t>of</w:t>
      </w:r>
      <w:r w:rsidR="001031C4" w:rsidRPr="00031D8F">
        <w:t xml:space="preserve"> </w:t>
      </w:r>
      <w:r w:rsidR="006C2C4C" w:rsidRPr="00031D8F">
        <w:t>existing pure process</w:t>
      </w:r>
      <w:r w:rsidR="003733C6" w:rsidRPr="00031D8F">
        <w:t>-based</w:t>
      </w:r>
      <w:r w:rsidR="006C2C4C" w:rsidRPr="00031D8F">
        <w:t xml:space="preserve"> or pure input-output-based systems</w:t>
      </w:r>
      <w:r w:rsidR="003733C6" w:rsidRPr="00031D8F">
        <w:t>:</w:t>
      </w:r>
      <w:r w:rsidR="006C2C4C" w:rsidRPr="00031D8F">
        <w:t xml:space="preserve"> it helps reduce truncation error </w:t>
      </w:r>
      <w:r w:rsidR="003733C6" w:rsidRPr="00031D8F">
        <w:t>in</w:t>
      </w:r>
      <w:r w:rsidR="006C2C4C" w:rsidRPr="00031D8F">
        <w:t xml:space="preserve"> the former and increase</w:t>
      </w:r>
      <w:r w:rsidR="003733C6" w:rsidRPr="00031D8F">
        <w:t>s</w:t>
      </w:r>
      <w:r w:rsidR="006C2C4C" w:rsidRPr="00031D8F">
        <w:t xml:space="preserve"> the resolution </w:t>
      </w:r>
      <w:r w:rsidR="003733C6" w:rsidRPr="00031D8F">
        <w:t>of</w:t>
      </w:r>
      <w:r w:rsidR="006C2C4C" w:rsidRPr="00031D8F">
        <w:t xml:space="preserve"> the latter</w:t>
      </w:r>
      <w:r w:rsidR="008458F4" w:rsidRPr="00031D8F">
        <w:t xml:space="preserve"> (Suh et al., 2004)</w:t>
      </w:r>
      <w:r w:rsidR="006C2C4C" w:rsidRPr="00031D8F">
        <w:t>.</w:t>
      </w:r>
      <w:r w:rsidR="001031C4" w:rsidRPr="00031D8F">
        <w:t xml:space="preserve">  </w:t>
      </w:r>
      <w:r w:rsidR="008258E3" w:rsidRPr="00031D8F">
        <w:t xml:space="preserve">   </w:t>
      </w:r>
      <w:r w:rsidR="00E55BD0" w:rsidRPr="00031D8F">
        <w:t xml:space="preserve"> </w:t>
      </w:r>
    </w:p>
    <w:p w:rsidR="00530AE7" w:rsidRPr="00031D8F" w:rsidRDefault="00530AE7" w:rsidP="00530AE7">
      <w:r w:rsidRPr="00031D8F">
        <w:t xml:space="preserve">Three different hybrid approaches are distinguished in the literature, namely tiered, input-output-based and integrated hybrid approach (Suh et al., 2004). In the tiered hybrid approach, which is the simplest form among the three, cut-offs of a pure process LCI are estimated using </w:t>
      </w:r>
      <w:r w:rsidR="008B1A92" w:rsidRPr="00031D8F">
        <w:t>rolled-</w:t>
      </w:r>
      <w:r w:rsidRPr="00031D8F">
        <w:t>up</w:t>
      </w:r>
      <w:r w:rsidR="008B1A92" w:rsidRPr="00031D8F">
        <w:rPr>
          <w:rStyle w:val="FootnoteReference"/>
        </w:rPr>
        <w:footnoteReference w:id="1"/>
      </w:r>
      <w:r w:rsidRPr="00031D8F">
        <w:t xml:space="preserve"> input-output (IO)</w:t>
      </w:r>
      <w:r w:rsidR="00B3484A" w:rsidRPr="00031D8F">
        <w:t xml:space="preserve"> </w:t>
      </w:r>
      <w:r w:rsidRPr="00031D8F">
        <w:t>LCA data (</w:t>
      </w:r>
      <w:proofErr w:type="spellStart"/>
      <w:r w:rsidRPr="00031D8F">
        <w:t>Moriguchi</w:t>
      </w:r>
      <w:proofErr w:type="spellEnd"/>
      <w:r w:rsidRPr="00031D8F">
        <w:t xml:space="preserve"> et al., 1993; </w:t>
      </w:r>
      <w:proofErr w:type="spellStart"/>
      <w:r w:rsidRPr="00031D8F">
        <w:t>Suh</w:t>
      </w:r>
      <w:proofErr w:type="spellEnd"/>
      <w:r w:rsidRPr="00031D8F">
        <w:t xml:space="preserve"> and </w:t>
      </w:r>
      <w:proofErr w:type="spellStart"/>
      <w:r w:rsidRPr="00031D8F">
        <w:t>Huppes</w:t>
      </w:r>
      <w:proofErr w:type="spellEnd"/>
      <w:r w:rsidRPr="00031D8F">
        <w:t xml:space="preserve">, 2002). </w:t>
      </w:r>
      <w:r w:rsidR="00450273" w:rsidRPr="00031D8F">
        <w:t xml:space="preserve">The </w:t>
      </w:r>
      <w:r w:rsidR="00B3484A" w:rsidRPr="00031D8F">
        <w:lastRenderedPageBreak/>
        <w:t>i</w:t>
      </w:r>
      <w:r w:rsidRPr="00031D8F">
        <w:t xml:space="preserve">nput-output hybrid approach </w:t>
      </w:r>
      <w:r w:rsidR="00B3484A" w:rsidRPr="00031D8F">
        <w:t xml:space="preserve">partially increases the resolution of the IO LCA data by </w:t>
      </w:r>
      <w:r w:rsidRPr="00031D8F">
        <w:t xml:space="preserve">using additional information </w:t>
      </w:r>
      <w:r w:rsidR="00B3484A" w:rsidRPr="00031D8F">
        <w:t xml:space="preserve">to disaggregate the </w:t>
      </w:r>
      <w:r w:rsidR="00450273" w:rsidRPr="00031D8F">
        <w:t xml:space="preserve">data </w:t>
      </w:r>
      <w:r w:rsidR="00D22B38" w:rsidRPr="00031D8F">
        <w:t>(</w:t>
      </w:r>
      <w:proofErr w:type="spellStart"/>
      <w:r w:rsidR="0079207E" w:rsidRPr="00031D8F">
        <w:t>Treloar</w:t>
      </w:r>
      <w:proofErr w:type="spellEnd"/>
      <w:r w:rsidR="0079207E" w:rsidRPr="00031D8F">
        <w:t xml:space="preserve">, 1997; Joshi, 1999). </w:t>
      </w:r>
      <w:r w:rsidR="00B3484A" w:rsidRPr="00031D8F">
        <w:t>Finally, the i</w:t>
      </w:r>
      <w:r w:rsidR="0079207E" w:rsidRPr="00031D8F">
        <w:t>ntegrated hybrid approach mutually links the physical unit matrices used in LCA (</w:t>
      </w:r>
      <w:proofErr w:type="spellStart"/>
      <w:r w:rsidR="0079207E" w:rsidRPr="00031D8F">
        <w:t>Heijungs</w:t>
      </w:r>
      <w:proofErr w:type="spellEnd"/>
      <w:r w:rsidR="0079207E" w:rsidRPr="00031D8F">
        <w:t xml:space="preserve">, 1994; </w:t>
      </w:r>
      <w:proofErr w:type="spellStart"/>
      <w:r w:rsidR="0079207E" w:rsidRPr="00031D8F">
        <w:t>Heijungs</w:t>
      </w:r>
      <w:proofErr w:type="spellEnd"/>
      <w:r w:rsidR="0079207E" w:rsidRPr="00031D8F">
        <w:t xml:space="preserve"> and Suh, 2002) with the input-output matrices in a single technology matrix (Suh, 2004</w:t>
      </w:r>
      <w:r w:rsidR="0056647E" w:rsidRPr="00031D8F">
        <w:t xml:space="preserve">; </w:t>
      </w:r>
      <w:r w:rsidR="0056647E" w:rsidRPr="00031D8F">
        <w:rPr>
          <w:rFonts w:cs="Calibri"/>
          <w:noProof/>
        </w:rPr>
        <w:t>Reich-Weiser et al., 2010</w:t>
      </w:r>
      <w:r w:rsidR="0079207E" w:rsidRPr="00031D8F">
        <w:t>)</w:t>
      </w:r>
      <w:r w:rsidR="00033B4B" w:rsidRPr="00031D8F">
        <w:t xml:space="preserve"> (for a comparison </w:t>
      </w:r>
      <w:r w:rsidR="00450273" w:rsidRPr="00031D8F">
        <w:t xml:space="preserve">among </w:t>
      </w:r>
      <w:r w:rsidR="00033B4B" w:rsidRPr="00031D8F">
        <w:t>hybrid approaches, s</w:t>
      </w:r>
      <w:r w:rsidR="0079207E" w:rsidRPr="00031D8F">
        <w:t>ee Suh et al.</w:t>
      </w:r>
      <w:r w:rsidR="00033B4B" w:rsidRPr="00031D8F">
        <w:t xml:space="preserve">, </w:t>
      </w:r>
      <w:r w:rsidR="0079207E" w:rsidRPr="00031D8F">
        <w:t>2004</w:t>
      </w:r>
      <w:r w:rsidR="00033B4B" w:rsidRPr="00031D8F">
        <w:t xml:space="preserve">; </w:t>
      </w:r>
      <w:proofErr w:type="spellStart"/>
      <w:r w:rsidR="00033B4B" w:rsidRPr="00031D8F">
        <w:t>Suh</w:t>
      </w:r>
      <w:proofErr w:type="spellEnd"/>
      <w:r w:rsidR="00033B4B" w:rsidRPr="00031D8F">
        <w:t xml:space="preserve"> and </w:t>
      </w:r>
      <w:proofErr w:type="spellStart"/>
      <w:r w:rsidR="00033B4B" w:rsidRPr="00031D8F">
        <w:t>Huppes</w:t>
      </w:r>
      <w:proofErr w:type="spellEnd"/>
      <w:r w:rsidR="00033B4B" w:rsidRPr="00031D8F">
        <w:t>, 2005;</w:t>
      </w:r>
      <w:r w:rsidR="0079207E" w:rsidRPr="00031D8F">
        <w:t xml:space="preserve"> </w:t>
      </w:r>
      <w:proofErr w:type="spellStart"/>
      <w:r w:rsidR="0079207E" w:rsidRPr="00031D8F">
        <w:t>Wiedemann</w:t>
      </w:r>
      <w:proofErr w:type="spellEnd"/>
      <w:r w:rsidR="0079207E" w:rsidRPr="00031D8F">
        <w:t xml:space="preserve"> et al.</w:t>
      </w:r>
      <w:r w:rsidR="00033B4B" w:rsidRPr="00031D8F">
        <w:t xml:space="preserve">, </w:t>
      </w:r>
      <w:r w:rsidR="0079207E" w:rsidRPr="00031D8F">
        <w:t>2011).</w:t>
      </w:r>
      <w:r w:rsidRPr="00031D8F">
        <w:t xml:space="preserve"> </w:t>
      </w:r>
    </w:p>
    <w:p w:rsidR="00530AE7" w:rsidRPr="00031D8F" w:rsidRDefault="00530AE7" w:rsidP="00530AE7">
      <w:r w:rsidRPr="00031D8F">
        <w:t xml:space="preserve">In prior studies, hybrid approaches have been applied to a single product system or research question. </w:t>
      </w:r>
      <w:r w:rsidR="00B3484A" w:rsidRPr="00031D8F">
        <w:t>The h</w:t>
      </w:r>
      <w:r w:rsidRPr="00031D8F">
        <w:t>ybrid approach</w:t>
      </w:r>
      <w:r w:rsidR="00B3484A" w:rsidRPr="00031D8F">
        <w:t>, however,</w:t>
      </w:r>
      <w:r w:rsidRPr="00031D8F">
        <w:t xml:space="preserve"> can</w:t>
      </w:r>
      <w:r w:rsidR="00B3484A" w:rsidRPr="00031D8F">
        <w:t xml:space="preserve"> also </w:t>
      </w:r>
      <w:r w:rsidRPr="00031D8F">
        <w:t xml:space="preserve">be applied at a database level, enabling much broader access to </w:t>
      </w:r>
      <w:r w:rsidR="0079207E" w:rsidRPr="00031D8F">
        <w:t xml:space="preserve">hybrid </w:t>
      </w:r>
      <w:r w:rsidRPr="00031D8F">
        <w:t xml:space="preserve">LCA. Once an LCI database </w:t>
      </w:r>
      <w:r w:rsidR="0014740C" w:rsidRPr="00031D8F">
        <w:t>has been</w:t>
      </w:r>
      <w:r w:rsidRPr="00031D8F">
        <w:t xml:space="preserve"> properly hybridized</w:t>
      </w:r>
      <w:r w:rsidR="00F40FD4" w:rsidRPr="00031D8F">
        <w:t>—i.e.</w:t>
      </w:r>
      <w:r w:rsidR="0014740C" w:rsidRPr="00031D8F">
        <w:t>,</w:t>
      </w:r>
      <w:r w:rsidR="00F40FD4" w:rsidRPr="00031D8F">
        <w:t xml:space="preserve"> </w:t>
      </w:r>
      <w:r w:rsidRPr="00031D8F">
        <w:t xml:space="preserve">truncated supply chain links are connected to the background economic system represented by the input-output </w:t>
      </w:r>
      <w:r w:rsidR="0014740C" w:rsidRPr="00031D8F">
        <w:t>data</w:t>
      </w:r>
      <w:r w:rsidR="00F40FD4" w:rsidRPr="00031D8F">
        <w:t>—</w:t>
      </w:r>
      <w:r w:rsidRPr="00031D8F">
        <w:t xml:space="preserve">lay users of the database can benefit from </w:t>
      </w:r>
      <w:r w:rsidR="0079207E" w:rsidRPr="00031D8F">
        <w:t>a</w:t>
      </w:r>
      <w:r w:rsidRPr="00031D8F">
        <w:t xml:space="preserve"> more complete system definition without having to acquire</w:t>
      </w:r>
      <w:r w:rsidR="0014740C" w:rsidRPr="00031D8F">
        <w:t xml:space="preserve"> the</w:t>
      </w:r>
      <w:r w:rsidRPr="00031D8F">
        <w:t xml:space="preserve"> necessary knowledge and skills needed to construct a hybrid system </w:t>
      </w:r>
      <w:r w:rsidR="0014740C" w:rsidRPr="00031D8F">
        <w:t>on</w:t>
      </w:r>
      <w:r w:rsidRPr="00031D8F">
        <w:t xml:space="preserve"> </w:t>
      </w:r>
      <w:r w:rsidR="0079207E" w:rsidRPr="00031D8F">
        <w:t>their own</w:t>
      </w:r>
      <w:r w:rsidRPr="00031D8F">
        <w:t xml:space="preserve">. </w:t>
      </w:r>
    </w:p>
    <w:p w:rsidR="00530AE7" w:rsidRPr="00031D8F" w:rsidRDefault="0014740C" w:rsidP="00530AE7">
      <w:r w:rsidRPr="00031D8F">
        <w:t xml:space="preserve">Among the three hybrid approaches discussed earlier, the integrated hybrid approach is particularly suited for </w:t>
      </w:r>
      <w:r w:rsidR="00530AE7" w:rsidRPr="00031D8F">
        <w:t xml:space="preserve">hybridization at a database level. </w:t>
      </w:r>
      <w:r w:rsidRPr="00031D8F">
        <w:t xml:space="preserve">By merging </w:t>
      </w:r>
      <w:r w:rsidR="00530AE7" w:rsidRPr="00031D8F">
        <w:t>both physical and monetary unit</w:t>
      </w:r>
      <w:r w:rsidR="0079207E" w:rsidRPr="00031D8F">
        <w:t xml:space="preserve"> descriptions of the system</w:t>
      </w:r>
      <w:r w:rsidR="00530AE7" w:rsidRPr="00031D8F">
        <w:t xml:space="preserve"> in a single technology matrix,</w:t>
      </w:r>
      <w:r w:rsidRPr="00031D8F">
        <w:t xml:space="preserve"> the integrated hybrid approach preserves as much as possible </w:t>
      </w:r>
      <w:r w:rsidR="00530AE7" w:rsidRPr="00031D8F">
        <w:t>detailed physical unit data</w:t>
      </w:r>
      <w:r w:rsidRPr="00031D8F">
        <w:t>. Furthermore</w:t>
      </w:r>
      <w:r w:rsidR="00530AE7" w:rsidRPr="00031D8F">
        <w:t>, any improvement</w:t>
      </w:r>
      <w:r w:rsidRPr="00031D8F">
        <w:t>s</w:t>
      </w:r>
      <w:r w:rsidR="00530AE7" w:rsidRPr="00031D8F">
        <w:t xml:space="preserve"> </w:t>
      </w:r>
      <w:r w:rsidR="0079207E" w:rsidRPr="00031D8F">
        <w:t xml:space="preserve">or changes </w:t>
      </w:r>
      <w:r w:rsidRPr="00031D8F">
        <w:t xml:space="preserve">made </w:t>
      </w:r>
      <w:r w:rsidR="00530AE7" w:rsidRPr="00031D8F">
        <w:t xml:space="preserve">on one process </w:t>
      </w:r>
      <w:r w:rsidRPr="00031D8F">
        <w:t>are</w:t>
      </w:r>
      <w:r w:rsidR="00530AE7" w:rsidRPr="00031D8F">
        <w:t xml:space="preserve"> </w:t>
      </w:r>
      <w:r w:rsidRPr="00031D8F">
        <w:t xml:space="preserve">immediately </w:t>
      </w:r>
      <w:r w:rsidR="00530AE7" w:rsidRPr="00031D8F">
        <w:t xml:space="preserve">passed on to all </w:t>
      </w:r>
      <w:r w:rsidRPr="00031D8F">
        <w:t xml:space="preserve">connected </w:t>
      </w:r>
      <w:r w:rsidR="00530AE7" w:rsidRPr="00031D8F">
        <w:t>processes</w:t>
      </w:r>
      <w:r w:rsidR="0079207E" w:rsidRPr="00031D8F">
        <w:t>,</w:t>
      </w:r>
      <w:r w:rsidR="00530AE7" w:rsidRPr="00031D8F">
        <w:t xml:space="preserve"> enabling </w:t>
      </w:r>
      <w:r w:rsidRPr="00031D8F">
        <w:t xml:space="preserve">efficient </w:t>
      </w:r>
      <w:r w:rsidR="0079207E" w:rsidRPr="00031D8F">
        <w:t>system-wide</w:t>
      </w:r>
      <w:r w:rsidR="00530AE7" w:rsidRPr="00031D8F">
        <w:t xml:space="preserve"> update</w:t>
      </w:r>
      <w:r w:rsidRPr="00031D8F">
        <w:t>s</w:t>
      </w:r>
      <w:r w:rsidR="00530AE7" w:rsidRPr="00031D8F">
        <w:t xml:space="preserve"> and management. </w:t>
      </w:r>
      <w:r w:rsidRPr="00031D8F">
        <w:t>Finally</w:t>
      </w:r>
      <w:r w:rsidR="00530AE7" w:rsidRPr="00031D8F">
        <w:t xml:space="preserve">, some existing public </w:t>
      </w:r>
      <w:r w:rsidR="0079207E" w:rsidRPr="00031D8F">
        <w:t>LCI</w:t>
      </w:r>
      <w:r w:rsidR="00530AE7" w:rsidRPr="00031D8F">
        <w:t xml:space="preserve"> databases such as </w:t>
      </w:r>
      <w:proofErr w:type="spellStart"/>
      <w:r w:rsidR="0079207E" w:rsidRPr="00031D8F">
        <w:t>E</w:t>
      </w:r>
      <w:r w:rsidR="00530AE7" w:rsidRPr="00031D8F">
        <w:t>coinvent</w:t>
      </w:r>
      <w:proofErr w:type="spellEnd"/>
      <w:r w:rsidR="00530AE7" w:rsidRPr="00031D8F">
        <w:t xml:space="preserve"> are already structured in a matrix form</w:t>
      </w:r>
      <w:r w:rsidR="0079207E" w:rsidRPr="00031D8F">
        <w:t xml:space="preserve"> following </w:t>
      </w:r>
      <w:proofErr w:type="spellStart"/>
      <w:r w:rsidR="0079207E" w:rsidRPr="00031D8F">
        <w:t>Heijun</w:t>
      </w:r>
      <w:r w:rsidRPr="00031D8F">
        <w:t>g</w:t>
      </w:r>
      <w:r w:rsidR="0079207E" w:rsidRPr="00031D8F">
        <w:t>s</w:t>
      </w:r>
      <w:proofErr w:type="spellEnd"/>
      <w:r w:rsidR="0079207E" w:rsidRPr="00031D8F">
        <w:t xml:space="preserve"> (1994) and </w:t>
      </w:r>
      <w:proofErr w:type="spellStart"/>
      <w:r w:rsidR="0079207E" w:rsidRPr="00031D8F">
        <w:t>Heijungs</w:t>
      </w:r>
      <w:proofErr w:type="spellEnd"/>
      <w:r w:rsidR="0079207E" w:rsidRPr="00031D8F">
        <w:t xml:space="preserve"> and Suh (2002)</w:t>
      </w:r>
      <w:r w:rsidR="00530AE7" w:rsidRPr="00031D8F">
        <w:t>, and</w:t>
      </w:r>
      <w:r w:rsidRPr="00031D8F">
        <w:t>,</w:t>
      </w:r>
      <w:r w:rsidR="00530AE7" w:rsidRPr="00031D8F">
        <w:t xml:space="preserve"> for those databases, </w:t>
      </w:r>
      <w:r w:rsidRPr="00031D8F">
        <w:t xml:space="preserve">the </w:t>
      </w:r>
      <w:r w:rsidR="00530AE7" w:rsidRPr="00031D8F">
        <w:t xml:space="preserve">integrated hybrid approach would be </w:t>
      </w:r>
      <w:r w:rsidRPr="00031D8F">
        <w:t>a</w:t>
      </w:r>
      <w:r w:rsidR="00530AE7" w:rsidRPr="00031D8F">
        <w:t xml:space="preserve"> natural choice. </w:t>
      </w:r>
    </w:p>
    <w:p w:rsidR="00CC2826" w:rsidRPr="00031D8F" w:rsidRDefault="0056647E" w:rsidP="00530AE7">
      <w:r w:rsidRPr="00031D8F">
        <w:t xml:space="preserve">For </w:t>
      </w:r>
      <w:r w:rsidR="0014740C" w:rsidRPr="00031D8F">
        <w:t>this</w:t>
      </w:r>
      <w:r w:rsidRPr="00031D8F">
        <w:t xml:space="preserve"> </w:t>
      </w:r>
      <w:r w:rsidR="00530AE7" w:rsidRPr="00031D8F">
        <w:t xml:space="preserve">study, the resulting hybrid </w:t>
      </w:r>
      <w:r w:rsidRPr="00031D8F">
        <w:t>BEES</w:t>
      </w:r>
      <w:r w:rsidR="00530AE7" w:rsidRPr="00031D8F">
        <w:t xml:space="preserve"> database </w:t>
      </w:r>
      <w:r w:rsidRPr="00031D8F">
        <w:t xml:space="preserve">should be able to assess </w:t>
      </w:r>
      <w:r w:rsidR="0014740C" w:rsidRPr="00031D8F">
        <w:t xml:space="preserve">different </w:t>
      </w:r>
      <w:r w:rsidR="00530AE7" w:rsidRPr="00031D8F">
        <w:t xml:space="preserve">scenarios </w:t>
      </w:r>
      <w:r w:rsidR="0014740C" w:rsidRPr="00031D8F">
        <w:t xml:space="preserve">for </w:t>
      </w:r>
      <w:r w:rsidR="00530AE7" w:rsidRPr="00031D8F">
        <w:t xml:space="preserve">building energy systems. Such an analysis requires </w:t>
      </w:r>
      <w:r w:rsidRPr="00031D8F">
        <w:t>the ability to calculate LCA results due to changes in the parameters of a technology matrix</w:t>
      </w:r>
      <w:r w:rsidR="007F4C40" w:rsidRPr="00031D8F">
        <w:t>—</w:t>
      </w:r>
      <w:proofErr w:type="gramStart"/>
      <w:r w:rsidR="007F4C40" w:rsidRPr="00031D8F">
        <w:t>a task</w:t>
      </w:r>
      <w:proofErr w:type="gramEnd"/>
      <w:r w:rsidR="007F4C40" w:rsidRPr="00031D8F">
        <w:t xml:space="preserve"> </w:t>
      </w:r>
      <w:r w:rsidR="00530AE7" w:rsidRPr="00031D8F">
        <w:t xml:space="preserve">for which the features of the integrated hybrid approach become </w:t>
      </w:r>
      <w:r w:rsidR="007F4C40" w:rsidRPr="00031D8F">
        <w:t xml:space="preserve">particularly </w:t>
      </w:r>
      <w:r w:rsidR="00530AE7" w:rsidRPr="00031D8F">
        <w:t>useful.</w:t>
      </w:r>
    </w:p>
    <w:p w:rsidR="00CC2826" w:rsidRPr="00031D8F" w:rsidRDefault="00CC2826" w:rsidP="00884906"/>
    <w:p w:rsidR="00C34270" w:rsidRPr="00031D8F" w:rsidRDefault="00E8313F" w:rsidP="00884906">
      <w:pPr>
        <w:pStyle w:val="Heading2"/>
      </w:pPr>
      <w:bookmarkStart w:id="4" w:name="_Toc299376749"/>
      <w:r w:rsidRPr="00031D8F">
        <w:t>Supply</w:t>
      </w:r>
      <w:r w:rsidR="00BF3C89" w:rsidRPr="00031D8F">
        <w:t xml:space="preserve"> and use framework</w:t>
      </w:r>
      <w:bookmarkEnd w:id="4"/>
    </w:p>
    <w:p w:rsidR="007F4C40" w:rsidRPr="00031D8F" w:rsidRDefault="00FF6426" w:rsidP="00BA297E">
      <w:pPr>
        <w:pStyle w:val="ListParagraph"/>
        <w:ind w:left="0"/>
      </w:pPr>
      <w:r w:rsidRPr="00031D8F">
        <w:t xml:space="preserve">Input-output data from statistical offices often come as supply use </w:t>
      </w:r>
      <w:r w:rsidR="00B45FD4" w:rsidRPr="00031D8F">
        <w:t>tables</w:t>
      </w:r>
      <w:r w:rsidRPr="00031D8F">
        <w:t xml:space="preserve"> (SUTs)</w:t>
      </w:r>
      <w:r w:rsidR="00B45FD4" w:rsidRPr="00031D8F">
        <w:t xml:space="preserve"> (</w:t>
      </w:r>
      <w:r w:rsidR="007F4C40" w:rsidRPr="00031D8F">
        <w:t>the terms “</w:t>
      </w:r>
      <w:r w:rsidR="00B45FD4" w:rsidRPr="00031D8F">
        <w:t>tables</w:t>
      </w:r>
      <w:r w:rsidR="007F4C40" w:rsidRPr="00031D8F">
        <w:t>”</w:t>
      </w:r>
      <w:r w:rsidR="00B45FD4" w:rsidRPr="00031D8F">
        <w:t xml:space="preserve"> and </w:t>
      </w:r>
      <w:r w:rsidR="007F4C40" w:rsidRPr="00031D8F">
        <w:t>“</w:t>
      </w:r>
      <w:r w:rsidR="00B45FD4" w:rsidRPr="00031D8F">
        <w:t>matrices</w:t>
      </w:r>
      <w:r w:rsidR="007F4C40" w:rsidRPr="00031D8F">
        <w:t>”</w:t>
      </w:r>
      <w:r w:rsidR="00B45FD4" w:rsidRPr="00031D8F">
        <w:t xml:space="preserve"> are used interchangeably in this paper)</w:t>
      </w:r>
      <w:r w:rsidRPr="00031D8F">
        <w:t xml:space="preserve">. </w:t>
      </w:r>
      <w:r w:rsidR="007F4C40" w:rsidRPr="00031D8F">
        <w:t xml:space="preserve">SUTs are the natural format for </w:t>
      </w:r>
      <w:r w:rsidR="007F4C40" w:rsidRPr="00031D8F">
        <w:lastRenderedPageBreak/>
        <w:t xml:space="preserve">this information </w:t>
      </w:r>
      <w:r w:rsidRPr="00031D8F">
        <w:t xml:space="preserve">because </w:t>
      </w:r>
      <w:r w:rsidR="007F4C40" w:rsidRPr="00031D8F">
        <w:t xml:space="preserve">the </w:t>
      </w:r>
      <w:r w:rsidRPr="00031D8F">
        <w:t xml:space="preserve">industries from which the underlying data are collected understand </w:t>
      </w:r>
      <w:r w:rsidR="007F4C40" w:rsidRPr="00031D8F">
        <w:t xml:space="preserve">best </w:t>
      </w:r>
      <w:r w:rsidRPr="00031D8F">
        <w:t xml:space="preserve">which products they </w:t>
      </w:r>
      <w:r w:rsidR="007F4C40" w:rsidRPr="00031D8F">
        <w:t>buy and sell</w:t>
      </w:r>
      <w:r w:rsidRPr="00031D8F">
        <w:t xml:space="preserve">, while they do not necessarily know from which industry their purchases are coming or to which industry their products are going (Stone et al., 1963; </w:t>
      </w:r>
      <w:proofErr w:type="spellStart"/>
      <w:r w:rsidRPr="00031D8F">
        <w:t>Konijn</w:t>
      </w:r>
      <w:proofErr w:type="spellEnd"/>
      <w:r w:rsidRPr="00031D8F">
        <w:t xml:space="preserve">, 1994). Likewise, environmental emission data are generally collected at </w:t>
      </w:r>
      <w:r w:rsidR="007F4C40" w:rsidRPr="00031D8F">
        <w:t xml:space="preserve">the </w:t>
      </w:r>
      <w:r w:rsidRPr="00031D8F">
        <w:t xml:space="preserve">industry level </w:t>
      </w:r>
      <w:r w:rsidR="007F4C40" w:rsidRPr="00031D8F">
        <w:t xml:space="preserve">rather than at the </w:t>
      </w:r>
      <w:r w:rsidRPr="00031D8F">
        <w:t>commodity level.</w:t>
      </w:r>
    </w:p>
    <w:p w:rsidR="00FF6426" w:rsidRPr="00031D8F" w:rsidRDefault="007F4C40" w:rsidP="00BA297E">
      <w:pPr>
        <w:pStyle w:val="ListParagraph"/>
        <w:ind w:left="0"/>
      </w:pPr>
      <w:r w:rsidRPr="00031D8F">
        <w:t>Because</w:t>
      </w:r>
      <w:r w:rsidR="00FF6426" w:rsidRPr="00031D8F">
        <w:t xml:space="preserve"> an industry </w:t>
      </w:r>
      <w:r w:rsidR="00017433" w:rsidRPr="00031D8F">
        <w:t>may</w:t>
      </w:r>
      <w:r w:rsidR="00FF6426" w:rsidRPr="00031D8F">
        <w:t xml:space="preserve"> produce multiple commodities, the question </w:t>
      </w:r>
      <w:r w:rsidRPr="00031D8F">
        <w:t xml:space="preserve">then </w:t>
      </w:r>
      <w:r w:rsidR="00FF6426" w:rsidRPr="00031D8F">
        <w:t xml:space="preserve">is how to </w:t>
      </w:r>
      <w:r w:rsidR="00017433" w:rsidRPr="00031D8F">
        <w:t>assign</w:t>
      </w:r>
      <w:r w:rsidR="00FF6426" w:rsidRPr="00031D8F">
        <w:t xml:space="preserve"> environ</w:t>
      </w:r>
      <w:r w:rsidR="00017433" w:rsidRPr="00031D8F">
        <w:t>mental impacts to each</w:t>
      </w:r>
      <w:r w:rsidR="00FF6426" w:rsidRPr="00031D8F">
        <w:t xml:space="preserve"> commodity. Th</w:t>
      </w:r>
      <w:r w:rsidRPr="00031D8F">
        <w:t>is</w:t>
      </w:r>
      <w:r w:rsidR="00FF6426" w:rsidRPr="00031D8F">
        <w:t xml:space="preserve"> problem is essentially the same as </w:t>
      </w:r>
      <w:r w:rsidRPr="00031D8F">
        <w:t xml:space="preserve">the </w:t>
      </w:r>
      <w:r w:rsidR="00FF6426" w:rsidRPr="00031D8F">
        <w:t xml:space="preserve">allocation problem in </w:t>
      </w:r>
      <w:r w:rsidR="00823DFF" w:rsidRPr="00031D8F">
        <w:t>LCA</w:t>
      </w:r>
      <w:r w:rsidR="00FF6426" w:rsidRPr="00031D8F">
        <w:t xml:space="preserve"> but </w:t>
      </w:r>
      <w:r w:rsidRPr="00031D8F">
        <w:t xml:space="preserve">on a </w:t>
      </w:r>
      <w:r w:rsidR="00FF6426" w:rsidRPr="00031D8F">
        <w:t>different scale. In the field of input</w:t>
      </w:r>
      <w:r w:rsidR="00823DFF" w:rsidRPr="00031D8F">
        <w:t>-</w:t>
      </w:r>
      <w:r w:rsidR="00FF6426" w:rsidRPr="00031D8F">
        <w:t>out</w:t>
      </w:r>
      <w:r w:rsidR="00823DFF" w:rsidRPr="00031D8F">
        <w:t>put</w:t>
      </w:r>
      <w:r w:rsidR="00FF6426" w:rsidRPr="00031D8F">
        <w:t xml:space="preserve"> analysis</w:t>
      </w:r>
      <w:r w:rsidRPr="00031D8F">
        <w:t>,</w:t>
      </w:r>
      <w:r w:rsidR="00FF6426" w:rsidRPr="00031D8F">
        <w:t xml:space="preserve"> a consistent mathematical representation has been </w:t>
      </w:r>
      <w:r w:rsidR="00823DFF" w:rsidRPr="00031D8F">
        <w:t>developed</w:t>
      </w:r>
      <w:r w:rsidR="00FF6426" w:rsidRPr="00031D8F">
        <w:t xml:space="preserve"> to convert the SUTs to commodity</w:t>
      </w:r>
      <w:r w:rsidRPr="00031D8F">
        <w:t>-</w:t>
      </w:r>
      <w:r w:rsidR="00FF6426" w:rsidRPr="00031D8F">
        <w:t>based information</w:t>
      </w:r>
      <w:r w:rsidR="00823DFF" w:rsidRPr="00031D8F">
        <w:t xml:space="preserve">, which can </w:t>
      </w:r>
      <w:r w:rsidRPr="00031D8F">
        <w:t xml:space="preserve">then </w:t>
      </w:r>
      <w:r w:rsidR="00823DFF" w:rsidRPr="00031D8F">
        <w:t>be used to formalize the allocation calculus in LCA (Suh et al., 2010)</w:t>
      </w:r>
      <w:r w:rsidR="00FF6426" w:rsidRPr="00031D8F">
        <w:t xml:space="preserve">. </w:t>
      </w:r>
      <w:r w:rsidR="00647DFD" w:rsidRPr="00031D8F">
        <w:t xml:space="preserve">Three models </w:t>
      </w:r>
      <w:r w:rsidRPr="00031D8F">
        <w:t xml:space="preserve">are </w:t>
      </w:r>
      <w:r w:rsidR="00647DFD" w:rsidRPr="00031D8F">
        <w:t>widely used to convert the SUTs to analytical tables</w:t>
      </w:r>
      <w:r w:rsidRPr="00031D8F">
        <w:t>:</w:t>
      </w:r>
      <w:r w:rsidR="00647DFD" w:rsidRPr="00031D8F">
        <w:t xml:space="preserve"> commodity-technology, industry-technology and by-product technology models (Miller and Blair, 1985; </w:t>
      </w:r>
      <w:proofErr w:type="spellStart"/>
      <w:r w:rsidR="00647DFD" w:rsidRPr="00031D8F">
        <w:t>Konijn</w:t>
      </w:r>
      <w:proofErr w:type="spellEnd"/>
      <w:r w:rsidR="00647DFD" w:rsidRPr="00031D8F">
        <w:t xml:space="preserve">, 1994). Suh et al. (2010) related these approaches to system expansion and partitioning allocation in LCA, and proved that both commodity-technology and by-product technology models are functionally equivalent to the supply and use formulation proposed by </w:t>
      </w:r>
      <w:proofErr w:type="spellStart"/>
      <w:r w:rsidR="00647DFD" w:rsidRPr="00031D8F">
        <w:t>Heijungs</w:t>
      </w:r>
      <w:proofErr w:type="spellEnd"/>
      <w:r w:rsidR="00647DFD" w:rsidRPr="00031D8F">
        <w:t xml:space="preserve"> and </w:t>
      </w:r>
      <w:proofErr w:type="spellStart"/>
      <w:r w:rsidR="00647DFD" w:rsidRPr="00031D8F">
        <w:t>Suh</w:t>
      </w:r>
      <w:proofErr w:type="spellEnd"/>
      <w:r w:rsidR="00647DFD" w:rsidRPr="00031D8F">
        <w:t xml:space="preserve"> (2002).</w:t>
      </w:r>
    </w:p>
    <w:p w:rsidR="008A04C5" w:rsidRPr="00031D8F" w:rsidRDefault="00647DFD" w:rsidP="008A04C5">
      <w:r w:rsidRPr="00031D8F">
        <w:t>In this particular study, we are using a more detailed level</w:t>
      </w:r>
      <w:r w:rsidR="007F4C40" w:rsidRPr="00031D8F">
        <w:t xml:space="preserve"> of </w:t>
      </w:r>
      <w:r w:rsidRPr="00031D8F">
        <w:t xml:space="preserve">supply and use data </w:t>
      </w:r>
      <w:r w:rsidR="007F4C40" w:rsidRPr="00031D8F">
        <w:t>(known as item-level</w:t>
      </w:r>
      <w:r w:rsidR="00E860BC" w:rsidRPr="00031D8F">
        <w:t xml:space="preserve"> data</w:t>
      </w:r>
      <w:r w:rsidR="007F4C40" w:rsidRPr="00031D8F">
        <w:t xml:space="preserve">) </w:t>
      </w:r>
      <w:r w:rsidRPr="00031D8F">
        <w:t xml:space="preserve">for </w:t>
      </w:r>
      <w:r w:rsidR="007F4C40" w:rsidRPr="00031D8F">
        <w:t xml:space="preserve">the </w:t>
      </w:r>
      <w:r w:rsidRPr="00031D8F">
        <w:t>construction sectors</w:t>
      </w:r>
      <w:r w:rsidR="007F4C40" w:rsidRPr="00031D8F">
        <w:t>,</w:t>
      </w:r>
      <w:r w:rsidRPr="00031D8F">
        <w:t xml:space="preserve"> in addition to standard</w:t>
      </w:r>
      <w:r w:rsidR="00186B96" w:rsidRPr="00031D8F">
        <w:t xml:space="preserve"> industry</w:t>
      </w:r>
      <w:r w:rsidRPr="00031D8F">
        <w:t xml:space="preserve">-level supply and use data for the rest of the economy. </w:t>
      </w:r>
      <w:r w:rsidR="00717A02" w:rsidRPr="00031D8F">
        <w:t xml:space="preserve">The term ‘item’ in the tradition of US input-output table compilation refers to the basic building blocks used to compile standard SUTs. One industry or product in a standard SUT may </w:t>
      </w:r>
      <w:r w:rsidR="008A04C5" w:rsidRPr="00031D8F">
        <w:t xml:space="preserve">consist </w:t>
      </w:r>
      <w:r w:rsidR="00717A02" w:rsidRPr="00031D8F">
        <w:t xml:space="preserve">of several to over a dozen item levels. </w:t>
      </w:r>
      <w:r w:rsidR="008A04C5" w:rsidRPr="00031D8F">
        <w:t xml:space="preserve">For instance, a standard industry in the US SUT, ‘Nonresidential commercial and health care structures’ consists of eight item-level industries including ‘New office buildings, including financial buildings’, ‘New hospitals’, ‘New health--special care buildings’, ‘New medical buildings’, ‘New </w:t>
      </w:r>
      <w:proofErr w:type="spellStart"/>
      <w:r w:rsidR="008A04C5" w:rsidRPr="00031D8F">
        <w:t>multimerchandise</w:t>
      </w:r>
      <w:proofErr w:type="spellEnd"/>
      <w:r w:rsidR="008A04C5" w:rsidRPr="00031D8F">
        <w:t xml:space="preserve"> shopping’, ‘New food and beverage establishments’, ‘New warehouses’, and ‘New other commercial structures.’  </w:t>
      </w:r>
    </w:p>
    <w:p w:rsidR="00304E6F" w:rsidRPr="00031D8F" w:rsidRDefault="00092A15" w:rsidP="008A04C5">
      <w:r w:rsidRPr="00031D8F">
        <w:t xml:space="preserve">As discussed in Suh et al. (2010), unit process-level LCIs can also be </w:t>
      </w:r>
      <w:r w:rsidR="000D5380" w:rsidRPr="00031D8F">
        <w:t xml:space="preserve">accommodated </w:t>
      </w:r>
      <w:r w:rsidRPr="00031D8F">
        <w:t xml:space="preserve">using </w:t>
      </w:r>
      <w:r w:rsidR="000D5380" w:rsidRPr="00031D8F">
        <w:t xml:space="preserve">the </w:t>
      </w:r>
      <w:r w:rsidRPr="00031D8F">
        <w:t xml:space="preserve">supply and use framework. </w:t>
      </w:r>
      <w:r w:rsidR="00647DFD" w:rsidRPr="00031D8F">
        <w:t xml:space="preserve">We let </w:t>
      </w:r>
      <w:r w:rsidR="00485911" w:rsidRPr="00031D8F">
        <w:t xml:space="preserve">the </w:t>
      </w:r>
      <w:r w:rsidR="00647DFD" w:rsidRPr="00031D8F">
        <w:t>s</w:t>
      </w:r>
      <w:r w:rsidR="00455C80" w:rsidRPr="00031D8F">
        <w:t xml:space="preserve">tandard </w:t>
      </w:r>
      <w:r w:rsidR="00891B38" w:rsidRPr="00031D8F">
        <w:t xml:space="preserve">IO </w:t>
      </w:r>
      <w:r w:rsidR="00455C80" w:rsidRPr="00031D8F">
        <w:t>s</w:t>
      </w:r>
      <w:r w:rsidR="00017433" w:rsidRPr="00031D8F">
        <w:t>upply matrix</w:t>
      </w:r>
      <w:proofErr w:type="gramStart"/>
      <w:r w:rsidR="00017433" w:rsidRPr="00031D8F">
        <w:t xml:space="preserve">, </w:t>
      </w:r>
      <w:proofErr w:type="gramEnd"/>
      <w:r w:rsidR="004B23A4" w:rsidRPr="00031D8F">
        <w:rPr>
          <w:position w:val="-14"/>
        </w:rPr>
        <w:object w:dxaOrig="1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0.25pt" o:ole="">
            <v:imagedata r:id="rId9" o:title=""/>
          </v:shape>
          <o:OLEObject Type="Embed" ProgID="Equation.3" ShapeID="_x0000_i1025" DrawAspect="Content" ObjectID="_1391418536" r:id="rId10"/>
        </w:object>
      </w:r>
      <w:r w:rsidR="00450273" w:rsidRPr="00031D8F">
        <w:t xml:space="preserve">, </w:t>
      </w:r>
      <w:r w:rsidR="00017433" w:rsidRPr="00031D8F">
        <w:t xml:space="preserve">show the amount of </w:t>
      </w:r>
      <w:r w:rsidR="004B23A4" w:rsidRPr="00031D8F">
        <w:t>product</w:t>
      </w:r>
      <w:r w:rsidR="00017433" w:rsidRPr="00031D8F">
        <w:t xml:space="preserve"> </w:t>
      </w:r>
      <w:proofErr w:type="spellStart"/>
      <w:r w:rsidR="004B23A4" w:rsidRPr="00031D8F">
        <w:rPr>
          <w:i/>
        </w:rPr>
        <w:t>i</w:t>
      </w:r>
      <w:proofErr w:type="spellEnd"/>
      <w:r w:rsidR="004B23A4" w:rsidRPr="00031D8F">
        <w:t xml:space="preserve">, regardless of the level of resolution, </w:t>
      </w:r>
      <w:r w:rsidR="00017433" w:rsidRPr="00031D8F">
        <w:t xml:space="preserve">produced by </w:t>
      </w:r>
      <w:r w:rsidR="000D5380" w:rsidRPr="00031D8F">
        <w:t xml:space="preserve">the </w:t>
      </w:r>
      <w:r w:rsidR="00647DFD" w:rsidRPr="00031D8F">
        <w:t xml:space="preserve">standard-level </w:t>
      </w:r>
      <w:r w:rsidR="00017433" w:rsidRPr="00031D8F">
        <w:t xml:space="preserve">industry </w:t>
      </w:r>
      <w:r w:rsidR="00450273" w:rsidRPr="00031D8F">
        <w:rPr>
          <w:i/>
        </w:rPr>
        <w:t>j</w:t>
      </w:r>
      <w:r w:rsidR="00017433" w:rsidRPr="00031D8F">
        <w:t xml:space="preserve">, and the use matrix, </w:t>
      </w:r>
      <w:r w:rsidR="004B23A4" w:rsidRPr="00031D8F">
        <w:rPr>
          <w:position w:val="-14"/>
        </w:rPr>
        <w:object w:dxaOrig="1020" w:dyaOrig="400">
          <v:shape id="_x0000_i1026" type="#_x0000_t75" style="width:51pt;height:20.25pt" o:ole="">
            <v:imagedata r:id="rId11" o:title=""/>
          </v:shape>
          <o:OLEObject Type="Embed" ProgID="Equation.3" ShapeID="_x0000_i1026" DrawAspect="Content" ObjectID="_1391418537" r:id="rId12"/>
        </w:object>
      </w:r>
      <w:r w:rsidR="00450273" w:rsidRPr="00031D8F">
        <w:t xml:space="preserve">, </w:t>
      </w:r>
      <w:r w:rsidR="00017433" w:rsidRPr="00031D8F">
        <w:t>show</w:t>
      </w:r>
      <w:r w:rsidR="00647DFD" w:rsidRPr="00031D8F">
        <w:t xml:space="preserve"> </w:t>
      </w:r>
      <w:r w:rsidR="00017433" w:rsidRPr="00031D8F">
        <w:t xml:space="preserve">the amount of </w:t>
      </w:r>
      <w:r w:rsidR="004B23A4" w:rsidRPr="00031D8F">
        <w:t>product</w:t>
      </w:r>
      <w:r w:rsidR="00017433" w:rsidRPr="00031D8F">
        <w:t xml:space="preserve"> </w:t>
      </w:r>
      <w:proofErr w:type="spellStart"/>
      <w:r w:rsidR="004B23A4" w:rsidRPr="00031D8F">
        <w:rPr>
          <w:i/>
        </w:rPr>
        <w:t>i</w:t>
      </w:r>
      <w:proofErr w:type="spellEnd"/>
      <w:r w:rsidR="00017433" w:rsidRPr="00031D8F">
        <w:t xml:space="preserve"> purchased by </w:t>
      </w:r>
      <w:r w:rsidR="000D5380" w:rsidRPr="00031D8F">
        <w:t xml:space="preserve">the </w:t>
      </w:r>
      <w:r w:rsidR="00647DFD" w:rsidRPr="00031D8F">
        <w:t>standard</w:t>
      </w:r>
      <w:r w:rsidR="004B23A4" w:rsidRPr="00031D8F">
        <w:t>-level</w:t>
      </w:r>
      <w:r w:rsidR="00647DFD" w:rsidRPr="00031D8F">
        <w:t xml:space="preserve"> </w:t>
      </w:r>
      <w:r w:rsidR="00017433" w:rsidRPr="00031D8F">
        <w:lastRenderedPageBreak/>
        <w:t xml:space="preserve">industry </w:t>
      </w:r>
      <w:r w:rsidR="004B23A4" w:rsidRPr="00031D8F">
        <w:rPr>
          <w:i/>
        </w:rPr>
        <w:t>j</w:t>
      </w:r>
      <w:r w:rsidR="00823DFF" w:rsidRPr="00031D8F">
        <w:t xml:space="preserve">, both of which are </w:t>
      </w:r>
      <w:r w:rsidR="000D5380" w:rsidRPr="00031D8F">
        <w:t xml:space="preserve">expressed </w:t>
      </w:r>
      <w:r w:rsidR="00823DFF" w:rsidRPr="00031D8F">
        <w:t>in monetary unit</w:t>
      </w:r>
      <w:r w:rsidR="000D5380" w:rsidRPr="00031D8F">
        <w:t>s</w:t>
      </w:r>
      <w:r w:rsidR="00823DFF" w:rsidRPr="00031D8F">
        <w:t>.</w:t>
      </w:r>
      <w:r w:rsidR="00EE12C5" w:rsidRPr="00031D8F">
        <w:t xml:space="preserve"> </w:t>
      </w:r>
      <w:r w:rsidR="00647DFD" w:rsidRPr="00031D8F">
        <w:t xml:space="preserve"> </w:t>
      </w:r>
      <w:r w:rsidR="004B23A4" w:rsidRPr="00031D8F">
        <w:t xml:space="preserve">The index </w:t>
      </w:r>
      <w:proofErr w:type="spellStart"/>
      <w:r w:rsidR="004B23A4" w:rsidRPr="00031D8F">
        <w:rPr>
          <w:i/>
        </w:rPr>
        <w:t>i</w:t>
      </w:r>
      <w:proofErr w:type="spellEnd"/>
      <w:r w:rsidR="004B23A4" w:rsidRPr="00031D8F">
        <w:t xml:space="preserve"> here covers the products of all three levels of resolution</w:t>
      </w:r>
      <w:r w:rsidR="000D5380" w:rsidRPr="00031D8F">
        <w:t xml:space="preserve">: </w:t>
      </w:r>
      <w:r w:rsidR="00186B96" w:rsidRPr="00031D8F">
        <w:t>(</w:t>
      </w:r>
      <w:r w:rsidR="004B23A4" w:rsidRPr="00031D8F">
        <w:t>standard</w:t>
      </w:r>
      <w:r w:rsidR="00186B96" w:rsidRPr="00031D8F">
        <w:t>) industry</w:t>
      </w:r>
      <w:r w:rsidR="004B23A4" w:rsidRPr="00031D8F">
        <w:t xml:space="preserve">, item and process.  </w:t>
      </w:r>
    </w:p>
    <w:p w:rsidR="00DC5BFA" w:rsidRPr="00031D8F" w:rsidRDefault="00647DFD" w:rsidP="000D5380">
      <w:pPr>
        <w:pStyle w:val="ListParagraph"/>
        <w:ind w:left="0"/>
      </w:pPr>
      <w:r w:rsidRPr="00031D8F">
        <w:t>Likewise, w</w:t>
      </w:r>
      <w:r w:rsidR="00D14F04" w:rsidRPr="00031D8F">
        <w:t xml:space="preserve">e </w:t>
      </w:r>
      <w:r w:rsidR="000D5380" w:rsidRPr="00031D8F">
        <w:t>de</w:t>
      </w:r>
      <w:r w:rsidR="00D14F04" w:rsidRPr="00031D8F">
        <w:t xml:space="preserve">note the item-level supply matrix </w:t>
      </w:r>
      <w:proofErr w:type="gramStart"/>
      <w:r w:rsidR="00D14F04" w:rsidRPr="00031D8F">
        <w:t xml:space="preserve">as </w:t>
      </w:r>
      <w:proofErr w:type="gramEnd"/>
      <w:r w:rsidR="00092A15" w:rsidRPr="00031D8F">
        <w:rPr>
          <w:position w:val="-12"/>
        </w:rPr>
        <w:object w:dxaOrig="999" w:dyaOrig="380">
          <v:shape id="_x0000_i1027" type="#_x0000_t75" style="width:50.25pt;height:18.75pt" o:ole="">
            <v:imagedata r:id="rId13" o:title=""/>
          </v:shape>
          <o:OLEObject Type="Embed" ProgID="Equation.3" ShapeID="_x0000_i1027" DrawAspect="Content" ObjectID="_1391418538" r:id="rId14"/>
        </w:object>
      </w:r>
      <w:r w:rsidR="000D5380" w:rsidRPr="00031D8F">
        <w:t xml:space="preserve">, which </w:t>
      </w:r>
      <w:r w:rsidR="00092A15" w:rsidRPr="00031D8F">
        <w:t xml:space="preserve">shows the production of product </w:t>
      </w:r>
      <w:proofErr w:type="spellStart"/>
      <w:r w:rsidR="00092A15" w:rsidRPr="00031D8F">
        <w:rPr>
          <w:i/>
        </w:rPr>
        <w:t>i</w:t>
      </w:r>
      <w:proofErr w:type="spellEnd"/>
      <w:r w:rsidR="00092A15" w:rsidRPr="00031D8F">
        <w:t xml:space="preserve"> by item-level industry </w:t>
      </w:r>
      <w:r w:rsidR="00092A15" w:rsidRPr="00031D8F">
        <w:rPr>
          <w:i/>
        </w:rPr>
        <w:t>k</w:t>
      </w:r>
      <w:r w:rsidR="00092A15" w:rsidRPr="00031D8F">
        <w:t xml:space="preserve">, and </w:t>
      </w:r>
      <w:r w:rsidR="00EA24C5" w:rsidRPr="00031D8F">
        <w:t xml:space="preserve">the item-level </w:t>
      </w:r>
      <w:r w:rsidR="00455C80" w:rsidRPr="00031D8F">
        <w:t>use</w:t>
      </w:r>
      <w:r w:rsidR="00EA24C5" w:rsidRPr="00031D8F">
        <w:t xml:space="preserve"> matrix as</w:t>
      </w:r>
      <w:r w:rsidR="00092A15" w:rsidRPr="00031D8F">
        <w:t xml:space="preserve"> </w:t>
      </w:r>
      <w:r w:rsidR="00EA24C5" w:rsidRPr="00031D8F">
        <w:t xml:space="preserve"> </w:t>
      </w:r>
      <w:r w:rsidR="00092A15" w:rsidRPr="00031D8F">
        <w:rPr>
          <w:position w:val="-14"/>
        </w:rPr>
        <w:object w:dxaOrig="999" w:dyaOrig="400">
          <v:shape id="_x0000_i1028" type="#_x0000_t75" style="width:50.25pt;height:20.25pt" o:ole="">
            <v:imagedata r:id="rId15" o:title=""/>
          </v:shape>
          <o:OLEObject Type="Embed" ProgID="Equation.3" ShapeID="_x0000_i1028" DrawAspect="Content" ObjectID="_1391418539" r:id="rId16"/>
        </w:object>
      </w:r>
      <w:r w:rsidR="000D5380" w:rsidRPr="00031D8F">
        <w:t xml:space="preserve">, which </w:t>
      </w:r>
      <w:r w:rsidR="00092A15" w:rsidRPr="00031D8F">
        <w:t xml:space="preserve">shows the purchases of product </w:t>
      </w:r>
      <w:proofErr w:type="spellStart"/>
      <w:r w:rsidR="00092A15" w:rsidRPr="00031D8F">
        <w:rPr>
          <w:i/>
        </w:rPr>
        <w:t>i</w:t>
      </w:r>
      <w:proofErr w:type="spellEnd"/>
      <w:r w:rsidR="00092A15" w:rsidRPr="00031D8F">
        <w:t xml:space="preserve"> by item-level industry </w:t>
      </w:r>
      <w:r w:rsidR="00092A15" w:rsidRPr="00031D8F">
        <w:rPr>
          <w:i/>
        </w:rPr>
        <w:t>k</w:t>
      </w:r>
      <w:r w:rsidR="00092A15" w:rsidRPr="00031D8F">
        <w:t>.</w:t>
      </w:r>
      <w:r w:rsidR="000D5380" w:rsidRPr="00031D8F">
        <w:t xml:space="preserve"> Finally, w</w:t>
      </w:r>
      <w:r w:rsidR="00DC5BFA" w:rsidRPr="00031D8F">
        <w:t xml:space="preserve">e </w:t>
      </w:r>
      <w:r w:rsidR="000D5380" w:rsidRPr="00031D8F">
        <w:t>de</w:t>
      </w:r>
      <w:r w:rsidR="00DC5BFA" w:rsidRPr="00031D8F">
        <w:t xml:space="preserve">note </w:t>
      </w:r>
      <w:r w:rsidR="000D5380" w:rsidRPr="00031D8F">
        <w:t xml:space="preserve">the </w:t>
      </w:r>
      <w:r w:rsidR="00DC5BFA" w:rsidRPr="00031D8F">
        <w:t>process</w:t>
      </w:r>
      <w:r w:rsidR="00455C80" w:rsidRPr="00031D8F">
        <w:t>-</w:t>
      </w:r>
      <w:r w:rsidR="00DC5BFA" w:rsidRPr="00031D8F">
        <w:t>by</w:t>
      </w:r>
      <w:r w:rsidR="00455C80" w:rsidRPr="00031D8F">
        <w:t>-</w:t>
      </w:r>
      <w:r w:rsidR="00DC5BFA" w:rsidRPr="00031D8F">
        <w:t>product supply matrix</w:t>
      </w:r>
      <w:r w:rsidR="00092A15" w:rsidRPr="00031D8F">
        <w:t xml:space="preserve"> </w:t>
      </w:r>
      <w:proofErr w:type="gramStart"/>
      <w:r w:rsidR="00092A15" w:rsidRPr="00031D8F">
        <w:t>as</w:t>
      </w:r>
      <w:r w:rsidR="00DC5BFA" w:rsidRPr="00031D8F">
        <w:t xml:space="preserve"> </w:t>
      </w:r>
      <w:proofErr w:type="gramEnd"/>
      <w:r w:rsidR="00092A15" w:rsidRPr="00031D8F">
        <w:rPr>
          <w:position w:val="-12"/>
        </w:rPr>
        <w:object w:dxaOrig="1020" w:dyaOrig="380">
          <v:shape id="_x0000_i1029" type="#_x0000_t75" style="width:51pt;height:18.75pt" o:ole="">
            <v:imagedata r:id="rId17" o:title=""/>
          </v:shape>
          <o:OLEObject Type="Embed" ProgID="Equation.3" ShapeID="_x0000_i1029" DrawAspect="Content" ObjectID="_1391418540" r:id="rId18"/>
        </w:object>
      </w:r>
      <w:r w:rsidR="000D5380" w:rsidRPr="00031D8F">
        <w:t xml:space="preserve">, which shows </w:t>
      </w:r>
      <w:r w:rsidR="00092A15" w:rsidRPr="00031D8F">
        <w:t xml:space="preserve">the production of product </w:t>
      </w:r>
      <w:proofErr w:type="spellStart"/>
      <w:r w:rsidR="00092A15" w:rsidRPr="00031D8F">
        <w:rPr>
          <w:i/>
        </w:rPr>
        <w:t>i</w:t>
      </w:r>
      <w:proofErr w:type="spellEnd"/>
      <w:r w:rsidR="00092A15" w:rsidRPr="00031D8F">
        <w:t xml:space="preserve"> by process </w:t>
      </w:r>
      <w:r w:rsidR="00092A15" w:rsidRPr="00031D8F">
        <w:rPr>
          <w:i/>
        </w:rPr>
        <w:t>l</w:t>
      </w:r>
      <w:r w:rsidR="00092A15" w:rsidRPr="00031D8F">
        <w:t xml:space="preserve">, and </w:t>
      </w:r>
      <w:r w:rsidR="00455C80" w:rsidRPr="00031D8F">
        <w:t xml:space="preserve">the product-by-process use matrix as </w:t>
      </w:r>
      <w:r w:rsidR="00092A15" w:rsidRPr="00031D8F">
        <w:rPr>
          <w:position w:val="-12"/>
        </w:rPr>
        <w:object w:dxaOrig="1060" w:dyaOrig="380">
          <v:shape id="_x0000_i1030" type="#_x0000_t75" style="width:53.25pt;height:18.75pt" o:ole="">
            <v:imagedata r:id="rId19" o:title=""/>
          </v:shape>
          <o:OLEObject Type="Embed" ProgID="Equation.3" ShapeID="_x0000_i1030" DrawAspect="Content" ObjectID="_1391418541" r:id="rId20"/>
        </w:object>
      </w:r>
      <w:r w:rsidR="000D5380" w:rsidRPr="00031D8F">
        <w:t xml:space="preserve">, which shows </w:t>
      </w:r>
      <w:r w:rsidR="00092A15" w:rsidRPr="00031D8F">
        <w:t xml:space="preserve">the purchase of product </w:t>
      </w:r>
      <w:proofErr w:type="spellStart"/>
      <w:r w:rsidR="00092A15" w:rsidRPr="00031D8F">
        <w:rPr>
          <w:i/>
        </w:rPr>
        <w:t>i</w:t>
      </w:r>
      <w:proofErr w:type="spellEnd"/>
      <w:r w:rsidR="00092A15" w:rsidRPr="00031D8F">
        <w:t xml:space="preserve"> by process </w:t>
      </w:r>
      <w:r w:rsidR="00092A15" w:rsidRPr="00031D8F">
        <w:rPr>
          <w:i/>
        </w:rPr>
        <w:t>l</w:t>
      </w:r>
      <w:r w:rsidR="00092A15" w:rsidRPr="00031D8F">
        <w:t xml:space="preserve">. </w:t>
      </w:r>
      <w:r w:rsidR="00455C80" w:rsidRPr="00031D8F">
        <w:t xml:space="preserve">If the rolled-out unit process </w:t>
      </w:r>
      <w:r w:rsidR="00570B6B" w:rsidRPr="00031D8F">
        <w:t>is</w:t>
      </w:r>
      <w:r w:rsidR="00455C80" w:rsidRPr="00031D8F">
        <w:t xml:space="preserve"> already allocated, </w:t>
      </w:r>
      <w:r w:rsidR="00092A15" w:rsidRPr="00031D8F">
        <w:t xml:space="preserve">the process-by-detailed product part of </w:t>
      </w:r>
      <w:r w:rsidR="00455C80" w:rsidRPr="00031D8F">
        <w:rPr>
          <w:position w:val="-6"/>
        </w:rPr>
        <w:object w:dxaOrig="320" w:dyaOrig="320">
          <v:shape id="_x0000_i1031" type="#_x0000_t75" style="width:15.75pt;height:15.75pt" o:ole="">
            <v:imagedata r:id="rId21" o:title=""/>
          </v:shape>
          <o:OLEObject Type="Embed" ProgID="Equation.3" ShapeID="_x0000_i1031" DrawAspect="Content" ObjectID="_1391418542" r:id="rId22"/>
        </w:object>
      </w:r>
      <w:r w:rsidR="00455C80" w:rsidRPr="00031D8F">
        <w:t xml:space="preserve"> would be a diagonal matrix.</w:t>
      </w:r>
    </w:p>
    <w:p w:rsidR="00BD4873" w:rsidRPr="00031D8F" w:rsidRDefault="00A60A8D" w:rsidP="001D47A6">
      <w:pPr>
        <w:pStyle w:val="ListParagraph"/>
        <w:ind w:left="0"/>
      </w:pPr>
      <w:r w:rsidRPr="00031D8F">
        <w:t xml:space="preserve"> </w:t>
      </w:r>
      <w:r w:rsidR="00BD4873" w:rsidRPr="00031D8F">
        <w:t xml:space="preserve"> </w:t>
      </w:r>
    </w:p>
    <w:p w:rsidR="00A14B89" w:rsidRPr="00031D8F" w:rsidRDefault="00A14B89" w:rsidP="00A14B89">
      <w:pPr>
        <w:pStyle w:val="Heading2"/>
        <w:ind w:left="720" w:hanging="720"/>
      </w:pPr>
      <w:bookmarkStart w:id="5" w:name="_Toc299376750"/>
      <w:r w:rsidRPr="00031D8F">
        <w:t>Estimation of cut-offs</w:t>
      </w:r>
      <w:bookmarkEnd w:id="5"/>
    </w:p>
    <w:p w:rsidR="002C6CFF" w:rsidRPr="00031D8F" w:rsidRDefault="00523F4D" w:rsidP="006745C5">
      <w:r w:rsidRPr="00031D8F">
        <w:t>The c</w:t>
      </w:r>
      <w:r w:rsidR="00F4329B" w:rsidRPr="00031D8F">
        <w:t>ut-off</w:t>
      </w:r>
      <w:r w:rsidR="006745C5" w:rsidRPr="00031D8F">
        <w:t xml:space="preserve"> flows</w:t>
      </w:r>
      <w:r w:rsidR="00F4329B" w:rsidRPr="00031D8F">
        <w:t xml:space="preserve"> </w:t>
      </w:r>
      <w:r w:rsidR="006745C5" w:rsidRPr="00031D8F">
        <w:t xml:space="preserve">of an LCI database, including any data gaps </w:t>
      </w:r>
      <w:r w:rsidRPr="00031D8F">
        <w:t xml:space="preserve">from </w:t>
      </w:r>
      <w:r w:rsidR="006745C5" w:rsidRPr="00031D8F">
        <w:t>upstream supply</w:t>
      </w:r>
      <w:r w:rsidRPr="00031D8F">
        <w:t xml:space="preserve"> </w:t>
      </w:r>
      <w:r w:rsidR="006745C5" w:rsidRPr="00031D8F">
        <w:t>chain</w:t>
      </w:r>
      <w:r w:rsidRPr="00031D8F">
        <w:t>s</w:t>
      </w:r>
      <w:r w:rsidR="006745C5" w:rsidRPr="00031D8F">
        <w:t>, become the bridge that connects the process and the input-output systems</w:t>
      </w:r>
      <w:r w:rsidRPr="00031D8F">
        <w:t>. T</w:t>
      </w:r>
      <w:r w:rsidR="006745C5" w:rsidRPr="00031D8F">
        <w:t xml:space="preserve">herefore, </w:t>
      </w:r>
      <w:r w:rsidRPr="00031D8F">
        <w:t xml:space="preserve">the </w:t>
      </w:r>
      <w:r w:rsidR="006745C5" w:rsidRPr="00031D8F">
        <w:t xml:space="preserve">estimation of cut-offs plays a central role in determining the overall quality of </w:t>
      </w:r>
      <w:r w:rsidRPr="00031D8F">
        <w:t xml:space="preserve">the </w:t>
      </w:r>
      <w:r w:rsidR="006745C5" w:rsidRPr="00031D8F">
        <w:t>hybridization. According to the ISO standards, all cut-off</w:t>
      </w:r>
      <w:r w:rsidR="002C6CFF" w:rsidRPr="00031D8F">
        <w:t xml:space="preserve"> choices</w:t>
      </w:r>
      <w:r w:rsidR="006745C5" w:rsidRPr="00031D8F">
        <w:t xml:space="preserve"> should be clearly documented (ISO, 2006)</w:t>
      </w:r>
      <w:r w:rsidR="009D42FF" w:rsidRPr="00031D8F">
        <w:t>, and such documentation is indispensible for compiling a reliable connection between the process-based and the input-output-based systems</w:t>
      </w:r>
      <w:r w:rsidR="006745C5" w:rsidRPr="00031D8F">
        <w:t xml:space="preserve">. </w:t>
      </w:r>
      <w:r w:rsidR="00E12584" w:rsidRPr="00031D8F">
        <w:t>Nevertheless</w:t>
      </w:r>
      <w:r w:rsidRPr="00031D8F">
        <w:t>, in practice,</w:t>
      </w:r>
      <w:r w:rsidR="00E12584" w:rsidRPr="00031D8F">
        <w:t xml:space="preserve"> </w:t>
      </w:r>
      <w:r w:rsidR="002C6CFF" w:rsidRPr="00031D8F">
        <w:t xml:space="preserve">some </w:t>
      </w:r>
      <w:r w:rsidR="00E12584" w:rsidRPr="00031D8F">
        <w:t xml:space="preserve">cut-offs </w:t>
      </w:r>
      <w:r w:rsidR="002C6CFF" w:rsidRPr="00031D8F">
        <w:t>are not documented</w:t>
      </w:r>
      <w:r w:rsidR="009D42FF" w:rsidRPr="00031D8F">
        <w:t>, and</w:t>
      </w:r>
      <w:r w:rsidRPr="00031D8F">
        <w:t>,</w:t>
      </w:r>
      <w:r w:rsidR="009D42FF" w:rsidRPr="00031D8F">
        <w:t xml:space="preserve"> for those missing flows, alternative estimation</w:t>
      </w:r>
      <w:r w:rsidRPr="00031D8F">
        <w:t>s</w:t>
      </w:r>
      <w:r w:rsidR="009D42FF" w:rsidRPr="00031D8F">
        <w:t xml:space="preserve"> of cut-offs are needed</w:t>
      </w:r>
      <w:r w:rsidR="002C6CFF" w:rsidRPr="00031D8F">
        <w:t xml:space="preserve">.  </w:t>
      </w:r>
    </w:p>
    <w:p w:rsidR="00C92ECE" w:rsidRPr="00031D8F" w:rsidRDefault="009D42FF" w:rsidP="006745C5">
      <w:r w:rsidRPr="00031D8F">
        <w:t xml:space="preserve">One of the most promising approaches to reliable estimation of cut-off flows is </w:t>
      </w:r>
      <w:r w:rsidR="00523F4D" w:rsidRPr="00031D8F">
        <w:t xml:space="preserve">the </w:t>
      </w:r>
      <w:r w:rsidRPr="00031D8F">
        <w:t>financial balancing approach. For any given unit process</w:t>
      </w:r>
      <w:r w:rsidR="00523F4D" w:rsidRPr="00031D8F">
        <w:t>,</w:t>
      </w:r>
      <w:r w:rsidRPr="00031D8F">
        <w:t xml:space="preserve"> all inputs in monetary term</w:t>
      </w:r>
      <w:r w:rsidR="00523F4D" w:rsidRPr="00031D8F">
        <w:t>s</w:t>
      </w:r>
      <w:r w:rsidRPr="00031D8F">
        <w:t xml:space="preserve"> plus </w:t>
      </w:r>
      <w:r w:rsidR="00523F4D" w:rsidRPr="00031D8F">
        <w:t xml:space="preserve">the </w:t>
      </w:r>
      <w:r w:rsidRPr="00031D8F">
        <w:t>value</w:t>
      </w:r>
      <w:r w:rsidR="00523F4D" w:rsidRPr="00031D8F">
        <w:t xml:space="preserve"> </w:t>
      </w:r>
      <w:r w:rsidRPr="00031D8F">
        <w:t xml:space="preserve">added equals the total output in monetary value. </w:t>
      </w:r>
      <w:r w:rsidR="00523F4D" w:rsidRPr="00031D8F">
        <w:t>The i</w:t>
      </w:r>
      <w:r w:rsidR="00570B6B" w:rsidRPr="00031D8F">
        <w:t>nput-output table provides a useful reference on the range of value</w:t>
      </w:r>
      <w:r w:rsidR="00B62904" w:rsidRPr="00031D8F">
        <w:t xml:space="preserve"> </w:t>
      </w:r>
      <w:r w:rsidR="00570B6B" w:rsidRPr="00031D8F">
        <w:t xml:space="preserve">added </w:t>
      </w:r>
      <w:r w:rsidR="00B62904" w:rsidRPr="00031D8F">
        <w:t>by</w:t>
      </w:r>
      <w:r w:rsidR="00570B6B" w:rsidRPr="00031D8F">
        <w:t xml:space="preserve"> each sector. In other words, if </w:t>
      </w:r>
      <w:r w:rsidR="009705BA" w:rsidRPr="00031D8F">
        <w:rPr>
          <w:position w:val="-28"/>
        </w:rPr>
        <w:object w:dxaOrig="2640" w:dyaOrig="540">
          <v:shape id="_x0000_i1032" type="#_x0000_t75" style="width:132.75pt;height:27pt" o:ole="">
            <v:imagedata r:id="rId23" o:title=""/>
          </v:shape>
          <o:OLEObject Type="Embed" ProgID="Equation.3" ShapeID="_x0000_i1032" DrawAspect="Content" ObjectID="_1391418543" r:id="rId24"/>
        </w:object>
      </w:r>
      <w:r w:rsidR="009705BA" w:rsidRPr="00031D8F">
        <w:t xml:space="preserve"> for process </w:t>
      </w:r>
      <w:r w:rsidR="009705BA" w:rsidRPr="00031D8F">
        <w:rPr>
          <w:i/>
        </w:rPr>
        <w:t>l</w:t>
      </w:r>
      <w:r w:rsidR="009705BA" w:rsidRPr="00031D8F">
        <w:t xml:space="preserve">, where </w:t>
      </w:r>
      <w:r w:rsidR="009705BA" w:rsidRPr="00031D8F">
        <w:rPr>
          <w:i/>
        </w:rPr>
        <w:t>p</w:t>
      </w:r>
      <w:r w:rsidR="009705BA" w:rsidRPr="00031D8F">
        <w:rPr>
          <w:i/>
          <w:vertAlign w:val="subscript"/>
        </w:rPr>
        <w:t>i</w:t>
      </w:r>
      <w:r w:rsidR="009705BA" w:rsidRPr="00031D8F">
        <w:t xml:space="preserve"> is the price of the product </w:t>
      </w:r>
      <w:proofErr w:type="spellStart"/>
      <w:r w:rsidR="009705BA" w:rsidRPr="00031D8F">
        <w:rPr>
          <w:i/>
        </w:rPr>
        <w:t>i</w:t>
      </w:r>
      <w:proofErr w:type="spellEnd"/>
      <w:r w:rsidR="009705BA" w:rsidRPr="00031D8F">
        <w:t xml:space="preserve">, and </w:t>
      </w:r>
      <w:proofErr w:type="spellStart"/>
      <w:r w:rsidR="009705BA" w:rsidRPr="00031D8F">
        <w:rPr>
          <w:i/>
        </w:rPr>
        <w:t>w</w:t>
      </w:r>
      <w:r w:rsidR="009705BA" w:rsidRPr="00031D8F">
        <w:rPr>
          <w:i/>
          <w:vertAlign w:val="subscript"/>
        </w:rPr>
        <w:t>l</w:t>
      </w:r>
      <w:proofErr w:type="spellEnd"/>
      <w:r w:rsidR="009705BA" w:rsidRPr="00031D8F">
        <w:t xml:space="preserve"> is the value</w:t>
      </w:r>
      <w:r w:rsidR="00B62904" w:rsidRPr="00031D8F">
        <w:t xml:space="preserve"> </w:t>
      </w:r>
      <w:r w:rsidR="009705BA" w:rsidRPr="00031D8F">
        <w:t xml:space="preserve">added estimate of process </w:t>
      </w:r>
      <w:r w:rsidR="009705BA" w:rsidRPr="00031D8F">
        <w:rPr>
          <w:i/>
        </w:rPr>
        <w:t>l</w:t>
      </w:r>
      <w:r w:rsidR="009705BA" w:rsidRPr="00031D8F">
        <w:t xml:space="preserve"> based on </w:t>
      </w:r>
      <w:r w:rsidR="00B62904" w:rsidRPr="00031D8F">
        <w:t xml:space="preserve">its </w:t>
      </w:r>
      <w:r w:rsidR="009705BA" w:rsidRPr="00031D8F">
        <w:t xml:space="preserve">corresponding sector </w:t>
      </w:r>
      <w:r w:rsidR="00B62904" w:rsidRPr="00031D8F">
        <w:t xml:space="preserve">in the </w:t>
      </w:r>
      <w:r w:rsidR="009705BA" w:rsidRPr="00031D8F">
        <w:t xml:space="preserve">input-output accounts, the input requirement of the process is likely to be deficient. </w:t>
      </w:r>
      <w:r w:rsidR="00B62904" w:rsidRPr="00031D8F">
        <w:t>The s</w:t>
      </w:r>
      <w:r w:rsidR="00C92ECE" w:rsidRPr="00031D8F">
        <w:t xml:space="preserve">um of the monetary input requirements of such a process can be broken down into relevant input product groups and compared with the input structure of the corresponding sector </w:t>
      </w:r>
      <w:r w:rsidR="00B62904" w:rsidRPr="00031D8F">
        <w:t>in</w:t>
      </w:r>
      <w:r w:rsidR="00C92ECE" w:rsidRPr="00031D8F">
        <w:t xml:space="preserve"> an input-output table to find out </w:t>
      </w:r>
      <w:r w:rsidR="00C92ECE" w:rsidRPr="00031D8F">
        <w:lastRenderedPageBreak/>
        <w:t xml:space="preserve">which particular inputs are likely to be missing. This approach was, to </w:t>
      </w:r>
      <w:r w:rsidR="00B62904" w:rsidRPr="00031D8F">
        <w:t xml:space="preserve">the best of our </w:t>
      </w:r>
      <w:r w:rsidR="00C92ECE" w:rsidRPr="00031D8F">
        <w:t xml:space="preserve">knowledge, first proposed in the literature by </w:t>
      </w:r>
      <w:proofErr w:type="spellStart"/>
      <w:r w:rsidR="00C92ECE" w:rsidRPr="00031D8F">
        <w:t>Marheineke</w:t>
      </w:r>
      <w:proofErr w:type="spellEnd"/>
      <w:r w:rsidR="00C92ECE" w:rsidRPr="00031D8F">
        <w:t xml:space="preserve"> et al. (1998). </w:t>
      </w:r>
    </w:p>
    <w:p w:rsidR="00A14B89" w:rsidRPr="00031D8F" w:rsidRDefault="006745C5" w:rsidP="006745C5">
      <w:r w:rsidRPr="00031D8F">
        <w:t xml:space="preserve">    </w:t>
      </w:r>
      <w:r w:rsidR="00F4329B" w:rsidRPr="00031D8F">
        <w:t xml:space="preserve"> </w:t>
      </w:r>
    </w:p>
    <w:p w:rsidR="002C370D" w:rsidRPr="00031D8F" w:rsidRDefault="002C370D" w:rsidP="001716FF">
      <w:pPr>
        <w:pStyle w:val="Heading2"/>
        <w:ind w:left="720" w:hanging="720"/>
      </w:pPr>
      <w:bookmarkStart w:id="6" w:name="_Toc299376751"/>
      <w:r w:rsidRPr="00031D8F">
        <w:t>Integration of the hybrid SUTs</w:t>
      </w:r>
      <w:bookmarkEnd w:id="6"/>
    </w:p>
    <w:p w:rsidR="002C370D" w:rsidRPr="00031D8F" w:rsidRDefault="002C370D" w:rsidP="002C370D">
      <w:pPr>
        <w:pStyle w:val="ListParagraph"/>
        <w:ind w:left="0"/>
      </w:pPr>
      <w:r w:rsidRPr="00031D8F">
        <w:t xml:space="preserve">We </w:t>
      </w:r>
      <w:r w:rsidR="00B62904" w:rsidRPr="00031D8F">
        <w:t>de</w:t>
      </w:r>
      <w:r w:rsidRPr="00031D8F">
        <w:t xml:space="preserve">note </w:t>
      </w:r>
      <w:r w:rsidR="00B62904" w:rsidRPr="00031D8F">
        <w:t xml:space="preserve">the </w:t>
      </w:r>
      <w:r w:rsidRPr="00031D8F">
        <w:t xml:space="preserve">integrated supply matrix </w:t>
      </w:r>
      <w:r w:rsidRPr="00031D8F">
        <w:rPr>
          <w:i/>
        </w:rPr>
        <w:t>V</w:t>
      </w:r>
      <w:r w:rsidRPr="00031D8F">
        <w:t xml:space="preserve"> and </w:t>
      </w:r>
      <w:r w:rsidR="00B62904" w:rsidRPr="00031D8F">
        <w:t xml:space="preserve">the </w:t>
      </w:r>
      <w:r w:rsidRPr="00031D8F">
        <w:t xml:space="preserve">integrated use matrix </w:t>
      </w:r>
      <w:r w:rsidR="00AF17D3" w:rsidRPr="00031D8F">
        <w:rPr>
          <w:i/>
        </w:rPr>
        <w:t>U</w:t>
      </w:r>
      <w:r w:rsidR="00AF17D3" w:rsidRPr="00031D8F">
        <w:t xml:space="preserve"> </w:t>
      </w:r>
      <w:r w:rsidRPr="00031D8F">
        <w:t xml:space="preserve">such that </w:t>
      </w:r>
    </w:p>
    <w:p w:rsidR="002C370D" w:rsidRPr="00031D8F" w:rsidRDefault="002C370D" w:rsidP="002C370D">
      <w:pPr>
        <w:pStyle w:val="ListParagraph"/>
        <w:ind w:left="0"/>
      </w:pPr>
    </w:p>
    <w:p w:rsidR="002C370D" w:rsidRPr="00031D8F" w:rsidRDefault="0052497E" w:rsidP="002C370D">
      <w:pPr>
        <w:pStyle w:val="ListParagraph"/>
        <w:ind w:left="0"/>
      </w:pPr>
      <w:r w:rsidRPr="00031D8F">
        <w:rPr>
          <w:position w:val="-52"/>
        </w:rPr>
        <w:object w:dxaOrig="980" w:dyaOrig="1160">
          <v:shape id="_x0000_i1033" type="#_x0000_t75" style="width:48.75pt;height:58.5pt" o:ole="">
            <v:imagedata r:id="rId25" o:title=""/>
          </v:shape>
          <o:OLEObject Type="Embed" ProgID="Equation.3" ShapeID="_x0000_i1033" DrawAspect="Content" ObjectID="_1391418544" r:id="rId26"/>
        </w:object>
      </w:r>
      <w:r w:rsidR="002C370D" w:rsidRPr="00031D8F">
        <w:t xml:space="preserve">, </w:t>
      </w:r>
      <w:r w:rsidRPr="00031D8F">
        <w:rPr>
          <w:position w:val="-10"/>
        </w:rPr>
        <w:object w:dxaOrig="1939" w:dyaOrig="360">
          <v:shape id="_x0000_i1034" type="#_x0000_t75" style="width:96.75pt;height:18pt" o:ole="">
            <v:imagedata r:id="rId27" o:title=""/>
          </v:shape>
          <o:OLEObject Type="Embed" ProgID="Equation.3" ShapeID="_x0000_i1034" DrawAspect="Content" ObjectID="_1391418545" r:id="rId28"/>
        </w:object>
      </w:r>
      <w:r w:rsidR="002C370D" w:rsidRPr="00031D8F">
        <w:t>.</w:t>
      </w:r>
    </w:p>
    <w:p w:rsidR="002C370D" w:rsidRPr="00031D8F" w:rsidRDefault="002C370D" w:rsidP="002C370D">
      <w:pPr>
        <w:pStyle w:val="ListParagraph"/>
        <w:ind w:left="0"/>
      </w:pPr>
    </w:p>
    <w:p w:rsidR="002C370D" w:rsidRPr="00031D8F" w:rsidRDefault="002C370D" w:rsidP="002C370D">
      <w:pPr>
        <w:pStyle w:val="ListParagraph"/>
        <w:ind w:left="0"/>
      </w:pPr>
      <w:r w:rsidRPr="00031D8F">
        <w:t xml:space="preserve">The item-by-process and product group-by-process parts of </w:t>
      </w:r>
      <w:r w:rsidRPr="00031D8F">
        <w:rPr>
          <w:i/>
        </w:rPr>
        <w:t>U</w:t>
      </w:r>
      <w:r w:rsidRPr="00031D8F">
        <w:rPr>
          <w:vertAlign w:val="superscript"/>
        </w:rPr>
        <w:t>P</w:t>
      </w:r>
      <w:r w:rsidRPr="00031D8F">
        <w:t xml:space="preserve"> correspond to the upstream cut-off matrix</w:t>
      </w:r>
      <w:r w:rsidR="00AF17D3" w:rsidRPr="00031D8F">
        <w:t>, in other words, missing inputs,</w:t>
      </w:r>
      <w:r w:rsidRPr="00031D8F">
        <w:t xml:space="preserve"> in the original formulation of the integrated hybrid approach by Suh (2004). These parts show the cut-offs made by the LCA system that are linked to either </w:t>
      </w:r>
      <w:r w:rsidR="007F2BD4" w:rsidRPr="00031D8F">
        <w:t xml:space="preserve">an </w:t>
      </w:r>
      <w:r w:rsidRPr="00031D8F">
        <w:t>item-level or standard</w:t>
      </w:r>
      <w:r w:rsidR="00186B96" w:rsidRPr="00031D8F">
        <w:t xml:space="preserve"> industry</w:t>
      </w:r>
      <w:r w:rsidR="007F2BD4" w:rsidRPr="00031D8F">
        <w:t>-</w:t>
      </w:r>
      <w:r w:rsidRPr="00031D8F">
        <w:t xml:space="preserve">level product </w:t>
      </w:r>
      <w:r w:rsidR="007F2BD4" w:rsidRPr="00031D8F">
        <w:t>in the</w:t>
      </w:r>
      <w:r w:rsidRPr="00031D8F">
        <w:t xml:space="preserve"> input-output system, and they are </w:t>
      </w:r>
      <w:r w:rsidR="007F2BD4" w:rsidRPr="00031D8F">
        <w:t xml:space="preserve">therefore </w:t>
      </w:r>
      <w:r w:rsidRPr="00031D8F">
        <w:t xml:space="preserve">sparse but non-zero. </w:t>
      </w:r>
      <w:r w:rsidR="007F2BD4" w:rsidRPr="00031D8F">
        <w:t>T</w:t>
      </w:r>
      <w:r w:rsidRPr="00031D8F">
        <w:t xml:space="preserve">he product-by-item part of </w:t>
      </w:r>
      <w:r w:rsidRPr="00031D8F">
        <w:rPr>
          <w:i/>
        </w:rPr>
        <w:t>U</w:t>
      </w:r>
      <w:r w:rsidRPr="00031D8F">
        <w:rPr>
          <w:vertAlign w:val="superscript"/>
        </w:rPr>
        <w:t>I</w:t>
      </w:r>
      <w:r w:rsidRPr="00031D8F">
        <w:t xml:space="preserve"> and the product-by-industry part of </w:t>
      </w:r>
      <w:r w:rsidRPr="00031D8F">
        <w:rPr>
          <w:i/>
        </w:rPr>
        <w:t>U</w:t>
      </w:r>
      <w:r w:rsidRPr="00031D8F">
        <w:rPr>
          <w:vertAlign w:val="superscript"/>
        </w:rPr>
        <w:t>S</w:t>
      </w:r>
      <w:r w:rsidRPr="00031D8F">
        <w:t xml:space="preserve"> corresponds to the down-stream cut-off matrix in Suh (2004), which can be set to zeros without significantly affecting the system (see Peters and </w:t>
      </w:r>
      <w:proofErr w:type="spellStart"/>
      <w:r w:rsidRPr="00031D8F">
        <w:t>Hertwich</w:t>
      </w:r>
      <w:proofErr w:type="spellEnd"/>
      <w:r w:rsidRPr="00031D8F">
        <w:t xml:space="preserve">, 2006; </w:t>
      </w:r>
      <w:proofErr w:type="spellStart"/>
      <w:r w:rsidRPr="00031D8F">
        <w:t>Suh</w:t>
      </w:r>
      <w:proofErr w:type="spellEnd"/>
      <w:r w:rsidRPr="00031D8F">
        <w:t xml:space="preserve">, 2006). </w:t>
      </w:r>
      <w:r w:rsidR="007F2BD4" w:rsidRPr="00031D8F">
        <w:t>The i</w:t>
      </w:r>
      <w:r w:rsidRPr="00031D8F">
        <w:t xml:space="preserve">ntegrated supply matrix </w:t>
      </w:r>
      <w:r w:rsidRPr="00031D8F">
        <w:rPr>
          <w:i/>
        </w:rPr>
        <w:t>V</w:t>
      </w:r>
      <w:r w:rsidRPr="00031D8F">
        <w:t xml:space="preserve"> is generally </w:t>
      </w:r>
      <w:r w:rsidR="007F2BD4" w:rsidRPr="00031D8F">
        <w:t xml:space="preserve">a </w:t>
      </w:r>
      <w:r w:rsidRPr="00031D8F">
        <w:t>strict block diagonal matrix with zero matrices for off-diagonal blocks because the unit process, item-level industry and standard</w:t>
      </w:r>
      <w:r w:rsidR="00186B96" w:rsidRPr="00031D8F">
        <w:t xml:space="preserve"> industry</w:t>
      </w:r>
      <w:r w:rsidRPr="00031D8F">
        <w:t xml:space="preserve">-level industry each supplies only </w:t>
      </w:r>
      <w:r w:rsidR="004E4D00" w:rsidRPr="00031D8F">
        <w:t>its</w:t>
      </w:r>
      <w:r w:rsidR="007F2BD4" w:rsidRPr="00031D8F">
        <w:t xml:space="preserve"> </w:t>
      </w:r>
      <w:r w:rsidRPr="00031D8F">
        <w:t xml:space="preserve">respective </w:t>
      </w:r>
      <w:r w:rsidR="007F2BD4" w:rsidRPr="00031D8F">
        <w:t xml:space="preserve">product </w:t>
      </w:r>
      <w:r w:rsidRPr="00031D8F">
        <w:t xml:space="preserve">level. </w:t>
      </w:r>
    </w:p>
    <w:p w:rsidR="002C370D" w:rsidRPr="00031D8F" w:rsidRDefault="002C370D" w:rsidP="005938E2">
      <w:pPr>
        <w:pStyle w:val="ListParagraph"/>
        <w:ind w:left="0"/>
      </w:pPr>
      <w:r w:rsidRPr="00031D8F">
        <w:t xml:space="preserve">The overall accounting framework for hybrid BEES construction </w:t>
      </w:r>
      <w:r w:rsidR="00454AAA" w:rsidRPr="00031D8F">
        <w:t>is</w:t>
      </w:r>
      <w:r w:rsidRPr="00031D8F">
        <w:t xml:space="preserve"> summarized </w:t>
      </w:r>
      <w:r w:rsidR="00454AAA" w:rsidRPr="00031D8F">
        <w:t>in</w:t>
      </w:r>
      <w:r w:rsidRPr="00031D8F">
        <w:t xml:space="preserve"> Table 1.</w:t>
      </w:r>
      <w:r w:rsidR="00454AAA" w:rsidRPr="00031D8F">
        <w:t xml:space="preserve"> </w:t>
      </w:r>
      <w:r w:rsidR="005938E2" w:rsidRPr="00031D8F">
        <w:t xml:space="preserve">The first column of block matrices in the matrix </w:t>
      </w:r>
      <w:r w:rsidR="005938E2" w:rsidRPr="00031D8F">
        <w:rPr>
          <w:i/>
        </w:rPr>
        <w:t>U</w:t>
      </w:r>
      <w:r w:rsidR="005938E2" w:rsidRPr="00031D8F">
        <w:t xml:space="preserve"> in the table, which is comprised of ‘</w:t>
      </w:r>
      <w:r w:rsidR="00186B96" w:rsidRPr="00031D8F">
        <w:t>Detailed p</w:t>
      </w:r>
      <w:r w:rsidR="005938E2" w:rsidRPr="00031D8F">
        <w:t xml:space="preserve">roduct use by unit process’, ‘Cut-offs linked to </w:t>
      </w:r>
      <w:r w:rsidR="0052497E" w:rsidRPr="00031D8F">
        <w:t>item-level products</w:t>
      </w:r>
      <w:r w:rsidR="005938E2" w:rsidRPr="00031D8F">
        <w:t xml:space="preserve">’ and ‘Cut-offs linked to </w:t>
      </w:r>
      <w:r w:rsidR="00186B96" w:rsidRPr="00031D8F">
        <w:t>standard</w:t>
      </w:r>
      <w:r w:rsidR="005938E2" w:rsidRPr="00031D8F">
        <w:t xml:space="preserve"> product</w:t>
      </w:r>
      <w:r w:rsidR="00186B96" w:rsidRPr="00031D8F">
        <w:t>s</w:t>
      </w:r>
      <w:r w:rsidR="005938E2" w:rsidRPr="00031D8F">
        <w:t xml:space="preserve">’ matrices, corresponds to </w:t>
      </w:r>
      <w:r w:rsidR="005938E2" w:rsidRPr="00031D8F">
        <w:rPr>
          <w:i/>
        </w:rPr>
        <w:t>U</w:t>
      </w:r>
      <w:r w:rsidR="005938E2" w:rsidRPr="00031D8F">
        <w:rPr>
          <w:vertAlign w:val="superscript"/>
        </w:rPr>
        <w:t>P</w:t>
      </w:r>
      <w:r w:rsidR="005938E2" w:rsidRPr="00031D8F">
        <w:t xml:space="preserve">, and the second and third columns of block matrices correspond to </w:t>
      </w:r>
      <w:r w:rsidR="005938E2" w:rsidRPr="00031D8F">
        <w:rPr>
          <w:i/>
        </w:rPr>
        <w:t>U</w:t>
      </w:r>
      <w:r w:rsidR="005938E2" w:rsidRPr="00031D8F">
        <w:rPr>
          <w:vertAlign w:val="superscript"/>
        </w:rPr>
        <w:t>I</w:t>
      </w:r>
      <w:r w:rsidR="005938E2" w:rsidRPr="00031D8F">
        <w:t xml:space="preserve"> and </w:t>
      </w:r>
      <w:r w:rsidR="005938E2" w:rsidRPr="00031D8F">
        <w:rPr>
          <w:i/>
        </w:rPr>
        <w:t>U</w:t>
      </w:r>
      <w:r w:rsidR="005938E2" w:rsidRPr="00031D8F">
        <w:rPr>
          <w:vertAlign w:val="superscript"/>
        </w:rPr>
        <w:t>S</w:t>
      </w:r>
      <w:r w:rsidR="005938E2" w:rsidRPr="00031D8F">
        <w:t xml:space="preserve">, respectively.  Likewise, the first row of block matrices in the matrix </w:t>
      </w:r>
      <w:r w:rsidR="005938E2" w:rsidRPr="00031D8F">
        <w:rPr>
          <w:i/>
        </w:rPr>
        <w:t>V</w:t>
      </w:r>
      <w:r w:rsidR="005938E2" w:rsidRPr="00031D8F">
        <w:t xml:space="preserve"> in the table, which is comprised of ‘Supply by </w:t>
      </w:r>
      <w:proofErr w:type="gramStart"/>
      <w:r w:rsidR="005938E2" w:rsidRPr="00031D8F">
        <w:t>process’</w:t>
      </w:r>
      <w:proofErr w:type="gramEnd"/>
      <w:r w:rsidR="005938E2" w:rsidRPr="00031D8F">
        <w:t xml:space="preserve"> and two zero matrices, corresponds to </w:t>
      </w:r>
      <w:r w:rsidR="005938E2" w:rsidRPr="00031D8F">
        <w:rPr>
          <w:i/>
        </w:rPr>
        <w:t>V</w:t>
      </w:r>
      <w:r w:rsidR="005938E2" w:rsidRPr="00031D8F">
        <w:rPr>
          <w:vertAlign w:val="superscript"/>
        </w:rPr>
        <w:t>P</w:t>
      </w:r>
      <w:r w:rsidR="005938E2" w:rsidRPr="00031D8F">
        <w:t xml:space="preserve">, and the second and third rows of block matrices correspond to </w:t>
      </w:r>
      <w:r w:rsidR="005938E2" w:rsidRPr="00031D8F">
        <w:rPr>
          <w:i/>
        </w:rPr>
        <w:t>V</w:t>
      </w:r>
      <w:r w:rsidR="005938E2" w:rsidRPr="00031D8F">
        <w:rPr>
          <w:vertAlign w:val="superscript"/>
        </w:rPr>
        <w:t>I</w:t>
      </w:r>
      <w:r w:rsidR="005938E2" w:rsidRPr="00031D8F">
        <w:t xml:space="preserve"> and </w:t>
      </w:r>
      <w:r w:rsidR="005938E2" w:rsidRPr="00031D8F">
        <w:rPr>
          <w:i/>
        </w:rPr>
        <w:t>V</w:t>
      </w:r>
      <w:r w:rsidR="005938E2" w:rsidRPr="00031D8F">
        <w:rPr>
          <w:vertAlign w:val="superscript"/>
        </w:rPr>
        <w:t>S</w:t>
      </w:r>
      <w:r w:rsidR="005938E2" w:rsidRPr="00031D8F">
        <w:t xml:space="preserve">, respectively.  </w:t>
      </w:r>
      <w:r w:rsidRPr="00031D8F">
        <w:t xml:space="preserve">The integrated supply and use matrices can now be converted to analytical tables, if needed, using standard supply and use calculi. Derivation of the hybrid technology matrix, </w:t>
      </w:r>
      <w:r w:rsidRPr="00031D8F">
        <w:rPr>
          <w:i/>
        </w:rPr>
        <w:t>A</w:t>
      </w:r>
      <w:r w:rsidR="00454AAA" w:rsidRPr="00031D8F">
        <w:t xml:space="preserve">, </w:t>
      </w:r>
      <w:r w:rsidRPr="00031D8F">
        <w:t>using the integrated SUTs will not be discussed here but can be found in Suh et al. (2010).</w:t>
      </w:r>
      <w:r w:rsidR="000A20CD" w:rsidRPr="00031D8F">
        <w:t xml:space="preserve">  Once </w:t>
      </w:r>
      <w:r w:rsidR="000A20CD" w:rsidRPr="00031D8F">
        <w:rPr>
          <w:i/>
        </w:rPr>
        <w:lastRenderedPageBreak/>
        <w:t>U</w:t>
      </w:r>
      <w:r w:rsidR="000A20CD" w:rsidRPr="00031D8F">
        <w:t xml:space="preserve"> and </w:t>
      </w:r>
      <w:r w:rsidR="000A20CD" w:rsidRPr="00031D8F">
        <w:rPr>
          <w:i/>
        </w:rPr>
        <w:t>V</w:t>
      </w:r>
      <w:r w:rsidR="000A20CD" w:rsidRPr="00031D8F">
        <w:t xml:space="preserve"> matrices are compiled as described in this paper, the rest of the calculation can be performed following Suh et al. (2010), which uses the same notations.</w:t>
      </w:r>
    </w:p>
    <w:p w:rsidR="002C370D" w:rsidRPr="00031D8F" w:rsidRDefault="002C370D" w:rsidP="002C370D"/>
    <w:p w:rsidR="00BF3C89" w:rsidRPr="00031D8F" w:rsidRDefault="00BF3C89" w:rsidP="001716FF">
      <w:pPr>
        <w:pStyle w:val="Heading2"/>
        <w:ind w:left="720" w:hanging="720"/>
      </w:pPr>
      <w:bookmarkStart w:id="7" w:name="_Toc299376752"/>
      <w:r w:rsidRPr="00031D8F">
        <w:t xml:space="preserve">Overall </w:t>
      </w:r>
      <w:r w:rsidR="0089001C" w:rsidRPr="00031D8F">
        <w:t>calculation of LCIs</w:t>
      </w:r>
      <w:bookmarkEnd w:id="7"/>
      <w:r w:rsidR="0089001C" w:rsidRPr="00031D8F">
        <w:t xml:space="preserve"> </w:t>
      </w:r>
    </w:p>
    <w:p w:rsidR="000D1266" w:rsidRPr="00031D8F" w:rsidRDefault="00C77EE8" w:rsidP="00BA297E">
      <w:pPr>
        <w:pStyle w:val="ListParagraph"/>
        <w:ind w:left="0"/>
      </w:pPr>
      <w:r w:rsidRPr="00031D8F">
        <w:t xml:space="preserve">Once the technology matrix </w:t>
      </w:r>
      <w:r w:rsidRPr="00031D8F">
        <w:rPr>
          <w:i/>
        </w:rPr>
        <w:t>A</w:t>
      </w:r>
      <w:r w:rsidRPr="00031D8F">
        <w:t xml:space="preserve"> and the allocated environmental coefficient matrix </w:t>
      </w:r>
      <w:r w:rsidRPr="00031D8F">
        <w:rPr>
          <w:i/>
        </w:rPr>
        <w:t>E</w:t>
      </w:r>
      <w:r w:rsidRPr="00031D8F">
        <w:t xml:space="preserve"> are derived following Suh et al. (2010), t</w:t>
      </w:r>
      <w:r w:rsidR="007A182E" w:rsidRPr="00031D8F">
        <w:t xml:space="preserve">he </w:t>
      </w:r>
      <w:r w:rsidRPr="00031D8F">
        <w:t xml:space="preserve">hybrid </w:t>
      </w:r>
      <w:r w:rsidR="007A182E" w:rsidRPr="00031D8F">
        <w:t xml:space="preserve">LCIs can be calculated as </w:t>
      </w:r>
      <w:r w:rsidRPr="00031D8F">
        <w:rPr>
          <w:position w:val="-10"/>
        </w:rPr>
        <w:object w:dxaOrig="1060" w:dyaOrig="360">
          <v:shape id="_x0000_i1035" type="#_x0000_t75" style="width:53.25pt;height:18pt" o:ole="">
            <v:imagedata r:id="rId29" o:title=""/>
          </v:shape>
          <o:OLEObject Type="Embed" ProgID="Equation.3" ShapeID="_x0000_i1035" DrawAspect="Content" ObjectID="_1391418546" r:id="rId30"/>
        </w:object>
      </w:r>
      <w:r w:rsidRPr="00031D8F">
        <w:t xml:space="preserve">, where </w:t>
      </w:r>
      <w:r w:rsidRPr="00031D8F">
        <w:rPr>
          <w:i/>
        </w:rPr>
        <w:t>I</w:t>
      </w:r>
      <w:r w:rsidRPr="00031D8F">
        <w:t xml:space="preserve"> is an identity matrix. Alternatively, hybrid LCIs can be derived using </w:t>
      </w:r>
      <w:r w:rsidR="00454AAA" w:rsidRPr="00031D8F">
        <w:t xml:space="preserve">the </w:t>
      </w:r>
      <w:r w:rsidRPr="00031D8F">
        <w:t xml:space="preserve">system expansion method </w:t>
      </w:r>
      <w:proofErr w:type="gramStart"/>
      <w:r w:rsidRPr="00031D8F">
        <w:t xml:space="preserve">by </w:t>
      </w:r>
      <w:proofErr w:type="gramEnd"/>
      <w:r w:rsidRPr="00031D8F">
        <w:rPr>
          <w:position w:val="-10"/>
        </w:rPr>
        <w:object w:dxaOrig="1080" w:dyaOrig="360">
          <v:shape id="_x0000_i1036" type="#_x0000_t75" style="width:54pt;height:18pt" o:ole="">
            <v:imagedata r:id="rId31" o:title=""/>
          </v:shape>
          <o:OLEObject Type="Embed" ProgID="Equation.3" ShapeID="_x0000_i1036" DrawAspect="Content" ObjectID="_1391418547" r:id="rId32"/>
        </w:object>
      </w:r>
      <w:r w:rsidRPr="00031D8F">
        <w:t xml:space="preserve">, where </w:t>
      </w:r>
      <w:r w:rsidRPr="00031D8F">
        <w:rPr>
          <w:i/>
        </w:rPr>
        <w:t>B</w:t>
      </w:r>
      <w:r w:rsidRPr="00031D8F">
        <w:t xml:space="preserve"> is the total </w:t>
      </w:r>
      <w:r w:rsidR="00F341B8" w:rsidRPr="00031D8F">
        <w:t>environmental flow</w:t>
      </w:r>
      <w:r w:rsidRPr="00031D8F">
        <w:t xml:space="preserve"> matrix</w:t>
      </w:r>
      <w:r w:rsidR="000D1266" w:rsidRPr="00031D8F">
        <w:t xml:space="preserve">. If needed, </w:t>
      </w:r>
      <w:r w:rsidR="00454AAA" w:rsidRPr="00031D8F">
        <w:t xml:space="preserve">a </w:t>
      </w:r>
      <w:r w:rsidR="000D1266" w:rsidRPr="00031D8F">
        <w:t xml:space="preserve">certain combination of the two calculi is also possible </w:t>
      </w:r>
      <w:r w:rsidRPr="00031D8F">
        <w:t>(see Suh et al., 2010</w:t>
      </w:r>
      <w:r w:rsidR="00454AAA" w:rsidRPr="00031D8F">
        <w:t>,</w:t>
      </w:r>
      <w:r w:rsidRPr="00031D8F">
        <w:t xml:space="preserve"> for details). </w:t>
      </w:r>
      <w:r w:rsidR="00914C53" w:rsidRPr="00031D8F">
        <w:t>For the sake of convenience, the coefficient form of the technology matrix is shown using concatenated matrices broken down into three different resolutions:</w:t>
      </w:r>
    </w:p>
    <w:p w:rsidR="00914C53" w:rsidRPr="00031D8F" w:rsidRDefault="00914C53" w:rsidP="00BA297E">
      <w:pPr>
        <w:pStyle w:val="ListParagraph"/>
        <w:ind w:left="0"/>
        <w:rPr>
          <w:position w:val="-10"/>
        </w:rPr>
      </w:pPr>
      <w:r w:rsidRPr="00031D8F">
        <w:rPr>
          <w:position w:val="-52"/>
        </w:rPr>
        <w:object w:dxaOrig="1880" w:dyaOrig="1160">
          <v:shape id="_x0000_i1037" type="#_x0000_t75" style="width:93.75pt;height:59.25pt" o:ole="">
            <v:imagedata r:id="rId33" o:title=""/>
          </v:shape>
          <o:OLEObject Type="Embed" ProgID="Equation.3" ShapeID="_x0000_i1037" DrawAspect="Content" ObjectID="_1391418548" r:id="rId34"/>
        </w:object>
      </w:r>
      <w:r w:rsidRPr="00031D8F">
        <w:rPr>
          <w:position w:val="-10"/>
        </w:rPr>
        <w:t>.</w:t>
      </w:r>
    </w:p>
    <w:p w:rsidR="00914C53" w:rsidRPr="00031D8F" w:rsidRDefault="00454AAA" w:rsidP="00914C53">
      <w:r w:rsidRPr="00031D8F">
        <w:t>The s</w:t>
      </w:r>
      <w:r w:rsidR="00914C53" w:rsidRPr="00031D8F">
        <w:t>ubscript</w:t>
      </w:r>
      <w:r w:rsidRPr="00031D8F">
        <w:t>s</w:t>
      </w:r>
      <w:r w:rsidR="00914C53" w:rsidRPr="00031D8F">
        <w:t xml:space="preserve"> </w:t>
      </w:r>
      <w:r w:rsidRPr="00031D8F">
        <w:t xml:space="preserve">indicate </w:t>
      </w:r>
      <w:r w:rsidR="00914C53" w:rsidRPr="00031D8F">
        <w:t xml:space="preserve">the exchanges from one level of resolution to another. For instance, </w:t>
      </w:r>
      <w:r w:rsidR="00914C53" w:rsidRPr="00031D8F">
        <w:object w:dxaOrig="440" w:dyaOrig="360">
          <v:shape id="_x0000_i1038" type="#_x0000_t75" style="width:21.75pt;height:18pt" o:ole="">
            <v:imagedata r:id="rId35" o:title=""/>
          </v:shape>
          <o:OLEObject Type="Embed" ProgID="Equation.3" ShapeID="_x0000_i1038" DrawAspect="Content" ObjectID="_1391418549" r:id="rId36"/>
        </w:object>
      </w:r>
      <w:r w:rsidR="00914C53" w:rsidRPr="00031D8F">
        <w:t xml:space="preserve"> represents a segment of </w:t>
      </w:r>
      <w:r w:rsidR="00914C53" w:rsidRPr="00031D8F">
        <w:rPr>
          <w:position w:val="-4"/>
        </w:rPr>
        <w:object w:dxaOrig="340" w:dyaOrig="300">
          <v:shape id="_x0000_i1039" type="#_x0000_t75" style="width:17.25pt;height:15pt" o:ole="">
            <v:imagedata r:id="rId37" o:title=""/>
          </v:shape>
          <o:OLEObject Type="Embed" ProgID="Equation.3" ShapeID="_x0000_i1039" DrawAspect="Content" ObjectID="_1391418550" r:id="rId38"/>
        </w:object>
      </w:r>
      <w:r w:rsidR="00914C53" w:rsidRPr="00031D8F">
        <w:t xml:space="preserve">that shows the </w:t>
      </w:r>
      <w:r w:rsidR="00F46F2D" w:rsidRPr="00031D8F">
        <w:t>item-level product inputs to processes.</w:t>
      </w:r>
    </w:p>
    <w:p w:rsidR="00B45FD4" w:rsidRPr="00031D8F" w:rsidRDefault="003948EF" w:rsidP="000D1266">
      <w:pPr>
        <w:pStyle w:val="ListParagraph"/>
        <w:ind w:left="0"/>
      </w:pPr>
      <w:r w:rsidRPr="00031D8F">
        <w:t>These calculations will produce cradle-to-gate LCIs for all products</w:t>
      </w:r>
      <w:r w:rsidR="007A3B6A" w:rsidRPr="00031D8F">
        <w:t xml:space="preserve"> in the context of the U.S. economy</w:t>
      </w:r>
      <w:r w:rsidRPr="00031D8F">
        <w:t>, which include intermediate products that are not part of the final database. In this case, final hybrid LCIs can be selected by extracting the relevant columns of the result</w:t>
      </w:r>
      <w:r w:rsidR="00454AAA" w:rsidRPr="00031D8F">
        <w:t>ing matrix</w:t>
      </w:r>
      <w:r w:rsidRPr="00031D8F">
        <w:t xml:space="preserve">. </w:t>
      </w:r>
    </w:p>
    <w:p w:rsidR="00B45FD4" w:rsidRPr="00031D8F" w:rsidRDefault="00B45FD4" w:rsidP="00BA297E"/>
    <w:p w:rsidR="00C34270" w:rsidRPr="00031D8F" w:rsidRDefault="00BF3C89" w:rsidP="00022601">
      <w:pPr>
        <w:pStyle w:val="Heading1"/>
      </w:pPr>
      <w:bookmarkStart w:id="8" w:name="_Toc299376753"/>
      <w:r w:rsidRPr="00031D8F">
        <w:t>Step-by-step approach to hybrid</w:t>
      </w:r>
      <w:r w:rsidR="003A06F0" w:rsidRPr="00031D8F">
        <w:t>izing</w:t>
      </w:r>
      <w:r w:rsidRPr="00031D8F">
        <w:t xml:space="preserve"> BEES</w:t>
      </w:r>
      <w:bookmarkEnd w:id="8"/>
    </w:p>
    <w:p w:rsidR="00CC2826" w:rsidRPr="00031D8F" w:rsidRDefault="00022601" w:rsidP="000835F7">
      <w:r w:rsidRPr="00031D8F">
        <w:t xml:space="preserve">This section illustrates the </w:t>
      </w:r>
      <w:r w:rsidR="000835F7" w:rsidRPr="00031D8F">
        <w:t xml:space="preserve">step-by-step </w:t>
      </w:r>
      <w:r w:rsidRPr="00031D8F">
        <w:t xml:space="preserve">process under which </w:t>
      </w:r>
      <w:r w:rsidR="003A06F0" w:rsidRPr="00031D8F">
        <w:t xml:space="preserve">the </w:t>
      </w:r>
      <w:r w:rsidRPr="00031D8F">
        <w:t xml:space="preserve">hybrid BEES </w:t>
      </w:r>
      <w:r w:rsidR="003A06F0" w:rsidRPr="00031D8F">
        <w:t xml:space="preserve">database </w:t>
      </w:r>
      <w:r w:rsidRPr="00031D8F">
        <w:t>is being developed</w:t>
      </w:r>
      <w:r w:rsidR="000835F7" w:rsidRPr="00031D8F">
        <w:t xml:space="preserve">. The whole process can be summarized in </w:t>
      </w:r>
      <w:r w:rsidR="00803D7D" w:rsidRPr="00031D8F">
        <w:t>seven</w:t>
      </w:r>
      <w:r w:rsidR="000835F7" w:rsidRPr="00031D8F">
        <w:t xml:space="preserve"> steps (</w:t>
      </w:r>
      <w:r w:rsidR="00C13DDB" w:rsidRPr="00031D8F">
        <w:t>Figure 1</w:t>
      </w:r>
      <w:r w:rsidR="000835F7" w:rsidRPr="00031D8F">
        <w:t>)</w:t>
      </w:r>
      <w:r w:rsidRPr="00031D8F">
        <w:t>.</w:t>
      </w:r>
    </w:p>
    <w:p w:rsidR="00803D7D" w:rsidRPr="00031D8F" w:rsidRDefault="00803D7D" w:rsidP="000835F7"/>
    <w:p w:rsidR="00D87135" w:rsidRPr="00031D8F" w:rsidRDefault="00D87135" w:rsidP="00022601">
      <w:pPr>
        <w:pStyle w:val="Heading2"/>
        <w:ind w:left="360"/>
      </w:pPr>
      <w:bookmarkStart w:id="9" w:name="_Toc299376754"/>
      <w:r w:rsidRPr="00031D8F">
        <w:t>Comparability check</w:t>
      </w:r>
      <w:bookmarkEnd w:id="9"/>
    </w:p>
    <w:p w:rsidR="000835F7" w:rsidRPr="00031D8F" w:rsidRDefault="003136CF" w:rsidP="00E81215">
      <w:r w:rsidRPr="00031D8F">
        <w:t>When using two databases together, regardless of whether they are of process origin, input</w:t>
      </w:r>
      <w:r w:rsidR="00454AAA" w:rsidRPr="00031D8F">
        <w:t>-</w:t>
      </w:r>
      <w:r w:rsidRPr="00031D8F">
        <w:t>out</w:t>
      </w:r>
      <w:r w:rsidR="00454AAA" w:rsidRPr="00031D8F">
        <w:t>put</w:t>
      </w:r>
      <w:r w:rsidRPr="00031D8F">
        <w:t xml:space="preserve"> origin or </w:t>
      </w:r>
      <w:r w:rsidR="000835F7" w:rsidRPr="00031D8F">
        <w:t>both</w:t>
      </w:r>
      <w:r w:rsidRPr="00031D8F">
        <w:t xml:space="preserve">, it is </w:t>
      </w:r>
      <w:r w:rsidR="000835F7" w:rsidRPr="00031D8F">
        <w:t>necessary to verify whether they</w:t>
      </w:r>
      <w:r w:rsidRPr="00031D8F">
        <w:t xml:space="preserve"> are </w:t>
      </w:r>
      <w:r w:rsidR="003D67AF" w:rsidRPr="00031D8F">
        <w:t>compatible</w:t>
      </w:r>
      <w:r w:rsidRPr="00031D8F">
        <w:t xml:space="preserve"> in terms of their </w:t>
      </w:r>
      <w:r w:rsidRPr="00031D8F">
        <w:lastRenderedPageBreak/>
        <w:t>methodology</w:t>
      </w:r>
      <w:r w:rsidR="00454AAA" w:rsidRPr="00031D8F">
        <w:t xml:space="preserve"> and</w:t>
      </w:r>
      <w:r w:rsidRPr="00031D8F">
        <w:t xml:space="preserve"> assumption</w:t>
      </w:r>
      <w:r w:rsidR="00454AAA" w:rsidRPr="00031D8F">
        <w:t>s</w:t>
      </w:r>
      <w:r w:rsidRPr="00031D8F">
        <w:t xml:space="preserve"> as well as </w:t>
      </w:r>
      <w:r w:rsidR="00454AAA" w:rsidRPr="00031D8F">
        <w:t xml:space="preserve">in </w:t>
      </w:r>
      <w:r w:rsidRPr="00031D8F">
        <w:t xml:space="preserve">the completeness </w:t>
      </w:r>
      <w:r w:rsidR="00454AAA" w:rsidRPr="00031D8F">
        <w:t xml:space="preserve">of their </w:t>
      </w:r>
      <w:r w:rsidRPr="00031D8F">
        <w:t>underlying data. For instance</w:t>
      </w:r>
      <w:r w:rsidR="000835F7" w:rsidRPr="00031D8F">
        <w:t>,</w:t>
      </w:r>
      <w:r w:rsidRPr="00031D8F">
        <w:t xml:space="preserve"> even among process </w:t>
      </w:r>
      <w:r w:rsidR="000835F7" w:rsidRPr="00031D8F">
        <w:t>LCI data</w:t>
      </w:r>
      <w:r w:rsidRPr="00031D8F">
        <w:t>bases</w:t>
      </w:r>
      <w:r w:rsidR="00454AAA" w:rsidRPr="00031D8F">
        <w:t>,</w:t>
      </w:r>
      <w:r w:rsidRPr="00031D8F">
        <w:t xml:space="preserve"> underlying method</w:t>
      </w:r>
      <w:r w:rsidR="00454AAA" w:rsidRPr="00031D8F">
        <w:t>s</w:t>
      </w:r>
      <w:r w:rsidRPr="00031D8F">
        <w:t xml:space="preserve"> and assumptions on</w:t>
      </w:r>
      <w:r w:rsidR="00454AAA" w:rsidRPr="00031D8F">
        <w:t>,</w:t>
      </w:r>
      <w:r w:rsidRPr="00031D8F">
        <w:t xml:space="preserve"> </w:t>
      </w:r>
      <w:r w:rsidR="0075112B" w:rsidRPr="00031D8F">
        <w:t>for example</w:t>
      </w:r>
      <w:r w:rsidR="00454AAA" w:rsidRPr="00031D8F">
        <w:t>,</w:t>
      </w:r>
      <w:r w:rsidRPr="00031D8F">
        <w:t xml:space="preserve"> allocation, treatment of durable goods and temporal system boundar</w:t>
      </w:r>
      <w:r w:rsidR="00454AAA" w:rsidRPr="00031D8F">
        <w:t>ies</w:t>
      </w:r>
      <w:r w:rsidR="00103664" w:rsidRPr="00031D8F">
        <w:t>,</w:t>
      </w:r>
      <w:r w:rsidRPr="00031D8F">
        <w:t xml:space="preserve"> may differ </w:t>
      </w:r>
      <w:r w:rsidR="006F2524" w:rsidRPr="00031D8F">
        <w:t>from each other</w:t>
      </w:r>
      <w:r w:rsidR="00454AAA" w:rsidRPr="00031D8F">
        <w:t>,</w:t>
      </w:r>
      <w:r w:rsidR="000835F7" w:rsidRPr="00031D8F">
        <w:t xml:space="preserve"> </w:t>
      </w:r>
      <w:r w:rsidR="006F2524" w:rsidRPr="00031D8F">
        <w:t xml:space="preserve">potentially </w:t>
      </w:r>
      <w:r w:rsidR="000835F7" w:rsidRPr="00031D8F">
        <w:t>causing inconsistencies</w:t>
      </w:r>
      <w:r w:rsidRPr="00031D8F">
        <w:t xml:space="preserve">. </w:t>
      </w:r>
      <w:r w:rsidR="003D67AF" w:rsidRPr="00031D8F">
        <w:t>T</w:t>
      </w:r>
      <w:r w:rsidR="000835F7" w:rsidRPr="00031D8F">
        <w:t>wo databases shar</w:t>
      </w:r>
      <w:r w:rsidR="003D67AF" w:rsidRPr="00031D8F">
        <w:t>ing</w:t>
      </w:r>
      <w:r w:rsidR="000835F7" w:rsidRPr="00031D8F">
        <w:t xml:space="preserve"> the</w:t>
      </w:r>
      <w:r w:rsidR="003D67AF" w:rsidRPr="00031D8F">
        <w:t xml:space="preserve"> same methodological framework </w:t>
      </w:r>
      <w:r w:rsidR="000835F7" w:rsidRPr="00031D8F">
        <w:t xml:space="preserve">may </w:t>
      </w:r>
      <w:r w:rsidR="003D67AF" w:rsidRPr="00031D8F">
        <w:t xml:space="preserve">still </w:t>
      </w:r>
      <w:r w:rsidR="000835F7" w:rsidRPr="00031D8F">
        <w:t xml:space="preserve">be </w:t>
      </w:r>
      <w:r w:rsidR="003D67AF" w:rsidRPr="00031D8F">
        <w:t>incompatible</w:t>
      </w:r>
      <w:r w:rsidR="000835F7" w:rsidRPr="00031D8F">
        <w:t xml:space="preserve"> </w:t>
      </w:r>
      <w:r w:rsidR="003D67AF" w:rsidRPr="00031D8F">
        <w:t>if there is a material difference</w:t>
      </w:r>
      <w:r w:rsidR="000835F7" w:rsidRPr="00031D8F">
        <w:t xml:space="preserve"> in completeness of the underlying data. Di</w:t>
      </w:r>
      <w:r w:rsidR="00E55EDE" w:rsidRPr="00031D8F">
        <w:t>screpanc</w:t>
      </w:r>
      <w:r w:rsidR="00890ED6" w:rsidRPr="00031D8F">
        <w:t>ies</w:t>
      </w:r>
      <w:r w:rsidR="00E55EDE" w:rsidRPr="00031D8F">
        <w:t xml:space="preserve"> </w:t>
      </w:r>
      <w:r w:rsidR="000835F7" w:rsidRPr="00031D8F">
        <w:t xml:space="preserve">in completeness between databases may stem from </w:t>
      </w:r>
      <w:r w:rsidR="00E55EDE" w:rsidRPr="00031D8F">
        <w:t>differences in the magnitude of</w:t>
      </w:r>
      <w:r w:rsidR="000835F7" w:rsidRPr="00031D8F">
        <w:t xml:space="preserve"> cut-off</w:t>
      </w:r>
      <w:r w:rsidR="00890ED6" w:rsidRPr="00031D8F">
        <w:t>s</w:t>
      </w:r>
      <w:r w:rsidR="00E55EDE" w:rsidRPr="00031D8F">
        <w:t xml:space="preserve"> and</w:t>
      </w:r>
      <w:r w:rsidR="000835F7" w:rsidRPr="00031D8F">
        <w:t xml:space="preserve"> </w:t>
      </w:r>
      <w:r w:rsidR="002008AA" w:rsidRPr="00031D8F">
        <w:t xml:space="preserve">deficiencies in </w:t>
      </w:r>
      <w:r w:rsidR="000835F7" w:rsidRPr="00031D8F">
        <w:t xml:space="preserve">data </w:t>
      </w:r>
      <w:r w:rsidR="00E55EDE" w:rsidRPr="00031D8F">
        <w:t xml:space="preserve">as well as in the number of </w:t>
      </w:r>
      <w:r w:rsidR="00F341B8" w:rsidRPr="00031D8F">
        <w:t>environmental flow</w:t>
      </w:r>
      <w:r w:rsidR="00E55EDE" w:rsidRPr="00031D8F">
        <w:t>s considered.</w:t>
      </w:r>
    </w:p>
    <w:p w:rsidR="002008AA" w:rsidRPr="00031D8F" w:rsidRDefault="0040478C" w:rsidP="0040478C">
      <w:r w:rsidRPr="00031D8F">
        <w:t xml:space="preserve">In this study, the Comprehensive Environmental Data Archive (CEDA) database </w:t>
      </w:r>
      <w:r w:rsidR="00727413" w:rsidRPr="00031D8F">
        <w:t xml:space="preserve">(Suh, 2005; Suh, 2010) </w:t>
      </w:r>
      <w:r w:rsidRPr="00031D8F">
        <w:t xml:space="preserve">is selected as the input-output database to be integrated with BEES. </w:t>
      </w:r>
      <w:r w:rsidR="002008AA" w:rsidRPr="00031D8F">
        <w:t xml:space="preserve">We compared the following issues between </w:t>
      </w:r>
      <w:r w:rsidR="003A06F0" w:rsidRPr="00031D8F">
        <w:t xml:space="preserve">the </w:t>
      </w:r>
      <w:r w:rsidR="002008AA" w:rsidRPr="00031D8F">
        <w:t>CEDA and BEES</w:t>
      </w:r>
      <w:r w:rsidR="006F2524" w:rsidRPr="00031D8F">
        <w:t xml:space="preserve"> </w:t>
      </w:r>
      <w:r w:rsidR="003A06F0" w:rsidRPr="00031D8F">
        <w:t xml:space="preserve">approaches to LCI development </w:t>
      </w:r>
      <w:r w:rsidR="006F2524" w:rsidRPr="00031D8F">
        <w:t>with respect to their compatibility</w:t>
      </w:r>
      <w:r w:rsidR="002008AA" w:rsidRPr="00031D8F">
        <w:t>:</w:t>
      </w:r>
    </w:p>
    <w:p w:rsidR="00727413" w:rsidRPr="00031D8F" w:rsidRDefault="00727413" w:rsidP="00727413">
      <w:pPr>
        <w:pStyle w:val="ListParagraph"/>
        <w:numPr>
          <w:ilvl w:val="0"/>
          <w:numId w:val="12"/>
        </w:numPr>
      </w:pPr>
      <w:r w:rsidRPr="00031D8F">
        <w:t>Allocation methods</w:t>
      </w:r>
    </w:p>
    <w:p w:rsidR="00727413" w:rsidRPr="00031D8F" w:rsidRDefault="00727413" w:rsidP="00727413">
      <w:pPr>
        <w:pStyle w:val="ListParagraph"/>
        <w:numPr>
          <w:ilvl w:val="0"/>
          <w:numId w:val="12"/>
        </w:numPr>
      </w:pPr>
      <w:r w:rsidRPr="00031D8F">
        <w:t>Cut-off criteria</w:t>
      </w:r>
    </w:p>
    <w:p w:rsidR="00727413" w:rsidRPr="00031D8F" w:rsidRDefault="00727413" w:rsidP="00727413">
      <w:pPr>
        <w:pStyle w:val="ListParagraph"/>
        <w:numPr>
          <w:ilvl w:val="0"/>
          <w:numId w:val="12"/>
        </w:numPr>
      </w:pPr>
      <w:r w:rsidRPr="00031D8F">
        <w:t>Treatment of capital goods</w:t>
      </w:r>
    </w:p>
    <w:p w:rsidR="00727413" w:rsidRPr="00031D8F" w:rsidRDefault="00727413" w:rsidP="00727413">
      <w:pPr>
        <w:pStyle w:val="ListParagraph"/>
        <w:numPr>
          <w:ilvl w:val="0"/>
          <w:numId w:val="12"/>
        </w:numPr>
      </w:pPr>
      <w:r w:rsidRPr="00031D8F">
        <w:t>Base year</w:t>
      </w:r>
    </w:p>
    <w:p w:rsidR="0075112B" w:rsidRPr="00031D8F" w:rsidRDefault="00727413" w:rsidP="0075112B">
      <w:pPr>
        <w:pStyle w:val="ListParagraph"/>
        <w:numPr>
          <w:ilvl w:val="0"/>
          <w:numId w:val="12"/>
        </w:numPr>
      </w:pPr>
      <w:r w:rsidRPr="00031D8F">
        <w:t>Coverage of environmental flows</w:t>
      </w:r>
    </w:p>
    <w:p w:rsidR="0075112B" w:rsidRPr="00031D8F" w:rsidRDefault="0075112B" w:rsidP="00727413">
      <w:r w:rsidRPr="00031D8F">
        <w:t>The results of the compatibility check are summarized is Table 2.</w:t>
      </w:r>
    </w:p>
    <w:p w:rsidR="0075112B" w:rsidRPr="00031D8F" w:rsidRDefault="0075112B" w:rsidP="00727413"/>
    <w:p w:rsidR="000A14FB" w:rsidRPr="00031D8F" w:rsidRDefault="006F2524" w:rsidP="00727413">
      <w:r w:rsidRPr="00031D8F">
        <w:t xml:space="preserve">BEES </w:t>
      </w:r>
      <w:r w:rsidR="00727413" w:rsidRPr="00031D8F">
        <w:t>employs</w:t>
      </w:r>
      <w:r w:rsidRPr="00031D8F">
        <w:t xml:space="preserve"> various allocation methods</w:t>
      </w:r>
      <w:r w:rsidR="00890ED6" w:rsidRPr="00031D8F">
        <w:t>,</w:t>
      </w:r>
      <w:r w:rsidRPr="00031D8F">
        <w:t xml:space="preserve"> including mass-based, energy-based and economic value-based allocation as well as system expansion (</w:t>
      </w:r>
      <w:r w:rsidRPr="00031D8F">
        <w:rPr>
          <w:rFonts w:cs="Calibri"/>
          <w:noProof/>
        </w:rPr>
        <w:t>Lippiatt, 20</w:t>
      </w:r>
      <w:r w:rsidR="003A06F0" w:rsidRPr="00031D8F">
        <w:rPr>
          <w:rFonts w:cs="Calibri"/>
          <w:noProof/>
        </w:rPr>
        <w:t>10</w:t>
      </w:r>
      <w:r w:rsidRPr="00031D8F">
        <w:rPr>
          <w:rFonts w:cs="Calibri"/>
          <w:noProof/>
        </w:rPr>
        <w:t>)</w:t>
      </w:r>
      <w:r w:rsidR="00727413" w:rsidRPr="00031D8F">
        <w:t xml:space="preserve">, whereas CEDA uses economic value-based allocation, system expansion or a combination of the two. For the most part, the differences in allocation methods employed by the two databases are not expected to cause a material difference in </w:t>
      </w:r>
      <w:r w:rsidR="00E12584" w:rsidRPr="00031D8F">
        <w:t>the</w:t>
      </w:r>
      <w:r w:rsidR="00727413" w:rsidRPr="00031D8F">
        <w:t xml:space="preserve"> results. For instance, BEES</w:t>
      </w:r>
      <w:r w:rsidR="00A30B32" w:rsidRPr="00031D8F">
        <w:t xml:space="preserve"> applied </w:t>
      </w:r>
      <w:r w:rsidR="00727413" w:rsidRPr="00031D8F">
        <w:t>energy-based allocation to refinery pro</w:t>
      </w:r>
      <w:r w:rsidR="00A30B32" w:rsidRPr="00031D8F">
        <w:t>ducts</w:t>
      </w:r>
      <w:r w:rsidR="00727413" w:rsidRPr="00031D8F">
        <w:t xml:space="preserve">, </w:t>
      </w:r>
      <w:r w:rsidR="00A30B32" w:rsidRPr="00031D8F">
        <w:t>while</w:t>
      </w:r>
      <w:r w:rsidR="00727413" w:rsidRPr="00031D8F">
        <w:t xml:space="preserve"> CEDA</w:t>
      </w:r>
      <w:r w:rsidR="00A30B32" w:rsidRPr="00031D8F">
        <w:t xml:space="preserve"> </w:t>
      </w:r>
      <w:r w:rsidR="00103664" w:rsidRPr="00031D8F">
        <w:t>performed</w:t>
      </w:r>
      <w:r w:rsidR="00727413" w:rsidRPr="00031D8F">
        <w:t xml:space="preserve"> economic value-based allocation</w:t>
      </w:r>
      <w:r w:rsidR="00A30B32" w:rsidRPr="00031D8F">
        <w:t xml:space="preserve">. </w:t>
      </w:r>
      <w:r w:rsidR="00CD6107" w:rsidRPr="00031D8F">
        <w:t xml:space="preserve">Nevertheless, </w:t>
      </w:r>
      <w:r w:rsidR="00A30B32" w:rsidRPr="00031D8F">
        <w:t xml:space="preserve">energy content and economic value </w:t>
      </w:r>
      <w:r w:rsidR="00CD6107" w:rsidRPr="00031D8F">
        <w:t>among</w:t>
      </w:r>
      <w:r w:rsidR="00A30B32" w:rsidRPr="00031D8F">
        <w:t xml:space="preserve"> refinery products</w:t>
      </w:r>
      <w:r w:rsidR="00CD6107" w:rsidRPr="00031D8F">
        <w:t xml:space="preserve"> are aligned relatively well, although there are specific cases </w:t>
      </w:r>
      <w:r w:rsidR="000A14FB" w:rsidRPr="00031D8F">
        <w:t>where the two diverge. T</w:t>
      </w:r>
      <w:r w:rsidR="00CD6107" w:rsidRPr="00031D8F">
        <w:t>herefore</w:t>
      </w:r>
      <w:r w:rsidR="00890ED6" w:rsidRPr="00031D8F">
        <w:t>,</w:t>
      </w:r>
      <w:r w:rsidR="00CD6107" w:rsidRPr="00031D8F">
        <w:t xml:space="preserve"> the </w:t>
      </w:r>
      <w:r w:rsidR="00890ED6" w:rsidRPr="00031D8F">
        <w:t xml:space="preserve">difference in </w:t>
      </w:r>
      <w:r w:rsidR="000A14FB" w:rsidRPr="00031D8F">
        <w:t>allocation methods for refinery products between the two database</w:t>
      </w:r>
      <w:r w:rsidR="00227860" w:rsidRPr="00031D8F">
        <w:t>s</w:t>
      </w:r>
      <w:r w:rsidR="000A14FB" w:rsidRPr="00031D8F">
        <w:t xml:space="preserve"> seem</w:t>
      </w:r>
      <w:r w:rsidR="00227860" w:rsidRPr="00031D8F">
        <w:t>s</w:t>
      </w:r>
      <w:r w:rsidR="000A14FB" w:rsidRPr="00031D8F">
        <w:t xml:space="preserve"> to have </w:t>
      </w:r>
      <w:r w:rsidR="0075112B" w:rsidRPr="00031D8F">
        <w:t xml:space="preserve">a </w:t>
      </w:r>
      <w:r w:rsidR="000A14FB" w:rsidRPr="00031D8F">
        <w:t>minor influence on the overall compatibilit</w:t>
      </w:r>
      <w:r w:rsidR="00E12584" w:rsidRPr="00031D8F">
        <w:t>y</w:t>
      </w:r>
      <w:r w:rsidR="000A14FB" w:rsidRPr="00031D8F">
        <w:t xml:space="preserve">. </w:t>
      </w:r>
    </w:p>
    <w:p w:rsidR="006F2524" w:rsidRPr="00031D8F" w:rsidRDefault="000A14FB" w:rsidP="00727413">
      <w:r w:rsidRPr="00031D8F">
        <w:t>The use of mass-based allocation for BEES</w:t>
      </w:r>
      <w:r w:rsidR="00BD057C" w:rsidRPr="00031D8F">
        <w:t xml:space="preserve"> LCI development</w:t>
      </w:r>
      <w:r w:rsidRPr="00031D8F">
        <w:t>, however, may potentially lead to</w:t>
      </w:r>
      <w:r w:rsidR="009D38BA" w:rsidRPr="00031D8F">
        <w:t xml:space="preserve"> a</w:t>
      </w:r>
      <w:r w:rsidRPr="00031D8F">
        <w:t xml:space="preserve"> material </w:t>
      </w:r>
      <w:r w:rsidR="009D38BA" w:rsidRPr="00031D8F">
        <w:t>incompatibility</w:t>
      </w:r>
      <w:r w:rsidRPr="00031D8F">
        <w:t xml:space="preserve"> </w:t>
      </w:r>
      <w:r w:rsidR="009D38BA" w:rsidRPr="00031D8F">
        <w:t>as mass and economic value are not strongly correlated.</w:t>
      </w:r>
      <w:r w:rsidR="008C1CBB" w:rsidRPr="00031D8F">
        <w:t xml:space="preserve"> The </w:t>
      </w:r>
      <w:r w:rsidR="00BD057C" w:rsidRPr="00031D8F">
        <w:t xml:space="preserve">main </w:t>
      </w:r>
      <w:r w:rsidR="00BD057C" w:rsidRPr="00031D8F">
        <w:lastRenderedPageBreak/>
        <w:t xml:space="preserve">construction industry </w:t>
      </w:r>
      <w:r w:rsidR="008C1CBB" w:rsidRPr="00031D8F">
        <w:t>product categor</w:t>
      </w:r>
      <w:r w:rsidR="00BD057C" w:rsidRPr="00031D8F">
        <w:t>y</w:t>
      </w:r>
      <w:r w:rsidR="008C1CBB" w:rsidRPr="00031D8F">
        <w:t xml:space="preserve"> that </w:t>
      </w:r>
      <w:r w:rsidR="00BD057C" w:rsidRPr="00031D8F">
        <w:t xml:space="preserve">is </w:t>
      </w:r>
      <w:r w:rsidR="00E12584" w:rsidRPr="00031D8F">
        <w:t>affected by the use of</w:t>
      </w:r>
      <w:r w:rsidR="008C1CBB" w:rsidRPr="00031D8F">
        <w:t xml:space="preserve"> mass-based allocation </w:t>
      </w:r>
      <w:proofErr w:type="gramStart"/>
      <w:r w:rsidR="008C1CBB" w:rsidRPr="00031D8F">
        <w:t>are</w:t>
      </w:r>
      <w:proofErr w:type="gramEnd"/>
      <w:r w:rsidR="008C1CBB" w:rsidRPr="00031D8F">
        <w:t xml:space="preserve"> wood products</w:t>
      </w:r>
      <w:r w:rsidR="00E12584" w:rsidRPr="00031D8F">
        <w:t xml:space="preserve"> and other products using </w:t>
      </w:r>
      <w:r w:rsidR="00890ED6" w:rsidRPr="00031D8F">
        <w:t>wood products</w:t>
      </w:r>
      <w:r w:rsidR="00E12584" w:rsidRPr="00031D8F">
        <w:t xml:space="preserve">. </w:t>
      </w:r>
      <w:r w:rsidR="00BD057C" w:rsidRPr="00031D8F">
        <w:t>To the extent that wood-based products are not among the energy technologies for which BEES data are being collected for whole building LCAs</w:t>
      </w:r>
      <w:r w:rsidR="00766AFC" w:rsidRPr="00031D8F">
        <w:t>,</w:t>
      </w:r>
      <w:r w:rsidR="00BD057C" w:rsidRPr="00031D8F">
        <w:t xml:space="preserve"> </w:t>
      </w:r>
      <w:r w:rsidR="008C1CBB" w:rsidRPr="00031D8F">
        <w:t>potential compatibility issues</w:t>
      </w:r>
      <w:r w:rsidR="00227860" w:rsidRPr="00031D8F">
        <w:t xml:space="preserve"> are </w:t>
      </w:r>
      <w:r w:rsidR="00BD057C" w:rsidRPr="00031D8F">
        <w:t>limited</w:t>
      </w:r>
      <w:r w:rsidR="00227860" w:rsidRPr="00031D8F">
        <w:t>.</w:t>
      </w:r>
      <w:r w:rsidR="008C1CBB" w:rsidRPr="00031D8F">
        <w:t xml:space="preserve"> </w:t>
      </w:r>
    </w:p>
    <w:p w:rsidR="006F2524" w:rsidRPr="00031D8F" w:rsidRDefault="00227860" w:rsidP="006F2524">
      <w:r w:rsidRPr="00031D8F">
        <w:t xml:space="preserve">BEES </w:t>
      </w:r>
      <w:r w:rsidR="00BD057C" w:rsidRPr="00031D8F">
        <w:t xml:space="preserve">LCIs </w:t>
      </w:r>
      <w:r w:rsidRPr="00031D8F">
        <w:t>use three cut-off criteria</w:t>
      </w:r>
      <w:r w:rsidR="00890ED6" w:rsidRPr="00031D8F">
        <w:t xml:space="preserve">: </w:t>
      </w:r>
      <w:r w:rsidRPr="00031D8F">
        <w:t xml:space="preserve">mass, energy and economic value. </w:t>
      </w:r>
      <w:r w:rsidR="00EA0DDF" w:rsidRPr="00031D8F">
        <w:t xml:space="preserve">The use of </w:t>
      </w:r>
      <w:r w:rsidR="0075112B" w:rsidRPr="00031D8F">
        <w:t xml:space="preserve">the </w:t>
      </w:r>
      <w:r w:rsidR="00EA0DDF" w:rsidRPr="00031D8F">
        <w:t xml:space="preserve">economic value of inputs as a cut-off criterion is particularly interesting in the context of hybridizing BEES, as it provides useful insight </w:t>
      </w:r>
      <w:r w:rsidR="00752D99" w:rsidRPr="00031D8F">
        <w:t>in</w:t>
      </w:r>
      <w:r w:rsidR="00C66970" w:rsidRPr="00031D8F">
        <w:t>to</w:t>
      </w:r>
      <w:r w:rsidR="00EA0DDF" w:rsidRPr="00031D8F">
        <w:t xml:space="preserve"> the financial balancing approach employed in this study to estimate cut-offs. </w:t>
      </w:r>
      <w:r w:rsidR="00DE5F68" w:rsidRPr="00031D8F">
        <w:t xml:space="preserve">As </w:t>
      </w:r>
      <w:r w:rsidR="00BD057C" w:rsidRPr="00031D8F">
        <w:t>one</w:t>
      </w:r>
      <w:r w:rsidR="00DE5F68" w:rsidRPr="00031D8F">
        <w:t xml:space="preserve"> objective of this study is to close the cut-off gaps in BEES </w:t>
      </w:r>
      <w:r w:rsidR="00BD057C" w:rsidRPr="00031D8F">
        <w:t xml:space="preserve">LCIs </w:t>
      </w:r>
      <w:r w:rsidR="00DE5F68" w:rsidRPr="00031D8F">
        <w:t xml:space="preserve">via </w:t>
      </w:r>
      <w:r w:rsidR="00890ED6" w:rsidRPr="00031D8F">
        <w:t xml:space="preserve">the </w:t>
      </w:r>
      <w:r w:rsidR="00DE5F68" w:rsidRPr="00031D8F">
        <w:t>hybrid approach, the difference in cut-offs do</w:t>
      </w:r>
      <w:r w:rsidR="0075112B" w:rsidRPr="00031D8F">
        <w:t>es</w:t>
      </w:r>
      <w:r w:rsidR="00DE5F68" w:rsidRPr="00031D8F">
        <w:t xml:space="preserve"> not necessarily impose </w:t>
      </w:r>
      <w:r w:rsidR="00890ED6" w:rsidRPr="00031D8F">
        <w:t xml:space="preserve">any </w:t>
      </w:r>
      <w:r w:rsidR="00DE5F68" w:rsidRPr="00031D8F">
        <w:t>incompatibility problem</w:t>
      </w:r>
      <w:r w:rsidR="00890ED6" w:rsidRPr="00031D8F">
        <w:t>s</w:t>
      </w:r>
      <w:r w:rsidR="00DE5F68" w:rsidRPr="00031D8F">
        <w:t>.</w:t>
      </w:r>
    </w:p>
    <w:p w:rsidR="0059088E" w:rsidRPr="00031D8F" w:rsidRDefault="00DE5F68" w:rsidP="006F2524">
      <w:proofErr w:type="gramStart"/>
      <w:r w:rsidRPr="00031D8F">
        <w:t>BEES follows</w:t>
      </w:r>
      <w:proofErr w:type="gramEnd"/>
      <w:r w:rsidRPr="00031D8F">
        <w:t xml:space="preserve"> the general guid</w:t>
      </w:r>
      <w:r w:rsidR="0075112B" w:rsidRPr="00031D8F">
        <w:t>ance</w:t>
      </w:r>
      <w:r w:rsidRPr="00031D8F">
        <w:t xml:space="preserve"> of the ISO </w:t>
      </w:r>
      <w:r w:rsidR="0075112B" w:rsidRPr="00031D8F">
        <w:t xml:space="preserve">LCA </w:t>
      </w:r>
      <w:r w:rsidRPr="00031D8F">
        <w:t>standards, wh</w:t>
      </w:r>
      <w:r w:rsidR="0075112B" w:rsidRPr="00031D8F">
        <w:t xml:space="preserve">ich </w:t>
      </w:r>
      <w:r w:rsidRPr="00031D8F">
        <w:t xml:space="preserve">note that ‘manufacture, maintenance and decommissioning of capital equipment’ shall be part of the initial system boundary (ISO, 1998, clause 5.3.3.). </w:t>
      </w:r>
      <w:r w:rsidR="0059088E" w:rsidRPr="00031D8F">
        <w:t>In this respect BEES and CEDA are, in principle</w:t>
      </w:r>
      <w:r w:rsidR="00752D99" w:rsidRPr="00031D8F">
        <w:t>,</w:t>
      </w:r>
      <w:r w:rsidR="0059088E" w:rsidRPr="00031D8F">
        <w:t xml:space="preserve"> compatible</w:t>
      </w:r>
      <w:r w:rsidR="00752D99" w:rsidRPr="00031D8F">
        <w:t xml:space="preserve">. In </w:t>
      </w:r>
      <w:r w:rsidR="0059088E" w:rsidRPr="00031D8F">
        <w:t>practice</w:t>
      </w:r>
      <w:r w:rsidR="00752D99" w:rsidRPr="00031D8F">
        <w:t>, however,</w:t>
      </w:r>
      <w:r w:rsidR="0059088E" w:rsidRPr="00031D8F">
        <w:t xml:space="preserve"> </w:t>
      </w:r>
      <w:r w:rsidR="0075112B" w:rsidRPr="00031D8F">
        <w:t xml:space="preserve">capital equipment </w:t>
      </w:r>
      <w:r w:rsidR="007E4F42" w:rsidRPr="00031D8F">
        <w:t>generally is excluded in the final system boundary for BEES LCIs because it fails to meet cut-off criteria. C</w:t>
      </w:r>
      <w:r w:rsidR="0059088E" w:rsidRPr="00031D8F">
        <w:t xml:space="preserve">apital goods </w:t>
      </w:r>
      <w:r w:rsidR="007E4F42" w:rsidRPr="00031D8F">
        <w:t xml:space="preserve">can be </w:t>
      </w:r>
      <w:r w:rsidR="0059088E" w:rsidRPr="00031D8F">
        <w:t xml:space="preserve">accounted for in </w:t>
      </w:r>
      <w:r w:rsidR="00F66A29" w:rsidRPr="00031D8F">
        <w:t xml:space="preserve">the </w:t>
      </w:r>
      <w:r w:rsidR="007E4F42" w:rsidRPr="00031D8F">
        <w:t xml:space="preserve">hybrid </w:t>
      </w:r>
      <w:r w:rsidR="0059088E" w:rsidRPr="00031D8F">
        <w:t>BEES</w:t>
      </w:r>
      <w:r w:rsidR="00F66A29" w:rsidRPr="00031D8F">
        <w:t xml:space="preserve"> </w:t>
      </w:r>
      <w:proofErr w:type="gramStart"/>
      <w:r w:rsidR="00F66A29" w:rsidRPr="00031D8F">
        <w:t xml:space="preserve">database </w:t>
      </w:r>
      <w:r w:rsidR="0059088E" w:rsidRPr="00031D8F">
        <w:t xml:space="preserve"> through</w:t>
      </w:r>
      <w:proofErr w:type="gramEnd"/>
      <w:r w:rsidR="0059088E" w:rsidRPr="00031D8F">
        <w:t xml:space="preserve"> </w:t>
      </w:r>
      <w:r w:rsidR="00752D99" w:rsidRPr="00031D8F">
        <w:t xml:space="preserve">the </w:t>
      </w:r>
      <w:r w:rsidR="0059088E" w:rsidRPr="00031D8F">
        <w:t>cut-off estimation described earlier.</w:t>
      </w:r>
    </w:p>
    <w:p w:rsidR="00DE5F68" w:rsidRPr="00031D8F" w:rsidRDefault="00752D99" w:rsidP="006F2524">
      <w:r w:rsidRPr="00031D8F">
        <w:t>The b</w:t>
      </w:r>
      <w:r w:rsidR="0059088E" w:rsidRPr="00031D8F">
        <w:t xml:space="preserve">ase years of BEES and CEDA appear to overlap quite well, </w:t>
      </w:r>
      <w:r w:rsidR="00125613" w:rsidRPr="00031D8F">
        <w:t xml:space="preserve">as neither uses data more than 10 years old. </w:t>
      </w:r>
    </w:p>
    <w:p w:rsidR="00470A18" w:rsidRPr="00031D8F" w:rsidRDefault="009F2C16" w:rsidP="009E600D">
      <w:pPr>
        <w:rPr>
          <w:lang w:eastAsia="ko-KR"/>
        </w:rPr>
      </w:pPr>
      <w:r w:rsidRPr="00031D8F">
        <w:rPr>
          <w:lang w:eastAsia="ko-KR"/>
        </w:rPr>
        <w:t>A</w:t>
      </w:r>
      <w:r w:rsidR="009E600D" w:rsidRPr="00031D8F">
        <w:rPr>
          <w:lang w:eastAsia="ko-KR"/>
        </w:rPr>
        <w:t xml:space="preserve"> difference in </w:t>
      </w:r>
      <w:r w:rsidR="00752D99" w:rsidRPr="00031D8F">
        <w:rPr>
          <w:lang w:eastAsia="ko-KR"/>
        </w:rPr>
        <w:t xml:space="preserve">the </w:t>
      </w:r>
      <w:r w:rsidR="009E600D" w:rsidRPr="00031D8F">
        <w:rPr>
          <w:lang w:eastAsia="ko-KR"/>
        </w:rPr>
        <w:t xml:space="preserve">number of environmental flows </w:t>
      </w:r>
      <w:r w:rsidRPr="00031D8F">
        <w:rPr>
          <w:lang w:eastAsia="ko-KR"/>
        </w:rPr>
        <w:t xml:space="preserve">between databases can </w:t>
      </w:r>
      <w:r w:rsidR="009E600D" w:rsidRPr="00031D8F">
        <w:rPr>
          <w:lang w:eastAsia="ko-KR"/>
        </w:rPr>
        <w:t xml:space="preserve">raise some </w:t>
      </w:r>
      <w:r w:rsidR="00752D99" w:rsidRPr="00031D8F">
        <w:rPr>
          <w:lang w:eastAsia="ko-KR"/>
        </w:rPr>
        <w:t xml:space="preserve">compatibility </w:t>
      </w:r>
      <w:r w:rsidR="009E600D" w:rsidRPr="00031D8F">
        <w:rPr>
          <w:lang w:eastAsia="ko-KR"/>
        </w:rPr>
        <w:t>concern</w:t>
      </w:r>
      <w:r w:rsidR="00752D99" w:rsidRPr="00031D8F">
        <w:rPr>
          <w:lang w:eastAsia="ko-KR"/>
        </w:rPr>
        <w:t>s</w:t>
      </w:r>
      <w:r w:rsidR="009E600D" w:rsidRPr="00031D8F">
        <w:rPr>
          <w:lang w:eastAsia="ko-KR"/>
        </w:rPr>
        <w:t xml:space="preserve">. </w:t>
      </w:r>
      <w:r w:rsidR="00752D99" w:rsidRPr="00031D8F">
        <w:rPr>
          <w:lang w:eastAsia="ko-KR"/>
        </w:rPr>
        <w:t>When databases are combined, the m</w:t>
      </w:r>
      <w:r w:rsidR="009E600D" w:rsidRPr="00031D8F">
        <w:rPr>
          <w:lang w:eastAsia="ko-KR"/>
        </w:rPr>
        <w:t xml:space="preserve">ore complete database tends to contribute more to the end results </w:t>
      </w:r>
      <w:r w:rsidR="00752D99" w:rsidRPr="00031D8F">
        <w:rPr>
          <w:lang w:eastAsia="ko-KR"/>
        </w:rPr>
        <w:t xml:space="preserve">than the </w:t>
      </w:r>
      <w:r w:rsidR="009E600D" w:rsidRPr="00031D8F">
        <w:rPr>
          <w:lang w:eastAsia="ko-KR"/>
        </w:rPr>
        <w:t>less complete database</w:t>
      </w:r>
      <w:r w:rsidR="00752D99" w:rsidRPr="00031D8F">
        <w:rPr>
          <w:lang w:eastAsia="ko-KR"/>
        </w:rPr>
        <w:t>,</w:t>
      </w:r>
      <w:r w:rsidR="009E600D" w:rsidRPr="00031D8F">
        <w:rPr>
          <w:lang w:eastAsia="ko-KR"/>
        </w:rPr>
        <w:t xml:space="preserve"> creating </w:t>
      </w:r>
      <w:r w:rsidR="00752D99" w:rsidRPr="00031D8F">
        <w:rPr>
          <w:lang w:eastAsia="ko-KR"/>
        </w:rPr>
        <w:t xml:space="preserve">an </w:t>
      </w:r>
      <w:r w:rsidR="009E600D" w:rsidRPr="00031D8F">
        <w:rPr>
          <w:lang w:eastAsia="ko-KR"/>
        </w:rPr>
        <w:t xml:space="preserve">unwanted bias. </w:t>
      </w:r>
      <w:r w:rsidR="009E600D" w:rsidRPr="00031D8F">
        <w:rPr>
          <w:rFonts w:hint="eastAsia"/>
          <w:lang w:eastAsia="ko-KR"/>
        </w:rPr>
        <w:t xml:space="preserve">The </w:t>
      </w:r>
      <w:r w:rsidR="00AF17D3" w:rsidRPr="00031D8F">
        <w:rPr>
          <w:lang w:eastAsia="ko-KR"/>
        </w:rPr>
        <w:t xml:space="preserve">original </w:t>
      </w:r>
      <w:r w:rsidR="009E600D" w:rsidRPr="00031D8F">
        <w:rPr>
          <w:rFonts w:hint="eastAsia"/>
          <w:lang w:eastAsia="ko-KR"/>
        </w:rPr>
        <w:t>BEES database includes 236 environmental flows</w:t>
      </w:r>
      <w:r w:rsidR="009E600D" w:rsidRPr="00031D8F">
        <w:rPr>
          <w:lang w:eastAsia="ko-KR"/>
        </w:rPr>
        <w:t xml:space="preserve"> and t</w:t>
      </w:r>
      <w:r w:rsidR="009E600D" w:rsidRPr="00031D8F">
        <w:rPr>
          <w:rFonts w:hint="eastAsia"/>
          <w:lang w:eastAsia="ko-KR"/>
        </w:rPr>
        <w:t>he CEDA database includes 1</w:t>
      </w:r>
      <w:r w:rsidR="009E600D" w:rsidRPr="00031D8F">
        <w:rPr>
          <w:lang w:eastAsia="ko-KR"/>
        </w:rPr>
        <w:t>,</w:t>
      </w:r>
      <w:r w:rsidR="009E600D" w:rsidRPr="00031D8F">
        <w:rPr>
          <w:rFonts w:hint="eastAsia"/>
          <w:lang w:eastAsia="ko-KR"/>
        </w:rPr>
        <w:t>344 flows</w:t>
      </w:r>
      <w:r w:rsidR="009E600D" w:rsidRPr="00031D8F">
        <w:rPr>
          <w:lang w:eastAsia="ko-KR"/>
        </w:rPr>
        <w:t xml:space="preserve"> for version 3 (base year 1998) and 2,591 for version 4 (base year 2002).</w:t>
      </w:r>
      <w:r w:rsidR="00470A18" w:rsidRPr="00031D8F">
        <w:rPr>
          <w:lang w:eastAsia="ko-KR"/>
        </w:rPr>
        <w:t xml:space="preserve"> Comparing </w:t>
      </w:r>
      <w:r w:rsidR="00606850" w:rsidRPr="00031D8F">
        <w:rPr>
          <w:lang w:eastAsia="ko-KR"/>
        </w:rPr>
        <w:t xml:space="preserve">the original </w:t>
      </w:r>
      <w:r w:rsidR="00470A18" w:rsidRPr="00031D8F">
        <w:rPr>
          <w:lang w:eastAsia="ko-KR"/>
        </w:rPr>
        <w:t xml:space="preserve">BEES with CEDA version 3, we found that </w:t>
      </w:r>
      <w:r w:rsidR="009E600D" w:rsidRPr="00031D8F">
        <w:rPr>
          <w:rFonts w:hint="eastAsia"/>
          <w:lang w:eastAsia="ko-KR"/>
        </w:rPr>
        <w:t xml:space="preserve">198 </w:t>
      </w:r>
      <w:r w:rsidR="00470A18" w:rsidRPr="00031D8F">
        <w:rPr>
          <w:lang w:eastAsia="ko-KR"/>
        </w:rPr>
        <w:t xml:space="preserve">environmental </w:t>
      </w:r>
      <w:r w:rsidR="009E600D" w:rsidRPr="00031D8F">
        <w:rPr>
          <w:rFonts w:hint="eastAsia"/>
          <w:lang w:eastAsia="ko-KR"/>
        </w:rPr>
        <w:t xml:space="preserve">flows are common </w:t>
      </w:r>
      <w:r w:rsidR="00006788" w:rsidRPr="00031D8F">
        <w:rPr>
          <w:lang w:eastAsia="ko-KR"/>
        </w:rPr>
        <w:t>to</w:t>
      </w:r>
      <w:r w:rsidR="009E600D" w:rsidRPr="00031D8F">
        <w:rPr>
          <w:rFonts w:hint="eastAsia"/>
          <w:lang w:eastAsia="ko-KR"/>
        </w:rPr>
        <w:t xml:space="preserve"> both databases, 38 flows are only in BEES and 1</w:t>
      </w:r>
      <w:r w:rsidR="00470A18" w:rsidRPr="00031D8F">
        <w:rPr>
          <w:lang w:eastAsia="ko-KR"/>
        </w:rPr>
        <w:t>,</w:t>
      </w:r>
      <w:r w:rsidR="009E600D" w:rsidRPr="00031D8F">
        <w:rPr>
          <w:rFonts w:hint="eastAsia"/>
          <w:lang w:eastAsia="ko-KR"/>
        </w:rPr>
        <w:t xml:space="preserve">163 flows are only in CEDA. </w:t>
      </w:r>
      <w:r w:rsidR="00006788" w:rsidRPr="00031D8F">
        <w:rPr>
          <w:lang w:eastAsia="ko-KR"/>
        </w:rPr>
        <w:t>The</w:t>
      </w:r>
      <w:r w:rsidR="009E600D" w:rsidRPr="00031D8F">
        <w:rPr>
          <w:rFonts w:hint="eastAsia"/>
          <w:lang w:eastAsia="ko-KR"/>
        </w:rPr>
        <w:t xml:space="preserve"> 38 flows </w:t>
      </w:r>
      <w:r w:rsidR="00006788" w:rsidRPr="00031D8F">
        <w:rPr>
          <w:lang w:eastAsia="ko-KR"/>
        </w:rPr>
        <w:t xml:space="preserve">that </w:t>
      </w:r>
      <w:r w:rsidR="009E600D" w:rsidRPr="00031D8F">
        <w:rPr>
          <w:rFonts w:hint="eastAsia"/>
          <w:lang w:eastAsia="ko-KR"/>
        </w:rPr>
        <w:t>were identified only in BEES</w:t>
      </w:r>
      <w:r w:rsidR="00470A18" w:rsidRPr="00031D8F">
        <w:rPr>
          <w:lang w:eastAsia="ko-KR"/>
        </w:rPr>
        <w:t xml:space="preserve"> </w:t>
      </w:r>
      <w:r w:rsidR="00006788" w:rsidRPr="00031D8F">
        <w:rPr>
          <w:lang w:eastAsia="ko-KR"/>
        </w:rPr>
        <w:t xml:space="preserve">were not in CEDA </w:t>
      </w:r>
      <w:r w:rsidR="00470A18" w:rsidRPr="00031D8F">
        <w:rPr>
          <w:lang w:eastAsia="ko-KR"/>
        </w:rPr>
        <w:t>due to a number of reasons</w:t>
      </w:r>
      <w:r w:rsidR="00006788" w:rsidRPr="00031D8F">
        <w:rPr>
          <w:lang w:eastAsia="ko-KR"/>
        </w:rPr>
        <w:t>,</w:t>
      </w:r>
      <w:r w:rsidR="00470A18" w:rsidRPr="00031D8F">
        <w:rPr>
          <w:lang w:eastAsia="ko-KR"/>
        </w:rPr>
        <w:t xml:space="preserve"> including different </w:t>
      </w:r>
      <w:r w:rsidR="009E600D" w:rsidRPr="00031D8F">
        <w:rPr>
          <w:rFonts w:hint="eastAsia"/>
          <w:lang w:eastAsia="ko-KR"/>
        </w:rPr>
        <w:t>classification of flows</w:t>
      </w:r>
      <w:r w:rsidR="00470A18" w:rsidRPr="00031D8F">
        <w:rPr>
          <w:lang w:eastAsia="ko-KR"/>
        </w:rPr>
        <w:t xml:space="preserve">. </w:t>
      </w:r>
    </w:p>
    <w:p w:rsidR="00C603A8" w:rsidRPr="00031D8F" w:rsidRDefault="00C603A8" w:rsidP="009E600D">
      <w:pPr>
        <w:rPr>
          <w:lang w:eastAsia="ko-KR"/>
        </w:rPr>
      </w:pPr>
      <w:r w:rsidRPr="00031D8F">
        <w:rPr>
          <w:lang w:eastAsia="ko-KR"/>
        </w:rPr>
        <w:t>In order to assess the potential incompatibility issues due to the difference in the coverage of environmental flows, LCIs of four construction sectors were calculated and characterized for three impact categories</w:t>
      </w:r>
      <w:r w:rsidR="00006788" w:rsidRPr="00031D8F">
        <w:rPr>
          <w:lang w:eastAsia="ko-KR"/>
        </w:rPr>
        <w:t>—</w:t>
      </w:r>
      <w:r w:rsidRPr="00031D8F">
        <w:rPr>
          <w:lang w:eastAsia="ko-KR"/>
        </w:rPr>
        <w:t xml:space="preserve">Global Warming (GWP100), Ozone </w:t>
      </w:r>
      <w:r w:rsidR="00103664" w:rsidRPr="00031D8F">
        <w:rPr>
          <w:lang w:eastAsia="ko-KR"/>
        </w:rPr>
        <w:t>L</w:t>
      </w:r>
      <w:r w:rsidRPr="00031D8F">
        <w:rPr>
          <w:lang w:eastAsia="ko-KR"/>
        </w:rPr>
        <w:t xml:space="preserve">ayer </w:t>
      </w:r>
      <w:r w:rsidR="00103664" w:rsidRPr="00031D8F">
        <w:rPr>
          <w:lang w:eastAsia="ko-KR"/>
        </w:rPr>
        <w:t>D</w:t>
      </w:r>
      <w:r w:rsidRPr="00031D8F">
        <w:rPr>
          <w:lang w:eastAsia="ko-KR"/>
        </w:rPr>
        <w:t xml:space="preserve">epletion (ODP steady), </w:t>
      </w:r>
      <w:r w:rsidRPr="00031D8F">
        <w:rPr>
          <w:lang w:eastAsia="ko-KR"/>
        </w:rPr>
        <w:lastRenderedPageBreak/>
        <w:t>and Human Toxicity (HTP100)</w:t>
      </w:r>
      <w:r w:rsidR="00006788" w:rsidRPr="00031D8F">
        <w:rPr>
          <w:lang w:eastAsia="ko-KR"/>
        </w:rPr>
        <w:t>—</w:t>
      </w:r>
      <w:r w:rsidRPr="00031D8F">
        <w:rPr>
          <w:lang w:eastAsia="ko-KR"/>
        </w:rPr>
        <w:t xml:space="preserve">and the collective contributions from the unmatched flows were quantified. The result is shown in Table 3. </w:t>
      </w:r>
    </w:p>
    <w:p w:rsidR="009E600D" w:rsidRPr="00031D8F" w:rsidRDefault="009E600D" w:rsidP="009E600D">
      <w:pPr>
        <w:rPr>
          <w:lang w:eastAsia="ko-KR"/>
        </w:rPr>
      </w:pPr>
      <w:r w:rsidRPr="00031D8F">
        <w:rPr>
          <w:rFonts w:hint="eastAsia"/>
          <w:lang w:eastAsia="ko-KR"/>
        </w:rPr>
        <w:t xml:space="preserve">Although the large number of </w:t>
      </w:r>
      <w:r w:rsidRPr="00031D8F">
        <w:rPr>
          <w:lang w:eastAsia="ko-KR"/>
        </w:rPr>
        <w:t>unmatched</w:t>
      </w:r>
      <w:r w:rsidRPr="00031D8F">
        <w:rPr>
          <w:rFonts w:hint="eastAsia"/>
          <w:lang w:eastAsia="ko-KR"/>
        </w:rPr>
        <w:t xml:space="preserve"> flows between BEES and CEDA may suggest incompatibility between the two databases, it is shown that the flows commonly included by both databases are the most important ones when </w:t>
      </w:r>
      <w:r w:rsidR="00C603A8" w:rsidRPr="00031D8F">
        <w:rPr>
          <w:lang w:eastAsia="ko-KR"/>
        </w:rPr>
        <w:t xml:space="preserve">characterized. </w:t>
      </w:r>
      <w:r w:rsidRPr="00031D8F">
        <w:rPr>
          <w:rFonts w:hint="eastAsia"/>
          <w:lang w:eastAsia="ko-KR"/>
        </w:rPr>
        <w:t xml:space="preserve">For </w:t>
      </w:r>
      <w:r w:rsidR="003A1106" w:rsidRPr="00031D8F">
        <w:rPr>
          <w:lang w:eastAsia="ko-KR"/>
        </w:rPr>
        <w:t xml:space="preserve">the </w:t>
      </w:r>
      <w:r w:rsidRPr="00031D8F">
        <w:rPr>
          <w:rFonts w:hint="eastAsia"/>
          <w:lang w:eastAsia="ko-KR"/>
        </w:rPr>
        <w:t xml:space="preserve">global warming impact category, common flows </w:t>
      </w:r>
      <w:r w:rsidR="003A1106" w:rsidRPr="00031D8F">
        <w:rPr>
          <w:lang w:eastAsia="ko-KR"/>
        </w:rPr>
        <w:t xml:space="preserve">represented </w:t>
      </w:r>
      <w:r w:rsidRPr="00031D8F">
        <w:rPr>
          <w:rFonts w:hint="eastAsia"/>
          <w:lang w:eastAsia="ko-KR"/>
        </w:rPr>
        <w:t xml:space="preserve">99.5% </w:t>
      </w:r>
      <w:r w:rsidRPr="00031D8F">
        <w:rPr>
          <w:lang w:eastAsia="ko-KR"/>
        </w:rPr>
        <w:t>–</w:t>
      </w:r>
      <w:r w:rsidRPr="00031D8F">
        <w:rPr>
          <w:rFonts w:hint="eastAsia"/>
          <w:lang w:eastAsia="ko-KR"/>
        </w:rPr>
        <w:t xml:space="preserve"> 99.8%</w:t>
      </w:r>
      <w:r w:rsidR="003A1106" w:rsidRPr="00031D8F">
        <w:rPr>
          <w:lang w:eastAsia="ko-KR"/>
        </w:rPr>
        <w:t>,</w:t>
      </w:r>
      <w:r w:rsidRPr="00031D8F">
        <w:rPr>
          <w:rFonts w:hint="eastAsia"/>
          <w:lang w:eastAsia="ko-KR"/>
        </w:rPr>
        <w:t xml:space="preserve"> showing that the 1</w:t>
      </w:r>
      <w:r w:rsidR="00470A18" w:rsidRPr="00031D8F">
        <w:rPr>
          <w:lang w:eastAsia="ko-KR"/>
        </w:rPr>
        <w:t>,</w:t>
      </w:r>
      <w:r w:rsidRPr="00031D8F">
        <w:rPr>
          <w:rFonts w:hint="eastAsia"/>
          <w:lang w:eastAsia="ko-KR"/>
        </w:rPr>
        <w:t xml:space="preserve">163 flows that are only in CEDA contributed less than 0.5% of the total. For ozone layer depletion, unmatched flows </w:t>
      </w:r>
      <w:r w:rsidR="003A1106" w:rsidRPr="00031D8F">
        <w:rPr>
          <w:lang w:eastAsia="ko-KR"/>
        </w:rPr>
        <w:t xml:space="preserve">represented a </w:t>
      </w:r>
      <w:r w:rsidRPr="00031D8F">
        <w:rPr>
          <w:rFonts w:hint="eastAsia"/>
          <w:lang w:eastAsia="ko-KR"/>
        </w:rPr>
        <w:t>more significant portion</w:t>
      </w:r>
      <w:r w:rsidR="003A1106" w:rsidRPr="00031D8F">
        <w:rPr>
          <w:lang w:eastAsia="ko-KR"/>
        </w:rPr>
        <w:t>,</w:t>
      </w:r>
      <w:r w:rsidRPr="00031D8F">
        <w:rPr>
          <w:rFonts w:hint="eastAsia"/>
          <w:lang w:eastAsia="ko-KR"/>
        </w:rPr>
        <w:t xml:space="preserve"> ranging from 3.5% to 7.9% of the total. </w:t>
      </w:r>
      <w:r w:rsidR="003A1106" w:rsidRPr="00031D8F">
        <w:rPr>
          <w:lang w:eastAsia="ko-KR"/>
        </w:rPr>
        <w:t>The u</w:t>
      </w:r>
      <w:r w:rsidRPr="00031D8F">
        <w:rPr>
          <w:lang w:eastAsia="ko-KR"/>
        </w:rPr>
        <w:t>nmatched</w:t>
      </w:r>
      <w:r w:rsidRPr="00031D8F">
        <w:rPr>
          <w:rFonts w:hint="eastAsia"/>
          <w:lang w:eastAsia="ko-KR"/>
        </w:rPr>
        <w:t xml:space="preserve"> flows</w:t>
      </w:r>
      <w:r w:rsidR="003A1106" w:rsidRPr="00031D8F">
        <w:rPr>
          <w:lang w:eastAsia="ko-KR"/>
        </w:rPr>
        <w:t xml:space="preserve"> for human toxicity</w:t>
      </w:r>
      <w:r w:rsidRPr="00031D8F">
        <w:rPr>
          <w:rFonts w:hint="eastAsia"/>
          <w:lang w:eastAsia="ko-KR"/>
        </w:rPr>
        <w:t xml:space="preserve"> contribut</w:t>
      </w:r>
      <w:r w:rsidR="003A1106" w:rsidRPr="00031D8F">
        <w:rPr>
          <w:lang w:eastAsia="ko-KR"/>
        </w:rPr>
        <w:t>ed</w:t>
      </w:r>
      <w:r w:rsidRPr="00031D8F">
        <w:rPr>
          <w:rFonts w:hint="eastAsia"/>
          <w:lang w:eastAsia="ko-KR"/>
        </w:rPr>
        <w:t xml:space="preserve"> less than 1.7% </w:t>
      </w:r>
      <w:r w:rsidR="003A1106" w:rsidRPr="00031D8F">
        <w:rPr>
          <w:lang w:eastAsia="ko-KR"/>
        </w:rPr>
        <w:t xml:space="preserve">in </w:t>
      </w:r>
      <w:r w:rsidRPr="00031D8F">
        <w:rPr>
          <w:rFonts w:hint="eastAsia"/>
          <w:lang w:eastAsia="ko-KR"/>
        </w:rPr>
        <w:t xml:space="preserve">the construction categories considered (Table </w:t>
      </w:r>
      <w:r w:rsidR="00470A18" w:rsidRPr="00031D8F">
        <w:rPr>
          <w:lang w:eastAsia="ko-KR"/>
        </w:rPr>
        <w:t>3</w:t>
      </w:r>
      <w:r w:rsidRPr="00031D8F">
        <w:rPr>
          <w:rFonts w:hint="eastAsia"/>
          <w:lang w:eastAsia="ko-KR"/>
        </w:rPr>
        <w:t>).</w:t>
      </w:r>
    </w:p>
    <w:p w:rsidR="009E600D" w:rsidRPr="00031D8F" w:rsidRDefault="00AF17D3" w:rsidP="009E600D">
      <w:pPr>
        <w:rPr>
          <w:lang w:eastAsia="ko-KR"/>
        </w:rPr>
      </w:pPr>
      <w:r w:rsidRPr="00031D8F">
        <w:rPr>
          <w:lang w:eastAsia="ko-KR"/>
        </w:rPr>
        <w:t xml:space="preserve">Recently, such gaps become even smaller, as </w:t>
      </w:r>
      <w:r w:rsidR="00761BBE" w:rsidRPr="00031D8F">
        <w:rPr>
          <w:lang w:eastAsia="ko-KR"/>
        </w:rPr>
        <w:t xml:space="preserve">the new </w:t>
      </w:r>
      <w:r w:rsidRPr="00031D8F">
        <w:rPr>
          <w:lang w:eastAsia="ko-KR"/>
        </w:rPr>
        <w:t xml:space="preserve">BEES </w:t>
      </w:r>
      <w:r w:rsidR="00761BBE" w:rsidRPr="00031D8F">
        <w:rPr>
          <w:lang w:eastAsia="ko-KR"/>
        </w:rPr>
        <w:t xml:space="preserve">data for the hybrid database </w:t>
      </w:r>
      <w:r w:rsidR="00606850" w:rsidRPr="00031D8F">
        <w:rPr>
          <w:lang w:eastAsia="ko-KR"/>
        </w:rPr>
        <w:t xml:space="preserve">contain about 1,500 environmental flows. </w:t>
      </w:r>
      <w:r w:rsidR="00C603A8" w:rsidRPr="00031D8F">
        <w:rPr>
          <w:lang w:eastAsia="ko-KR"/>
        </w:rPr>
        <w:t xml:space="preserve">Overall, there were some </w:t>
      </w:r>
      <w:r w:rsidR="009F2C16" w:rsidRPr="00031D8F">
        <w:rPr>
          <w:lang w:eastAsia="ko-KR"/>
        </w:rPr>
        <w:t xml:space="preserve">minor </w:t>
      </w:r>
      <w:r w:rsidR="00C603A8" w:rsidRPr="00031D8F">
        <w:rPr>
          <w:lang w:eastAsia="ko-KR"/>
        </w:rPr>
        <w:t>incompatibility issues identified</w:t>
      </w:r>
      <w:r w:rsidR="003A1106" w:rsidRPr="00031D8F">
        <w:rPr>
          <w:lang w:eastAsia="ko-KR"/>
        </w:rPr>
        <w:t>,</w:t>
      </w:r>
      <w:r w:rsidR="00C603A8" w:rsidRPr="00031D8F">
        <w:rPr>
          <w:lang w:eastAsia="ko-KR"/>
        </w:rPr>
        <w:t xml:space="preserve"> but these issues do not appear to </w:t>
      </w:r>
      <w:r w:rsidR="003A1106" w:rsidRPr="00031D8F">
        <w:rPr>
          <w:lang w:eastAsia="ko-KR"/>
        </w:rPr>
        <w:t xml:space="preserve">be significant enough to make </w:t>
      </w:r>
      <w:r w:rsidR="00C603A8" w:rsidRPr="00031D8F">
        <w:rPr>
          <w:lang w:eastAsia="ko-KR"/>
        </w:rPr>
        <w:t>hybridization infeasible. Such compatibility check</w:t>
      </w:r>
      <w:r w:rsidR="003A1106" w:rsidRPr="00031D8F">
        <w:rPr>
          <w:lang w:eastAsia="ko-KR"/>
        </w:rPr>
        <w:t>s</w:t>
      </w:r>
      <w:r w:rsidR="00C603A8" w:rsidRPr="00031D8F">
        <w:rPr>
          <w:lang w:eastAsia="ko-KR"/>
        </w:rPr>
        <w:t xml:space="preserve"> </w:t>
      </w:r>
      <w:r w:rsidR="003A1106" w:rsidRPr="00031D8F">
        <w:rPr>
          <w:lang w:eastAsia="ko-KR"/>
        </w:rPr>
        <w:t xml:space="preserve">are </w:t>
      </w:r>
      <w:r w:rsidR="00C603A8" w:rsidRPr="00031D8F">
        <w:rPr>
          <w:lang w:eastAsia="ko-KR"/>
        </w:rPr>
        <w:t>useful to better understand the limitations of the hybrid BEES database.</w:t>
      </w:r>
    </w:p>
    <w:p w:rsidR="00972954" w:rsidRPr="00031D8F" w:rsidRDefault="00972954" w:rsidP="009E600D">
      <w:pPr>
        <w:rPr>
          <w:lang w:eastAsia="ko-KR"/>
        </w:rPr>
      </w:pPr>
    </w:p>
    <w:p w:rsidR="00BF3C89" w:rsidRPr="00031D8F" w:rsidRDefault="00E8313F" w:rsidP="00022601">
      <w:pPr>
        <w:pStyle w:val="Heading2"/>
        <w:ind w:left="360"/>
      </w:pPr>
      <w:bookmarkStart w:id="10" w:name="_Toc299376755"/>
      <w:r w:rsidRPr="00031D8F">
        <w:t>Construction of bi-resolution SUTs</w:t>
      </w:r>
      <w:bookmarkEnd w:id="10"/>
    </w:p>
    <w:p w:rsidR="00884906" w:rsidRPr="00031D8F" w:rsidRDefault="008C73C7" w:rsidP="008C73C7">
      <w:r w:rsidRPr="00031D8F">
        <w:t>Construction of the SUTs follow</w:t>
      </w:r>
      <w:r w:rsidR="00F373AF" w:rsidRPr="00031D8F">
        <w:t>s</w:t>
      </w:r>
      <w:r w:rsidRPr="00031D8F">
        <w:t xml:space="preserve"> the standard procedure described in Horowitz and Planting (2006). </w:t>
      </w:r>
      <w:r w:rsidR="00AC4A8C" w:rsidRPr="00031D8F">
        <w:t xml:space="preserve">There are 1,355 </w:t>
      </w:r>
      <w:r w:rsidR="00433965" w:rsidRPr="00031D8F">
        <w:t xml:space="preserve">item-level products </w:t>
      </w:r>
      <w:r w:rsidR="00AC4A8C" w:rsidRPr="00031D8F">
        <w:t>associated with construction sector</w:t>
      </w:r>
      <w:r w:rsidR="003C3487" w:rsidRPr="00031D8F">
        <w:t>s</w:t>
      </w:r>
      <w:r w:rsidR="00AC4A8C" w:rsidRPr="00031D8F">
        <w:t xml:space="preserve"> </w:t>
      </w:r>
      <w:r w:rsidR="003C3487" w:rsidRPr="00031D8F">
        <w:t>in the U.S.</w:t>
      </w:r>
      <w:r w:rsidR="003A1106" w:rsidRPr="00031D8F">
        <w:t>,</w:t>
      </w:r>
      <w:r w:rsidR="003C3487" w:rsidRPr="00031D8F">
        <w:t xml:space="preserve"> </w:t>
      </w:r>
      <w:r w:rsidR="00AC4A8C" w:rsidRPr="00031D8F">
        <w:t xml:space="preserve">including 42 building types. </w:t>
      </w:r>
      <w:r w:rsidR="00990680" w:rsidRPr="00031D8F">
        <w:t xml:space="preserve">The official U.S. input-output table uses </w:t>
      </w:r>
      <w:r w:rsidR="003A1106" w:rsidRPr="00031D8F">
        <w:t xml:space="preserve">a </w:t>
      </w:r>
      <w:r w:rsidR="00990680" w:rsidRPr="00031D8F">
        <w:t>mixed-technology model that involves redefinition</w:t>
      </w:r>
      <w:r w:rsidR="00C758B6" w:rsidRPr="00031D8F">
        <w:t>,</w:t>
      </w:r>
      <w:r w:rsidR="00990680" w:rsidRPr="00031D8F">
        <w:t xml:space="preserve"> and </w:t>
      </w:r>
      <w:r w:rsidR="003A1106" w:rsidRPr="00031D8F">
        <w:t xml:space="preserve">an </w:t>
      </w:r>
      <w:r w:rsidR="00990680" w:rsidRPr="00031D8F">
        <w:t>industry-technology model (Horowitz and Planting, 2006)</w:t>
      </w:r>
      <w:r w:rsidR="00AF17D3" w:rsidRPr="00031D8F">
        <w:rPr>
          <w:rStyle w:val="FootnoteReference"/>
        </w:rPr>
        <w:footnoteReference w:id="2"/>
      </w:r>
      <w:r w:rsidR="00990680" w:rsidRPr="00031D8F">
        <w:t>. We follow the same redefinition procedure used by BEA.</w:t>
      </w:r>
      <w:r w:rsidRPr="00031D8F">
        <w:t xml:space="preserve"> </w:t>
      </w:r>
      <w:r w:rsidR="00F373AF" w:rsidRPr="00031D8F">
        <w:t>As described earlier, t</w:t>
      </w:r>
      <w:r w:rsidR="00990680" w:rsidRPr="00031D8F">
        <w:t>he process results in four matrices</w:t>
      </w:r>
      <w:r w:rsidR="003A1106" w:rsidRPr="00031D8F">
        <w:t>:</w:t>
      </w:r>
      <w:r w:rsidR="00990680" w:rsidRPr="00031D8F">
        <w:t xml:space="preserve"> </w:t>
      </w:r>
      <w:r w:rsidR="00990680" w:rsidRPr="00031D8F">
        <w:rPr>
          <w:i/>
        </w:rPr>
        <w:t>V</w:t>
      </w:r>
      <w:r w:rsidR="00990680" w:rsidRPr="00031D8F">
        <w:rPr>
          <w:vertAlign w:val="superscript"/>
        </w:rPr>
        <w:t>I</w:t>
      </w:r>
      <w:r w:rsidR="00990680" w:rsidRPr="00031D8F">
        <w:t xml:space="preserve">, </w:t>
      </w:r>
      <w:r w:rsidR="00990680" w:rsidRPr="00031D8F">
        <w:rPr>
          <w:i/>
        </w:rPr>
        <w:t>V</w:t>
      </w:r>
      <w:r w:rsidR="00990680" w:rsidRPr="00031D8F">
        <w:rPr>
          <w:vertAlign w:val="superscript"/>
        </w:rPr>
        <w:t>S</w:t>
      </w:r>
      <w:r w:rsidR="00990680" w:rsidRPr="00031D8F">
        <w:t xml:space="preserve">, </w:t>
      </w:r>
      <w:r w:rsidR="00990680" w:rsidRPr="00031D8F">
        <w:rPr>
          <w:i/>
        </w:rPr>
        <w:t>U</w:t>
      </w:r>
      <w:r w:rsidR="00990680" w:rsidRPr="00031D8F">
        <w:rPr>
          <w:vertAlign w:val="superscript"/>
        </w:rPr>
        <w:t>I</w:t>
      </w:r>
      <w:r w:rsidR="00990680" w:rsidRPr="00031D8F">
        <w:t xml:space="preserve"> and </w:t>
      </w:r>
      <w:r w:rsidR="00990680" w:rsidRPr="00031D8F">
        <w:rPr>
          <w:i/>
        </w:rPr>
        <w:t>U</w:t>
      </w:r>
      <w:r w:rsidR="00990680" w:rsidRPr="00031D8F">
        <w:rPr>
          <w:vertAlign w:val="superscript"/>
        </w:rPr>
        <w:t>S</w:t>
      </w:r>
      <w:r w:rsidR="003A1106" w:rsidRPr="00031D8F">
        <w:t>.</w:t>
      </w:r>
    </w:p>
    <w:p w:rsidR="00CC2826" w:rsidRPr="00031D8F" w:rsidRDefault="00990680" w:rsidP="007E55B1">
      <w:r w:rsidRPr="00031D8F">
        <w:t xml:space="preserve">In addition, data on environmental flows need to be collected for the item-level products. </w:t>
      </w:r>
      <w:r w:rsidR="007E55B1" w:rsidRPr="00031D8F">
        <w:t>We utilize diverse data sources</w:t>
      </w:r>
      <w:r w:rsidR="003A1106" w:rsidRPr="00031D8F">
        <w:t>,</w:t>
      </w:r>
      <w:r w:rsidR="007E55B1" w:rsidRPr="00031D8F">
        <w:t xml:space="preserve"> including </w:t>
      </w:r>
      <w:r w:rsidR="00A97EAC" w:rsidRPr="00031D8F">
        <w:t xml:space="preserve">direct environmental flows from </w:t>
      </w:r>
      <w:r w:rsidR="007E55B1" w:rsidRPr="00031D8F">
        <w:t>unit process LCI</w:t>
      </w:r>
      <w:r w:rsidR="00A97EAC" w:rsidRPr="00031D8F">
        <w:t xml:space="preserve">s, literature, </w:t>
      </w:r>
      <w:r w:rsidR="00E31CAB" w:rsidRPr="00031D8F">
        <w:t xml:space="preserve">available </w:t>
      </w:r>
      <w:r w:rsidR="00A97EAC" w:rsidRPr="00031D8F">
        <w:t>statistic</w:t>
      </w:r>
      <w:r w:rsidR="00E31CAB" w:rsidRPr="00031D8F">
        <w:t>al data</w:t>
      </w:r>
      <w:r w:rsidR="00A97EAC" w:rsidRPr="00031D8F">
        <w:t xml:space="preserve"> and emission factor</w:t>
      </w:r>
      <w:r w:rsidR="00E31CAB" w:rsidRPr="00031D8F">
        <w:t>s</w:t>
      </w:r>
      <w:r w:rsidR="00A97EAC" w:rsidRPr="00031D8F">
        <w:t>. The resulting draft environmental flow</w:t>
      </w:r>
      <w:r w:rsidR="003A1106" w:rsidRPr="00031D8F">
        <w:t>-</w:t>
      </w:r>
      <w:r w:rsidR="008C4530" w:rsidRPr="00031D8F">
        <w:lastRenderedPageBreak/>
        <w:t>by</w:t>
      </w:r>
      <w:r w:rsidR="003A1106" w:rsidRPr="00031D8F">
        <w:t>-</w:t>
      </w:r>
      <w:r w:rsidR="008C4530" w:rsidRPr="00031D8F">
        <w:t>industry</w:t>
      </w:r>
      <w:r w:rsidR="00A97EAC" w:rsidRPr="00031D8F">
        <w:t xml:space="preserve"> matrix is then balanced </w:t>
      </w:r>
      <w:r w:rsidR="0077249E" w:rsidRPr="00031D8F">
        <w:t xml:space="preserve">and adjusted </w:t>
      </w:r>
      <w:r w:rsidR="00A97EAC" w:rsidRPr="00031D8F">
        <w:t xml:space="preserve">based on the constraint that the sum of each direct environmental flow across all the item-level </w:t>
      </w:r>
      <w:r w:rsidR="008C4530" w:rsidRPr="00031D8F">
        <w:t>industries</w:t>
      </w:r>
      <w:r w:rsidR="00A97EAC" w:rsidRPr="00031D8F">
        <w:t xml:space="preserve"> that belong to a standard IO </w:t>
      </w:r>
      <w:r w:rsidR="008C4530" w:rsidRPr="00031D8F">
        <w:t>industry</w:t>
      </w:r>
      <w:r w:rsidR="00A97EAC" w:rsidRPr="00031D8F">
        <w:t xml:space="preserve"> equals the corresponding environmental flow of the standard IO </w:t>
      </w:r>
      <w:r w:rsidR="008C4530" w:rsidRPr="00031D8F">
        <w:t>industry</w:t>
      </w:r>
      <w:r w:rsidR="00A97EAC" w:rsidRPr="00031D8F">
        <w:t>.</w:t>
      </w:r>
      <w:r w:rsidR="008C4530" w:rsidRPr="00031D8F">
        <w:t xml:space="preserve"> The results are environmental flow per item-level and standard industry</w:t>
      </w:r>
      <w:r w:rsidR="00186B96" w:rsidRPr="00031D8F">
        <w:t>-level</w:t>
      </w:r>
      <w:r w:rsidR="008C4530" w:rsidRPr="00031D8F">
        <w:t xml:space="preserve"> matrices.</w:t>
      </w:r>
    </w:p>
    <w:p w:rsidR="00CC2826" w:rsidRPr="00031D8F" w:rsidRDefault="00CC2826" w:rsidP="00022601">
      <w:pPr>
        <w:ind w:left="360"/>
      </w:pPr>
    </w:p>
    <w:p w:rsidR="00D87135" w:rsidRPr="00031D8F" w:rsidRDefault="00D87135" w:rsidP="00022601">
      <w:pPr>
        <w:pStyle w:val="Heading2"/>
        <w:ind w:left="360"/>
      </w:pPr>
      <w:bookmarkStart w:id="11" w:name="_Toc299376756"/>
      <w:r w:rsidRPr="00031D8F">
        <w:t xml:space="preserve">Formation of technology </w:t>
      </w:r>
      <w:r w:rsidR="001D048C" w:rsidRPr="00031D8F">
        <w:t xml:space="preserve">and environmental </w:t>
      </w:r>
      <w:r w:rsidRPr="00031D8F">
        <w:t>matri</w:t>
      </w:r>
      <w:r w:rsidR="001D048C" w:rsidRPr="00031D8F">
        <w:t>ces</w:t>
      </w:r>
      <w:r w:rsidRPr="00031D8F">
        <w:t xml:space="preserve"> </w:t>
      </w:r>
      <w:r w:rsidR="001D048C" w:rsidRPr="00031D8F">
        <w:t>of</w:t>
      </w:r>
      <w:r w:rsidRPr="00031D8F">
        <w:t xml:space="preserve"> BEES</w:t>
      </w:r>
      <w:bookmarkEnd w:id="11"/>
    </w:p>
    <w:p w:rsidR="006800C5" w:rsidRPr="00031D8F" w:rsidRDefault="000B5A4F" w:rsidP="001D048C">
      <w:r w:rsidRPr="00031D8F">
        <w:t>The u</w:t>
      </w:r>
      <w:r w:rsidR="001D048C" w:rsidRPr="00031D8F">
        <w:t>nit process</w:t>
      </w:r>
      <w:r w:rsidR="004F6042" w:rsidRPr="00031D8F">
        <w:t>-level,</w:t>
      </w:r>
      <w:r w:rsidR="001D048C" w:rsidRPr="00031D8F">
        <w:t xml:space="preserve"> raw data </w:t>
      </w:r>
      <w:r w:rsidR="00125613" w:rsidRPr="00031D8F">
        <w:t>for</w:t>
      </w:r>
      <w:r w:rsidR="001D048C" w:rsidRPr="00031D8F">
        <w:t xml:space="preserve"> BEES </w:t>
      </w:r>
      <w:r w:rsidR="00F373AF" w:rsidRPr="00031D8F">
        <w:t>energy technologies is</w:t>
      </w:r>
      <w:r w:rsidR="001D048C" w:rsidRPr="00031D8F">
        <w:t xml:space="preserve"> converted into matrices to better facilitate the hybridization process</w:t>
      </w:r>
      <w:r w:rsidR="004F6042" w:rsidRPr="00031D8F">
        <w:t xml:space="preserve"> described earlier</w:t>
      </w:r>
      <w:r w:rsidR="001D048C" w:rsidRPr="00031D8F">
        <w:t xml:space="preserve">. </w:t>
      </w:r>
      <w:r w:rsidR="00E15C20" w:rsidRPr="00031D8F">
        <w:t xml:space="preserve">There are </w:t>
      </w:r>
      <w:r w:rsidR="005C6638" w:rsidRPr="00031D8F">
        <w:t>a few thousand</w:t>
      </w:r>
      <w:r w:rsidR="00E15C20" w:rsidRPr="00031D8F">
        <w:t xml:space="preserve"> unit processes in the completely rolled out data of </w:t>
      </w:r>
      <w:r w:rsidR="009F4CCB" w:rsidRPr="00031D8F">
        <w:t xml:space="preserve">the </w:t>
      </w:r>
      <w:r w:rsidR="00606850" w:rsidRPr="00031D8F">
        <w:t>new</w:t>
      </w:r>
      <w:r w:rsidR="005C6638" w:rsidRPr="00031D8F">
        <w:t xml:space="preserve"> </w:t>
      </w:r>
      <w:r w:rsidR="00E15C20" w:rsidRPr="00031D8F">
        <w:t>BEES</w:t>
      </w:r>
      <w:r w:rsidR="009F4CCB" w:rsidRPr="00031D8F">
        <w:t xml:space="preserve"> tool</w:t>
      </w:r>
      <w:r w:rsidR="00E15C20" w:rsidRPr="00031D8F">
        <w:t xml:space="preserve">. </w:t>
      </w:r>
      <w:r w:rsidRPr="00031D8F">
        <w:t xml:space="preserve">This data </w:t>
      </w:r>
      <w:r w:rsidR="004E503A" w:rsidRPr="00031D8F">
        <w:t>include</w:t>
      </w:r>
      <w:r w:rsidR="00F373AF" w:rsidRPr="00031D8F">
        <w:t>s</w:t>
      </w:r>
      <w:r w:rsidR="004E503A" w:rsidRPr="00031D8F">
        <w:t xml:space="preserve"> </w:t>
      </w:r>
      <w:r w:rsidRPr="00031D8F">
        <w:t xml:space="preserve">information </w:t>
      </w:r>
      <w:r w:rsidR="008411DB" w:rsidRPr="00031D8F">
        <w:t xml:space="preserve">on upstream processes </w:t>
      </w:r>
      <w:r w:rsidRPr="00031D8F">
        <w:t xml:space="preserve">from </w:t>
      </w:r>
      <w:r w:rsidR="004E503A" w:rsidRPr="00031D8F">
        <w:t xml:space="preserve">commercial and non-commercial LCI databases. </w:t>
      </w:r>
      <w:r w:rsidR="00B417CF" w:rsidRPr="00031D8F">
        <w:t xml:space="preserve">Likewise, the </w:t>
      </w:r>
      <w:r w:rsidR="00F373AF" w:rsidRPr="00031D8F">
        <w:t xml:space="preserve">BEES </w:t>
      </w:r>
      <w:r w:rsidR="00B417CF" w:rsidRPr="00031D8F">
        <w:t>environmental flow data is converted into direct environmental flow</w:t>
      </w:r>
      <w:r w:rsidR="008411DB" w:rsidRPr="00031D8F">
        <w:t>s</w:t>
      </w:r>
      <w:r w:rsidR="00B417CF" w:rsidRPr="00031D8F">
        <w:t xml:space="preserve"> by unit process format for subsequent integration.</w:t>
      </w:r>
    </w:p>
    <w:p w:rsidR="00CC2826" w:rsidRPr="00031D8F" w:rsidRDefault="001D048C" w:rsidP="001D048C">
      <w:r w:rsidRPr="00031D8F">
        <w:t xml:space="preserve"> </w:t>
      </w:r>
    </w:p>
    <w:p w:rsidR="00B417CF" w:rsidRPr="00031D8F" w:rsidRDefault="00B417CF" w:rsidP="00022601">
      <w:pPr>
        <w:pStyle w:val="Heading2"/>
        <w:ind w:left="360"/>
      </w:pPr>
      <w:bookmarkStart w:id="12" w:name="_Toc299376757"/>
      <w:r w:rsidRPr="00031D8F">
        <w:t>Estimation of the cut-offs</w:t>
      </w:r>
      <w:bookmarkEnd w:id="12"/>
    </w:p>
    <w:p w:rsidR="00B417CF" w:rsidRPr="00031D8F" w:rsidRDefault="00B417CF" w:rsidP="00B417CF">
      <w:r w:rsidRPr="00031D8F">
        <w:t xml:space="preserve">We employed </w:t>
      </w:r>
      <w:r w:rsidR="008411DB" w:rsidRPr="00031D8F">
        <w:t xml:space="preserve">a </w:t>
      </w:r>
      <w:r w:rsidR="00EA5C6A" w:rsidRPr="00031D8F">
        <w:t>four</w:t>
      </w:r>
      <w:r w:rsidR="00914C53" w:rsidRPr="00031D8F">
        <w:t>-</w:t>
      </w:r>
      <w:r w:rsidRPr="00031D8F">
        <w:t xml:space="preserve">step approach to estimate cut-offs. </w:t>
      </w:r>
      <w:r w:rsidR="00F46F2D" w:rsidRPr="00031D8F">
        <w:t xml:space="preserve">First, existing documentation on cut-offs </w:t>
      </w:r>
      <w:r w:rsidR="008779E2" w:rsidRPr="00031D8F">
        <w:t xml:space="preserve">employed </w:t>
      </w:r>
      <w:r w:rsidR="00F46F2D" w:rsidRPr="00031D8F">
        <w:t xml:space="preserve">in </w:t>
      </w:r>
      <w:r w:rsidR="008779E2" w:rsidRPr="00031D8F">
        <w:t xml:space="preserve">developing </w:t>
      </w:r>
      <w:r w:rsidR="00F46F2D" w:rsidRPr="00031D8F">
        <w:t xml:space="preserve">BEES </w:t>
      </w:r>
      <w:r w:rsidR="008779E2" w:rsidRPr="00031D8F">
        <w:t>LCIs</w:t>
      </w:r>
      <w:r w:rsidR="00F46F2D" w:rsidRPr="00031D8F">
        <w:t xml:space="preserve"> </w:t>
      </w:r>
      <w:r w:rsidR="008779E2" w:rsidRPr="00031D8F">
        <w:t xml:space="preserve">is </w:t>
      </w:r>
      <w:r w:rsidR="00F46F2D" w:rsidRPr="00031D8F">
        <w:t xml:space="preserve">used to </w:t>
      </w:r>
      <w:r w:rsidR="008779E2" w:rsidRPr="00031D8F">
        <w:t xml:space="preserve">help </w:t>
      </w:r>
      <w:r w:rsidR="00F46F2D" w:rsidRPr="00031D8F">
        <w:t>compile cut-off flows. Second, we identif</w:t>
      </w:r>
      <w:r w:rsidR="001D2EA9" w:rsidRPr="00031D8F">
        <w:t>y</w:t>
      </w:r>
      <w:r w:rsidR="00F46F2D" w:rsidRPr="00031D8F">
        <w:t xml:space="preserve"> key processes </w:t>
      </w:r>
      <w:r w:rsidR="001D2EA9" w:rsidRPr="00031D8F">
        <w:t>for</w:t>
      </w:r>
      <w:r w:rsidR="00F46F2D" w:rsidRPr="00031D8F">
        <w:t xml:space="preserve"> which hybridization should be prioritized. Estimating cut-offs for all processes </w:t>
      </w:r>
      <w:proofErr w:type="gramStart"/>
      <w:r w:rsidR="00F46F2D" w:rsidRPr="00031D8F">
        <w:t>is</w:t>
      </w:r>
      <w:proofErr w:type="gramEnd"/>
      <w:r w:rsidR="00F46F2D" w:rsidRPr="00031D8F">
        <w:t xml:space="preserve"> </w:t>
      </w:r>
      <w:r w:rsidR="001D2EA9" w:rsidRPr="00031D8F">
        <w:t xml:space="preserve">not </w:t>
      </w:r>
      <w:r w:rsidR="00F46F2D" w:rsidRPr="00031D8F">
        <w:t xml:space="preserve">cost-effective. Using standard contribution analysis </w:t>
      </w:r>
      <w:r w:rsidR="00852501" w:rsidRPr="00031D8F">
        <w:t xml:space="preserve">(see e.g., Suh, 2005) </w:t>
      </w:r>
      <w:r w:rsidR="00F46F2D" w:rsidRPr="00031D8F">
        <w:t xml:space="preserve">on the </w:t>
      </w:r>
      <w:r w:rsidR="00EA5C6A" w:rsidRPr="00031D8F">
        <w:t>bi-resolution input-output table</w:t>
      </w:r>
      <w:r w:rsidR="00F46F2D" w:rsidRPr="00031D8F">
        <w:t xml:space="preserve">, </w:t>
      </w:r>
      <w:r w:rsidR="001D2EA9" w:rsidRPr="00031D8F">
        <w:t xml:space="preserve">the </w:t>
      </w:r>
      <w:r w:rsidR="00F46F2D" w:rsidRPr="00031D8F">
        <w:t xml:space="preserve">major contributing products to the 42 building types are identified, and corresponding processes in BEES </w:t>
      </w:r>
      <w:r w:rsidR="004B3061" w:rsidRPr="00031D8F">
        <w:t xml:space="preserve">energy technology LCIs </w:t>
      </w:r>
      <w:r w:rsidR="00F46F2D" w:rsidRPr="00031D8F">
        <w:t xml:space="preserve">are selected for </w:t>
      </w:r>
      <w:r w:rsidR="001D2EA9" w:rsidRPr="00031D8F">
        <w:t xml:space="preserve">an </w:t>
      </w:r>
      <w:r w:rsidR="00EA5C6A" w:rsidRPr="00031D8F">
        <w:t xml:space="preserve">initial estimation of the cut-offs. Third, for the selected processes, price data are collected for inputs and </w:t>
      </w:r>
      <w:r w:rsidR="001D2EA9" w:rsidRPr="00031D8F">
        <w:t xml:space="preserve">the </w:t>
      </w:r>
      <w:r w:rsidR="00EA5C6A" w:rsidRPr="00031D8F">
        <w:t xml:space="preserve">financial balance approach is applied to locate potential cut-off flows. </w:t>
      </w:r>
      <w:r w:rsidRPr="00031D8F">
        <w:t xml:space="preserve">As described earlier, BEES uses not only mass and energy but also </w:t>
      </w:r>
      <w:r w:rsidR="00F373AF" w:rsidRPr="00031D8F">
        <w:t xml:space="preserve">the </w:t>
      </w:r>
      <w:r w:rsidRPr="00031D8F">
        <w:t>economic value of inputs to a process as cut-off criteria.</w:t>
      </w:r>
      <w:r w:rsidR="00EA5C6A" w:rsidRPr="00031D8F">
        <w:t xml:space="preserve"> Such price information in BEES is very helpful in compiling cut-off data.</w:t>
      </w:r>
      <w:r w:rsidRPr="00031D8F">
        <w:t xml:space="preserve"> </w:t>
      </w:r>
      <w:r w:rsidR="00EA5C6A" w:rsidRPr="00031D8F">
        <w:t xml:space="preserve">Fourth, the compiled cut-off data is integrated into the </w:t>
      </w:r>
      <w:r w:rsidR="00EA5C6A" w:rsidRPr="00031D8F">
        <w:rPr>
          <w:i/>
        </w:rPr>
        <w:t>U</w:t>
      </w:r>
      <w:r w:rsidR="00EA5C6A" w:rsidRPr="00031D8F">
        <w:rPr>
          <w:vertAlign w:val="superscript"/>
        </w:rPr>
        <w:t>P</w:t>
      </w:r>
      <w:r w:rsidR="00EA5C6A" w:rsidRPr="00031D8F">
        <w:t xml:space="preserve"> matrix.</w:t>
      </w:r>
    </w:p>
    <w:p w:rsidR="00B417CF" w:rsidRPr="00031D8F" w:rsidRDefault="00B417CF" w:rsidP="00B417CF"/>
    <w:p w:rsidR="00D87135" w:rsidRPr="00031D8F" w:rsidRDefault="00D87135" w:rsidP="00022601">
      <w:pPr>
        <w:pStyle w:val="Heading2"/>
        <w:ind w:left="360"/>
      </w:pPr>
      <w:bookmarkStart w:id="13" w:name="_Toc299376758"/>
      <w:r w:rsidRPr="00031D8F">
        <w:lastRenderedPageBreak/>
        <w:t xml:space="preserve">Subtraction of </w:t>
      </w:r>
      <w:r w:rsidR="001D2EA9" w:rsidRPr="00031D8F">
        <w:t xml:space="preserve">the </w:t>
      </w:r>
      <w:r w:rsidRPr="00031D8F">
        <w:t>BEES portion from the SUTs</w:t>
      </w:r>
      <w:bookmarkEnd w:id="13"/>
    </w:p>
    <w:p w:rsidR="009852AC" w:rsidRPr="00031D8F" w:rsidRDefault="00B417CF" w:rsidP="00B417CF">
      <w:r w:rsidRPr="00031D8F">
        <w:t xml:space="preserve">The exchanges of products represented by the BEES unit process data are, in principle, included </w:t>
      </w:r>
      <w:r w:rsidR="00237CBF" w:rsidRPr="00031D8F">
        <w:t>in the bi-resolution SUTs.</w:t>
      </w:r>
      <w:r w:rsidR="005A04EE" w:rsidRPr="00031D8F">
        <w:t xml:space="preserve"> </w:t>
      </w:r>
      <w:r w:rsidR="00B629E5" w:rsidRPr="00031D8F">
        <w:t>S</w:t>
      </w:r>
      <w:r w:rsidR="005A04EE" w:rsidRPr="00031D8F">
        <w:t xml:space="preserve">ubtracting the part of the exchanges already represented in the process domain </w:t>
      </w:r>
      <w:r w:rsidR="00B629E5" w:rsidRPr="00031D8F">
        <w:t xml:space="preserve">can enhance the specificity of the IO information </w:t>
      </w:r>
      <w:r w:rsidR="005A04EE" w:rsidRPr="00031D8F">
        <w:t xml:space="preserve">(see Appendix in Suh, 2004).  It should be noted, however, that the inclusion of the process data in the IO domain does not lead to double-counting in the LCI results. </w:t>
      </w:r>
      <w:r w:rsidR="00B629E5" w:rsidRPr="00031D8F">
        <w:t>T</w:t>
      </w:r>
      <w:r w:rsidR="000D4159" w:rsidRPr="00031D8F">
        <w:t xml:space="preserve">he IO data </w:t>
      </w:r>
      <w:r w:rsidR="00B629E5" w:rsidRPr="00031D8F">
        <w:t xml:space="preserve">represents </w:t>
      </w:r>
      <w:r w:rsidR="000D4159" w:rsidRPr="00031D8F">
        <w:t>an average of a sector</w:t>
      </w:r>
      <w:r w:rsidR="00B629E5" w:rsidRPr="00031D8F">
        <w:t>. Therefore,</w:t>
      </w:r>
      <w:r w:rsidR="000D4159" w:rsidRPr="00031D8F">
        <w:t xml:space="preserve"> </w:t>
      </w:r>
      <w:r w:rsidR="00B629E5" w:rsidRPr="00031D8F">
        <w:t xml:space="preserve">by </w:t>
      </w:r>
      <w:r w:rsidR="000D4159" w:rsidRPr="00031D8F">
        <w:t xml:space="preserve">subtracting the process part from the IO part, the IO part can be </w:t>
      </w:r>
      <w:r w:rsidR="00B629E5" w:rsidRPr="00031D8F">
        <w:t xml:space="preserve">better </w:t>
      </w:r>
      <w:r w:rsidR="000D4159" w:rsidRPr="00031D8F">
        <w:t xml:space="preserve">specified as an average of </w:t>
      </w:r>
      <w:r w:rsidR="00B629E5" w:rsidRPr="00031D8F">
        <w:t>the remaining part of the</w:t>
      </w:r>
      <w:r w:rsidR="000D4159" w:rsidRPr="00031D8F">
        <w:t xml:space="preserve"> sector without the processes represented in the process domain. For instance, subtracting </w:t>
      </w:r>
      <w:r w:rsidR="00C758B6" w:rsidRPr="00031D8F">
        <w:t>the</w:t>
      </w:r>
      <w:r w:rsidR="000D4159" w:rsidRPr="00031D8F">
        <w:t xml:space="preserve"> hybrid motor vehicle portion from </w:t>
      </w:r>
      <w:r w:rsidR="00C758B6" w:rsidRPr="00031D8F">
        <w:t xml:space="preserve">the </w:t>
      </w:r>
      <w:r w:rsidR="000D4159" w:rsidRPr="00031D8F">
        <w:t xml:space="preserve">passenger car sector of an IO table would better specify the sector </w:t>
      </w:r>
      <w:r w:rsidR="00362DEA" w:rsidRPr="00031D8F">
        <w:t xml:space="preserve">of non-hybrid </w:t>
      </w:r>
      <w:r w:rsidR="000D4159" w:rsidRPr="00031D8F">
        <w:t>passenger car</w:t>
      </w:r>
      <w:r w:rsidR="00362DEA" w:rsidRPr="00031D8F">
        <w:t>s</w:t>
      </w:r>
      <w:r w:rsidR="002255EE" w:rsidRPr="00031D8F">
        <w:t xml:space="preserve">. </w:t>
      </w:r>
      <w:r w:rsidR="00362DEA" w:rsidRPr="00031D8F">
        <w:t>However,</w:t>
      </w:r>
      <w:r w:rsidR="002255EE" w:rsidRPr="00031D8F">
        <w:t xml:space="preserve"> even without the subtraction, the IO </w:t>
      </w:r>
      <w:r w:rsidR="00362DEA" w:rsidRPr="00031D8F">
        <w:t xml:space="preserve">data </w:t>
      </w:r>
      <w:r w:rsidR="002255EE" w:rsidRPr="00031D8F">
        <w:t xml:space="preserve">still </w:t>
      </w:r>
      <w:r w:rsidR="00362DEA" w:rsidRPr="00031D8F">
        <w:t xml:space="preserve">provides </w:t>
      </w:r>
      <w:r w:rsidR="002255EE" w:rsidRPr="00031D8F">
        <w:t xml:space="preserve">an average of the </w:t>
      </w:r>
      <w:r w:rsidR="00362DEA" w:rsidRPr="00031D8F">
        <w:t xml:space="preserve">entire passenger car </w:t>
      </w:r>
      <w:r w:rsidR="002255EE" w:rsidRPr="00031D8F">
        <w:t xml:space="preserve">sector </w:t>
      </w:r>
      <w:r w:rsidR="00362DEA" w:rsidRPr="00031D8F">
        <w:t xml:space="preserve">(including hybrids) and does not double count </w:t>
      </w:r>
      <w:r w:rsidR="002255EE" w:rsidRPr="00031D8F">
        <w:t>the LCI results</w:t>
      </w:r>
      <w:r w:rsidR="0011379F" w:rsidRPr="00031D8F">
        <w:t xml:space="preserve"> (see also </w:t>
      </w:r>
      <w:proofErr w:type="spellStart"/>
      <w:r w:rsidR="0011379F" w:rsidRPr="00031D8F">
        <w:t>Strømman</w:t>
      </w:r>
      <w:proofErr w:type="spellEnd"/>
      <w:r w:rsidR="0011379F" w:rsidRPr="00031D8F">
        <w:t xml:space="preserve"> et al., 2009)</w:t>
      </w:r>
      <w:r w:rsidR="002255EE" w:rsidRPr="00031D8F">
        <w:t xml:space="preserve">. </w:t>
      </w:r>
    </w:p>
    <w:p w:rsidR="00CC2826" w:rsidRPr="00031D8F" w:rsidRDefault="00362DEA" w:rsidP="00C47FC8">
      <w:r w:rsidRPr="00031D8F">
        <w:t>Though the s</w:t>
      </w:r>
      <w:r w:rsidR="002255EE" w:rsidRPr="00031D8F">
        <w:t xml:space="preserve">ubtraction of process data from </w:t>
      </w:r>
      <w:r w:rsidRPr="00031D8F">
        <w:t xml:space="preserve">the </w:t>
      </w:r>
      <w:r w:rsidR="002255EE" w:rsidRPr="00031D8F">
        <w:t xml:space="preserve">IO portion </w:t>
      </w:r>
      <w:r w:rsidRPr="00031D8F">
        <w:t xml:space="preserve">will </w:t>
      </w:r>
      <w:r w:rsidR="002255EE" w:rsidRPr="00031D8F">
        <w:t xml:space="preserve">lead </w:t>
      </w:r>
      <w:r w:rsidRPr="00031D8F">
        <w:t xml:space="preserve">to </w:t>
      </w:r>
      <w:r w:rsidR="002255EE" w:rsidRPr="00031D8F">
        <w:t xml:space="preserve">an improvement in </w:t>
      </w:r>
      <w:r w:rsidRPr="00031D8F">
        <w:t xml:space="preserve">the </w:t>
      </w:r>
      <w:r w:rsidR="002255EE" w:rsidRPr="00031D8F">
        <w:t xml:space="preserve">overall quality of the data, the level of improvement </w:t>
      </w:r>
      <w:r w:rsidRPr="00031D8F">
        <w:t xml:space="preserve">is </w:t>
      </w:r>
      <w:r w:rsidR="00803D7D" w:rsidRPr="00031D8F">
        <w:t>not critically important</w:t>
      </w:r>
      <w:r w:rsidR="002255EE" w:rsidRPr="00031D8F">
        <w:t>. Therefore, this step is optional.</w:t>
      </w:r>
    </w:p>
    <w:p w:rsidR="00C47FC8" w:rsidRPr="00031D8F" w:rsidRDefault="00C47FC8" w:rsidP="00C47FC8"/>
    <w:p w:rsidR="00D87135" w:rsidRPr="00031D8F" w:rsidRDefault="00D87135" w:rsidP="00022601">
      <w:pPr>
        <w:pStyle w:val="Heading2"/>
        <w:ind w:left="360"/>
      </w:pPr>
      <w:bookmarkStart w:id="14" w:name="_Toc299376759"/>
      <w:r w:rsidRPr="00031D8F">
        <w:t>Integration of BEES and SUTs</w:t>
      </w:r>
      <w:r w:rsidR="006A610B" w:rsidRPr="00031D8F">
        <w:t xml:space="preserve"> and calculation of LCIs</w:t>
      </w:r>
      <w:bookmarkEnd w:id="14"/>
    </w:p>
    <w:p w:rsidR="00C47FC8" w:rsidRPr="00031D8F" w:rsidRDefault="00803D7D" w:rsidP="00C47FC8">
      <w:r w:rsidRPr="00031D8F">
        <w:t>Once all the matrices are prepared, they are integrated as described in section 2.4</w:t>
      </w:r>
      <w:r w:rsidR="00C47FC8" w:rsidRPr="00031D8F">
        <w:t xml:space="preserve">, which completes the data preparation </w:t>
      </w:r>
      <w:r w:rsidR="00ED2EE2" w:rsidRPr="00031D8F">
        <w:t xml:space="preserve">required </w:t>
      </w:r>
      <w:r w:rsidR="00C47FC8" w:rsidRPr="00031D8F">
        <w:t>for the hybrid BEES</w:t>
      </w:r>
      <w:r w:rsidR="00C758B6" w:rsidRPr="00031D8F">
        <w:t xml:space="preserve"> database</w:t>
      </w:r>
      <w:r w:rsidR="00C47FC8" w:rsidRPr="00031D8F">
        <w:t>.</w:t>
      </w:r>
      <w:r w:rsidRPr="00031D8F">
        <w:t xml:space="preserve"> </w:t>
      </w:r>
      <w:r w:rsidR="00C47FC8" w:rsidRPr="00031D8F">
        <w:t xml:space="preserve">Necessary analytical tables are drawn from these matrices and the LCIs </w:t>
      </w:r>
      <w:r w:rsidR="00C758B6" w:rsidRPr="00031D8F">
        <w:t>for</w:t>
      </w:r>
      <w:r w:rsidR="00C47FC8" w:rsidRPr="00031D8F">
        <w:t xml:space="preserve"> hybrid BEES are calculated.</w:t>
      </w:r>
    </w:p>
    <w:p w:rsidR="00CC2826" w:rsidRPr="00031D8F" w:rsidRDefault="00CC2826" w:rsidP="00C47FC8"/>
    <w:p w:rsidR="00D87135" w:rsidRPr="00031D8F" w:rsidRDefault="006A610B" w:rsidP="00022601">
      <w:pPr>
        <w:pStyle w:val="Heading2"/>
        <w:ind w:left="360"/>
      </w:pPr>
      <w:bookmarkStart w:id="15" w:name="_Toc299376760"/>
      <w:r w:rsidRPr="00031D8F">
        <w:t xml:space="preserve">Test run </w:t>
      </w:r>
      <w:r w:rsidR="00C47FC8" w:rsidRPr="00031D8F">
        <w:t>and evaluation of the results</w:t>
      </w:r>
      <w:r w:rsidRPr="00031D8F">
        <w:t xml:space="preserve"> (interpretation)</w:t>
      </w:r>
      <w:bookmarkEnd w:id="15"/>
    </w:p>
    <w:p w:rsidR="00D87135" w:rsidRPr="00031D8F" w:rsidRDefault="00C47FC8" w:rsidP="006A610B">
      <w:r w:rsidRPr="00031D8F">
        <w:t>Once the</w:t>
      </w:r>
      <w:r w:rsidR="006A610B" w:rsidRPr="00031D8F">
        <w:t xml:space="preserve"> initial LCIs are calculated, they are evaluated in terms of completeness, sensitivity and consistency. The initial LCIs may need to go through additional rounds of revision as a result of the evaluation.  The quality of the hybrid LCIs can be improved through an iterative process of identifying major improvement opportunities and revising the underlying data accordingly.</w:t>
      </w:r>
    </w:p>
    <w:p w:rsidR="009852AC" w:rsidRPr="00031D8F" w:rsidRDefault="009852AC" w:rsidP="00022601">
      <w:pPr>
        <w:pStyle w:val="ListParagraph"/>
        <w:ind w:left="360"/>
      </w:pPr>
    </w:p>
    <w:p w:rsidR="00BF3C89" w:rsidRPr="00031D8F" w:rsidRDefault="00BF3C89" w:rsidP="00022601">
      <w:pPr>
        <w:pStyle w:val="Heading1"/>
      </w:pPr>
      <w:bookmarkStart w:id="16" w:name="_Toc299376761"/>
      <w:r w:rsidRPr="00031D8F">
        <w:lastRenderedPageBreak/>
        <w:t>Discussion</w:t>
      </w:r>
      <w:bookmarkEnd w:id="16"/>
    </w:p>
    <w:p w:rsidR="00F76714" w:rsidRPr="00031D8F" w:rsidRDefault="006C652A" w:rsidP="006C652A">
      <w:r w:rsidRPr="00031D8F">
        <w:t>In this paper, we discussed the framework under which a hybrid LCI database can be built</w:t>
      </w:r>
      <w:r w:rsidR="00C758B6" w:rsidRPr="00031D8F">
        <w:t>,</w:t>
      </w:r>
      <w:r w:rsidRPr="00031D8F">
        <w:t xml:space="preserve"> using the process </w:t>
      </w:r>
      <w:r w:rsidR="00ED2EE2" w:rsidRPr="00031D8F">
        <w:t xml:space="preserve">for developing </w:t>
      </w:r>
      <w:r w:rsidRPr="00031D8F">
        <w:t xml:space="preserve">hybrid BEES as an example. </w:t>
      </w:r>
      <w:r w:rsidR="00F76714" w:rsidRPr="00031D8F">
        <w:t>Transforming exi</w:t>
      </w:r>
      <w:r w:rsidR="00ED2EE2" w:rsidRPr="00031D8F">
        <w:t>s</w:t>
      </w:r>
      <w:r w:rsidR="00F76714" w:rsidRPr="00031D8F">
        <w:t>ting process</w:t>
      </w:r>
      <w:r w:rsidR="00ED2EE2" w:rsidRPr="00031D8F">
        <w:t>-based</w:t>
      </w:r>
      <w:r w:rsidR="00F76714" w:rsidRPr="00031D8F">
        <w:t xml:space="preserve"> LCI databases into hybrid LCIs </w:t>
      </w:r>
      <w:r w:rsidR="00ED2EE2" w:rsidRPr="00031D8F">
        <w:t xml:space="preserve">expands </w:t>
      </w:r>
      <w:r w:rsidR="00F76714" w:rsidRPr="00031D8F">
        <w:t xml:space="preserve">the accessibility of </w:t>
      </w:r>
      <w:r w:rsidR="00ED2EE2" w:rsidRPr="00031D8F">
        <w:t xml:space="preserve">the </w:t>
      </w:r>
      <w:r w:rsidR="00F76714" w:rsidRPr="00031D8F">
        <w:t>hybrid approach from the small circle of hybrid LCA researchers to lay LCA practitioners</w:t>
      </w:r>
      <w:r w:rsidR="00ED2EE2" w:rsidRPr="00031D8F">
        <w:t>. T</w:t>
      </w:r>
      <w:r w:rsidR="00F76714" w:rsidRPr="00031D8F">
        <w:t>herefore</w:t>
      </w:r>
      <w:r w:rsidR="00ED2EE2" w:rsidRPr="00031D8F">
        <w:t>,</w:t>
      </w:r>
      <w:r w:rsidR="00F76714" w:rsidRPr="00031D8F">
        <w:t xml:space="preserve"> the development of hybrid LCI database</w:t>
      </w:r>
      <w:r w:rsidR="00ED2EE2" w:rsidRPr="00031D8F">
        <w:t>s</w:t>
      </w:r>
      <w:r w:rsidR="00F76714" w:rsidRPr="00031D8F">
        <w:t xml:space="preserve"> is an important step to brin</w:t>
      </w:r>
      <w:r w:rsidR="00ED2EE2" w:rsidRPr="00031D8F">
        <w:t>g</w:t>
      </w:r>
      <w:r w:rsidR="00F76714" w:rsidRPr="00031D8F">
        <w:t xml:space="preserve">ing academic research on </w:t>
      </w:r>
      <w:r w:rsidR="00ED2EE2" w:rsidRPr="00031D8F">
        <w:t xml:space="preserve">the </w:t>
      </w:r>
      <w:r w:rsidR="00F76714" w:rsidRPr="00031D8F">
        <w:t>hybrid approach into practice.</w:t>
      </w:r>
    </w:p>
    <w:p w:rsidR="00A33F9E" w:rsidRPr="00031D8F" w:rsidRDefault="00F76714" w:rsidP="00F76714">
      <w:r w:rsidRPr="00031D8F">
        <w:t>T</w:t>
      </w:r>
      <w:r w:rsidR="00714051" w:rsidRPr="00031D8F">
        <w:t>h</w:t>
      </w:r>
      <w:r w:rsidR="00ED2EE2" w:rsidRPr="00031D8F">
        <w:t>ough th</w:t>
      </w:r>
      <w:r w:rsidR="00714051" w:rsidRPr="00031D8F">
        <w:t xml:space="preserve">ere are </w:t>
      </w:r>
      <w:r w:rsidR="00C758B6" w:rsidRPr="00031D8F">
        <w:t xml:space="preserve">currently </w:t>
      </w:r>
      <w:r w:rsidR="00714051" w:rsidRPr="00031D8F">
        <w:t xml:space="preserve">a number of initiatives </w:t>
      </w:r>
      <w:r w:rsidR="00C758B6" w:rsidRPr="00031D8F">
        <w:t xml:space="preserve">to develop </w:t>
      </w:r>
      <w:r w:rsidR="00714051" w:rsidRPr="00031D8F">
        <w:t>hybrid LCIs, discussion o</w:t>
      </w:r>
      <w:r w:rsidR="001635C8" w:rsidRPr="00031D8F">
        <w:t>f</w:t>
      </w:r>
      <w:r w:rsidR="00714051" w:rsidRPr="00031D8F">
        <w:t xml:space="preserve"> methodology is </w:t>
      </w:r>
      <w:r w:rsidR="001635C8" w:rsidRPr="00031D8F">
        <w:t xml:space="preserve">still in </w:t>
      </w:r>
      <w:r w:rsidR="00714051" w:rsidRPr="00031D8F">
        <w:t xml:space="preserve">its infancy. The current paper is expected </w:t>
      </w:r>
      <w:r w:rsidR="001635C8" w:rsidRPr="00031D8F">
        <w:t xml:space="preserve">to </w:t>
      </w:r>
      <w:r w:rsidR="00714051" w:rsidRPr="00031D8F">
        <w:t xml:space="preserve">provide useful insight </w:t>
      </w:r>
      <w:r w:rsidR="001635C8" w:rsidRPr="00031D8F">
        <w:t xml:space="preserve">for the </w:t>
      </w:r>
      <w:r w:rsidR="00714051" w:rsidRPr="00031D8F">
        <w:t>future development of hybrid LCI database</w:t>
      </w:r>
      <w:r w:rsidRPr="00031D8F">
        <w:t>s</w:t>
      </w:r>
      <w:r w:rsidR="00714051" w:rsidRPr="00031D8F">
        <w:t>.</w:t>
      </w:r>
    </w:p>
    <w:p w:rsidR="00DC6035" w:rsidRPr="00031D8F" w:rsidRDefault="00DC6035" w:rsidP="00F76714"/>
    <w:p w:rsidR="00DC6035" w:rsidRPr="00031D8F" w:rsidRDefault="00DC6035" w:rsidP="00DC6035">
      <w:pPr>
        <w:pStyle w:val="Heading2"/>
        <w:ind w:left="360"/>
      </w:pPr>
      <w:bookmarkStart w:id="17" w:name="_Toc299376762"/>
      <w:r w:rsidRPr="00031D8F">
        <w:t>Recommendations</w:t>
      </w:r>
      <w:bookmarkEnd w:id="17"/>
    </w:p>
    <w:p w:rsidR="00F347AD" w:rsidRPr="00031D8F" w:rsidRDefault="0063245B" w:rsidP="00F76714">
      <w:r w:rsidRPr="00031D8F">
        <w:t xml:space="preserve">Based on our study, we have identified a number of recommendations that will help ease future attempts at hybridizing existing process LCI databases. </w:t>
      </w:r>
      <w:r w:rsidR="00A41145" w:rsidRPr="00031D8F">
        <w:t xml:space="preserve">First, data on </w:t>
      </w:r>
      <w:r w:rsidRPr="00031D8F">
        <w:t xml:space="preserve">the </w:t>
      </w:r>
      <w:r w:rsidR="00A41145" w:rsidRPr="00031D8F">
        <w:t xml:space="preserve">price of inputs can substantially improve the quality and the </w:t>
      </w:r>
      <w:r w:rsidR="00334C1B" w:rsidRPr="00031D8F">
        <w:t>efficiency of the hybridization procedure</w:t>
      </w:r>
      <w:r w:rsidRPr="00031D8F">
        <w:t>, yet s</w:t>
      </w:r>
      <w:r w:rsidR="00334C1B" w:rsidRPr="00031D8F">
        <w:t>uch data are largely unavailable in existing process LCIs.</w:t>
      </w:r>
      <w:r w:rsidR="00F347AD" w:rsidRPr="00031D8F">
        <w:t xml:space="preserve"> </w:t>
      </w:r>
      <w:r w:rsidR="00DC6035" w:rsidRPr="00031D8F">
        <w:t xml:space="preserve">Providing </w:t>
      </w:r>
      <w:r w:rsidR="00F347AD" w:rsidRPr="00031D8F">
        <w:t xml:space="preserve">price information </w:t>
      </w:r>
      <w:r w:rsidR="00DC6035" w:rsidRPr="00031D8F">
        <w:t xml:space="preserve">for </w:t>
      </w:r>
      <w:r w:rsidR="00F347AD" w:rsidRPr="00031D8F">
        <w:t xml:space="preserve">the inputs and outputs of a unit process would </w:t>
      </w:r>
      <w:r w:rsidRPr="00031D8F">
        <w:t>be very helpful for hybridization</w:t>
      </w:r>
      <w:r w:rsidR="00F347AD" w:rsidRPr="00031D8F">
        <w:t xml:space="preserve">. Second, </w:t>
      </w:r>
      <w:r w:rsidRPr="00031D8F">
        <w:t xml:space="preserve">clearly documenting the </w:t>
      </w:r>
      <w:r w:rsidR="00F347AD" w:rsidRPr="00031D8F">
        <w:t xml:space="preserve">cut-offs would be highly desirable. Significant time and effort are </w:t>
      </w:r>
      <w:r w:rsidR="00DC6035" w:rsidRPr="00031D8F">
        <w:t xml:space="preserve">spent on </w:t>
      </w:r>
      <w:r w:rsidR="00F347AD" w:rsidRPr="00031D8F">
        <w:t>estimat</w:t>
      </w:r>
      <w:r w:rsidR="00DC6035" w:rsidRPr="00031D8F">
        <w:t>ing</w:t>
      </w:r>
      <w:r w:rsidR="00F347AD" w:rsidRPr="00031D8F">
        <w:t xml:space="preserve"> cut-off flows during the hybridization process due to lack of consistent documentation</w:t>
      </w:r>
      <w:r w:rsidR="00DC6035" w:rsidRPr="00031D8F">
        <w:t>,</w:t>
      </w:r>
      <w:r w:rsidR="00F347AD" w:rsidRPr="00031D8F">
        <w:t xml:space="preserve"> despite the </w:t>
      </w:r>
      <w:r w:rsidR="00DC6035" w:rsidRPr="00031D8F">
        <w:t xml:space="preserve">ISO </w:t>
      </w:r>
      <w:r w:rsidR="00F347AD" w:rsidRPr="00031D8F">
        <w:t xml:space="preserve">requirement to </w:t>
      </w:r>
      <w:r w:rsidR="00DC6035" w:rsidRPr="00031D8F">
        <w:t xml:space="preserve">report </w:t>
      </w:r>
      <w:r w:rsidR="00F347AD" w:rsidRPr="00031D8F">
        <w:t xml:space="preserve">cut-off choices. </w:t>
      </w:r>
      <w:r w:rsidR="000B3F74" w:rsidRPr="00031D8F">
        <w:t xml:space="preserve">Third, it would be </w:t>
      </w:r>
      <w:r w:rsidR="00DC6035" w:rsidRPr="00031D8F">
        <w:t>ideal</w:t>
      </w:r>
      <w:r w:rsidR="000B3F74" w:rsidRPr="00031D8F">
        <w:t xml:space="preserve"> to design LCI database</w:t>
      </w:r>
      <w:r w:rsidR="00DC6035" w:rsidRPr="00031D8F">
        <w:t>s with a hybrid approach from the beginning</w:t>
      </w:r>
      <w:r w:rsidR="000B3F74" w:rsidRPr="00031D8F">
        <w:t xml:space="preserve">. </w:t>
      </w:r>
      <w:r w:rsidR="00DC6035" w:rsidRPr="00031D8F">
        <w:t xml:space="preserve">After </w:t>
      </w:r>
      <w:r w:rsidR="000B3F74" w:rsidRPr="00031D8F">
        <w:t xml:space="preserve">an LCI database is constructed, useful information for hybridization </w:t>
      </w:r>
      <w:r w:rsidR="00DC6035" w:rsidRPr="00031D8F">
        <w:t>get</w:t>
      </w:r>
      <w:r w:rsidR="000B3F74" w:rsidRPr="00031D8F">
        <w:t xml:space="preserve">s lost over time, and hybridization becomes more difficult. Even if a project does not intend to create a full hybrid LCI database, it is recommended to consider </w:t>
      </w:r>
      <w:r w:rsidR="00DC6035" w:rsidRPr="00031D8F">
        <w:t xml:space="preserve">during the initial construction of the LCI database what </w:t>
      </w:r>
      <w:r w:rsidR="000B3F74" w:rsidRPr="00031D8F">
        <w:t>data requirement</w:t>
      </w:r>
      <w:r w:rsidR="00DC6035" w:rsidRPr="00031D8F">
        <w:t>s</w:t>
      </w:r>
      <w:r w:rsidR="000B3F74" w:rsidRPr="00031D8F">
        <w:t xml:space="preserve"> </w:t>
      </w:r>
      <w:r w:rsidR="00DC6035" w:rsidRPr="00031D8F">
        <w:t xml:space="preserve">would be needed for </w:t>
      </w:r>
      <w:r w:rsidR="000B3F74" w:rsidRPr="00031D8F">
        <w:t xml:space="preserve">hybridization so that useful information </w:t>
      </w:r>
      <w:r w:rsidR="00DC6035" w:rsidRPr="00031D8F">
        <w:t>can be</w:t>
      </w:r>
      <w:r w:rsidR="000B3F74" w:rsidRPr="00031D8F">
        <w:t xml:space="preserve"> preserved for later use. </w:t>
      </w:r>
    </w:p>
    <w:p w:rsidR="00DC6035" w:rsidRPr="00031D8F" w:rsidRDefault="00DC6035" w:rsidP="00DC6035">
      <w:pPr>
        <w:ind w:firstLine="0"/>
      </w:pPr>
    </w:p>
    <w:p w:rsidR="00DC6035" w:rsidRPr="00031D8F" w:rsidRDefault="00DC6035" w:rsidP="00DC6035">
      <w:pPr>
        <w:pStyle w:val="Heading2"/>
        <w:ind w:left="360"/>
      </w:pPr>
      <w:bookmarkStart w:id="18" w:name="_Toc299376763"/>
      <w:r w:rsidRPr="00031D8F">
        <w:lastRenderedPageBreak/>
        <w:t>Limitations</w:t>
      </w:r>
      <w:bookmarkEnd w:id="18"/>
    </w:p>
    <w:p w:rsidR="00C41925" w:rsidRPr="00031D8F" w:rsidRDefault="006653FA" w:rsidP="00F76714">
      <w:r w:rsidRPr="00031D8F">
        <w:t xml:space="preserve">There are limitations to the approach presented. </w:t>
      </w:r>
      <w:r w:rsidR="00390178" w:rsidRPr="00031D8F">
        <w:t>First, w</w:t>
      </w:r>
      <w:r w:rsidR="001D6A53" w:rsidRPr="00031D8F">
        <w:t xml:space="preserve">e had to prioritize key processes for the estimation of cut-offs due to the sheer number of processes involved and the limited resources and time available. </w:t>
      </w:r>
      <w:r w:rsidR="001F2DA6" w:rsidRPr="00031D8F">
        <w:t xml:space="preserve">Although we believe that the method of prioritization presented in this paper is based on </w:t>
      </w:r>
      <w:r w:rsidR="00315D08" w:rsidRPr="00031D8F">
        <w:t>sound reasoning</w:t>
      </w:r>
      <w:r w:rsidR="001F2DA6" w:rsidRPr="00031D8F">
        <w:t xml:space="preserve">, some important processes </w:t>
      </w:r>
      <w:r w:rsidR="00315D08" w:rsidRPr="00031D8F">
        <w:t xml:space="preserve">may have been overlooked if they </w:t>
      </w:r>
      <w:r w:rsidR="001F2DA6" w:rsidRPr="00031D8F">
        <w:t xml:space="preserve">were not identified during the contribution analysis. </w:t>
      </w:r>
      <w:r w:rsidR="00390178" w:rsidRPr="00031D8F">
        <w:t xml:space="preserve">Second, collection of environmental flow data at </w:t>
      </w:r>
      <w:r w:rsidR="00315D08" w:rsidRPr="00031D8F">
        <w:t xml:space="preserve">the </w:t>
      </w:r>
      <w:r w:rsidR="00390178" w:rsidRPr="00031D8F">
        <w:t>item</w:t>
      </w:r>
      <w:r w:rsidR="00E860BC" w:rsidRPr="00031D8F">
        <w:t xml:space="preserve"> </w:t>
      </w:r>
      <w:r w:rsidR="00390178" w:rsidRPr="00031D8F">
        <w:t xml:space="preserve">level has been a challenge, as few public statistics are compiled at </w:t>
      </w:r>
      <w:r w:rsidR="00315D08" w:rsidRPr="00031D8F">
        <w:t xml:space="preserve">that </w:t>
      </w:r>
      <w:r w:rsidR="00390178" w:rsidRPr="00031D8F">
        <w:t>level</w:t>
      </w:r>
      <w:r w:rsidR="00315D08" w:rsidRPr="00031D8F">
        <w:t xml:space="preserve"> of</w:t>
      </w:r>
      <w:r w:rsidR="00390178" w:rsidRPr="00031D8F">
        <w:t xml:space="preserve"> detail. Although we have collected environmental flow data from diverse sources, we believe that some of the data are still deficient and need further improvement. </w:t>
      </w:r>
    </w:p>
    <w:p w:rsidR="00D2677B" w:rsidRPr="00031D8F" w:rsidRDefault="00D2677B" w:rsidP="006C652A"/>
    <w:p w:rsidR="0011379F" w:rsidRPr="00031D8F" w:rsidRDefault="0011379F">
      <w:pPr>
        <w:spacing w:after="200" w:line="276" w:lineRule="auto"/>
        <w:ind w:firstLine="0"/>
        <w:rPr>
          <w:b/>
          <w:bCs/>
          <w:kern w:val="32"/>
          <w:sz w:val="32"/>
          <w:szCs w:val="32"/>
        </w:rPr>
      </w:pPr>
      <w:r w:rsidRPr="00031D8F">
        <w:br w:type="page"/>
      </w:r>
    </w:p>
    <w:p w:rsidR="00D2677B" w:rsidRPr="00031D8F" w:rsidRDefault="00D2677B" w:rsidP="00D2677B">
      <w:pPr>
        <w:pStyle w:val="Heading1"/>
        <w:numPr>
          <w:ilvl w:val="0"/>
          <w:numId w:val="0"/>
        </w:numPr>
        <w:ind w:left="360"/>
      </w:pPr>
      <w:bookmarkStart w:id="19" w:name="_Toc299376764"/>
      <w:r w:rsidRPr="00031D8F">
        <w:lastRenderedPageBreak/>
        <w:t>References</w:t>
      </w:r>
      <w:bookmarkEnd w:id="19"/>
    </w:p>
    <w:p w:rsidR="00CF7AA4" w:rsidRPr="00031D8F" w:rsidRDefault="00CF7AA4" w:rsidP="00CF7AA4">
      <w:pPr>
        <w:pStyle w:val="ListParagraph"/>
        <w:numPr>
          <w:ilvl w:val="0"/>
          <w:numId w:val="13"/>
        </w:numPr>
        <w:adjustRightInd w:val="0"/>
        <w:snapToGrid w:val="0"/>
        <w:ind w:hanging="720"/>
        <w:rPr>
          <w:lang w:eastAsia="ko-KR"/>
        </w:rPr>
      </w:pPr>
      <w:r w:rsidRPr="00031D8F">
        <w:t xml:space="preserve">Bright R M, </w:t>
      </w:r>
      <w:proofErr w:type="spellStart"/>
      <w:r w:rsidRPr="00031D8F">
        <w:t>Strømman</w:t>
      </w:r>
      <w:proofErr w:type="spellEnd"/>
      <w:r w:rsidRPr="00031D8F">
        <w:t xml:space="preserve"> A H</w:t>
      </w:r>
      <w:r w:rsidRPr="00031D8F">
        <w:rPr>
          <w:rFonts w:hint="eastAsia"/>
          <w:lang w:eastAsia="ko-KR"/>
        </w:rPr>
        <w:t>,</w:t>
      </w:r>
      <w:r w:rsidRPr="00031D8F">
        <w:t xml:space="preserve"> Hawkins T R (2010) Environmental Assessment of Wood-Based </w:t>
      </w:r>
      <w:proofErr w:type="spellStart"/>
      <w:r w:rsidRPr="00031D8F">
        <w:t>Biofuel</w:t>
      </w:r>
      <w:proofErr w:type="spellEnd"/>
      <w:r w:rsidRPr="00031D8F">
        <w:t xml:space="preserve"> Production and Consumption Scenarios in Norway. Journal of Industrial Ecology, 14</w:t>
      </w:r>
      <w:r w:rsidRPr="00031D8F">
        <w:rPr>
          <w:rFonts w:hint="eastAsia"/>
          <w:lang w:eastAsia="ko-KR"/>
        </w:rPr>
        <w:t>:</w:t>
      </w:r>
      <w:r w:rsidRPr="00031D8F">
        <w:t xml:space="preserve">422-439. </w:t>
      </w:r>
    </w:p>
    <w:p w:rsidR="00CF7AA4" w:rsidRPr="00031D8F" w:rsidRDefault="00CF7AA4" w:rsidP="00CF7AA4">
      <w:pPr>
        <w:pStyle w:val="ListParagraph"/>
        <w:numPr>
          <w:ilvl w:val="0"/>
          <w:numId w:val="13"/>
        </w:numPr>
        <w:adjustRightInd w:val="0"/>
        <w:snapToGrid w:val="0"/>
        <w:ind w:hanging="720"/>
        <w:rPr>
          <w:lang w:eastAsia="ko-KR"/>
        </w:rPr>
      </w:pPr>
      <w:r w:rsidRPr="00031D8F">
        <w:t xml:space="preserve">Chang Y, </w:t>
      </w:r>
      <w:proofErr w:type="spellStart"/>
      <w:r w:rsidRPr="00031D8F">
        <w:t>Ries</w:t>
      </w:r>
      <w:proofErr w:type="spellEnd"/>
      <w:r w:rsidRPr="00031D8F">
        <w:t xml:space="preserve"> R J</w:t>
      </w:r>
      <w:r w:rsidRPr="00031D8F">
        <w:rPr>
          <w:rFonts w:hint="eastAsia"/>
          <w:lang w:eastAsia="ko-KR"/>
        </w:rPr>
        <w:t>,</w:t>
      </w:r>
      <w:r w:rsidRPr="00031D8F">
        <w:t xml:space="preserve"> Wang Y (2010) </w:t>
      </w:r>
      <w:proofErr w:type="gramStart"/>
      <w:r w:rsidRPr="00031D8F">
        <w:t>The</w:t>
      </w:r>
      <w:proofErr w:type="gramEnd"/>
      <w:r w:rsidRPr="00031D8F">
        <w:t xml:space="preserve"> embodied energy and environmental emissions of construction projects in China: An economic input-output LCA model. Energy Policy, 38</w:t>
      </w:r>
      <w:r w:rsidRPr="00031D8F">
        <w:rPr>
          <w:rFonts w:hint="eastAsia"/>
          <w:lang w:eastAsia="ko-KR"/>
        </w:rPr>
        <w:t>:</w:t>
      </w:r>
      <w:r w:rsidRPr="00031D8F">
        <w:t>6597-6603</w:t>
      </w:r>
    </w:p>
    <w:p w:rsidR="00CF7AA4" w:rsidRPr="00031D8F" w:rsidRDefault="00CF7AA4" w:rsidP="00CF7AA4">
      <w:pPr>
        <w:pStyle w:val="ListParagraph"/>
        <w:numPr>
          <w:ilvl w:val="0"/>
          <w:numId w:val="13"/>
        </w:numPr>
        <w:adjustRightInd w:val="0"/>
        <w:snapToGrid w:val="0"/>
        <w:ind w:hanging="720"/>
        <w:rPr>
          <w:lang w:eastAsia="ko-KR"/>
        </w:rPr>
      </w:pPr>
      <w:proofErr w:type="spellStart"/>
      <w:r w:rsidRPr="00031D8F">
        <w:rPr>
          <w:lang w:eastAsia="ko-KR"/>
        </w:rPr>
        <w:t>Heijungs</w:t>
      </w:r>
      <w:proofErr w:type="spellEnd"/>
      <w:r w:rsidRPr="00031D8F">
        <w:rPr>
          <w:lang w:eastAsia="ko-KR"/>
        </w:rPr>
        <w:t xml:space="preserve"> R, </w:t>
      </w:r>
      <w:r w:rsidRPr="00031D8F">
        <w:rPr>
          <w:rFonts w:hint="eastAsia"/>
          <w:lang w:eastAsia="ko-KR"/>
        </w:rPr>
        <w:t>(</w:t>
      </w:r>
      <w:r w:rsidRPr="00031D8F">
        <w:rPr>
          <w:lang w:eastAsia="ko-KR"/>
        </w:rPr>
        <w:t>1994</w:t>
      </w:r>
      <w:r w:rsidRPr="00031D8F">
        <w:rPr>
          <w:rFonts w:hint="eastAsia"/>
          <w:lang w:eastAsia="ko-KR"/>
        </w:rPr>
        <w:t>)</w:t>
      </w:r>
      <w:r w:rsidRPr="00031D8F">
        <w:rPr>
          <w:lang w:eastAsia="ko-KR"/>
        </w:rPr>
        <w:t xml:space="preserve"> A generic method for the identification of options for cleaner products. Ecological Economics 10</w:t>
      </w:r>
      <w:r w:rsidRPr="00031D8F">
        <w:rPr>
          <w:rFonts w:hint="eastAsia"/>
          <w:lang w:eastAsia="ko-KR"/>
        </w:rPr>
        <w:t>:</w:t>
      </w:r>
      <w:r w:rsidRPr="00031D8F">
        <w:rPr>
          <w:lang w:eastAsia="ko-KR"/>
        </w:rPr>
        <w:t>69– 81.</w:t>
      </w:r>
    </w:p>
    <w:p w:rsidR="00CF7AA4" w:rsidRPr="00031D8F" w:rsidRDefault="00CF7AA4" w:rsidP="00CF7AA4">
      <w:pPr>
        <w:pStyle w:val="ListParagraph"/>
        <w:numPr>
          <w:ilvl w:val="0"/>
          <w:numId w:val="13"/>
        </w:numPr>
        <w:adjustRightInd w:val="0"/>
        <w:snapToGrid w:val="0"/>
        <w:ind w:hanging="720"/>
      </w:pPr>
      <w:proofErr w:type="spellStart"/>
      <w:r w:rsidRPr="00031D8F">
        <w:t>Finnveden</w:t>
      </w:r>
      <w:proofErr w:type="spellEnd"/>
      <w:r w:rsidRPr="00031D8F">
        <w:t xml:space="preserve"> G, </w:t>
      </w:r>
      <w:proofErr w:type="spellStart"/>
      <w:r w:rsidRPr="00031D8F">
        <w:t>Hauschild</w:t>
      </w:r>
      <w:proofErr w:type="spellEnd"/>
      <w:r w:rsidRPr="00031D8F">
        <w:t xml:space="preserve"> M Z, </w:t>
      </w:r>
      <w:proofErr w:type="spellStart"/>
      <w:r w:rsidRPr="00031D8F">
        <w:t>Ekvall</w:t>
      </w:r>
      <w:proofErr w:type="spellEnd"/>
      <w:r w:rsidRPr="00031D8F">
        <w:t xml:space="preserve"> T, </w:t>
      </w:r>
      <w:proofErr w:type="spellStart"/>
      <w:r w:rsidRPr="00031D8F">
        <w:t>Guinée</w:t>
      </w:r>
      <w:proofErr w:type="spellEnd"/>
      <w:r w:rsidRPr="00031D8F">
        <w:t xml:space="preserve"> J, </w:t>
      </w:r>
      <w:proofErr w:type="spellStart"/>
      <w:r w:rsidRPr="00031D8F">
        <w:t>Heijungs</w:t>
      </w:r>
      <w:proofErr w:type="spellEnd"/>
      <w:r w:rsidRPr="00031D8F">
        <w:t xml:space="preserve"> R, </w:t>
      </w:r>
      <w:proofErr w:type="spellStart"/>
      <w:r w:rsidRPr="00031D8F">
        <w:t>Hellweg</w:t>
      </w:r>
      <w:proofErr w:type="spellEnd"/>
      <w:r w:rsidRPr="00031D8F">
        <w:t xml:space="preserve"> S, Koehler A, Pennington D</w:t>
      </w:r>
      <w:r w:rsidRPr="00031D8F">
        <w:rPr>
          <w:rFonts w:hint="eastAsia"/>
          <w:lang w:eastAsia="ko-KR"/>
        </w:rPr>
        <w:t>,</w:t>
      </w:r>
      <w:r w:rsidRPr="00031D8F">
        <w:t xml:space="preserve"> Suh S (2009) Recent developments in Life Cycle Assessment. Journal of Environmental Management, 91</w:t>
      </w:r>
      <w:r w:rsidRPr="00031D8F">
        <w:rPr>
          <w:rFonts w:hint="eastAsia"/>
          <w:lang w:eastAsia="ko-KR"/>
        </w:rPr>
        <w:t>:</w:t>
      </w:r>
      <w:r w:rsidRPr="00031D8F">
        <w:t xml:space="preserve">1-21. </w:t>
      </w:r>
    </w:p>
    <w:p w:rsidR="00CF7AA4" w:rsidRPr="00031D8F" w:rsidRDefault="00CF7AA4" w:rsidP="00CF7AA4">
      <w:pPr>
        <w:pStyle w:val="ListParagraph"/>
        <w:numPr>
          <w:ilvl w:val="0"/>
          <w:numId w:val="13"/>
        </w:numPr>
        <w:adjustRightInd w:val="0"/>
        <w:snapToGrid w:val="0"/>
        <w:ind w:hanging="720"/>
      </w:pPr>
      <w:proofErr w:type="spellStart"/>
      <w:r w:rsidRPr="00031D8F">
        <w:t>Heijungs</w:t>
      </w:r>
      <w:proofErr w:type="spellEnd"/>
      <w:r w:rsidRPr="00031D8F">
        <w:t xml:space="preserve"> R</w:t>
      </w:r>
      <w:r w:rsidRPr="00031D8F">
        <w:rPr>
          <w:rFonts w:hint="eastAsia"/>
          <w:lang w:eastAsia="ko-KR"/>
        </w:rPr>
        <w:t>,</w:t>
      </w:r>
      <w:r w:rsidRPr="00031D8F">
        <w:t xml:space="preserve"> </w:t>
      </w:r>
      <w:proofErr w:type="spellStart"/>
      <w:r w:rsidRPr="00031D8F">
        <w:t>Suh</w:t>
      </w:r>
      <w:proofErr w:type="spellEnd"/>
      <w:r w:rsidRPr="00031D8F">
        <w:t xml:space="preserve"> S (2002) </w:t>
      </w:r>
      <w:proofErr w:type="gramStart"/>
      <w:r w:rsidRPr="00031D8F">
        <w:t>The</w:t>
      </w:r>
      <w:proofErr w:type="gramEnd"/>
      <w:r w:rsidRPr="00031D8F">
        <w:t xml:space="preserve"> computational structure of life cycle assessment. </w:t>
      </w:r>
      <w:proofErr w:type="spellStart"/>
      <w:r w:rsidRPr="00031D8F">
        <w:t>Kluwer</w:t>
      </w:r>
      <w:proofErr w:type="spellEnd"/>
      <w:r w:rsidRPr="00031D8F">
        <w:t xml:space="preserve"> Academic Publishers, Dordrecht, </w:t>
      </w:r>
      <w:proofErr w:type="gramStart"/>
      <w:r w:rsidRPr="00031D8F">
        <w:t>The</w:t>
      </w:r>
      <w:proofErr w:type="gramEnd"/>
      <w:r w:rsidRPr="00031D8F">
        <w:t xml:space="preserve"> Netherlands. </w:t>
      </w:r>
    </w:p>
    <w:p w:rsidR="00CF7AA4" w:rsidRPr="00031D8F" w:rsidRDefault="00CF7AA4" w:rsidP="00CF7AA4">
      <w:pPr>
        <w:pStyle w:val="ListParagraph"/>
        <w:numPr>
          <w:ilvl w:val="0"/>
          <w:numId w:val="13"/>
        </w:numPr>
        <w:adjustRightInd w:val="0"/>
        <w:snapToGrid w:val="0"/>
        <w:ind w:hanging="720"/>
        <w:rPr>
          <w:lang w:eastAsia="ko-KR"/>
        </w:rPr>
      </w:pPr>
      <w:r w:rsidRPr="00031D8F">
        <w:t>Hendrickson C T, Horvath A, Joshi S</w:t>
      </w:r>
      <w:r w:rsidRPr="00031D8F">
        <w:rPr>
          <w:lang w:eastAsia="ko-KR"/>
        </w:rPr>
        <w:t>,</w:t>
      </w:r>
      <w:r w:rsidRPr="00031D8F">
        <w:t xml:space="preserve"> Lave L B (1998) Economic Input-Output Models for Environmental Life-Cycle Assessment. Environmental Science &amp; Technology, 32</w:t>
      </w:r>
      <w:r w:rsidRPr="00031D8F">
        <w:rPr>
          <w:rFonts w:hint="eastAsia"/>
          <w:lang w:eastAsia="ko-KR"/>
        </w:rPr>
        <w:t>:</w:t>
      </w:r>
      <w:r w:rsidRPr="00031D8F">
        <w:t>184A.</w:t>
      </w:r>
    </w:p>
    <w:p w:rsidR="00CF7AA4" w:rsidRPr="00031D8F" w:rsidRDefault="00CF7AA4" w:rsidP="00CF7AA4">
      <w:pPr>
        <w:pStyle w:val="ListParagraph"/>
        <w:numPr>
          <w:ilvl w:val="0"/>
          <w:numId w:val="13"/>
        </w:numPr>
        <w:adjustRightInd w:val="0"/>
        <w:snapToGrid w:val="0"/>
        <w:ind w:hanging="720"/>
        <w:rPr>
          <w:noProof/>
        </w:rPr>
      </w:pPr>
      <w:r w:rsidRPr="00031D8F">
        <w:rPr>
          <w:noProof/>
        </w:rPr>
        <w:t>Horowitz K</w:t>
      </w:r>
      <w:r w:rsidRPr="00031D8F">
        <w:rPr>
          <w:rFonts w:hint="eastAsia"/>
          <w:noProof/>
          <w:lang w:eastAsia="ko-KR"/>
        </w:rPr>
        <w:t>,</w:t>
      </w:r>
      <w:r w:rsidRPr="00031D8F">
        <w:rPr>
          <w:noProof/>
        </w:rPr>
        <w:t xml:space="preserve"> Planting M </w:t>
      </w:r>
      <w:r w:rsidRPr="00031D8F">
        <w:rPr>
          <w:rFonts w:hint="eastAsia"/>
          <w:noProof/>
          <w:lang w:eastAsia="ko-KR"/>
        </w:rPr>
        <w:t>(</w:t>
      </w:r>
      <w:r w:rsidRPr="00031D8F">
        <w:rPr>
          <w:noProof/>
        </w:rPr>
        <w:t>2006</w:t>
      </w:r>
      <w:r w:rsidRPr="00031D8F">
        <w:rPr>
          <w:rFonts w:hint="eastAsia"/>
          <w:noProof/>
          <w:lang w:eastAsia="ko-KR"/>
        </w:rPr>
        <w:t>)</w:t>
      </w:r>
      <w:r w:rsidRPr="00031D8F">
        <w:rPr>
          <w:noProof/>
        </w:rPr>
        <w:t xml:space="preserve"> Concepts and Methods of the Input-Output Accounts, Bureau of Economic Analysis, Department of Commerce, Washington D.C., USA.</w:t>
      </w:r>
    </w:p>
    <w:p w:rsidR="00CF7AA4" w:rsidRPr="00031D8F" w:rsidRDefault="00CF7AA4" w:rsidP="00CF7AA4">
      <w:pPr>
        <w:pStyle w:val="ListParagraph"/>
        <w:numPr>
          <w:ilvl w:val="0"/>
          <w:numId w:val="13"/>
        </w:numPr>
        <w:autoSpaceDE w:val="0"/>
        <w:autoSpaceDN w:val="0"/>
        <w:adjustRightInd w:val="0"/>
        <w:snapToGrid w:val="0"/>
        <w:ind w:hanging="720"/>
        <w:rPr>
          <w:lang w:eastAsia="ko-KR"/>
        </w:rPr>
      </w:pPr>
      <w:r w:rsidRPr="00031D8F">
        <w:rPr>
          <w:rFonts w:hint="eastAsia"/>
          <w:lang w:eastAsia="ko-KR"/>
        </w:rPr>
        <w:t xml:space="preserve">ISO (1998) </w:t>
      </w:r>
      <w:r w:rsidRPr="00031D8F">
        <w:rPr>
          <w:lang w:eastAsia="ko-KR"/>
        </w:rPr>
        <w:t>ISO 14041</w:t>
      </w:r>
      <w:r w:rsidRPr="00031D8F">
        <w:rPr>
          <w:rFonts w:hint="eastAsia"/>
          <w:lang w:eastAsia="ko-KR"/>
        </w:rPr>
        <w:t>:</w:t>
      </w:r>
      <w:r w:rsidRPr="00031D8F">
        <w:rPr>
          <w:noProof/>
        </w:rPr>
        <w:t xml:space="preserve"> </w:t>
      </w:r>
      <w:r w:rsidRPr="00031D8F">
        <w:rPr>
          <w:rFonts w:hint="eastAsia"/>
          <w:noProof/>
          <w:lang w:eastAsia="ko-KR"/>
        </w:rPr>
        <w:t xml:space="preserve">Environmnetal management </w:t>
      </w:r>
      <w:r w:rsidRPr="00031D8F">
        <w:rPr>
          <w:noProof/>
        </w:rPr>
        <w:t>—</w:t>
      </w:r>
      <w:r w:rsidRPr="00031D8F">
        <w:rPr>
          <w:rFonts w:hint="eastAsia"/>
          <w:lang w:eastAsia="ko-KR"/>
        </w:rPr>
        <w:t xml:space="preserve"> </w:t>
      </w:r>
      <w:r w:rsidRPr="00031D8F">
        <w:rPr>
          <w:lang w:eastAsia="ko-KR"/>
        </w:rPr>
        <w:t>Life cycle assessment — Goal and scope definition and inventory analysis: International Organi</w:t>
      </w:r>
      <w:r w:rsidRPr="00031D8F">
        <w:rPr>
          <w:rFonts w:hint="eastAsia"/>
          <w:lang w:eastAsia="ko-KR"/>
        </w:rPr>
        <w:t>z</w:t>
      </w:r>
      <w:r w:rsidRPr="00031D8F">
        <w:rPr>
          <w:lang w:eastAsia="ko-KR"/>
        </w:rPr>
        <w:t>ation for Standardi</w:t>
      </w:r>
      <w:r w:rsidRPr="00031D8F">
        <w:rPr>
          <w:rFonts w:hint="eastAsia"/>
          <w:lang w:eastAsia="ko-KR"/>
        </w:rPr>
        <w:t>z</w:t>
      </w:r>
      <w:r w:rsidRPr="00031D8F">
        <w:rPr>
          <w:lang w:eastAsia="ko-KR"/>
        </w:rPr>
        <w:t>ation, Geneva, Switzerland.</w:t>
      </w:r>
    </w:p>
    <w:p w:rsidR="00CF7AA4" w:rsidRPr="00031D8F" w:rsidRDefault="00CF7AA4" w:rsidP="00CF7AA4">
      <w:pPr>
        <w:pStyle w:val="ListParagraph"/>
        <w:numPr>
          <w:ilvl w:val="0"/>
          <w:numId w:val="13"/>
        </w:numPr>
        <w:adjustRightInd w:val="0"/>
        <w:snapToGrid w:val="0"/>
        <w:ind w:hanging="720"/>
        <w:rPr>
          <w:noProof/>
        </w:rPr>
      </w:pPr>
      <w:r w:rsidRPr="00031D8F">
        <w:rPr>
          <w:noProof/>
        </w:rPr>
        <w:t>ISO (2006) ISO 14044: Environmental management — Life cycle assessment — Requirements and guidelines, International Organization for Standardization, Geneva, Switzerland.</w:t>
      </w:r>
    </w:p>
    <w:p w:rsidR="00CF7AA4" w:rsidRPr="00031D8F" w:rsidRDefault="00CF7AA4" w:rsidP="00CF7AA4">
      <w:pPr>
        <w:pStyle w:val="ListParagraph"/>
        <w:numPr>
          <w:ilvl w:val="0"/>
          <w:numId w:val="13"/>
        </w:numPr>
        <w:adjustRightInd w:val="0"/>
        <w:snapToGrid w:val="0"/>
        <w:ind w:hanging="720"/>
        <w:rPr>
          <w:noProof/>
          <w:lang w:eastAsia="ko-KR"/>
        </w:rPr>
      </w:pPr>
      <w:r w:rsidRPr="00031D8F">
        <w:rPr>
          <w:noProof/>
          <w:lang w:eastAsia="ko-KR"/>
        </w:rPr>
        <w:t>Joshi S (1999) Product Environmental Life-Cycle Assessment Using Input-Output Techniques, Journal of Industrial Ecology, 3:95-120.</w:t>
      </w:r>
    </w:p>
    <w:p w:rsidR="00CF7AA4" w:rsidRPr="00031D8F" w:rsidRDefault="00CF7AA4" w:rsidP="00CF7AA4">
      <w:pPr>
        <w:pStyle w:val="ListParagraph"/>
        <w:numPr>
          <w:ilvl w:val="0"/>
          <w:numId w:val="13"/>
        </w:numPr>
        <w:adjustRightInd w:val="0"/>
        <w:snapToGrid w:val="0"/>
        <w:ind w:hanging="720"/>
        <w:rPr>
          <w:noProof/>
          <w:lang w:eastAsia="ko-KR"/>
        </w:rPr>
      </w:pPr>
      <w:proofErr w:type="spellStart"/>
      <w:r w:rsidRPr="00031D8F">
        <w:t>Kofoworola</w:t>
      </w:r>
      <w:proofErr w:type="spellEnd"/>
      <w:r w:rsidRPr="00031D8F">
        <w:t xml:space="preserve"> O</w:t>
      </w:r>
      <w:r w:rsidRPr="00031D8F">
        <w:rPr>
          <w:rFonts w:hint="eastAsia"/>
          <w:lang w:eastAsia="ko-KR"/>
        </w:rPr>
        <w:t>,</w:t>
      </w:r>
      <w:r w:rsidRPr="00031D8F">
        <w:t xml:space="preserve"> </w:t>
      </w:r>
      <w:proofErr w:type="spellStart"/>
      <w:r w:rsidRPr="00031D8F">
        <w:t>Gheewala</w:t>
      </w:r>
      <w:proofErr w:type="spellEnd"/>
      <w:r w:rsidRPr="00031D8F">
        <w:t xml:space="preserve"> S (2008) Environmental life cycle assessment of a commercial office building in Thailand. The International Journal of Life Cycle Assessment, 13</w:t>
      </w:r>
      <w:r w:rsidRPr="00031D8F">
        <w:rPr>
          <w:rFonts w:hint="eastAsia"/>
          <w:lang w:eastAsia="ko-KR"/>
        </w:rPr>
        <w:t>:</w:t>
      </w:r>
      <w:r w:rsidRPr="00031D8F">
        <w:t>498-511.</w:t>
      </w:r>
    </w:p>
    <w:p w:rsidR="00CF7AA4" w:rsidRPr="00031D8F" w:rsidRDefault="00CF7AA4" w:rsidP="00CF7AA4">
      <w:pPr>
        <w:pStyle w:val="ListParagraph"/>
        <w:numPr>
          <w:ilvl w:val="0"/>
          <w:numId w:val="13"/>
        </w:numPr>
        <w:adjustRightInd w:val="0"/>
        <w:snapToGrid w:val="0"/>
        <w:ind w:hanging="720"/>
      </w:pPr>
      <w:r w:rsidRPr="00031D8F">
        <w:lastRenderedPageBreak/>
        <w:t>Lave L B</w:t>
      </w:r>
      <w:r w:rsidRPr="00031D8F">
        <w:rPr>
          <w:lang w:eastAsia="ko-KR"/>
        </w:rPr>
        <w:t>,</w:t>
      </w:r>
      <w:r w:rsidRPr="00031D8F">
        <w:t xml:space="preserve"> Cobras-Flores E, Hendrickson C</w:t>
      </w:r>
      <w:r w:rsidRPr="00031D8F">
        <w:rPr>
          <w:lang w:eastAsia="ko-KR"/>
        </w:rPr>
        <w:t>,</w:t>
      </w:r>
      <w:r w:rsidRPr="00031D8F">
        <w:t xml:space="preserve"> McMichael F (1995) Using input–output analysis to estimate economy wide discharges. Environmental Science &amp; Technology, 29</w:t>
      </w:r>
      <w:r w:rsidRPr="00031D8F">
        <w:rPr>
          <w:lang w:eastAsia="ko-KR"/>
        </w:rPr>
        <w:t>:</w:t>
      </w:r>
      <w:r w:rsidRPr="00031D8F">
        <w:t xml:space="preserve">420-426. </w:t>
      </w:r>
    </w:p>
    <w:p w:rsidR="00CF7AA4" w:rsidRPr="00031D8F" w:rsidRDefault="00CF7AA4" w:rsidP="00CF7AA4">
      <w:pPr>
        <w:pStyle w:val="ListParagraph"/>
        <w:numPr>
          <w:ilvl w:val="0"/>
          <w:numId w:val="13"/>
        </w:numPr>
        <w:adjustRightInd w:val="0"/>
        <w:snapToGrid w:val="0"/>
        <w:ind w:hanging="720"/>
        <w:rPr>
          <w:lang w:eastAsia="ko-KR"/>
        </w:rPr>
      </w:pPr>
      <w:proofErr w:type="spellStart"/>
      <w:r w:rsidRPr="00031D8F">
        <w:t>Lenzen</w:t>
      </w:r>
      <w:proofErr w:type="spellEnd"/>
      <w:r w:rsidRPr="00031D8F">
        <w:t xml:space="preserve"> M (2002) </w:t>
      </w:r>
      <w:proofErr w:type="gramStart"/>
      <w:r w:rsidRPr="00031D8F">
        <w:t>A</w:t>
      </w:r>
      <w:proofErr w:type="gramEnd"/>
      <w:r w:rsidRPr="00031D8F">
        <w:t xml:space="preserve"> guide for compiling inventories in hybrid life-cycle assessments: some Australian results. Journal of Cleaner Production, 10</w:t>
      </w:r>
      <w:r w:rsidRPr="00031D8F">
        <w:rPr>
          <w:lang w:eastAsia="ko-KR"/>
        </w:rPr>
        <w:t>:</w:t>
      </w:r>
      <w:r w:rsidRPr="00031D8F">
        <w:t>545-572.</w:t>
      </w:r>
    </w:p>
    <w:p w:rsidR="00CF7AA4" w:rsidRPr="00031D8F" w:rsidRDefault="00CF7AA4" w:rsidP="00CF7AA4">
      <w:pPr>
        <w:pStyle w:val="ListParagraph"/>
        <w:numPr>
          <w:ilvl w:val="0"/>
          <w:numId w:val="13"/>
        </w:numPr>
        <w:adjustRightInd w:val="0"/>
        <w:snapToGrid w:val="0"/>
        <w:ind w:hanging="720"/>
        <w:rPr>
          <w:lang w:eastAsia="ko-KR"/>
        </w:rPr>
      </w:pPr>
      <w:r w:rsidRPr="00031D8F">
        <w:t>Lin C (2009) Hybrid input-output analysis of wastewater treatment and environmental impacts: A case study for the Tokyo Metropolis. Ecological Economics, 68</w:t>
      </w:r>
      <w:r w:rsidRPr="00031D8F">
        <w:rPr>
          <w:rFonts w:hint="eastAsia"/>
          <w:lang w:eastAsia="ko-KR"/>
        </w:rPr>
        <w:t>:</w:t>
      </w:r>
      <w:r w:rsidRPr="00031D8F">
        <w:t>2096-2105.</w:t>
      </w:r>
    </w:p>
    <w:p w:rsidR="00CF7AA4" w:rsidRPr="00031D8F" w:rsidRDefault="00CF7AA4" w:rsidP="00CF7AA4">
      <w:pPr>
        <w:pStyle w:val="ListParagraph"/>
        <w:numPr>
          <w:ilvl w:val="0"/>
          <w:numId w:val="13"/>
        </w:numPr>
        <w:adjustRightInd w:val="0"/>
        <w:snapToGrid w:val="0"/>
        <w:ind w:hanging="720"/>
        <w:rPr>
          <w:noProof/>
        </w:rPr>
      </w:pPr>
      <w:r w:rsidRPr="00031D8F">
        <w:rPr>
          <w:noProof/>
        </w:rPr>
        <w:t>Lippiatt B (20</w:t>
      </w:r>
      <w:r w:rsidR="003A06F0" w:rsidRPr="00031D8F">
        <w:rPr>
          <w:noProof/>
        </w:rPr>
        <w:t>10</w:t>
      </w:r>
      <w:r w:rsidRPr="00031D8F">
        <w:rPr>
          <w:noProof/>
        </w:rPr>
        <w:t>) Building for Environmental and Economic Sustainability</w:t>
      </w:r>
      <w:r w:rsidR="003A06F0" w:rsidRPr="00031D8F">
        <w:rPr>
          <w:noProof/>
        </w:rPr>
        <w:t xml:space="preserve"> Online</w:t>
      </w:r>
      <w:r w:rsidRPr="00031D8F">
        <w:rPr>
          <w:noProof/>
        </w:rPr>
        <w:t xml:space="preserve">, NIST, Washington D.C., USA. </w:t>
      </w:r>
    </w:p>
    <w:p w:rsidR="00CF7AA4" w:rsidRPr="00031D8F" w:rsidRDefault="00CF7AA4" w:rsidP="00CF7AA4">
      <w:pPr>
        <w:pStyle w:val="ListParagraph"/>
        <w:numPr>
          <w:ilvl w:val="0"/>
          <w:numId w:val="13"/>
        </w:numPr>
        <w:autoSpaceDE w:val="0"/>
        <w:autoSpaceDN w:val="0"/>
        <w:adjustRightInd w:val="0"/>
        <w:snapToGrid w:val="0"/>
        <w:ind w:hanging="720"/>
        <w:rPr>
          <w:noProof/>
        </w:rPr>
      </w:pPr>
      <w:proofErr w:type="spellStart"/>
      <w:r w:rsidRPr="00031D8F">
        <w:rPr>
          <w:lang w:eastAsia="ko-KR"/>
        </w:rPr>
        <w:t>Marheineke</w:t>
      </w:r>
      <w:proofErr w:type="spellEnd"/>
      <w:r w:rsidRPr="00031D8F">
        <w:rPr>
          <w:lang w:eastAsia="ko-KR"/>
        </w:rPr>
        <w:t xml:space="preserve"> T, Friedrich R, </w:t>
      </w:r>
      <w:proofErr w:type="spellStart"/>
      <w:r w:rsidRPr="00031D8F">
        <w:rPr>
          <w:lang w:eastAsia="ko-KR"/>
        </w:rPr>
        <w:t>Krewitt</w:t>
      </w:r>
      <w:proofErr w:type="spellEnd"/>
      <w:r w:rsidRPr="00031D8F">
        <w:rPr>
          <w:lang w:eastAsia="ko-KR"/>
        </w:rPr>
        <w:t xml:space="preserve"> W</w:t>
      </w:r>
      <w:r w:rsidRPr="00031D8F">
        <w:rPr>
          <w:rFonts w:hint="eastAsia"/>
          <w:lang w:eastAsia="ko-KR"/>
        </w:rPr>
        <w:t xml:space="preserve"> (1998)</w:t>
      </w:r>
      <w:r w:rsidRPr="00031D8F">
        <w:rPr>
          <w:lang w:eastAsia="ko-KR"/>
        </w:rPr>
        <w:t xml:space="preserve"> Application of a Hybrid-Approach to the Life Cycle Inventory Analysis of a Freight Transport Task. In: SAE 1998 Transactions – Journal of Passenger Cars, Section 6 Volume 107. Society of Automotive Engineers (SAE), </w:t>
      </w:r>
      <w:proofErr w:type="spellStart"/>
      <w:r w:rsidRPr="00031D8F">
        <w:rPr>
          <w:lang w:eastAsia="ko-KR"/>
        </w:rPr>
        <w:t>Warrendale</w:t>
      </w:r>
      <w:proofErr w:type="spellEnd"/>
      <w:r w:rsidRPr="00031D8F">
        <w:rPr>
          <w:lang w:eastAsia="ko-KR"/>
        </w:rPr>
        <w:t xml:space="preserve"> PA, U.S.A.</w:t>
      </w:r>
    </w:p>
    <w:p w:rsidR="00CF7AA4" w:rsidRPr="00031D8F" w:rsidRDefault="00CF7AA4" w:rsidP="00CF7AA4">
      <w:pPr>
        <w:pStyle w:val="ListParagraph"/>
        <w:numPr>
          <w:ilvl w:val="0"/>
          <w:numId w:val="13"/>
        </w:numPr>
        <w:adjustRightInd w:val="0"/>
        <w:snapToGrid w:val="0"/>
        <w:ind w:hanging="720"/>
        <w:rPr>
          <w:lang w:eastAsia="ko-KR"/>
        </w:rPr>
      </w:pPr>
      <w:r w:rsidRPr="00031D8F">
        <w:rPr>
          <w:lang w:eastAsia="ko-KR"/>
        </w:rPr>
        <w:t>Matthews H S, Small M J (2000) Extending the Boundaries of Life-Cycle Assessment through Environmental Economic Input-Output Models. Journal of Industrial Ecology, 4:7-10</w:t>
      </w:r>
    </w:p>
    <w:p w:rsidR="00CF7AA4" w:rsidRPr="00031D8F" w:rsidRDefault="00CF7AA4" w:rsidP="00CF7AA4">
      <w:pPr>
        <w:pStyle w:val="ListParagraph"/>
        <w:numPr>
          <w:ilvl w:val="0"/>
          <w:numId w:val="13"/>
        </w:numPr>
        <w:adjustRightInd w:val="0"/>
        <w:snapToGrid w:val="0"/>
        <w:ind w:hanging="720"/>
        <w:rPr>
          <w:lang w:eastAsia="ko-KR"/>
        </w:rPr>
      </w:pPr>
      <w:proofErr w:type="spellStart"/>
      <w:r w:rsidRPr="00031D8F">
        <w:rPr>
          <w:lang w:eastAsia="ko-KR"/>
        </w:rPr>
        <w:t>Konijn</w:t>
      </w:r>
      <w:proofErr w:type="spellEnd"/>
      <w:r w:rsidRPr="00031D8F">
        <w:rPr>
          <w:lang w:eastAsia="ko-KR"/>
        </w:rPr>
        <w:t xml:space="preserve"> P (1994) </w:t>
      </w:r>
      <w:proofErr w:type="gramStart"/>
      <w:r w:rsidRPr="00031D8F">
        <w:rPr>
          <w:lang w:eastAsia="ko-KR"/>
        </w:rPr>
        <w:t>The</w:t>
      </w:r>
      <w:proofErr w:type="gramEnd"/>
      <w:r w:rsidRPr="00031D8F">
        <w:rPr>
          <w:lang w:eastAsia="ko-KR"/>
        </w:rPr>
        <w:t xml:space="preserve"> make and use of commodities by industries. PhD thesis, University of </w:t>
      </w:r>
      <w:proofErr w:type="spellStart"/>
      <w:r w:rsidRPr="00031D8F">
        <w:rPr>
          <w:lang w:eastAsia="ko-KR"/>
        </w:rPr>
        <w:t>Twente</w:t>
      </w:r>
      <w:proofErr w:type="spellEnd"/>
      <w:r w:rsidRPr="00031D8F">
        <w:rPr>
          <w:lang w:eastAsia="ko-KR"/>
        </w:rPr>
        <w:t xml:space="preserve">, </w:t>
      </w:r>
      <w:proofErr w:type="spellStart"/>
      <w:r w:rsidRPr="00031D8F">
        <w:rPr>
          <w:lang w:eastAsia="ko-KR"/>
        </w:rPr>
        <w:t>Enschede</w:t>
      </w:r>
      <w:proofErr w:type="spellEnd"/>
      <w:r w:rsidRPr="00031D8F">
        <w:rPr>
          <w:rFonts w:hint="eastAsia"/>
          <w:lang w:eastAsia="ko-KR"/>
        </w:rPr>
        <w:t>, The Netherlands</w:t>
      </w:r>
      <w:r w:rsidRPr="00031D8F">
        <w:rPr>
          <w:lang w:eastAsia="ko-KR"/>
        </w:rPr>
        <w:t>.</w:t>
      </w:r>
    </w:p>
    <w:p w:rsidR="00CF7AA4" w:rsidRPr="00031D8F" w:rsidRDefault="00CF7AA4" w:rsidP="00CF7AA4">
      <w:pPr>
        <w:pStyle w:val="ListParagraph"/>
        <w:numPr>
          <w:ilvl w:val="0"/>
          <w:numId w:val="13"/>
        </w:numPr>
        <w:adjustRightInd w:val="0"/>
        <w:snapToGrid w:val="0"/>
        <w:ind w:hanging="720"/>
      </w:pPr>
      <w:proofErr w:type="spellStart"/>
      <w:r w:rsidRPr="00031D8F">
        <w:t>Moriguchi</w:t>
      </w:r>
      <w:proofErr w:type="spellEnd"/>
      <w:r w:rsidRPr="00031D8F">
        <w:t xml:space="preserve"> Y, Kondo Y</w:t>
      </w:r>
      <w:r w:rsidRPr="00031D8F">
        <w:rPr>
          <w:lang w:eastAsia="ko-KR"/>
        </w:rPr>
        <w:t>,</w:t>
      </w:r>
      <w:r w:rsidRPr="00031D8F">
        <w:t xml:space="preserve"> and Shimizu H (1993) Analyzing the life cycle impact of cars: the case of CO2. Industry and Environment, 16</w:t>
      </w:r>
      <w:r w:rsidRPr="00031D8F">
        <w:rPr>
          <w:lang w:eastAsia="ko-KR"/>
        </w:rPr>
        <w:t>:</w:t>
      </w:r>
      <w:r w:rsidRPr="00031D8F">
        <w:t xml:space="preserve"> 42-45. </w:t>
      </w:r>
    </w:p>
    <w:p w:rsidR="00CF7AA4" w:rsidRPr="00031D8F" w:rsidRDefault="00CF7AA4" w:rsidP="00CF7AA4">
      <w:pPr>
        <w:pStyle w:val="ListParagraph"/>
        <w:numPr>
          <w:ilvl w:val="0"/>
          <w:numId w:val="13"/>
        </w:numPr>
        <w:autoSpaceDE w:val="0"/>
        <w:autoSpaceDN w:val="0"/>
        <w:adjustRightInd w:val="0"/>
        <w:snapToGrid w:val="0"/>
        <w:ind w:hanging="720"/>
        <w:rPr>
          <w:lang w:eastAsia="ko-KR"/>
        </w:rPr>
      </w:pPr>
      <w:r w:rsidRPr="00031D8F">
        <w:rPr>
          <w:lang w:eastAsia="ko-KR"/>
        </w:rPr>
        <w:t>Nakamura S</w:t>
      </w:r>
      <w:r w:rsidRPr="00031D8F">
        <w:rPr>
          <w:rFonts w:hint="eastAsia"/>
          <w:lang w:eastAsia="ko-KR"/>
        </w:rPr>
        <w:t>,</w:t>
      </w:r>
      <w:r w:rsidRPr="00031D8F">
        <w:rPr>
          <w:lang w:eastAsia="ko-KR"/>
        </w:rPr>
        <w:t xml:space="preserve"> Kondo Y (2002). Input–output analysis of waste management, Journal of Industrial Ecology,</w:t>
      </w:r>
      <w:r w:rsidRPr="00031D8F">
        <w:rPr>
          <w:rFonts w:hint="eastAsia"/>
          <w:lang w:eastAsia="ko-KR"/>
        </w:rPr>
        <w:t xml:space="preserve"> </w:t>
      </w:r>
      <w:r w:rsidRPr="00031D8F">
        <w:rPr>
          <w:lang w:eastAsia="ko-KR"/>
        </w:rPr>
        <w:t>6</w:t>
      </w:r>
      <w:r w:rsidRPr="00031D8F">
        <w:rPr>
          <w:rFonts w:hint="eastAsia"/>
          <w:lang w:eastAsia="ko-KR"/>
        </w:rPr>
        <w:t>:</w:t>
      </w:r>
      <w:r w:rsidRPr="00031D8F">
        <w:rPr>
          <w:lang w:eastAsia="ko-KR"/>
        </w:rPr>
        <w:t>39–64.</w:t>
      </w:r>
    </w:p>
    <w:p w:rsidR="00CF7AA4" w:rsidRPr="00031D8F" w:rsidRDefault="00CF7AA4" w:rsidP="00CF7AA4">
      <w:pPr>
        <w:pStyle w:val="ListParagraph"/>
        <w:numPr>
          <w:ilvl w:val="0"/>
          <w:numId w:val="13"/>
        </w:numPr>
        <w:adjustRightInd w:val="0"/>
        <w:snapToGrid w:val="0"/>
        <w:ind w:hanging="720"/>
        <w:rPr>
          <w:lang w:eastAsia="ko-KR"/>
        </w:rPr>
      </w:pPr>
      <w:r w:rsidRPr="00031D8F">
        <w:t>Peters G</w:t>
      </w:r>
      <w:r w:rsidRPr="00031D8F">
        <w:rPr>
          <w:rFonts w:hint="eastAsia"/>
          <w:lang w:eastAsia="ko-KR"/>
        </w:rPr>
        <w:t>,</w:t>
      </w:r>
      <w:r w:rsidRPr="00031D8F">
        <w:t xml:space="preserve"> </w:t>
      </w:r>
      <w:proofErr w:type="spellStart"/>
      <w:r w:rsidRPr="00031D8F">
        <w:t>Hertwich</w:t>
      </w:r>
      <w:proofErr w:type="spellEnd"/>
      <w:r w:rsidRPr="00031D8F">
        <w:rPr>
          <w:rFonts w:hint="eastAsia"/>
          <w:lang w:eastAsia="ko-KR"/>
        </w:rPr>
        <w:t xml:space="preserve"> E</w:t>
      </w:r>
      <w:r w:rsidRPr="00031D8F">
        <w:t xml:space="preserve"> </w:t>
      </w:r>
      <w:r w:rsidRPr="00031D8F">
        <w:rPr>
          <w:rFonts w:hint="eastAsia"/>
          <w:lang w:eastAsia="ko-KR"/>
        </w:rPr>
        <w:t>(</w:t>
      </w:r>
      <w:r w:rsidRPr="00031D8F">
        <w:t>2006</w:t>
      </w:r>
      <w:r w:rsidRPr="00031D8F">
        <w:rPr>
          <w:rFonts w:hint="eastAsia"/>
          <w:lang w:eastAsia="ko-KR"/>
        </w:rPr>
        <w:t>)</w:t>
      </w:r>
      <w:r w:rsidRPr="00031D8F">
        <w:t xml:space="preserve"> A comment on </w:t>
      </w:r>
      <w:r w:rsidRPr="00031D8F">
        <w:rPr>
          <w:lang w:eastAsia="ko-KR"/>
        </w:rPr>
        <w:t>“</w:t>
      </w:r>
      <w:r w:rsidRPr="00031D8F">
        <w:t>Functions, commodities and environmental impacts in an ecological-economic model</w:t>
      </w:r>
      <w:r w:rsidRPr="00031D8F">
        <w:rPr>
          <w:lang w:eastAsia="ko-KR"/>
        </w:rPr>
        <w:t>”</w:t>
      </w:r>
      <w:r w:rsidRPr="00031D8F">
        <w:t xml:space="preserve"> </w:t>
      </w:r>
      <w:r w:rsidRPr="00031D8F">
        <w:rPr>
          <w:iCs/>
        </w:rPr>
        <w:t>Ecological Economics</w:t>
      </w:r>
      <w:r w:rsidRPr="00031D8F">
        <w:t>, 59</w:t>
      </w:r>
      <w:r w:rsidRPr="00031D8F">
        <w:rPr>
          <w:rFonts w:hint="eastAsia"/>
          <w:lang w:eastAsia="ko-KR"/>
        </w:rPr>
        <w:t>:</w:t>
      </w:r>
      <w:r w:rsidRPr="00031D8F">
        <w:t>1-6.</w:t>
      </w:r>
    </w:p>
    <w:p w:rsidR="00CF7AA4" w:rsidRPr="00031D8F" w:rsidRDefault="00CF7AA4" w:rsidP="00CF7AA4">
      <w:pPr>
        <w:pStyle w:val="ListParagraph"/>
        <w:numPr>
          <w:ilvl w:val="0"/>
          <w:numId w:val="13"/>
        </w:numPr>
        <w:adjustRightInd w:val="0"/>
        <w:snapToGrid w:val="0"/>
        <w:ind w:hanging="720"/>
      </w:pPr>
      <w:r w:rsidRPr="00031D8F">
        <w:t xml:space="preserve">Peters G, </w:t>
      </w:r>
      <w:proofErr w:type="spellStart"/>
      <w:r w:rsidRPr="00031D8F">
        <w:t>Wiedmann</w:t>
      </w:r>
      <w:proofErr w:type="spellEnd"/>
      <w:r w:rsidRPr="00031D8F">
        <w:t xml:space="preserve"> S, Rowley H</w:t>
      </w:r>
      <w:r w:rsidRPr="00031D8F">
        <w:rPr>
          <w:rFonts w:hint="eastAsia"/>
          <w:lang w:eastAsia="ko-KR"/>
        </w:rPr>
        <w:t>,</w:t>
      </w:r>
      <w:r w:rsidRPr="00031D8F">
        <w:t xml:space="preserve"> Tucker</w:t>
      </w:r>
      <w:r w:rsidRPr="00031D8F">
        <w:rPr>
          <w:rFonts w:hint="eastAsia"/>
          <w:lang w:eastAsia="ko-KR"/>
        </w:rPr>
        <w:t xml:space="preserve"> </w:t>
      </w:r>
      <w:r w:rsidRPr="00031D8F">
        <w:t>R (2010a) Accounting for water use in Australian red meat production. The International Journal of Life Cycle Assessment, 15</w:t>
      </w:r>
      <w:r w:rsidRPr="00031D8F">
        <w:rPr>
          <w:rFonts w:hint="eastAsia"/>
          <w:lang w:eastAsia="ko-KR"/>
        </w:rPr>
        <w:t>:</w:t>
      </w:r>
      <w:r w:rsidRPr="00031D8F">
        <w:t xml:space="preserve">311-320. </w:t>
      </w:r>
    </w:p>
    <w:p w:rsidR="00CF7AA4" w:rsidRPr="00031D8F" w:rsidRDefault="00CF7AA4" w:rsidP="00CF7AA4">
      <w:pPr>
        <w:pStyle w:val="ListParagraph"/>
        <w:numPr>
          <w:ilvl w:val="0"/>
          <w:numId w:val="13"/>
        </w:numPr>
        <w:adjustRightInd w:val="0"/>
        <w:snapToGrid w:val="0"/>
        <w:ind w:hanging="720"/>
        <w:rPr>
          <w:noProof/>
          <w:lang w:eastAsia="ko-KR"/>
        </w:rPr>
      </w:pPr>
      <w:r w:rsidRPr="00031D8F">
        <w:t>Peters G</w:t>
      </w:r>
      <w:r w:rsidRPr="00031D8F">
        <w:rPr>
          <w:rFonts w:hint="eastAsia"/>
          <w:lang w:eastAsia="ko-KR"/>
        </w:rPr>
        <w:t>,</w:t>
      </w:r>
      <w:r w:rsidRPr="00031D8F">
        <w:t xml:space="preserve"> Rowley H, </w:t>
      </w:r>
      <w:proofErr w:type="spellStart"/>
      <w:r w:rsidRPr="00031D8F">
        <w:t>Wiedmann</w:t>
      </w:r>
      <w:proofErr w:type="spellEnd"/>
      <w:r w:rsidRPr="00031D8F">
        <w:t xml:space="preserve"> S, Tucker R</w:t>
      </w:r>
      <w:r w:rsidRPr="00031D8F">
        <w:rPr>
          <w:rFonts w:hint="eastAsia"/>
          <w:lang w:eastAsia="ko-KR"/>
        </w:rPr>
        <w:t>,</w:t>
      </w:r>
      <w:r w:rsidRPr="00031D8F">
        <w:t xml:space="preserve"> Short M D</w:t>
      </w:r>
      <w:r w:rsidRPr="00031D8F">
        <w:rPr>
          <w:rFonts w:hint="eastAsia"/>
          <w:lang w:eastAsia="ko-KR"/>
        </w:rPr>
        <w:t>,</w:t>
      </w:r>
      <w:r w:rsidRPr="00031D8F">
        <w:t xml:space="preserve"> Schulz M (2010b) Red Meat Production in Australia: Life Cycle Assessment and Comparison with Overseas Studies. Environmental Science &amp; Technology, 44</w:t>
      </w:r>
      <w:r w:rsidRPr="00031D8F">
        <w:rPr>
          <w:rFonts w:hint="eastAsia"/>
          <w:lang w:eastAsia="ko-KR"/>
        </w:rPr>
        <w:t>:</w:t>
      </w:r>
      <w:r w:rsidRPr="00031D8F">
        <w:t>1327-1332.</w:t>
      </w:r>
    </w:p>
    <w:p w:rsidR="00CF7AA4" w:rsidRPr="00031D8F" w:rsidRDefault="00CF7AA4" w:rsidP="00CF7AA4">
      <w:pPr>
        <w:pStyle w:val="ListParagraph"/>
        <w:numPr>
          <w:ilvl w:val="0"/>
          <w:numId w:val="13"/>
        </w:numPr>
        <w:adjustRightInd w:val="0"/>
        <w:snapToGrid w:val="0"/>
        <w:ind w:hanging="720"/>
        <w:rPr>
          <w:noProof/>
        </w:rPr>
      </w:pPr>
      <w:r w:rsidRPr="00031D8F">
        <w:rPr>
          <w:noProof/>
        </w:rPr>
        <w:lastRenderedPageBreak/>
        <w:t>Reich-Weiser C</w:t>
      </w:r>
      <w:r w:rsidRPr="00031D8F">
        <w:rPr>
          <w:rFonts w:hint="eastAsia"/>
          <w:noProof/>
          <w:lang w:eastAsia="ko-KR"/>
        </w:rPr>
        <w:t>,</w:t>
      </w:r>
      <w:r w:rsidRPr="00031D8F">
        <w:rPr>
          <w:noProof/>
        </w:rPr>
        <w:t xml:space="preserve"> Ace F</w:t>
      </w:r>
      <w:r w:rsidRPr="00031D8F">
        <w:rPr>
          <w:rFonts w:hint="eastAsia"/>
          <w:noProof/>
          <w:lang w:eastAsia="ko-KR"/>
        </w:rPr>
        <w:t>,</w:t>
      </w:r>
      <w:r w:rsidRPr="00031D8F">
        <w:rPr>
          <w:noProof/>
        </w:rPr>
        <w:t xml:space="preserve"> Brooks C</w:t>
      </w:r>
      <w:r w:rsidRPr="00031D8F">
        <w:rPr>
          <w:rFonts w:hint="eastAsia"/>
          <w:noProof/>
          <w:lang w:eastAsia="ko-KR"/>
        </w:rPr>
        <w:t>,</w:t>
      </w:r>
      <w:r w:rsidRPr="00031D8F">
        <w:rPr>
          <w:noProof/>
        </w:rPr>
        <w:t xml:space="preserve"> Suh S</w:t>
      </w:r>
      <w:r w:rsidRPr="00031D8F">
        <w:rPr>
          <w:rFonts w:hint="eastAsia"/>
          <w:noProof/>
          <w:lang w:eastAsia="ko-KR"/>
        </w:rPr>
        <w:t xml:space="preserve"> (2010)</w:t>
      </w:r>
      <w:r w:rsidRPr="00031D8F">
        <w:rPr>
          <w:noProof/>
        </w:rPr>
        <w:t xml:space="preserve"> An Iterative Hybrid Carbon Footprint</w:t>
      </w:r>
      <w:r w:rsidRPr="00031D8F">
        <w:rPr>
          <w:rFonts w:hint="eastAsia"/>
          <w:noProof/>
          <w:lang w:eastAsia="ko-KR"/>
        </w:rPr>
        <w:t>,</w:t>
      </w:r>
      <w:r w:rsidRPr="00031D8F">
        <w:rPr>
          <w:noProof/>
        </w:rPr>
        <w:t xml:space="preserve"> </w:t>
      </w:r>
      <w:r w:rsidRPr="00031D8F">
        <w:rPr>
          <w:rFonts w:hint="eastAsia"/>
          <w:noProof/>
          <w:lang w:eastAsia="ko-KR"/>
        </w:rPr>
        <w:t xml:space="preserve">In: </w:t>
      </w:r>
      <w:r w:rsidRPr="00031D8F">
        <w:rPr>
          <w:noProof/>
        </w:rPr>
        <w:t>Murray J, Wood R</w:t>
      </w:r>
      <w:r w:rsidRPr="00031D8F">
        <w:rPr>
          <w:rFonts w:hint="eastAsia"/>
          <w:noProof/>
          <w:lang w:eastAsia="ko-KR"/>
        </w:rPr>
        <w:t xml:space="preserve"> (</w:t>
      </w:r>
      <w:r w:rsidRPr="00031D8F">
        <w:rPr>
          <w:noProof/>
        </w:rPr>
        <w:t>Eds</w:t>
      </w:r>
      <w:r w:rsidRPr="00031D8F">
        <w:rPr>
          <w:rFonts w:hint="eastAsia"/>
          <w:noProof/>
          <w:lang w:eastAsia="ko-KR"/>
        </w:rPr>
        <w:t>)</w:t>
      </w:r>
      <w:r w:rsidRPr="00031D8F">
        <w:rPr>
          <w:noProof/>
        </w:rPr>
        <w:t>. In The Sustainability Practitioner's Guide to Input-Output Analysis</w:t>
      </w:r>
      <w:r w:rsidRPr="00031D8F">
        <w:rPr>
          <w:rFonts w:hint="eastAsia"/>
          <w:noProof/>
          <w:lang w:eastAsia="ko-KR"/>
        </w:rPr>
        <w:t>,</w:t>
      </w:r>
      <w:r w:rsidRPr="00031D8F">
        <w:rPr>
          <w:noProof/>
        </w:rPr>
        <w:t xml:space="preserve"> Common Ground Publishing.</w:t>
      </w:r>
    </w:p>
    <w:p w:rsidR="00CF7AA4" w:rsidRPr="00031D8F" w:rsidRDefault="00CF7AA4" w:rsidP="00CF7AA4">
      <w:pPr>
        <w:pStyle w:val="ListParagraph"/>
        <w:numPr>
          <w:ilvl w:val="0"/>
          <w:numId w:val="13"/>
        </w:numPr>
        <w:autoSpaceDE w:val="0"/>
        <w:autoSpaceDN w:val="0"/>
        <w:adjustRightInd w:val="0"/>
        <w:snapToGrid w:val="0"/>
        <w:ind w:hanging="720"/>
        <w:rPr>
          <w:lang w:eastAsia="ko-KR"/>
        </w:rPr>
      </w:pPr>
      <w:proofErr w:type="spellStart"/>
      <w:r w:rsidRPr="00031D8F">
        <w:t>Sharrard</w:t>
      </w:r>
      <w:proofErr w:type="spellEnd"/>
      <w:r w:rsidRPr="00031D8F">
        <w:t xml:space="preserve"> A L, Matthews H S</w:t>
      </w:r>
      <w:r w:rsidRPr="00031D8F">
        <w:rPr>
          <w:rFonts w:hint="eastAsia"/>
          <w:lang w:eastAsia="ko-KR"/>
        </w:rPr>
        <w:t>,</w:t>
      </w:r>
      <w:r w:rsidRPr="00031D8F">
        <w:t xml:space="preserve"> </w:t>
      </w:r>
      <w:proofErr w:type="spellStart"/>
      <w:r w:rsidRPr="00031D8F">
        <w:t>Ries</w:t>
      </w:r>
      <w:proofErr w:type="spellEnd"/>
      <w:r w:rsidRPr="00031D8F">
        <w:t xml:space="preserve"> R J (2008) Estimating Construction Project Environmental Effects Using an Input-Output-Based Hybrid Life-Cycle Assessment Model. Journal of Infrastructure Systems, 14</w:t>
      </w:r>
      <w:r w:rsidRPr="00031D8F">
        <w:rPr>
          <w:rFonts w:hint="eastAsia"/>
          <w:lang w:eastAsia="ko-KR"/>
        </w:rPr>
        <w:t>:</w:t>
      </w:r>
      <w:r w:rsidRPr="00031D8F">
        <w:t>327-336.</w:t>
      </w:r>
    </w:p>
    <w:p w:rsidR="00CF7AA4" w:rsidRPr="00031D8F" w:rsidRDefault="00CF7AA4" w:rsidP="00CF7AA4">
      <w:pPr>
        <w:pStyle w:val="ListParagraph"/>
        <w:numPr>
          <w:ilvl w:val="0"/>
          <w:numId w:val="13"/>
        </w:numPr>
        <w:autoSpaceDE w:val="0"/>
        <w:autoSpaceDN w:val="0"/>
        <w:adjustRightInd w:val="0"/>
        <w:snapToGrid w:val="0"/>
        <w:ind w:hanging="720"/>
        <w:rPr>
          <w:lang w:eastAsia="ko-KR"/>
        </w:rPr>
      </w:pPr>
      <w:r w:rsidRPr="00031D8F">
        <w:rPr>
          <w:lang w:eastAsia="ko-KR"/>
        </w:rPr>
        <w:t>Stone R., Bacharach M</w:t>
      </w:r>
      <w:r w:rsidRPr="00031D8F">
        <w:rPr>
          <w:rFonts w:hint="eastAsia"/>
          <w:lang w:eastAsia="ko-KR"/>
        </w:rPr>
        <w:t>,</w:t>
      </w:r>
      <w:r w:rsidRPr="00031D8F">
        <w:rPr>
          <w:lang w:eastAsia="ko-KR"/>
        </w:rPr>
        <w:t xml:space="preserve"> Bates J (1963) Input–Output Relationships, 1951–1966, </w:t>
      </w:r>
      <w:proofErr w:type="spellStart"/>
      <w:r w:rsidRPr="00031D8F">
        <w:rPr>
          <w:lang w:eastAsia="ko-KR"/>
        </w:rPr>
        <w:t>Programme</w:t>
      </w:r>
      <w:proofErr w:type="spellEnd"/>
      <w:r w:rsidRPr="00031D8F">
        <w:rPr>
          <w:lang w:eastAsia="ko-KR"/>
        </w:rPr>
        <w:t xml:space="preserve"> for Growth</w:t>
      </w:r>
      <w:r w:rsidRPr="00031D8F">
        <w:rPr>
          <w:rFonts w:hint="eastAsia"/>
          <w:lang w:eastAsia="ko-KR"/>
        </w:rPr>
        <w:t xml:space="preserve">, </w:t>
      </w:r>
      <w:r w:rsidRPr="00031D8F">
        <w:rPr>
          <w:lang w:eastAsia="ko-KR"/>
        </w:rPr>
        <w:t>Volume 3</w:t>
      </w:r>
      <w:r w:rsidRPr="00031D8F">
        <w:rPr>
          <w:rFonts w:hint="eastAsia"/>
          <w:lang w:eastAsia="ko-KR"/>
        </w:rPr>
        <w:t>,</w:t>
      </w:r>
      <w:r w:rsidRPr="00031D8F">
        <w:rPr>
          <w:lang w:eastAsia="ko-KR"/>
        </w:rPr>
        <w:t xml:space="preserve"> Chapman &amp; Hall.</w:t>
      </w:r>
    </w:p>
    <w:p w:rsidR="00CF7AA4" w:rsidRPr="00031D8F" w:rsidRDefault="00CF7AA4" w:rsidP="00CF7AA4">
      <w:pPr>
        <w:pStyle w:val="ListParagraph"/>
        <w:numPr>
          <w:ilvl w:val="0"/>
          <w:numId w:val="13"/>
        </w:numPr>
        <w:adjustRightInd w:val="0"/>
        <w:snapToGrid w:val="0"/>
        <w:ind w:hanging="720"/>
        <w:rPr>
          <w:lang w:eastAsia="ko-KR"/>
        </w:rPr>
      </w:pPr>
      <w:bookmarkStart w:id="20" w:name="_Hlk297585013"/>
      <w:r w:rsidRPr="00031D8F">
        <w:rPr>
          <w:noProof/>
        </w:rPr>
        <w:t xml:space="preserve">Strømman </w:t>
      </w:r>
      <w:bookmarkEnd w:id="20"/>
      <w:r w:rsidRPr="00031D8F">
        <w:rPr>
          <w:noProof/>
        </w:rPr>
        <w:t>A</w:t>
      </w:r>
      <w:r w:rsidRPr="00031D8F">
        <w:rPr>
          <w:rFonts w:hint="eastAsia"/>
          <w:noProof/>
          <w:lang w:eastAsia="ko-KR"/>
        </w:rPr>
        <w:t>,</w:t>
      </w:r>
      <w:r w:rsidRPr="00031D8F">
        <w:rPr>
          <w:noProof/>
        </w:rPr>
        <w:t xml:space="preserve"> Peters G</w:t>
      </w:r>
      <w:r w:rsidRPr="00031D8F">
        <w:rPr>
          <w:rFonts w:hint="eastAsia"/>
          <w:noProof/>
          <w:lang w:eastAsia="ko-KR"/>
        </w:rPr>
        <w:t>,</w:t>
      </w:r>
      <w:r w:rsidRPr="00031D8F">
        <w:rPr>
          <w:noProof/>
        </w:rPr>
        <w:t xml:space="preserve"> Hertwich E</w:t>
      </w:r>
      <w:r w:rsidRPr="00031D8F">
        <w:rPr>
          <w:rFonts w:hint="eastAsia"/>
          <w:noProof/>
          <w:lang w:eastAsia="ko-KR"/>
        </w:rPr>
        <w:t xml:space="preserve"> (2009)</w:t>
      </w:r>
      <w:r w:rsidRPr="00031D8F">
        <w:rPr>
          <w:noProof/>
        </w:rPr>
        <w:t xml:space="preserve"> Approaches to correct for double counting in tiered hybrid life cycle inventories. J. of Cleaner Production</w:t>
      </w:r>
      <w:r w:rsidRPr="00031D8F">
        <w:rPr>
          <w:rFonts w:hint="eastAsia"/>
          <w:i/>
          <w:noProof/>
          <w:lang w:eastAsia="ko-KR"/>
        </w:rPr>
        <w:t>,</w:t>
      </w:r>
      <w:r w:rsidRPr="00031D8F">
        <w:rPr>
          <w:noProof/>
        </w:rPr>
        <w:t xml:space="preserve"> 17</w:t>
      </w:r>
      <w:r w:rsidRPr="00031D8F">
        <w:rPr>
          <w:rFonts w:hint="eastAsia"/>
          <w:noProof/>
          <w:lang w:eastAsia="ko-KR"/>
        </w:rPr>
        <w:t>:</w:t>
      </w:r>
      <w:r w:rsidRPr="00031D8F">
        <w:rPr>
          <w:noProof/>
        </w:rPr>
        <w:t>248-254.</w:t>
      </w:r>
    </w:p>
    <w:p w:rsidR="00CF7AA4" w:rsidRPr="00031D8F" w:rsidRDefault="00CF7AA4" w:rsidP="00CF7AA4">
      <w:pPr>
        <w:pStyle w:val="ListParagraph"/>
        <w:numPr>
          <w:ilvl w:val="0"/>
          <w:numId w:val="13"/>
        </w:numPr>
        <w:autoSpaceDE w:val="0"/>
        <w:adjustRightInd w:val="0"/>
        <w:snapToGrid w:val="0"/>
        <w:ind w:hanging="720"/>
      </w:pPr>
      <w:proofErr w:type="spellStart"/>
      <w:r w:rsidRPr="00031D8F">
        <w:t>Suh</w:t>
      </w:r>
      <w:proofErr w:type="spellEnd"/>
      <w:r w:rsidRPr="00031D8F">
        <w:t xml:space="preserve"> S, </w:t>
      </w:r>
      <w:proofErr w:type="spellStart"/>
      <w:r w:rsidRPr="00031D8F">
        <w:t>Weidema</w:t>
      </w:r>
      <w:proofErr w:type="spellEnd"/>
      <w:r w:rsidRPr="00031D8F">
        <w:t xml:space="preserve"> B, Schmidt J, </w:t>
      </w:r>
      <w:proofErr w:type="spellStart"/>
      <w:r w:rsidRPr="00031D8F">
        <w:t>Heijungs</w:t>
      </w:r>
      <w:proofErr w:type="spellEnd"/>
      <w:r w:rsidRPr="00031D8F">
        <w:t xml:space="preserve"> R </w:t>
      </w:r>
      <w:r w:rsidRPr="00031D8F">
        <w:rPr>
          <w:rFonts w:hint="eastAsia"/>
          <w:lang w:eastAsia="ko-KR"/>
        </w:rPr>
        <w:t>(</w:t>
      </w:r>
      <w:r w:rsidRPr="00031D8F">
        <w:t>2010</w:t>
      </w:r>
      <w:r w:rsidRPr="00031D8F">
        <w:rPr>
          <w:rFonts w:hint="eastAsia"/>
          <w:lang w:eastAsia="ko-KR"/>
        </w:rPr>
        <w:t>)</w:t>
      </w:r>
      <w:r w:rsidRPr="00031D8F">
        <w:t xml:space="preserve"> Generalized make and use framework for allocation in LCA, Journal of Industrial Ecology, 14</w:t>
      </w:r>
      <w:r w:rsidRPr="00031D8F">
        <w:rPr>
          <w:rFonts w:hint="eastAsia"/>
          <w:lang w:eastAsia="ko-KR"/>
        </w:rPr>
        <w:t>:</w:t>
      </w:r>
      <w:r w:rsidRPr="00031D8F">
        <w:t>335- 353.</w:t>
      </w:r>
    </w:p>
    <w:p w:rsidR="00CF7AA4" w:rsidRPr="00031D8F" w:rsidRDefault="00CF7AA4" w:rsidP="00CF7AA4">
      <w:pPr>
        <w:pStyle w:val="ListParagraph"/>
        <w:numPr>
          <w:ilvl w:val="0"/>
          <w:numId w:val="13"/>
        </w:numPr>
        <w:adjustRightInd w:val="0"/>
        <w:snapToGrid w:val="0"/>
        <w:ind w:hanging="720"/>
      </w:pPr>
      <w:r w:rsidRPr="00031D8F">
        <w:t>Suh S (2004) Functions, commodities and environmental impacts in an ecological-economic model. Ecological Economics, 48</w:t>
      </w:r>
      <w:r w:rsidRPr="00031D8F">
        <w:rPr>
          <w:rFonts w:hint="eastAsia"/>
          <w:lang w:eastAsia="ko-KR"/>
        </w:rPr>
        <w:t>:</w:t>
      </w:r>
      <w:r w:rsidRPr="00031D8F">
        <w:t>451-467.</w:t>
      </w:r>
    </w:p>
    <w:p w:rsidR="00CF7AA4" w:rsidRPr="00031D8F" w:rsidRDefault="00CF7AA4" w:rsidP="00CF7AA4">
      <w:pPr>
        <w:pStyle w:val="ListParagraph"/>
        <w:numPr>
          <w:ilvl w:val="0"/>
          <w:numId w:val="13"/>
        </w:numPr>
        <w:autoSpaceDE w:val="0"/>
        <w:adjustRightInd w:val="0"/>
        <w:snapToGrid w:val="0"/>
        <w:ind w:hanging="720"/>
        <w:rPr>
          <w:i/>
          <w:lang w:eastAsia="ko-KR"/>
        </w:rPr>
      </w:pPr>
      <w:r w:rsidRPr="00031D8F">
        <w:t xml:space="preserve">Suh S </w:t>
      </w:r>
      <w:r w:rsidRPr="00031D8F">
        <w:rPr>
          <w:rFonts w:hint="eastAsia"/>
          <w:lang w:eastAsia="ko-KR"/>
        </w:rPr>
        <w:t>(</w:t>
      </w:r>
      <w:r w:rsidRPr="00031D8F">
        <w:rPr>
          <w:iCs/>
        </w:rPr>
        <w:t>2005</w:t>
      </w:r>
      <w:r w:rsidRPr="00031D8F">
        <w:rPr>
          <w:rFonts w:hint="eastAsia"/>
          <w:lang w:eastAsia="ko-KR"/>
        </w:rPr>
        <w:t>)</w:t>
      </w:r>
      <w:r w:rsidRPr="00031D8F">
        <w:t xml:space="preserve"> Developing </w:t>
      </w:r>
      <w:proofErr w:type="spellStart"/>
      <w:r w:rsidRPr="00031D8F">
        <w:t>Sectoral</w:t>
      </w:r>
      <w:proofErr w:type="spellEnd"/>
      <w:r w:rsidRPr="00031D8F">
        <w:t xml:space="preserve"> Environmental Database for Input-Output Analysis: Comprehensive Environmental Data Archive of the U.S., Economic Systems Research</w:t>
      </w:r>
      <w:r w:rsidRPr="00031D8F">
        <w:rPr>
          <w:iCs/>
        </w:rPr>
        <w:t>, 17</w:t>
      </w:r>
      <w:r w:rsidRPr="00031D8F">
        <w:rPr>
          <w:rFonts w:hint="eastAsia"/>
          <w:iCs/>
          <w:lang w:eastAsia="ko-KR"/>
        </w:rPr>
        <w:t>:</w:t>
      </w:r>
      <w:r w:rsidRPr="00031D8F">
        <w:rPr>
          <w:iCs/>
        </w:rPr>
        <w:t>449 – 469</w:t>
      </w:r>
      <w:r w:rsidRPr="00031D8F">
        <w:rPr>
          <w:rFonts w:hint="eastAsia"/>
          <w:iCs/>
          <w:lang w:eastAsia="ko-KR"/>
        </w:rPr>
        <w:t>.</w:t>
      </w:r>
    </w:p>
    <w:p w:rsidR="00CF7AA4" w:rsidRPr="00031D8F" w:rsidRDefault="00CF7AA4" w:rsidP="00CF7AA4">
      <w:pPr>
        <w:pStyle w:val="ListParagraph"/>
        <w:numPr>
          <w:ilvl w:val="0"/>
          <w:numId w:val="13"/>
        </w:numPr>
        <w:autoSpaceDE w:val="0"/>
        <w:adjustRightInd w:val="0"/>
        <w:snapToGrid w:val="0"/>
        <w:ind w:hanging="720"/>
        <w:rPr>
          <w:lang w:eastAsia="ko-KR"/>
        </w:rPr>
      </w:pPr>
      <w:r w:rsidRPr="00031D8F">
        <w:t xml:space="preserve">Suh S </w:t>
      </w:r>
      <w:r w:rsidRPr="00031D8F">
        <w:rPr>
          <w:rFonts w:hint="eastAsia"/>
          <w:lang w:eastAsia="ko-KR"/>
        </w:rPr>
        <w:t>(</w:t>
      </w:r>
      <w:r w:rsidRPr="00031D8F">
        <w:rPr>
          <w:bCs/>
          <w:iCs/>
        </w:rPr>
        <w:t>2006</w:t>
      </w:r>
      <w:r w:rsidRPr="00031D8F">
        <w:rPr>
          <w:rFonts w:hint="eastAsia"/>
          <w:bCs/>
          <w:iCs/>
          <w:lang w:eastAsia="ko-KR"/>
        </w:rPr>
        <w:t>)</w:t>
      </w:r>
      <w:r w:rsidRPr="00031D8F">
        <w:t xml:space="preserve"> Reply: Downstream cut-offs in Integrated Hybrid Life Cycle Assessment, </w:t>
      </w:r>
      <w:r w:rsidRPr="00031D8F">
        <w:rPr>
          <w:i/>
          <w:iCs/>
        </w:rPr>
        <w:t>Ecological Economics</w:t>
      </w:r>
      <w:r w:rsidRPr="00031D8F">
        <w:t xml:space="preserve">, </w:t>
      </w:r>
      <w:proofErr w:type="gramStart"/>
      <w:r w:rsidRPr="00031D8F">
        <w:t>59</w:t>
      </w:r>
      <w:r w:rsidRPr="00031D8F">
        <w:rPr>
          <w:rFonts w:hint="eastAsia"/>
          <w:lang w:eastAsia="ko-KR"/>
        </w:rPr>
        <w:t>:</w:t>
      </w:r>
      <w:r w:rsidRPr="00031D8F">
        <w:t>7</w:t>
      </w:r>
      <w:proofErr w:type="gramEnd"/>
      <w:r w:rsidRPr="00031D8F">
        <w:t xml:space="preserve"> – 12.</w:t>
      </w:r>
    </w:p>
    <w:p w:rsidR="00CF7AA4" w:rsidRPr="00031D8F" w:rsidRDefault="00CF7AA4" w:rsidP="00CF7AA4">
      <w:pPr>
        <w:pStyle w:val="ListParagraph"/>
        <w:numPr>
          <w:ilvl w:val="0"/>
          <w:numId w:val="13"/>
        </w:numPr>
        <w:autoSpaceDE w:val="0"/>
        <w:adjustRightInd w:val="0"/>
        <w:snapToGrid w:val="0"/>
        <w:ind w:hanging="720"/>
        <w:rPr>
          <w:lang w:eastAsia="ko-KR"/>
        </w:rPr>
      </w:pPr>
      <w:r w:rsidRPr="00031D8F">
        <w:t xml:space="preserve">Suh S (Ed.) </w:t>
      </w:r>
      <w:r w:rsidRPr="00031D8F">
        <w:rPr>
          <w:rFonts w:hint="eastAsia"/>
          <w:lang w:eastAsia="ko-KR"/>
        </w:rPr>
        <w:t>(</w:t>
      </w:r>
      <w:r w:rsidRPr="00031D8F">
        <w:t>2009</w:t>
      </w:r>
      <w:r w:rsidRPr="00031D8F">
        <w:rPr>
          <w:rFonts w:hint="eastAsia"/>
          <w:lang w:eastAsia="ko-KR"/>
        </w:rPr>
        <w:t>)</w:t>
      </w:r>
      <w:r w:rsidRPr="00031D8F">
        <w:t xml:space="preserve"> </w:t>
      </w:r>
      <w:r w:rsidRPr="00031D8F">
        <w:rPr>
          <w:i/>
        </w:rPr>
        <w:t>Handbook of Input-Output Economics in Industrial Ecology</w:t>
      </w:r>
      <w:r w:rsidRPr="00031D8F">
        <w:t>, Springer</w:t>
      </w:r>
    </w:p>
    <w:p w:rsidR="00CF7AA4" w:rsidRPr="00031D8F" w:rsidRDefault="00CF7AA4" w:rsidP="00CF7AA4">
      <w:pPr>
        <w:pStyle w:val="ListParagraph"/>
        <w:numPr>
          <w:ilvl w:val="0"/>
          <w:numId w:val="13"/>
        </w:numPr>
        <w:autoSpaceDE w:val="0"/>
        <w:adjustRightInd w:val="0"/>
        <w:snapToGrid w:val="0"/>
        <w:ind w:hanging="720"/>
        <w:rPr>
          <w:lang w:eastAsia="ko-KR"/>
        </w:rPr>
      </w:pPr>
      <w:r w:rsidRPr="00031D8F">
        <w:t>Suh S</w:t>
      </w:r>
      <w:r w:rsidRPr="00031D8F">
        <w:rPr>
          <w:rFonts w:hint="eastAsia"/>
          <w:lang w:eastAsia="ko-KR"/>
        </w:rPr>
        <w:t xml:space="preserve"> (</w:t>
      </w:r>
      <w:r w:rsidRPr="00031D8F">
        <w:t>2010</w:t>
      </w:r>
      <w:r w:rsidRPr="00031D8F">
        <w:rPr>
          <w:rFonts w:hint="eastAsia"/>
          <w:lang w:eastAsia="ko-KR"/>
        </w:rPr>
        <w:t>)</w:t>
      </w:r>
      <w:r w:rsidRPr="00031D8F">
        <w:t xml:space="preserve"> Comprehensive Environmental Data Archive (CEDA), In: Murray J</w:t>
      </w:r>
      <w:r w:rsidRPr="00031D8F">
        <w:rPr>
          <w:rFonts w:hint="eastAsia"/>
          <w:lang w:eastAsia="ko-KR"/>
        </w:rPr>
        <w:t>,</w:t>
      </w:r>
      <w:r w:rsidRPr="00031D8F">
        <w:t xml:space="preserve"> Wood R (Eds.</w:t>
      </w:r>
      <w:proofErr w:type="gramStart"/>
      <w:r w:rsidRPr="00031D8F">
        <w:t>)</w:t>
      </w:r>
      <w:r w:rsidRPr="00031D8F">
        <w:rPr>
          <w:rFonts w:hint="eastAsia"/>
          <w:lang w:eastAsia="ko-KR"/>
        </w:rPr>
        <w:t xml:space="preserve"> </w:t>
      </w:r>
      <w:r w:rsidRPr="00031D8F">
        <w:t xml:space="preserve"> The</w:t>
      </w:r>
      <w:proofErr w:type="gramEnd"/>
      <w:r w:rsidRPr="00031D8F">
        <w:t xml:space="preserve"> Sustainability Practitioner's Guide to Input-Output Analysis, Common Ground Publishing.</w:t>
      </w:r>
    </w:p>
    <w:p w:rsidR="00CF7AA4" w:rsidRPr="00031D8F" w:rsidRDefault="00CF7AA4" w:rsidP="00CF7AA4">
      <w:pPr>
        <w:pStyle w:val="ListParagraph"/>
        <w:numPr>
          <w:ilvl w:val="0"/>
          <w:numId w:val="13"/>
        </w:numPr>
        <w:adjustRightInd w:val="0"/>
        <w:snapToGrid w:val="0"/>
        <w:ind w:hanging="720"/>
      </w:pPr>
      <w:proofErr w:type="spellStart"/>
      <w:r w:rsidRPr="00031D8F">
        <w:t>Suh</w:t>
      </w:r>
      <w:proofErr w:type="spellEnd"/>
      <w:r w:rsidRPr="00031D8F">
        <w:t xml:space="preserve"> S</w:t>
      </w:r>
      <w:r w:rsidRPr="00031D8F">
        <w:rPr>
          <w:rFonts w:hint="eastAsia"/>
          <w:lang w:eastAsia="ko-KR"/>
        </w:rPr>
        <w:t>,</w:t>
      </w:r>
      <w:r w:rsidRPr="00031D8F">
        <w:t xml:space="preserve"> </w:t>
      </w:r>
      <w:proofErr w:type="spellStart"/>
      <w:r w:rsidRPr="00031D8F">
        <w:t>Huppes</w:t>
      </w:r>
      <w:proofErr w:type="spellEnd"/>
      <w:r w:rsidRPr="00031D8F">
        <w:t xml:space="preserve"> G (2002) Missing Inventory Estimation Tool Using Extended Input-Output Analysis. The International Journal of Life Cycle Assessment, 7</w:t>
      </w:r>
      <w:r w:rsidRPr="00031D8F">
        <w:rPr>
          <w:rFonts w:hint="eastAsia"/>
          <w:lang w:eastAsia="ko-KR"/>
        </w:rPr>
        <w:t>:</w:t>
      </w:r>
      <w:r w:rsidRPr="00031D8F">
        <w:t xml:space="preserve">134-140. </w:t>
      </w:r>
    </w:p>
    <w:p w:rsidR="00CF7AA4" w:rsidRPr="00031D8F" w:rsidRDefault="00CF7AA4" w:rsidP="00CF7AA4">
      <w:pPr>
        <w:pStyle w:val="ListParagraph"/>
        <w:numPr>
          <w:ilvl w:val="0"/>
          <w:numId w:val="13"/>
        </w:numPr>
        <w:adjustRightInd w:val="0"/>
        <w:snapToGrid w:val="0"/>
        <w:ind w:hanging="720"/>
        <w:rPr>
          <w:lang w:eastAsia="ko-KR"/>
        </w:rPr>
      </w:pPr>
      <w:proofErr w:type="spellStart"/>
      <w:r w:rsidRPr="00031D8F">
        <w:t>Suh</w:t>
      </w:r>
      <w:proofErr w:type="spellEnd"/>
      <w:r w:rsidRPr="00031D8F">
        <w:t xml:space="preserve"> S</w:t>
      </w:r>
      <w:r w:rsidRPr="00031D8F">
        <w:rPr>
          <w:rFonts w:hint="eastAsia"/>
          <w:lang w:eastAsia="ko-KR"/>
        </w:rPr>
        <w:t>,</w:t>
      </w:r>
      <w:r w:rsidRPr="00031D8F">
        <w:t xml:space="preserve"> </w:t>
      </w:r>
      <w:proofErr w:type="spellStart"/>
      <w:r w:rsidRPr="00031D8F">
        <w:t>Huppes</w:t>
      </w:r>
      <w:proofErr w:type="spellEnd"/>
      <w:r w:rsidRPr="00031D8F">
        <w:t xml:space="preserve"> G (2005) Methods for Life Cycle Inventory of a product. Journal of Cleaner Production, 13</w:t>
      </w:r>
      <w:r w:rsidRPr="00031D8F">
        <w:rPr>
          <w:rFonts w:hint="eastAsia"/>
          <w:lang w:eastAsia="ko-KR"/>
        </w:rPr>
        <w:t>:</w:t>
      </w:r>
      <w:r w:rsidRPr="00031D8F">
        <w:t>687-697.</w:t>
      </w:r>
    </w:p>
    <w:p w:rsidR="00CF7AA4" w:rsidRPr="00031D8F" w:rsidRDefault="00CF7AA4" w:rsidP="00CF7AA4">
      <w:pPr>
        <w:pStyle w:val="ListParagraph"/>
        <w:numPr>
          <w:ilvl w:val="0"/>
          <w:numId w:val="13"/>
        </w:numPr>
        <w:autoSpaceDE w:val="0"/>
        <w:autoSpaceDN w:val="0"/>
        <w:adjustRightInd w:val="0"/>
        <w:snapToGrid w:val="0"/>
        <w:ind w:hanging="720"/>
        <w:rPr>
          <w:noProof/>
          <w:lang w:eastAsia="ko-KR"/>
        </w:rPr>
      </w:pPr>
      <w:r w:rsidRPr="00031D8F">
        <w:rPr>
          <w:noProof/>
        </w:rPr>
        <w:t>Suh S</w:t>
      </w:r>
      <w:r w:rsidRPr="00031D8F">
        <w:rPr>
          <w:rFonts w:hint="eastAsia"/>
          <w:noProof/>
          <w:lang w:eastAsia="ko-KR"/>
        </w:rPr>
        <w:t>,</w:t>
      </w:r>
      <w:r w:rsidRPr="00031D8F">
        <w:rPr>
          <w:noProof/>
        </w:rPr>
        <w:t xml:space="preserve"> Lenzen M</w:t>
      </w:r>
      <w:r w:rsidRPr="00031D8F">
        <w:rPr>
          <w:rFonts w:hint="eastAsia"/>
          <w:noProof/>
          <w:lang w:eastAsia="ko-KR"/>
        </w:rPr>
        <w:t>,</w:t>
      </w:r>
      <w:r w:rsidRPr="00031D8F">
        <w:rPr>
          <w:noProof/>
        </w:rPr>
        <w:t xml:space="preserve"> Treloar G</w:t>
      </w:r>
      <w:r w:rsidRPr="00031D8F">
        <w:rPr>
          <w:rFonts w:hint="eastAsia"/>
          <w:noProof/>
          <w:lang w:eastAsia="ko-KR"/>
        </w:rPr>
        <w:t>,</w:t>
      </w:r>
      <w:r w:rsidRPr="00031D8F">
        <w:rPr>
          <w:noProof/>
        </w:rPr>
        <w:t xml:space="preserve"> Hondo H</w:t>
      </w:r>
      <w:r w:rsidRPr="00031D8F">
        <w:rPr>
          <w:rFonts w:hint="eastAsia"/>
          <w:noProof/>
          <w:lang w:eastAsia="ko-KR"/>
        </w:rPr>
        <w:t>,</w:t>
      </w:r>
      <w:r w:rsidRPr="00031D8F">
        <w:rPr>
          <w:noProof/>
        </w:rPr>
        <w:t xml:space="preserve"> Horvath A</w:t>
      </w:r>
      <w:r w:rsidRPr="00031D8F">
        <w:rPr>
          <w:rFonts w:hint="eastAsia"/>
          <w:noProof/>
          <w:lang w:eastAsia="ko-KR"/>
        </w:rPr>
        <w:t>,</w:t>
      </w:r>
      <w:r w:rsidRPr="00031D8F">
        <w:rPr>
          <w:noProof/>
        </w:rPr>
        <w:t xml:space="preserve"> Huppes G</w:t>
      </w:r>
      <w:r w:rsidRPr="00031D8F">
        <w:rPr>
          <w:rFonts w:hint="eastAsia"/>
          <w:noProof/>
          <w:lang w:eastAsia="ko-KR"/>
        </w:rPr>
        <w:t>,</w:t>
      </w:r>
      <w:r w:rsidRPr="00031D8F">
        <w:rPr>
          <w:noProof/>
        </w:rPr>
        <w:t xml:space="preserve"> Jolliet O</w:t>
      </w:r>
      <w:r w:rsidRPr="00031D8F">
        <w:rPr>
          <w:rFonts w:hint="eastAsia"/>
          <w:noProof/>
          <w:lang w:eastAsia="ko-KR"/>
        </w:rPr>
        <w:t>,</w:t>
      </w:r>
      <w:r w:rsidRPr="00031D8F">
        <w:rPr>
          <w:noProof/>
        </w:rPr>
        <w:t xml:space="preserve"> Klann U</w:t>
      </w:r>
      <w:r w:rsidRPr="00031D8F">
        <w:rPr>
          <w:rFonts w:hint="eastAsia"/>
          <w:noProof/>
          <w:lang w:eastAsia="ko-KR"/>
        </w:rPr>
        <w:t xml:space="preserve">, </w:t>
      </w:r>
      <w:r w:rsidRPr="00031D8F">
        <w:rPr>
          <w:noProof/>
        </w:rPr>
        <w:t>Krewitt W</w:t>
      </w:r>
      <w:r w:rsidRPr="00031D8F">
        <w:rPr>
          <w:rFonts w:hint="eastAsia"/>
          <w:noProof/>
          <w:lang w:eastAsia="ko-KR"/>
        </w:rPr>
        <w:t>,</w:t>
      </w:r>
      <w:r w:rsidRPr="00031D8F">
        <w:rPr>
          <w:noProof/>
        </w:rPr>
        <w:t xml:space="preserve"> Moriguchi Y</w:t>
      </w:r>
      <w:r w:rsidRPr="00031D8F">
        <w:rPr>
          <w:rFonts w:hint="eastAsia"/>
          <w:noProof/>
          <w:lang w:eastAsia="ko-KR"/>
        </w:rPr>
        <w:t xml:space="preserve"> (2004)</w:t>
      </w:r>
      <w:r w:rsidRPr="00031D8F">
        <w:rPr>
          <w:noProof/>
        </w:rPr>
        <w:t xml:space="preserve"> System boundary selection in life-cycle inventories using hybrid approaches. </w:t>
      </w:r>
      <w:r w:rsidRPr="00031D8F">
        <w:rPr>
          <w:rFonts w:hint="eastAsia"/>
          <w:noProof/>
          <w:lang w:eastAsia="ko-KR"/>
        </w:rPr>
        <w:t>Environmental Science &amp; Technology</w:t>
      </w:r>
      <w:r w:rsidRPr="00031D8F">
        <w:rPr>
          <w:b/>
          <w:noProof/>
        </w:rPr>
        <w:t>,</w:t>
      </w:r>
      <w:r w:rsidRPr="00031D8F">
        <w:rPr>
          <w:noProof/>
        </w:rPr>
        <w:t xml:space="preserve"> 38</w:t>
      </w:r>
      <w:r w:rsidRPr="00031D8F">
        <w:rPr>
          <w:rFonts w:hint="eastAsia"/>
          <w:noProof/>
          <w:lang w:eastAsia="ko-KR"/>
        </w:rPr>
        <w:t>:</w:t>
      </w:r>
      <w:r w:rsidRPr="00031D8F">
        <w:rPr>
          <w:noProof/>
        </w:rPr>
        <w:t>657-664.</w:t>
      </w:r>
    </w:p>
    <w:p w:rsidR="00CF7AA4" w:rsidRPr="00031D8F" w:rsidRDefault="00CF7AA4" w:rsidP="00CF7AA4">
      <w:pPr>
        <w:pStyle w:val="ListParagraph"/>
        <w:numPr>
          <w:ilvl w:val="0"/>
          <w:numId w:val="13"/>
        </w:numPr>
        <w:autoSpaceDE w:val="0"/>
        <w:autoSpaceDN w:val="0"/>
        <w:adjustRightInd w:val="0"/>
        <w:snapToGrid w:val="0"/>
        <w:ind w:hanging="720"/>
        <w:rPr>
          <w:lang w:eastAsia="ko-KR"/>
        </w:rPr>
      </w:pPr>
      <w:proofErr w:type="spellStart"/>
      <w:r w:rsidRPr="00031D8F">
        <w:rPr>
          <w:lang w:eastAsia="ko-KR"/>
        </w:rPr>
        <w:lastRenderedPageBreak/>
        <w:t>Treloar</w:t>
      </w:r>
      <w:proofErr w:type="spellEnd"/>
      <w:r w:rsidRPr="00031D8F">
        <w:rPr>
          <w:lang w:eastAsia="ko-KR"/>
        </w:rPr>
        <w:t xml:space="preserve"> G (1997) Extracting embodied energy paths from input–output tables: towards an input–output–based</w:t>
      </w:r>
      <w:r w:rsidRPr="00031D8F">
        <w:rPr>
          <w:rFonts w:hint="eastAsia"/>
          <w:lang w:eastAsia="ko-KR"/>
        </w:rPr>
        <w:t xml:space="preserve"> </w:t>
      </w:r>
      <w:r w:rsidRPr="00031D8F">
        <w:rPr>
          <w:lang w:eastAsia="ko-KR"/>
        </w:rPr>
        <w:t>hybrid energy analysis method, Economic Systems Research, 9</w:t>
      </w:r>
      <w:r w:rsidRPr="00031D8F">
        <w:rPr>
          <w:rFonts w:hint="eastAsia"/>
          <w:lang w:eastAsia="ko-KR"/>
        </w:rPr>
        <w:t>:</w:t>
      </w:r>
      <w:r w:rsidRPr="00031D8F">
        <w:rPr>
          <w:lang w:eastAsia="ko-KR"/>
        </w:rPr>
        <w:t>375–391</w:t>
      </w:r>
    </w:p>
    <w:p w:rsidR="00CF7AA4" w:rsidRPr="00031D8F" w:rsidRDefault="00CF7AA4" w:rsidP="00CF7AA4">
      <w:pPr>
        <w:pStyle w:val="ListParagraph"/>
        <w:numPr>
          <w:ilvl w:val="0"/>
          <w:numId w:val="13"/>
        </w:numPr>
        <w:adjustRightInd w:val="0"/>
        <w:snapToGrid w:val="0"/>
        <w:ind w:hanging="720"/>
        <w:rPr>
          <w:noProof/>
          <w:lang w:eastAsia="ko-KR"/>
        </w:rPr>
      </w:pPr>
      <w:r w:rsidRPr="00031D8F">
        <w:rPr>
          <w:noProof/>
        </w:rPr>
        <w:t xml:space="preserve">Weidema B </w:t>
      </w:r>
      <w:r w:rsidRPr="00031D8F">
        <w:rPr>
          <w:noProof/>
          <w:lang w:eastAsia="ko-KR"/>
        </w:rPr>
        <w:t>(</w:t>
      </w:r>
      <w:r w:rsidRPr="00031D8F">
        <w:rPr>
          <w:noProof/>
        </w:rPr>
        <w:t>2011)</w:t>
      </w:r>
      <w:r w:rsidRPr="00031D8F">
        <w:rPr>
          <w:noProof/>
          <w:lang w:eastAsia="ko-KR"/>
        </w:rPr>
        <w:t xml:space="preserve"> Steps toward a global hybrid database, International Society for Industrial Ecology (ISIE) meeting, Berkeley, CA, USA.</w:t>
      </w:r>
    </w:p>
    <w:p w:rsidR="00CF7AA4" w:rsidRDefault="00CF7AA4" w:rsidP="00CF7AA4">
      <w:pPr>
        <w:pStyle w:val="ListParagraph"/>
        <w:numPr>
          <w:ilvl w:val="0"/>
          <w:numId w:val="13"/>
        </w:numPr>
        <w:adjustRightInd w:val="0"/>
        <w:snapToGrid w:val="0"/>
        <w:ind w:hanging="720"/>
        <w:rPr>
          <w:noProof/>
          <w:lang w:eastAsia="ko-KR"/>
        </w:rPr>
      </w:pPr>
      <w:r w:rsidRPr="00031D8F">
        <w:rPr>
          <w:noProof/>
          <w:lang w:eastAsia="ko-KR"/>
        </w:rPr>
        <w:t xml:space="preserve">Wiedmann T O, Suh S, Feng K, Lenzen M, Acquaye A, Scott K, Barrett J R (2011) Application of Hybrid Life Cycle Approaches to Emerging Energy Technologies – The Case of Wind Power in the UK, Environmental Science &amp; Technology, </w:t>
      </w:r>
      <w:r w:rsidRPr="00031D8F">
        <w:rPr>
          <w:i/>
          <w:noProof/>
          <w:lang w:eastAsia="ko-KR"/>
        </w:rPr>
        <w:t>in press</w:t>
      </w:r>
      <w:r w:rsidRPr="00031D8F">
        <w:rPr>
          <w:noProof/>
          <w:lang w:eastAsia="ko-KR"/>
        </w:rPr>
        <w:t>.</w:t>
      </w:r>
    </w:p>
    <w:p w:rsidR="0037793E" w:rsidRDefault="0037793E">
      <w:pPr>
        <w:spacing w:line="240" w:lineRule="auto"/>
        <w:ind w:firstLine="0"/>
        <w:rPr>
          <w:noProof/>
          <w:lang w:eastAsia="ko-KR"/>
        </w:rPr>
      </w:pPr>
      <w:r>
        <w:rPr>
          <w:noProof/>
          <w:lang w:eastAsia="ko-KR"/>
        </w:rPr>
        <w:br w:type="page"/>
      </w:r>
    </w:p>
    <w:p w:rsidR="0037793E" w:rsidRDefault="0037793E" w:rsidP="0037793E">
      <w:pPr>
        <w:adjustRightInd w:val="0"/>
        <w:snapToGrid w:val="0"/>
        <w:rPr>
          <w:noProof/>
          <w:lang w:eastAsia="ko-KR"/>
        </w:rPr>
      </w:pPr>
    </w:p>
    <w:p w:rsidR="0037793E" w:rsidRDefault="0037793E" w:rsidP="0037793E">
      <w:pPr>
        <w:adjustRightInd w:val="0"/>
        <w:snapToGrid w:val="0"/>
        <w:rPr>
          <w:noProof/>
          <w:lang w:eastAsia="ko-KR"/>
        </w:rPr>
      </w:pPr>
    </w:p>
    <w:p w:rsidR="0037793E" w:rsidRDefault="0037793E" w:rsidP="0039095B">
      <w:proofErr w:type="gramStart"/>
      <w:r w:rsidRPr="00803D7D">
        <w:t>Figure 1.</w:t>
      </w:r>
      <w:proofErr w:type="gramEnd"/>
      <w:r w:rsidRPr="00803D7D">
        <w:t xml:space="preserve"> Steps to construct hybrid BEES</w:t>
      </w:r>
      <w:r>
        <w:t xml:space="preserve"> database</w:t>
      </w:r>
    </w:p>
    <w:p w:rsidR="0037793E" w:rsidRDefault="0037793E" w:rsidP="00803D7D">
      <w:r>
        <w:rPr>
          <w:noProof/>
          <w:lang w:eastAsia="ko-KR" w:bidi="ar-SA"/>
        </w:rPr>
        <w:drawing>
          <wp:anchor distT="0" distB="0" distL="114300" distR="114300" simplePos="0" relativeHeight="251659264" behindDoc="0" locked="0" layoutInCell="1" allowOverlap="1">
            <wp:simplePos x="0" y="0"/>
            <wp:positionH relativeFrom="column">
              <wp:posOffset>516382</wp:posOffset>
            </wp:positionH>
            <wp:positionV relativeFrom="paragraph">
              <wp:posOffset>52832</wp:posOffset>
            </wp:positionV>
            <wp:extent cx="4842637" cy="2523363"/>
            <wp:effectExtent l="19050" t="0" r="15113" b="0"/>
            <wp:wrapSquare wrapText="bothSides"/>
            <wp:docPr id="20"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p>
    <w:p w:rsidR="0037793E" w:rsidRDefault="0037793E" w:rsidP="00803D7D"/>
    <w:p w:rsidR="0037793E" w:rsidRDefault="0037793E" w:rsidP="00803D7D"/>
    <w:p w:rsidR="0037793E" w:rsidRDefault="0037793E" w:rsidP="00803D7D"/>
    <w:p w:rsidR="0037793E" w:rsidRDefault="0037793E" w:rsidP="00803D7D"/>
    <w:p w:rsidR="0037793E" w:rsidRDefault="0037793E" w:rsidP="00803D7D"/>
    <w:p w:rsidR="0037793E" w:rsidRDefault="0037793E" w:rsidP="00803D7D"/>
    <w:p w:rsidR="0037793E" w:rsidRDefault="0037793E" w:rsidP="00803D7D"/>
    <w:p w:rsidR="0037793E" w:rsidRDefault="0037793E" w:rsidP="00803D7D"/>
    <w:p w:rsidR="0037793E" w:rsidRDefault="0037793E" w:rsidP="00803D7D"/>
    <w:p w:rsidR="0037793E" w:rsidRDefault="0037793E" w:rsidP="00884906"/>
    <w:p w:rsidR="0037793E" w:rsidRDefault="0037793E" w:rsidP="00884906"/>
    <w:p w:rsidR="0037793E" w:rsidRDefault="0037793E">
      <w:pPr>
        <w:spacing w:line="240" w:lineRule="auto"/>
        <w:ind w:firstLine="0"/>
      </w:pPr>
      <w:r>
        <w:br w:type="page"/>
      </w:r>
    </w:p>
    <w:p w:rsidR="0037793E" w:rsidRPr="00394B7F" w:rsidRDefault="0037793E" w:rsidP="00884906"/>
    <w:p w:rsidR="0037793E" w:rsidRPr="00570A96" w:rsidRDefault="0037793E" w:rsidP="00BA297E">
      <w:proofErr w:type="gramStart"/>
      <w:r w:rsidRPr="00570A96">
        <w:t>Table 1.</w:t>
      </w:r>
      <w:proofErr w:type="gramEnd"/>
      <w:r w:rsidRPr="00570A96">
        <w:t xml:space="preserve"> Overall accounting framework for hybridization of BEES</w:t>
      </w:r>
    </w:p>
    <w:p w:rsidR="0037793E" w:rsidRPr="00570A96" w:rsidRDefault="0037793E" w:rsidP="00F341B8">
      <w:proofErr w:type="gramStart"/>
      <w:r w:rsidRPr="00570A96">
        <w:t>Table 2.</w:t>
      </w:r>
      <w:proofErr w:type="gramEnd"/>
      <w:r w:rsidRPr="00570A96">
        <w:t xml:space="preserve"> Compatibility check between BEES and CEDA</w:t>
      </w:r>
    </w:p>
    <w:p w:rsidR="0037793E" w:rsidRPr="00570A96" w:rsidRDefault="0037793E" w:rsidP="00884906">
      <w:proofErr w:type="gramStart"/>
      <w:r w:rsidRPr="00570A96">
        <w:t>Table 3.</w:t>
      </w:r>
      <w:proofErr w:type="gramEnd"/>
      <w:r w:rsidRPr="00570A96">
        <w:t xml:space="preserve"> Importance of unmatched flows</w:t>
      </w:r>
    </w:p>
    <w:p w:rsidR="0037793E" w:rsidRPr="00570A96" w:rsidRDefault="0037793E" w:rsidP="00884906">
      <w:pPr>
        <w:sectPr w:rsidR="0037793E" w:rsidRPr="00570A96" w:rsidSect="00F55ADF">
          <w:footerReference w:type="default" r:id="rId44"/>
          <w:pgSz w:w="12240" w:h="15840"/>
          <w:pgMar w:top="1440" w:right="1440" w:bottom="1440" w:left="1440" w:header="720" w:footer="720" w:gutter="0"/>
          <w:cols w:space="720"/>
          <w:docGrid w:linePitch="360"/>
        </w:sectPr>
      </w:pPr>
    </w:p>
    <w:tbl>
      <w:tblPr>
        <w:tblpPr w:leftFromText="180" w:rightFromText="180"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4"/>
        <w:gridCol w:w="1464"/>
        <w:gridCol w:w="1464"/>
        <w:gridCol w:w="1464"/>
        <w:gridCol w:w="1464"/>
        <w:gridCol w:w="1464"/>
        <w:gridCol w:w="1464"/>
        <w:gridCol w:w="1464"/>
        <w:gridCol w:w="1464"/>
      </w:tblGrid>
      <w:tr w:rsidR="0037793E" w:rsidRPr="00570A96" w:rsidTr="008B59C1">
        <w:tc>
          <w:tcPr>
            <w:tcW w:w="1464" w:type="dxa"/>
            <w:tcBorders>
              <w:left w:val="nil"/>
              <w:bottom w:val="single" w:sz="4" w:space="0" w:color="auto"/>
              <w:right w:val="single" w:sz="4" w:space="0" w:color="auto"/>
            </w:tcBorders>
          </w:tcPr>
          <w:p w:rsidR="0037793E" w:rsidRPr="00570A96" w:rsidRDefault="0037793E" w:rsidP="00AB2571">
            <w:pPr>
              <w:spacing w:line="240" w:lineRule="auto"/>
              <w:ind w:firstLine="0"/>
              <w:rPr>
                <w:sz w:val="22"/>
                <w:szCs w:val="22"/>
              </w:rPr>
            </w:pPr>
          </w:p>
        </w:tc>
        <w:tc>
          <w:tcPr>
            <w:tcW w:w="1464" w:type="dxa"/>
            <w:tcBorders>
              <w:left w:val="single" w:sz="4" w:space="0" w:color="auto"/>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Detailed product</w:t>
            </w:r>
          </w:p>
        </w:tc>
        <w:tc>
          <w:tcPr>
            <w:tcW w:w="1464" w:type="dxa"/>
            <w:tcBorders>
              <w:left w:val="nil"/>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Item-level product</w:t>
            </w:r>
          </w:p>
        </w:tc>
        <w:tc>
          <w:tcPr>
            <w:tcW w:w="1464" w:type="dxa"/>
            <w:tcBorders>
              <w:left w:val="nil"/>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Standard product</w:t>
            </w:r>
          </w:p>
        </w:tc>
        <w:tc>
          <w:tcPr>
            <w:tcW w:w="1464" w:type="dxa"/>
            <w:tcBorders>
              <w:left w:val="nil"/>
              <w:bottom w:val="single" w:sz="24" w:space="0" w:color="808080"/>
              <w:right w:val="nil"/>
            </w:tcBorders>
          </w:tcPr>
          <w:p w:rsidR="0037793E" w:rsidRPr="00570A96" w:rsidRDefault="0037793E" w:rsidP="00AB2571">
            <w:pPr>
              <w:spacing w:line="240" w:lineRule="auto"/>
              <w:ind w:firstLine="0"/>
              <w:rPr>
                <w:sz w:val="22"/>
                <w:szCs w:val="22"/>
              </w:rPr>
            </w:pPr>
            <w:r w:rsidRPr="00570A96">
              <w:rPr>
                <w:sz w:val="22"/>
                <w:szCs w:val="22"/>
              </w:rPr>
              <w:t>Unit process</w:t>
            </w:r>
          </w:p>
        </w:tc>
        <w:tc>
          <w:tcPr>
            <w:tcW w:w="1464" w:type="dxa"/>
            <w:tcBorders>
              <w:left w:val="nil"/>
              <w:bottom w:val="single" w:sz="24" w:space="0" w:color="808080"/>
              <w:right w:val="nil"/>
            </w:tcBorders>
          </w:tcPr>
          <w:p w:rsidR="0037793E" w:rsidRPr="00570A96" w:rsidRDefault="0037793E" w:rsidP="00AB2571">
            <w:pPr>
              <w:spacing w:line="240" w:lineRule="auto"/>
              <w:ind w:firstLine="0"/>
              <w:rPr>
                <w:sz w:val="22"/>
                <w:szCs w:val="22"/>
              </w:rPr>
            </w:pPr>
            <w:r w:rsidRPr="00570A96">
              <w:rPr>
                <w:sz w:val="22"/>
                <w:szCs w:val="22"/>
              </w:rPr>
              <w:t>Item-level industry</w:t>
            </w:r>
          </w:p>
        </w:tc>
        <w:tc>
          <w:tcPr>
            <w:tcW w:w="1464" w:type="dxa"/>
            <w:tcBorders>
              <w:left w:val="nil"/>
              <w:bottom w:val="single" w:sz="24" w:space="0" w:color="808080"/>
              <w:right w:val="nil"/>
            </w:tcBorders>
          </w:tcPr>
          <w:p w:rsidR="0037793E" w:rsidRPr="00570A96" w:rsidRDefault="0037793E" w:rsidP="00AB2571">
            <w:pPr>
              <w:spacing w:line="240" w:lineRule="auto"/>
              <w:ind w:firstLine="0"/>
              <w:rPr>
                <w:sz w:val="22"/>
                <w:szCs w:val="22"/>
              </w:rPr>
            </w:pPr>
            <w:r w:rsidRPr="00570A96">
              <w:rPr>
                <w:sz w:val="22"/>
                <w:szCs w:val="22"/>
              </w:rPr>
              <w:t>Standard industry</w:t>
            </w:r>
          </w:p>
        </w:tc>
        <w:tc>
          <w:tcPr>
            <w:tcW w:w="1464" w:type="dxa"/>
            <w:tcBorders>
              <w:left w:val="nil"/>
              <w:bottom w:val="single" w:sz="4" w:space="0" w:color="auto"/>
              <w:right w:val="single" w:sz="4" w:space="0" w:color="auto"/>
            </w:tcBorders>
          </w:tcPr>
          <w:p w:rsidR="0037793E" w:rsidRPr="00570A96" w:rsidRDefault="0037793E" w:rsidP="00AB2571">
            <w:pPr>
              <w:spacing w:line="240" w:lineRule="auto"/>
              <w:ind w:firstLine="0"/>
              <w:rPr>
                <w:sz w:val="22"/>
                <w:szCs w:val="22"/>
              </w:rPr>
            </w:pPr>
            <w:r w:rsidRPr="00570A96">
              <w:rPr>
                <w:sz w:val="22"/>
                <w:szCs w:val="22"/>
              </w:rPr>
              <w:t>Final demand</w:t>
            </w:r>
          </w:p>
        </w:tc>
        <w:tc>
          <w:tcPr>
            <w:tcW w:w="1464" w:type="dxa"/>
            <w:tcBorders>
              <w:left w:val="single" w:sz="4" w:space="0" w:color="auto"/>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Total</w:t>
            </w:r>
          </w:p>
        </w:tc>
      </w:tr>
      <w:tr w:rsidR="0037793E" w:rsidRPr="00570A96" w:rsidTr="008B59C1">
        <w:tc>
          <w:tcPr>
            <w:tcW w:w="1464" w:type="dxa"/>
            <w:tcBorders>
              <w:left w:val="nil"/>
              <w:bottom w:val="nil"/>
              <w:right w:val="single" w:sz="4" w:space="0" w:color="auto"/>
            </w:tcBorders>
          </w:tcPr>
          <w:p w:rsidR="0037793E" w:rsidRPr="00570A96" w:rsidRDefault="0037793E" w:rsidP="00AB2571">
            <w:pPr>
              <w:spacing w:line="240" w:lineRule="auto"/>
              <w:ind w:firstLine="0"/>
              <w:rPr>
                <w:sz w:val="22"/>
                <w:szCs w:val="22"/>
              </w:rPr>
            </w:pPr>
            <w:r w:rsidRPr="00570A96">
              <w:rPr>
                <w:sz w:val="22"/>
                <w:szCs w:val="22"/>
              </w:rPr>
              <w:t>Detailed product</w:t>
            </w:r>
          </w:p>
        </w:tc>
        <w:tc>
          <w:tcPr>
            <w:tcW w:w="1464" w:type="dxa"/>
            <w:tcBorders>
              <w:left w:val="single" w:sz="4" w:space="0" w:color="auto"/>
              <w:bottom w:val="nil"/>
              <w:right w:val="nil"/>
            </w:tcBorders>
          </w:tcPr>
          <w:p w:rsidR="0037793E" w:rsidRPr="00570A96" w:rsidRDefault="0037793E" w:rsidP="00AB2571">
            <w:pPr>
              <w:spacing w:line="240" w:lineRule="auto"/>
              <w:ind w:firstLine="0"/>
              <w:rPr>
                <w:sz w:val="22"/>
                <w:szCs w:val="22"/>
              </w:rPr>
            </w:pPr>
          </w:p>
        </w:tc>
        <w:tc>
          <w:tcPr>
            <w:tcW w:w="1464" w:type="dxa"/>
            <w:tcBorders>
              <w:left w:val="nil"/>
              <w:bottom w:val="nil"/>
              <w:right w:val="nil"/>
            </w:tcBorders>
          </w:tcPr>
          <w:p w:rsidR="0037793E" w:rsidRPr="00570A96" w:rsidRDefault="0037793E" w:rsidP="00AB2571">
            <w:pPr>
              <w:spacing w:line="240" w:lineRule="auto"/>
              <w:ind w:firstLine="0"/>
              <w:rPr>
                <w:sz w:val="22"/>
                <w:szCs w:val="22"/>
              </w:rPr>
            </w:pPr>
          </w:p>
        </w:tc>
        <w:tc>
          <w:tcPr>
            <w:tcW w:w="1464" w:type="dxa"/>
            <w:tcBorders>
              <w:left w:val="nil"/>
              <w:bottom w:val="nil"/>
              <w:right w:val="single" w:sz="24" w:space="0" w:color="808080"/>
            </w:tcBorders>
          </w:tcPr>
          <w:p w:rsidR="0037793E" w:rsidRPr="00570A96" w:rsidRDefault="0037793E" w:rsidP="00AB2571">
            <w:pPr>
              <w:spacing w:line="240" w:lineRule="auto"/>
              <w:ind w:firstLine="0"/>
              <w:rPr>
                <w:sz w:val="22"/>
                <w:szCs w:val="22"/>
              </w:rPr>
            </w:pPr>
          </w:p>
        </w:tc>
        <w:tc>
          <w:tcPr>
            <w:tcW w:w="1464" w:type="dxa"/>
            <w:tcBorders>
              <w:top w:val="single" w:sz="24" w:space="0" w:color="808080"/>
              <w:left w:val="single" w:sz="24" w:space="0" w:color="808080"/>
              <w:bottom w:val="dashed" w:sz="4" w:space="0" w:color="auto"/>
              <w:right w:val="dashed" w:sz="4" w:space="0" w:color="auto"/>
            </w:tcBorders>
          </w:tcPr>
          <w:p w:rsidR="0037793E" w:rsidRPr="00570A96" w:rsidRDefault="0037793E" w:rsidP="00172D42">
            <w:pPr>
              <w:spacing w:line="240" w:lineRule="auto"/>
              <w:ind w:firstLine="0"/>
              <w:rPr>
                <w:sz w:val="22"/>
                <w:szCs w:val="22"/>
              </w:rPr>
            </w:pPr>
            <w:r w:rsidRPr="00570A96">
              <w:rPr>
                <w:noProof/>
                <w:sz w:val="22"/>
                <w:szCs w:val="22"/>
                <w:lang w:eastAsia="zh-TW"/>
              </w:rPr>
              <w:pict>
                <v:shapetype id="_x0000_t202" coordsize="21600,21600" o:spt="202" path="m,l,21600r21600,l21600,xe">
                  <v:stroke joinstyle="miter"/>
                  <v:path gradientshapeok="t" o:connecttype="rect"/>
                </v:shapetype>
                <v:shape id="_x0000_s1044" type="#_x0000_t202" style="position:absolute;margin-left:43.85pt;margin-top:14.2pt;width:103.6pt;height:84.65pt;z-index:-251654144;mso-position-horizontal-relative:text;mso-position-vertical-relative:text;mso-width-relative:margin;mso-height-relative:margin" filled="f" stroked="f">
                  <v:textbox style="mso-next-textbox:#_x0000_s1044">
                    <w:txbxContent>
                      <w:p w:rsidR="0037793E" w:rsidRPr="00AB2571" w:rsidRDefault="0037793E">
                        <w:pPr>
                          <w:rPr>
                            <w:i/>
                            <w:color w:val="948A54"/>
                            <w:sz w:val="144"/>
                          </w:rPr>
                        </w:pPr>
                        <w:r w:rsidRPr="00AB2571">
                          <w:rPr>
                            <w:i/>
                            <w:color w:val="948A54"/>
                            <w:sz w:val="144"/>
                          </w:rPr>
                          <w:t>U</w:t>
                        </w:r>
                      </w:p>
                    </w:txbxContent>
                  </v:textbox>
                </v:shape>
              </w:pict>
            </w:r>
            <w:r w:rsidRPr="00570A96">
              <w:rPr>
                <w:sz w:val="22"/>
                <w:szCs w:val="22"/>
              </w:rPr>
              <w:t>Detailed product use by unit process</w:t>
            </w:r>
          </w:p>
        </w:tc>
        <w:tc>
          <w:tcPr>
            <w:tcW w:w="1464" w:type="dxa"/>
            <w:tcBorders>
              <w:top w:val="single" w:sz="24" w:space="0" w:color="808080"/>
              <w:left w:val="dashed" w:sz="4" w:space="0" w:color="auto"/>
              <w:bottom w:val="dashed" w:sz="4" w:space="0" w:color="auto"/>
              <w:right w:val="dashed" w:sz="4" w:space="0" w:color="auto"/>
            </w:tcBorders>
          </w:tcPr>
          <w:p w:rsidR="0037793E" w:rsidRPr="00570A96" w:rsidRDefault="0037793E" w:rsidP="00172D42">
            <w:pPr>
              <w:spacing w:line="240" w:lineRule="auto"/>
              <w:ind w:firstLine="0"/>
              <w:rPr>
                <w:sz w:val="22"/>
                <w:szCs w:val="22"/>
              </w:rPr>
            </w:pPr>
            <w:r w:rsidRPr="00570A96">
              <w:rPr>
                <w:sz w:val="22"/>
                <w:szCs w:val="22"/>
              </w:rPr>
              <w:t>(Detailed product use by item-level industry)</w:t>
            </w:r>
          </w:p>
        </w:tc>
        <w:tc>
          <w:tcPr>
            <w:tcW w:w="1464" w:type="dxa"/>
            <w:tcBorders>
              <w:top w:val="single" w:sz="24" w:space="0" w:color="808080"/>
              <w:left w:val="dashed" w:sz="4" w:space="0" w:color="auto"/>
              <w:bottom w:val="dashed" w:sz="4" w:space="0" w:color="auto"/>
              <w:right w:val="single" w:sz="24" w:space="0" w:color="808080"/>
            </w:tcBorders>
          </w:tcPr>
          <w:p w:rsidR="0037793E" w:rsidRPr="00570A96" w:rsidRDefault="0037793E" w:rsidP="00172D42">
            <w:pPr>
              <w:spacing w:line="240" w:lineRule="auto"/>
              <w:ind w:firstLine="0"/>
              <w:rPr>
                <w:sz w:val="22"/>
                <w:szCs w:val="22"/>
              </w:rPr>
            </w:pPr>
            <w:r w:rsidRPr="00570A96">
              <w:rPr>
                <w:sz w:val="22"/>
                <w:szCs w:val="22"/>
              </w:rPr>
              <w:t>(Detailed product use by standard industry)</w:t>
            </w:r>
          </w:p>
        </w:tc>
        <w:tc>
          <w:tcPr>
            <w:tcW w:w="1464" w:type="dxa"/>
            <w:tcBorders>
              <w:left w:val="single" w:sz="24" w:space="0" w:color="808080"/>
              <w:bottom w:val="dashed" w:sz="4" w:space="0" w:color="auto"/>
              <w:right w:val="single" w:sz="4" w:space="0" w:color="auto"/>
            </w:tcBorders>
          </w:tcPr>
          <w:p w:rsidR="0037793E" w:rsidRPr="00570A96" w:rsidRDefault="0037793E" w:rsidP="00AB2571">
            <w:pPr>
              <w:spacing w:line="240" w:lineRule="auto"/>
              <w:ind w:firstLine="0"/>
              <w:rPr>
                <w:sz w:val="22"/>
                <w:szCs w:val="22"/>
              </w:rPr>
            </w:pPr>
          </w:p>
        </w:tc>
        <w:tc>
          <w:tcPr>
            <w:tcW w:w="1464" w:type="dxa"/>
            <w:tcBorders>
              <w:left w:val="single" w:sz="4" w:space="0" w:color="auto"/>
              <w:bottom w:val="nil"/>
              <w:right w:val="nil"/>
            </w:tcBorders>
          </w:tcPr>
          <w:p w:rsidR="0037793E" w:rsidRPr="00570A96" w:rsidRDefault="0037793E" w:rsidP="00AB2571">
            <w:pPr>
              <w:spacing w:line="240" w:lineRule="auto"/>
              <w:ind w:firstLine="0"/>
              <w:rPr>
                <w:sz w:val="22"/>
                <w:szCs w:val="22"/>
              </w:rPr>
            </w:pPr>
          </w:p>
        </w:tc>
      </w:tr>
      <w:tr w:rsidR="0037793E" w:rsidRPr="00570A96" w:rsidTr="008B59C1">
        <w:tc>
          <w:tcPr>
            <w:tcW w:w="1464" w:type="dxa"/>
            <w:tcBorders>
              <w:top w:val="nil"/>
              <w:left w:val="nil"/>
              <w:bottom w:val="nil"/>
              <w:right w:val="single" w:sz="4" w:space="0" w:color="auto"/>
            </w:tcBorders>
          </w:tcPr>
          <w:p w:rsidR="0037793E" w:rsidRPr="00570A96" w:rsidRDefault="0037793E" w:rsidP="00AB2571">
            <w:pPr>
              <w:spacing w:line="240" w:lineRule="auto"/>
              <w:ind w:firstLine="0"/>
              <w:rPr>
                <w:sz w:val="22"/>
                <w:szCs w:val="22"/>
              </w:rPr>
            </w:pPr>
            <w:r w:rsidRPr="00570A96">
              <w:rPr>
                <w:sz w:val="22"/>
                <w:szCs w:val="22"/>
              </w:rPr>
              <w:t>Item-level product</w:t>
            </w:r>
          </w:p>
        </w:tc>
        <w:tc>
          <w:tcPr>
            <w:tcW w:w="1464" w:type="dxa"/>
            <w:tcBorders>
              <w:top w:val="nil"/>
              <w:left w:val="single" w:sz="4" w:space="0" w:color="auto"/>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single" w:sz="24" w:space="0" w:color="808080"/>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single" w:sz="24" w:space="0" w:color="808080"/>
              <w:bottom w:val="dashed" w:sz="4" w:space="0" w:color="auto"/>
              <w:right w:val="dashed" w:sz="4" w:space="0" w:color="auto"/>
            </w:tcBorders>
          </w:tcPr>
          <w:p w:rsidR="0037793E" w:rsidRPr="00570A96" w:rsidRDefault="0037793E" w:rsidP="000E7876">
            <w:pPr>
              <w:spacing w:line="240" w:lineRule="auto"/>
              <w:ind w:firstLine="0"/>
              <w:rPr>
                <w:sz w:val="22"/>
                <w:szCs w:val="22"/>
              </w:rPr>
            </w:pPr>
            <w:r w:rsidRPr="00570A96">
              <w:rPr>
                <w:sz w:val="22"/>
                <w:szCs w:val="22"/>
              </w:rPr>
              <w:t>Cut-offs linked to item-level product</w:t>
            </w:r>
          </w:p>
        </w:tc>
        <w:tc>
          <w:tcPr>
            <w:tcW w:w="1464" w:type="dxa"/>
            <w:tcBorders>
              <w:top w:val="dashed" w:sz="4" w:space="0" w:color="auto"/>
              <w:left w:val="dashed" w:sz="4" w:space="0" w:color="auto"/>
              <w:bottom w:val="dashed" w:sz="4" w:space="0" w:color="auto"/>
              <w:right w:val="dashed" w:sz="4" w:space="0" w:color="auto"/>
            </w:tcBorders>
          </w:tcPr>
          <w:p w:rsidR="0037793E" w:rsidRPr="00570A96" w:rsidRDefault="0037793E" w:rsidP="00AB2571">
            <w:pPr>
              <w:spacing w:line="240" w:lineRule="auto"/>
              <w:ind w:firstLine="0"/>
              <w:rPr>
                <w:sz w:val="22"/>
                <w:szCs w:val="22"/>
              </w:rPr>
            </w:pPr>
            <w:r w:rsidRPr="00570A96">
              <w:rPr>
                <w:sz w:val="22"/>
                <w:szCs w:val="22"/>
              </w:rPr>
              <w:t>Item use by item-level industry</w:t>
            </w:r>
          </w:p>
        </w:tc>
        <w:tc>
          <w:tcPr>
            <w:tcW w:w="1464" w:type="dxa"/>
            <w:tcBorders>
              <w:top w:val="dashed" w:sz="4" w:space="0" w:color="auto"/>
              <w:left w:val="dashed" w:sz="4" w:space="0" w:color="auto"/>
              <w:bottom w:val="dashed" w:sz="4" w:space="0" w:color="auto"/>
              <w:right w:val="single" w:sz="24" w:space="0" w:color="808080"/>
            </w:tcBorders>
          </w:tcPr>
          <w:p w:rsidR="0037793E" w:rsidRPr="00570A96" w:rsidRDefault="0037793E" w:rsidP="00172D42">
            <w:pPr>
              <w:spacing w:line="240" w:lineRule="auto"/>
              <w:ind w:firstLine="0"/>
              <w:rPr>
                <w:sz w:val="22"/>
                <w:szCs w:val="22"/>
              </w:rPr>
            </w:pPr>
            <w:r w:rsidRPr="00570A96">
              <w:rPr>
                <w:sz w:val="22"/>
                <w:szCs w:val="22"/>
              </w:rPr>
              <w:t>Item use by standard industry</w:t>
            </w:r>
          </w:p>
        </w:tc>
        <w:tc>
          <w:tcPr>
            <w:tcW w:w="1464" w:type="dxa"/>
            <w:tcBorders>
              <w:top w:val="dashed" w:sz="4" w:space="0" w:color="auto"/>
              <w:left w:val="single" w:sz="24" w:space="0" w:color="808080"/>
              <w:bottom w:val="dashed" w:sz="4" w:space="0" w:color="auto"/>
              <w:right w:val="single" w:sz="4" w:space="0" w:color="auto"/>
            </w:tcBorders>
          </w:tcPr>
          <w:p w:rsidR="0037793E" w:rsidRPr="00570A96" w:rsidRDefault="0037793E" w:rsidP="00AB2571">
            <w:pPr>
              <w:spacing w:line="240" w:lineRule="auto"/>
              <w:ind w:firstLine="0"/>
              <w:rPr>
                <w:sz w:val="22"/>
                <w:szCs w:val="22"/>
              </w:rPr>
            </w:pPr>
            <w:r w:rsidRPr="00570A96">
              <w:rPr>
                <w:sz w:val="22"/>
                <w:szCs w:val="22"/>
              </w:rPr>
              <w:t>Final demand on items</w:t>
            </w:r>
          </w:p>
        </w:tc>
        <w:tc>
          <w:tcPr>
            <w:tcW w:w="1464" w:type="dxa"/>
            <w:tcBorders>
              <w:top w:val="nil"/>
              <w:left w:val="single" w:sz="4" w:space="0" w:color="auto"/>
              <w:bottom w:val="nil"/>
              <w:right w:val="nil"/>
            </w:tcBorders>
          </w:tcPr>
          <w:p w:rsidR="0037793E" w:rsidRPr="00570A96" w:rsidRDefault="0037793E" w:rsidP="00AB2571">
            <w:pPr>
              <w:spacing w:line="240" w:lineRule="auto"/>
              <w:ind w:firstLine="0"/>
              <w:rPr>
                <w:sz w:val="22"/>
                <w:szCs w:val="22"/>
              </w:rPr>
            </w:pPr>
          </w:p>
        </w:tc>
      </w:tr>
      <w:tr w:rsidR="0037793E" w:rsidRPr="00570A96" w:rsidTr="008B59C1">
        <w:tc>
          <w:tcPr>
            <w:tcW w:w="1464" w:type="dxa"/>
            <w:tcBorders>
              <w:top w:val="nil"/>
              <w:left w:val="nil"/>
              <w:bottom w:val="nil"/>
              <w:right w:val="single" w:sz="4" w:space="0" w:color="auto"/>
            </w:tcBorders>
          </w:tcPr>
          <w:p w:rsidR="0037793E" w:rsidRPr="00570A96" w:rsidRDefault="0037793E" w:rsidP="007C4D50">
            <w:pPr>
              <w:spacing w:line="240" w:lineRule="auto"/>
              <w:ind w:firstLine="0"/>
              <w:rPr>
                <w:sz w:val="22"/>
                <w:szCs w:val="22"/>
              </w:rPr>
            </w:pPr>
            <w:r w:rsidRPr="00570A96">
              <w:rPr>
                <w:sz w:val="22"/>
                <w:szCs w:val="22"/>
              </w:rPr>
              <w:t>Standard product</w:t>
            </w:r>
          </w:p>
        </w:tc>
        <w:tc>
          <w:tcPr>
            <w:tcW w:w="1464" w:type="dxa"/>
            <w:tcBorders>
              <w:top w:val="nil"/>
              <w:left w:val="single" w:sz="4" w:space="0" w:color="auto"/>
              <w:bottom w:val="single" w:sz="24" w:space="0" w:color="808080"/>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single" w:sz="24" w:space="0" w:color="808080"/>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single" w:sz="24" w:space="0" w:color="808080"/>
              <w:right w:val="single" w:sz="24" w:space="0" w:color="808080"/>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single" w:sz="24" w:space="0" w:color="808080"/>
              <w:bottom w:val="single" w:sz="24" w:space="0" w:color="808080"/>
              <w:right w:val="dashed" w:sz="4" w:space="0" w:color="auto"/>
            </w:tcBorders>
          </w:tcPr>
          <w:p w:rsidR="0037793E" w:rsidRPr="00570A96" w:rsidRDefault="0037793E" w:rsidP="00172D42">
            <w:pPr>
              <w:spacing w:line="240" w:lineRule="auto"/>
              <w:ind w:firstLine="0"/>
              <w:rPr>
                <w:sz w:val="22"/>
                <w:szCs w:val="22"/>
              </w:rPr>
            </w:pPr>
            <w:r w:rsidRPr="00570A96">
              <w:rPr>
                <w:sz w:val="22"/>
                <w:szCs w:val="22"/>
              </w:rPr>
              <w:t xml:space="preserve">Cut-offs linked to standard products </w:t>
            </w:r>
          </w:p>
        </w:tc>
        <w:tc>
          <w:tcPr>
            <w:tcW w:w="1464" w:type="dxa"/>
            <w:tcBorders>
              <w:top w:val="dashed" w:sz="4" w:space="0" w:color="auto"/>
              <w:left w:val="dashed" w:sz="4" w:space="0" w:color="auto"/>
              <w:bottom w:val="single" w:sz="24" w:space="0" w:color="808080"/>
              <w:right w:val="dashed" w:sz="4" w:space="0" w:color="auto"/>
            </w:tcBorders>
          </w:tcPr>
          <w:p w:rsidR="0037793E" w:rsidRPr="00570A96" w:rsidRDefault="0037793E" w:rsidP="00AB2571">
            <w:pPr>
              <w:spacing w:line="240" w:lineRule="auto"/>
              <w:ind w:firstLine="0"/>
              <w:rPr>
                <w:sz w:val="22"/>
                <w:szCs w:val="22"/>
              </w:rPr>
            </w:pPr>
            <w:r w:rsidRPr="00570A96">
              <w:rPr>
                <w:sz w:val="22"/>
                <w:szCs w:val="22"/>
              </w:rPr>
              <w:t>Standard product use by item-level industry</w:t>
            </w:r>
          </w:p>
        </w:tc>
        <w:tc>
          <w:tcPr>
            <w:tcW w:w="1464" w:type="dxa"/>
            <w:tcBorders>
              <w:top w:val="dashed" w:sz="4" w:space="0" w:color="auto"/>
              <w:left w:val="dashed" w:sz="4" w:space="0" w:color="auto"/>
              <w:bottom w:val="single" w:sz="24" w:space="0" w:color="808080"/>
              <w:right w:val="single" w:sz="24" w:space="0" w:color="808080"/>
            </w:tcBorders>
          </w:tcPr>
          <w:p w:rsidR="0037793E" w:rsidRPr="00570A96" w:rsidRDefault="0037793E" w:rsidP="00172D42">
            <w:pPr>
              <w:spacing w:line="240" w:lineRule="auto"/>
              <w:ind w:firstLine="0"/>
              <w:rPr>
                <w:sz w:val="22"/>
                <w:szCs w:val="22"/>
              </w:rPr>
            </w:pPr>
            <w:r w:rsidRPr="00570A96">
              <w:rPr>
                <w:sz w:val="22"/>
                <w:szCs w:val="22"/>
              </w:rPr>
              <w:t>Standard product use by standard industry</w:t>
            </w:r>
          </w:p>
        </w:tc>
        <w:tc>
          <w:tcPr>
            <w:tcW w:w="1464" w:type="dxa"/>
            <w:tcBorders>
              <w:top w:val="dashed" w:sz="4" w:space="0" w:color="auto"/>
              <w:left w:val="single" w:sz="24" w:space="0" w:color="808080"/>
              <w:bottom w:val="dashed" w:sz="4" w:space="0" w:color="auto"/>
              <w:right w:val="single" w:sz="4" w:space="0" w:color="auto"/>
            </w:tcBorders>
          </w:tcPr>
          <w:p w:rsidR="0037793E" w:rsidRPr="00570A96" w:rsidRDefault="0037793E" w:rsidP="00172D42">
            <w:pPr>
              <w:spacing w:line="240" w:lineRule="auto"/>
              <w:ind w:firstLine="0"/>
              <w:rPr>
                <w:sz w:val="22"/>
                <w:szCs w:val="22"/>
              </w:rPr>
            </w:pPr>
            <w:r w:rsidRPr="00570A96">
              <w:rPr>
                <w:sz w:val="22"/>
                <w:szCs w:val="22"/>
              </w:rPr>
              <w:t>Final demand on standard products</w:t>
            </w:r>
          </w:p>
        </w:tc>
        <w:tc>
          <w:tcPr>
            <w:tcW w:w="1464" w:type="dxa"/>
            <w:tcBorders>
              <w:top w:val="nil"/>
              <w:left w:val="single" w:sz="4" w:space="0" w:color="auto"/>
              <w:bottom w:val="nil"/>
              <w:right w:val="nil"/>
            </w:tcBorders>
          </w:tcPr>
          <w:p w:rsidR="0037793E" w:rsidRPr="00570A96" w:rsidRDefault="0037793E" w:rsidP="00AB2571">
            <w:pPr>
              <w:spacing w:line="240" w:lineRule="auto"/>
              <w:ind w:firstLine="0"/>
              <w:rPr>
                <w:sz w:val="22"/>
                <w:szCs w:val="22"/>
              </w:rPr>
            </w:pPr>
          </w:p>
        </w:tc>
      </w:tr>
      <w:tr w:rsidR="0037793E" w:rsidRPr="00570A96" w:rsidTr="008B59C1">
        <w:tc>
          <w:tcPr>
            <w:tcW w:w="1464" w:type="dxa"/>
            <w:tcBorders>
              <w:top w:val="nil"/>
              <w:left w:val="nil"/>
              <w:bottom w:val="nil"/>
              <w:right w:val="single" w:sz="24" w:space="0" w:color="808080"/>
            </w:tcBorders>
          </w:tcPr>
          <w:p w:rsidR="0037793E" w:rsidRPr="00570A96" w:rsidRDefault="0037793E" w:rsidP="00AB2571">
            <w:pPr>
              <w:spacing w:line="240" w:lineRule="auto"/>
              <w:ind w:firstLine="0"/>
              <w:rPr>
                <w:sz w:val="22"/>
                <w:szCs w:val="22"/>
              </w:rPr>
            </w:pPr>
            <w:r w:rsidRPr="00570A96">
              <w:rPr>
                <w:sz w:val="22"/>
                <w:szCs w:val="22"/>
              </w:rPr>
              <w:t>Unit process</w:t>
            </w:r>
          </w:p>
        </w:tc>
        <w:tc>
          <w:tcPr>
            <w:tcW w:w="1464" w:type="dxa"/>
            <w:tcBorders>
              <w:top w:val="single" w:sz="24" w:space="0" w:color="808080"/>
              <w:left w:val="single" w:sz="24" w:space="0" w:color="808080"/>
              <w:bottom w:val="dashed" w:sz="4" w:space="0" w:color="auto"/>
              <w:right w:val="dashed" w:sz="4" w:space="0" w:color="auto"/>
            </w:tcBorders>
          </w:tcPr>
          <w:p w:rsidR="0037793E" w:rsidRPr="00570A96" w:rsidRDefault="0037793E" w:rsidP="00AB2571">
            <w:pPr>
              <w:spacing w:line="240" w:lineRule="auto"/>
              <w:ind w:firstLine="0"/>
              <w:rPr>
                <w:sz w:val="22"/>
                <w:szCs w:val="22"/>
              </w:rPr>
            </w:pPr>
            <w:r w:rsidRPr="00570A96">
              <w:rPr>
                <w:noProof/>
                <w:sz w:val="22"/>
                <w:szCs w:val="22"/>
                <w:lang w:eastAsia="ko-KR" w:bidi="ar-SA"/>
              </w:rPr>
              <w:pict>
                <v:shape id="_x0000_s1043" type="#_x0000_t202" style="position:absolute;margin-left:46.7pt;margin-top:6.2pt;width:103.6pt;height:84.65pt;z-index:-251655168;mso-position-horizontal-relative:text;mso-position-vertical-relative:text;mso-width-relative:margin;mso-height-relative:margin" filled="f" stroked="f">
                  <v:textbox style="mso-next-textbox:#_x0000_s1043">
                    <w:txbxContent>
                      <w:p w:rsidR="0037793E" w:rsidRPr="00AB2571" w:rsidRDefault="0037793E" w:rsidP="00A3669E">
                        <w:pPr>
                          <w:rPr>
                            <w:i/>
                            <w:color w:val="948A54"/>
                            <w:sz w:val="144"/>
                          </w:rPr>
                        </w:pPr>
                        <w:r w:rsidRPr="00AB2571">
                          <w:rPr>
                            <w:i/>
                            <w:color w:val="948A54"/>
                            <w:sz w:val="144"/>
                          </w:rPr>
                          <w:t>V</w:t>
                        </w:r>
                      </w:p>
                    </w:txbxContent>
                  </v:textbox>
                </v:shape>
              </w:pict>
            </w:r>
            <w:r w:rsidRPr="00570A96">
              <w:rPr>
                <w:sz w:val="22"/>
                <w:szCs w:val="22"/>
              </w:rPr>
              <w:t>Supply by unit process</w:t>
            </w:r>
          </w:p>
        </w:tc>
        <w:tc>
          <w:tcPr>
            <w:tcW w:w="1464" w:type="dxa"/>
            <w:tcBorders>
              <w:top w:val="single" w:sz="24" w:space="0" w:color="808080"/>
              <w:left w:val="dashed" w:sz="4" w:space="0" w:color="auto"/>
              <w:bottom w:val="dashed" w:sz="4" w:space="0" w:color="auto"/>
              <w:right w:val="dashed" w:sz="4" w:space="0" w:color="auto"/>
            </w:tcBorders>
          </w:tcPr>
          <w:p w:rsidR="0037793E" w:rsidRPr="00570A96" w:rsidRDefault="0037793E" w:rsidP="00AB2571">
            <w:pPr>
              <w:spacing w:line="240" w:lineRule="auto"/>
              <w:ind w:firstLine="0"/>
              <w:rPr>
                <w:sz w:val="22"/>
                <w:szCs w:val="22"/>
              </w:rPr>
            </w:pPr>
          </w:p>
        </w:tc>
        <w:tc>
          <w:tcPr>
            <w:tcW w:w="1464" w:type="dxa"/>
            <w:tcBorders>
              <w:top w:val="single" w:sz="24" w:space="0" w:color="808080"/>
              <w:left w:val="dashed" w:sz="4" w:space="0" w:color="auto"/>
              <w:bottom w:val="dashed" w:sz="4" w:space="0" w:color="auto"/>
              <w:right w:val="single" w:sz="24" w:space="0" w:color="808080"/>
            </w:tcBorders>
          </w:tcPr>
          <w:p w:rsidR="0037793E" w:rsidRPr="00570A96" w:rsidRDefault="0037793E" w:rsidP="00AB2571">
            <w:pPr>
              <w:spacing w:line="240" w:lineRule="auto"/>
              <w:ind w:firstLine="0"/>
              <w:rPr>
                <w:sz w:val="22"/>
                <w:szCs w:val="22"/>
              </w:rPr>
            </w:pPr>
          </w:p>
        </w:tc>
        <w:tc>
          <w:tcPr>
            <w:tcW w:w="1464" w:type="dxa"/>
            <w:tcBorders>
              <w:top w:val="single" w:sz="24" w:space="0" w:color="808080"/>
              <w:left w:val="single" w:sz="24" w:space="0" w:color="808080"/>
              <w:bottom w:val="nil"/>
              <w:right w:val="nil"/>
            </w:tcBorders>
          </w:tcPr>
          <w:p w:rsidR="0037793E" w:rsidRPr="00570A96" w:rsidRDefault="0037793E" w:rsidP="00AB2571">
            <w:pPr>
              <w:spacing w:line="240" w:lineRule="auto"/>
              <w:ind w:firstLine="0"/>
              <w:rPr>
                <w:sz w:val="22"/>
                <w:szCs w:val="22"/>
              </w:rPr>
            </w:pPr>
          </w:p>
        </w:tc>
        <w:tc>
          <w:tcPr>
            <w:tcW w:w="1464" w:type="dxa"/>
            <w:tcBorders>
              <w:top w:val="single" w:sz="24" w:space="0" w:color="808080"/>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single" w:sz="24" w:space="0" w:color="808080"/>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nil"/>
              <w:bottom w:val="nil"/>
              <w:right w:val="single" w:sz="4" w:space="0" w:color="auto"/>
            </w:tcBorders>
          </w:tcPr>
          <w:p w:rsidR="0037793E" w:rsidRPr="00570A96" w:rsidRDefault="0037793E" w:rsidP="00AB2571">
            <w:pPr>
              <w:spacing w:line="240" w:lineRule="auto"/>
              <w:ind w:firstLine="0"/>
              <w:rPr>
                <w:sz w:val="22"/>
                <w:szCs w:val="22"/>
              </w:rPr>
            </w:pPr>
          </w:p>
        </w:tc>
        <w:tc>
          <w:tcPr>
            <w:tcW w:w="1464" w:type="dxa"/>
            <w:tcBorders>
              <w:top w:val="nil"/>
              <w:left w:val="single" w:sz="4" w:space="0" w:color="auto"/>
              <w:bottom w:val="dashed" w:sz="4" w:space="0" w:color="auto"/>
              <w:right w:val="nil"/>
            </w:tcBorders>
          </w:tcPr>
          <w:p w:rsidR="0037793E" w:rsidRPr="00570A96" w:rsidRDefault="0037793E" w:rsidP="00AB2571">
            <w:pPr>
              <w:spacing w:line="240" w:lineRule="auto"/>
              <w:ind w:firstLine="0"/>
              <w:rPr>
                <w:sz w:val="22"/>
                <w:szCs w:val="22"/>
              </w:rPr>
            </w:pPr>
          </w:p>
        </w:tc>
      </w:tr>
      <w:tr w:rsidR="0037793E" w:rsidRPr="00570A96" w:rsidTr="008B59C1">
        <w:tc>
          <w:tcPr>
            <w:tcW w:w="1464" w:type="dxa"/>
            <w:tcBorders>
              <w:top w:val="nil"/>
              <w:left w:val="nil"/>
              <w:bottom w:val="nil"/>
              <w:right w:val="single" w:sz="24" w:space="0" w:color="808080"/>
            </w:tcBorders>
          </w:tcPr>
          <w:p w:rsidR="0037793E" w:rsidRPr="00570A96" w:rsidRDefault="0037793E" w:rsidP="00AB2571">
            <w:pPr>
              <w:spacing w:line="240" w:lineRule="auto"/>
              <w:ind w:firstLine="0"/>
              <w:rPr>
                <w:sz w:val="22"/>
                <w:szCs w:val="22"/>
              </w:rPr>
            </w:pPr>
            <w:r w:rsidRPr="00570A96">
              <w:rPr>
                <w:sz w:val="22"/>
                <w:szCs w:val="22"/>
              </w:rPr>
              <w:t>Item-level industry</w:t>
            </w:r>
          </w:p>
        </w:tc>
        <w:tc>
          <w:tcPr>
            <w:tcW w:w="1464" w:type="dxa"/>
            <w:tcBorders>
              <w:top w:val="dashed" w:sz="4" w:space="0" w:color="auto"/>
              <w:left w:val="single" w:sz="24" w:space="0" w:color="808080"/>
              <w:bottom w:val="dashed" w:sz="4" w:space="0" w:color="auto"/>
              <w:right w:val="dashed" w:sz="4" w:space="0" w:color="auto"/>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dashed" w:sz="4" w:space="0" w:color="auto"/>
              <w:bottom w:val="dashed" w:sz="4" w:space="0" w:color="auto"/>
              <w:right w:val="dashed" w:sz="4" w:space="0" w:color="auto"/>
            </w:tcBorders>
          </w:tcPr>
          <w:p w:rsidR="0037793E" w:rsidRPr="00570A96" w:rsidRDefault="0037793E" w:rsidP="00AB2571">
            <w:pPr>
              <w:spacing w:line="240" w:lineRule="auto"/>
              <w:ind w:firstLine="0"/>
              <w:rPr>
                <w:sz w:val="22"/>
                <w:szCs w:val="22"/>
              </w:rPr>
            </w:pPr>
            <w:r w:rsidRPr="00570A96">
              <w:rPr>
                <w:sz w:val="22"/>
                <w:szCs w:val="22"/>
              </w:rPr>
              <w:t>Supply by item-level industry</w:t>
            </w:r>
          </w:p>
        </w:tc>
        <w:tc>
          <w:tcPr>
            <w:tcW w:w="1464" w:type="dxa"/>
            <w:tcBorders>
              <w:top w:val="dashed" w:sz="4" w:space="0" w:color="auto"/>
              <w:left w:val="dashed" w:sz="4" w:space="0" w:color="auto"/>
              <w:bottom w:val="dashed" w:sz="4" w:space="0" w:color="auto"/>
              <w:right w:val="single" w:sz="24" w:space="0" w:color="808080"/>
            </w:tcBorders>
          </w:tcPr>
          <w:p w:rsidR="0037793E" w:rsidRPr="00570A96" w:rsidRDefault="0037793E" w:rsidP="00AB2571">
            <w:pPr>
              <w:spacing w:line="240" w:lineRule="auto"/>
              <w:ind w:firstLine="0"/>
              <w:rPr>
                <w:sz w:val="22"/>
                <w:szCs w:val="22"/>
              </w:rPr>
            </w:pPr>
          </w:p>
        </w:tc>
        <w:tc>
          <w:tcPr>
            <w:tcW w:w="1464" w:type="dxa"/>
            <w:tcBorders>
              <w:top w:val="nil"/>
              <w:left w:val="single" w:sz="24" w:space="0" w:color="808080"/>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single" w:sz="4" w:space="0" w:color="auto"/>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single" w:sz="4" w:space="0" w:color="auto"/>
              <w:bottom w:val="dashed" w:sz="4" w:space="0" w:color="auto"/>
              <w:right w:val="nil"/>
            </w:tcBorders>
          </w:tcPr>
          <w:p w:rsidR="0037793E" w:rsidRPr="00570A96" w:rsidRDefault="0037793E" w:rsidP="00AB2571">
            <w:pPr>
              <w:spacing w:line="240" w:lineRule="auto"/>
              <w:ind w:firstLine="0"/>
              <w:rPr>
                <w:sz w:val="22"/>
                <w:szCs w:val="22"/>
              </w:rPr>
            </w:pPr>
            <w:r w:rsidRPr="00570A96">
              <w:rPr>
                <w:sz w:val="22"/>
                <w:szCs w:val="22"/>
              </w:rPr>
              <w:t>Total output by item industry</w:t>
            </w:r>
          </w:p>
        </w:tc>
      </w:tr>
      <w:tr w:rsidR="0037793E" w:rsidRPr="00570A96" w:rsidTr="008B59C1">
        <w:tc>
          <w:tcPr>
            <w:tcW w:w="1464" w:type="dxa"/>
            <w:tcBorders>
              <w:top w:val="nil"/>
              <w:left w:val="nil"/>
              <w:bottom w:val="nil"/>
              <w:right w:val="single" w:sz="24" w:space="0" w:color="808080"/>
            </w:tcBorders>
          </w:tcPr>
          <w:p w:rsidR="0037793E" w:rsidRPr="00570A96" w:rsidRDefault="0037793E" w:rsidP="00AB2571">
            <w:pPr>
              <w:spacing w:line="240" w:lineRule="auto"/>
              <w:ind w:firstLine="0"/>
              <w:rPr>
                <w:sz w:val="22"/>
                <w:szCs w:val="22"/>
              </w:rPr>
            </w:pPr>
            <w:r w:rsidRPr="00570A96">
              <w:rPr>
                <w:sz w:val="22"/>
                <w:szCs w:val="22"/>
              </w:rPr>
              <w:t>Standard industry</w:t>
            </w:r>
          </w:p>
        </w:tc>
        <w:tc>
          <w:tcPr>
            <w:tcW w:w="1464" w:type="dxa"/>
            <w:tcBorders>
              <w:top w:val="dashed" w:sz="4" w:space="0" w:color="auto"/>
              <w:left w:val="single" w:sz="24" w:space="0" w:color="808080"/>
              <w:bottom w:val="single" w:sz="24" w:space="0" w:color="808080"/>
              <w:right w:val="dashed" w:sz="4" w:space="0" w:color="auto"/>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dashed" w:sz="4" w:space="0" w:color="auto"/>
              <w:bottom w:val="single" w:sz="24" w:space="0" w:color="808080"/>
              <w:right w:val="dashed" w:sz="4" w:space="0" w:color="auto"/>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dashed" w:sz="4" w:space="0" w:color="auto"/>
              <w:bottom w:val="single" w:sz="24" w:space="0" w:color="808080"/>
              <w:right w:val="single" w:sz="24" w:space="0" w:color="808080"/>
            </w:tcBorders>
          </w:tcPr>
          <w:p w:rsidR="0037793E" w:rsidRPr="00570A96" w:rsidRDefault="0037793E" w:rsidP="00172D42">
            <w:pPr>
              <w:spacing w:line="240" w:lineRule="auto"/>
              <w:ind w:firstLine="0"/>
              <w:rPr>
                <w:sz w:val="22"/>
                <w:szCs w:val="22"/>
              </w:rPr>
            </w:pPr>
            <w:r w:rsidRPr="00570A96">
              <w:rPr>
                <w:sz w:val="22"/>
                <w:szCs w:val="22"/>
              </w:rPr>
              <w:t>Supply by Standard industry</w:t>
            </w:r>
          </w:p>
        </w:tc>
        <w:tc>
          <w:tcPr>
            <w:tcW w:w="1464" w:type="dxa"/>
            <w:tcBorders>
              <w:top w:val="nil"/>
              <w:left w:val="single" w:sz="24" w:space="0" w:color="808080"/>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nil"/>
              <w:right w:val="single" w:sz="4" w:space="0" w:color="auto"/>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single" w:sz="4" w:space="0" w:color="auto"/>
              <w:bottom w:val="dashed" w:sz="4" w:space="0" w:color="auto"/>
              <w:right w:val="nil"/>
            </w:tcBorders>
          </w:tcPr>
          <w:p w:rsidR="0037793E" w:rsidRPr="00570A96" w:rsidRDefault="0037793E" w:rsidP="00172D42">
            <w:pPr>
              <w:spacing w:line="240" w:lineRule="auto"/>
              <w:ind w:firstLine="0"/>
              <w:rPr>
                <w:sz w:val="22"/>
                <w:szCs w:val="22"/>
              </w:rPr>
            </w:pPr>
            <w:r w:rsidRPr="00570A96">
              <w:rPr>
                <w:sz w:val="22"/>
                <w:szCs w:val="22"/>
              </w:rPr>
              <w:t>Total output by standard industry</w:t>
            </w:r>
          </w:p>
        </w:tc>
      </w:tr>
      <w:tr w:rsidR="0037793E" w:rsidRPr="00570A96" w:rsidTr="008B59C1">
        <w:tc>
          <w:tcPr>
            <w:tcW w:w="1464" w:type="dxa"/>
            <w:tcBorders>
              <w:top w:val="nil"/>
              <w:left w:val="nil"/>
              <w:bottom w:val="single" w:sz="4" w:space="0" w:color="auto"/>
              <w:right w:val="single" w:sz="4" w:space="0" w:color="auto"/>
            </w:tcBorders>
          </w:tcPr>
          <w:p w:rsidR="0037793E" w:rsidRPr="00570A96" w:rsidRDefault="0037793E" w:rsidP="00AB2571">
            <w:pPr>
              <w:spacing w:line="240" w:lineRule="auto"/>
              <w:ind w:firstLine="0"/>
              <w:rPr>
                <w:sz w:val="22"/>
                <w:szCs w:val="22"/>
              </w:rPr>
            </w:pPr>
            <w:r w:rsidRPr="00570A96">
              <w:rPr>
                <w:sz w:val="22"/>
                <w:szCs w:val="22"/>
              </w:rPr>
              <w:t>Value added</w:t>
            </w:r>
          </w:p>
        </w:tc>
        <w:tc>
          <w:tcPr>
            <w:tcW w:w="1464" w:type="dxa"/>
            <w:tcBorders>
              <w:top w:val="single" w:sz="24" w:space="0" w:color="808080"/>
              <w:left w:val="single" w:sz="4" w:space="0" w:color="auto"/>
              <w:bottom w:val="single" w:sz="4" w:space="0" w:color="auto"/>
              <w:right w:val="dashed" w:sz="4" w:space="0" w:color="auto"/>
            </w:tcBorders>
          </w:tcPr>
          <w:p w:rsidR="0037793E" w:rsidRPr="00570A96" w:rsidRDefault="0037793E" w:rsidP="00AB2571">
            <w:pPr>
              <w:spacing w:line="240" w:lineRule="auto"/>
              <w:ind w:firstLine="0"/>
              <w:rPr>
                <w:sz w:val="22"/>
                <w:szCs w:val="22"/>
              </w:rPr>
            </w:pPr>
          </w:p>
        </w:tc>
        <w:tc>
          <w:tcPr>
            <w:tcW w:w="1464" w:type="dxa"/>
            <w:tcBorders>
              <w:top w:val="single" w:sz="24" w:space="0" w:color="808080"/>
              <w:left w:val="dashed" w:sz="4" w:space="0" w:color="auto"/>
              <w:bottom w:val="single" w:sz="4" w:space="0" w:color="auto"/>
              <w:right w:val="dashed" w:sz="4" w:space="0" w:color="auto"/>
            </w:tcBorders>
          </w:tcPr>
          <w:p w:rsidR="0037793E" w:rsidRPr="00570A96" w:rsidRDefault="0037793E" w:rsidP="00AB2571">
            <w:pPr>
              <w:spacing w:line="240" w:lineRule="auto"/>
              <w:ind w:firstLine="0"/>
              <w:rPr>
                <w:sz w:val="22"/>
                <w:szCs w:val="22"/>
              </w:rPr>
            </w:pPr>
            <w:r w:rsidRPr="00570A96">
              <w:rPr>
                <w:sz w:val="22"/>
                <w:szCs w:val="22"/>
              </w:rPr>
              <w:t>Value added</w:t>
            </w:r>
          </w:p>
        </w:tc>
        <w:tc>
          <w:tcPr>
            <w:tcW w:w="1464" w:type="dxa"/>
            <w:tcBorders>
              <w:top w:val="single" w:sz="24" w:space="0" w:color="808080"/>
              <w:left w:val="dashed" w:sz="4" w:space="0" w:color="auto"/>
              <w:bottom w:val="single" w:sz="4" w:space="0" w:color="auto"/>
              <w:right w:val="dashed" w:sz="4" w:space="0" w:color="auto"/>
            </w:tcBorders>
          </w:tcPr>
          <w:p w:rsidR="0037793E" w:rsidRPr="00570A96" w:rsidRDefault="0037793E" w:rsidP="00AB2571">
            <w:pPr>
              <w:spacing w:line="240" w:lineRule="auto"/>
              <w:ind w:firstLine="0"/>
              <w:rPr>
                <w:sz w:val="22"/>
                <w:szCs w:val="22"/>
              </w:rPr>
            </w:pPr>
            <w:r w:rsidRPr="00570A96">
              <w:rPr>
                <w:sz w:val="22"/>
                <w:szCs w:val="22"/>
              </w:rPr>
              <w:t>Value added</w:t>
            </w:r>
          </w:p>
        </w:tc>
        <w:tc>
          <w:tcPr>
            <w:tcW w:w="1464" w:type="dxa"/>
            <w:tcBorders>
              <w:top w:val="nil"/>
              <w:left w:val="dashed" w:sz="4" w:space="0" w:color="auto"/>
              <w:bottom w:val="single" w:sz="4" w:space="0" w:color="auto"/>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single" w:sz="4" w:space="0" w:color="auto"/>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single" w:sz="4" w:space="0" w:color="auto"/>
              <w:right w:val="nil"/>
            </w:tcBorders>
          </w:tcPr>
          <w:p w:rsidR="0037793E" w:rsidRPr="00570A96" w:rsidRDefault="0037793E" w:rsidP="00AB2571">
            <w:pPr>
              <w:spacing w:line="240" w:lineRule="auto"/>
              <w:ind w:firstLine="0"/>
              <w:rPr>
                <w:sz w:val="22"/>
                <w:szCs w:val="22"/>
              </w:rPr>
            </w:pPr>
          </w:p>
        </w:tc>
        <w:tc>
          <w:tcPr>
            <w:tcW w:w="1464" w:type="dxa"/>
            <w:tcBorders>
              <w:top w:val="nil"/>
              <w:left w:val="nil"/>
              <w:bottom w:val="single" w:sz="4" w:space="0" w:color="auto"/>
              <w:right w:val="single" w:sz="4" w:space="0" w:color="auto"/>
            </w:tcBorders>
          </w:tcPr>
          <w:p w:rsidR="0037793E" w:rsidRPr="00570A96" w:rsidRDefault="0037793E" w:rsidP="00AB2571">
            <w:pPr>
              <w:spacing w:line="240" w:lineRule="auto"/>
              <w:ind w:firstLine="0"/>
              <w:rPr>
                <w:sz w:val="22"/>
                <w:szCs w:val="22"/>
              </w:rPr>
            </w:pPr>
          </w:p>
        </w:tc>
        <w:tc>
          <w:tcPr>
            <w:tcW w:w="1464" w:type="dxa"/>
            <w:tcBorders>
              <w:top w:val="dashed" w:sz="4" w:space="0" w:color="auto"/>
              <w:left w:val="single" w:sz="4" w:space="0" w:color="auto"/>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Total value added</w:t>
            </w:r>
          </w:p>
        </w:tc>
      </w:tr>
      <w:tr w:rsidR="0037793E" w:rsidRPr="00570A96" w:rsidTr="008B59C1">
        <w:tc>
          <w:tcPr>
            <w:tcW w:w="1464" w:type="dxa"/>
            <w:tcBorders>
              <w:left w:val="nil"/>
              <w:right w:val="single" w:sz="4" w:space="0" w:color="auto"/>
            </w:tcBorders>
          </w:tcPr>
          <w:p w:rsidR="0037793E" w:rsidRPr="00570A96" w:rsidRDefault="0037793E" w:rsidP="00AB2571">
            <w:pPr>
              <w:spacing w:line="240" w:lineRule="auto"/>
              <w:ind w:firstLine="0"/>
              <w:rPr>
                <w:sz w:val="22"/>
                <w:szCs w:val="22"/>
              </w:rPr>
            </w:pPr>
            <w:r w:rsidRPr="00570A96">
              <w:rPr>
                <w:sz w:val="22"/>
                <w:szCs w:val="22"/>
              </w:rPr>
              <w:t>Total</w:t>
            </w:r>
          </w:p>
        </w:tc>
        <w:tc>
          <w:tcPr>
            <w:tcW w:w="1464" w:type="dxa"/>
            <w:tcBorders>
              <w:left w:val="single" w:sz="4" w:space="0" w:color="auto"/>
              <w:right w:val="dashed" w:sz="4" w:space="0" w:color="auto"/>
            </w:tcBorders>
          </w:tcPr>
          <w:p w:rsidR="0037793E" w:rsidRPr="00570A96" w:rsidRDefault="0037793E" w:rsidP="00172D42">
            <w:pPr>
              <w:spacing w:line="240" w:lineRule="auto"/>
              <w:ind w:firstLine="0"/>
              <w:rPr>
                <w:sz w:val="22"/>
                <w:szCs w:val="22"/>
              </w:rPr>
            </w:pPr>
            <w:r w:rsidRPr="00570A96">
              <w:rPr>
                <w:sz w:val="22"/>
                <w:szCs w:val="22"/>
              </w:rPr>
              <w:t>Total supply of detailed products</w:t>
            </w:r>
          </w:p>
        </w:tc>
        <w:tc>
          <w:tcPr>
            <w:tcW w:w="1464" w:type="dxa"/>
            <w:tcBorders>
              <w:left w:val="dashed" w:sz="4" w:space="0" w:color="auto"/>
              <w:right w:val="dashed" w:sz="4" w:space="0" w:color="auto"/>
            </w:tcBorders>
          </w:tcPr>
          <w:p w:rsidR="0037793E" w:rsidRPr="00570A96" w:rsidRDefault="0037793E" w:rsidP="00AB2571">
            <w:pPr>
              <w:spacing w:line="240" w:lineRule="auto"/>
              <w:ind w:firstLine="0"/>
              <w:rPr>
                <w:sz w:val="22"/>
                <w:szCs w:val="22"/>
              </w:rPr>
            </w:pPr>
            <w:r w:rsidRPr="00570A96">
              <w:rPr>
                <w:sz w:val="22"/>
                <w:szCs w:val="22"/>
              </w:rPr>
              <w:t>Total supply of items</w:t>
            </w:r>
          </w:p>
        </w:tc>
        <w:tc>
          <w:tcPr>
            <w:tcW w:w="1464" w:type="dxa"/>
            <w:tcBorders>
              <w:left w:val="dashed" w:sz="4" w:space="0" w:color="auto"/>
              <w:right w:val="dashed" w:sz="4" w:space="0" w:color="auto"/>
            </w:tcBorders>
          </w:tcPr>
          <w:p w:rsidR="0037793E" w:rsidRPr="00570A96" w:rsidRDefault="0037793E" w:rsidP="00172D42">
            <w:pPr>
              <w:spacing w:line="240" w:lineRule="auto"/>
              <w:ind w:firstLine="0"/>
              <w:rPr>
                <w:sz w:val="22"/>
                <w:szCs w:val="22"/>
              </w:rPr>
            </w:pPr>
            <w:r w:rsidRPr="00570A96">
              <w:rPr>
                <w:sz w:val="22"/>
                <w:szCs w:val="22"/>
              </w:rPr>
              <w:t>Total supply of standard products</w:t>
            </w:r>
          </w:p>
        </w:tc>
        <w:tc>
          <w:tcPr>
            <w:tcW w:w="1464" w:type="dxa"/>
            <w:tcBorders>
              <w:left w:val="dashed" w:sz="4" w:space="0" w:color="auto"/>
              <w:right w:val="nil"/>
            </w:tcBorders>
          </w:tcPr>
          <w:p w:rsidR="0037793E" w:rsidRPr="00570A96" w:rsidRDefault="0037793E" w:rsidP="00AB2571">
            <w:pPr>
              <w:spacing w:line="240" w:lineRule="auto"/>
              <w:ind w:firstLine="0"/>
              <w:rPr>
                <w:sz w:val="22"/>
                <w:szCs w:val="22"/>
              </w:rPr>
            </w:pPr>
          </w:p>
        </w:tc>
        <w:tc>
          <w:tcPr>
            <w:tcW w:w="1464" w:type="dxa"/>
            <w:tcBorders>
              <w:left w:val="nil"/>
              <w:right w:val="nil"/>
            </w:tcBorders>
          </w:tcPr>
          <w:p w:rsidR="0037793E" w:rsidRPr="00570A96" w:rsidRDefault="0037793E" w:rsidP="00AB2571">
            <w:pPr>
              <w:spacing w:line="240" w:lineRule="auto"/>
              <w:ind w:firstLine="0"/>
              <w:rPr>
                <w:sz w:val="22"/>
                <w:szCs w:val="22"/>
              </w:rPr>
            </w:pPr>
          </w:p>
        </w:tc>
        <w:tc>
          <w:tcPr>
            <w:tcW w:w="1464" w:type="dxa"/>
            <w:tcBorders>
              <w:left w:val="nil"/>
              <w:right w:val="nil"/>
            </w:tcBorders>
          </w:tcPr>
          <w:p w:rsidR="0037793E" w:rsidRPr="00570A96" w:rsidRDefault="0037793E" w:rsidP="00AB2571">
            <w:pPr>
              <w:spacing w:line="240" w:lineRule="auto"/>
              <w:ind w:firstLine="0"/>
              <w:rPr>
                <w:sz w:val="22"/>
                <w:szCs w:val="22"/>
              </w:rPr>
            </w:pPr>
          </w:p>
        </w:tc>
        <w:tc>
          <w:tcPr>
            <w:tcW w:w="1464" w:type="dxa"/>
            <w:tcBorders>
              <w:left w:val="nil"/>
              <w:right w:val="single" w:sz="4" w:space="0" w:color="auto"/>
            </w:tcBorders>
          </w:tcPr>
          <w:p w:rsidR="0037793E" w:rsidRPr="00570A96" w:rsidRDefault="0037793E" w:rsidP="00AB2571">
            <w:pPr>
              <w:spacing w:line="240" w:lineRule="auto"/>
              <w:ind w:firstLine="0"/>
              <w:rPr>
                <w:sz w:val="22"/>
                <w:szCs w:val="22"/>
              </w:rPr>
            </w:pPr>
          </w:p>
        </w:tc>
        <w:tc>
          <w:tcPr>
            <w:tcW w:w="1464" w:type="dxa"/>
            <w:tcBorders>
              <w:left w:val="single" w:sz="4" w:space="0" w:color="auto"/>
              <w:right w:val="nil"/>
            </w:tcBorders>
          </w:tcPr>
          <w:p w:rsidR="0037793E" w:rsidRPr="00570A96" w:rsidRDefault="0037793E" w:rsidP="00AB2571">
            <w:pPr>
              <w:spacing w:line="240" w:lineRule="auto"/>
              <w:ind w:firstLine="0"/>
              <w:rPr>
                <w:sz w:val="22"/>
                <w:szCs w:val="22"/>
              </w:rPr>
            </w:pPr>
          </w:p>
        </w:tc>
      </w:tr>
    </w:tbl>
    <w:p w:rsidR="0037793E" w:rsidRPr="00570A96" w:rsidRDefault="0037793E" w:rsidP="00A3669E">
      <w:pPr>
        <w:ind w:firstLine="0"/>
      </w:pPr>
      <w:proofErr w:type="gramStart"/>
      <w:r w:rsidRPr="00570A96">
        <w:t>Table 1.</w:t>
      </w:r>
      <w:proofErr w:type="gramEnd"/>
      <w:r w:rsidRPr="00570A96">
        <w:t xml:space="preserve"> Overall accounting framework for hybridization of BEES*</w:t>
      </w:r>
    </w:p>
    <w:p w:rsidR="0037793E" w:rsidRPr="00570A96" w:rsidRDefault="0037793E" w:rsidP="00EF49DF">
      <w:pPr>
        <w:ind w:firstLine="0"/>
        <w:rPr>
          <w:sz w:val="20"/>
        </w:rPr>
      </w:pPr>
      <w:r w:rsidRPr="00570A96">
        <w:rPr>
          <w:sz w:val="20"/>
        </w:rPr>
        <w:t xml:space="preserve">* The overall accounting framework follows that of the standard supply and use framework except that it uses three different levels of resolution and mixed-units. Each column of block matrices in </w:t>
      </w:r>
      <w:r w:rsidRPr="00570A96">
        <w:rPr>
          <w:i/>
          <w:sz w:val="20"/>
        </w:rPr>
        <w:t>U</w:t>
      </w:r>
      <w:r w:rsidRPr="00570A96">
        <w:rPr>
          <w:sz w:val="20"/>
        </w:rPr>
        <w:t xml:space="preserve"> and each row of block matrices of </w:t>
      </w:r>
      <w:r w:rsidRPr="00570A96">
        <w:rPr>
          <w:i/>
          <w:sz w:val="20"/>
        </w:rPr>
        <w:t>V</w:t>
      </w:r>
      <w:r w:rsidRPr="00570A96">
        <w:rPr>
          <w:sz w:val="20"/>
        </w:rPr>
        <w:t xml:space="preserve"> corresponds to one of the </w:t>
      </w:r>
      <w:proofErr w:type="spellStart"/>
      <w:r w:rsidRPr="00570A96">
        <w:rPr>
          <w:sz w:val="20"/>
        </w:rPr>
        <w:t>submatrices</w:t>
      </w:r>
      <w:proofErr w:type="spellEnd"/>
      <w:r w:rsidRPr="00570A96">
        <w:rPr>
          <w:sz w:val="20"/>
        </w:rPr>
        <w:t xml:space="preserve">, </w:t>
      </w:r>
      <w:r w:rsidRPr="00570A96">
        <w:rPr>
          <w:i/>
          <w:sz w:val="20"/>
        </w:rPr>
        <w:t>U</w:t>
      </w:r>
      <w:r w:rsidRPr="00570A96">
        <w:rPr>
          <w:sz w:val="20"/>
          <w:vertAlign w:val="superscript"/>
        </w:rPr>
        <w:t>P</w:t>
      </w:r>
      <w:r w:rsidRPr="00570A96">
        <w:rPr>
          <w:sz w:val="20"/>
        </w:rPr>
        <w:t xml:space="preserve">, </w:t>
      </w:r>
      <w:r w:rsidRPr="00570A96">
        <w:rPr>
          <w:i/>
          <w:sz w:val="20"/>
        </w:rPr>
        <w:t>U</w:t>
      </w:r>
      <w:r w:rsidRPr="00570A96">
        <w:rPr>
          <w:sz w:val="20"/>
          <w:vertAlign w:val="superscript"/>
        </w:rPr>
        <w:t>I</w:t>
      </w:r>
      <w:r w:rsidRPr="00570A96">
        <w:rPr>
          <w:sz w:val="20"/>
        </w:rPr>
        <w:t xml:space="preserve">, </w:t>
      </w:r>
      <w:r w:rsidRPr="00570A96">
        <w:rPr>
          <w:i/>
          <w:sz w:val="20"/>
        </w:rPr>
        <w:t>U</w:t>
      </w:r>
      <w:r w:rsidRPr="00570A96">
        <w:rPr>
          <w:sz w:val="20"/>
          <w:vertAlign w:val="superscript"/>
        </w:rPr>
        <w:t>S</w:t>
      </w:r>
      <w:r w:rsidRPr="00570A96">
        <w:rPr>
          <w:sz w:val="20"/>
        </w:rPr>
        <w:t xml:space="preserve">, </w:t>
      </w:r>
      <w:r w:rsidRPr="00570A96">
        <w:rPr>
          <w:i/>
          <w:sz w:val="20"/>
        </w:rPr>
        <w:t>V</w:t>
      </w:r>
      <w:r w:rsidRPr="00570A96">
        <w:rPr>
          <w:sz w:val="20"/>
          <w:vertAlign w:val="superscript"/>
        </w:rPr>
        <w:t>P</w:t>
      </w:r>
      <w:r w:rsidRPr="00570A96">
        <w:rPr>
          <w:sz w:val="20"/>
        </w:rPr>
        <w:t xml:space="preserve">, </w:t>
      </w:r>
      <w:r w:rsidRPr="00570A96">
        <w:rPr>
          <w:i/>
          <w:sz w:val="20"/>
        </w:rPr>
        <w:t>V</w:t>
      </w:r>
      <w:r w:rsidRPr="00570A96">
        <w:rPr>
          <w:sz w:val="20"/>
          <w:vertAlign w:val="superscript"/>
        </w:rPr>
        <w:t>I</w:t>
      </w:r>
      <w:r w:rsidRPr="00570A96">
        <w:rPr>
          <w:sz w:val="20"/>
        </w:rPr>
        <w:t xml:space="preserve">, and </w:t>
      </w:r>
      <w:r w:rsidRPr="00570A96">
        <w:rPr>
          <w:i/>
          <w:sz w:val="20"/>
        </w:rPr>
        <w:t>V</w:t>
      </w:r>
      <w:r w:rsidRPr="00570A96">
        <w:rPr>
          <w:sz w:val="20"/>
          <w:vertAlign w:val="superscript"/>
        </w:rPr>
        <w:t>S</w:t>
      </w:r>
      <w:r w:rsidRPr="00570A96">
        <w:rPr>
          <w:sz w:val="20"/>
        </w:rPr>
        <w:t xml:space="preserve"> described in the section 2.4.</w:t>
      </w:r>
    </w:p>
    <w:p w:rsidR="0037793E" w:rsidRDefault="0037793E">
      <w:pPr>
        <w:spacing w:after="200" w:line="276" w:lineRule="auto"/>
        <w:ind w:firstLine="0"/>
        <w:sectPr w:rsidR="0037793E" w:rsidSect="0037793E">
          <w:headerReference w:type="default" r:id="rId45"/>
          <w:footerReference w:type="default" r:id="rId46"/>
          <w:pgSz w:w="15840" w:h="12240" w:orient="landscape"/>
          <w:pgMar w:top="1440" w:right="1440" w:bottom="1440" w:left="1440" w:header="720" w:footer="720" w:gutter="0"/>
          <w:cols w:space="720"/>
          <w:docGrid w:linePitch="360"/>
        </w:sectPr>
      </w:pPr>
      <w:r w:rsidRPr="00570A96">
        <w:br w:type="page"/>
      </w:r>
    </w:p>
    <w:p w:rsidR="0037793E" w:rsidRPr="00570A96" w:rsidRDefault="0037793E">
      <w:pPr>
        <w:spacing w:after="200" w:line="276" w:lineRule="auto"/>
        <w:ind w:firstLine="0"/>
      </w:pPr>
    </w:p>
    <w:p w:rsidR="0037793E" w:rsidRPr="00570A96" w:rsidRDefault="0037793E" w:rsidP="00F341B8">
      <w:proofErr w:type="gramStart"/>
      <w:r w:rsidRPr="00570A96">
        <w:t>Table 2.</w:t>
      </w:r>
      <w:proofErr w:type="gramEnd"/>
      <w:r w:rsidRPr="00570A96">
        <w:t xml:space="preserve"> Compatibility check between BEES and CEDA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754"/>
        <w:gridCol w:w="2790"/>
      </w:tblGrid>
      <w:tr w:rsidR="0037793E" w:rsidRPr="00570A96" w:rsidTr="00AB2571">
        <w:tc>
          <w:tcPr>
            <w:tcW w:w="2394" w:type="dxa"/>
            <w:tcBorders>
              <w:left w:val="nil"/>
              <w:bottom w:val="single" w:sz="4" w:space="0" w:color="auto"/>
              <w:right w:val="nil"/>
            </w:tcBorders>
          </w:tcPr>
          <w:p w:rsidR="0037793E" w:rsidRPr="00570A96" w:rsidRDefault="0037793E" w:rsidP="00AB2571">
            <w:pPr>
              <w:spacing w:line="240" w:lineRule="auto"/>
              <w:ind w:firstLine="0"/>
              <w:rPr>
                <w:sz w:val="22"/>
                <w:szCs w:val="22"/>
              </w:rPr>
            </w:pPr>
          </w:p>
        </w:tc>
        <w:tc>
          <w:tcPr>
            <w:tcW w:w="2754" w:type="dxa"/>
            <w:tcBorders>
              <w:left w:val="nil"/>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BEES Energy Technologies</w:t>
            </w:r>
          </w:p>
        </w:tc>
        <w:tc>
          <w:tcPr>
            <w:tcW w:w="2790" w:type="dxa"/>
            <w:tcBorders>
              <w:left w:val="nil"/>
              <w:bottom w:val="single" w:sz="4" w:space="0" w:color="auto"/>
              <w:right w:val="nil"/>
            </w:tcBorders>
          </w:tcPr>
          <w:p w:rsidR="0037793E" w:rsidRPr="00570A96" w:rsidRDefault="0037793E" w:rsidP="00AB2571">
            <w:pPr>
              <w:spacing w:line="240" w:lineRule="auto"/>
              <w:ind w:firstLine="0"/>
              <w:rPr>
                <w:sz w:val="22"/>
                <w:szCs w:val="22"/>
              </w:rPr>
            </w:pPr>
            <w:r w:rsidRPr="00570A96">
              <w:rPr>
                <w:sz w:val="22"/>
                <w:szCs w:val="22"/>
              </w:rPr>
              <w:t>CEDA</w:t>
            </w:r>
          </w:p>
        </w:tc>
      </w:tr>
      <w:tr w:rsidR="0037793E" w:rsidRPr="00570A96" w:rsidTr="00AB2571">
        <w:tc>
          <w:tcPr>
            <w:tcW w:w="2394" w:type="dxa"/>
            <w:tcBorders>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Allocation methods</w:t>
            </w:r>
          </w:p>
        </w:tc>
        <w:tc>
          <w:tcPr>
            <w:tcW w:w="2754" w:type="dxa"/>
            <w:tcBorders>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mass, energy, economic and system expansion</w:t>
            </w:r>
          </w:p>
        </w:tc>
        <w:tc>
          <w:tcPr>
            <w:tcW w:w="2790" w:type="dxa"/>
            <w:tcBorders>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economic, system expansion or a mixture of the two</w:t>
            </w:r>
          </w:p>
        </w:tc>
      </w:tr>
      <w:tr w:rsidR="0037793E" w:rsidRPr="00570A96" w:rsidTr="00AB2571">
        <w:tc>
          <w:tcPr>
            <w:tcW w:w="2394"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Cut-off criteria</w:t>
            </w:r>
          </w:p>
        </w:tc>
        <w:tc>
          <w:tcPr>
            <w:tcW w:w="2754"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mass, energy and economic value</w:t>
            </w:r>
          </w:p>
        </w:tc>
        <w:tc>
          <w:tcPr>
            <w:tcW w:w="2790"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N/A</w:t>
            </w:r>
          </w:p>
        </w:tc>
      </w:tr>
      <w:tr w:rsidR="0037793E" w:rsidRPr="00570A96" w:rsidTr="00AB2571">
        <w:tc>
          <w:tcPr>
            <w:tcW w:w="2394"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Treatment of capital goods</w:t>
            </w:r>
          </w:p>
        </w:tc>
        <w:tc>
          <w:tcPr>
            <w:tcW w:w="2754"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excluded</w:t>
            </w:r>
          </w:p>
        </w:tc>
        <w:tc>
          <w:tcPr>
            <w:tcW w:w="2790"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included</w:t>
            </w:r>
          </w:p>
        </w:tc>
      </w:tr>
      <w:tr w:rsidR="0037793E" w:rsidRPr="00570A96" w:rsidTr="00AB2571">
        <w:tc>
          <w:tcPr>
            <w:tcW w:w="2394"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Base year</w:t>
            </w:r>
          </w:p>
        </w:tc>
        <w:tc>
          <w:tcPr>
            <w:tcW w:w="2754"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late 2000s – early  2010s</w:t>
            </w:r>
          </w:p>
        </w:tc>
        <w:tc>
          <w:tcPr>
            <w:tcW w:w="2790" w:type="dxa"/>
            <w:tcBorders>
              <w:top w:val="nil"/>
              <w:left w:val="nil"/>
              <w:bottom w:val="nil"/>
              <w:right w:val="nil"/>
            </w:tcBorders>
          </w:tcPr>
          <w:p w:rsidR="0037793E" w:rsidRPr="00570A96" w:rsidRDefault="0037793E" w:rsidP="00AB2571">
            <w:pPr>
              <w:spacing w:after="120" w:line="240" w:lineRule="auto"/>
              <w:ind w:firstLine="0"/>
              <w:rPr>
                <w:sz w:val="22"/>
                <w:szCs w:val="22"/>
              </w:rPr>
            </w:pPr>
            <w:r w:rsidRPr="00570A96">
              <w:rPr>
                <w:sz w:val="22"/>
                <w:szCs w:val="22"/>
              </w:rPr>
              <w:t>1998 (ver. 3), 2002 (ver. 4)</w:t>
            </w:r>
          </w:p>
        </w:tc>
      </w:tr>
      <w:tr w:rsidR="0037793E" w:rsidRPr="00570A96" w:rsidTr="00AB2571">
        <w:tc>
          <w:tcPr>
            <w:tcW w:w="2394" w:type="dxa"/>
            <w:tcBorders>
              <w:top w:val="nil"/>
              <w:left w:val="nil"/>
              <w:right w:val="nil"/>
            </w:tcBorders>
          </w:tcPr>
          <w:p w:rsidR="0037793E" w:rsidRPr="00570A96" w:rsidRDefault="0037793E" w:rsidP="00AB2571">
            <w:pPr>
              <w:spacing w:after="120" w:line="240" w:lineRule="auto"/>
              <w:ind w:firstLine="0"/>
              <w:rPr>
                <w:sz w:val="22"/>
                <w:szCs w:val="22"/>
              </w:rPr>
            </w:pPr>
            <w:r w:rsidRPr="00570A96">
              <w:rPr>
                <w:sz w:val="22"/>
                <w:szCs w:val="22"/>
              </w:rPr>
              <w:t>Coverage of the environmental flows</w:t>
            </w:r>
          </w:p>
        </w:tc>
        <w:tc>
          <w:tcPr>
            <w:tcW w:w="2754" w:type="dxa"/>
            <w:tcBorders>
              <w:top w:val="nil"/>
              <w:left w:val="nil"/>
              <w:right w:val="nil"/>
            </w:tcBorders>
          </w:tcPr>
          <w:p w:rsidR="0037793E" w:rsidRPr="00570A96" w:rsidRDefault="0037793E" w:rsidP="00AB2571">
            <w:pPr>
              <w:spacing w:after="120" w:line="240" w:lineRule="auto"/>
              <w:ind w:firstLine="0"/>
              <w:rPr>
                <w:sz w:val="22"/>
                <w:szCs w:val="22"/>
              </w:rPr>
            </w:pPr>
            <w:r w:rsidRPr="00570A96">
              <w:rPr>
                <w:sz w:val="22"/>
                <w:szCs w:val="22"/>
              </w:rPr>
              <w:t>1,500 (previously 236) flows</w:t>
            </w:r>
          </w:p>
        </w:tc>
        <w:tc>
          <w:tcPr>
            <w:tcW w:w="2790" w:type="dxa"/>
            <w:tcBorders>
              <w:top w:val="nil"/>
              <w:left w:val="nil"/>
              <w:right w:val="nil"/>
            </w:tcBorders>
          </w:tcPr>
          <w:p w:rsidR="0037793E" w:rsidRPr="00570A96" w:rsidRDefault="0037793E" w:rsidP="00AB2571">
            <w:pPr>
              <w:spacing w:after="120" w:line="240" w:lineRule="auto"/>
              <w:ind w:firstLine="0"/>
              <w:rPr>
                <w:sz w:val="22"/>
                <w:szCs w:val="22"/>
              </w:rPr>
            </w:pPr>
            <w:r w:rsidRPr="00570A96">
              <w:rPr>
                <w:sz w:val="22"/>
                <w:szCs w:val="22"/>
              </w:rPr>
              <w:t>1344 flows (ver. 3), 2591 flows (ver. 4)</w:t>
            </w:r>
          </w:p>
        </w:tc>
      </w:tr>
    </w:tbl>
    <w:p w:rsidR="0037793E" w:rsidRPr="00570A96" w:rsidRDefault="0037793E" w:rsidP="00884906"/>
    <w:p w:rsidR="0037793E" w:rsidRPr="00570A96" w:rsidRDefault="0037793E" w:rsidP="00884906"/>
    <w:p w:rsidR="0037793E" w:rsidRPr="00570A96" w:rsidRDefault="0037793E" w:rsidP="00C336CE">
      <w:proofErr w:type="gramStart"/>
      <w:r w:rsidRPr="00570A96">
        <w:t>Table 3.</w:t>
      </w:r>
      <w:proofErr w:type="gramEnd"/>
      <w:r w:rsidRPr="00570A96">
        <w:t xml:space="preserve"> Importance of unmatched flows</w:t>
      </w:r>
    </w:p>
    <w:tbl>
      <w:tblPr>
        <w:tblW w:w="5000" w:type="pct"/>
        <w:tblLook w:val="04A0"/>
      </w:tblPr>
      <w:tblGrid>
        <w:gridCol w:w="1231"/>
        <w:gridCol w:w="695"/>
        <w:gridCol w:w="693"/>
        <w:gridCol w:w="693"/>
        <w:gridCol w:w="701"/>
        <w:gridCol w:w="695"/>
        <w:gridCol w:w="693"/>
        <w:gridCol w:w="693"/>
        <w:gridCol w:w="701"/>
        <w:gridCol w:w="695"/>
        <w:gridCol w:w="693"/>
        <w:gridCol w:w="693"/>
        <w:gridCol w:w="700"/>
      </w:tblGrid>
      <w:tr w:rsidR="0037793E" w:rsidRPr="00570A96" w:rsidTr="00470A18">
        <w:trPr>
          <w:trHeight w:val="300"/>
        </w:trPr>
        <w:tc>
          <w:tcPr>
            <w:tcW w:w="642" w:type="pct"/>
            <w:tcBorders>
              <w:top w:val="single" w:sz="4" w:space="0" w:color="auto"/>
              <w:left w:val="nil"/>
              <w:bottom w:val="nil"/>
              <w:right w:val="nil"/>
            </w:tcBorders>
            <w:shd w:val="clear" w:color="auto" w:fill="auto"/>
            <w:noWrap/>
            <w:vAlign w:val="bottom"/>
            <w:hideMark/>
          </w:tcPr>
          <w:p w:rsidR="0037793E" w:rsidRPr="00570A96" w:rsidRDefault="0037793E" w:rsidP="00C603A8">
            <w:pPr>
              <w:rPr>
                <w:rFonts w:ascii="Calibri" w:eastAsia="Times New Roman" w:hAnsi="Calibri"/>
                <w:sz w:val="16"/>
                <w:lang w:eastAsia="ko-KR"/>
              </w:rPr>
            </w:pPr>
            <w:r w:rsidRPr="00570A96">
              <w:rPr>
                <w:rFonts w:ascii="Calibri" w:eastAsia="Times New Roman" w:hAnsi="Calibri"/>
                <w:sz w:val="16"/>
                <w:szCs w:val="22"/>
                <w:lang w:eastAsia="ko-KR"/>
              </w:rPr>
              <w:t> </w:t>
            </w:r>
          </w:p>
        </w:tc>
        <w:tc>
          <w:tcPr>
            <w:tcW w:w="1453" w:type="pct"/>
            <w:gridSpan w:val="4"/>
            <w:tcBorders>
              <w:top w:val="single" w:sz="4" w:space="0" w:color="auto"/>
              <w:left w:val="nil"/>
              <w:bottom w:val="single" w:sz="4" w:space="0" w:color="auto"/>
              <w:right w:val="nil"/>
            </w:tcBorders>
            <w:shd w:val="clear" w:color="auto" w:fill="auto"/>
            <w:noWrap/>
            <w:vAlign w:val="bottom"/>
            <w:hideMark/>
          </w:tcPr>
          <w:p w:rsidR="0037793E" w:rsidRPr="00570A96" w:rsidRDefault="0037793E" w:rsidP="00C603A8">
            <w:pPr>
              <w:jc w:val="center"/>
              <w:rPr>
                <w:rFonts w:ascii="Calibri" w:eastAsia="Times New Roman" w:hAnsi="Calibri"/>
                <w:sz w:val="16"/>
                <w:lang w:eastAsia="ko-KR"/>
              </w:rPr>
            </w:pPr>
            <w:r w:rsidRPr="00570A96">
              <w:rPr>
                <w:rFonts w:ascii="Calibri" w:eastAsia="Times New Roman" w:hAnsi="Calibri"/>
                <w:sz w:val="16"/>
                <w:szCs w:val="22"/>
                <w:lang w:eastAsia="ko-KR"/>
              </w:rPr>
              <w:t>Global Warming (GWP100)</w:t>
            </w:r>
          </w:p>
        </w:tc>
        <w:tc>
          <w:tcPr>
            <w:tcW w:w="1453" w:type="pct"/>
            <w:gridSpan w:val="4"/>
            <w:tcBorders>
              <w:top w:val="single" w:sz="4" w:space="0" w:color="auto"/>
              <w:left w:val="nil"/>
              <w:bottom w:val="single" w:sz="4" w:space="0" w:color="auto"/>
              <w:right w:val="nil"/>
            </w:tcBorders>
            <w:shd w:val="clear" w:color="auto" w:fill="auto"/>
            <w:noWrap/>
            <w:vAlign w:val="bottom"/>
            <w:hideMark/>
          </w:tcPr>
          <w:p w:rsidR="0037793E" w:rsidRPr="00570A96" w:rsidRDefault="0037793E" w:rsidP="00C603A8">
            <w:pPr>
              <w:jc w:val="center"/>
              <w:rPr>
                <w:rFonts w:ascii="Calibri" w:eastAsia="Times New Roman" w:hAnsi="Calibri"/>
                <w:sz w:val="16"/>
                <w:lang w:eastAsia="ko-KR"/>
              </w:rPr>
            </w:pPr>
            <w:r w:rsidRPr="00570A96">
              <w:rPr>
                <w:rFonts w:ascii="Calibri" w:eastAsia="Times New Roman" w:hAnsi="Calibri"/>
                <w:sz w:val="16"/>
                <w:szCs w:val="22"/>
                <w:lang w:eastAsia="ko-KR"/>
              </w:rPr>
              <w:t>Ozone layer depletion (ODP steady)</w:t>
            </w:r>
          </w:p>
        </w:tc>
        <w:tc>
          <w:tcPr>
            <w:tcW w:w="1452" w:type="pct"/>
            <w:gridSpan w:val="4"/>
            <w:tcBorders>
              <w:top w:val="single" w:sz="4" w:space="0" w:color="auto"/>
              <w:left w:val="nil"/>
              <w:bottom w:val="single" w:sz="4" w:space="0" w:color="auto"/>
              <w:right w:val="nil"/>
            </w:tcBorders>
            <w:shd w:val="clear" w:color="auto" w:fill="auto"/>
            <w:noWrap/>
            <w:vAlign w:val="bottom"/>
            <w:hideMark/>
          </w:tcPr>
          <w:p w:rsidR="0037793E" w:rsidRPr="00570A96" w:rsidRDefault="0037793E" w:rsidP="00C603A8">
            <w:pPr>
              <w:jc w:val="center"/>
              <w:rPr>
                <w:rFonts w:ascii="Calibri" w:eastAsia="Times New Roman" w:hAnsi="Calibri"/>
                <w:sz w:val="16"/>
                <w:lang w:eastAsia="ko-KR"/>
              </w:rPr>
            </w:pPr>
            <w:r w:rsidRPr="00570A96">
              <w:rPr>
                <w:rFonts w:ascii="Calibri" w:eastAsia="Times New Roman" w:hAnsi="Calibri"/>
                <w:sz w:val="16"/>
                <w:szCs w:val="22"/>
                <w:lang w:eastAsia="ko-KR"/>
              </w:rPr>
              <w:t>Human Toxicity (HTP100)</w:t>
            </w:r>
          </w:p>
        </w:tc>
      </w:tr>
      <w:tr w:rsidR="0037793E" w:rsidRPr="00570A96" w:rsidTr="00470A18">
        <w:trPr>
          <w:trHeight w:val="300"/>
        </w:trPr>
        <w:tc>
          <w:tcPr>
            <w:tcW w:w="642" w:type="pct"/>
            <w:tcBorders>
              <w:top w:val="nil"/>
              <w:left w:val="nil"/>
              <w:bottom w:val="single" w:sz="4" w:space="0" w:color="auto"/>
              <w:right w:val="nil"/>
            </w:tcBorders>
            <w:shd w:val="clear" w:color="auto" w:fill="auto"/>
            <w:noWrap/>
            <w:vAlign w:val="bottom"/>
            <w:hideMark/>
          </w:tcPr>
          <w:p w:rsidR="0037793E" w:rsidRPr="00570A96" w:rsidRDefault="0037793E" w:rsidP="00C603A8">
            <w:pPr>
              <w:rPr>
                <w:rFonts w:ascii="Calibri" w:eastAsia="Times New Roman" w:hAnsi="Calibri"/>
                <w:sz w:val="16"/>
                <w:lang w:eastAsia="ko-KR"/>
              </w:rPr>
            </w:pPr>
            <w:r w:rsidRPr="00570A96">
              <w:rPr>
                <w:rFonts w:ascii="Calibri" w:eastAsia="Times New Roman" w:hAnsi="Calibri"/>
                <w:sz w:val="16"/>
                <w:szCs w:val="22"/>
                <w:lang w:eastAsia="ko-KR"/>
              </w:rPr>
              <w:t> </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NR1</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NR2-4</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NAA</w:t>
            </w:r>
          </w:p>
        </w:tc>
        <w:tc>
          <w:tcPr>
            <w:tcW w:w="366"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NRGHA</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NR1</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NR2-4</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NAA</w:t>
            </w:r>
          </w:p>
        </w:tc>
        <w:tc>
          <w:tcPr>
            <w:tcW w:w="366"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NRGHA</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NR1</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NR2-4</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NAA</w:t>
            </w:r>
          </w:p>
        </w:tc>
        <w:tc>
          <w:tcPr>
            <w:tcW w:w="365"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NRGHA</w:t>
            </w:r>
          </w:p>
        </w:tc>
      </w:tr>
      <w:tr w:rsidR="0037793E" w:rsidRPr="00570A96" w:rsidTr="00470A18">
        <w:trPr>
          <w:trHeight w:val="300"/>
        </w:trPr>
        <w:tc>
          <w:tcPr>
            <w:tcW w:w="642" w:type="pct"/>
            <w:tcBorders>
              <w:top w:val="nil"/>
              <w:left w:val="nil"/>
              <w:bottom w:val="nil"/>
              <w:right w:val="nil"/>
            </w:tcBorders>
            <w:shd w:val="clear" w:color="auto" w:fill="auto"/>
            <w:noWrap/>
            <w:vAlign w:val="bottom"/>
            <w:hideMark/>
          </w:tcPr>
          <w:p w:rsidR="0037793E" w:rsidRPr="00570A96" w:rsidRDefault="0037793E" w:rsidP="00C603A8">
            <w:pPr>
              <w:rPr>
                <w:rFonts w:ascii="Calibri" w:eastAsia="Times New Roman" w:hAnsi="Calibri"/>
                <w:sz w:val="16"/>
                <w:lang w:eastAsia="ko-KR"/>
              </w:rPr>
            </w:pPr>
            <w:r w:rsidRPr="00570A96">
              <w:rPr>
                <w:rFonts w:ascii="Calibri" w:eastAsia="Times New Roman" w:hAnsi="Calibri"/>
                <w:sz w:val="16"/>
                <w:szCs w:val="22"/>
                <w:lang w:eastAsia="ko-KR"/>
              </w:rPr>
              <w:t>Common flows</w:t>
            </w:r>
          </w:p>
        </w:tc>
        <w:tc>
          <w:tcPr>
            <w:tcW w:w="363"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99.5%</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99.8%</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99.6%</w:t>
            </w:r>
          </w:p>
        </w:tc>
        <w:tc>
          <w:tcPr>
            <w:tcW w:w="366"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99.7%</w:t>
            </w:r>
          </w:p>
        </w:tc>
        <w:tc>
          <w:tcPr>
            <w:tcW w:w="363"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94.5%</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94.7%</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96.5%</w:t>
            </w:r>
          </w:p>
        </w:tc>
        <w:tc>
          <w:tcPr>
            <w:tcW w:w="366"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92.1%</w:t>
            </w:r>
          </w:p>
        </w:tc>
        <w:tc>
          <w:tcPr>
            <w:tcW w:w="363"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98.3%</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98.8%</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98.3%</w:t>
            </w:r>
          </w:p>
        </w:tc>
        <w:tc>
          <w:tcPr>
            <w:tcW w:w="365"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98.3%</w:t>
            </w:r>
          </w:p>
        </w:tc>
      </w:tr>
      <w:tr w:rsidR="0037793E" w:rsidRPr="00570A96" w:rsidTr="00470A18">
        <w:trPr>
          <w:trHeight w:val="300"/>
        </w:trPr>
        <w:tc>
          <w:tcPr>
            <w:tcW w:w="642" w:type="pct"/>
            <w:tcBorders>
              <w:top w:val="nil"/>
              <w:left w:val="nil"/>
              <w:bottom w:val="nil"/>
              <w:right w:val="nil"/>
            </w:tcBorders>
            <w:shd w:val="clear" w:color="auto" w:fill="auto"/>
            <w:noWrap/>
            <w:vAlign w:val="bottom"/>
            <w:hideMark/>
          </w:tcPr>
          <w:p w:rsidR="0037793E" w:rsidRPr="00570A96" w:rsidRDefault="0037793E" w:rsidP="00C603A8">
            <w:pPr>
              <w:rPr>
                <w:rFonts w:ascii="Calibri" w:eastAsia="Times New Roman" w:hAnsi="Calibri"/>
                <w:sz w:val="16"/>
                <w:lang w:eastAsia="ko-KR"/>
              </w:rPr>
            </w:pPr>
            <w:r w:rsidRPr="00570A96">
              <w:rPr>
                <w:rFonts w:ascii="Calibri" w:eastAsia="Times New Roman" w:hAnsi="Calibri"/>
                <w:sz w:val="16"/>
                <w:szCs w:val="22"/>
                <w:lang w:eastAsia="ko-KR"/>
              </w:rPr>
              <w:t>Only in BEES</w:t>
            </w:r>
          </w:p>
        </w:tc>
        <w:tc>
          <w:tcPr>
            <w:tcW w:w="363"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6"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3"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6"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3"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2"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c>
          <w:tcPr>
            <w:tcW w:w="365" w:type="pct"/>
            <w:tcBorders>
              <w:top w:val="nil"/>
              <w:left w:val="nil"/>
              <w:bottom w:val="nil"/>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0.0%</w:t>
            </w:r>
          </w:p>
        </w:tc>
      </w:tr>
      <w:tr w:rsidR="0037793E" w:rsidRPr="00570A96" w:rsidTr="00470A18">
        <w:trPr>
          <w:trHeight w:val="300"/>
        </w:trPr>
        <w:tc>
          <w:tcPr>
            <w:tcW w:w="642" w:type="pct"/>
            <w:tcBorders>
              <w:top w:val="nil"/>
              <w:left w:val="nil"/>
              <w:bottom w:val="single" w:sz="4" w:space="0" w:color="auto"/>
              <w:right w:val="nil"/>
            </w:tcBorders>
            <w:shd w:val="clear" w:color="auto" w:fill="auto"/>
            <w:noWrap/>
            <w:vAlign w:val="bottom"/>
            <w:hideMark/>
          </w:tcPr>
          <w:p w:rsidR="0037793E" w:rsidRPr="00570A96" w:rsidRDefault="0037793E" w:rsidP="00C603A8">
            <w:pPr>
              <w:rPr>
                <w:rFonts w:ascii="Calibri" w:eastAsia="Times New Roman" w:hAnsi="Calibri"/>
                <w:sz w:val="16"/>
                <w:lang w:eastAsia="ko-KR"/>
              </w:rPr>
            </w:pPr>
            <w:r w:rsidRPr="00570A96">
              <w:rPr>
                <w:rFonts w:ascii="Calibri" w:eastAsia="Times New Roman" w:hAnsi="Calibri"/>
                <w:sz w:val="16"/>
                <w:szCs w:val="22"/>
                <w:lang w:eastAsia="ko-KR"/>
              </w:rPr>
              <w:t>Only in CEDA</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0.5%</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0.2%</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0.4%</w:t>
            </w:r>
          </w:p>
        </w:tc>
        <w:tc>
          <w:tcPr>
            <w:tcW w:w="366"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0.3%</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5.5%</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5.3%</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3.5%</w:t>
            </w:r>
          </w:p>
        </w:tc>
        <w:tc>
          <w:tcPr>
            <w:tcW w:w="366"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7.9%</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1.7%</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1.2%</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1.7%</w:t>
            </w:r>
          </w:p>
        </w:tc>
        <w:tc>
          <w:tcPr>
            <w:tcW w:w="365"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1.7%</w:t>
            </w:r>
          </w:p>
        </w:tc>
      </w:tr>
      <w:tr w:rsidR="0037793E" w:rsidRPr="00570A96" w:rsidTr="00470A18">
        <w:trPr>
          <w:trHeight w:val="300"/>
        </w:trPr>
        <w:tc>
          <w:tcPr>
            <w:tcW w:w="642" w:type="pct"/>
            <w:tcBorders>
              <w:top w:val="nil"/>
              <w:left w:val="nil"/>
              <w:bottom w:val="single" w:sz="4" w:space="0" w:color="auto"/>
              <w:right w:val="nil"/>
            </w:tcBorders>
            <w:shd w:val="clear" w:color="auto" w:fill="auto"/>
            <w:noWrap/>
            <w:vAlign w:val="bottom"/>
            <w:hideMark/>
          </w:tcPr>
          <w:p w:rsidR="0037793E" w:rsidRPr="00570A96" w:rsidRDefault="0037793E" w:rsidP="00C603A8">
            <w:pPr>
              <w:rPr>
                <w:rFonts w:ascii="Calibri" w:eastAsia="Times New Roman" w:hAnsi="Calibri"/>
                <w:sz w:val="16"/>
                <w:lang w:eastAsia="ko-KR"/>
              </w:rPr>
            </w:pPr>
            <w:r w:rsidRPr="00570A96">
              <w:rPr>
                <w:rFonts w:ascii="Calibri" w:eastAsia="Times New Roman" w:hAnsi="Calibri"/>
                <w:sz w:val="16"/>
                <w:szCs w:val="22"/>
                <w:lang w:eastAsia="ko-KR"/>
              </w:rPr>
              <w:t>Total</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6"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6"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3"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2"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c>
          <w:tcPr>
            <w:tcW w:w="365" w:type="pct"/>
            <w:tcBorders>
              <w:top w:val="nil"/>
              <w:left w:val="nil"/>
              <w:bottom w:val="single" w:sz="4" w:space="0" w:color="auto"/>
              <w:right w:val="nil"/>
            </w:tcBorders>
            <w:shd w:val="clear" w:color="auto" w:fill="auto"/>
            <w:noWrap/>
            <w:vAlign w:val="bottom"/>
            <w:hideMark/>
          </w:tcPr>
          <w:p w:rsidR="0037793E" w:rsidRPr="00570A96" w:rsidRDefault="0037793E" w:rsidP="00470A18">
            <w:pPr>
              <w:tabs>
                <w:tab w:val="left" w:pos="469"/>
              </w:tabs>
              <w:ind w:firstLine="19"/>
              <w:jc w:val="center"/>
              <w:rPr>
                <w:rFonts w:ascii="Calibri" w:eastAsia="Times New Roman" w:hAnsi="Calibri"/>
                <w:sz w:val="16"/>
                <w:lang w:eastAsia="ko-KR"/>
              </w:rPr>
            </w:pPr>
            <w:r w:rsidRPr="00570A96">
              <w:rPr>
                <w:rFonts w:ascii="Calibri" w:eastAsia="Times New Roman" w:hAnsi="Calibri"/>
                <w:sz w:val="16"/>
                <w:szCs w:val="22"/>
                <w:lang w:eastAsia="ko-KR"/>
              </w:rPr>
              <w:t>100%</w:t>
            </w:r>
          </w:p>
        </w:tc>
      </w:tr>
    </w:tbl>
    <w:p w:rsidR="0037793E" w:rsidRPr="00570A96" w:rsidRDefault="0037793E" w:rsidP="00C603A8">
      <w:pPr>
        <w:rPr>
          <w:rFonts w:ascii="Calibri" w:hAnsi="Calibri"/>
          <w:sz w:val="18"/>
          <w:lang w:eastAsia="ko-KR"/>
        </w:rPr>
      </w:pPr>
      <w:r w:rsidRPr="00570A96">
        <w:rPr>
          <w:rFonts w:ascii="Calibri" w:hAnsi="Calibri"/>
          <w:sz w:val="18"/>
          <w:lang w:eastAsia="ko-KR"/>
        </w:rPr>
        <w:t>NR1: New residential construction 1 unit</w:t>
      </w:r>
    </w:p>
    <w:p w:rsidR="0037793E" w:rsidRPr="00570A96" w:rsidRDefault="0037793E" w:rsidP="00C603A8">
      <w:pPr>
        <w:rPr>
          <w:rFonts w:ascii="Calibri" w:hAnsi="Calibri"/>
          <w:sz w:val="18"/>
          <w:lang w:eastAsia="ko-KR"/>
        </w:rPr>
      </w:pPr>
      <w:r w:rsidRPr="00570A96">
        <w:rPr>
          <w:rFonts w:ascii="Calibri" w:hAnsi="Calibri"/>
          <w:sz w:val="18"/>
          <w:lang w:eastAsia="ko-KR"/>
        </w:rPr>
        <w:t>NR2-4: New residential construction 2 – 4 units</w:t>
      </w:r>
    </w:p>
    <w:p w:rsidR="0037793E" w:rsidRPr="00570A96" w:rsidRDefault="0037793E" w:rsidP="00C603A8">
      <w:pPr>
        <w:rPr>
          <w:rFonts w:ascii="Calibri" w:hAnsi="Calibri"/>
          <w:sz w:val="18"/>
          <w:lang w:eastAsia="ko-KR"/>
        </w:rPr>
      </w:pPr>
      <w:r w:rsidRPr="00570A96">
        <w:rPr>
          <w:rFonts w:ascii="Calibri" w:hAnsi="Calibri"/>
          <w:sz w:val="18"/>
          <w:lang w:eastAsia="ko-KR"/>
        </w:rPr>
        <w:t>NAA: New addition and alteration construction</w:t>
      </w:r>
    </w:p>
    <w:p w:rsidR="0037793E" w:rsidRPr="00570A96" w:rsidRDefault="0037793E" w:rsidP="00C603A8">
      <w:pPr>
        <w:rPr>
          <w:rFonts w:ascii="Calibri" w:hAnsi="Calibri"/>
          <w:sz w:val="18"/>
          <w:lang w:eastAsia="ko-KR"/>
        </w:rPr>
      </w:pPr>
      <w:r w:rsidRPr="00570A96">
        <w:rPr>
          <w:rFonts w:ascii="Calibri" w:hAnsi="Calibri"/>
          <w:sz w:val="18"/>
          <w:lang w:eastAsia="ko-KR"/>
        </w:rPr>
        <w:t>NRGHA: New residential garden and high rise apartment construction</w:t>
      </w:r>
    </w:p>
    <w:p w:rsidR="0037793E" w:rsidRPr="00031D8F" w:rsidRDefault="0037793E" w:rsidP="0037793E">
      <w:pPr>
        <w:spacing w:line="240" w:lineRule="auto"/>
        <w:ind w:firstLine="0"/>
        <w:rPr>
          <w:noProof/>
          <w:lang w:eastAsia="ko-KR"/>
        </w:rPr>
      </w:pPr>
    </w:p>
    <w:sectPr w:rsidR="0037793E" w:rsidRPr="00031D8F" w:rsidSect="00482B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9F" w:rsidRDefault="00021A9F" w:rsidP="00884906">
      <w:r>
        <w:separator/>
      </w:r>
    </w:p>
  </w:endnote>
  <w:endnote w:type="continuationSeparator" w:id="0">
    <w:p w:rsidR="00021A9F" w:rsidRDefault="00021A9F" w:rsidP="00884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algun Gothic">
    <w:altName w:val="Batang"/>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3E" w:rsidRDefault="0037793E" w:rsidP="00884906">
    <w:pPr>
      <w:pStyle w:val="Footer"/>
    </w:pPr>
    <w:fldSimple w:instr=" PAGE   \* MERGEFORMAT ">
      <w:r>
        <w:rPr>
          <w:noProof/>
        </w:rPr>
        <w:t>20</w:t>
      </w:r>
    </w:fldSimple>
  </w:p>
  <w:p w:rsidR="0037793E" w:rsidRDefault="0037793E" w:rsidP="00884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89172"/>
      <w:docPartObj>
        <w:docPartGallery w:val="Page Numbers (Bottom of Page)"/>
        <w:docPartUnique/>
      </w:docPartObj>
    </w:sdtPr>
    <w:sdtContent>
      <w:p w:rsidR="00B87651" w:rsidRDefault="00B87651">
        <w:pPr>
          <w:pStyle w:val="Footer"/>
          <w:jc w:val="center"/>
        </w:pPr>
        <w:fldSimple w:instr=" PAGE   \* MERGEFORMAT ">
          <w:r w:rsidR="0037793E">
            <w:rPr>
              <w:noProof/>
            </w:rPr>
            <w:t>23</w:t>
          </w:r>
        </w:fldSimple>
      </w:p>
    </w:sdtContent>
  </w:sdt>
  <w:p w:rsidR="00B87651" w:rsidRDefault="00B87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9F" w:rsidRDefault="00021A9F" w:rsidP="00884906">
      <w:r>
        <w:separator/>
      </w:r>
    </w:p>
  </w:footnote>
  <w:footnote w:type="continuationSeparator" w:id="0">
    <w:p w:rsidR="00021A9F" w:rsidRDefault="00021A9F" w:rsidP="00884906">
      <w:r>
        <w:continuationSeparator/>
      </w:r>
    </w:p>
  </w:footnote>
  <w:footnote w:id="1">
    <w:p w:rsidR="00C97EFC" w:rsidRDefault="00C97EFC">
      <w:pPr>
        <w:pStyle w:val="FootnoteText"/>
      </w:pPr>
      <w:r>
        <w:rPr>
          <w:rStyle w:val="FootnoteReference"/>
        </w:rPr>
        <w:footnoteRef/>
      </w:r>
      <w:r>
        <w:t xml:space="preserve"> </w:t>
      </w:r>
      <w:proofErr w:type="gramStart"/>
      <w:r>
        <w:t>The term ‘rolled-out’ LCI in this paper refers to the elementary data underlying an LCI that show the exchanges of intermediate products and direct emissions by unit processes (or sectors).</w:t>
      </w:r>
      <w:proofErr w:type="gramEnd"/>
      <w:r>
        <w:t xml:space="preserve"> It is generally represented as a set of matrices including the technology matrix and the direct environmental exchange matrix. </w:t>
      </w:r>
      <w:proofErr w:type="spellStart"/>
      <w:r>
        <w:t>Ecoinvent</w:t>
      </w:r>
      <w:proofErr w:type="spellEnd"/>
      <w:r>
        <w:t xml:space="preserve"> uses the term, ‘unit process raw data’ instead. Similarly, the term, ‘rolled-up LCI’ refers to calculated LCIs, for which </w:t>
      </w:r>
      <w:proofErr w:type="spellStart"/>
      <w:r>
        <w:t>Ecoinvent</w:t>
      </w:r>
      <w:proofErr w:type="spellEnd"/>
      <w:r>
        <w:t xml:space="preserve"> uses the term, ‘cumulated results’. </w:t>
      </w:r>
    </w:p>
  </w:footnote>
  <w:footnote w:id="2">
    <w:p w:rsidR="00C97EFC" w:rsidRDefault="00C97EFC">
      <w:pPr>
        <w:pStyle w:val="FootnoteText"/>
      </w:pPr>
      <w:r>
        <w:rPr>
          <w:rStyle w:val="FootnoteReference"/>
        </w:rPr>
        <w:footnoteRef/>
      </w:r>
      <w:r>
        <w:t xml:space="preserve"> The term, ‘redefinition’ is used by the Bureau of Economic Analysis (BEA) of the U</w:t>
      </w:r>
      <w:r w:rsidR="009F4CCB">
        <w:t>.</w:t>
      </w:r>
      <w:r>
        <w:t>S</w:t>
      </w:r>
      <w:r w:rsidR="009F4CCB">
        <w:t>.</w:t>
      </w:r>
      <w:r>
        <w:t xml:space="preserve"> Department of Commerce to refer to the practice of manually moving certain outputs from </w:t>
      </w:r>
      <w:r w:rsidR="009F4CCB">
        <w:t xml:space="preserve">a </w:t>
      </w:r>
      <w:r>
        <w:t xml:space="preserve">sector in a supply matrix and corresponding inputs to that sector in a use matrix to the industry where the output is produced as the primary product. It is done in </w:t>
      </w:r>
      <w:r w:rsidR="009F4CCB">
        <w:t>an</w:t>
      </w:r>
      <w:r>
        <w:t xml:space="preserve"> attempt to mimic the commodity-technology model without generating any negatives in the technology coefficient matrix (see Suh et al., 2010 and Horowitz and Planting 2006 for details).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51" w:rsidRPr="00B87651" w:rsidRDefault="00B87651">
    <w:pPr>
      <w:pStyle w:val="Header"/>
      <w:rPr>
        <w:i/>
      </w:rPr>
    </w:pPr>
    <w:r w:rsidRPr="00B87651">
      <w:rPr>
        <w:i/>
      </w:rPr>
      <w:t>To be published through the International Journal of Life Cycle Assessment (Forthcoming)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9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F920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BF109C"/>
    <w:multiLevelType w:val="hybridMultilevel"/>
    <w:tmpl w:val="B5CCE844"/>
    <w:lvl w:ilvl="0" w:tplc="5FFA533C">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43709"/>
    <w:multiLevelType w:val="multilevel"/>
    <w:tmpl w:val="382A25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F2B7C01"/>
    <w:multiLevelType w:val="hybridMultilevel"/>
    <w:tmpl w:val="F1C22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862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FB19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1E732A"/>
    <w:multiLevelType w:val="multilevel"/>
    <w:tmpl w:val="EC2612E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5C72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D113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FF7318"/>
    <w:multiLevelType w:val="hybridMultilevel"/>
    <w:tmpl w:val="7B76CDDA"/>
    <w:lvl w:ilvl="0" w:tplc="B7DCFE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D409F"/>
    <w:multiLevelType w:val="hybridMultilevel"/>
    <w:tmpl w:val="6AE666D2"/>
    <w:lvl w:ilvl="0" w:tplc="21DA0C98">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E6AEE"/>
    <w:multiLevelType w:val="hybridMultilevel"/>
    <w:tmpl w:val="D9D8EE88"/>
    <w:lvl w:ilvl="0" w:tplc="5FFA533C">
      <w:start w:val="2"/>
      <w:numFmt w:val="bullet"/>
      <w:lvlText w:val=""/>
      <w:lvlJc w:val="left"/>
      <w:pPr>
        <w:ind w:left="1080" w:hanging="360"/>
      </w:pPr>
      <w:rPr>
        <w:rFonts w:ascii="Symbol" w:eastAsia="Malgun Gothic"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9"/>
  </w:num>
  <w:num w:numId="4">
    <w:abstractNumId w:val="0"/>
  </w:num>
  <w:num w:numId="5">
    <w:abstractNumId w:val="5"/>
  </w:num>
  <w:num w:numId="6">
    <w:abstractNumId w:val="6"/>
  </w:num>
  <w:num w:numId="7">
    <w:abstractNumId w:val="1"/>
  </w:num>
  <w:num w:numId="8">
    <w:abstractNumId w:val="7"/>
  </w:num>
  <w:num w:numId="9">
    <w:abstractNumId w:val="8"/>
  </w:num>
  <w:num w:numId="10">
    <w:abstractNumId w:val="4"/>
  </w:num>
  <w:num w:numId="11">
    <w:abstractNumId w:val="2"/>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
  <w:rsids>
    <w:rsidRoot w:val="003D4774"/>
    <w:rsid w:val="000047DD"/>
    <w:rsid w:val="00006788"/>
    <w:rsid w:val="00011E39"/>
    <w:rsid w:val="00017433"/>
    <w:rsid w:val="00021A9F"/>
    <w:rsid w:val="00022601"/>
    <w:rsid w:val="00025F9B"/>
    <w:rsid w:val="00031D8F"/>
    <w:rsid w:val="00033B4B"/>
    <w:rsid w:val="00062ABB"/>
    <w:rsid w:val="00067491"/>
    <w:rsid w:val="000835F7"/>
    <w:rsid w:val="00084C3E"/>
    <w:rsid w:val="00092A15"/>
    <w:rsid w:val="000944D0"/>
    <w:rsid w:val="000A14FB"/>
    <w:rsid w:val="000A20CD"/>
    <w:rsid w:val="000B3F74"/>
    <w:rsid w:val="000B5A4F"/>
    <w:rsid w:val="000D1266"/>
    <w:rsid w:val="000D1A1C"/>
    <w:rsid w:val="000D4159"/>
    <w:rsid w:val="000D488F"/>
    <w:rsid w:val="000D5380"/>
    <w:rsid w:val="000E0F63"/>
    <w:rsid w:val="000F6EFD"/>
    <w:rsid w:val="00100F61"/>
    <w:rsid w:val="001031C4"/>
    <w:rsid w:val="00103664"/>
    <w:rsid w:val="0011379F"/>
    <w:rsid w:val="001169F2"/>
    <w:rsid w:val="00125613"/>
    <w:rsid w:val="0014740C"/>
    <w:rsid w:val="0015018B"/>
    <w:rsid w:val="001635C8"/>
    <w:rsid w:val="00166ADF"/>
    <w:rsid w:val="001716FF"/>
    <w:rsid w:val="00183427"/>
    <w:rsid w:val="001855AF"/>
    <w:rsid w:val="00186B96"/>
    <w:rsid w:val="0019168E"/>
    <w:rsid w:val="001944D9"/>
    <w:rsid w:val="001B61DE"/>
    <w:rsid w:val="001C16C5"/>
    <w:rsid w:val="001D048C"/>
    <w:rsid w:val="001D2EA9"/>
    <w:rsid w:val="001D47A6"/>
    <w:rsid w:val="001D6A53"/>
    <w:rsid w:val="001F2DA6"/>
    <w:rsid w:val="001F5F30"/>
    <w:rsid w:val="002008AA"/>
    <w:rsid w:val="00204289"/>
    <w:rsid w:val="00211EB8"/>
    <w:rsid w:val="002255EE"/>
    <w:rsid w:val="00227860"/>
    <w:rsid w:val="00227DBC"/>
    <w:rsid w:val="00237CBF"/>
    <w:rsid w:val="0024505C"/>
    <w:rsid w:val="00255736"/>
    <w:rsid w:val="00275764"/>
    <w:rsid w:val="002809B4"/>
    <w:rsid w:val="0028282A"/>
    <w:rsid w:val="002855A7"/>
    <w:rsid w:val="002B304B"/>
    <w:rsid w:val="002C370D"/>
    <w:rsid w:val="002C6CFF"/>
    <w:rsid w:val="002E214F"/>
    <w:rsid w:val="00304E6F"/>
    <w:rsid w:val="003136CF"/>
    <w:rsid w:val="00315D08"/>
    <w:rsid w:val="0032080D"/>
    <w:rsid w:val="00326865"/>
    <w:rsid w:val="00333924"/>
    <w:rsid w:val="00334C1B"/>
    <w:rsid w:val="00347C62"/>
    <w:rsid w:val="00356727"/>
    <w:rsid w:val="00357E0A"/>
    <w:rsid w:val="00362DEA"/>
    <w:rsid w:val="00363D66"/>
    <w:rsid w:val="003733C6"/>
    <w:rsid w:val="003747C3"/>
    <w:rsid w:val="0037793E"/>
    <w:rsid w:val="0038005A"/>
    <w:rsid w:val="00381C52"/>
    <w:rsid w:val="00390178"/>
    <w:rsid w:val="003948EF"/>
    <w:rsid w:val="00394B7F"/>
    <w:rsid w:val="003A06F0"/>
    <w:rsid w:val="003A1106"/>
    <w:rsid w:val="003A2523"/>
    <w:rsid w:val="003B00B3"/>
    <w:rsid w:val="003C3487"/>
    <w:rsid w:val="003C526C"/>
    <w:rsid w:val="003D2919"/>
    <w:rsid w:val="003D4774"/>
    <w:rsid w:val="003D4DB6"/>
    <w:rsid w:val="003D5B01"/>
    <w:rsid w:val="003D67AF"/>
    <w:rsid w:val="003E009A"/>
    <w:rsid w:val="003F3A93"/>
    <w:rsid w:val="0040478C"/>
    <w:rsid w:val="00425B27"/>
    <w:rsid w:val="00433965"/>
    <w:rsid w:val="00445829"/>
    <w:rsid w:val="00450273"/>
    <w:rsid w:val="00454AAA"/>
    <w:rsid w:val="00455C80"/>
    <w:rsid w:val="00470A18"/>
    <w:rsid w:val="00482BE8"/>
    <w:rsid w:val="0048557F"/>
    <w:rsid w:val="00485911"/>
    <w:rsid w:val="00496F03"/>
    <w:rsid w:val="0049730C"/>
    <w:rsid w:val="004A2036"/>
    <w:rsid w:val="004B23A4"/>
    <w:rsid w:val="004B3061"/>
    <w:rsid w:val="004B5762"/>
    <w:rsid w:val="004C3A0A"/>
    <w:rsid w:val="004E4D00"/>
    <w:rsid w:val="004E503A"/>
    <w:rsid w:val="004F1F9E"/>
    <w:rsid w:val="004F6042"/>
    <w:rsid w:val="004F6813"/>
    <w:rsid w:val="00523F4D"/>
    <w:rsid w:val="0052497E"/>
    <w:rsid w:val="00530AE7"/>
    <w:rsid w:val="00536DF3"/>
    <w:rsid w:val="0055607C"/>
    <w:rsid w:val="0056647E"/>
    <w:rsid w:val="00566DFD"/>
    <w:rsid w:val="00570B6B"/>
    <w:rsid w:val="00572A23"/>
    <w:rsid w:val="0059088E"/>
    <w:rsid w:val="005938E2"/>
    <w:rsid w:val="00594B78"/>
    <w:rsid w:val="005A04EE"/>
    <w:rsid w:val="005B0906"/>
    <w:rsid w:val="005C6638"/>
    <w:rsid w:val="005F0F6A"/>
    <w:rsid w:val="00606850"/>
    <w:rsid w:val="00613F95"/>
    <w:rsid w:val="00630C52"/>
    <w:rsid w:val="0063245B"/>
    <w:rsid w:val="00636E33"/>
    <w:rsid w:val="00647DFD"/>
    <w:rsid w:val="00661C31"/>
    <w:rsid w:val="006653FA"/>
    <w:rsid w:val="0067453E"/>
    <w:rsid w:val="006745C5"/>
    <w:rsid w:val="006800C5"/>
    <w:rsid w:val="006A0DAF"/>
    <w:rsid w:val="006A610B"/>
    <w:rsid w:val="006B207A"/>
    <w:rsid w:val="006B51C7"/>
    <w:rsid w:val="006B7191"/>
    <w:rsid w:val="006C2C4C"/>
    <w:rsid w:val="006C652A"/>
    <w:rsid w:val="006F2524"/>
    <w:rsid w:val="007072A1"/>
    <w:rsid w:val="00712777"/>
    <w:rsid w:val="00712992"/>
    <w:rsid w:val="00714051"/>
    <w:rsid w:val="00717A02"/>
    <w:rsid w:val="00727413"/>
    <w:rsid w:val="0073539F"/>
    <w:rsid w:val="0074238B"/>
    <w:rsid w:val="00744ABF"/>
    <w:rsid w:val="0075112B"/>
    <w:rsid w:val="00752D99"/>
    <w:rsid w:val="00755C58"/>
    <w:rsid w:val="00761BBE"/>
    <w:rsid w:val="00766AFC"/>
    <w:rsid w:val="0077249E"/>
    <w:rsid w:val="00775D15"/>
    <w:rsid w:val="00782553"/>
    <w:rsid w:val="007878A5"/>
    <w:rsid w:val="007914C2"/>
    <w:rsid w:val="0079207E"/>
    <w:rsid w:val="007A182E"/>
    <w:rsid w:val="007A3B6A"/>
    <w:rsid w:val="007B143D"/>
    <w:rsid w:val="007B3F06"/>
    <w:rsid w:val="007D5A60"/>
    <w:rsid w:val="007E4F42"/>
    <w:rsid w:val="007E55B1"/>
    <w:rsid w:val="007E677B"/>
    <w:rsid w:val="007F2BD4"/>
    <w:rsid w:val="007F4C40"/>
    <w:rsid w:val="008034B1"/>
    <w:rsid w:val="00803D7D"/>
    <w:rsid w:val="00807645"/>
    <w:rsid w:val="00823DFF"/>
    <w:rsid w:val="008258E3"/>
    <w:rsid w:val="00836495"/>
    <w:rsid w:val="008411DB"/>
    <w:rsid w:val="008458F4"/>
    <w:rsid w:val="008471C7"/>
    <w:rsid w:val="00852501"/>
    <w:rsid w:val="0086014D"/>
    <w:rsid w:val="0086136C"/>
    <w:rsid w:val="008779E2"/>
    <w:rsid w:val="00883F62"/>
    <w:rsid w:val="00884906"/>
    <w:rsid w:val="0089001C"/>
    <w:rsid w:val="00890ED6"/>
    <w:rsid w:val="00891B38"/>
    <w:rsid w:val="00893B28"/>
    <w:rsid w:val="008A04C5"/>
    <w:rsid w:val="008B1A92"/>
    <w:rsid w:val="008C1CBB"/>
    <w:rsid w:val="008C4530"/>
    <w:rsid w:val="008C73C7"/>
    <w:rsid w:val="008D011E"/>
    <w:rsid w:val="008D7A38"/>
    <w:rsid w:val="008F788F"/>
    <w:rsid w:val="00901C35"/>
    <w:rsid w:val="00902CD6"/>
    <w:rsid w:val="00905B76"/>
    <w:rsid w:val="00914C53"/>
    <w:rsid w:val="009346D2"/>
    <w:rsid w:val="009438A2"/>
    <w:rsid w:val="00954464"/>
    <w:rsid w:val="00960424"/>
    <w:rsid w:val="00962BCD"/>
    <w:rsid w:val="009705BA"/>
    <w:rsid w:val="00970787"/>
    <w:rsid w:val="00972954"/>
    <w:rsid w:val="009852AC"/>
    <w:rsid w:val="0098617D"/>
    <w:rsid w:val="00990680"/>
    <w:rsid w:val="00997495"/>
    <w:rsid w:val="009A4CE8"/>
    <w:rsid w:val="009D1A1D"/>
    <w:rsid w:val="009D38BA"/>
    <w:rsid w:val="009D42FF"/>
    <w:rsid w:val="009E15EA"/>
    <w:rsid w:val="009E28CE"/>
    <w:rsid w:val="009E600D"/>
    <w:rsid w:val="009F09CC"/>
    <w:rsid w:val="009F2C16"/>
    <w:rsid w:val="009F4CCB"/>
    <w:rsid w:val="009F683E"/>
    <w:rsid w:val="00A018DF"/>
    <w:rsid w:val="00A07C18"/>
    <w:rsid w:val="00A11598"/>
    <w:rsid w:val="00A126D1"/>
    <w:rsid w:val="00A14B89"/>
    <w:rsid w:val="00A15A61"/>
    <w:rsid w:val="00A26FF5"/>
    <w:rsid w:val="00A30B32"/>
    <w:rsid w:val="00A330A2"/>
    <w:rsid w:val="00A33F9E"/>
    <w:rsid w:val="00A34572"/>
    <w:rsid w:val="00A3669E"/>
    <w:rsid w:val="00A41145"/>
    <w:rsid w:val="00A426F9"/>
    <w:rsid w:val="00A60A8D"/>
    <w:rsid w:val="00A76603"/>
    <w:rsid w:val="00A81817"/>
    <w:rsid w:val="00A822A0"/>
    <w:rsid w:val="00A84882"/>
    <w:rsid w:val="00A97EAC"/>
    <w:rsid w:val="00AB2571"/>
    <w:rsid w:val="00AB27B9"/>
    <w:rsid w:val="00AB4D06"/>
    <w:rsid w:val="00AC4A8C"/>
    <w:rsid w:val="00AF17D3"/>
    <w:rsid w:val="00B10E6B"/>
    <w:rsid w:val="00B11A12"/>
    <w:rsid w:val="00B3484A"/>
    <w:rsid w:val="00B417CF"/>
    <w:rsid w:val="00B45FD4"/>
    <w:rsid w:val="00B519C1"/>
    <w:rsid w:val="00B62904"/>
    <w:rsid w:val="00B629E5"/>
    <w:rsid w:val="00B71D57"/>
    <w:rsid w:val="00B84220"/>
    <w:rsid w:val="00B8424A"/>
    <w:rsid w:val="00B87651"/>
    <w:rsid w:val="00B94590"/>
    <w:rsid w:val="00B9532C"/>
    <w:rsid w:val="00B96A53"/>
    <w:rsid w:val="00BA297E"/>
    <w:rsid w:val="00BB39C8"/>
    <w:rsid w:val="00BB5CD6"/>
    <w:rsid w:val="00BC079C"/>
    <w:rsid w:val="00BC1F80"/>
    <w:rsid w:val="00BD057C"/>
    <w:rsid w:val="00BD4873"/>
    <w:rsid w:val="00BF3548"/>
    <w:rsid w:val="00BF3C89"/>
    <w:rsid w:val="00C00386"/>
    <w:rsid w:val="00C068E1"/>
    <w:rsid w:val="00C13DDB"/>
    <w:rsid w:val="00C214A3"/>
    <w:rsid w:val="00C34270"/>
    <w:rsid w:val="00C41925"/>
    <w:rsid w:val="00C44513"/>
    <w:rsid w:val="00C47FC8"/>
    <w:rsid w:val="00C603A8"/>
    <w:rsid w:val="00C643E1"/>
    <w:rsid w:val="00C66970"/>
    <w:rsid w:val="00C758B6"/>
    <w:rsid w:val="00C77EE8"/>
    <w:rsid w:val="00C92ECE"/>
    <w:rsid w:val="00C938F9"/>
    <w:rsid w:val="00C93F52"/>
    <w:rsid w:val="00C95619"/>
    <w:rsid w:val="00C961B8"/>
    <w:rsid w:val="00C97EFC"/>
    <w:rsid w:val="00CC2826"/>
    <w:rsid w:val="00CC4871"/>
    <w:rsid w:val="00CC4FF5"/>
    <w:rsid w:val="00CD6107"/>
    <w:rsid w:val="00CE0A86"/>
    <w:rsid w:val="00CF05F5"/>
    <w:rsid w:val="00CF7AA4"/>
    <w:rsid w:val="00D02116"/>
    <w:rsid w:val="00D03789"/>
    <w:rsid w:val="00D11428"/>
    <w:rsid w:val="00D14F04"/>
    <w:rsid w:val="00D22B38"/>
    <w:rsid w:val="00D2677B"/>
    <w:rsid w:val="00D27DA3"/>
    <w:rsid w:val="00D63346"/>
    <w:rsid w:val="00D71F4B"/>
    <w:rsid w:val="00D733B7"/>
    <w:rsid w:val="00D77E43"/>
    <w:rsid w:val="00D80550"/>
    <w:rsid w:val="00D83B6C"/>
    <w:rsid w:val="00D87135"/>
    <w:rsid w:val="00D95C23"/>
    <w:rsid w:val="00DA297C"/>
    <w:rsid w:val="00DB3437"/>
    <w:rsid w:val="00DB478E"/>
    <w:rsid w:val="00DB5D3B"/>
    <w:rsid w:val="00DC1364"/>
    <w:rsid w:val="00DC5BFA"/>
    <w:rsid w:val="00DC6035"/>
    <w:rsid w:val="00DE181B"/>
    <w:rsid w:val="00DE4FD8"/>
    <w:rsid w:val="00DE5F68"/>
    <w:rsid w:val="00DF3A3E"/>
    <w:rsid w:val="00E12584"/>
    <w:rsid w:val="00E15C20"/>
    <w:rsid w:val="00E2024F"/>
    <w:rsid w:val="00E21F82"/>
    <w:rsid w:val="00E26E89"/>
    <w:rsid w:val="00E31CAB"/>
    <w:rsid w:val="00E41BC7"/>
    <w:rsid w:val="00E4618E"/>
    <w:rsid w:val="00E532E2"/>
    <w:rsid w:val="00E55BD0"/>
    <w:rsid w:val="00E55EDE"/>
    <w:rsid w:val="00E74DD0"/>
    <w:rsid w:val="00E7550F"/>
    <w:rsid w:val="00E81215"/>
    <w:rsid w:val="00E8313F"/>
    <w:rsid w:val="00E860BC"/>
    <w:rsid w:val="00EA0DDF"/>
    <w:rsid w:val="00EA24C5"/>
    <w:rsid w:val="00EA3886"/>
    <w:rsid w:val="00EA5C6A"/>
    <w:rsid w:val="00EB36E9"/>
    <w:rsid w:val="00EC00D4"/>
    <w:rsid w:val="00EC422F"/>
    <w:rsid w:val="00ED2EE2"/>
    <w:rsid w:val="00ED3BDA"/>
    <w:rsid w:val="00ED717C"/>
    <w:rsid w:val="00EE12C5"/>
    <w:rsid w:val="00EF3C10"/>
    <w:rsid w:val="00F341B8"/>
    <w:rsid w:val="00F347AD"/>
    <w:rsid w:val="00F373AF"/>
    <w:rsid w:val="00F40FD4"/>
    <w:rsid w:val="00F4329B"/>
    <w:rsid w:val="00F46F2D"/>
    <w:rsid w:val="00F50C61"/>
    <w:rsid w:val="00F51B13"/>
    <w:rsid w:val="00F524F4"/>
    <w:rsid w:val="00F53596"/>
    <w:rsid w:val="00F55ADF"/>
    <w:rsid w:val="00F66A29"/>
    <w:rsid w:val="00F76714"/>
    <w:rsid w:val="00F93333"/>
    <w:rsid w:val="00FA6147"/>
    <w:rsid w:val="00FB6FBE"/>
    <w:rsid w:val="00FD35E4"/>
    <w:rsid w:val="00FD4568"/>
    <w:rsid w:val="00FE0BAD"/>
    <w:rsid w:val="00FF6426"/>
    <w:rsid w:val="00FF6D1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06"/>
    <w:pPr>
      <w:spacing w:line="360" w:lineRule="auto"/>
      <w:ind w:firstLine="360"/>
    </w:pPr>
    <w:rPr>
      <w:rFonts w:ascii="Times New Roman" w:hAnsi="Times New Roman"/>
      <w:sz w:val="24"/>
      <w:szCs w:val="24"/>
      <w:lang w:eastAsia="en-US" w:bidi="en-US"/>
    </w:rPr>
  </w:style>
  <w:style w:type="paragraph" w:styleId="Heading1">
    <w:name w:val="heading 1"/>
    <w:basedOn w:val="Normal"/>
    <w:next w:val="Normal"/>
    <w:link w:val="Heading1Char"/>
    <w:uiPriority w:val="9"/>
    <w:qFormat/>
    <w:rsid w:val="00211EB8"/>
    <w:pPr>
      <w:keepNext/>
      <w:numPr>
        <w:numId w:val="8"/>
      </w:numPr>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884906"/>
    <w:pPr>
      <w:keepNext/>
      <w:numPr>
        <w:ilvl w:val="1"/>
        <w:numId w:val="8"/>
      </w:numPr>
      <w:spacing w:before="240" w:after="60"/>
      <w:outlineLvl w:val="1"/>
    </w:pPr>
    <w:rPr>
      <w:rFonts w:ascii="Cambria" w:hAnsi="Cambria"/>
      <w:b/>
      <w:bCs/>
      <w:iCs/>
      <w:sz w:val="28"/>
      <w:szCs w:val="28"/>
    </w:rPr>
  </w:style>
  <w:style w:type="paragraph" w:styleId="Heading3">
    <w:name w:val="heading 3"/>
    <w:basedOn w:val="Normal"/>
    <w:next w:val="Normal"/>
    <w:link w:val="Heading3Char"/>
    <w:uiPriority w:val="9"/>
    <w:semiHidden/>
    <w:unhideWhenUsed/>
    <w:qFormat/>
    <w:rsid w:val="00CC282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C282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C282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C282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C2826"/>
    <w:pPr>
      <w:spacing w:before="240" w:after="60"/>
      <w:outlineLvl w:val="6"/>
    </w:pPr>
  </w:style>
  <w:style w:type="paragraph" w:styleId="Heading8">
    <w:name w:val="heading 8"/>
    <w:basedOn w:val="Normal"/>
    <w:next w:val="Normal"/>
    <w:link w:val="Heading8Char"/>
    <w:uiPriority w:val="9"/>
    <w:semiHidden/>
    <w:unhideWhenUsed/>
    <w:qFormat/>
    <w:rsid w:val="00CC2826"/>
    <w:pPr>
      <w:spacing w:before="240" w:after="60"/>
      <w:outlineLvl w:val="7"/>
    </w:pPr>
    <w:rPr>
      <w:i/>
      <w:iCs/>
    </w:rPr>
  </w:style>
  <w:style w:type="paragraph" w:styleId="Heading9">
    <w:name w:val="heading 9"/>
    <w:basedOn w:val="Normal"/>
    <w:next w:val="Normal"/>
    <w:link w:val="Heading9Char"/>
    <w:uiPriority w:val="9"/>
    <w:semiHidden/>
    <w:unhideWhenUsed/>
    <w:qFormat/>
    <w:rsid w:val="00CC282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71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D717C"/>
  </w:style>
  <w:style w:type="paragraph" w:styleId="Footer">
    <w:name w:val="footer"/>
    <w:basedOn w:val="Normal"/>
    <w:link w:val="FooterChar"/>
    <w:uiPriority w:val="99"/>
    <w:unhideWhenUsed/>
    <w:rsid w:val="00ED717C"/>
    <w:pPr>
      <w:tabs>
        <w:tab w:val="center" w:pos="4680"/>
        <w:tab w:val="right" w:pos="9360"/>
      </w:tabs>
      <w:spacing w:line="240" w:lineRule="auto"/>
    </w:pPr>
  </w:style>
  <w:style w:type="character" w:customStyle="1" w:styleId="FooterChar">
    <w:name w:val="Footer Char"/>
    <w:basedOn w:val="DefaultParagraphFont"/>
    <w:link w:val="Footer"/>
    <w:uiPriority w:val="99"/>
    <w:rsid w:val="00ED717C"/>
  </w:style>
  <w:style w:type="character" w:styleId="Hyperlink">
    <w:name w:val="Hyperlink"/>
    <w:basedOn w:val="DefaultParagraphFont"/>
    <w:uiPriority w:val="99"/>
    <w:unhideWhenUsed/>
    <w:rsid w:val="00363D66"/>
    <w:rPr>
      <w:color w:val="0000FF"/>
      <w:u w:val="single"/>
    </w:rPr>
  </w:style>
  <w:style w:type="paragraph" w:styleId="ListParagraph">
    <w:name w:val="List Paragraph"/>
    <w:basedOn w:val="Normal"/>
    <w:uiPriority w:val="34"/>
    <w:qFormat/>
    <w:rsid w:val="00CC2826"/>
    <w:pPr>
      <w:ind w:left="720"/>
      <w:contextualSpacing/>
    </w:pPr>
  </w:style>
  <w:style w:type="character" w:styleId="PlaceholderText">
    <w:name w:val="Placeholder Text"/>
    <w:basedOn w:val="DefaultParagraphFont"/>
    <w:uiPriority w:val="99"/>
    <w:semiHidden/>
    <w:rsid w:val="00D87135"/>
    <w:rPr>
      <w:color w:val="808080"/>
    </w:rPr>
  </w:style>
  <w:style w:type="paragraph" w:styleId="BalloonText">
    <w:name w:val="Balloon Text"/>
    <w:basedOn w:val="Normal"/>
    <w:link w:val="BalloonTextChar"/>
    <w:uiPriority w:val="99"/>
    <w:semiHidden/>
    <w:unhideWhenUsed/>
    <w:rsid w:val="00D871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135"/>
    <w:rPr>
      <w:rFonts w:ascii="Tahoma" w:hAnsi="Tahoma" w:cs="Tahoma"/>
      <w:sz w:val="16"/>
      <w:szCs w:val="16"/>
    </w:rPr>
  </w:style>
  <w:style w:type="character" w:customStyle="1" w:styleId="Heading1Char">
    <w:name w:val="Heading 1 Char"/>
    <w:basedOn w:val="DefaultParagraphFont"/>
    <w:link w:val="Heading1"/>
    <w:uiPriority w:val="9"/>
    <w:rsid w:val="00211EB8"/>
    <w:rPr>
      <w:rFonts w:ascii="Times New Roman" w:eastAsia="Malgun Gothic" w:hAnsi="Times New Roman"/>
      <w:b/>
      <w:bCs/>
      <w:kern w:val="32"/>
      <w:sz w:val="32"/>
      <w:szCs w:val="32"/>
    </w:rPr>
  </w:style>
  <w:style w:type="character" w:customStyle="1" w:styleId="Heading2Char">
    <w:name w:val="Heading 2 Char"/>
    <w:basedOn w:val="DefaultParagraphFont"/>
    <w:link w:val="Heading2"/>
    <w:uiPriority w:val="9"/>
    <w:rsid w:val="00884906"/>
    <w:rPr>
      <w:rFonts w:ascii="Cambria" w:eastAsia="Malgun Gothic" w:hAnsi="Cambria"/>
      <w:b/>
      <w:bCs/>
      <w:iCs/>
      <w:sz w:val="28"/>
      <w:szCs w:val="28"/>
    </w:rPr>
  </w:style>
  <w:style w:type="character" w:customStyle="1" w:styleId="Heading3Char">
    <w:name w:val="Heading 3 Char"/>
    <w:basedOn w:val="DefaultParagraphFont"/>
    <w:link w:val="Heading3"/>
    <w:uiPriority w:val="9"/>
    <w:semiHidden/>
    <w:rsid w:val="00CC2826"/>
    <w:rPr>
      <w:rFonts w:ascii="Cambria" w:eastAsia="Malgun Gothic" w:hAnsi="Cambria"/>
      <w:b/>
      <w:bCs/>
      <w:sz w:val="26"/>
      <w:szCs w:val="26"/>
    </w:rPr>
  </w:style>
  <w:style w:type="character" w:customStyle="1" w:styleId="Heading4Char">
    <w:name w:val="Heading 4 Char"/>
    <w:basedOn w:val="DefaultParagraphFont"/>
    <w:link w:val="Heading4"/>
    <w:uiPriority w:val="9"/>
    <w:rsid w:val="00CC2826"/>
    <w:rPr>
      <w:b/>
      <w:bCs/>
      <w:sz w:val="28"/>
      <w:szCs w:val="28"/>
    </w:rPr>
  </w:style>
  <w:style w:type="character" w:customStyle="1" w:styleId="Heading5Char">
    <w:name w:val="Heading 5 Char"/>
    <w:basedOn w:val="DefaultParagraphFont"/>
    <w:link w:val="Heading5"/>
    <w:uiPriority w:val="9"/>
    <w:semiHidden/>
    <w:rsid w:val="00CC2826"/>
    <w:rPr>
      <w:b/>
      <w:bCs/>
      <w:i/>
      <w:iCs/>
      <w:sz w:val="26"/>
      <w:szCs w:val="26"/>
    </w:rPr>
  </w:style>
  <w:style w:type="character" w:customStyle="1" w:styleId="Heading6Char">
    <w:name w:val="Heading 6 Char"/>
    <w:basedOn w:val="DefaultParagraphFont"/>
    <w:link w:val="Heading6"/>
    <w:uiPriority w:val="9"/>
    <w:semiHidden/>
    <w:rsid w:val="00CC2826"/>
    <w:rPr>
      <w:b/>
      <w:bCs/>
    </w:rPr>
  </w:style>
  <w:style w:type="character" w:customStyle="1" w:styleId="Heading7Char">
    <w:name w:val="Heading 7 Char"/>
    <w:basedOn w:val="DefaultParagraphFont"/>
    <w:link w:val="Heading7"/>
    <w:uiPriority w:val="9"/>
    <w:semiHidden/>
    <w:rsid w:val="00CC2826"/>
    <w:rPr>
      <w:sz w:val="24"/>
      <w:szCs w:val="24"/>
    </w:rPr>
  </w:style>
  <w:style w:type="character" w:customStyle="1" w:styleId="Heading8Char">
    <w:name w:val="Heading 8 Char"/>
    <w:basedOn w:val="DefaultParagraphFont"/>
    <w:link w:val="Heading8"/>
    <w:uiPriority w:val="9"/>
    <w:semiHidden/>
    <w:rsid w:val="00CC2826"/>
    <w:rPr>
      <w:i/>
      <w:iCs/>
      <w:sz w:val="24"/>
      <w:szCs w:val="24"/>
    </w:rPr>
  </w:style>
  <w:style w:type="character" w:customStyle="1" w:styleId="Heading9Char">
    <w:name w:val="Heading 9 Char"/>
    <w:basedOn w:val="DefaultParagraphFont"/>
    <w:link w:val="Heading9"/>
    <w:uiPriority w:val="9"/>
    <w:semiHidden/>
    <w:rsid w:val="00CC2826"/>
    <w:rPr>
      <w:rFonts w:ascii="Cambria" w:eastAsia="Malgun Gothic" w:hAnsi="Cambria"/>
    </w:rPr>
  </w:style>
  <w:style w:type="paragraph" w:styleId="Title">
    <w:name w:val="Title"/>
    <w:basedOn w:val="Normal"/>
    <w:next w:val="Normal"/>
    <w:link w:val="TitleChar"/>
    <w:uiPriority w:val="10"/>
    <w:qFormat/>
    <w:rsid w:val="00CC282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C2826"/>
    <w:rPr>
      <w:rFonts w:ascii="Cambria" w:eastAsia="Malgun Gothic" w:hAnsi="Cambria"/>
      <w:b/>
      <w:bCs/>
      <w:kern w:val="28"/>
      <w:sz w:val="32"/>
      <w:szCs w:val="32"/>
    </w:rPr>
  </w:style>
  <w:style w:type="paragraph" w:styleId="Subtitle">
    <w:name w:val="Subtitle"/>
    <w:basedOn w:val="Normal"/>
    <w:next w:val="Normal"/>
    <w:link w:val="SubtitleChar"/>
    <w:uiPriority w:val="11"/>
    <w:qFormat/>
    <w:rsid w:val="00CC282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C2826"/>
    <w:rPr>
      <w:rFonts w:ascii="Cambria" w:eastAsia="Malgun Gothic" w:hAnsi="Cambria"/>
      <w:sz w:val="24"/>
      <w:szCs w:val="24"/>
    </w:rPr>
  </w:style>
  <w:style w:type="character" w:styleId="Strong">
    <w:name w:val="Strong"/>
    <w:basedOn w:val="DefaultParagraphFont"/>
    <w:uiPriority w:val="22"/>
    <w:qFormat/>
    <w:rsid w:val="00CC2826"/>
    <w:rPr>
      <w:b/>
      <w:bCs/>
    </w:rPr>
  </w:style>
  <w:style w:type="character" w:styleId="Emphasis">
    <w:name w:val="Emphasis"/>
    <w:basedOn w:val="DefaultParagraphFont"/>
    <w:uiPriority w:val="20"/>
    <w:qFormat/>
    <w:rsid w:val="00CC2826"/>
    <w:rPr>
      <w:rFonts w:ascii="Calibri" w:hAnsi="Calibri"/>
      <w:b/>
      <w:i/>
      <w:iCs/>
    </w:rPr>
  </w:style>
  <w:style w:type="paragraph" w:styleId="NoSpacing">
    <w:name w:val="No Spacing"/>
    <w:basedOn w:val="Normal"/>
    <w:uiPriority w:val="1"/>
    <w:qFormat/>
    <w:rsid w:val="00CC2826"/>
    <w:rPr>
      <w:szCs w:val="32"/>
    </w:rPr>
  </w:style>
  <w:style w:type="paragraph" w:styleId="Quote">
    <w:name w:val="Quote"/>
    <w:basedOn w:val="Normal"/>
    <w:next w:val="Normal"/>
    <w:link w:val="QuoteChar"/>
    <w:uiPriority w:val="29"/>
    <w:qFormat/>
    <w:rsid w:val="00CC2826"/>
    <w:rPr>
      <w:i/>
    </w:rPr>
  </w:style>
  <w:style w:type="character" w:customStyle="1" w:styleId="QuoteChar">
    <w:name w:val="Quote Char"/>
    <w:basedOn w:val="DefaultParagraphFont"/>
    <w:link w:val="Quote"/>
    <w:uiPriority w:val="29"/>
    <w:rsid w:val="00CC2826"/>
    <w:rPr>
      <w:i/>
      <w:sz w:val="24"/>
      <w:szCs w:val="24"/>
    </w:rPr>
  </w:style>
  <w:style w:type="paragraph" w:styleId="IntenseQuote">
    <w:name w:val="Intense Quote"/>
    <w:basedOn w:val="Normal"/>
    <w:next w:val="Normal"/>
    <w:link w:val="IntenseQuoteChar"/>
    <w:uiPriority w:val="30"/>
    <w:qFormat/>
    <w:rsid w:val="00CC2826"/>
    <w:pPr>
      <w:ind w:left="720" w:right="720"/>
    </w:pPr>
    <w:rPr>
      <w:b/>
      <w:i/>
      <w:szCs w:val="22"/>
    </w:rPr>
  </w:style>
  <w:style w:type="character" w:customStyle="1" w:styleId="IntenseQuoteChar">
    <w:name w:val="Intense Quote Char"/>
    <w:basedOn w:val="DefaultParagraphFont"/>
    <w:link w:val="IntenseQuote"/>
    <w:uiPriority w:val="30"/>
    <w:rsid w:val="00CC2826"/>
    <w:rPr>
      <w:b/>
      <w:i/>
      <w:sz w:val="24"/>
    </w:rPr>
  </w:style>
  <w:style w:type="character" w:styleId="SubtleEmphasis">
    <w:name w:val="Subtle Emphasis"/>
    <w:uiPriority w:val="19"/>
    <w:qFormat/>
    <w:rsid w:val="00CC2826"/>
    <w:rPr>
      <w:i/>
      <w:color w:val="5A5A5A"/>
    </w:rPr>
  </w:style>
  <w:style w:type="character" w:styleId="IntenseEmphasis">
    <w:name w:val="Intense Emphasis"/>
    <w:basedOn w:val="DefaultParagraphFont"/>
    <w:uiPriority w:val="21"/>
    <w:qFormat/>
    <w:rsid w:val="00CC2826"/>
    <w:rPr>
      <w:b/>
      <w:i/>
      <w:sz w:val="24"/>
      <w:szCs w:val="24"/>
      <w:u w:val="single"/>
    </w:rPr>
  </w:style>
  <w:style w:type="character" w:styleId="SubtleReference">
    <w:name w:val="Subtle Reference"/>
    <w:basedOn w:val="DefaultParagraphFont"/>
    <w:uiPriority w:val="31"/>
    <w:qFormat/>
    <w:rsid w:val="00CC2826"/>
    <w:rPr>
      <w:sz w:val="24"/>
      <w:szCs w:val="24"/>
      <w:u w:val="single"/>
    </w:rPr>
  </w:style>
  <w:style w:type="character" w:styleId="IntenseReference">
    <w:name w:val="Intense Reference"/>
    <w:basedOn w:val="DefaultParagraphFont"/>
    <w:uiPriority w:val="32"/>
    <w:qFormat/>
    <w:rsid w:val="00CC2826"/>
    <w:rPr>
      <w:b/>
      <w:sz w:val="24"/>
      <w:u w:val="single"/>
    </w:rPr>
  </w:style>
  <w:style w:type="character" w:styleId="BookTitle">
    <w:name w:val="Book Title"/>
    <w:basedOn w:val="DefaultParagraphFont"/>
    <w:uiPriority w:val="33"/>
    <w:qFormat/>
    <w:rsid w:val="00CC2826"/>
    <w:rPr>
      <w:rFonts w:ascii="Cambria" w:eastAsia="Malgun Gothic" w:hAnsi="Cambria"/>
      <w:b/>
      <w:i/>
      <w:sz w:val="24"/>
      <w:szCs w:val="24"/>
    </w:rPr>
  </w:style>
  <w:style w:type="paragraph" w:styleId="TOCHeading">
    <w:name w:val="TOC Heading"/>
    <w:basedOn w:val="Heading1"/>
    <w:next w:val="Normal"/>
    <w:uiPriority w:val="39"/>
    <w:unhideWhenUsed/>
    <w:qFormat/>
    <w:rsid w:val="00CC2826"/>
    <w:pPr>
      <w:outlineLvl w:val="9"/>
    </w:pPr>
  </w:style>
  <w:style w:type="paragraph" w:styleId="TOC1">
    <w:name w:val="toc 1"/>
    <w:basedOn w:val="Normal"/>
    <w:next w:val="Normal"/>
    <w:autoRedefine/>
    <w:uiPriority w:val="39"/>
    <w:unhideWhenUsed/>
    <w:rsid w:val="00211EB8"/>
    <w:pPr>
      <w:spacing w:after="100"/>
    </w:pPr>
  </w:style>
  <w:style w:type="paragraph" w:styleId="TOC2">
    <w:name w:val="toc 2"/>
    <w:basedOn w:val="Normal"/>
    <w:next w:val="Normal"/>
    <w:autoRedefine/>
    <w:uiPriority w:val="39"/>
    <w:unhideWhenUsed/>
    <w:rsid w:val="00211EB8"/>
    <w:pPr>
      <w:spacing w:after="100"/>
      <w:ind w:left="240"/>
    </w:pPr>
  </w:style>
  <w:style w:type="paragraph" w:styleId="FootnoteText">
    <w:name w:val="footnote text"/>
    <w:basedOn w:val="Normal"/>
    <w:link w:val="FootnoteTextChar"/>
    <w:uiPriority w:val="99"/>
    <w:semiHidden/>
    <w:unhideWhenUsed/>
    <w:rsid w:val="00B45FD4"/>
    <w:pPr>
      <w:spacing w:line="240" w:lineRule="auto"/>
      <w:ind w:firstLine="0"/>
    </w:pPr>
    <w:rPr>
      <w:sz w:val="20"/>
      <w:szCs w:val="20"/>
      <w:lang w:eastAsia="ko-KR" w:bidi="ar-SA"/>
    </w:rPr>
  </w:style>
  <w:style w:type="character" w:customStyle="1" w:styleId="FootnoteTextChar">
    <w:name w:val="Footnote Text Char"/>
    <w:basedOn w:val="DefaultParagraphFont"/>
    <w:link w:val="FootnoteText"/>
    <w:uiPriority w:val="99"/>
    <w:semiHidden/>
    <w:rsid w:val="00B45FD4"/>
    <w:rPr>
      <w:rFonts w:ascii="Times New Roman" w:eastAsia="Malgun Gothic" w:hAnsi="Times New Roman"/>
      <w:sz w:val="20"/>
      <w:szCs w:val="20"/>
      <w:lang w:eastAsia="ko-KR" w:bidi="ar-SA"/>
    </w:rPr>
  </w:style>
  <w:style w:type="character" w:styleId="FootnoteReference">
    <w:name w:val="footnote reference"/>
    <w:basedOn w:val="DefaultParagraphFont"/>
    <w:uiPriority w:val="99"/>
    <w:semiHidden/>
    <w:unhideWhenUsed/>
    <w:rsid w:val="00B45FD4"/>
    <w:rPr>
      <w:vertAlign w:val="superscript"/>
    </w:rPr>
  </w:style>
  <w:style w:type="table" w:styleId="TableGrid">
    <w:name w:val="Table Grid"/>
    <w:basedOn w:val="TableNormal"/>
    <w:uiPriority w:val="59"/>
    <w:rsid w:val="00DC1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1379F"/>
    <w:rPr>
      <w:sz w:val="16"/>
      <w:szCs w:val="16"/>
    </w:rPr>
  </w:style>
  <w:style w:type="paragraph" w:styleId="CommentText">
    <w:name w:val="annotation text"/>
    <w:basedOn w:val="Normal"/>
    <w:link w:val="CommentTextChar"/>
    <w:uiPriority w:val="99"/>
    <w:semiHidden/>
    <w:unhideWhenUsed/>
    <w:rsid w:val="0011379F"/>
    <w:pPr>
      <w:spacing w:line="240" w:lineRule="auto"/>
    </w:pPr>
    <w:rPr>
      <w:sz w:val="20"/>
      <w:szCs w:val="20"/>
    </w:rPr>
  </w:style>
  <w:style w:type="character" w:customStyle="1" w:styleId="CommentTextChar">
    <w:name w:val="Comment Text Char"/>
    <w:basedOn w:val="DefaultParagraphFont"/>
    <w:link w:val="CommentText"/>
    <w:uiPriority w:val="99"/>
    <w:semiHidden/>
    <w:rsid w:val="001137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379F"/>
    <w:rPr>
      <w:b/>
      <w:bCs/>
    </w:rPr>
  </w:style>
  <w:style w:type="character" w:customStyle="1" w:styleId="CommentSubjectChar">
    <w:name w:val="Comment Subject Char"/>
    <w:basedOn w:val="CommentTextChar"/>
    <w:link w:val="CommentSubject"/>
    <w:uiPriority w:val="99"/>
    <w:semiHidden/>
    <w:rsid w:val="0011379F"/>
    <w:rPr>
      <w:b/>
      <w:bCs/>
    </w:rPr>
  </w:style>
</w:styles>
</file>

<file path=word/webSettings.xml><?xml version="1.0" encoding="utf-8"?>
<w:webSettings xmlns:r="http://schemas.openxmlformats.org/officeDocument/2006/relationships" xmlns:w="http://schemas.openxmlformats.org/wordprocessingml/2006/main">
  <w:divs>
    <w:div w:id="101994343">
      <w:bodyDiv w:val="1"/>
      <w:marLeft w:val="0"/>
      <w:marRight w:val="0"/>
      <w:marTop w:val="0"/>
      <w:marBottom w:val="0"/>
      <w:divBdr>
        <w:top w:val="none" w:sz="0" w:space="0" w:color="auto"/>
        <w:left w:val="none" w:sz="0" w:space="0" w:color="auto"/>
        <w:bottom w:val="none" w:sz="0" w:space="0" w:color="auto"/>
        <w:right w:val="none" w:sz="0" w:space="0" w:color="auto"/>
      </w:divBdr>
      <w:divsChild>
        <w:div w:id="79302026">
          <w:marLeft w:val="0"/>
          <w:marRight w:val="0"/>
          <w:marTop w:val="0"/>
          <w:marBottom w:val="0"/>
          <w:divBdr>
            <w:top w:val="none" w:sz="0" w:space="0" w:color="auto"/>
            <w:left w:val="none" w:sz="0" w:space="0" w:color="auto"/>
            <w:bottom w:val="none" w:sz="0" w:space="0" w:color="auto"/>
            <w:right w:val="none" w:sz="0" w:space="0" w:color="auto"/>
          </w:divBdr>
          <w:divsChild>
            <w:div w:id="520314950">
              <w:marLeft w:val="0"/>
              <w:marRight w:val="0"/>
              <w:marTop w:val="0"/>
              <w:marBottom w:val="0"/>
              <w:divBdr>
                <w:top w:val="none" w:sz="0" w:space="0" w:color="auto"/>
                <w:left w:val="none" w:sz="0" w:space="0" w:color="auto"/>
                <w:bottom w:val="none" w:sz="0" w:space="0" w:color="auto"/>
                <w:right w:val="none" w:sz="0" w:space="0" w:color="auto"/>
              </w:divBdr>
              <w:divsChild>
                <w:div w:id="1167329571">
                  <w:marLeft w:val="0"/>
                  <w:marRight w:val="0"/>
                  <w:marTop w:val="0"/>
                  <w:marBottom w:val="0"/>
                  <w:divBdr>
                    <w:top w:val="none" w:sz="0" w:space="0" w:color="auto"/>
                    <w:left w:val="none" w:sz="0" w:space="0" w:color="auto"/>
                    <w:bottom w:val="none" w:sz="0" w:space="0" w:color="auto"/>
                    <w:right w:val="none" w:sz="0" w:space="0" w:color="auto"/>
                  </w:divBdr>
                  <w:divsChild>
                    <w:div w:id="668211754">
                      <w:marLeft w:val="0"/>
                      <w:marRight w:val="0"/>
                      <w:marTop w:val="0"/>
                      <w:marBottom w:val="0"/>
                      <w:divBdr>
                        <w:top w:val="none" w:sz="0" w:space="0" w:color="auto"/>
                        <w:left w:val="none" w:sz="0" w:space="0" w:color="auto"/>
                        <w:bottom w:val="none" w:sz="0" w:space="0" w:color="auto"/>
                        <w:right w:val="none" w:sz="0" w:space="0" w:color="auto"/>
                      </w:divBdr>
                      <w:divsChild>
                        <w:div w:id="1440565364">
                          <w:marLeft w:val="0"/>
                          <w:marRight w:val="0"/>
                          <w:marTop w:val="0"/>
                          <w:marBottom w:val="0"/>
                          <w:divBdr>
                            <w:top w:val="none" w:sz="0" w:space="0" w:color="auto"/>
                            <w:left w:val="none" w:sz="0" w:space="0" w:color="auto"/>
                            <w:bottom w:val="none" w:sz="0" w:space="0" w:color="auto"/>
                            <w:right w:val="none" w:sz="0" w:space="0" w:color="auto"/>
                          </w:divBdr>
                          <w:divsChild>
                            <w:div w:id="344594623">
                              <w:marLeft w:val="0"/>
                              <w:marRight w:val="0"/>
                              <w:marTop w:val="0"/>
                              <w:marBottom w:val="2"/>
                              <w:divBdr>
                                <w:top w:val="none" w:sz="0" w:space="0" w:color="auto"/>
                                <w:left w:val="none" w:sz="0" w:space="0" w:color="auto"/>
                                <w:bottom w:val="none" w:sz="0" w:space="0" w:color="auto"/>
                                <w:right w:val="none" w:sz="0" w:space="0" w:color="auto"/>
                              </w:divBdr>
                              <w:divsChild>
                                <w:div w:id="14986871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734577">
      <w:bodyDiv w:val="1"/>
      <w:marLeft w:val="0"/>
      <w:marRight w:val="0"/>
      <w:marTop w:val="0"/>
      <w:marBottom w:val="0"/>
      <w:divBdr>
        <w:top w:val="none" w:sz="0" w:space="0" w:color="auto"/>
        <w:left w:val="none" w:sz="0" w:space="0" w:color="auto"/>
        <w:bottom w:val="none" w:sz="0" w:space="0" w:color="auto"/>
        <w:right w:val="none" w:sz="0" w:space="0" w:color="auto"/>
      </w:divBdr>
      <w:divsChild>
        <w:div w:id="149104872">
          <w:marLeft w:val="0"/>
          <w:marRight w:val="0"/>
          <w:marTop w:val="0"/>
          <w:marBottom w:val="0"/>
          <w:divBdr>
            <w:top w:val="none" w:sz="0" w:space="0" w:color="auto"/>
            <w:left w:val="none" w:sz="0" w:space="0" w:color="auto"/>
            <w:bottom w:val="none" w:sz="0" w:space="0" w:color="auto"/>
            <w:right w:val="none" w:sz="0" w:space="0" w:color="auto"/>
          </w:divBdr>
        </w:div>
        <w:div w:id="229771311">
          <w:marLeft w:val="0"/>
          <w:marRight w:val="0"/>
          <w:marTop w:val="0"/>
          <w:marBottom w:val="0"/>
          <w:divBdr>
            <w:top w:val="none" w:sz="0" w:space="0" w:color="auto"/>
            <w:left w:val="none" w:sz="0" w:space="0" w:color="auto"/>
            <w:bottom w:val="none" w:sz="0" w:space="0" w:color="auto"/>
            <w:right w:val="none" w:sz="0" w:space="0" w:color="auto"/>
          </w:divBdr>
        </w:div>
        <w:div w:id="1157182527">
          <w:marLeft w:val="0"/>
          <w:marRight w:val="0"/>
          <w:marTop w:val="0"/>
          <w:marBottom w:val="0"/>
          <w:divBdr>
            <w:top w:val="none" w:sz="0" w:space="0" w:color="auto"/>
            <w:left w:val="none" w:sz="0" w:space="0" w:color="auto"/>
            <w:bottom w:val="none" w:sz="0" w:space="0" w:color="auto"/>
            <w:right w:val="none" w:sz="0" w:space="0" w:color="auto"/>
          </w:divBdr>
        </w:div>
        <w:div w:id="1682312151">
          <w:marLeft w:val="0"/>
          <w:marRight w:val="0"/>
          <w:marTop w:val="0"/>
          <w:marBottom w:val="0"/>
          <w:divBdr>
            <w:top w:val="none" w:sz="0" w:space="0" w:color="auto"/>
            <w:left w:val="none" w:sz="0" w:space="0" w:color="auto"/>
            <w:bottom w:val="none" w:sz="0" w:space="0" w:color="auto"/>
            <w:right w:val="none" w:sz="0" w:space="0" w:color="auto"/>
          </w:divBdr>
        </w:div>
      </w:divsChild>
    </w:div>
    <w:div w:id="2000889736">
      <w:bodyDiv w:val="1"/>
      <w:marLeft w:val="0"/>
      <w:marRight w:val="0"/>
      <w:marTop w:val="0"/>
      <w:marBottom w:val="0"/>
      <w:divBdr>
        <w:top w:val="none" w:sz="0" w:space="0" w:color="auto"/>
        <w:left w:val="none" w:sz="0" w:space="0" w:color="auto"/>
        <w:bottom w:val="none" w:sz="0" w:space="0" w:color="auto"/>
        <w:right w:val="none" w:sz="0" w:space="0" w:color="auto"/>
      </w:divBdr>
      <w:divsChild>
        <w:div w:id="383797636">
          <w:marLeft w:val="0"/>
          <w:marRight w:val="0"/>
          <w:marTop w:val="0"/>
          <w:marBottom w:val="0"/>
          <w:divBdr>
            <w:top w:val="none" w:sz="0" w:space="0" w:color="auto"/>
            <w:left w:val="none" w:sz="0" w:space="0" w:color="auto"/>
            <w:bottom w:val="none" w:sz="0" w:space="0" w:color="auto"/>
            <w:right w:val="none" w:sz="0" w:space="0" w:color="auto"/>
          </w:divBdr>
          <w:divsChild>
            <w:div w:id="148133007">
              <w:marLeft w:val="0"/>
              <w:marRight w:val="0"/>
              <w:marTop w:val="0"/>
              <w:marBottom w:val="0"/>
              <w:divBdr>
                <w:top w:val="none" w:sz="0" w:space="0" w:color="auto"/>
                <w:left w:val="none" w:sz="0" w:space="0" w:color="auto"/>
                <w:bottom w:val="none" w:sz="0" w:space="0" w:color="auto"/>
                <w:right w:val="none" w:sz="0" w:space="0" w:color="auto"/>
              </w:divBdr>
              <w:divsChild>
                <w:div w:id="1539704372">
                  <w:marLeft w:val="0"/>
                  <w:marRight w:val="0"/>
                  <w:marTop w:val="0"/>
                  <w:marBottom w:val="0"/>
                  <w:divBdr>
                    <w:top w:val="none" w:sz="0" w:space="0" w:color="auto"/>
                    <w:left w:val="none" w:sz="0" w:space="0" w:color="auto"/>
                    <w:bottom w:val="none" w:sz="0" w:space="0" w:color="auto"/>
                    <w:right w:val="none" w:sz="0" w:space="0" w:color="auto"/>
                  </w:divBdr>
                  <w:divsChild>
                    <w:div w:id="2138722212">
                      <w:marLeft w:val="0"/>
                      <w:marRight w:val="0"/>
                      <w:marTop w:val="0"/>
                      <w:marBottom w:val="0"/>
                      <w:divBdr>
                        <w:top w:val="none" w:sz="0" w:space="0" w:color="auto"/>
                        <w:left w:val="none" w:sz="0" w:space="0" w:color="auto"/>
                        <w:bottom w:val="none" w:sz="0" w:space="0" w:color="auto"/>
                        <w:right w:val="none" w:sz="0" w:space="0" w:color="auto"/>
                      </w:divBdr>
                      <w:divsChild>
                        <w:div w:id="1865901587">
                          <w:marLeft w:val="0"/>
                          <w:marRight w:val="0"/>
                          <w:marTop w:val="0"/>
                          <w:marBottom w:val="99"/>
                          <w:divBdr>
                            <w:top w:val="none" w:sz="0" w:space="0" w:color="auto"/>
                            <w:left w:val="none" w:sz="0" w:space="0" w:color="auto"/>
                            <w:bottom w:val="none" w:sz="0" w:space="0" w:color="auto"/>
                            <w:right w:val="none" w:sz="0" w:space="0" w:color="auto"/>
                          </w:divBdr>
                          <w:divsChild>
                            <w:div w:id="1406535610">
                              <w:marLeft w:val="35"/>
                              <w:marRight w:val="35"/>
                              <w:marTop w:val="0"/>
                              <w:marBottom w:val="0"/>
                              <w:divBdr>
                                <w:top w:val="none" w:sz="0" w:space="0" w:color="auto"/>
                                <w:left w:val="none" w:sz="0" w:space="0" w:color="auto"/>
                                <w:bottom w:val="none" w:sz="0" w:space="0" w:color="auto"/>
                                <w:right w:val="none" w:sz="0" w:space="0" w:color="auto"/>
                              </w:divBdr>
                              <w:divsChild>
                                <w:div w:id="32318168">
                                  <w:marLeft w:val="0"/>
                                  <w:marRight w:val="0"/>
                                  <w:marTop w:val="0"/>
                                  <w:marBottom w:val="0"/>
                                  <w:divBdr>
                                    <w:top w:val="none" w:sz="0" w:space="0" w:color="auto"/>
                                    <w:left w:val="none" w:sz="0" w:space="0" w:color="auto"/>
                                    <w:bottom w:val="none" w:sz="0" w:space="0" w:color="auto"/>
                                    <w:right w:val="none" w:sz="0" w:space="0" w:color="auto"/>
                                  </w:divBdr>
                                  <w:divsChild>
                                    <w:div w:id="1878590271">
                                      <w:marLeft w:val="0"/>
                                      <w:marRight w:val="0"/>
                                      <w:marTop w:val="0"/>
                                      <w:marBottom w:val="0"/>
                                      <w:divBdr>
                                        <w:top w:val="none" w:sz="0" w:space="0" w:color="auto"/>
                                        <w:left w:val="none" w:sz="0" w:space="0" w:color="auto"/>
                                        <w:bottom w:val="none" w:sz="0" w:space="0" w:color="auto"/>
                                        <w:right w:val="none" w:sz="0" w:space="0" w:color="auto"/>
                                      </w:divBdr>
                                      <w:divsChild>
                                        <w:div w:id="964241090">
                                          <w:marLeft w:val="0"/>
                                          <w:marRight w:val="0"/>
                                          <w:marTop w:val="0"/>
                                          <w:marBottom w:val="0"/>
                                          <w:divBdr>
                                            <w:top w:val="none" w:sz="0" w:space="0" w:color="auto"/>
                                            <w:left w:val="none" w:sz="0" w:space="0" w:color="auto"/>
                                            <w:bottom w:val="none" w:sz="0" w:space="0" w:color="auto"/>
                                            <w:right w:val="none" w:sz="0" w:space="0" w:color="auto"/>
                                          </w:divBdr>
                                          <w:divsChild>
                                            <w:div w:id="419065889">
                                              <w:marLeft w:val="0"/>
                                              <w:marRight w:val="0"/>
                                              <w:marTop w:val="0"/>
                                              <w:marBottom w:val="0"/>
                                              <w:divBdr>
                                                <w:top w:val="none" w:sz="0" w:space="0" w:color="auto"/>
                                                <w:left w:val="none" w:sz="0" w:space="0" w:color="auto"/>
                                                <w:bottom w:val="none" w:sz="0" w:space="0" w:color="auto"/>
                                                <w:right w:val="none" w:sz="0" w:space="0" w:color="auto"/>
                                              </w:divBdr>
                                              <w:divsChild>
                                                <w:div w:id="1032876454">
                                                  <w:marLeft w:val="0"/>
                                                  <w:marRight w:val="0"/>
                                                  <w:marTop w:val="0"/>
                                                  <w:marBottom w:val="0"/>
                                                  <w:divBdr>
                                                    <w:top w:val="none" w:sz="0" w:space="0" w:color="auto"/>
                                                    <w:left w:val="none" w:sz="0" w:space="0" w:color="auto"/>
                                                    <w:bottom w:val="none" w:sz="0" w:space="0" w:color="auto"/>
                                                    <w:right w:val="none" w:sz="0" w:space="0" w:color="auto"/>
                                                  </w:divBdr>
                                                  <w:divsChild>
                                                    <w:div w:id="614750349">
                                                      <w:marLeft w:val="0"/>
                                                      <w:marRight w:val="0"/>
                                                      <w:marTop w:val="0"/>
                                                      <w:marBottom w:val="0"/>
                                                      <w:divBdr>
                                                        <w:top w:val="none" w:sz="0" w:space="0" w:color="auto"/>
                                                        <w:left w:val="none" w:sz="0" w:space="0" w:color="auto"/>
                                                        <w:bottom w:val="none" w:sz="0" w:space="0" w:color="auto"/>
                                                        <w:right w:val="none" w:sz="0" w:space="0" w:color="auto"/>
                                                      </w:divBdr>
                                                      <w:divsChild>
                                                        <w:div w:id="1234198652">
                                                          <w:marLeft w:val="0"/>
                                                          <w:marRight w:val="0"/>
                                                          <w:marTop w:val="0"/>
                                                          <w:marBottom w:val="0"/>
                                                          <w:divBdr>
                                                            <w:top w:val="none" w:sz="0" w:space="0" w:color="auto"/>
                                                            <w:left w:val="none" w:sz="0" w:space="0" w:color="auto"/>
                                                            <w:bottom w:val="none" w:sz="0" w:space="0" w:color="auto"/>
                                                            <w:right w:val="none" w:sz="0" w:space="0" w:color="auto"/>
                                                          </w:divBdr>
                                                          <w:divsChild>
                                                            <w:div w:id="505949903">
                                                              <w:marLeft w:val="0"/>
                                                              <w:marRight w:val="0"/>
                                                              <w:marTop w:val="0"/>
                                                              <w:marBottom w:val="0"/>
                                                              <w:divBdr>
                                                                <w:top w:val="none" w:sz="0" w:space="0" w:color="auto"/>
                                                                <w:left w:val="none" w:sz="0" w:space="0" w:color="auto"/>
                                                                <w:bottom w:val="none" w:sz="0" w:space="0" w:color="auto"/>
                                                                <w:right w:val="none" w:sz="0" w:space="0" w:color="auto"/>
                                                              </w:divBdr>
                                                              <w:divsChild>
                                                                <w:div w:id="1453474591">
                                                                  <w:marLeft w:val="0"/>
                                                                  <w:marRight w:val="0"/>
                                                                  <w:marTop w:val="0"/>
                                                                  <w:marBottom w:val="0"/>
                                                                  <w:divBdr>
                                                                    <w:top w:val="none" w:sz="0" w:space="0" w:color="auto"/>
                                                                    <w:left w:val="none" w:sz="0" w:space="0" w:color="auto"/>
                                                                    <w:bottom w:val="none" w:sz="0" w:space="0" w:color="auto"/>
                                                                    <w:right w:val="none" w:sz="0" w:space="0" w:color="auto"/>
                                                                  </w:divBdr>
                                                                  <w:divsChild>
                                                                    <w:div w:id="716197819">
                                                                      <w:marLeft w:val="0"/>
                                                                      <w:marRight w:val="0"/>
                                                                      <w:marTop w:val="0"/>
                                                                      <w:marBottom w:val="0"/>
                                                                      <w:divBdr>
                                                                        <w:top w:val="none" w:sz="0" w:space="0" w:color="auto"/>
                                                                        <w:left w:val="none" w:sz="0" w:space="0" w:color="auto"/>
                                                                        <w:bottom w:val="none" w:sz="0" w:space="0" w:color="auto"/>
                                                                        <w:right w:val="none" w:sz="0" w:space="0" w:color="auto"/>
                                                                      </w:divBdr>
                                                                      <w:divsChild>
                                                                        <w:div w:id="17403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446596">
      <w:bodyDiv w:val="1"/>
      <w:marLeft w:val="0"/>
      <w:marRight w:val="0"/>
      <w:marTop w:val="0"/>
      <w:marBottom w:val="0"/>
      <w:divBdr>
        <w:top w:val="none" w:sz="0" w:space="0" w:color="auto"/>
        <w:left w:val="none" w:sz="0" w:space="0" w:color="auto"/>
        <w:bottom w:val="none" w:sz="0" w:space="0" w:color="auto"/>
        <w:right w:val="none" w:sz="0" w:space="0" w:color="auto"/>
      </w:divBdr>
      <w:divsChild>
        <w:div w:id="2019384890">
          <w:marLeft w:val="0"/>
          <w:marRight w:val="0"/>
          <w:marTop w:val="0"/>
          <w:marBottom w:val="0"/>
          <w:divBdr>
            <w:top w:val="none" w:sz="0" w:space="0" w:color="auto"/>
            <w:left w:val="none" w:sz="0" w:space="0" w:color="auto"/>
            <w:bottom w:val="none" w:sz="0" w:space="0" w:color="auto"/>
            <w:right w:val="none" w:sz="0" w:space="0" w:color="auto"/>
          </w:divBdr>
          <w:divsChild>
            <w:div w:id="1577086613">
              <w:marLeft w:val="0"/>
              <w:marRight w:val="0"/>
              <w:marTop w:val="0"/>
              <w:marBottom w:val="0"/>
              <w:divBdr>
                <w:top w:val="none" w:sz="0" w:space="0" w:color="auto"/>
                <w:left w:val="none" w:sz="0" w:space="0" w:color="auto"/>
                <w:bottom w:val="none" w:sz="0" w:space="0" w:color="auto"/>
                <w:right w:val="none" w:sz="0" w:space="0" w:color="auto"/>
              </w:divBdr>
              <w:divsChild>
                <w:div w:id="781195305">
                  <w:marLeft w:val="0"/>
                  <w:marRight w:val="0"/>
                  <w:marTop w:val="0"/>
                  <w:marBottom w:val="0"/>
                  <w:divBdr>
                    <w:top w:val="none" w:sz="0" w:space="0" w:color="auto"/>
                    <w:left w:val="none" w:sz="0" w:space="0" w:color="auto"/>
                    <w:bottom w:val="none" w:sz="0" w:space="0" w:color="auto"/>
                    <w:right w:val="none" w:sz="0" w:space="0" w:color="auto"/>
                  </w:divBdr>
                  <w:divsChild>
                    <w:div w:id="335814963">
                      <w:marLeft w:val="0"/>
                      <w:marRight w:val="0"/>
                      <w:marTop w:val="0"/>
                      <w:marBottom w:val="0"/>
                      <w:divBdr>
                        <w:top w:val="none" w:sz="0" w:space="0" w:color="auto"/>
                        <w:left w:val="none" w:sz="0" w:space="0" w:color="auto"/>
                        <w:bottom w:val="none" w:sz="0" w:space="0" w:color="auto"/>
                        <w:right w:val="none" w:sz="0" w:space="0" w:color="auto"/>
                      </w:divBdr>
                      <w:divsChild>
                        <w:div w:id="1383359082">
                          <w:marLeft w:val="0"/>
                          <w:marRight w:val="0"/>
                          <w:marTop w:val="0"/>
                          <w:marBottom w:val="99"/>
                          <w:divBdr>
                            <w:top w:val="none" w:sz="0" w:space="0" w:color="auto"/>
                            <w:left w:val="none" w:sz="0" w:space="0" w:color="auto"/>
                            <w:bottom w:val="none" w:sz="0" w:space="0" w:color="auto"/>
                            <w:right w:val="none" w:sz="0" w:space="0" w:color="auto"/>
                          </w:divBdr>
                          <w:divsChild>
                            <w:div w:id="1185364688">
                              <w:marLeft w:val="35"/>
                              <w:marRight w:val="35"/>
                              <w:marTop w:val="0"/>
                              <w:marBottom w:val="0"/>
                              <w:divBdr>
                                <w:top w:val="none" w:sz="0" w:space="0" w:color="auto"/>
                                <w:left w:val="none" w:sz="0" w:space="0" w:color="auto"/>
                                <w:bottom w:val="none" w:sz="0" w:space="0" w:color="auto"/>
                                <w:right w:val="none" w:sz="0" w:space="0" w:color="auto"/>
                              </w:divBdr>
                              <w:divsChild>
                                <w:div w:id="1566522577">
                                  <w:marLeft w:val="0"/>
                                  <w:marRight w:val="0"/>
                                  <w:marTop w:val="0"/>
                                  <w:marBottom w:val="0"/>
                                  <w:divBdr>
                                    <w:top w:val="none" w:sz="0" w:space="0" w:color="auto"/>
                                    <w:left w:val="none" w:sz="0" w:space="0" w:color="auto"/>
                                    <w:bottom w:val="none" w:sz="0" w:space="0" w:color="auto"/>
                                    <w:right w:val="none" w:sz="0" w:space="0" w:color="auto"/>
                                  </w:divBdr>
                                  <w:divsChild>
                                    <w:div w:id="815028760">
                                      <w:marLeft w:val="0"/>
                                      <w:marRight w:val="0"/>
                                      <w:marTop w:val="0"/>
                                      <w:marBottom w:val="0"/>
                                      <w:divBdr>
                                        <w:top w:val="none" w:sz="0" w:space="0" w:color="auto"/>
                                        <w:left w:val="none" w:sz="0" w:space="0" w:color="auto"/>
                                        <w:bottom w:val="none" w:sz="0" w:space="0" w:color="auto"/>
                                        <w:right w:val="none" w:sz="0" w:space="0" w:color="auto"/>
                                      </w:divBdr>
                                      <w:divsChild>
                                        <w:div w:id="1222986725">
                                          <w:marLeft w:val="0"/>
                                          <w:marRight w:val="0"/>
                                          <w:marTop w:val="0"/>
                                          <w:marBottom w:val="0"/>
                                          <w:divBdr>
                                            <w:top w:val="none" w:sz="0" w:space="0" w:color="auto"/>
                                            <w:left w:val="none" w:sz="0" w:space="0" w:color="auto"/>
                                            <w:bottom w:val="none" w:sz="0" w:space="0" w:color="auto"/>
                                            <w:right w:val="none" w:sz="0" w:space="0" w:color="auto"/>
                                          </w:divBdr>
                                          <w:divsChild>
                                            <w:div w:id="243298480">
                                              <w:marLeft w:val="0"/>
                                              <w:marRight w:val="0"/>
                                              <w:marTop w:val="0"/>
                                              <w:marBottom w:val="0"/>
                                              <w:divBdr>
                                                <w:top w:val="none" w:sz="0" w:space="0" w:color="auto"/>
                                                <w:left w:val="none" w:sz="0" w:space="0" w:color="auto"/>
                                                <w:bottom w:val="none" w:sz="0" w:space="0" w:color="auto"/>
                                                <w:right w:val="none" w:sz="0" w:space="0" w:color="auto"/>
                                              </w:divBdr>
                                              <w:divsChild>
                                                <w:div w:id="651102592">
                                                  <w:marLeft w:val="0"/>
                                                  <w:marRight w:val="0"/>
                                                  <w:marTop w:val="0"/>
                                                  <w:marBottom w:val="0"/>
                                                  <w:divBdr>
                                                    <w:top w:val="none" w:sz="0" w:space="0" w:color="auto"/>
                                                    <w:left w:val="none" w:sz="0" w:space="0" w:color="auto"/>
                                                    <w:bottom w:val="none" w:sz="0" w:space="0" w:color="auto"/>
                                                    <w:right w:val="none" w:sz="0" w:space="0" w:color="auto"/>
                                                  </w:divBdr>
                                                  <w:divsChild>
                                                    <w:div w:id="520048403">
                                                      <w:marLeft w:val="0"/>
                                                      <w:marRight w:val="0"/>
                                                      <w:marTop w:val="0"/>
                                                      <w:marBottom w:val="0"/>
                                                      <w:divBdr>
                                                        <w:top w:val="none" w:sz="0" w:space="0" w:color="auto"/>
                                                        <w:left w:val="none" w:sz="0" w:space="0" w:color="auto"/>
                                                        <w:bottom w:val="none" w:sz="0" w:space="0" w:color="auto"/>
                                                        <w:right w:val="none" w:sz="0" w:space="0" w:color="auto"/>
                                                      </w:divBdr>
                                                      <w:divsChild>
                                                        <w:div w:id="1879970915">
                                                          <w:marLeft w:val="0"/>
                                                          <w:marRight w:val="0"/>
                                                          <w:marTop w:val="0"/>
                                                          <w:marBottom w:val="0"/>
                                                          <w:divBdr>
                                                            <w:top w:val="none" w:sz="0" w:space="0" w:color="auto"/>
                                                            <w:left w:val="none" w:sz="0" w:space="0" w:color="auto"/>
                                                            <w:bottom w:val="none" w:sz="0" w:space="0" w:color="auto"/>
                                                            <w:right w:val="none" w:sz="0" w:space="0" w:color="auto"/>
                                                          </w:divBdr>
                                                          <w:divsChild>
                                                            <w:div w:id="614363013">
                                                              <w:marLeft w:val="0"/>
                                                              <w:marRight w:val="0"/>
                                                              <w:marTop w:val="0"/>
                                                              <w:marBottom w:val="0"/>
                                                              <w:divBdr>
                                                                <w:top w:val="none" w:sz="0" w:space="0" w:color="auto"/>
                                                                <w:left w:val="none" w:sz="0" w:space="0" w:color="auto"/>
                                                                <w:bottom w:val="none" w:sz="0" w:space="0" w:color="auto"/>
                                                                <w:right w:val="none" w:sz="0" w:space="0" w:color="auto"/>
                                                              </w:divBdr>
                                                              <w:divsChild>
                                                                <w:div w:id="888996508">
                                                                  <w:marLeft w:val="0"/>
                                                                  <w:marRight w:val="0"/>
                                                                  <w:marTop w:val="0"/>
                                                                  <w:marBottom w:val="0"/>
                                                                  <w:divBdr>
                                                                    <w:top w:val="none" w:sz="0" w:space="0" w:color="auto"/>
                                                                    <w:left w:val="none" w:sz="0" w:space="0" w:color="auto"/>
                                                                    <w:bottom w:val="none" w:sz="0" w:space="0" w:color="auto"/>
                                                                    <w:right w:val="none" w:sz="0" w:space="0" w:color="auto"/>
                                                                  </w:divBdr>
                                                                  <w:divsChild>
                                                                    <w:div w:id="241567115">
                                                                      <w:marLeft w:val="0"/>
                                                                      <w:marRight w:val="0"/>
                                                                      <w:marTop w:val="0"/>
                                                                      <w:marBottom w:val="0"/>
                                                                      <w:divBdr>
                                                                        <w:top w:val="none" w:sz="0" w:space="0" w:color="auto"/>
                                                                        <w:left w:val="none" w:sz="0" w:space="0" w:color="auto"/>
                                                                        <w:bottom w:val="none" w:sz="0" w:space="0" w:color="auto"/>
                                                                        <w:right w:val="none" w:sz="0" w:space="0" w:color="auto"/>
                                                                      </w:divBdr>
                                                                      <w:divsChild>
                                                                        <w:div w:id="9918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uh@bren.ucsb.edu"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diagramColors" Target="diagrams/colors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diagramLayout" Target="diagrams/layout1.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microsoft.com/office/2007/relationships/diagramDrawing" Target="diagrams/drawing1.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7EC123-01FD-4CAB-803B-2D09AB2FE3C1}"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9B4F5DC4-E304-424F-8799-5AE439F3F1C3}">
      <dgm:prSet phldrT="[Text]" custT="1"/>
      <dgm:spPr/>
      <dgm:t>
        <a:bodyPr/>
        <a:lstStyle/>
        <a:p>
          <a:r>
            <a:rPr lang="en-US" sz="900"/>
            <a:t>Comparability check</a:t>
          </a:r>
        </a:p>
      </dgm:t>
    </dgm:pt>
    <dgm:pt modelId="{77EF9DAA-4BBC-4964-9B54-1EA71ECA11F8}" type="parTrans" cxnId="{6E9C79FC-5FED-4E34-94CD-E43F216789BA}">
      <dgm:prSet/>
      <dgm:spPr/>
      <dgm:t>
        <a:bodyPr/>
        <a:lstStyle/>
        <a:p>
          <a:endParaRPr lang="en-US" sz="900"/>
        </a:p>
      </dgm:t>
    </dgm:pt>
    <dgm:pt modelId="{E985F15A-4B8C-4DDD-A366-99DB47AC08A4}" type="sibTrans" cxnId="{6E9C79FC-5FED-4E34-94CD-E43F216789BA}">
      <dgm:prSet/>
      <dgm:spPr/>
      <dgm:t>
        <a:bodyPr/>
        <a:lstStyle/>
        <a:p>
          <a:endParaRPr lang="en-US" sz="900"/>
        </a:p>
      </dgm:t>
    </dgm:pt>
    <dgm:pt modelId="{ADB2DBD3-EA30-407A-9A75-C1A78AE40B9D}">
      <dgm:prSet phldrT="[Text]" custT="1"/>
      <dgm:spPr/>
      <dgm:t>
        <a:bodyPr/>
        <a:lstStyle/>
        <a:p>
          <a:r>
            <a:rPr lang="en-US" sz="900"/>
            <a:t> The databases to be integrated are identified and their comparability is assessed.</a:t>
          </a:r>
        </a:p>
      </dgm:t>
    </dgm:pt>
    <dgm:pt modelId="{9AB1CE2B-C268-4B83-8A69-420A36E7B401}" type="parTrans" cxnId="{F835FCDD-FBF2-4053-B046-C62754E44F24}">
      <dgm:prSet/>
      <dgm:spPr/>
      <dgm:t>
        <a:bodyPr/>
        <a:lstStyle/>
        <a:p>
          <a:endParaRPr lang="en-US" sz="900"/>
        </a:p>
      </dgm:t>
    </dgm:pt>
    <dgm:pt modelId="{22CA9D71-38B3-4F00-8CD0-604C418C77B8}" type="sibTrans" cxnId="{F835FCDD-FBF2-4053-B046-C62754E44F24}">
      <dgm:prSet/>
      <dgm:spPr/>
      <dgm:t>
        <a:bodyPr/>
        <a:lstStyle/>
        <a:p>
          <a:endParaRPr lang="en-US" sz="900"/>
        </a:p>
      </dgm:t>
    </dgm:pt>
    <dgm:pt modelId="{E2025AF2-9C7E-424D-ABBD-2F52883DA162}">
      <dgm:prSet phldrT="[Text]" custT="1"/>
      <dgm:spPr/>
      <dgm:t>
        <a:bodyPr/>
        <a:lstStyle/>
        <a:p>
          <a:r>
            <a:rPr lang="en-US" sz="900"/>
            <a:t>Bi-resolution SUTs</a:t>
          </a:r>
        </a:p>
      </dgm:t>
    </dgm:pt>
    <dgm:pt modelId="{A03E1BD8-983F-4E87-B0CE-4EFCC7943A89}" type="parTrans" cxnId="{85F44806-F9B4-41A2-8A10-14EF01EE5EE9}">
      <dgm:prSet/>
      <dgm:spPr/>
      <dgm:t>
        <a:bodyPr/>
        <a:lstStyle/>
        <a:p>
          <a:endParaRPr lang="en-US" sz="900"/>
        </a:p>
      </dgm:t>
    </dgm:pt>
    <dgm:pt modelId="{DF05B565-E526-4F9D-BFAC-CACC7285F1E8}" type="sibTrans" cxnId="{85F44806-F9B4-41A2-8A10-14EF01EE5EE9}">
      <dgm:prSet/>
      <dgm:spPr/>
      <dgm:t>
        <a:bodyPr/>
        <a:lstStyle/>
        <a:p>
          <a:endParaRPr lang="en-US" sz="900"/>
        </a:p>
      </dgm:t>
    </dgm:pt>
    <dgm:pt modelId="{FA15B2A4-7D2E-46D8-9D7A-F01E35A8CCA1}">
      <dgm:prSet phldrT="[Text]" custT="1"/>
      <dgm:spPr/>
      <dgm:t>
        <a:bodyPr/>
        <a:lstStyle/>
        <a:p>
          <a:r>
            <a:rPr lang="en-US" sz="900"/>
            <a:t> The SUTs are constructed using both item-level and standard IO-level detail.</a:t>
          </a:r>
        </a:p>
      </dgm:t>
    </dgm:pt>
    <dgm:pt modelId="{1D8696F3-77DE-491F-9EE4-CAA946DDE4B4}" type="parTrans" cxnId="{C60366E9-77E7-4856-B048-9F6BD9E43029}">
      <dgm:prSet/>
      <dgm:spPr/>
      <dgm:t>
        <a:bodyPr/>
        <a:lstStyle/>
        <a:p>
          <a:endParaRPr lang="en-US" sz="900"/>
        </a:p>
      </dgm:t>
    </dgm:pt>
    <dgm:pt modelId="{B913147F-57AB-4A34-929A-4F1D7CD9A4C5}" type="sibTrans" cxnId="{C60366E9-77E7-4856-B048-9F6BD9E43029}">
      <dgm:prSet/>
      <dgm:spPr/>
      <dgm:t>
        <a:bodyPr/>
        <a:lstStyle/>
        <a:p>
          <a:endParaRPr lang="en-US" sz="900"/>
        </a:p>
      </dgm:t>
    </dgm:pt>
    <dgm:pt modelId="{D325D5AF-0AE5-4008-93E6-1F71DD560C2F}">
      <dgm:prSet phldrT="[Text]" custT="1"/>
      <dgm:spPr/>
      <dgm:t>
        <a:bodyPr/>
        <a:lstStyle/>
        <a:p>
          <a:r>
            <a:rPr lang="en-US" sz="900"/>
            <a:t>BEES into matrix form</a:t>
          </a:r>
        </a:p>
      </dgm:t>
    </dgm:pt>
    <dgm:pt modelId="{5224CC5E-13A4-4EEF-8D64-72A56F7461BE}" type="parTrans" cxnId="{54949DAC-7612-40B2-B185-35129FF40420}">
      <dgm:prSet/>
      <dgm:spPr/>
      <dgm:t>
        <a:bodyPr/>
        <a:lstStyle/>
        <a:p>
          <a:endParaRPr lang="en-US" sz="900"/>
        </a:p>
      </dgm:t>
    </dgm:pt>
    <dgm:pt modelId="{9C1D7F6A-3147-4744-9C4C-700A7B2B82CF}" type="sibTrans" cxnId="{54949DAC-7612-40B2-B185-35129FF40420}">
      <dgm:prSet/>
      <dgm:spPr/>
      <dgm:t>
        <a:bodyPr/>
        <a:lstStyle/>
        <a:p>
          <a:endParaRPr lang="en-US" sz="900"/>
        </a:p>
      </dgm:t>
    </dgm:pt>
    <dgm:pt modelId="{15B5114C-4AB4-48E3-A2B0-73B7AF841097}">
      <dgm:prSet phldrT="[Text]" custT="1"/>
      <dgm:spPr/>
      <dgm:t>
        <a:bodyPr/>
        <a:lstStyle/>
        <a:p>
          <a:r>
            <a:rPr lang="en-US" sz="900"/>
            <a:t> BEES energy technology data is converted into matrix form.</a:t>
          </a:r>
        </a:p>
      </dgm:t>
    </dgm:pt>
    <dgm:pt modelId="{C51DD1BB-4E17-43D9-9C68-D74CF541A532}" type="parTrans" cxnId="{82FA7C28-BD6C-479F-9832-E20ACB19A214}">
      <dgm:prSet/>
      <dgm:spPr/>
      <dgm:t>
        <a:bodyPr/>
        <a:lstStyle/>
        <a:p>
          <a:endParaRPr lang="en-US" sz="900"/>
        </a:p>
      </dgm:t>
    </dgm:pt>
    <dgm:pt modelId="{2F65B15D-1FB7-4BFA-9A20-BAEF12866597}" type="sibTrans" cxnId="{82FA7C28-BD6C-479F-9832-E20ACB19A214}">
      <dgm:prSet/>
      <dgm:spPr/>
      <dgm:t>
        <a:bodyPr/>
        <a:lstStyle/>
        <a:p>
          <a:endParaRPr lang="en-US" sz="900"/>
        </a:p>
      </dgm:t>
    </dgm:pt>
    <dgm:pt modelId="{8578D767-121B-44DA-B12E-EC3DB641E663}">
      <dgm:prSet phldrT="[Text]" custT="1"/>
      <dgm:spPr/>
      <dgm:t>
        <a:bodyPr/>
        <a:lstStyle/>
        <a:p>
          <a:r>
            <a:rPr lang="en-US" sz="900"/>
            <a:t>Subtraction of BEES</a:t>
          </a:r>
        </a:p>
      </dgm:t>
    </dgm:pt>
    <dgm:pt modelId="{FC92E8F8-C915-472F-B65C-1ED66980A3AE}" type="parTrans" cxnId="{ECD492FE-775A-48FF-B5CD-60DC1BAFCAA7}">
      <dgm:prSet/>
      <dgm:spPr/>
      <dgm:t>
        <a:bodyPr/>
        <a:lstStyle/>
        <a:p>
          <a:endParaRPr lang="en-US" sz="900"/>
        </a:p>
      </dgm:t>
    </dgm:pt>
    <dgm:pt modelId="{667D68B5-59CC-44E8-AC29-404EB5C7243F}" type="sibTrans" cxnId="{ECD492FE-775A-48FF-B5CD-60DC1BAFCAA7}">
      <dgm:prSet/>
      <dgm:spPr/>
      <dgm:t>
        <a:bodyPr/>
        <a:lstStyle/>
        <a:p>
          <a:endParaRPr lang="en-US" sz="900"/>
        </a:p>
      </dgm:t>
    </dgm:pt>
    <dgm:pt modelId="{EF3D2F98-8BAA-403B-90A0-E9F8B6FD0DE4}">
      <dgm:prSet phldrT="[Text]" custT="1"/>
      <dgm:spPr/>
      <dgm:t>
        <a:bodyPr/>
        <a:lstStyle/>
        <a:p>
          <a:r>
            <a:rPr lang="en-US" sz="900"/>
            <a:t> This is an optional step to subtract the exchanges that are already described in BEES data from the SUTs.</a:t>
          </a:r>
        </a:p>
      </dgm:t>
    </dgm:pt>
    <dgm:pt modelId="{9F0AAEC9-8803-41E0-A769-6911ACE49A5D}" type="parTrans" cxnId="{C41CC59D-4187-4391-922C-BDB37D3D5362}">
      <dgm:prSet/>
      <dgm:spPr/>
      <dgm:t>
        <a:bodyPr/>
        <a:lstStyle/>
        <a:p>
          <a:endParaRPr lang="en-US" sz="900"/>
        </a:p>
      </dgm:t>
    </dgm:pt>
    <dgm:pt modelId="{B1F58B6A-C736-44FE-8CE5-2155FE46AF83}" type="sibTrans" cxnId="{C41CC59D-4187-4391-922C-BDB37D3D5362}">
      <dgm:prSet/>
      <dgm:spPr/>
      <dgm:t>
        <a:bodyPr/>
        <a:lstStyle/>
        <a:p>
          <a:endParaRPr lang="en-US" sz="900"/>
        </a:p>
      </dgm:t>
    </dgm:pt>
    <dgm:pt modelId="{4C812F7F-C76D-4EF5-9C74-49194A4AD335}">
      <dgm:prSet phldrT="[Text]" custT="1"/>
      <dgm:spPr/>
      <dgm:t>
        <a:bodyPr/>
        <a:lstStyle/>
        <a:p>
          <a:r>
            <a:rPr lang="en-US" sz="900"/>
            <a:t>Integration / calculation</a:t>
          </a:r>
        </a:p>
      </dgm:t>
    </dgm:pt>
    <dgm:pt modelId="{D43ECBF7-9CE6-4C85-892B-D019C4C4DA3F}" type="parTrans" cxnId="{E9F6912F-F676-4BB0-B447-8037BDB03C7E}">
      <dgm:prSet/>
      <dgm:spPr/>
      <dgm:t>
        <a:bodyPr/>
        <a:lstStyle/>
        <a:p>
          <a:endParaRPr lang="en-US" sz="900"/>
        </a:p>
      </dgm:t>
    </dgm:pt>
    <dgm:pt modelId="{77A2B0E4-C2E2-4043-9970-58DFA345D040}" type="sibTrans" cxnId="{E9F6912F-F676-4BB0-B447-8037BDB03C7E}">
      <dgm:prSet/>
      <dgm:spPr/>
      <dgm:t>
        <a:bodyPr/>
        <a:lstStyle/>
        <a:p>
          <a:endParaRPr lang="en-US" sz="900"/>
        </a:p>
      </dgm:t>
    </dgm:pt>
    <dgm:pt modelId="{2585D99E-2F64-4C39-B12F-CDBE3B58D53D}">
      <dgm:prSet phldrT="[Text]" custT="1"/>
      <dgm:spPr/>
      <dgm:t>
        <a:bodyPr/>
        <a:lstStyle/>
        <a:p>
          <a:r>
            <a:rPr lang="en-US" sz="900"/>
            <a:t> BEES, the SUTs and the cut-offs are integrated and the hybrid BEES LCIs are calculated.</a:t>
          </a:r>
        </a:p>
      </dgm:t>
    </dgm:pt>
    <dgm:pt modelId="{3E7636C4-2C48-4B7A-900F-702685FBAD8D}" type="parTrans" cxnId="{238FCFCC-6F46-4E4F-832C-CA2F7B555823}">
      <dgm:prSet/>
      <dgm:spPr/>
      <dgm:t>
        <a:bodyPr/>
        <a:lstStyle/>
        <a:p>
          <a:endParaRPr lang="en-US" sz="900"/>
        </a:p>
      </dgm:t>
    </dgm:pt>
    <dgm:pt modelId="{9D97ED1F-959B-4B80-9DED-8C921E450EA5}" type="sibTrans" cxnId="{238FCFCC-6F46-4E4F-832C-CA2F7B555823}">
      <dgm:prSet/>
      <dgm:spPr/>
      <dgm:t>
        <a:bodyPr/>
        <a:lstStyle/>
        <a:p>
          <a:endParaRPr lang="en-US" sz="900"/>
        </a:p>
      </dgm:t>
    </dgm:pt>
    <dgm:pt modelId="{E8B6AD78-E2F0-4DAC-9010-5CBA14046F59}">
      <dgm:prSet phldrT="[Text]" custT="1"/>
      <dgm:spPr/>
      <dgm:t>
        <a:bodyPr/>
        <a:lstStyle/>
        <a:p>
          <a:r>
            <a:rPr lang="en-US" sz="900" b="0"/>
            <a:t>Estimation of the cut-offs</a:t>
          </a:r>
        </a:p>
      </dgm:t>
    </dgm:pt>
    <dgm:pt modelId="{025AF180-EFD6-4AC7-BD2D-200C4A73772C}" type="parTrans" cxnId="{7CF4D293-73B7-43BD-9D18-E402E770E6EE}">
      <dgm:prSet/>
      <dgm:spPr/>
      <dgm:t>
        <a:bodyPr/>
        <a:lstStyle/>
        <a:p>
          <a:endParaRPr lang="en-US" sz="900"/>
        </a:p>
      </dgm:t>
    </dgm:pt>
    <dgm:pt modelId="{4508E2E1-11A3-4761-A168-5680B78ADF09}" type="sibTrans" cxnId="{7CF4D293-73B7-43BD-9D18-E402E770E6EE}">
      <dgm:prSet/>
      <dgm:spPr/>
      <dgm:t>
        <a:bodyPr/>
        <a:lstStyle/>
        <a:p>
          <a:endParaRPr lang="en-US" sz="900"/>
        </a:p>
      </dgm:t>
    </dgm:pt>
    <dgm:pt modelId="{36B8AD07-CC5D-4F71-BE9D-65FB1E56BCD7}">
      <dgm:prSet phldrT="[Text]" custT="1"/>
      <dgm:spPr/>
      <dgm:t>
        <a:bodyPr/>
        <a:lstStyle/>
        <a:p>
          <a:r>
            <a:rPr lang="en-US" sz="900"/>
            <a:t> The cut-offs of BEES data are estimated.</a:t>
          </a:r>
        </a:p>
      </dgm:t>
    </dgm:pt>
    <dgm:pt modelId="{2885701B-53DB-4C6A-91F2-9C9098350286}" type="parTrans" cxnId="{4CE0E4D7-A496-4D24-AD73-B700E4137183}">
      <dgm:prSet/>
      <dgm:spPr/>
      <dgm:t>
        <a:bodyPr/>
        <a:lstStyle/>
        <a:p>
          <a:endParaRPr lang="en-US" sz="900"/>
        </a:p>
      </dgm:t>
    </dgm:pt>
    <dgm:pt modelId="{38A414DC-3A32-40EA-99FD-E4435CC508A9}" type="sibTrans" cxnId="{4CE0E4D7-A496-4D24-AD73-B700E4137183}">
      <dgm:prSet/>
      <dgm:spPr/>
      <dgm:t>
        <a:bodyPr/>
        <a:lstStyle/>
        <a:p>
          <a:endParaRPr lang="en-US" sz="900"/>
        </a:p>
      </dgm:t>
    </dgm:pt>
    <dgm:pt modelId="{44DDD117-4462-4978-8F32-9E9362C0EBBC}">
      <dgm:prSet phldrT="[Text]" custT="1"/>
      <dgm:spPr/>
      <dgm:t>
        <a:bodyPr/>
        <a:lstStyle/>
        <a:p>
          <a:r>
            <a:rPr lang="en-US" sz="900"/>
            <a:t>Test run / evaluation</a:t>
          </a:r>
        </a:p>
      </dgm:t>
    </dgm:pt>
    <dgm:pt modelId="{0145D54E-82B7-4B39-8E07-48A4984054C3}" type="parTrans" cxnId="{D76176D8-E94A-4675-9FBC-F4C4156C16E5}">
      <dgm:prSet/>
      <dgm:spPr/>
    </dgm:pt>
    <dgm:pt modelId="{2ED9AA42-77FE-458E-9CEC-270D2234565B}" type="sibTrans" cxnId="{D76176D8-E94A-4675-9FBC-F4C4156C16E5}">
      <dgm:prSet/>
      <dgm:spPr/>
    </dgm:pt>
    <dgm:pt modelId="{6CA057EC-FC19-461A-A57B-7F14F4359047}">
      <dgm:prSet phldrT="[Text]" custT="1"/>
      <dgm:spPr/>
      <dgm:t>
        <a:bodyPr/>
        <a:lstStyle/>
        <a:p>
          <a:r>
            <a:rPr lang="en-US" sz="900"/>
            <a:t> The resulting LCIs are tested and evaluated.	</a:t>
          </a:r>
        </a:p>
      </dgm:t>
    </dgm:pt>
    <dgm:pt modelId="{2A878212-6AE5-4AD1-A1C5-7B442C7DA31D}" type="parTrans" cxnId="{EEEA8564-60F0-46E0-AD4E-1732A3CF5C43}">
      <dgm:prSet/>
      <dgm:spPr/>
    </dgm:pt>
    <dgm:pt modelId="{1379650C-21C3-4385-BBD7-41D6F3E80AE3}" type="sibTrans" cxnId="{EEEA8564-60F0-46E0-AD4E-1732A3CF5C43}">
      <dgm:prSet/>
      <dgm:spPr/>
    </dgm:pt>
    <dgm:pt modelId="{7D33F66E-AB57-4803-B25E-03764A5D1700}" type="pres">
      <dgm:prSet presAssocID="{B97EC123-01FD-4CAB-803B-2D09AB2FE3C1}" presName="Name0" presStyleCnt="0">
        <dgm:presLayoutVars>
          <dgm:dir/>
          <dgm:animLvl val="lvl"/>
          <dgm:resizeHandles val="exact"/>
        </dgm:presLayoutVars>
      </dgm:prSet>
      <dgm:spPr/>
      <dgm:t>
        <a:bodyPr/>
        <a:lstStyle/>
        <a:p>
          <a:endParaRPr lang="en-US"/>
        </a:p>
      </dgm:t>
    </dgm:pt>
    <dgm:pt modelId="{E0F1FC31-538C-4E73-AB1B-7094F03CF59C}" type="pres">
      <dgm:prSet presAssocID="{9B4F5DC4-E304-424F-8799-5AE439F3F1C3}" presName="linNode" presStyleCnt="0"/>
      <dgm:spPr/>
    </dgm:pt>
    <dgm:pt modelId="{096BA8FF-610F-4646-8824-2259EEE9AC5F}" type="pres">
      <dgm:prSet presAssocID="{9B4F5DC4-E304-424F-8799-5AE439F3F1C3}" presName="parentText" presStyleLbl="node1" presStyleIdx="0" presStyleCnt="7">
        <dgm:presLayoutVars>
          <dgm:chMax val="1"/>
          <dgm:bulletEnabled val="1"/>
        </dgm:presLayoutVars>
      </dgm:prSet>
      <dgm:spPr/>
      <dgm:t>
        <a:bodyPr/>
        <a:lstStyle/>
        <a:p>
          <a:endParaRPr lang="en-US"/>
        </a:p>
      </dgm:t>
    </dgm:pt>
    <dgm:pt modelId="{D3DFFCA8-72A6-4A04-8B08-9D5F4923549F}" type="pres">
      <dgm:prSet presAssocID="{9B4F5DC4-E304-424F-8799-5AE439F3F1C3}" presName="descendantText" presStyleLbl="alignAccFollowNode1" presStyleIdx="0" presStyleCnt="7">
        <dgm:presLayoutVars>
          <dgm:bulletEnabled val="1"/>
        </dgm:presLayoutVars>
      </dgm:prSet>
      <dgm:spPr/>
      <dgm:t>
        <a:bodyPr/>
        <a:lstStyle/>
        <a:p>
          <a:endParaRPr lang="en-US"/>
        </a:p>
      </dgm:t>
    </dgm:pt>
    <dgm:pt modelId="{3C73D6C5-F6CA-4DB4-A3B0-7FB550140FBB}" type="pres">
      <dgm:prSet presAssocID="{E985F15A-4B8C-4DDD-A366-99DB47AC08A4}" presName="sp" presStyleCnt="0"/>
      <dgm:spPr/>
    </dgm:pt>
    <dgm:pt modelId="{74D457E1-0F82-45A4-A55B-F3D7DED8DCD6}" type="pres">
      <dgm:prSet presAssocID="{E2025AF2-9C7E-424D-ABBD-2F52883DA162}" presName="linNode" presStyleCnt="0"/>
      <dgm:spPr/>
    </dgm:pt>
    <dgm:pt modelId="{D6309985-6E27-43D0-ACBA-C4E867A6EBAA}" type="pres">
      <dgm:prSet presAssocID="{E2025AF2-9C7E-424D-ABBD-2F52883DA162}" presName="parentText" presStyleLbl="node1" presStyleIdx="1" presStyleCnt="7">
        <dgm:presLayoutVars>
          <dgm:chMax val="1"/>
          <dgm:bulletEnabled val="1"/>
        </dgm:presLayoutVars>
      </dgm:prSet>
      <dgm:spPr/>
      <dgm:t>
        <a:bodyPr/>
        <a:lstStyle/>
        <a:p>
          <a:endParaRPr lang="en-US"/>
        </a:p>
      </dgm:t>
    </dgm:pt>
    <dgm:pt modelId="{DFD80142-4BEB-4B81-BD8B-6283169D23B4}" type="pres">
      <dgm:prSet presAssocID="{E2025AF2-9C7E-424D-ABBD-2F52883DA162}" presName="descendantText" presStyleLbl="alignAccFollowNode1" presStyleIdx="1" presStyleCnt="7">
        <dgm:presLayoutVars>
          <dgm:bulletEnabled val="1"/>
        </dgm:presLayoutVars>
      </dgm:prSet>
      <dgm:spPr/>
      <dgm:t>
        <a:bodyPr/>
        <a:lstStyle/>
        <a:p>
          <a:endParaRPr lang="en-US"/>
        </a:p>
      </dgm:t>
    </dgm:pt>
    <dgm:pt modelId="{256AF43A-6067-46FF-A028-59EFF4F447B9}" type="pres">
      <dgm:prSet presAssocID="{DF05B565-E526-4F9D-BFAC-CACC7285F1E8}" presName="sp" presStyleCnt="0"/>
      <dgm:spPr/>
    </dgm:pt>
    <dgm:pt modelId="{6F1CB3C3-4BB8-484F-B31E-527D6D2010E9}" type="pres">
      <dgm:prSet presAssocID="{D325D5AF-0AE5-4008-93E6-1F71DD560C2F}" presName="linNode" presStyleCnt="0"/>
      <dgm:spPr/>
    </dgm:pt>
    <dgm:pt modelId="{8A56DBEB-D8ED-4EDF-B4E5-D60528EA82BD}" type="pres">
      <dgm:prSet presAssocID="{D325D5AF-0AE5-4008-93E6-1F71DD560C2F}" presName="parentText" presStyleLbl="node1" presStyleIdx="2" presStyleCnt="7">
        <dgm:presLayoutVars>
          <dgm:chMax val="1"/>
          <dgm:bulletEnabled val="1"/>
        </dgm:presLayoutVars>
      </dgm:prSet>
      <dgm:spPr/>
      <dgm:t>
        <a:bodyPr/>
        <a:lstStyle/>
        <a:p>
          <a:endParaRPr lang="en-US"/>
        </a:p>
      </dgm:t>
    </dgm:pt>
    <dgm:pt modelId="{7ABCAFDA-DE9E-493E-B0BE-59CA96746B30}" type="pres">
      <dgm:prSet presAssocID="{D325D5AF-0AE5-4008-93E6-1F71DD560C2F}" presName="descendantText" presStyleLbl="alignAccFollowNode1" presStyleIdx="2" presStyleCnt="7">
        <dgm:presLayoutVars>
          <dgm:bulletEnabled val="1"/>
        </dgm:presLayoutVars>
      </dgm:prSet>
      <dgm:spPr/>
      <dgm:t>
        <a:bodyPr/>
        <a:lstStyle/>
        <a:p>
          <a:endParaRPr lang="en-US"/>
        </a:p>
      </dgm:t>
    </dgm:pt>
    <dgm:pt modelId="{CC35C741-5175-4A27-8CE8-80754DF66D5C}" type="pres">
      <dgm:prSet presAssocID="{9C1D7F6A-3147-4744-9C4C-700A7B2B82CF}" presName="sp" presStyleCnt="0"/>
      <dgm:spPr/>
    </dgm:pt>
    <dgm:pt modelId="{D86009F0-56E1-4E32-8615-8B6AEBCF2A19}" type="pres">
      <dgm:prSet presAssocID="{E8B6AD78-E2F0-4DAC-9010-5CBA14046F59}" presName="linNode" presStyleCnt="0"/>
      <dgm:spPr/>
    </dgm:pt>
    <dgm:pt modelId="{7345B54C-6B63-44E6-AA92-92D5575CBBC4}" type="pres">
      <dgm:prSet presAssocID="{E8B6AD78-E2F0-4DAC-9010-5CBA14046F59}" presName="parentText" presStyleLbl="node1" presStyleIdx="3" presStyleCnt="7">
        <dgm:presLayoutVars>
          <dgm:chMax val="1"/>
          <dgm:bulletEnabled val="1"/>
        </dgm:presLayoutVars>
      </dgm:prSet>
      <dgm:spPr/>
      <dgm:t>
        <a:bodyPr/>
        <a:lstStyle/>
        <a:p>
          <a:endParaRPr lang="en-US"/>
        </a:p>
      </dgm:t>
    </dgm:pt>
    <dgm:pt modelId="{C85ADDFA-8ADD-48DE-A65B-6B405B898B94}" type="pres">
      <dgm:prSet presAssocID="{E8B6AD78-E2F0-4DAC-9010-5CBA14046F59}" presName="descendantText" presStyleLbl="alignAccFollowNode1" presStyleIdx="3" presStyleCnt="7">
        <dgm:presLayoutVars>
          <dgm:bulletEnabled val="1"/>
        </dgm:presLayoutVars>
      </dgm:prSet>
      <dgm:spPr/>
      <dgm:t>
        <a:bodyPr/>
        <a:lstStyle/>
        <a:p>
          <a:endParaRPr lang="en-US"/>
        </a:p>
      </dgm:t>
    </dgm:pt>
    <dgm:pt modelId="{DE9D2764-2F02-441E-A9AA-339E990B4172}" type="pres">
      <dgm:prSet presAssocID="{4508E2E1-11A3-4761-A168-5680B78ADF09}" presName="sp" presStyleCnt="0"/>
      <dgm:spPr/>
    </dgm:pt>
    <dgm:pt modelId="{58E7ED25-149E-4A78-B23C-D981848BD1F8}" type="pres">
      <dgm:prSet presAssocID="{8578D767-121B-44DA-B12E-EC3DB641E663}" presName="linNode" presStyleCnt="0"/>
      <dgm:spPr/>
    </dgm:pt>
    <dgm:pt modelId="{C5602B53-CB46-4422-81FD-04FEACD36957}" type="pres">
      <dgm:prSet presAssocID="{8578D767-121B-44DA-B12E-EC3DB641E663}" presName="parentText" presStyleLbl="node1" presStyleIdx="4" presStyleCnt="7">
        <dgm:presLayoutVars>
          <dgm:chMax val="1"/>
          <dgm:bulletEnabled val="1"/>
        </dgm:presLayoutVars>
      </dgm:prSet>
      <dgm:spPr/>
      <dgm:t>
        <a:bodyPr/>
        <a:lstStyle/>
        <a:p>
          <a:endParaRPr lang="en-US"/>
        </a:p>
      </dgm:t>
    </dgm:pt>
    <dgm:pt modelId="{6F7BCE27-F73F-4127-A2B8-C6B83597E139}" type="pres">
      <dgm:prSet presAssocID="{8578D767-121B-44DA-B12E-EC3DB641E663}" presName="descendantText" presStyleLbl="alignAccFollowNode1" presStyleIdx="4" presStyleCnt="7">
        <dgm:presLayoutVars>
          <dgm:bulletEnabled val="1"/>
        </dgm:presLayoutVars>
      </dgm:prSet>
      <dgm:spPr/>
      <dgm:t>
        <a:bodyPr/>
        <a:lstStyle/>
        <a:p>
          <a:endParaRPr lang="en-US"/>
        </a:p>
      </dgm:t>
    </dgm:pt>
    <dgm:pt modelId="{EB20A58C-094D-4DD5-BB19-EC963F846C4E}" type="pres">
      <dgm:prSet presAssocID="{667D68B5-59CC-44E8-AC29-404EB5C7243F}" presName="sp" presStyleCnt="0"/>
      <dgm:spPr/>
    </dgm:pt>
    <dgm:pt modelId="{13B5E83F-F9D0-4F2A-8D20-D1EC9EC1814C}" type="pres">
      <dgm:prSet presAssocID="{4C812F7F-C76D-4EF5-9C74-49194A4AD335}" presName="linNode" presStyleCnt="0"/>
      <dgm:spPr/>
    </dgm:pt>
    <dgm:pt modelId="{D1D6BEF3-5B65-4D20-90EC-B14FC84431E5}" type="pres">
      <dgm:prSet presAssocID="{4C812F7F-C76D-4EF5-9C74-49194A4AD335}" presName="parentText" presStyleLbl="node1" presStyleIdx="5" presStyleCnt="7">
        <dgm:presLayoutVars>
          <dgm:chMax val="1"/>
          <dgm:bulletEnabled val="1"/>
        </dgm:presLayoutVars>
      </dgm:prSet>
      <dgm:spPr/>
      <dgm:t>
        <a:bodyPr/>
        <a:lstStyle/>
        <a:p>
          <a:endParaRPr lang="en-US"/>
        </a:p>
      </dgm:t>
    </dgm:pt>
    <dgm:pt modelId="{FD246675-34C5-4EF6-9FC4-FB9A789FF8FB}" type="pres">
      <dgm:prSet presAssocID="{4C812F7F-C76D-4EF5-9C74-49194A4AD335}" presName="descendantText" presStyleLbl="alignAccFollowNode1" presStyleIdx="5" presStyleCnt="7">
        <dgm:presLayoutVars>
          <dgm:bulletEnabled val="1"/>
        </dgm:presLayoutVars>
      </dgm:prSet>
      <dgm:spPr/>
      <dgm:t>
        <a:bodyPr/>
        <a:lstStyle/>
        <a:p>
          <a:endParaRPr lang="en-US"/>
        </a:p>
      </dgm:t>
    </dgm:pt>
    <dgm:pt modelId="{CC9209AC-4034-46F5-B758-40DEA1A3332C}" type="pres">
      <dgm:prSet presAssocID="{77A2B0E4-C2E2-4043-9970-58DFA345D040}" presName="sp" presStyleCnt="0"/>
      <dgm:spPr/>
    </dgm:pt>
    <dgm:pt modelId="{8202DED6-3BC1-4E01-832F-5FC606F8E755}" type="pres">
      <dgm:prSet presAssocID="{44DDD117-4462-4978-8F32-9E9362C0EBBC}" presName="linNode" presStyleCnt="0"/>
      <dgm:spPr/>
    </dgm:pt>
    <dgm:pt modelId="{B848B59E-9A05-4AEB-AEA0-09A84834660E}" type="pres">
      <dgm:prSet presAssocID="{44DDD117-4462-4978-8F32-9E9362C0EBBC}" presName="parentText" presStyleLbl="node1" presStyleIdx="6" presStyleCnt="7">
        <dgm:presLayoutVars>
          <dgm:chMax val="1"/>
          <dgm:bulletEnabled val="1"/>
        </dgm:presLayoutVars>
      </dgm:prSet>
      <dgm:spPr/>
      <dgm:t>
        <a:bodyPr/>
        <a:lstStyle/>
        <a:p>
          <a:endParaRPr lang="en-US"/>
        </a:p>
      </dgm:t>
    </dgm:pt>
    <dgm:pt modelId="{AA406E19-458C-4DF9-AE9E-08C297FE8C1A}" type="pres">
      <dgm:prSet presAssocID="{44DDD117-4462-4978-8F32-9E9362C0EBBC}" presName="descendantText" presStyleLbl="alignAccFollowNode1" presStyleIdx="6" presStyleCnt="7">
        <dgm:presLayoutVars>
          <dgm:bulletEnabled val="1"/>
        </dgm:presLayoutVars>
      </dgm:prSet>
      <dgm:spPr/>
      <dgm:t>
        <a:bodyPr/>
        <a:lstStyle/>
        <a:p>
          <a:endParaRPr lang="en-US"/>
        </a:p>
      </dgm:t>
    </dgm:pt>
  </dgm:ptLst>
  <dgm:cxnLst>
    <dgm:cxn modelId="{ECD492FE-775A-48FF-B5CD-60DC1BAFCAA7}" srcId="{B97EC123-01FD-4CAB-803B-2D09AB2FE3C1}" destId="{8578D767-121B-44DA-B12E-EC3DB641E663}" srcOrd="4" destOrd="0" parTransId="{FC92E8F8-C915-472F-B65C-1ED66980A3AE}" sibTransId="{667D68B5-59CC-44E8-AC29-404EB5C7243F}"/>
    <dgm:cxn modelId="{498B2C58-719B-447B-8775-DC1EC2133811}" type="presOf" srcId="{6CA057EC-FC19-461A-A57B-7F14F4359047}" destId="{AA406E19-458C-4DF9-AE9E-08C297FE8C1A}" srcOrd="0" destOrd="0" presId="urn:microsoft.com/office/officeart/2005/8/layout/vList5"/>
    <dgm:cxn modelId="{6E9C79FC-5FED-4E34-94CD-E43F216789BA}" srcId="{B97EC123-01FD-4CAB-803B-2D09AB2FE3C1}" destId="{9B4F5DC4-E304-424F-8799-5AE439F3F1C3}" srcOrd="0" destOrd="0" parTransId="{77EF9DAA-4BBC-4964-9B54-1EA71ECA11F8}" sibTransId="{E985F15A-4B8C-4DDD-A366-99DB47AC08A4}"/>
    <dgm:cxn modelId="{95A7C180-AD57-4CDF-9214-02486AB1C18F}" type="presOf" srcId="{D325D5AF-0AE5-4008-93E6-1F71DD560C2F}" destId="{8A56DBEB-D8ED-4EDF-B4E5-D60528EA82BD}" srcOrd="0" destOrd="0" presId="urn:microsoft.com/office/officeart/2005/8/layout/vList5"/>
    <dgm:cxn modelId="{285CDAA8-5FFC-4270-8C14-0DB8EE7FC657}" type="presOf" srcId="{44DDD117-4462-4978-8F32-9E9362C0EBBC}" destId="{B848B59E-9A05-4AEB-AEA0-09A84834660E}" srcOrd="0" destOrd="0" presId="urn:microsoft.com/office/officeart/2005/8/layout/vList5"/>
    <dgm:cxn modelId="{99167B9A-53AB-4851-A884-AB4A0A998D29}" type="presOf" srcId="{4C812F7F-C76D-4EF5-9C74-49194A4AD335}" destId="{D1D6BEF3-5B65-4D20-90EC-B14FC84431E5}" srcOrd="0" destOrd="0" presId="urn:microsoft.com/office/officeart/2005/8/layout/vList5"/>
    <dgm:cxn modelId="{08D0F0B1-8DAD-4586-9FD4-D8B17E98F6B4}" type="presOf" srcId="{B97EC123-01FD-4CAB-803B-2D09AB2FE3C1}" destId="{7D33F66E-AB57-4803-B25E-03764A5D1700}" srcOrd="0" destOrd="0" presId="urn:microsoft.com/office/officeart/2005/8/layout/vList5"/>
    <dgm:cxn modelId="{C60366E9-77E7-4856-B048-9F6BD9E43029}" srcId="{E2025AF2-9C7E-424D-ABBD-2F52883DA162}" destId="{FA15B2A4-7D2E-46D8-9D7A-F01E35A8CCA1}" srcOrd="0" destOrd="0" parTransId="{1D8696F3-77DE-491F-9EE4-CAA946DDE4B4}" sibTransId="{B913147F-57AB-4A34-929A-4F1D7CD9A4C5}"/>
    <dgm:cxn modelId="{54949DAC-7612-40B2-B185-35129FF40420}" srcId="{B97EC123-01FD-4CAB-803B-2D09AB2FE3C1}" destId="{D325D5AF-0AE5-4008-93E6-1F71DD560C2F}" srcOrd="2" destOrd="0" parTransId="{5224CC5E-13A4-4EEF-8D64-72A56F7461BE}" sibTransId="{9C1D7F6A-3147-4744-9C4C-700A7B2B82CF}"/>
    <dgm:cxn modelId="{EEEA8564-60F0-46E0-AD4E-1732A3CF5C43}" srcId="{44DDD117-4462-4978-8F32-9E9362C0EBBC}" destId="{6CA057EC-FC19-461A-A57B-7F14F4359047}" srcOrd="0" destOrd="0" parTransId="{2A878212-6AE5-4AD1-A1C5-7B442C7DA31D}" sibTransId="{1379650C-21C3-4385-BBD7-41D6F3E80AE3}"/>
    <dgm:cxn modelId="{7CF4D293-73B7-43BD-9D18-E402E770E6EE}" srcId="{B97EC123-01FD-4CAB-803B-2D09AB2FE3C1}" destId="{E8B6AD78-E2F0-4DAC-9010-5CBA14046F59}" srcOrd="3" destOrd="0" parTransId="{025AF180-EFD6-4AC7-BD2D-200C4A73772C}" sibTransId="{4508E2E1-11A3-4761-A168-5680B78ADF09}"/>
    <dgm:cxn modelId="{023FC3B5-CC5A-4A38-96D6-A322EE86B7F0}" type="presOf" srcId="{36B8AD07-CC5D-4F71-BE9D-65FB1E56BCD7}" destId="{C85ADDFA-8ADD-48DE-A65B-6B405B898B94}" srcOrd="0" destOrd="0" presId="urn:microsoft.com/office/officeart/2005/8/layout/vList5"/>
    <dgm:cxn modelId="{771EE782-9795-4B68-9A92-347707B1E579}" type="presOf" srcId="{E8B6AD78-E2F0-4DAC-9010-5CBA14046F59}" destId="{7345B54C-6B63-44E6-AA92-92D5575CBBC4}" srcOrd="0" destOrd="0" presId="urn:microsoft.com/office/officeart/2005/8/layout/vList5"/>
    <dgm:cxn modelId="{C41CC59D-4187-4391-922C-BDB37D3D5362}" srcId="{8578D767-121B-44DA-B12E-EC3DB641E663}" destId="{EF3D2F98-8BAA-403B-90A0-E9F8B6FD0DE4}" srcOrd="0" destOrd="0" parTransId="{9F0AAEC9-8803-41E0-A769-6911ACE49A5D}" sibTransId="{B1F58B6A-C736-44FE-8CE5-2155FE46AF83}"/>
    <dgm:cxn modelId="{E68D38F8-AD03-49D5-A3A5-B4798ED1D72B}" type="presOf" srcId="{8578D767-121B-44DA-B12E-EC3DB641E663}" destId="{C5602B53-CB46-4422-81FD-04FEACD36957}" srcOrd="0" destOrd="0" presId="urn:microsoft.com/office/officeart/2005/8/layout/vList5"/>
    <dgm:cxn modelId="{162645D1-B0FC-4C2E-B5EA-D5EADFD0AC7A}" type="presOf" srcId="{9B4F5DC4-E304-424F-8799-5AE439F3F1C3}" destId="{096BA8FF-610F-4646-8824-2259EEE9AC5F}" srcOrd="0" destOrd="0" presId="urn:microsoft.com/office/officeart/2005/8/layout/vList5"/>
    <dgm:cxn modelId="{F835FCDD-FBF2-4053-B046-C62754E44F24}" srcId="{9B4F5DC4-E304-424F-8799-5AE439F3F1C3}" destId="{ADB2DBD3-EA30-407A-9A75-C1A78AE40B9D}" srcOrd="0" destOrd="0" parTransId="{9AB1CE2B-C268-4B83-8A69-420A36E7B401}" sibTransId="{22CA9D71-38B3-4F00-8CD0-604C418C77B8}"/>
    <dgm:cxn modelId="{85F44806-F9B4-41A2-8A10-14EF01EE5EE9}" srcId="{B97EC123-01FD-4CAB-803B-2D09AB2FE3C1}" destId="{E2025AF2-9C7E-424D-ABBD-2F52883DA162}" srcOrd="1" destOrd="0" parTransId="{A03E1BD8-983F-4E87-B0CE-4EFCC7943A89}" sibTransId="{DF05B565-E526-4F9D-BFAC-CACC7285F1E8}"/>
    <dgm:cxn modelId="{4CE0E4D7-A496-4D24-AD73-B700E4137183}" srcId="{E8B6AD78-E2F0-4DAC-9010-5CBA14046F59}" destId="{36B8AD07-CC5D-4F71-BE9D-65FB1E56BCD7}" srcOrd="0" destOrd="0" parTransId="{2885701B-53DB-4C6A-91F2-9C9098350286}" sibTransId="{38A414DC-3A32-40EA-99FD-E4435CC508A9}"/>
    <dgm:cxn modelId="{4B37648E-C65E-411A-8A00-75AA5771B54A}" type="presOf" srcId="{ADB2DBD3-EA30-407A-9A75-C1A78AE40B9D}" destId="{D3DFFCA8-72A6-4A04-8B08-9D5F4923549F}" srcOrd="0" destOrd="0" presId="urn:microsoft.com/office/officeart/2005/8/layout/vList5"/>
    <dgm:cxn modelId="{5026CD08-B39C-47B4-BA9C-88F665826205}" type="presOf" srcId="{EF3D2F98-8BAA-403B-90A0-E9F8B6FD0DE4}" destId="{6F7BCE27-F73F-4127-A2B8-C6B83597E139}" srcOrd="0" destOrd="0" presId="urn:microsoft.com/office/officeart/2005/8/layout/vList5"/>
    <dgm:cxn modelId="{2715FBB9-4C60-464A-9147-F1F24A2CE2BE}" type="presOf" srcId="{2585D99E-2F64-4C39-B12F-CDBE3B58D53D}" destId="{FD246675-34C5-4EF6-9FC4-FB9A789FF8FB}" srcOrd="0" destOrd="0" presId="urn:microsoft.com/office/officeart/2005/8/layout/vList5"/>
    <dgm:cxn modelId="{82FA7C28-BD6C-479F-9832-E20ACB19A214}" srcId="{D325D5AF-0AE5-4008-93E6-1F71DD560C2F}" destId="{15B5114C-4AB4-48E3-A2B0-73B7AF841097}" srcOrd="0" destOrd="0" parTransId="{C51DD1BB-4E17-43D9-9C68-D74CF541A532}" sibTransId="{2F65B15D-1FB7-4BFA-9A20-BAEF12866597}"/>
    <dgm:cxn modelId="{6E9DDD0C-5657-4A3A-8C22-295130339392}" type="presOf" srcId="{E2025AF2-9C7E-424D-ABBD-2F52883DA162}" destId="{D6309985-6E27-43D0-ACBA-C4E867A6EBAA}" srcOrd="0" destOrd="0" presId="urn:microsoft.com/office/officeart/2005/8/layout/vList5"/>
    <dgm:cxn modelId="{8563676B-11EB-42DF-8B1B-8236FC29DCBE}" type="presOf" srcId="{FA15B2A4-7D2E-46D8-9D7A-F01E35A8CCA1}" destId="{DFD80142-4BEB-4B81-BD8B-6283169D23B4}" srcOrd="0" destOrd="0" presId="urn:microsoft.com/office/officeart/2005/8/layout/vList5"/>
    <dgm:cxn modelId="{0CBC9D35-6BA9-4501-90CC-1FD69A73A132}" type="presOf" srcId="{15B5114C-4AB4-48E3-A2B0-73B7AF841097}" destId="{7ABCAFDA-DE9E-493E-B0BE-59CA96746B30}" srcOrd="0" destOrd="0" presId="urn:microsoft.com/office/officeart/2005/8/layout/vList5"/>
    <dgm:cxn modelId="{D76176D8-E94A-4675-9FBC-F4C4156C16E5}" srcId="{B97EC123-01FD-4CAB-803B-2D09AB2FE3C1}" destId="{44DDD117-4462-4978-8F32-9E9362C0EBBC}" srcOrd="6" destOrd="0" parTransId="{0145D54E-82B7-4B39-8E07-48A4984054C3}" sibTransId="{2ED9AA42-77FE-458E-9CEC-270D2234565B}"/>
    <dgm:cxn modelId="{238FCFCC-6F46-4E4F-832C-CA2F7B555823}" srcId="{4C812F7F-C76D-4EF5-9C74-49194A4AD335}" destId="{2585D99E-2F64-4C39-B12F-CDBE3B58D53D}" srcOrd="0" destOrd="0" parTransId="{3E7636C4-2C48-4B7A-900F-702685FBAD8D}" sibTransId="{9D97ED1F-959B-4B80-9DED-8C921E450EA5}"/>
    <dgm:cxn modelId="{E9F6912F-F676-4BB0-B447-8037BDB03C7E}" srcId="{B97EC123-01FD-4CAB-803B-2D09AB2FE3C1}" destId="{4C812F7F-C76D-4EF5-9C74-49194A4AD335}" srcOrd="5" destOrd="0" parTransId="{D43ECBF7-9CE6-4C85-892B-D019C4C4DA3F}" sibTransId="{77A2B0E4-C2E2-4043-9970-58DFA345D040}"/>
    <dgm:cxn modelId="{25A22C3E-7EEE-44FB-A1AA-5DE9C0F7358E}" type="presParOf" srcId="{7D33F66E-AB57-4803-B25E-03764A5D1700}" destId="{E0F1FC31-538C-4E73-AB1B-7094F03CF59C}" srcOrd="0" destOrd="0" presId="urn:microsoft.com/office/officeart/2005/8/layout/vList5"/>
    <dgm:cxn modelId="{458AD5E4-D086-4183-87C7-1F6DEEDF7873}" type="presParOf" srcId="{E0F1FC31-538C-4E73-AB1B-7094F03CF59C}" destId="{096BA8FF-610F-4646-8824-2259EEE9AC5F}" srcOrd="0" destOrd="0" presId="urn:microsoft.com/office/officeart/2005/8/layout/vList5"/>
    <dgm:cxn modelId="{D84ED9B8-625B-4F63-B7C5-3252D9BD1A75}" type="presParOf" srcId="{E0F1FC31-538C-4E73-AB1B-7094F03CF59C}" destId="{D3DFFCA8-72A6-4A04-8B08-9D5F4923549F}" srcOrd="1" destOrd="0" presId="urn:microsoft.com/office/officeart/2005/8/layout/vList5"/>
    <dgm:cxn modelId="{7C94806A-49C2-4562-856D-C21B95324B5A}" type="presParOf" srcId="{7D33F66E-AB57-4803-B25E-03764A5D1700}" destId="{3C73D6C5-F6CA-4DB4-A3B0-7FB550140FBB}" srcOrd="1" destOrd="0" presId="urn:microsoft.com/office/officeart/2005/8/layout/vList5"/>
    <dgm:cxn modelId="{27E4F7D9-B57E-4155-9123-30D28E7CF717}" type="presParOf" srcId="{7D33F66E-AB57-4803-B25E-03764A5D1700}" destId="{74D457E1-0F82-45A4-A55B-F3D7DED8DCD6}" srcOrd="2" destOrd="0" presId="urn:microsoft.com/office/officeart/2005/8/layout/vList5"/>
    <dgm:cxn modelId="{08191E87-5EB6-416E-BFEC-746BA2DE66CE}" type="presParOf" srcId="{74D457E1-0F82-45A4-A55B-F3D7DED8DCD6}" destId="{D6309985-6E27-43D0-ACBA-C4E867A6EBAA}" srcOrd="0" destOrd="0" presId="urn:microsoft.com/office/officeart/2005/8/layout/vList5"/>
    <dgm:cxn modelId="{D52AF3F7-4A58-4313-8962-655DE3971185}" type="presParOf" srcId="{74D457E1-0F82-45A4-A55B-F3D7DED8DCD6}" destId="{DFD80142-4BEB-4B81-BD8B-6283169D23B4}" srcOrd="1" destOrd="0" presId="urn:microsoft.com/office/officeart/2005/8/layout/vList5"/>
    <dgm:cxn modelId="{1A98C63B-ED8A-4CD1-BDF9-FC445A34A35C}" type="presParOf" srcId="{7D33F66E-AB57-4803-B25E-03764A5D1700}" destId="{256AF43A-6067-46FF-A028-59EFF4F447B9}" srcOrd="3" destOrd="0" presId="urn:microsoft.com/office/officeart/2005/8/layout/vList5"/>
    <dgm:cxn modelId="{6DA878BC-CAB2-43D1-8823-ECA06BE39F86}" type="presParOf" srcId="{7D33F66E-AB57-4803-B25E-03764A5D1700}" destId="{6F1CB3C3-4BB8-484F-B31E-527D6D2010E9}" srcOrd="4" destOrd="0" presId="urn:microsoft.com/office/officeart/2005/8/layout/vList5"/>
    <dgm:cxn modelId="{568871EC-75E1-496C-84CE-3186F0DC7A40}" type="presParOf" srcId="{6F1CB3C3-4BB8-484F-B31E-527D6D2010E9}" destId="{8A56DBEB-D8ED-4EDF-B4E5-D60528EA82BD}" srcOrd="0" destOrd="0" presId="urn:microsoft.com/office/officeart/2005/8/layout/vList5"/>
    <dgm:cxn modelId="{EBCB76B5-4541-4C06-AD67-3FF60C6119BD}" type="presParOf" srcId="{6F1CB3C3-4BB8-484F-B31E-527D6D2010E9}" destId="{7ABCAFDA-DE9E-493E-B0BE-59CA96746B30}" srcOrd="1" destOrd="0" presId="urn:microsoft.com/office/officeart/2005/8/layout/vList5"/>
    <dgm:cxn modelId="{0859F237-B560-4E11-BB07-86E5B90D76DD}" type="presParOf" srcId="{7D33F66E-AB57-4803-B25E-03764A5D1700}" destId="{CC35C741-5175-4A27-8CE8-80754DF66D5C}" srcOrd="5" destOrd="0" presId="urn:microsoft.com/office/officeart/2005/8/layout/vList5"/>
    <dgm:cxn modelId="{BB3E9CAB-E228-4E54-9A7E-5741482727C2}" type="presParOf" srcId="{7D33F66E-AB57-4803-B25E-03764A5D1700}" destId="{D86009F0-56E1-4E32-8615-8B6AEBCF2A19}" srcOrd="6" destOrd="0" presId="urn:microsoft.com/office/officeart/2005/8/layout/vList5"/>
    <dgm:cxn modelId="{36971299-8D47-4136-9CD4-E5273921AE37}" type="presParOf" srcId="{D86009F0-56E1-4E32-8615-8B6AEBCF2A19}" destId="{7345B54C-6B63-44E6-AA92-92D5575CBBC4}" srcOrd="0" destOrd="0" presId="urn:microsoft.com/office/officeart/2005/8/layout/vList5"/>
    <dgm:cxn modelId="{995C0683-B523-4CD3-B75F-9DA9AC06007F}" type="presParOf" srcId="{D86009F0-56E1-4E32-8615-8B6AEBCF2A19}" destId="{C85ADDFA-8ADD-48DE-A65B-6B405B898B94}" srcOrd="1" destOrd="0" presId="urn:microsoft.com/office/officeart/2005/8/layout/vList5"/>
    <dgm:cxn modelId="{E9315CFD-4593-465A-BD7E-BAF8AB4507E5}" type="presParOf" srcId="{7D33F66E-AB57-4803-B25E-03764A5D1700}" destId="{DE9D2764-2F02-441E-A9AA-339E990B4172}" srcOrd="7" destOrd="0" presId="urn:microsoft.com/office/officeart/2005/8/layout/vList5"/>
    <dgm:cxn modelId="{FC879EB5-3813-4BA6-90EE-A2335441D20B}" type="presParOf" srcId="{7D33F66E-AB57-4803-B25E-03764A5D1700}" destId="{58E7ED25-149E-4A78-B23C-D981848BD1F8}" srcOrd="8" destOrd="0" presId="urn:microsoft.com/office/officeart/2005/8/layout/vList5"/>
    <dgm:cxn modelId="{6E55CFF6-CC22-458A-82CC-E651B2753725}" type="presParOf" srcId="{58E7ED25-149E-4A78-B23C-D981848BD1F8}" destId="{C5602B53-CB46-4422-81FD-04FEACD36957}" srcOrd="0" destOrd="0" presId="urn:microsoft.com/office/officeart/2005/8/layout/vList5"/>
    <dgm:cxn modelId="{DEEA755E-54D9-4314-AAB1-71A96A8B8604}" type="presParOf" srcId="{58E7ED25-149E-4A78-B23C-D981848BD1F8}" destId="{6F7BCE27-F73F-4127-A2B8-C6B83597E139}" srcOrd="1" destOrd="0" presId="urn:microsoft.com/office/officeart/2005/8/layout/vList5"/>
    <dgm:cxn modelId="{CCB6A41A-C973-4407-AF6A-89AAF561CFEB}" type="presParOf" srcId="{7D33F66E-AB57-4803-B25E-03764A5D1700}" destId="{EB20A58C-094D-4DD5-BB19-EC963F846C4E}" srcOrd="9" destOrd="0" presId="urn:microsoft.com/office/officeart/2005/8/layout/vList5"/>
    <dgm:cxn modelId="{CBC81F6B-34B9-45F6-9F62-14B9164BF3A0}" type="presParOf" srcId="{7D33F66E-AB57-4803-B25E-03764A5D1700}" destId="{13B5E83F-F9D0-4F2A-8D20-D1EC9EC1814C}" srcOrd="10" destOrd="0" presId="urn:microsoft.com/office/officeart/2005/8/layout/vList5"/>
    <dgm:cxn modelId="{F3C7B29D-7B16-4861-B397-CBE7CC15D33D}" type="presParOf" srcId="{13B5E83F-F9D0-4F2A-8D20-D1EC9EC1814C}" destId="{D1D6BEF3-5B65-4D20-90EC-B14FC84431E5}" srcOrd="0" destOrd="0" presId="urn:microsoft.com/office/officeart/2005/8/layout/vList5"/>
    <dgm:cxn modelId="{94D57EE0-36C7-448E-848A-09B88F66C2DE}" type="presParOf" srcId="{13B5E83F-F9D0-4F2A-8D20-D1EC9EC1814C}" destId="{FD246675-34C5-4EF6-9FC4-FB9A789FF8FB}" srcOrd="1" destOrd="0" presId="urn:microsoft.com/office/officeart/2005/8/layout/vList5"/>
    <dgm:cxn modelId="{2AAF88B5-89B9-4D20-9B53-ADB368CCB257}" type="presParOf" srcId="{7D33F66E-AB57-4803-B25E-03764A5D1700}" destId="{CC9209AC-4034-46F5-B758-40DEA1A3332C}" srcOrd="11" destOrd="0" presId="urn:microsoft.com/office/officeart/2005/8/layout/vList5"/>
    <dgm:cxn modelId="{86407AF8-7C55-451A-89E6-13A69D5A3C91}" type="presParOf" srcId="{7D33F66E-AB57-4803-B25E-03764A5D1700}" destId="{8202DED6-3BC1-4E01-832F-5FC606F8E755}" srcOrd="12" destOrd="0" presId="urn:microsoft.com/office/officeart/2005/8/layout/vList5"/>
    <dgm:cxn modelId="{D2D9D583-17E1-4885-AD2F-BED530CBBF62}" type="presParOf" srcId="{8202DED6-3BC1-4E01-832F-5FC606F8E755}" destId="{B848B59E-9A05-4AEB-AEA0-09A84834660E}" srcOrd="0" destOrd="0" presId="urn:microsoft.com/office/officeart/2005/8/layout/vList5"/>
    <dgm:cxn modelId="{5F703FE6-3236-4ADC-8D7A-B1E4EBC40F96}" type="presParOf" srcId="{8202DED6-3BC1-4E01-832F-5FC606F8E755}" destId="{AA406E19-458C-4DF9-AE9E-08C297FE8C1A}" srcOrd="1" destOrd="0" presId="urn:microsoft.com/office/officeart/2005/8/layout/vList5"/>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3DFFCA8-72A6-4A04-8B08-9D5F4923549F}">
      <dsp:nvSpPr>
        <dsp:cNvPr id="0" name=""/>
        <dsp:cNvSpPr/>
      </dsp:nvSpPr>
      <dsp:spPr>
        <a:xfrm rot="5400000">
          <a:off x="3154750" y="-1376624"/>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The databases to be integrated are identified and their comparability is assessed.</a:t>
          </a:r>
        </a:p>
      </dsp:txBody>
      <dsp:txXfrm rot="5400000">
        <a:off x="3154750" y="-1376624"/>
        <a:ext cx="276485" cy="3099287"/>
      </dsp:txXfrm>
    </dsp:sp>
    <dsp:sp modelId="{096BA8FF-610F-4646-8824-2259EEE9AC5F}">
      <dsp:nvSpPr>
        <dsp:cNvPr id="0" name=""/>
        <dsp:cNvSpPr/>
      </dsp:nvSpPr>
      <dsp:spPr>
        <a:xfrm>
          <a:off x="0" y="215"/>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Comparability check</a:t>
          </a:r>
        </a:p>
      </dsp:txBody>
      <dsp:txXfrm>
        <a:off x="0" y="215"/>
        <a:ext cx="1743349" cy="345607"/>
      </dsp:txXfrm>
    </dsp:sp>
    <dsp:sp modelId="{DFD80142-4BEB-4B81-BD8B-6283169D23B4}">
      <dsp:nvSpPr>
        <dsp:cNvPr id="0" name=""/>
        <dsp:cNvSpPr/>
      </dsp:nvSpPr>
      <dsp:spPr>
        <a:xfrm rot="5400000">
          <a:off x="3154750" y="-1013737"/>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The SUTs are constructed using both item-level and standard IO-level detail.</a:t>
          </a:r>
        </a:p>
      </dsp:txBody>
      <dsp:txXfrm rot="5400000">
        <a:off x="3154750" y="-1013737"/>
        <a:ext cx="276485" cy="3099287"/>
      </dsp:txXfrm>
    </dsp:sp>
    <dsp:sp modelId="{D6309985-6E27-43D0-ACBA-C4E867A6EBAA}">
      <dsp:nvSpPr>
        <dsp:cNvPr id="0" name=""/>
        <dsp:cNvSpPr/>
      </dsp:nvSpPr>
      <dsp:spPr>
        <a:xfrm>
          <a:off x="0" y="363103"/>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Bi-resolution SUTs</a:t>
          </a:r>
        </a:p>
      </dsp:txBody>
      <dsp:txXfrm>
        <a:off x="0" y="363103"/>
        <a:ext cx="1743349" cy="345607"/>
      </dsp:txXfrm>
    </dsp:sp>
    <dsp:sp modelId="{7ABCAFDA-DE9E-493E-B0BE-59CA96746B30}">
      <dsp:nvSpPr>
        <dsp:cNvPr id="0" name=""/>
        <dsp:cNvSpPr/>
      </dsp:nvSpPr>
      <dsp:spPr>
        <a:xfrm rot="5400000">
          <a:off x="3154750" y="-650849"/>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BEES energy technology data is converted into matrix form.</a:t>
          </a:r>
        </a:p>
      </dsp:txBody>
      <dsp:txXfrm rot="5400000">
        <a:off x="3154750" y="-650849"/>
        <a:ext cx="276485" cy="3099287"/>
      </dsp:txXfrm>
    </dsp:sp>
    <dsp:sp modelId="{8A56DBEB-D8ED-4EDF-B4E5-D60528EA82BD}">
      <dsp:nvSpPr>
        <dsp:cNvPr id="0" name=""/>
        <dsp:cNvSpPr/>
      </dsp:nvSpPr>
      <dsp:spPr>
        <a:xfrm>
          <a:off x="0" y="725990"/>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BEES into matrix form</a:t>
          </a:r>
        </a:p>
      </dsp:txBody>
      <dsp:txXfrm>
        <a:off x="0" y="725990"/>
        <a:ext cx="1743349" cy="345607"/>
      </dsp:txXfrm>
    </dsp:sp>
    <dsp:sp modelId="{C85ADDFA-8ADD-48DE-A65B-6B405B898B94}">
      <dsp:nvSpPr>
        <dsp:cNvPr id="0" name=""/>
        <dsp:cNvSpPr/>
      </dsp:nvSpPr>
      <dsp:spPr>
        <a:xfrm rot="5400000">
          <a:off x="3154750" y="-287962"/>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The cut-offs of BEES data are estimated.</a:t>
          </a:r>
        </a:p>
      </dsp:txBody>
      <dsp:txXfrm rot="5400000">
        <a:off x="3154750" y="-287962"/>
        <a:ext cx="276485" cy="3099287"/>
      </dsp:txXfrm>
    </dsp:sp>
    <dsp:sp modelId="{7345B54C-6B63-44E6-AA92-92D5575CBBC4}">
      <dsp:nvSpPr>
        <dsp:cNvPr id="0" name=""/>
        <dsp:cNvSpPr/>
      </dsp:nvSpPr>
      <dsp:spPr>
        <a:xfrm>
          <a:off x="0" y="1088877"/>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b="0" kern="1200"/>
            <a:t>Estimation of the cut-offs</a:t>
          </a:r>
        </a:p>
      </dsp:txBody>
      <dsp:txXfrm>
        <a:off x="0" y="1088877"/>
        <a:ext cx="1743349" cy="345607"/>
      </dsp:txXfrm>
    </dsp:sp>
    <dsp:sp modelId="{6F7BCE27-F73F-4127-A2B8-C6B83597E139}">
      <dsp:nvSpPr>
        <dsp:cNvPr id="0" name=""/>
        <dsp:cNvSpPr/>
      </dsp:nvSpPr>
      <dsp:spPr>
        <a:xfrm rot="5400000">
          <a:off x="3154750" y="74925"/>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This is an optional step to subtract the exchanges that are already described in BEES data from the SUTs.</a:t>
          </a:r>
        </a:p>
      </dsp:txBody>
      <dsp:txXfrm rot="5400000">
        <a:off x="3154750" y="74925"/>
        <a:ext cx="276485" cy="3099287"/>
      </dsp:txXfrm>
    </dsp:sp>
    <dsp:sp modelId="{C5602B53-CB46-4422-81FD-04FEACD36957}">
      <dsp:nvSpPr>
        <dsp:cNvPr id="0" name=""/>
        <dsp:cNvSpPr/>
      </dsp:nvSpPr>
      <dsp:spPr>
        <a:xfrm>
          <a:off x="0" y="1451765"/>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Subtraction of BEES</a:t>
          </a:r>
        </a:p>
      </dsp:txBody>
      <dsp:txXfrm>
        <a:off x="0" y="1451765"/>
        <a:ext cx="1743349" cy="345607"/>
      </dsp:txXfrm>
    </dsp:sp>
    <dsp:sp modelId="{FD246675-34C5-4EF6-9FC4-FB9A789FF8FB}">
      <dsp:nvSpPr>
        <dsp:cNvPr id="0" name=""/>
        <dsp:cNvSpPr/>
      </dsp:nvSpPr>
      <dsp:spPr>
        <a:xfrm rot="5400000">
          <a:off x="3154750" y="437812"/>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BEES, the SUTs and the cut-offs are integrated and the hybrid BEES LCIs are calculated.</a:t>
          </a:r>
        </a:p>
      </dsp:txBody>
      <dsp:txXfrm rot="5400000">
        <a:off x="3154750" y="437812"/>
        <a:ext cx="276485" cy="3099287"/>
      </dsp:txXfrm>
    </dsp:sp>
    <dsp:sp modelId="{D1D6BEF3-5B65-4D20-90EC-B14FC84431E5}">
      <dsp:nvSpPr>
        <dsp:cNvPr id="0" name=""/>
        <dsp:cNvSpPr/>
      </dsp:nvSpPr>
      <dsp:spPr>
        <a:xfrm>
          <a:off x="0" y="1814652"/>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Integration / calculation</a:t>
          </a:r>
        </a:p>
      </dsp:txBody>
      <dsp:txXfrm>
        <a:off x="0" y="1814652"/>
        <a:ext cx="1743349" cy="345607"/>
      </dsp:txXfrm>
    </dsp:sp>
    <dsp:sp modelId="{AA406E19-458C-4DF9-AE9E-08C297FE8C1A}">
      <dsp:nvSpPr>
        <dsp:cNvPr id="0" name=""/>
        <dsp:cNvSpPr/>
      </dsp:nvSpPr>
      <dsp:spPr>
        <a:xfrm rot="5400000">
          <a:off x="3154750" y="800699"/>
          <a:ext cx="276485" cy="30992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t> The resulting LCIs are tested and evaluated.	</a:t>
          </a:r>
        </a:p>
      </dsp:txBody>
      <dsp:txXfrm rot="5400000">
        <a:off x="3154750" y="800699"/>
        <a:ext cx="276485" cy="3099287"/>
      </dsp:txXfrm>
    </dsp:sp>
    <dsp:sp modelId="{B848B59E-9A05-4AEB-AEA0-09A84834660E}">
      <dsp:nvSpPr>
        <dsp:cNvPr id="0" name=""/>
        <dsp:cNvSpPr/>
      </dsp:nvSpPr>
      <dsp:spPr>
        <a:xfrm>
          <a:off x="0" y="2177540"/>
          <a:ext cx="1743349" cy="34560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Test run / evaluation</a:t>
          </a:r>
        </a:p>
      </dsp:txBody>
      <dsp:txXfrm>
        <a:off x="0" y="2177540"/>
        <a:ext cx="1743349" cy="34560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9149E-3C1F-42DE-99AF-2D12F55B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6288</Words>
  <Characters>35845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42049</CharactersWithSpaces>
  <SharedDoc>false</SharedDoc>
  <HLinks>
    <vt:vector size="6" baseType="variant">
      <vt:variant>
        <vt:i4>4259887</vt:i4>
      </vt:variant>
      <vt:variant>
        <vt:i4>0</vt:i4>
      </vt:variant>
      <vt:variant>
        <vt:i4>0</vt:i4>
      </vt:variant>
      <vt:variant>
        <vt:i4>5</vt:i4>
      </vt:variant>
      <vt:variant>
        <vt:lpwstr>mailto:suh@bren.ucsb.edu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Sangwon Suh</dc:creator>
  <cp:keywords/>
  <dc:description/>
  <cp:lastModifiedBy>suh</cp:lastModifiedBy>
  <cp:revision>5</cp:revision>
  <cp:lastPrinted>2011-07-15T16:18:00Z</cp:lastPrinted>
  <dcterms:created xsi:type="dcterms:W3CDTF">2012-02-22T20:15:00Z</dcterms:created>
  <dcterms:modified xsi:type="dcterms:W3CDTF">2012-02-22T20:22:00Z</dcterms:modified>
</cp:coreProperties>
</file>