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988" w:rsidRDefault="00030988" w:rsidP="00030988">
      <w:pPr>
        <w:pStyle w:val="Textoindependiente"/>
        <w:jc w:val="center"/>
        <w:rPr>
          <w:b/>
          <w:lang w:val="en-US"/>
        </w:rPr>
      </w:pPr>
      <w:proofErr w:type="gramStart"/>
      <w:r w:rsidRPr="002571B4">
        <w:rPr>
          <w:b/>
          <w:lang w:val="en-US"/>
        </w:rPr>
        <w:t>A Hybrid Input-Output Proposal to Identify Key Sectors for the Production and Distribution of Electricity.</w:t>
      </w:r>
      <w:proofErr w:type="gramEnd"/>
    </w:p>
    <w:p w:rsidR="000D3434" w:rsidRDefault="000D3434" w:rsidP="00030988">
      <w:pPr>
        <w:pStyle w:val="Textoindependiente"/>
        <w:jc w:val="center"/>
        <w:rPr>
          <w:b/>
          <w:lang w:val="en-US"/>
        </w:rPr>
      </w:pPr>
    </w:p>
    <w:p w:rsidR="000D3434" w:rsidRDefault="000D3434" w:rsidP="00030988">
      <w:pPr>
        <w:pStyle w:val="Textoindependiente"/>
        <w:jc w:val="center"/>
        <w:rPr>
          <w:b/>
          <w:lang w:val="en-US"/>
        </w:rPr>
      </w:pPr>
      <w:r>
        <w:rPr>
          <w:b/>
          <w:lang w:val="en-US"/>
        </w:rPr>
        <w:t>Ana-Isabel Guerra</w:t>
      </w:r>
    </w:p>
    <w:p w:rsidR="000D3434" w:rsidRDefault="000D3434" w:rsidP="00030988">
      <w:pPr>
        <w:pStyle w:val="Textoindependiente"/>
        <w:jc w:val="center"/>
        <w:rPr>
          <w:b/>
          <w:lang w:val="en-US"/>
        </w:rPr>
      </w:pPr>
      <w:r>
        <w:rPr>
          <w:b/>
          <w:lang w:val="en-US"/>
        </w:rPr>
        <w:t>Department of International Economics</w:t>
      </w:r>
    </w:p>
    <w:p w:rsidR="000D3434" w:rsidRDefault="000D3434" w:rsidP="00030988">
      <w:pPr>
        <w:pStyle w:val="Textoindependiente"/>
        <w:jc w:val="center"/>
        <w:rPr>
          <w:b/>
          <w:lang w:val="en-US"/>
        </w:rPr>
      </w:pPr>
      <w:r>
        <w:rPr>
          <w:b/>
          <w:lang w:val="en-US"/>
        </w:rPr>
        <w:t>Faculty of Economics and Business Administration</w:t>
      </w:r>
    </w:p>
    <w:p w:rsidR="00395D6F" w:rsidRPr="00395D6F" w:rsidRDefault="00395D6F" w:rsidP="00395D6F">
      <w:pPr>
        <w:pStyle w:val="Textoindependiente"/>
        <w:jc w:val="center"/>
        <w:rPr>
          <w:b/>
        </w:rPr>
      </w:pPr>
      <w:proofErr w:type="spellStart"/>
      <w:r w:rsidRPr="00395D6F">
        <w:rPr>
          <w:b/>
        </w:rPr>
        <w:t>University</w:t>
      </w:r>
      <w:proofErr w:type="spellEnd"/>
      <w:r w:rsidRPr="00395D6F">
        <w:rPr>
          <w:b/>
        </w:rPr>
        <w:t xml:space="preserve"> of Granada</w:t>
      </w:r>
    </w:p>
    <w:p w:rsidR="00395D6F" w:rsidRPr="00395D6F" w:rsidRDefault="00395D6F" w:rsidP="00030988">
      <w:pPr>
        <w:pStyle w:val="Textoindependiente"/>
        <w:jc w:val="center"/>
        <w:rPr>
          <w:b/>
        </w:rPr>
      </w:pPr>
      <w:r w:rsidRPr="00395D6F">
        <w:rPr>
          <w:b/>
        </w:rPr>
        <w:t xml:space="preserve">Campus Universitario de La Cartuja, 18011, Granada, </w:t>
      </w:r>
      <w:proofErr w:type="spellStart"/>
      <w:r w:rsidRPr="00395D6F">
        <w:rPr>
          <w:b/>
        </w:rPr>
        <w:t>Spain</w:t>
      </w:r>
      <w:proofErr w:type="spellEnd"/>
      <w:r w:rsidRPr="00395D6F">
        <w:rPr>
          <w:b/>
        </w:rPr>
        <w:t>.</w:t>
      </w:r>
    </w:p>
    <w:p w:rsidR="000D3434" w:rsidRPr="004702D5" w:rsidRDefault="00395D6F" w:rsidP="00395D6F">
      <w:pPr>
        <w:pStyle w:val="Textoindependiente"/>
        <w:rPr>
          <w:lang w:val="en-US"/>
        </w:rPr>
      </w:pPr>
      <w:r>
        <w:rPr>
          <w:b/>
        </w:rPr>
        <w:t xml:space="preserve">                                            </w:t>
      </w:r>
      <w:r w:rsidRPr="001A0A7E">
        <w:rPr>
          <w:b/>
          <w:lang w:val="en-US"/>
        </w:rPr>
        <w:t xml:space="preserve">Email:  </w:t>
      </w:r>
      <w:hyperlink r:id="rId7" w:history="1">
        <w:r w:rsidR="000D3434" w:rsidRPr="00972F0D">
          <w:rPr>
            <w:rStyle w:val="Hipervnculo"/>
            <w:b/>
            <w:lang w:val="en-US"/>
          </w:rPr>
          <w:t>anaisabelguerra@ugr.es</w:t>
        </w:r>
      </w:hyperlink>
    </w:p>
    <w:p w:rsidR="004702D5" w:rsidRPr="004702D5" w:rsidRDefault="004702D5" w:rsidP="004702D5">
      <w:pPr>
        <w:pStyle w:val="Textoindependiente"/>
        <w:jc w:val="center"/>
        <w:rPr>
          <w:b/>
          <w:lang w:val="en-US"/>
        </w:rPr>
      </w:pPr>
      <w:r w:rsidRPr="004702D5">
        <w:rPr>
          <w:b/>
          <w:lang w:val="en-US"/>
        </w:rPr>
        <w:t>Version: January 12</w:t>
      </w:r>
      <w:proofErr w:type="gramStart"/>
      <w:r w:rsidRPr="004702D5">
        <w:rPr>
          <w:b/>
          <w:lang w:val="en-US"/>
        </w:rPr>
        <w:t>,2014</w:t>
      </w:r>
      <w:proofErr w:type="gramEnd"/>
    </w:p>
    <w:p w:rsidR="000D3434" w:rsidRPr="002571B4" w:rsidRDefault="000D3434" w:rsidP="00030988">
      <w:pPr>
        <w:pStyle w:val="Textoindependiente"/>
        <w:jc w:val="center"/>
        <w:rPr>
          <w:b/>
          <w:lang w:val="en-US"/>
        </w:rPr>
      </w:pPr>
    </w:p>
    <w:p w:rsidR="00030988" w:rsidRDefault="00030988" w:rsidP="00030988">
      <w:pPr>
        <w:jc w:val="center"/>
        <w:rPr>
          <w:b/>
          <w:lang w:val="en-US"/>
        </w:rPr>
      </w:pPr>
    </w:p>
    <w:p w:rsidR="00030988" w:rsidRPr="00101CFE" w:rsidRDefault="00030988" w:rsidP="00030988">
      <w:pPr>
        <w:pStyle w:val="Ttulo"/>
        <w:rPr>
          <w:rFonts w:ascii="Times New Roman" w:hAnsi="Times New Roman" w:cs="Times New Roman"/>
          <w:sz w:val="24"/>
          <w:szCs w:val="24"/>
          <w:lang w:val="en-US"/>
        </w:rPr>
      </w:pPr>
      <w:r w:rsidRPr="00101CFE">
        <w:rPr>
          <w:rFonts w:ascii="Times New Roman" w:hAnsi="Times New Roman" w:cs="Times New Roman"/>
          <w:sz w:val="24"/>
          <w:szCs w:val="24"/>
          <w:lang w:val="en-US"/>
        </w:rPr>
        <w:t>Abstract:</w:t>
      </w:r>
    </w:p>
    <w:p w:rsidR="00030988" w:rsidRPr="00101CFE" w:rsidRDefault="00030988" w:rsidP="00030988">
      <w:pPr>
        <w:jc w:val="both"/>
        <w:rPr>
          <w:b/>
          <w:lang w:val="en-US"/>
        </w:rPr>
      </w:pPr>
    </w:p>
    <w:p w:rsidR="00030988" w:rsidRPr="001A0A7E" w:rsidRDefault="001A0A7E" w:rsidP="001A0A7E">
      <w:pPr>
        <w:autoSpaceDE w:val="0"/>
        <w:autoSpaceDN w:val="0"/>
        <w:adjustRightInd w:val="0"/>
        <w:spacing w:after="0" w:line="240" w:lineRule="auto"/>
        <w:jc w:val="both"/>
        <w:rPr>
          <w:rFonts w:ascii="Times New Roman" w:hAnsi="Times New Roman" w:cs="Times New Roman"/>
          <w:sz w:val="24"/>
          <w:szCs w:val="24"/>
          <w:lang w:val="en-US"/>
        </w:rPr>
      </w:pPr>
      <w:r w:rsidRPr="001A0A7E">
        <w:rPr>
          <w:rFonts w:ascii="Times New Roman" w:hAnsi="Times New Roman" w:cs="Times New Roman"/>
          <w:sz w:val="24"/>
          <w:szCs w:val="24"/>
          <w:lang w:val="en-US"/>
        </w:rPr>
        <w:t>This analysis explores the possibility of merging into a "hybrid" proposal two standard I-O methods that have been quite often used to identify key sectors, i.e. the Classical Multiplier Method and the Hypothetical Extraction Method. In the context of the latest revision of the European Union Energy Efficiency Plan, we use this proposal to single out key sectors that serve as tools for boosting all the potential energy savings in the economic system and, more specifically, in the production and distribution of electricity resources. Using the main distinctions and complementarities of the two traditional I-O key sector approaches, this hybrid formulation allows us to disaggregate the backward stimuli of the electricity sector in three indicators: the total, the internal and the external backward indicators. This "hybrid" proposal provides additional insights about the structure of the industrial linkages that participate in the production and distribution of electricity. Our results reveal that the explanation for the intensity of the backward effects of the electricity sector depends not only on the rest of energy sectors but also on some of the manufacturing industries. In our view, these findings may be important for conceiving a more balanced and cost-effective design of energy efficiency policies.</w:t>
      </w:r>
    </w:p>
    <w:p w:rsidR="001A0A7E" w:rsidRDefault="001A0A7E" w:rsidP="00030988">
      <w:pPr>
        <w:jc w:val="both"/>
        <w:rPr>
          <w:b/>
          <w:lang w:val="en-US"/>
        </w:rPr>
      </w:pPr>
    </w:p>
    <w:p w:rsidR="00030988" w:rsidRDefault="00030988" w:rsidP="00030988">
      <w:pPr>
        <w:jc w:val="both"/>
        <w:rPr>
          <w:b/>
          <w:lang w:val="en-US"/>
        </w:rPr>
      </w:pPr>
    </w:p>
    <w:p w:rsidR="00030988" w:rsidRPr="00395D6F" w:rsidRDefault="00030988" w:rsidP="00030988">
      <w:pPr>
        <w:pStyle w:val="Ttulo1"/>
        <w:rPr>
          <w:sz w:val="22"/>
          <w:szCs w:val="22"/>
          <w:lang w:val="en-US"/>
        </w:rPr>
      </w:pPr>
      <w:r w:rsidRPr="00395D6F">
        <w:rPr>
          <w:sz w:val="22"/>
          <w:szCs w:val="22"/>
          <w:lang w:val="en-US"/>
        </w:rPr>
        <w:t xml:space="preserve">Keywords: </w:t>
      </w:r>
    </w:p>
    <w:p w:rsidR="00030988" w:rsidRDefault="00030988" w:rsidP="00030988">
      <w:pPr>
        <w:pStyle w:val="Textoindependiente"/>
        <w:rPr>
          <w:lang w:val="en-US"/>
        </w:rPr>
      </w:pPr>
      <w:proofErr w:type="gramStart"/>
      <w:r w:rsidRPr="00101CFE">
        <w:rPr>
          <w:lang w:val="en-US"/>
        </w:rPr>
        <w:t xml:space="preserve">Energy Efficiency Policies, Production and Distribution of Electricity, Input-Output </w:t>
      </w:r>
      <w:r w:rsidR="00395D6F">
        <w:rPr>
          <w:lang w:val="en-US"/>
        </w:rPr>
        <w:t xml:space="preserve">Approaches, </w:t>
      </w:r>
      <w:r w:rsidRPr="00101CFE">
        <w:rPr>
          <w:lang w:val="en-US"/>
        </w:rPr>
        <w:t>Key Sector Methods.</w:t>
      </w:r>
      <w:proofErr w:type="gramEnd"/>
      <w:r w:rsidRPr="00101CFE">
        <w:rPr>
          <w:lang w:val="en-US"/>
        </w:rPr>
        <w:t xml:space="preserve"> </w:t>
      </w:r>
    </w:p>
    <w:p w:rsidR="003F2939" w:rsidRDefault="003F2939" w:rsidP="00030988">
      <w:pPr>
        <w:pStyle w:val="Textoindependiente"/>
        <w:rPr>
          <w:lang w:val="en-US"/>
        </w:rPr>
      </w:pPr>
    </w:p>
    <w:p w:rsidR="003F2939" w:rsidRDefault="003F2939" w:rsidP="00030988">
      <w:pPr>
        <w:pStyle w:val="Textoindependiente"/>
        <w:rPr>
          <w:lang w:val="en-US"/>
        </w:rPr>
      </w:pPr>
    </w:p>
    <w:p w:rsidR="003F2939" w:rsidRDefault="003F2939" w:rsidP="007F6B48">
      <w:pPr>
        <w:pStyle w:val="Textoindependiente"/>
        <w:jc w:val="both"/>
        <w:rPr>
          <w:lang w:val="en-US"/>
        </w:rPr>
      </w:pPr>
      <w:r w:rsidRPr="003F2939">
        <w:rPr>
          <w:rStyle w:val="Textoennegrita"/>
          <w:color w:val="000000"/>
          <w:shd w:val="clear" w:color="auto" w:fill="FFFFFF"/>
          <w:lang w:val="en-US"/>
        </w:rPr>
        <w:t>Acknowledgements</w:t>
      </w:r>
      <w:proofErr w:type="gramStart"/>
      <w:r w:rsidRPr="00332243">
        <w:rPr>
          <w:lang w:val="en-GB"/>
        </w:rPr>
        <w:t>:</w:t>
      </w:r>
      <w:r w:rsidRPr="00D01018">
        <w:rPr>
          <w:sz w:val="22"/>
          <w:szCs w:val="22"/>
          <w:lang w:val="en-GB"/>
        </w:rPr>
        <w:t>I</w:t>
      </w:r>
      <w:proofErr w:type="gramEnd"/>
      <w:r w:rsidRPr="00D01018">
        <w:rPr>
          <w:sz w:val="22"/>
          <w:szCs w:val="22"/>
          <w:lang w:val="en-GB"/>
        </w:rPr>
        <w:t xml:space="preserve"> </w:t>
      </w:r>
      <w:r w:rsidRPr="005C7DF0">
        <w:rPr>
          <w:sz w:val="22"/>
          <w:szCs w:val="22"/>
          <w:lang w:val="en-GB"/>
        </w:rPr>
        <w:t xml:space="preserve">am particularly grateful to </w:t>
      </w:r>
      <w:proofErr w:type="spellStart"/>
      <w:r w:rsidRPr="005C7DF0">
        <w:rPr>
          <w:sz w:val="22"/>
          <w:szCs w:val="22"/>
          <w:lang w:val="en-GB"/>
        </w:rPr>
        <w:t>Ferran</w:t>
      </w:r>
      <w:proofErr w:type="spellEnd"/>
      <w:r w:rsidRPr="005C7DF0">
        <w:rPr>
          <w:sz w:val="22"/>
          <w:szCs w:val="22"/>
          <w:lang w:val="en-GB"/>
        </w:rPr>
        <w:t xml:space="preserve"> </w:t>
      </w:r>
      <w:proofErr w:type="spellStart"/>
      <w:r w:rsidRPr="005C7DF0">
        <w:rPr>
          <w:sz w:val="22"/>
          <w:szCs w:val="22"/>
          <w:lang w:val="en-GB"/>
        </w:rPr>
        <w:t>Sancho</w:t>
      </w:r>
      <w:proofErr w:type="spellEnd"/>
      <w:r w:rsidRPr="005C7DF0">
        <w:rPr>
          <w:sz w:val="22"/>
          <w:szCs w:val="22"/>
          <w:lang w:val="en-GB"/>
        </w:rPr>
        <w:t xml:space="preserve">, </w:t>
      </w:r>
      <w:r>
        <w:rPr>
          <w:sz w:val="22"/>
          <w:szCs w:val="22"/>
          <w:lang w:val="en-GB"/>
        </w:rPr>
        <w:t xml:space="preserve">Michael Lahr, </w:t>
      </w:r>
      <w:proofErr w:type="spellStart"/>
      <w:r w:rsidRPr="005C7DF0">
        <w:rPr>
          <w:sz w:val="22"/>
          <w:szCs w:val="22"/>
          <w:lang w:val="en-GB"/>
        </w:rPr>
        <w:t>Mónica</w:t>
      </w:r>
      <w:proofErr w:type="spellEnd"/>
      <w:r w:rsidRPr="005C7DF0">
        <w:rPr>
          <w:sz w:val="22"/>
          <w:szCs w:val="22"/>
          <w:lang w:val="en-GB"/>
        </w:rPr>
        <w:t xml:space="preserve"> Serrano, Jan </w:t>
      </w:r>
      <w:proofErr w:type="spellStart"/>
      <w:r w:rsidRPr="005C7DF0">
        <w:rPr>
          <w:sz w:val="22"/>
          <w:szCs w:val="22"/>
          <w:lang w:val="en-GB"/>
        </w:rPr>
        <w:t>Oosterhaven</w:t>
      </w:r>
      <w:proofErr w:type="spellEnd"/>
      <w:r w:rsidRPr="005C7DF0">
        <w:rPr>
          <w:sz w:val="22"/>
          <w:szCs w:val="22"/>
          <w:lang w:val="en-GB"/>
        </w:rPr>
        <w:t xml:space="preserve">, Erik </w:t>
      </w:r>
      <w:proofErr w:type="spellStart"/>
      <w:r w:rsidRPr="005C7DF0">
        <w:rPr>
          <w:sz w:val="22"/>
          <w:szCs w:val="22"/>
          <w:lang w:val="en-GB"/>
        </w:rPr>
        <w:t>Dietzenbacher</w:t>
      </w:r>
      <w:proofErr w:type="spellEnd"/>
      <w:r w:rsidRPr="005C7DF0">
        <w:rPr>
          <w:sz w:val="22"/>
          <w:szCs w:val="22"/>
          <w:lang w:val="en-GB"/>
        </w:rPr>
        <w:t xml:space="preserve"> and Tobias </w:t>
      </w:r>
      <w:proofErr w:type="spellStart"/>
      <w:r w:rsidRPr="005C7DF0">
        <w:rPr>
          <w:sz w:val="22"/>
          <w:szCs w:val="22"/>
          <w:lang w:val="en-GB"/>
        </w:rPr>
        <w:t>Kronenberg</w:t>
      </w:r>
      <w:proofErr w:type="spellEnd"/>
      <w:r w:rsidRPr="005C7DF0">
        <w:rPr>
          <w:sz w:val="22"/>
          <w:szCs w:val="22"/>
          <w:lang w:val="en-GB"/>
        </w:rPr>
        <w:t xml:space="preserve"> for all their helpful suggestions and comments that have substantially contributed to improve this paper. Support from research grant MICINN-ECO2009-11857 is acknowledged too</w:t>
      </w:r>
    </w:p>
    <w:p w:rsidR="001A0A7E" w:rsidRDefault="001A0A7E" w:rsidP="00030988">
      <w:pPr>
        <w:pStyle w:val="Textoindependiente"/>
        <w:rPr>
          <w:lang w:val="en-US"/>
        </w:rPr>
      </w:pPr>
    </w:p>
    <w:p w:rsidR="001A0A7E" w:rsidRDefault="001A0A7E" w:rsidP="00030988">
      <w:pPr>
        <w:pStyle w:val="Textoindependiente"/>
        <w:rPr>
          <w:lang w:val="en-US"/>
        </w:rPr>
      </w:pPr>
    </w:p>
    <w:p w:rsidR="001A0A7E" w:rsidRPr="002571B4" w:rsidRDefault="001A0A7E" w:rsidP="001A0A7E">
      <w:pPr>
        <w:pStyle w:val="Textoindependiente"/>
        <w:rPr>
          <w:b/>
          <w:lang w:val="en-GB"/>
        </w:rPr>
      </w:pPr>
      <w:r w:rsidRPr="002571B4">
        <w:rPr>
          <w:b/>
          <w:lang w:val="en-GB"/>
        </w:rPr>
        <w:t xml:space="preserve">1. Introduction </w:t>
      </w:r>
    </w:p>
    <w:p w:rsidR="001A0A7E" w:rsidRPr="006E2928" w:rsidRDefault="001A0A7E" w:rsidP="001A0A7E">
      <w:pPr>
        <w:pStyle w:val="NormalWeb"/>
        <w:spacing w:line="360" w:lineRule="auto"/>
        <w:ind w:firstLine="709"/>
        <w:jc w:val="both"/>
        <w:rPr>
          <w:lang w:val="en-GB"/>
        </w:rPr>
      </w:pPr>
      <w:r w:rsidRPr="00F659F4">
        <w:rPr>
          <w:lang w:val="en-GB"/>
        </w:rPr>
        <w:t>In 2011, the European Commission launched a new communication</w:t>
      </w:r>
      <w:r w:rsidRPr="00F659F4">
        <w:rPr>
          <w:rStyle w:val="Refdenotaalpie"/>
          <w:lang w:val="en-GB"/>
        </w:rPr>
        <w:footnoteReference w:id="1"/>
      </w:r>
      <w:r w:rsidRPr="00F659F4">
        <w:rPr>
          <w:lang w:val="en-GB"/>
        </w:rPr>
        <w:t xml:space="preserve"> related to energy efficiency policies in order to enable the European Union (EU) to reach a 20 percent energy savings target no later than 2020. This communication reflected the urgent need of reshaping this resource policy to the new baseline scenario that materialized after the global financial crisis. Similarly to previous communications, this policy mainly focuses on energy intensive manufacturing industries, along with the transport sector, since these sectors are supposed to generate the highest potential growth in final energy use</w:t>
      </w:r>
      <w:r w:rsidRPr="00F659F4">
        <w:rPr>
          <w:rStyle w:val="Refdenotaalpie"/>
          <w:lang w:val="en-GB"/>
        </w:rPr>
        <w:footnoteReference w:id="2"/>
      </w:r>
      <w:r w:rsidRPr="00F659F4">
        <w:rPr>
          <w:lang w:val="en-GB"/>
        </w:rPr>
        <w:t>. Additionally, policy roadmaps have been also paved for the generation, transformation and distribution activities of energy resources. As it is well-known, the EU energy efficiency plan provides recommendations that should be adapted by each Member according to its own socio-economic and environmental situation, i.e. the National Energy Efficiency Plans (NEEAPs).</w:t>
      </w:r>
      <w:r w:rsidRPr="006E2928">
        <w:rPr>
          <w:lang w:val="en-GB"/>
        </w:rPr>
        <w:t xml:space="preserve"> </w:t>
      </w:r>
    </w:p>
    <w:p w:rsidR="001A0A7E" w:rsidRPr="00F94C71" w:rsidRDefault="001A0A7E" w:rsidP="001A0A7E">
      <w:pPr>
        <w:pStyle w:val="NormalWeb"/>
        <w:spacing w:line="360" w:lineRule="auto"/>
        <w:ind w:firstLine="709"/>
        <w:jc w:val="both"/>
        <w:rPr>
          <w:lang w:val="en-GB"/>
        </w:rPr>
      </w:pPr>
      <w:r w:rsidRPr="00F659F4">
        <w:rPr>
          <w:lang w:val="en-GB"/>
        </w:rPr>
        <w:t>All these EU “sector-specific” recommendations and the subsequent Member States’ policy actions have their roots on sound academic and technical reports that very often rest on the key-sector methodology (</w:t>
      </w:r>
      <w:proofErr w:type="spellStart"/>
      <w:r w:rsidRPr="00F659F4">
        <w:rPr>
          <w:lang w:val="en-GB"/>
        </w:rPr>
        <w:t>Hirschmann</w:t>
      </w:r>
      <w:proofErr w:type="spellEnd"/>
      <w:r w:rsidRPr="00F659F4">
        <w:rPr>
          <w:lang w:val="en-GB"/>
        </w:rPr>
        <w:t>, 1958). This approach pursues to identify which production sectors of the economy may contribute the most to the cost-effectiveness of these policy actions. Even though the key-sector analysis encompasses different analytical approaches, the Input-Output (I-O) methods are among the most popular in the literature.</w:t>
      </w:r>
    </w:p>
    <w:p w:rsidR="001A0A7E" w:rsidRPr="00DD561E" w:rsidRDefault="001A0A7E" w:rsidP="001A0A7E">
      <w:pPr>
        <w:pStyle w:val="NormalWeb"/>
        <w:spacing w:line="360" w:lineRule="auto"/>
        <w:ind w:firstLine="709"/>
        <w:jc w:val="both"/>
        <w:rPr>
          <w:lang w:val="en-US"/>
        </w:rPr>
      </w:pPr>
      <w:r w:rsidRPr="00F659F4">
        <w:rPr>
          <w:lang w:val="en-GB"/>
        </w:rPr>
        <w:t>Using these I-O key sector methods, several studies have already evaluated and quantified sectors’ “</w:t>
      </w:r>
      <w:proofErr w:type="spellStart"/>
      <w:r w:rsidRPr="00F659F4">
        <w:rPr>
          <w:lang w:val="en-GB"/>
        </w:rPr>
        <w:t>keyness</w:t>
      </w:r>
      <w:proofErr w:type="spellEnd"/>
      <w:r w:rsidRPr="00F659F4">
        <w:rPr>
          <w:lang w:val="en-GB"/>
        </w:rPr>
        <w:t xml:space="preserve">” for energy efficiency policies in terms of their environmental and monetary costs, either from the demand side or the supply side. Applications of this type constitute a subset of the well-known </w:t>
      </w:r>
      <w:r w:rsidRPr="00F659F4">
        <w:rPr>
          <w:iCs/>
          <w:lang w:val="en-GB"/>
        </w:rPr>
        <w:t xml:space="preserve">Energy I-O analyses. </w:t>
      </w:r>
      <w:r w:rsidRPr="00F659F4">
        <w:rPr>
          <w:lang w:val="en-GB"/>
        </w:rPr>
        <w:t xml:space="preserve">The studies of </w:t>
      </w:r>
      <w:smartTag w:uri="urn:schemas-microsoft-com:office:smarttags" w:element="City">
        <w:smartTag w:uri="urn:schemas-microsoft-com:office:smarttags" w:element="place">
          <w:r w:rsidRPr="00F659F4">
            <w:rPr>
              <w:lang w:val="en-GB"/>
            </w:rPr>
            <w:t>Cumberland</w:t>
          </w:r>
        </w:smartTag>
      </w:smartTag>
      <w:r w:rsidRPr="00F659F4">
        <w:rPr>
          <w:lang w:val="en-GB"/>
        </w:rPr>
        <w:t xml:space="preserve"> (1966), </w:t>
      </w:r>
      <w:proofErr w:type="spellStart"/>
      <w:r w:rsidRPr="00F659F4">
        <w:rPr>
          <w:lang w:val="en-GB"/>
        </w:rPr>
        <w:t>Strout</w:t>
      </w:r>
      <w:proofErr w:type="spellEnd"/>
      <w:r w:rsidRPr="00F659F4">
        <w:rPr>
          <w:lang w:val="en-GB"/>
        </w:rPr>
        <w:t xml:space="preserve"> (1967), and Blair (1980) are among the earliest works in this field. More recent examples in the academic literature are those carried out by </w:t>
      </w:r>
      <w:proofErr w:type="spellStart"/>
      <w:r w:rsidRPr="00F659F4">
        <w:rPr>
          <w:lang w:val="en-GB"/>
        </w:rPr>
        <w:t>Alcántara</w:t>
      </w:r>
      <w:proofErr w:type="spellEnd"/>
      <w:r w:rsidRPr="00F659F4">
        <w:rPr>
          <w:lang w:val="en-GB"/>
        </w:rPr>
        <w:t xml:space="preserve"> and Roca (1995), </w:t>
      </w:r>
      <w:proofErr w:type="spellStart"/>
      <w:r w:rsidRPr="00F659F4">
        <w:rPr>
          <w:lang w:val="en-GB"/>
        </w:rPr>
        <w:t>Alcántara</w:t>
      </w:r>
      <w:proofErr w:type="spellEnd"/>
      <w:r w:rsidRPr="00F659F4">
        <w:rPr>
          <w:lang w:val="en-GB"/>
        </w:rPr>
        <w:t xml:space="preserve"> and Padilla (2003) and Guerra and </w:t>
      </w:r>
      <w:proofErr w:type="spellStart"/>
      <w:r w:rsidRPr="00F659F4">
        <w:rPr>
          <w:lang w:val="en-GB"/>
        </w:rPr>
        <w:t>Sancho</w:t>
      </w:r>
      <w:proofErr w:type="spellEnd"/>
      <w:r w:rsidRPr="00F659F4">
        <w:rPr>
          <w:lang w:val="en-GB"/>
        </w:rPr>
        <w:t xml:space="preserve"> (2010), for the cases of Spain and the region of Catalonia, </w:t>
      </w:r>
      <w:proofErr w:type="spellStart"/>
      <w:r w:rsidRPr="00F659F4">
        <w:rPr>
          <w:lang w:val="en-GB"/>
        </w:rPr>
        <w:t>Lenzen</w:t>
      </w:r>
      <w:proofErr w:type="spellEnd"/>
      <w:r w:rsidRPr="00F659F4">
        <w:rPr>
          <w:lang w:val="en-GB"/>
        </w:rPr>
        <w:t xml:space="preserve"> (2003), Wang </w:t>
      </w:r>
      <w:r w:rsidRPr="00F659F4">
        <w:rPr>
          <w:lang w:val="en-GB"/>
        </w:rPr>
        <w:lastRenderedPageBreak/>
        <w:t xml:space="preserve">and Liang (2013), </w:t>
      </w:r>
      <w:proofErr w:type="spellStart"/>
      <w:r w:rsidRPr="00F659F4">
        <w:rPr>
          <w:lang w:val="en-GB"/>
        </w:rPr>
        <w:t>Hawdon</w:t>
      </w:r>
      <w:proofErr w:type="spellEnd"/>
      <w:r w:rsidRPr="00F659F4">
        <w:rPr>
          <w:lang w:val="en-GB"/>
        </w:rPr>
        <w:t xml:space="preserve"> and Pearson (1995) for Australia, China and the United</w:t>
      </w:r>
      <w:r w:rsidRPr="00101CFE">
        <w:rPr>
          <w:lang w:val="en-GB"/>
        </w:rPr>
        <w:t xml:space="preserve"> Kingdom, respectively, and </w:t>
      </w:r>
      <w:proofErr w:type="spellStart"/>
      <w:r w:rsidRPr="00101CFE">
        <w:rPr>
          <w:lang w:val="en-GB"/>
        </w:rPr>
        <w:t>Tarancón</w:t>
      </w:r>
      <w:proofErr w:type="spellEnd"/>
      <w:r w:rsidRPr="00101CFE">
        <w:rPr>
          <w:lang w:val="en-GB"/>
        </w:rPr>
        <w:t xml:space="preserve"> et al. </w:t>
      </w:r>
      <w:r w:rsidRPr="00DD561E">
        <w:rPr>
          <w:lang w:val="en-US"/>
        </w:rPr>
        <w:t>(2010) in the context of a group of EU economies.</w:t>
      </w:r>
    </w:p>
    <w:p w:rsidR="001A0A7E" w:rsidRDefault="001A0A7E" w:rsidP="001A0A7E">
      <w:pPr>
        <w:pStyle w:val="NormalWeb"/>
        <w:spacing w:line="360" w:lineRule="auto"/>
        <w:ind w:firstLine="708"/>
        <w:jc w:val="both"/>
        <w:rPr>
          <w:lang w:val="en-GB"/>
        </w:rPr>
      </w:pPr>
      <w:r w:rsidRPr="00F659F4">
        <w:rPr>
          <w:lang w:val="en-GB"/>
        </w:rPr>
        <w:t xml:space="preserve">These academic contributions have, in most cases, used two alternative criteria to elucidate the hierarchical order of sectors needed to implement resource policies. The first criterion is based on the Classical Multiplier Method (CMM), while the second one uses the Hypothetical Extraction Method (HEM). </w:t>
      </w:r>
      <w:r w:rsidRPr="00F659F4">
        <w:rPr>
          <w:lang w:val="en-US"/>
        </w:rPr>
        <w:t xml:space="preserve">The CMM criterion consists in </w:t>
      </w:r>
      <w:r w:rsidRPr="00F659F4">
        <w:rPr>
          <w:lang w:val="en-GB"/>
        </w:rPr>
        <w:t>maximizing sectors’ policy outcomes when controlling for their total industrial interdependencies, i.e. the internal interdependencies that stem from its own intermediate demand plus the external interdependencies that affect the remaining sectors in the economy. The HEM, instead, makes it possible in some of its formulations to focus the selection criterion on the intensity of the potential distributive or external industrial linkages alone.</w:t>
      </w:r>
      <w:r w:rsidRPr="00591722">
        <w:rPr>
          <w:lang w:val="en-GB"/>
        </w:rPr>
        <w:t xml:space="preserve"> </w:t>
      </w:r>
    </w:p>
    <w:p w:rsidR="001A0A7E" w:rsidRDefault="001A0A7E" w:rsidP="001A0A7E">
      <w:pPr>
        <w:pStyle w:val="NormalWeb"/>
        <w:spacing w:line="360" w:lineRule="auto"/>
        <w:ind w:firstLine="708"/>
        <w:jc w:val="both"/>
        <w:rPr>
          <w:lang w:val="en-GB"/>
        </w:rPr>
      </w:pPr>
      <w:r>
        <w:rPr>
          <w:lang w:val="en-GB"/>
        </w:rPr>
        <w:t xml:space="preserve">The present analysis departs from </w:t>
      </w:r>
      <w:r w:rsidRPr="00591722">
        <w:rPr>
          <w:lang w:val="en-GB"/>
        </w:rPr>
        <w:t>what has been comm</w:t>
      </w:r>
      <w:r>
        <w:rPr>
          <w:lang w:val="en-GB"/>
        </w:rPr>
        <w:t xml:space="preserve">on practice in the literature and offers a novel methodology constructed from merging the two aforementioned standard I-O key sector approaches and, consequently, </w:t>
      </w:r>
      <w:r w:rsidRPr="00591722">
        <w:rPr>
          <w:lang w:val="en-GB"/>
        </w:rPr>
        <w:t>their criteria too</w:t>
      </w:r>
      <w:r>
        <w:rPr>
          <w:lang w:val="en-GB"/>
        </w:rPr>
        <w:t xml:space="preserve">. Through an empirical application for the Spanish economy, </w:t>
      </w:r>
      <w:r w:rsidRPr="00E161AD">
        <w:rPr>
          <w:lang w:val="en-GB"/>
        </w:rPr>
        <w:t>we show</w:t>
      </w:r>
      <w:r>
        <w:rPr>
          <w:lang w:val="en-GB"/>
        </w:rPr>
        <w:t xml:space="preserve"> that this “hybrid”</w:t>
      </w:r>
      <w:r w:rsidRPr="00E161AD">
        <w:rPr>
          <w:lang w:val="en-GB"/>
        </w:rPr>
        <w:t xml:space="preserve"> </w:t>
      </w:r>
      <w:r>
        <w:rPr>
          <w:lang w:val="en-GB"/>
        </w:rPr>
        <w:t>I-O key sector methodology</w:t>
      </w:r>
      <w:r w:rsidRPr="00E161AD">
        <w:rPr>
          <w:lang w:val="en-GB"/>
        </w:rPr>
        <w:t xml:space="preserve"> </w:t>
      </w:r>
      <w:r>
        <w:rPr>
          <w:lang w:val="en-GB"/>
        </w:rPr>
        <w:t xml:space="preserve">provides useful information to define a more balanced and </w:t>
      </w:r>
      <w:r w:rsidRPr="00E161AD">
        <w:rPr>
          <w:lang w:val="en-GB"/>
        </w:rPr>
        <w:t>cost-effective</w:t>
      </w:r>
      <w:r>
        <w:rPr>
          <w:lang w:val="en-GB"/>
        </w:rPr>
        <w:t xml:space="preserve"> design of energy efficiency policies in general and, in particular, of those policy actions specifically oriented to increase energy savings in the production and distribution of electricity resources.                                                                                                                                                                                                                                                                    </w:t>
      </w:r>
    </w:p>
    <w:p w:rsidR="001A0A7E" w:rsidRPr="00EC2C5B" w:rsidRDefault="001A0A7E" w:rsidP="001A0A7E">
      <w:pPr>
        <w:pStyle w:val="NormalWeb"/>
        <w:spacing w:line="360" w:lineRule="auto"/>
        <w:ind w:firstLine="708"/>
        <w:jc w:val="both"/>
        <w:rPr>
          <w:lang w:val="en-GB"/>
        </w:rPr>
      </w:pPr>
      <w:r>
        <w:rPr>
          <w:lang w:val="en-GB"/>
        </w:rPr>
        <w:t xml:space="preserve">Electricity, as a secondary energy resource, is obtained from the transformation or conversion of other sources of energy like natural gas, coal, oil, nuclear power and other natural resources, </w:t>
      </w:r>
      <w:r w:rsidRPr="006E2928">
        <w:rPr>
          <w:lang w:val="en-GB"/>
        </w:rPr>
        <w:t>the so-called primary resources.</w:t>
      </w:r>
      <w:r>
        <w:rPr>
          <w:lang w:val="en-GB"/>
        </w:rPr>
        <w:t xml:space="preserve"> In </w:t>
      </w:r>
      <w:smartTag w:uri="urn:schemas-microsoft-com:office:smarttags" w:element="place">
        <w:r>
          <w:rPr>
            <w:lang w:val="en-GB"/>
          </w:rPr>
          <w:t>Europe</w:t>
        </w:r>
      </w:smartTag>
      <w:r>
        <w:rPr>
          <w:lang w:val="en-GB"/>
        </w:rPr>
        <w:t>, the average transformation efficiency for electricity generation amounts to only 33 percent. A</w:t>
      </w:r>
      <w:r w:rsidRPr="00025F67">
        <w:rPr>
          <w:lang w:val="en-GB"/>
        </w:rPr>
        <w:t>ddition</w:t>
      </w:r>
      <w:r>
        <w:rPr>
          <w:lang w:val="en-GB"/>
        </w:rPr>
        <w:t>ally</w:t>
      </w:r>
      <w:r w:rsidRPr="00025F67">
        <w:rPr>
          <w:lang w:val="en-GB"/>
        </w:rPr>
        <w:t>, efficiency losses</w:t>
      </w:r>
      <w:r>
        <w:rPr>
          <w:lang w:val="en-GB"/>
        </w:rPr>
        <w:t xml:space="preserve"> also occur at the transmission and distribution of electricity resources.  In 2011, these losses represented, on average, 6.23 percent of the total electric power generated in the EU. In </w:t>
      </w:r>
      <w:smartTag w:uri="urn:schemas-microsoft-com:office:smarttags" w:element="place">
        <w:smartTag w:uri="urn:schemas-microsoft-com:office:smarttags" w:element="country-region">
          <w:r>
            <w:rPr>
              <w:lang w:val="en-GB"/>
            </w:rPr>
            <w:t>Spain</w:t>
          </w:r>
        </w:smartTag>
      </w:smartTag>
      <w:r>
        <w:rPr>
          <w:lang w:val="en-GB"/>
        </w:rPr>
        <w:t xml:space="preserve">, this figure accounted for 9.26 percent. </w:t>
      </w:r>
      <w:r w:rsidRPr="00DA3513">
        <w:rPr>
          <w:lang w:val="en-GB"/>
        </w:rPr>
        <w:t xml:space="preserve">For all these reasons the European Commission has proposed in its </w:t>
      </w:r>
      <w:r w:rsidRPr="007F3694">
        <w:rPr>
          <w:lang w:val="en-GB"/>
        </w:rPr>
        <w:t>Energy Efficiency Plan (2011)</w:t>
      </w:r>
      <w:r w:rsidRPr="00DA3513">
        <w:rPr>
          <w:lang w:val="en-GB"/>
        </w:rPr>
        <w:t xml:space="preserve"> measures to reduce efficiency losses at all stages o</w:t>
      </w:r>
      <w:r>
        <w:rPr>
          <w:lang w:val="en-GB"/>
        </w:rPr>
        <w:t xml:space="preserve">f the </w:t>
      </w:r>
      <w:r>
        <w:rPr>
          <w:lang w:val="en-GB"/>
        </w:rPr>
        <w:lastRenderedPageBreak/>
        <w:t>electricity “chain” since, as revealed by all these figures</w:t>
      </w:r>
      <w:r>
        <w:rPr>
          <w:rStyle w:val="Refdenotaalpie"/>
          <w:lang w:val="en-GB"/>
        </w:rPr>
        <w:footnoteReference w:id="3"/>
      </w:r>
      <w:r>
        <w:rPr>
          <w:lang w:val="en-GB"/>
        </w:rPr>
        <w:t xml:space="preserve">, </w:t>
      </w:r>
      <w:r w:rsidRPr="00DA3513">
        <w:rPr>
          <w:lang w:val="en-GB"/>
        </w:rPr>
        <w:t xml:space="preserve">efficiency gains in the </w:t>
      </w:r>
      <w:r w:rsidRPr="00F659F4">
        <w:rPr>
          <w:lang w:val="en-GB"/>
        </w:rPr>
        <w:t xml:space="preserve">production and distribution of electricity are equally important as those in its final use.  In implementing the latest EU energy efficiency recommendations reflected in the provisions of the Commission Directive </w:t>
      </w:r>
      <w:r w:rsidRPr="00F659F4">
        <w:rPr>
          <w:lang w:val="en-US"/>
        </w:rPr>
        <w:t xml:space="preserve">2012/27/EU, </w:t>
      </w:r>
      <w:r w:rsidRPr="00F659F4">
        <w:rPr>
          <w:lang w:val="en-GB"/>
        </w:rPr>
        <w:t>analogous policy actions have been designed by all EU-28 Members. In the Spanish context, all these actions are included within the second Spanish Energy Saving and Efficiency Action Plan 2011-2020</w:t>
      </w:r>
      <w:r w:rsidRPr="00F659F4">
        <w:rPr>
          <w:rStyle w:val="Refdenotaalpie"/>
          <w:lang w:val="en-GB"/>
        </w:rPr>
        <w:footnoteReference w:id="4"/>
      </w:r>
      <w:r w:rsidRPr="00F659F4">
        <w:rPr>
          <w:lang w:val="en-GB"/>
        </w:rPr>
        <w:t>.</w:t>
      </w:r>
    </w:p>
    <w:p w:rsidR="001A0A7E" w:rsidRPr="00E161AD" w:rsidRDefault="001A0A7E" w:rsidP="001A0A7E">
      <w:pPr>
        <w:pStyle w:val="NormalWeb"/>
        <w:spacing w:line="360" w:lineRule="auto"/>
        <w:ind w:firstLine="708"/>
        <w:jc w:val="both"/>
        <w:rPr>
          <w:lang w:val="en-GB"/>
        </w:rPr>
      </w:pPr>
      <w:r w:rsidRPr="00F659F4">
        <w:rPr>
          <w:lang w:val="en-GB"/>
        </w:rPr>
        <w:t xml:space="preserve">In this regard, our “hybrid” I-O method provides a better understanding of the nature and structure of the industrial interdependencies that stem from the production and distribution of these secondary energy resources. The reason is that this new approach makes it possible to quantify the role played by each production unit within these industrial interdependences on the basis of three demand-pull stimuli indicators. Hence we are able to distinguish between total, internal and external backward measures. As the names themselves suggest, each indicator captures a particular type of industrial interdependencies that directly or indirectly determine economy-wide electricity consumption and thus, their potential to achieve higher efficiency levels. </w:t>
      </w:r>
      <w:r w:rsidRPr="00F659F4">
        <w:rPr>
          <w:lang w:val="en-US"/>
        </w:rPr>
        <w:t xml:space="preserve">The internal backward indicator of the electricity sector caused by self-supply evaluates the potential of this sector to save electricity resources in its own production and distribution process. The external backward indicator of the electricity industry and its </w:t>
      </w:r>
      <w:proofErr w:type="spellStart"/>
      <w:r w:rsidRPr="00F659F4">
        <w:rPr>
          <w:lang w:val="en-US"/>
        </w:rPr>
        <w:t>sectoral</w:t>
      </w:r>
      <w:proofErr w:type="spellEnd"/>
      <w:r w:rsidRPr="00F659F4">
        <w:rPr>
          <w:lang w:val="en-US"/>
        </w:rPr>
        <w:t xml:space="preserve"> distribution inform, in contrast, about the contribution that can be traced to the remaining sectors to accomplish the final demand of electricity in the economy. Once sectors’ “</w:t>
      </w:r>
      <w:proofErr w:type="spellStart"/>
      <w:r w:rsidRPr="00F659F4">
        <w:rPr>
          <w:lang w:val="en-US"/>
        </w:rPr>
        <w:t>keyness</w:t>
      </w:r>
      <w:proofErr w:type="spellEnd"/>
      <w:r w:rsidRPr="00F659F4">
        <w:rPr>
          <w:lang w:val="en-US"/>
        </w:rPr>
        <w:t xml:space="preserve">” as input suppliers for the production and distribution of electricity is quantified, the total and external backward indicators of each sector are used, in a complementary way, to consider its role as end-user of electricity resources too.  </w:t>
      </w:r>
      <w:r w:rsidRPr="00F659F4">
        <w:rPr>
          <w:lang w:val="en-GB"/>
        </w:rPr>
        <w:t>Therefore, and differently to the standard I-O key sector methods where a single criterion or backward indicator is applied, the “hybrid” method identifies key sectors using three demand-pull stimuli measures. This novel approach may help to provide, in our view, a more comprehensive and detailed set of guidelines for energy efficiency policies.</w:t>
      </w:r>
      <w:r w:rsidRPr="006D463F">
        <w:rPr>
          <w:lang w:val="en-GB"/>
        </w:rPr>
        <w:t xml:space="preserve"> </w:t>
      </w:r>
    </w:p>
    <w:p w:rsidR="001A0A7E" w:rsidRPr="00237A87" w:rsidRDefault="001A0A7E" w:rsidP="001A0A7E">
      <w:pPr>
        <w:pStyle w:val="NormalWeb"/>
        <w:spacing w:line="360" w:lineRule="auto"/>
        <w:ind w:firstLine="708"/>
        <w:jc w:val="both"/>
        <w:rPr>
          <w:lang w:val="en-US"/>
        </w:rPr>
      </w:pPr>
      <w:r w:rsidRPr="002A6570">
        <w:rPr>
          <w:lang w:val="en-US"/>
        </w:rPr>
        <w:lastRenderedPageBreak/>
        <w:t>This paper is orga</w:t>
      </w:r>
      <w:r>
        <w:rPr>
          <w:lang w:val="en-US"/>
        </w:rPr>
        <w:t xml:space="preserve">nized as follows. In Section 2, after briefly </w:t>
      </w:r>
      <w:r w:rsidRPr="002A6570">
        <w:rPr>
          <w:lang w:val="en-US"/>
        </w:rPr>
        <w:t>describ</w:t>
      </w:r>
      <w:r>
        <w:rPr>
          <w:lang w:val="en-US"/>
        </w:rPr>
        <w:t xml:space="preserve">ing </w:t>
      </w:r>
      <w:r w:rsidRPr="002A6570">
        <w:rPr>
          <w:lang w:val="en-US"/>
        </w:rPr>
        <w:t xml:space="preserve">the main differences and connections between the two </w:t>
      </w:r>
      <w:r>
        <w:rPr>
          <w:lang w:val="en-US"/>
        </w:rPr>
        <w:t>standard I-O key sector demand-pull indicators, w</w:t>
      </w:r>
      <w:r w:rsidRPr="002A6570">
        <w:rPr>
          <w:lang w:val="en-US"/>
        </w:rPr>
        <w:t xml:space="preserve">e </w:t>
      </w:r>
      <w:r>
        <w:rPr>
          <w:lang w:val="en-US"/>
        </w:rPr>
        <w:t xml:space="preserve">proceed to </w:t>
      </w:r>
      <w:r w:rsidRPr="002A6570">
        <w:rPr>
          <w:lang w:val="en-US"/>
        </w:rPr>
        <w:t>formally present the new “hybrid”</w:t>
      </w:r>
      <w:r>
        <w:rPr>
          <w:lang w:val="en-US"/>
        </w:rPr>
        <w:t xml:space="preserve"> I-O key sector method.</w:t>
      </w:r>
      <w:r w:rsidRPr="002A6570">
        <w:rPr>
          <w:lang w:val="en-US"/>
        </w:rPr>
        <w:t xml:space="preserve"> The empirical exercise of our “hybrid” proposal related to energy efficiency policies in the Spanish context is presented </w:t>
      </w:r>
      <w:r>
        <w:rPr>
          <w:lang w:val="en-US"/>
        </w:rPr>
        <w:t>and described in Section 3.</w:t>
      </w:r>
      <w:r w:rsidRPr="002A6570">
        <w:rPr>
          <w:lang w:val="en-US"/>
        </w:rPr>
        <w:t xml:space="preserve"> Section 4 concludes this analysis indicating the main policy implications. </w:t>
      </w:r>
    </w:p>
    <w:p w:rsidR="001A0A7E" w:rsidRPr="00281949" w:rsidRDefault="001A0A7E" w:rsidP="001A0A7E">
      <w:pPr>
        <w:pStyle w:val="Textoindependiente"/>
        <w:rPr>
          <w:b/>
          <w:lang w:val="en-GB"/>
        </w:rPr>
      </w:pPr>
      <w:r w:rsidRPr="00281949">
        <w:rPr>
          <w:b/>
          <w:lang w:val="en-GB"/>
        </w:rPr>
        <w:t>2. Merging the Traditional I-O Key-Sector Methods: A</w:t>
      </w:r>
      <w:r w:rsidRPr="00281949">
        <w:rPr>
          <w:b/>
          <w:color w:val="FF0000"/>
          <w:lang w:val="en-GB"/>
        </w:rPr>
        <w:t xml:space="preserve"> </w:t>
      </w:r>
      <w:r w:rsidRPr="00281949">
        <w:rPr>
          <w:b/>
          <w:lang w:val="en-GB"/>
        </w:rPr>
        <w:t xml:space="preserve">Hybrid Proposal. </w:t>
      </w:r>
    </w:p>
    <w:p w:rsidR="001A0A7E" w:rsidRPr="00F46A3B" w:rsidRDefault="001A0A7E" w:rsidP="001A0A7E">
      <w:pPr>
        <w:pStyle w:val="NormalWeb"/>
        <w:spacing w:line="360" w:lineRule="auto"/>
        <w:ind w:firstLine="709"/>
        <w:jc w:val="both"/>
        <w:rPr>
          <w:lang w:val="en-GB"/>
        </w:rPr>
      </w:pPr>
      <w:r w:rsidRPr="00F46A3B">
        <w:rPr>
          <w:lang w:val="en-US"/>
        </w:rPr>
        <w:t>In this section we formally</w:t>
      </w:r>
      <w:r>
        <w:rPr>
          <w:lang w:val="en-US"/>
        </w:rPr>
        <w:t xml:space="preserve"> present </w:t>
      </w:r>
      <w:r w:rsidRPr="00F46A3B">
        <w:rPr>
          <w:lang w:val="en-US"/>
        </w:rPr>
        <w:t>the “hybrid”</w:t>
      </w:r>
      <w:r>
        <w:rPr>
          <w:lang w:val="en-US"/>
        </w:rPr>
        <w:t xml:space="preserve"> I-O key-sector methodology and their derived three backward linkage indicators.</w:t>
      </w:r>
      <w:r w:rsidRPr="00F46A3B">
        <w:rPr>
          <w:lang w:val="en-US"/>
        </w:rPr>
        <w:t xml:space="preserve"> </w:t>
      </w:r>
      <w:r>
        <w:rPr>
          <w:lang w:val="en-US"/>
        </w:rPr>
        <w:t xml:space="preserve">Since we are dealing with demand-pull stimuli measures, </w:t>
      </w:r>
      <w:r w:rsidRPr="00F46A3B">
        <w:rPr>
          <w:lang w:val="en-GB"/>
        </w:rPr>
        <w:t xml:space="preserve">our point of departure is </w:t>
      </w:r>
      <w:r>
        <w:rPr>
          <w:lang w:val="en-GB"/>
        </w:rPr>
        <w:t xml:space="preserve">the equilibrium solution of the Leontief quantity model for an economy with N production sectors (Leontief, 1936, 1941). This </w:t>
      </w:r>
      <w:r w:rsidRPr="00F46A3B">
        <w:rPr>
          <w:lang w:val="en-GB"/>
        </w:rPr>
        <w:t xml:space="preserve">equilibrium solution in reduced form is given by: </w:t>
      </w:r>
      <w:r w:rsidRPr="00F46A3B">
        <w:rPr>
          <w:lang w:val="en-GB"/>
        </w:rPr>
        <w:tab/>
      </w:r>
      <w:r w:rsidRPr="00F46A3B">
        <w:rPr>
          <w:lang w:val="en-GB"/>
        </w:rPr>
        <w:tab/>
      </w:r>
    </w:p>
    <w:p w:rsidR="001A0A7E" w:rsidRPr="00F46A3B" w:rsidRDefault="001A0A7E" w:rsidP="001A0A7E">
      <w:pPr>
        <w:pStyle w:val="NormalWeb"/>
        <w:spacing w:line="360" w:lineRule="auto"/>
        <w:ind w:firstLine="709"/>
        <w:jc w:val="both"/>
        <w:rPr>
          <w:b/>
          <w:lang w:val="en-GB"/>
        </w:rPr>
      </w:pPr>
      <w:r w:rsidRPr="00F46A3B">
        <w:rPr>
          <w:position w:val="-14"/>
          <w:lang w:val="en-GB"/>
        </w:rPr>
        <w:object w:dxaOrig="148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35pt;height:21.75pt" o:ole="">
            <v:imagedata r:id="rId8" o:title=""/>
          </v:shape>
          <o:OLEObject Type="Embed" ProgID="Equation.DSMT4" ShapeID="_x0000_i1025" DrawAspect="Content" ObjectID="_1451051875" r:id="rId9"/>
        </w:object>
      </w:r>
      <w:r w:rsidRPr="00F46A3B">
        <w:rPr>
          <w:lang w:val="en-GB"/>
        </w:rPr>
        <w:tab/>
      </w:r>
      <w:r w:rsidRPr="00F46A3B">
        <w:rPr>
          <w:lang w:val="en-GB"/>
        </w:rPr>
        <w:tab/>
      </w:r>
      <w:r w:rsidRPr="00F46A3B">
        <w:rPr>
          <w:lang w:val="en-GB"/>
        </w:rPr>
        <w:tab/>
      </w:r>
      <w:r w:rsidRPr="00F46A3B">
        <w:rPr>
          <w:lang w:val="en-GB"/>
        </w:rPr>
        <w:tab/>
      </w:r>
      <w:r w:rsidRPr="00F46A3B">
        <w:rPr>
          <w:lang w:val="en-GB"/>
        </w:rPr>
        <w:tab/>
      </w:r>
      <w:r w:rsidRPr="00F46A3B">
        <w:rPr>
          <w:lang w:val="en-GB"/>
        </w:rPr>
        <w:tab/>
      </w:r>
      <w:r w:rsidRPr="00F46A3B">
        <w:rPr>
          <w:lang w:val="en-GB"/>
        </w:rPr>
        <w:tab/>
        <w:t xml:space="preserve">                </w:t>
      </w:r>
      <w:r>
        <w:rPr>
          <w:lang w:val="en-GB"/>
        </w:rPr>
        <w:t xml:space="preserve"> </w:t>
      </w:r>
      <w:r w:rsidRPr="00F46A3B">
        <w:rPr>
          <w:lang w:val="en-GB"/>
        </w:rPr>
        <w:t xml:space="preserve"> (1)</w:t>
      </w:r>
    </w:p>
    <w:p w:rsidR="001A0A7E" w:rsidRPr="00B223E0" w:rsidRDefault="001A0A7E" w:rsidP="001A0A7E">
      <w:pPr>
        <w:pStyle w:val="NormalWeb"/>
        <w:spacing w:line="360" w:lineRule="auto"/>
        <w:jc w:val="both"/>
        <w:rPr>
          <w:iCs/>
          <w:lang w:val="en-GB"/>
        </w:rPr>
      </w:pPr>
      <w:r w:rsidRPr="00F46A3B">
        <w:rPr>
          <w:lang w:val="en-GB"/>
        </w:rPr>
        <w:t xml:space="preserve">where </w:t>
      </w:r>
      <w:r w:rsidRPr="00F46A3B">
        <w:rPr>
          <w:position w:val="-4"/>
          <w:lang w:val="en-GB"/>
        </w:rPr>
        <w:object w:dxaOrig="200" w:dyaOrig="200">
          <v:shape id="_x0000_i1026" type="#_x0000_t75" style="width:10.2pt;height:10.2pt" o:ole="">
            <v:imagedata r:id="rId10" o:title=""/>
          </v:shape>
          <o:OLEObject Type="Embed" ProgID="Equation.DSMT4" ShapeID="_x0000_i1026" DrawAspect="Content" ObjectID="_1451051876" r:id="rId11"/>
        </w:object>
      </w:r>
      <w:r w:rsidRPr="00F46A3B">
        <w:rPr>
          <w:i/>
          <w:iCs/>
          <w:lang w:val="en-GB"/>
        </w:rPr>
        <w:t xml:space="preserve"> </w:t>
      </w:r>
      <w:r w:rsidRPr="00F46A3B">
        <w:rPr>
          <w:lang w:val="en-GB"/>
        </w:rPr>
        <w:t>refers to the column vector of gross</w:t>
      </w:r>
      <w:r>
        <w:rPr>
          <w:lang w:val="en-GB"/>
        </w:rPr>
        <w:t xml:space="preserve"> output</w:t>
      </w:r>
      <w:r w:rsidRPr="00F46A3B">
        <w:rPr>
          <w:lang w:val="en-GB"/>
        </w:rPr>
        <w:t xml:space="preserve"> levels</w:t>
      </w:r>
      <w:r>
        <w:rPr>
          <w:lang w:val="en-GB"/>
        </w:rPr>
        <w:t>,</w:t>
      </w:r>
      <w:r w:rsidRPr="00F46A3B">
        <w:rPr>
          <w:position w:val="-4"/>
          <w:lang w:val="en-GB"/>
        </w:rPr>
        <w:object w:dxaOrig="260" w:dyaOrig="260">
          <v:shape id="_x0000_i1027" type="#_x0000_t75" style="width:12.9pt;height:12.9pt" o:ole="">
            <v:imagedata r:id="rId12" o:title=""/>
          </v:shape>
          <o:OLEObject Type="Embed" ProgID="Equation.DSMT4" ShapeID="_x0000_i1027" DrawAspect="Content" ObjectID="_1451051877" r:id="rId13"/>
        </w:object>
      </w:r>
      <w:r w:rsidRPr="00F46A3B">
        <w:rPr>
          <w:lang w:val="en-GB"/>
        </w:rPr>
        <w:t xml:space="preserve"> is the technical coefficient matrix</w:t>
      </w:r>
      <w:r>
        <w:rPr>
          <w:lang w:val="en-GB"/>
        </w:rPr>
        <w:t>,</w:t>
      </w:r>
      <w:r w:rsidRPr="00F46A3B">
        <w:rPr>
          <w:lang w:val="en-GB"/>
        </w:rPr>
        <w:t xml:space="preserve"> where each element </w:t>
      </w:r>
      <w:r w:rsidRPr="00F46A3B">
        <w:rPr>
          <w:position w:val="-18"/>
          <w:lang w:val="en-GB"/>
        </w:rPr>
        <w:object w:dxaOrig="480" w:dyaOrig="440">
          <v:shape id="_x0000_i1028" type="#_x0000_t75" style="width:23.75pt;height:21.75pt" o:ole="">
            <v:imagedata r:id="rId14" o:title=""/>
          </v:shape>
          <o:OLEObject Type="Embed" ProgID="Equation.DSMT4" ShapeID="_x0000_i1028" DrawAspect="Content" ObjectID="_1451051878" r:id="rId15"/>
        </w:object>
      </w:r>
      <w:r w:rsidRPr="00F46A3B">
        <w:rPr>
          <w:lang w:val="en-GB"/>
        </w:rPr>
        <w:t xml:space="preserve">is defined as the amount of input from sector </w:t>
      </w:r>
      <w:proofErr w:type="spellStart"/>
      <w:r w:rsidRPr="00F46A3B">
        <w:rPr>
          <w:i/>
          <w:lang w:val="en-GB"/>
        </w:rPr>
        <w:t>i</w:t>
      </w:r>
      <w:proofErr w:type="spellEnd"/>
      <w:r w:rsidRPr="00F46A3B">
        <w:rPr>
          <w:lang w:val="en-GB"/>
        </w:rPr>
        <w:t xml:space="preserve"> needed to produce one unit of output of sector </w:t>
      </w:r>
      <w:r w:rsidRPr="00F46A3B">
        <w:rPr>
          <w:i/>
          <w:lang w:val="en-GB"/>
        </w:rPr>
        <w:t>j</w:t>
      </w:r>
      <w:r>
        <w:rPr>
          <w:i/>
          <w:lang w:val="en-GB"/>
        </w:rPr>
        <w:t>,</w:t>
      </w:r>
      <w:r w:rsidRPr="00F46A3B">
        <w:rPr>
          <w:lang w:val="en-GB"/>
        </w:rPr>
        <w:t xml:space="preserve"> and </w:t>
      </w:r>
      <w:r w:rsidRPr="00F46A3B">
        <w:rPr>
          <w:position w:val="-4"/>
          <w:lang w:val="en-GB"/>
        </w:rPr>
        <w:object w:dxaOrig="180" w:dyaOrig="260">
          <v:shape id="_x0000_i1029" type="#_x0000_t75" style="width:8.85pt;height:12.9pt" o:ole="">
            <v:imagedata r:id="rId16" o:title=""/>
          </v:shape>
          <o:OLEObject Type="Embed" ProgID="Equation.DSMT4" ShapeID="_x0000_i1029" DrawAspect="Content" ObjectID="_1451051879" r:id="rId17"/>
        </w:object>
      </w:r>
      <w:r w:rsidRPr="00F46A3B">
        <w:rPr>
          <w:lang w:val="en-GB"/>
        </w:rPr>
        <w:t xml:space="preserve"> is the column vector of final demand. The so-called Leontief inverse </w:t>
      </w:r>
      <w:r w:rsidRPr="00F46A3B">
        <w:rPr>
          <w:position w:val="-14"/>
          <w:lang w:val="en-GB"/>
        </w:rPr>
        <w:object w:dxaOrig="859" w:dyaOrig="440">
          <v:shape id="_x0000_i1030" type="#_x0000_t75" style="width:42.8pt;height:21.75pt" o:ole="">
            <v:imagedata r:id="rId18" o:title=""/>
          </v:shape>
          <o:OLEObject Type="Embed" ProgID="Equation.DSMT4" ShapeID="_x0000_i1030" DrawAspect="Content" ObjectID="_1451051880" r:id="rId19"/>
        </w:object>
      </w:r>
      <w:r w:rsidRPr="00F46A3B">
        <w:rPr>
          <w:lang w:val="en-GB"/>
        </w:rPr>
        <w:t>in equation (1) collects information about the existing economic interdependencies</w:t>
      </w:r>
      <w:r>
        <w:rPr>
          <w:lang w:val="en-GB"/>
        </w:rPr>
        <w:t xml:space="preserve"> among all </w:t>
      </w:r>
      <w:r w:rsidRPr="00F46A3B">
        <w:rPr>
          <w:lang w:val="en-GB"/>
        </w:rPr>
        <w:t>sector</w:t>
      </w:r>
      <w:r>
        <w:rPr>
          <w:lang w:val="en-GB"/>
        </w:rPr>
        <w:t xml:space="preserve">s. </w:t>
      </w:r>
      <w:r w:rsidRPr="00F46A3B">
        <w:rPr>
          <w:lang w:val="en-GB"/>
        </w:rPr>
        <w:t xml:space="preserve">On </w:t>
      </w:r>
      <w:r>
        <w:rPr>
          <w:lang w:val="en-GB"/>
        </w:rPr>
        <w:t>the basis of this</w:t>
      </w:r>
      <w:r w:rsidRPr="00F46A3B">
        <w:rPr>
          <w:lang w:val="en-GB"/>
        </w:rPr>
        <w:t xml:space="preserve"> demand-driven I-O model, </w:t>
      </w:r>
      <w:r>
        <w:rPr>
          <w:lang w:val="en-GB"/>
        </w:rPr>
        <w:t xml:space="preserve">the Leontief inverse matrix transmits </w:t>
      </w:r>
      <w:r w:rsidRPr="00F46A3B">
        <w:rPr>
          <w:lang w:val="en-GB"/>
        </w:rPr>
        <w:t xml:space="preserve">exogenous changes in final demand </w:t>
      </w:r>
      <w:r>
        <w:rPr>
          <w:lang w:val="en-GB"/>
        </w:rPr>
        <w:t>in</w:t>
      </w:r>
      <w:r w:rsidRPr="00F46A3B">
        <w:rPr>
          <w:iCs/>
          <w:lang w:val="en-GB"/>
        </w:rPr>
        <w:t xml:space="preserve">to changes in </w:t>
      </w:r>
      <w:proofErr w:type="spellStart"/>
      <w:r w:rsidRPr="00F46A3B">
        <w:rPr>
          <w:iCs/>
          <w:lang w:val="en-GB"/>
        </w:rPr>
        <w:t>sector</w:t>
      </w:r>
      <w:r>
        <w:rPr>
          <w:iCs/>
          <w:lang w:val="en-GB"/>
        </w:rPr>
        <w:t>al</w:t>
      </w:r>
      <w:proofErr w:type="spellEnd"/>
      <w:r>
        <w:rPr>
          <w:iCs/>
          <w:lang w:val="en-GB"/>
        </w:rPr>
        <w:t xml:space="preserve"> </w:t>
      </w:r>
      <w:r w:rsidRPr="00F46A3B">
        <w:rPr>
          <w:iCs/>
          <w:lang w:val="en-GB"/>
        </w:rPr>
        <w:t>gross output</w:t>
      </w:r>
      <w:r w:rsidRPr="00F46A3B">
        <w:rPr>
          <w:lang w:val="en-GB"/>
        </w:rPr>
        <w:t xml:space="preserve">. </w:t>
      </w:r>
    </w:p>
    <w:p w:rsidR="001A0A7E" w:rsidRPr="00D2690F" w:rsidRDefault="001A0A7E" w:rsidP="001A0A7E">
      <w:pPr>
        <w:pStyle w:val="NormalWeb"/>
        <w:spacing w:line="360" w:lineRule="auto"/>
        <w:ind w:firstLine="708"/>
        <w:jc w:val="both"/>
        <w:rPr>
          <w:lang w:val="en-GB"/>
        </w:rPr>
      </w:pPr>
      <w:r>
        <w:rPr>
          <w:lang w:val="en-GB"/>
        </w:rPr>
        <w:t xml:space="preserve">We first proceed with a comparison of the CMM and the HEM that stresses their </w:t>
      </w:r>
      <w:r w:rsidRPr="00B44860">
        <w:rPr>
          <w:lang w:val="en-US"/>
        </w:rPr>
        <w:t>main</w:t>
      </w:r>
      <w:r>
        <w:rPr>
          <w:lang w:val="en-GB"/>
        </w:rPr>
        <w:t xml:space="preserve"> differences and complementarities. To this effect</w:t>
      </w:r>
      <w:r w:rsidRPr="00F46A3B">
        <w:rPr>
          <w:lang w:val="en-GB"/>
        </w:rPr>
        <w:t xml:space="preserve">, the formal description of these </w:t>
      </w:r>
      <w:r>
        <w:rPr>
          <w:lang w:val="en-GB"/>
        </w:rPr>
        <w:t xml:space="preserve">two </w:t>
      </w:r>
      <w:r w:rsidRPr="00F46A3B">
        <w:rPr>
          <w:lang w:val="en-GB"/>
        </w:rPr>
        <w:t xml:space="preserve">standard I-O </w:t>
      </w:r>
      <w:r>
        <w:rPr>
          <w:lang w:val="en-GB"/>
        </w:rPr>
        <w:t xml:space="preserve">key sector </w:t>
      </w:r>
      <w:r w:rsidRPr="00F46A3B">
        <w:rPr>
          <w:lang w:val="en-GB"/>
        </w:rPr>
        <w:t>methods has</w:t>
      </w:r>
      <w:r>
        <w:rPr>
          <w:lang w:val="en-GB"/>
        </w:rPr>
        <w:t xml:space="preserve"> been </w:t>
      </w:r>
      <w:proofErr w:type="spellStart"/>
      <w:r>
        <w:rPr>
          <w:lang w:val="en-GB"/>
        </w:rPr>
        <w:t>notationally</w:t>
      </w:r>
      <w:proofErr w:type="spellEnd"/>
      <w:r>
        <w:rPr>
          <w:lang w:val="en-GB"/>
        </w:rPr>
        <w:t xml:space="preserve"> homogenised</w:t>
      </w:r>
      <w:r w:rsidRPr="00F46A3B">
        <w:rPr>
          <w:lang w:val="en-GB"/>
        </w:rPr>
        <w:t xml:space="preserve"> using partitioned mat</w:t>
      </w:r>
      <w:r>
        <w:rPr>
          <w:lang w:val="en-GB"/>
        </w:rPr>
        <w:t>rices. In doing so, t</w:t>
      </w:r>
      <w:r w:rsidRPr="0083503E">
        <w:rPr>
          <w:lang w:val="en-GB"/>
        </w:rPr>
        <w:t xml:space="preserve">he initial </w:t>
      </w:r>
      <w:r w:rsidRPr="0083503E">
        <w:rPr>
          <w:iCs/>
          <w:lang w:val="en-GB"/>
        </w:rPr>
        <w:t>N</w:t>
      </w:r>
      <w:r w:rsidRPr="0083503E">
        <w:rPr>
          <w:lang w:val="en-GB"/>
        </w:rPr>
        <w:t xml:space="preserve"> sectors are distinguished in two production blocks, or subsets of sectors, block </w:t>
      </w:r>
      <w:r w:rsidRPr="0083503E">
        <w:rPr>
          <w:iCs/>
          <w:lang w:val="en-GB"/>
        </w:rPr>
        <w:t>K</w:t>
      </w:r>
      <w:r w:rsidRPr="0083503E">
        <w:rPr>
          <w:lang w:val="en-GB"/>
        </w:rPr>
        <w:t xml:space="preserve"> and block </w:t>
      </w:r>
      <w:r w:rsidRPr="0083503E">
        <w:rPr>
          <w:iCs/>
          <w:lang w:val="en-GB"/>
        </w:rPr>
        <w:t xml:space="preserve">N-K. </w:t>
      </w:r>
      <w:r w:rsidRPr="0083503E">
        <w:rPr>
          <w:lang w:val="en-GB"/>
        </w:rPr>
        <w:t xml:space="preserve">The grouping of sectors depends on the nature of the problem researchers want to tackle. For the case of energy efficiency policies, for instance, an appropriate </w:t>
      </w:r>
      <w:proofErr w:type="spellStart"/>
      <w:r>
        <w:rPr>
          <w:lang w:val="en-GB"/>
        </w:rPr>
        <w:t>sectoral</w:t>
      </w:r>
      <w:proofErr w:type="spellEnd"/>
      <w:r>
        <w:rPr>
          <w:lang w:val="en-GB"/>
        </w:rPr>
        <w:t xml:space="preserve"> </w:t>
      </w:r>
      <w:r w:rsidRPr="0083503E">
        <w:rPr>
          <w:lang w:val="en-GB"/>
        </w:rPr>
        <w:t xml:space="preserve">grouping will be to distinguish between an energy sector </w:t>
      </w:r>
      <w:proofErr w:type="gramStart"/>
      <w:r w:rsidRPr="0083503E">
        <w:rPr>
          <w:lang w:val="en-GB"/>
        </w:rPr>
        <w:t>or</w:t>
      </w:r>
      <w:proofErr w:type="gramEnd"/>
      <w:r>
        <w:rPr>
          <w:lang w:val="en-GB"/>
        </w:rPr>
        <w:t xml:space="preserve"> group of energy sectors, e.g. the</w:t>
      </w:r>
      <w:r w:rsidRPr="0083503E">
        <w:rPr>
          <w:lang w:val="en-GB"/>
        </w:rPr>
        <w:t xml:space="preserve"> Production and </w:t>
      </w:r>
      <w:r w:rsidRPr="0083503E">
        <w:rPr>
          <w:lang w:val="en-GB"/>
        </w:rPr>
        <w:lastRenderedPageBreak/>
        <w:t>Distribution of Electricity and Gas</w:t>
      </w:r>
      <w:r>
        <w:rPr>
          <w:lang w:val="en-GB"/>
        </w:rPr>
        <w:t>,</w:t>
      </w:r>
      <w:r w:rsidRPr="0083503E">
        <w:rPr>
          <w:lang w:val="en-GB"/>
        </w:rPr>
        <w:t xml:space="preserve"> an</w:t>
      </w:r>
      <w:r>
        <w:rPr>
          <w:lang w:val="en-GB"/>
        </w:rPr>
        <w:t>d</w:t>
      </w:r>
      <w:r w:rsidRPr="0083503E">
        <w:rPr>
          <w:lang w:val="en-GB"/>
        </w:rPr>
        <w:t xml:space="preserve"> the remaining production units. </w:t>
      </w:r>
      <w:r>
        <w:rPr>
          <w:lang w:val="en-GB"/>
        </w:rPr>
        <w:t>Accordingly</w:t>
      </w:r>
      <w:r w:rsidRPr="00F46A3B">
        <w:rPr>
          <w:lang w:val="en-GB"/>
        </w:rPr>
        <w:t xml:space="preserve">, the demand-driven I-O model in expression (1) </w:t>
      </w:r>
      <w:r>
        <w:rPr>
          <w:lang w:val="en-GB"/>
        </w:rPr>
        <w:t>can be</w:t>
      </w:r>
      <w:r w:rsidRPr="00F46A3B">
        <w:rPr>
          <w:lang w:val="en-GB"/>
        </w:rPr>
        <w:t xml:space="preserve"> rewritten as follows:     </w:t>
      </w:r>
      <w:r w:rsidRPr="00C83895">
        <w:rPr>
          <w:highlight w:val="green"/>
          <w:lang w:val="en-GB"/>
        </w:rPr>
        <w:t xml:space="preserve">                                      </w:t>
      </w:r>
    </w:p>
    <w:p w:rsidR="001A0A7E" w:rsidRDefault="001A0A7E" w:rsidP="001A0A7E">
      <w:pPr>
        <w:pStyle w:val="NormalWeb"/>
        <w:spacing w:line="360" w:lineRule="auto"/>
        <w:ind w:firstLine="708"/>
        <w:jc w:val="both"/>
        <w:rPr>
          <w:lang w:val="en-GB"/>
        </w:rPr>
      </w:pPr>
      <w:r w:rsidRPr="00E40A67">
        <w:rPr>
          <w:position w:val="-30"/>
          <w:lang w:val="en-GB"/>
        </w:rPr>
        <w:object w:dxaOrig="3980" w:dyaOrig="780">
          <v:shape id="_x0000_i1031" type="#_x0000_t75" style="width:197pt;height:37.35pt" o:ole="">
            <v:imagedata r:id="rId20" o:title=""/>
          </v:shape>
          <o:OLEObject Type="Embed" ProgID="Equation.DSMT4" ShapeID="_x0000_i1031" DrawAspect="Content" ObjectID="_1451051881" r:id="rId21"/>
        </w:object>
      </w:r>
      <w:r w:rsidRPr="0083503E">
        <w:rPr>
          <w:lang w:val="en-GB"/>
        </w:rPr>
        <w:tab/>
      </w:r>
      <w:r w:rsidRPr="0083503E">
        <w:rPr>
          <w:lang w:val="en-GB"/>
        </w:rPr>
        <w:tab/>
      </w:r>
      <w:r w:rsidRPr="0083503E">
        <w:rPr>
          <w:lang w:val="en-GB"/>
        </w:rPr>
        <w:tab/>
        <w:t xml:space="preserve">    </w:t>
      </w:r>
      <w:r>
        <w:rPr>
          <w:lang w:val="en-GB"/>
        </w:rPr>
        <w:tab/>
        <w:t xml:space="preserve">                   </w:t>
      </w:r>
      <w:r w:rsidRPr="0083503E">
        <w:rPr>
          <w:lang w:val="en-GB"/>
        </w:rPr>
        <w:t>(2)</w:t>
      </w:r>
    </w:p>
    <w:p w:rsidR="001A0A7E" w:rsidRPr="008F5BCF" w:rsidRDefault="001A0A7E" w:rsidP="001A0A7E">
      <w:pPr>
        <w:pStyle w:val="NormalWeb"/>
        <w:spacing w:line="360" w:lineRule="auto"/>
        <w:ind w:firstLine="708"/>
        <w:jc w:val="both"/>
        <w:rPr>
          <w:lang w:val="en-GB"/>
        </w:rPr>
      </w:pPr>
      <w:r>
        <w:rPr>
          <w:lang w:val="en-GB"/>
        </w:rPr>
        <w:t>T</w:t>
      </w:r>
      <w:r w:rsidRPr="00F94C71">
        <w:rPr>
          <w:lang w:val="en-GB"/>
        </w:rPr>
        <w:t>he partitioned Leontief inverse that solves the demand-driven I-O model outlined in (2):</w:t>
      </w:r>
    </w:p>
    <w:p w:rsidR="001A0A7E" w:rsidRPr="008F5BCF" w:rsidRDefault="001A0A7E" w:rsidP="001A0A7E">
      <w:pPr>
        <w:pStyle w:val="Textoindependiente"/>
        <w:rPr>
          <w:lang w:val="en-GB"/>
        </w:rPr>
      </w:pPr>
      <w:r w:rsidRPr="008F5BCF">
        <w:rPr>
          <w:position w:val="-32"/>
        </w:rPr>
        <w:object w:dxaOrig="4500" w:dyaOrig="800">
          <v:shape id="_x0000_i1032" type="#_x0000_t75" style="width:224.85pt;height:40.1pt" o:ole="">
            <v:imagedata r:id="rId22" o:title=""/>
          </v:shape>
          <o:OLEObject Type="Embed" ProgID="Equation.DSMT4" ShapeID="_x0000_i1032" DrawAspect="Content" ObjectID="_1451051882" r:id="rId23"/>
        </w:object>
      </w:r>
      <w:r w:rsidRPr="008F5BCF">
        <w:tab/>
      </w:r>
      <w:r w:rsidRPr="008F5BCF">
        <w:tab/>
      </w:r>
      <w:r w:rsidRPr="008F5BCF">
        <w:tab/>
      </w:r>
      <w:r w:rsidRPr="008F5BCF">
        <w:tab/>
      </w:r>
      <w:r w:rsidRPr="008F5BCF">
        <w:tab/>
      </w:r>
      <w:r>
        <w:t xml:space="preserve">       </w:t>
      </w:r>
      <w:r w:rsidRPr="008F5BCF">
        <w:t>(3)</w:t>
      </w:r>
    </w:p>
    <w:p w:rsidR="001A0A7E" w:rsidRPr="008F5BCF" w:rsidRDefault="001A0A7E" w:rsidP="001A0A7E">
      <w:pPr>
        <w:pStyle w:val="Textoindependiente"/>
        <w:rPr>
          <w:lang w:val="en-GB"/>
        </w:rPr>
      </w:pPr>
      <w:proofErr w:type="gramStart"/>
      <w:r w:rsidRPr="008F5BCF">
        <w:rPr>
          <w:lang w:val="en-GB"/>
        </w:rPr>
        <w:t>where</w:t>
      </w:r>
      <w:proofErr w:type="gramEnd"/>
      <w:r w:rsidRPr="008F5BCF">
        <w:rPr>
          <w:lang w:val="en-GB"/>
        </w:rPr>
        <w:t xml:space="preserve"> </w:t>
      </w:r>
    </w:p>
    <w:p w:rsidR="001A0A7E" w:rsidRPr="008F5BCF" w:rsidRDefault="001A0A7E" w:rsidP="001A0A7E">
      <w:pPr>
        <w:autoSpaceDE w:val="0"/>
        <w:autoSpaceDN w:val="0"/>
        <w:adjustRightInd w:val="0"/>
        <w:spacing w:before="100" w:beforeAutospacing="1" w:after="100" w:afterAutospacing="1" w:line="360" w:lineRule="auto"/>
        <w:jc w:val="both"/>
        <w:rPr>
          <w:lang w:val="en-GB"/>
        </w:rPr>
      </w:pPr>
      <w:r w:rsidRPr="008F5BCF">
        <w:rPr>
          <w:position w:val="-20"/>
          <w:lang w:val="en-GB"/>
        </w:rPr>
        <w:object w:dxaOrig="4780" w:dyaOrig="560">
          <v:shape id="_x0000_i1033" type="#_x0000_t75" style="width:239.75pt;height:28.55pt" o:ole="">
            <v:imagedata r:id="rId24" o:title=""/>
          </v:shape>
          <o:OLEObject Type="Embed" ProgID="Equation.DSMT4" ShapeID="_x0000_i1033" DrawAspect="Content" ObjectID="_1451051883" r:id="rId25"/>
        </w:object>
      </w:r>
    </w:p>
    <w:p w:rsidR="001A0A7E" w:rsidRPr="008F5BCF" w:rsidRDefault="001A0A7E" w:rsidP="001A0A7E">
      <w:pPr>
        <w:autoSpaceDE w:val="0"/>
        <w:autoSpaceDN w:val="0"/>
        <w:adjustRightInd w:val="0"/>
        <w:spacing w:before="100" w:beforeAutospacing="1" w:after="100" w:afterAutospacing="1" w:line="360" w:lineRule="auto"/>
        <w:jc w:val="both"/>
      </w:pPr>
      <w:r w:rsidRPr="008F5BCF">
        <w:rPr>
          <w:position w:val="-14"/>
        </w:rPr>
        <w:object w:dxaOrig="3519" w:dyaOrig="440">
          <v:shape id="_x0000_i1034" type="#_x0000_t75" style="width:173.2pt;height:21.75pt" o:ole="">
            <v:imagedata r:id="rId26" o:title=""/>
          </v:shape>
          <o:OLEObject Type="Embed" ProgID="Equation.DSMT4" ShapeID="_x0000_i1034" DrawAspect="Content" ObjectID="_1451051884" r:id="rId27"/>
        </w:object>
      </w:r>
    </w:p>
    <w:p w:rsidR="001A0A7E" w:rsidRPr="008F5BCF" w:rsidRDefault="001A0A7E" w:rsidP="001A0A7E">
      <w:pPr>
        <w:autoSpaceDE w:val="0"/>
        <w:autoSpaceDN w:val="0"/>
        <w:adjustRightInd w:val="0"/>
        <w:spacing w:before="100" w:beforeAutospacing="1" w:after="100" w:afterAutospacing="1" w:line="360" w:lineRule="auto"/>
        <w:jc w:val="both"/>
      </w:pPr>
      <w:r w:rsidRPr="008F5BCF">
        <w:rPr>
          <w:position w:val="-14"/>
        </w:rPr>
        <w:object w:dxaOrig="3480" w:dyaOrig="440">
          <v:shape id="_x0000_i1035" type="#_x0000_t75" style="width:173.2pt;height:21.75pt" o:ole="">
            <v:imagedata r:id="rId28" o:title=""/>
          </v:shape>
          <o:OLEObject Type="Embed" ProgID="Equation.DSMT4" ShapeID="_x0000_i1035" DrawAspect="Content" ObjectID="_1451051885" r:id="rId29"/>
        </w:object>
      </w:r>
    </w:p>
    <w:p w:rsidR="001A0A7E" w:rsidRPr="008F5BCF" w:rsidRDefault="001A0A7E" w:rsidP="001A0A7E">
      <w:pPr>
        <w:autoSpaceDE w:val="0"/>
        <w:autoSpaceDN w:val="0"/>
        <w:adjustRightInd w:val="0"/>
        <w:spacing w:before="100" w:beforeAutospacing="1" w:after="100" w:afterAutospacing="1" w:line="360" w:lineRule="auto"/>
        <w:jc w:val="both"/>
      </w:pPr>
      <w:r w:rsidRPr="008F5BCF">
        <w:rPr>
          <w:position w:val="-20"/>
        </w:rPr>
        <w:object w:dxaOrig="6360" w:dyaOrig="540">
          <v:shape id="_x0000_i1036" type="#_x0000_t75" style="width:315.85pt;height:26.5pt" o:ole="">
            <v:imagedata r:id="rId30" o:title=""/>
          </v:shape>
          <o:OLEObject Type="Embed" ProgID="Equation.DSMT4" ShapeID="_x0000_i1036" DrawAspect="Content" ObjectID="_1451051886" r:id="rId31"/>
        </w:object>
      </w:r>
    </w:p>
    <w:p w:rsidR="001A0A7E" w:rsidRPr="008F5BCF" w:rsidRDefault="001A0A7E" w:rsidP="001A0A7E">
      <w:pPr>
        <w:pStyle w:val="NormalWeb"/>
        <w:spacing w:line="360" w:lineRule="auto"/>
        <w:ind w:firstLine="708"/>
        <w:jc w:val="both"/>
        <w:rPr>
          <w:lang w:val="en-GB"/>
        </w:rPr>
      </w:pPr>
      <w:r w:rsidRPr="008F5BCF">
        <w:rPr>
          <w:lang w:val="en-GB"/>
        </w:rPr>
        <w:t xml:space="preserve">Because of linearity, </w:t>
      </w:r>
      <w:r>
        <w:rPr>
          <w:lang w:val="en-GB"/>
        </w:rPr>
        <w:t xml:space="preserve">and </w:t>
      </w:r>
      <w:r w:rsidRPr="008F5BCF">
        <w:rPr>
          <w:lang w:val="en-GB"/>
        </w:rPr>
        <w:t xml:space="preserve">using the result in (3), the partitioned matrix “version” of the demand-driven I-O model of expression (2) can also be written in incremental terms, linking </w:t>
      </w:r>
      <w:r>
        <w:rPr>
          <w:lang w:val="en-GB"/>
        </w:rPr>
        <w:t xml:space="preserve">the </w:t>
      </w:r>
      <w:r w:rsidRPr="008F5BCF">
        <w:rPr>
          <w:lang w:val="en-GB"/>
        </w:rPr>
        <w:t xml:space="preserve">exogenous changes in final demand </w:t>
      </w:r>
      <w:r w:rsidRPr="008F5BCF">
        <w:rPr>
          <w:position w:val="-12"/>
          <w:lang w:val="en-GB"/>
        </w:rPr>
        <w:object w:dxaOrig="520" w:dyaOrig="360">
          <v:shape id="_x0000_i1037" type="#_x0000_t75" style="width:25.8pt;height:18.35pt" o:ole="">
            <v:imagedata r:id="rId32" o:title=""/>
          </v:shape>
          <o:OLEObject Type="Embed" ProgID="Equation.DSMT4" ShapeID="_x0000_i1037" DrawAspect="Content" ObjectID="_1451051887" r:id="rId33"/>
        </w:object>
      </w:r>
      <w:r w:rsidRPr="008F5BCF">
        <w:rPr>
          <w:lang w:val="en-GB"/>
        </w:rPr>
        <w:t>and</w:t>
      </w:r>
      <w:r w:rsidRPr="008F5BCF">
        <w:rPr>
          <w:position w:val="-12"/>
          <w:lang w:val="en-GB"/>
        </w:rPr>
        <w:object w:dxaOrig="639" w:dyaOrig="360">
          <v:shape id="_x0000_i1038" type="#_x0000_t75" style="width:31.9pt;height:18.35pt" o:ole="">
            <v:imagedata r:id="rId34" o:title=""/>
          </v:shape>
          <o:OLEObject Type="Embed" ProgID="Equation.DSMT4" ShapeID="_x0000_i1038" DrawAspect="Content" ObjectID="_1451051888" r:id="rId35"/>
        </w:object>
      </w:r>
      <w:r w:rsidRPr="008F5BCF">
        <w:rPr>
          <w:lang w:val="en-GB"/>
        </w:rPr>
        <w:t xml:space="preserve">to the derived changes in total output </w:t>
      </w:r>
      <w:r w:rsidRPr="008F5BCF">
        <w:rPr>
          <w:position w:val="-12"/>
          <w:lang w:val="en-GB"/>
        </w:rPr>
        <w:object w:dxaOrig="560" w:dyaOrig="360">
          <v:shape id="_x0000_i1039" type="#_x0000_t75" style="width:28.55pt;height:18.35pt" o:ole="">
            <v:imagedata r:id="rId36" o:title=""/>
          </v:shape>
          <o:OLEObject Type="Embed" ProgID="Equation.DSMT4" ShapeID="_x0000_i1039" DrawAspect="Content" ObjectID="_1451051889" r:id="rId37"/>
        </w:object>
      </w:r>
      <w:r w:rsidRPr="008F5BCF">
        <w:rPr>
          <w:lang w:val="en-GB"/>
        </w:rPr>
        <w:t xml:space="preserve">and </w:t>
      </w:r>
      <w:r w:rsidRPr="008F5BCF">
        <w:rPr>
          <w:position w:val="-12"/>
          <w:lang w:val="en-GB"/>
        </w:rPr>
        <w:object w:dxaOrig="680" w:dyaOrig="360">
          <v:shape id="_x0000_i1040" type="#_x0000_t75" style="width:33.95pt;height:18.35pt" o:ole="">
            <v:imagedata r:id="rId38" o:title=""/>
          </v:shape>
          <o:OLEObject Type="Embed" ProgID="Equation.DSMT4" ShapeID="_x0000_i1040" DrawAspect="Content" ObjectID="_1451051890" r:id="rId39"/>
        </w:object>
      </w:r>
      <w:r w:rsidRPr="008F5BCF">
        <w:rPr>
          <w:lang w:val="en-GB"/>
        </w:rPr>
        <w:t xml:space="preserve"> as a result of the overall </w:t>
      </w:r>
      <w:proofErr w:type="spellStart"/>
      <w:r w:rsidRPr="008F5BCF">
        <w:rPr>
          <w:lang w:val="en-GB"/>
        </w:rPr>
        <w:t>sectoral</w:t>
      </w:r>
      <w:proofErr w:type="spellEnd"/>
      <w:r w:rsidRPr="008F5BCF">
        <w:rPr>
          <w:lang w:val="en-GB"/>
        </w:rPr>
        <w:t xml:space="preserve"> linkage effects, both direct and indirect: </w:t>
      </w:r>
    </w:p>
    <w:p w:rsidR="001A0A7E" w:rsidRPr="008F5BCF" w:rsidRDefault="001A0A7E" w:rsidP="001A0A7E">
      <w:pPr>
        <w:pStyle w:val="Textoindependienteprimerasangra"/>
        <w:rPr>
          <w:lang w:val="en-GB"/>
        </w:rPr>
      </w:pPr>
      <w:r w:rsidRPr="008F5BCF">
        <w:rPr>
          <w:position w:val="-32"/>
          <w:lang w:val="en-GB"/>
        </w:rPr>
        <w:object w:dxaOrig="3900" w:dyaOrig="760">
          <v:shape id="_x0000_i1041" type="#_x0000_t75" style="width:194.95pt;height:38.05pt" o:ole="">
            <v:imagedata r:id="rId40" o:title=""/>
          </v:shape>
          <o:OLEObject Type="Embed" ProgID="Equation.DSMT4" ShapeID="_x0000_i1041" DrawAspect="Content" ObjectID="_1451051891" r:id="rId41"/>
        </w:object>
      </w:r>
      <w:r w:rsidRPr="008F5BCF">
        <w:rPr>
          <w:lang w:val="en-GB"/>
        </w:rPr>
        <w:t xml:space="preserve">                                                          </w:t>
      </w:r>
      <w:r>
        <w:rPr>
          <w:lang w:val="en-GB"/>
        </w:rPr>
        <w:t xml:space="preserve">     </w:t>
      </w:r>
      <w:r w:rsidRPr="008F5BCF">
        <w:rPr>
          <w:lang w:val="en-GB"/>
        </w:rPr>
        <w:t xml:space="preserve">   (4)</w:t>
      </w:r>
    </w:p>
    <w:p w:rsidR="001A0A7E" w:rsidRPr="00204A07" w:rsidRDefault="001A0A7E" w:rsidP="001A0A7E">
      <w:pPr>
        <w:pStyle w:val="NormalWeb"/>
        <w:spacing w:line="360" w:lineRule="auto"/>
        <w:ind w:firstLine="708"/>
        <w:jc w:val="both"/>
        <w:rPr>
          <w:lang w:val="en-GB"/>
        </w:rPr>
      </w:pPr>
      <w:r w:rsidRPr="000908FF">
        <w:rPr>
          <w:lang w:val="en-GB"/>
        </w:rPr>
        <w:t xml:space="preserve">Under the CMM, as originally developed by Rasmussen (1957), </w:t>
      </w:r>
      <w:proofErr w:type="spellStart"/>
      <w:r>
        <w:rPr>
          <w:lang w:val="en-GB"/>
        </w:rPr>
        <w:t>sectoral</w:t>
      </w:r>
      <w:proofErr w:type="spellEnd"/>
      <w:r>
        <w:rPr>
          <w:lang w:val="en-GB"/>
        </w:rPr>
        <w:t xml:space="preserve"> backward linkage</w:t>
      </w:r>
      <w:r w:rsidRPr="000908FF">
        <w:rPr>
          <w:lang w:val="en-GB"/>
        </w:rPr>
        <w:t xml:space="preserve"> measures are calculated by the column sums of the Leontief inverse. These measures approximate sectors’ “</w:t>
      </w:r>
      <w:proofErr w:type="spellStart"/>
      <w:r w:rsidRPr="000908FF">
        <w:rPr>
          <w:lang w:val="en-GB"/>
        </w:rPr>
        <w:t>keyness</w:t>
      </w:r>
      <w:proofErr w:type="spellEnd"/>
      <w:r w:rsidRPr="000908FF">
        <w:rPr>
          <w:lang w:val="en-GB"/>
        </w:rPr>
        <w:t xml:space="preserve">” on the basis of their demand-pull </w:t>
      </w:r>
      <w:r w:rsidRPr="000908FF">
        <w:rPr>
          <w:lang w:val="en-GB"/>
        </w:rPr>
        <w:lastRenderedPageBreak/>
        <w:t xml:space="preserve">stimuli.  Following this definition, the backward stimulus per unit of final demand induced, for instance, by the </w:t>
      </w:r>
      <w:proofErr w:type="spellStart"/>
      <w:r w:rsidRPr="000908FF">
        <w:rPr>
          <w:lang w:val="en-GB"/>
        </w:rPr>
        <w:t>sectoral</w:t>
      </w:r>
      <w:proofErr w:type="spellEnd"/>
      <w:r w:rsidRPr="000908FF">
        <w:rPr>
          <w:lang w:val="en-GB"/>
        </w:rPr>
        <w:t xml:space="preserve"> block</w:t>
      </w:r>
      <w:r w:rsidRPr="000908FF">
        <w:rPr>
          <w:i/>
          <w:lang w:val="en-GB"/>
        </w:rPr>
        <w:t xml:space="preserve"> </w:t>
      </w:r>
      <w:r w:rsidRPr="000908FF">
        <w:rPr>
          <w:lang w:val="en-GB"/>
        </w:rPr>
        <w:t>K becomes:</w:t>
      </w:r>
    </w:p>
    <w:p w:rsidR="001A0A7E" w:rsidRPr="00015A0C" w:rsidRDefault="001A0A7E" w:rsidP="001A0A7E">
      <w:pPr>
        <w:pStyle w:val="Textoindependiente"/>
        <w:rPr>
          <w:lang w:val="en-GB"/>
        </w:rPr>
      </w:pPr>
      <w:r w:rsidRPr="00015A0C">
        <w:rPr>
          <w:position w:val="-12"/>
          <w:lang w:val="en-GB"/>
        </w:rPr>
        <w:object w:dxaOrig="3360" w:dyaOrig="380">
          <v:shape id="_x0000_i1042" type="#_x0000_t75" style="width:167.75pt;height:19pt" o:ole="">
            <v:imagedata r:id="rId42" o:title=""/>
          </v:shape>
          <o:OLEObject Type="Embed" ProgID="Equation.DSMT4" ShapeID="_x0000_i1042" DrawAspect="Content" ObjectID="_1451051892" r:id="rId43"/>
        </w:object>
      </w:r>
      <w:r w:rsidRPr="00015A0C">
        <w:rPr>
          <w:lang w:val="en-GB"/>
        </w:rPr>
        <w:t xml:space="preserve">                                             </w:t>
      </w:r>
      <w:r w:rsidRPr="00015A0C">
        <w:rPr>
          <w:lang w:val="en-GB"/>
        </w:rPr>
        <w:tab/>
      </w:r>
      <w:r w:rsidRPr="00015A0C">
        <w:rPr>
          <w:lang w:val="en-GB"/>
        </w:rPr>
        <w:tab/>
      </w:r>
      <w:r w:rsidRPr="00015A0C">
        <w:rPr>
          <w:lang w:val="en-GB"/>
        </w:rPr>
        <w:tab/>
      </w:r>
      <w:r>
        <w:rPr>
          <w:lang w:val="en-GB"/>
        </w:rPr>
        <w:t xml:space="preserve">      </w:t>
      </w:r>
      <w:r w:rsidRPr="00015A0C">
        <w:rPr>
          <w:lang w:val="en-GB"/>
        </w:rPr>
        <w:t xml:space="preserve">(5)     </w:t>
      </w:r>
    </w:p>
    <w:p w:rsidR="001A0A7E" w:rsidRPr="00C13FDB" w:rsidRDefault="001A0A7E" w:rsidP="001A0A7E">
      <w:pPr>
        <w:pStyle w:val="NormalWeb"/>
        <w:spacing w:line="360" w:lineRule="auto"/>
        <w:ind w:firstLine="708"/>
        <w:jc w:val="both"/>
        <w:rPr>
          <w:lang w:val="en-GB"/>
        </w:rPr>
      </w:pPr>
      <w:r w:rsidRPr="00015A0C">
        <w:rPr>
          <w:lang w:val="en-GB"/>
        </w:rPr>
        <w:t xml:space="preserve">Where </w:t>
      </w:r>
      <w:r w:rsidRPr="00A46CB7">
        <w:rPr>
          <w:b/>
          <w:lang w:val="en-GB"/>
        </w:rPr>
        <w:t>e</w:t>
      </w:r>
      <w:r w:rsidRPr="00015A0C">
        <w:rPr>
          <w:lang w:val="en-GB"/>
        </w:rPr>
        <w:t xml:space="preserve"> is a unit column vector </w:t>
      </w:r>
      <w:r>
        <w:rPr>
          <w:lang w:val="en-GB"/>
        </w:rPr>
        <w:t xml:space="preserve">of the adequate dimension </w:t>
      </w:r>
      <w:r w:rsidRPr="00015A0C">
        <w:rPr>
          <w:lang w:val="en-GB"/>
        </w:rPr>
        <w:t xml:space="preserve">and  </w:t>
      </w:r>
      <w:r w:rsidRPr="00015A0C">
        <w:rPr>
          <w:position w:val="-6"/>
          <w:lang w:val="en-GB"/>
        </w:rPr>
        <w:object w:dxaOrig="220" w:dyaOrig="279">
          <v:shape id="_x0000_i1043" type="#_x0000_t75" style="width:11.55pt;height:14.25pt" o:ole="">
            <v:imagedata r:id="rId44" o:title=""/>
          </v:shape>
          <o:OLEObject Type="Embed" ProgID="Equation.DSMT4" ShapeID="_x0000_i1043" DrawAspect="Content" ObjectID="_1451051893" r:id="rId45"/>
        </w:object>
      </w:r>
      <w:r w:rsidRPr="00015A0C">
        <w:rPr>
          <w:lang w:val="en-GB"/>
        </w:rPr>
        <w:t xml:space="preserve"> is </w:t>
      </w:r>
      <w:proofErr w:type="gramStart"/>
      <w:r w:rsidRPr="00015A0C">
        <w:rPr>
          <w:lang w:val="en-GB"/>
        </w:rPr>
        <w:t>its</w:t>
      </w:r>
      <w:proofErr w:type="gramEnd"/>
      <w:r w:rsidRPr="00015A0C">
        <w:rPr>
          <w:lang w:val="en-GB"/>
        </w:rPr>
        <w:t xml:space="preserve"> transposed. </w:t>
      </w:r>
      <w:r>
        <w:rPr>
          <w:lang w:val="en-GB"/>
        </w:rPr>
        <w:t xml:space="preserve"> </w:t>
      </w:r>
      <w:r w:rsidRPr="00C13FDB">
        <w:rPr>
          <w:lang w:val="en-GB"/>
        </w:rPr>
        <w:t>Following the CMM criterion, the block of sectors K is considered a key-</w:t>
      </w:r>
      <w:r w:rsidRPr="000D7592">
        <w:rPr>
          <w:lang w:val="en-GB"/>
        </w:rPr>
        <w:t xml:space="preserve">backward </w:t>
      </w:r>
      <w:proofErr w:type="spellStart"/>
      <w:r w:rsidRPr="000D7592">
        <w:rPr>
          <w:lang w:val="en-GB"/>
        </w:rPr>
        <w:t>sectoral</w:t>
      </w:r>
      <w:proofErr w:type="spellEnd"/>
      <w:r w:rsidRPr="000D7592">
        <w:rPr>
          <w:lang w:val="en-GB"/>
        </w:rPr>
        <w:t xml:space="preserve"> block whenever</w:t>
      </w:r>
      <w:r w:rsidRPr="00C13FDB">
        <w:rPr>
          <w:lang w:val="en-GB"/>
        </w:rPr>
        <w:t xml:space="preserve"> its demand-pull stimulus approximated by the scalar </w:t>
      </w:r>
      <w:r w:rsidRPr="00C13FDB">
        <w:rPr>
          <w:position w:val="-4"/>
          <w:lang w:val="en-GB"/>
        </w:rPr>
        <w:object w:dxaOrig="639" w:dyaOrig="300">
          <v:shape id="_x0000_i1044" type="#_x0000_t75" style="width:31.9pt;height:14.95pt" o:ole="">
            <v:imagedata r:id="rId46" o:title=""/>
          </v:shape>
          <o:OLEObject Type="Embed" ProgID="Equation.DSMT4" ShapeID="_x0000_i1044" DrawAspect="Content" ObjectID="_1451051894" r:id="rId47"/>
        </w:object>
      </w:r>
      <w:r>
        <w:rPr>
          <w:lang w:val="en-GB"/>
        </w:rPr>
        <w:t>defined in (5)</w:t>
      </w:r>
      <w:r w:rsidRPr="00C13FDB">
        <w:rPr>
          <w:lang w:val="en-GB"/>
        </w:rPr>
        <w:t xml:space="preserve"> </w:t>
      </w:r>
      <w:r>
        <w:rPr>
          <w:lang w:val="en-GB"/>
        </w:rPr>
        <w:t xml:space="preserve">is above the economy’s </w:t>
      </w:r>
      <w:proofErr w:type="spellStart"/>
      <w:r w:rsidRPr="000D7592">
        <w:rPr>
          <w:lang w:val="en-GB"/>
        </w:rPr>
        <w:t>sectoral</w:t>
      </w:r>
      <w:proofErr w:type="spellEnd"/>
      <w:r w:rsidRPr="000D7592">
        <w:rPr>
          <w:lang w:val="en-GB"/>
        </w:rPr>
        <w:t xml:space="preserve"> block average.</w:t>
      </w:r>
      <w:r w:rsidRPr="00C13FDB">
        <w:rPr>
          <w:lang w:val="en-GB"/>
        </w:rPr>
        <w:t xml:space="preserve"> </w:t>
      </w:r>
    </w:p>
    <w:p w:rsidR="001A0A7E" w:rsidRPr="00F94C71" w:rsidRDefault="001A0A7E" w:rsidP="001A0A7E">
      <w:pPr>
        <w:pStyle w:val="NormalWeb"/>
        <w:spacing w:line="360" w:lineRule="auto"/>
        <w:ind w:firstLine="709"/>
        <w:jc w:val="both"/>
        <w:rPr>
          <w:lang w:val="en-GB"/>
        </w:rPr>
      </w:pPr>
      <w:r w:rsidRPr="00F94C71">
        <w:rPr>
          <w:lang w:val="en-GB"/>
        </w:rPr>
        <w:t xml:space="preserve">The second standard approach to identify key sectors is the HEM, </w:t>
      </w:r>
      <w:r w:rsidRPr="00F94C71">
        <w:rPr>
          <w:lang w:val="en-US"/>
        </w:rPr>
        <w:t xml:space="preserve">initially proposed by </w:t>
      </w:r>
      <w:proofErr w:type="spellStart"/>
      <w:r w:rsidRPr="00F94C71">
        <w:rPr>
          <w:lang w:val="en-US"/>
        </w:rPr>
        <w:t>Paelinck</w:t>
      </w:r>
      <w:proofErr w:type="spellEnd"/>
      <w:r w:rsidRPr="00F94C71">
        <w:rPr>
          <w:lang w:val="en-US"/>
        </w:rPr>
        <w:t xml:space="preserve"> et al (1965)</w:t>
      </w:r>
      <w:r>
        <w:rPr>
          <w:lang w:val="en-US"/>
        </w:rPr>
        <w:t>,</w:t>
      </w:r>
      <w:r w:rsidRPr="00F94C71">
        <w:rPr>
          <w:lang w:val="en-US"/>
        </w:rPr>
        <w:t xml:space="preserve"> </w:t>
      </w:r>
      <w:proofErr w:type="spellStart"/>
      <w:r w:rsidRPr="00F94C71">
        <w:rPr>
          <w:lang w:val="en-US"/>
        </w:rPr>
        <w:t>Strassert</w:t>
      </w:r>
      <w:proofErr w:type="spellEnd"/>
      <w:r w:rsidRPr="00F94C71">
        <w:rPr>
          <w:lang w:val="en-US"/>
        </w:rPr>
        <w:t xml:space="preserve"> (1968)</w:t>
      </w:r>
      <w:r>
        <w:rPr>
          <w:lang w:val="en-US"/>
        </w:rPr>
        <w:t xml:space="preserve">, </w:t>
      </w:r>
      <w:proofErr w:type="gramStart"/>
      <w:r w:rsidRPr="000D7592">
        <w:rPr>
          <w:lang w:val="en-US"/>
        </w:rPr>
        <w:t>Schultz</w:t>
      </w:r>
      <w:proofErr w:type="gramEnd"/>
      <w:r w:rsidRPr="000D7592">
        <w:rPr>
          <w:lang w:val="en-US"/>
        </w:rPr>
        <w:t xml:space="preserve"> (1977)</w:t>
      </w:r>
      <w:r w:rsidRPr="00F94C71">
        <w:rPr>
          <w:lang w:val="en-US"/>
        </w:rPr>
        <w:t xml:space="preserve"> and later reformulated by </w:t>
      </w:r>
      <w:proofErr w:type="spellStart"/>
      <w:r w:rsidRPr="00F94C71">
        <w:rPr>
          <w:lang w:val="en-US"/>
        </w:rPr>
        <w:t>Meller</w:t>
      </w:r>
      <w:proofErr w:type="spellEnd"/>
      <w:r w:rsidRPr="00F94C71">
        <w:rPr>
          <w:lang w:val="en-US"/>
        </w:rPr>
        <w:t xml:space="preserve"> and </w:t>
      </w:r>
      <w:proofErr w:type="spellStart"/>
      <w:r w:rsidRPr="00F94C71">
        <w:rPr>
          <w:lang w:val="en-US"/>
        </w:rPr>
        <w:t>Marfán</w:t>
      </w:r>
      <w:proofErr w:type="spellEnd"/>
      <w:r w:rsidRPr="00F94C71">
        <w:rPr>
          <w:lang w:val="en-US"/>
        </w:rPr>
        <w:t xml:space="preserve"> (1981), </w:t>
      </w:r>
      <w:proofErr w:type="spellStart"/>
      <w:r w:rsidRPr="00F94C71">
        <w:rPr>
          <w:lang w:val="en-US"/>
        </w:rPr>
        <w:t>Cella</w:t>
      </w:r>
      <w:proofErr w:type="spellEnd"/>
      <w:r w:rsidRPr="00F94C71">
        <w:rPr>
          <w:lang w:val="en-US"/>
        </w:rPr>
        <w:t xml:space="preserve"> (1984), </w:t>
      </w:r>
      <w:proofErr w:type="spellStart"/>
      <w:r w:rsidRPr="00F94C71">
        <w:rPr>
          <w:lang w:val="en-US"/>
        </w:rPr>
        <w:t>Guccione</w:t>
      </w:r>
      <w:proofErr w:type="spellEnd"/>
      <w:r w:rsidRPr="00F94C71">
        <w:rPr>
          <w:lang w:val="en-US"/>
        </w:rPr>
        <w:t xml:space="preserve"> (1986) and Clements (1990)</w:t>
      </w:r>
      <w:r>
        <w:rPr>
          <w:lang w:val="en-US"/>
        </w:rPr>
        <w:t>,</w:t>
      </w:r>
      <w:r w:rsidRPr="00F94C71">
        <w:rPr>
          <w:lang w:val="en-US"/>
        </w:rPr>
        <w:t xml:space="preserve"> among others.</w:t>
      </w:r>
      <w:r w:rsidRPr="00F94C71">
        <w:rPr>
          <w:lang w:val="en-GB"/>
        </w:rPr>
        <w:t xml:space="preserve">  The HEM measures the role of a sector, or a block of sectors, by quantifying the changes in total gross output when a part of their industrial interdependencies are hypothetically extracted from the economic system. </w:t>
      </w:r>
    </w:p>
    <w:p w:rsidR="001A0A7E" w:rsidRPr="00296E27" w:rsidRDefault="001A0A7E" w:rsidP="001A0A7E">
      <w:pPr>
        <w:pStyle w:val="NormalWeb"/>
        <w:spacing w:line="360" w:lineRule="auto"/>
        <w:ind w:firstLine="709"/>
        <w:jc w:val="both"/>
        <w:rPr>
          <w:lang w:val="en-GB"/>
        </w:rPr>
      </w:pPr>
      <w:r w:rsidRPr="00F94C71">
        <w:rPr>
          <w:lang w:val="en-GB"/>
        </w:rPr>
        <w:t xml:space="preserve">An element of discussion within the HEM relates to how the extraction of </w:t>
      </w:r>
      <w:r>
        <w:rPr>
          <w:lang w:val="en-GB"/>
        </w:rPr>
        <w:t xml:space="preserve">a set of sectors </w:t>
      </w:r>
      <w:r w:rsidRPr="00F94C71">
        <w:rPr>
          <w:lang w:val="en-GB"/>
        </w:rPr>
        <w:t xml:space="preserve">should be simulated. </w:t>
      </w:r>
      <w:r>
        <w:rPr>
          <w:lang w:val="en-GB"/>
        </w:rPr>
        <w:t xml:space="preserve">In this </w:t>
      </w:r>
      <w:r w:rsidRPr="00A46CB7">
        <w:rPr>
          <w:lang w:val="en-US"/>
        </w:rPr>
        <w:t>respect</w:t>
      </w:r>
      <w:r w:rsidRPr="00F94C71">
        <w:rPr>
          <w:lang w:val="en-GB"/>
        </w:rPr>
        <w:t>, the works of Miller and Lahr (2001) and Miller and Blair (2009) offer a comprehensive exposition of the different hypothetical</w:t>
      </w:r>
      <w:r>
        <w:rPr>
          <w:lang w:val="en-GB"/>
        </w:rPr>
        <w:t xml:space="preserve"> extractions that can be undertaken</w:t>
      </w:r>
      <w:r w:rsidRPr="00F94C71">
        <w:rPr>
          <w:lang w:val="en-GB"/>
        </w:rPr>
        <w:t xml:space="preserve"> under the HEM. Recall that t</w:t>
      </w:r>
      <w:r>
        <w:rPr>
          <w:lang w:val="en-GB"/>
        </w:rPr>
        <w:t>he objective of this analysis is</w:t>
      </w:r>
      <w:r w:rsidRPr="00F94C71">
        <w:rPr>
          <w:lang w:val="en-GB"/>
        </w:rPr>
        <w:t xml:space="preserve"> to use measures of sectors’ backward stimuli based on “external” or out-block linkages in combination with total and internal backward indicators. Consequently, for the methodological objectives of this paper, we have followed the extraction first developed by </w:t>
      </w:r>
      <w:proofErr w:type="spellStart"/>
      <w:r w:rsidRPr="00F94C71">
        <w:rPr>
          <w:lang w:val="en-GB"/>
        </w:rPr>
        <w:t>Cella</w:t>
      </w:r>
      <w:proofErr w:type="spellEnd"/>
      <w:r w:rsidRPr="00F94C71">
        <w:rPr>
          <w:lang w:val="en-GB"/>
        </w:rPr>
        <w:t xml:space="preserve"> (1984)</w:t>
      </w:r>
      <w:r w:rsidRPr="00F94C71">
        <w:rPr>
          <w:rStyle w:val="Refdenotaalpie"/>
          <w:lang w:val="en-GB"/>
        </w:rPr>
        <w:t xml:space="preserve"> </w:t>
      </w:r>
      <w:r w:rsidRPr="00F94C71">
        <w:rPr>
          <w:rStyle w:val="Refdenotaalpie"/>
          <w:lang w:val="en-GB"/>
        </w:rPr>
        <w:footnoteReference w:id="5"/>
      </w:r>
      <w:r w:rsidRPr="00F94C71">
        <w:rPr>
          <w:lang w:val="en-GB"/>
        </w:rPr>
        <w:t xml:space="preserve">. </w:t>
      </w:r>
      <w:proofErr w:type="spellStart"/>
      <w:r w:rsidRPr="00F94C71">
        <w:rPr>
          <w:lang w:val="en-GB"/>
        </w:rPr>
        <w:t>Cella’s</w:t>
      </w:r>
      <w:proofErr w:type="spellEnd"/>
      <w:r w:rsidRPr="00F94C71">
        <w:rPr>
          <w:lang w:val="en-GB"/>
        </w:rPr>
        <w:t xml:space="preserve"> HEM formulation</w:t>
      </w:r>
      <w:r w:rsidRPr="00F94C71">
        <w:rPr>
          <w:rStyle w:val="Refdenotaalpie"/>
          <w:lang w:val="en-GB"/>
        </w:rPr>
        <w:t xml:space="preserve"> </w:t>
      </w:r>
      <w:r w:rsidRPr="00F94C71">
        <w:rPr>
          <w:lang w:val="en-GB"/>
        </w:rPr>
        <w:t xml:space="preserve">consists in hypothetically ceasing out-block linkages, i.e. </w:t>
      </w:r>
      <w:r w:rsidRPr="00F94C71">
        <w:rPr>
          <w:position w:val="-12"/>
          <w:lang w:val="en-GB"/>
        </w:rPr>
        <w:object w:dxaOrig="1040" w:dyaOrig="360">
          <v:shape id="_x0000_i1045" type="#_x0000_t75" style="width:51.6pt;height:18.35pt" o:ole="">
            <v:imagedata r:id="rId48" o:title=""/>
          </v:shape>
          <o:OLEObject Type="Embed" ProgID="Equation.DSMT4" ShapeID="_x0000_i1045" DrawAspect="Content" ObjectID="_1451051895" r:id="rId49"/>
        </w:object>
      </w:r>
      <w:r w:rsidRPr="00F94C71">
        <w:rPr>
          <w:lang w:val="en-GB"/>
        </w:rPr>
        <w:t>and</w:t>
      </w:r>
      <w:r w:rsidRPr="00F94C71">
        <w:rPr>
          <w:position w:val="-12"/>
          <w:lang w:val="en-GB"/>
        </w:rPr>
        <w:object w:dxaOrig="1040" w:dyaOrig="360">
          <v:shape id="_x0000_i1046" type="#_x0000_t75" style="width:51.6pt;height:18.35pt" o:ole="">
            <v:imagedata r:id="rId50" o:title=""/>
          </v:shape>
          <o:OLEObject Type="Embed" ProgID="Equation.DSMT4" ShapeID="_x0000_i1046" DrawAspect="Content" ObjectID="_1451051896" r:id="rId51"/>
        </w:object>
      </w:r>
      <w:r>
        <w:rPr>
          <w:lang w:val="en-GB"/>
        </w:rPr>
        <w:t>, while retaining the internal</w:t>
      </w:r>
      <w:r w:rsidRPr="00F94C71">
        <w:rPr>
          <w:lang w:val="en-GB"/>
        </w:rPr>
        <w:t xml:space="preserve"> or within-block linkages derived from own intermediate demand</w:t>
      </w:r>
      <w:r w:rsidRPr="00F94C71">
        <w:rPr>
          <w:rStyle w:val="Refdenotaalpie"/>
        </w:rPr>
        <w:footnoteReference w:id="6"/>
      </w:r>
      <w:r w:rsidRPr="00F94C71">
        <w:rPr>
          <w:lang w:val="en-GB"/>
        </w:rPr>
        <w:t xml:space="preserve">.  Then, </w:t>
      </w:r>
      <w:r w:rsidRPr="00F94C71">
        <w:rPr>
          <w:lang w:val="en-GB"/>
        </w:rPr>
        <w:lastRenderedPageBreak/>
        <w:t>following this vein and calculating the inverse of the leftover matrix, we immediately find:</w:t>
      </w:r>
    </w:p>
    <w:p w:rsidR="001A0A7E" w:rsidRPr="00296E27" w:rsidRDefault="001A0A7E" w:rsidP="001A0A7E">
      <w:pPr>
        <w:pStyle w:val="Textoindependiente"/>
        <w:rPr>
          <w:lang w:val="en-GB"/>
        </w:rPr>
      </w:pPr>
      <w:r w:rsidRPr="00296E27">
        <w:rPr>
          <w:position w:val="-42"/>
          <w:lang w:val="en-GB"/>
        </w:rPr>
        <w:object w:dxaOrig="4020" w:dyaOrig="960">
          <v:shape id="_x0000_i1047" type="#_x0000_t75" style="width:201.05pt;height:48.25pt" o:ole="">
            <v:imagedata r:id="rId52" o:title=""/>
          </v:shape>
          <o:OLEObject Type="Embed" ProgID="Equation.DSMT4" ShapeID="_x0000_i1047" DrawAspect="Content" ObjectID="_1451051897" r:id="rId53"/>
        </w:object>
      </w:r>
      <w:r w:rsidRPr="00296E27">
        <w:rPr>
          <w:lang w:val="en-GB"/>
        </w:rPr>
        <w:tab/>
      </w:r>
      <w:r w:rsidRPr="00296E27">
        <w:rPr>
          <w:lang w:val="en-GB"/>
        </w:rPr>
        <w:tab/>
      </w:r>
      <w:r w:rsidRPr="00296E27">
        <w:rPr>
          <w:lang w:val="en-GB"/>
        </w:rPr>
        <w:tab/>
        <w:t xml:space="preserve">                           </w:t>
      </w:r>
      <w:r>
        <w:rPr>
          <w:lang w:val="en-GB"/>
        </w:rPr>
        <w:t xml:space="preserve">             </w:t>
      </w:r>
      <w:r w:rsidRPr="00296E27">
        <w:rPr>
          <w:lang w:val="en-GB"/>
        </w:rPr>
        <w:t xml:space="preserve">  (6)</w:t>
      </w:r>
      <w:r w:rsidRPr="00296E27">
        <w:rPr>
          <w:lang w:val="en-GB"/>
        </w:rPr>
        <w:tab/>
      </w:r>
    </w:p>
    <w:p w:rsidR="001A0A7E" w:rsidRPr="00296E27" w:rsidRDefault="001A0A7E" w:rsidP="001A0A7E">
      <w:pPr>
        <w:pStyle w:val="NormalWeb"/>
        <w:spacing w:line="360" w:lineRule="auto"/>
        <w:ind w:firstLine="709"/>
        <w:jc w:val="both"/>
        <w:rPr>
          <w:lang w:val="en-GB"/>
        </w:rPr>
      </w:pPr>
      <w:r w:rsidRPr="00296E27">
        <w:rPr>
          <w:lang w:val="en-GB"/>
        </w:rPr>
        <w:t xml:space="preserve">Subtracting (6) from expression (3) and using </w:t>
      </w:r>
      <w:proofErr w:type="spellStart"/>
      <w:r w:rsidRPr="00296E27">
        <w:rPr>
          <w:lang w:val="en-GB"/>
        </w:rPr>
        <w:t>Cella’s</w:t>
      </w:r>
      <w:proofErr w:type="spellEnd"/>
      <w:r w:rsidRPr="00296E27">
        <w:rPr>
          <w:lang w:val="en-GB"/>
        </w:rPr>
        <w:t xml:space="preserve"> </w:t>
      </w:r>
      <w:r>
        <w:rPr>
          <w:lang w:val="en-GB"/>
        </w:rPr>
        <w:t xml:space="preserve">definition of </w:t>
      </w:r>
      <w:r w:rsidRPr="00296E27">
        <w:rPr>
          <w:lang w:val="en-GB"/>
        </w:rPr>
        <w:t>sectors’ backward</w:t>
      </w:r>
      <w:r>
        <w:rPr>
          <w:lang w:val="en-GB"/>
        </w:rPr>
        <w:t xml:space="preserve"> indicators</w:t>
      </w:r>
      <w:r w:rsidRPr="00296E27">
        <w:rPr>
          <w:lang w:val="en-GB"/>
        </w:rPr>
        <w:t xml:space="preserve">, the evaluated changes in overall output levels due to the exogenous demand-pull stimulus generated by block </w:t>
      </w:r>
      <w:r w:rsidRPr="00296E27">
        <w:rPr>
          <w:iCs/>
          <w:lang w:val="en-GB"/>
        </w:rPr>
        <w:t>K</w:t>
      </w:r>
      <w:r w:rsidRPr="00296E27">
        <w:rPr>
          <w:lang w:val="en-GB"/>
        </w:rPr>
        <w:t xml:space="preserve"> per unit of final demand reads as:</w:t>
      </w:r>
    </w:p>
    <w:p w:rsidR="001A0A7E" w:rsidRPr="00296E27" w:rsidRDefault="001A0A7E" w:rsidP="001A0A7E">
      <w:pPr>
        <w:pStyle w:val="Textoindependiente"/>
        <w:rPr>
          <w:lang w:val="en-GB"/>
        </w:rPr>
      </w:pPr>
      <w:r w:rsidRPr="00296E27">
        <w:rPr>
          <w:position w:val="-50"/>
          <w:lang w:val="en-GB"/>
        </w:rPr>
        <w:object w:dxaOrig="4680" w:dyaOrig="1180">
          <v:shape id="_x0000_i1048" type="#_x0000_t75" style="width:231.6pt;height:59.1pt" o:ole="">
            <v:imagedata r:id="rId54" o:title=""/>
          </v:shape>
          <o:OLEObject Type="Embed" ProgID="Equation.DSMT4" ShapeID="_x0000_i1048" DrawAspect="Content" ObjectID="_1451051898" r:id="rId55"/>
        </w:object>
      </w:r>
      <w:r w:rsidRPr="00296E27">
        <w:rPr>
          <w:lang w:val="en-GB"/>
        </w:rPr>
        <w:t xml:space="preserve">  </w:t>
      </w:r>
      <w:r w:rsidRPr="00296E27">
        <w:rPr>
          <w:lang w:val="en-GB"/>
        </w:rPr>
        <w:tab/>
      </w:r>
      <w:r w:rsidRPr="00296E27">
        <w:rPr>
          <w:lang w:val="en-GB"/>
        </w:rPr>
        <w:tab/>
      </w:r>
      <w:r w:rsidRPr="00296E27">
        <w:rPr>
          <w:lang w:val="en-GB"/>
        </w:rPr>
        <w:tab/>
        <w:t xml:space="preserve">              </w:t>
      </w:r>
      <w:r>
        <w:rPr>
          <w:lang w:val="en-GB"/>
        </w:rPr>
        <w:t xml:space="preserve">               </w:t>
      </w:r>
      <w:r w:rsidRPr="00296E27">
        <w:rPr>
          <w:lang w:val="en-GB"/>
        </w:rPr>
        <w:t xml:space="preserve"> (7)</w:t>
      </w:r>
      <w:r w:rsidRPr="00296E27">
        <w:rPr>
          <w:lang w:val="en-GB"/>
        </w:rPr>
        <w:tab/>
      </w:r>
    </w:p>
    <w:p w:rsidR="001A0A7E" w:rsidRPr="00F536A5" w:rsidRDefault="001A0A7E" w:rsidP="001A0A7E">
      <w:pPr>
        <w:pStyle w:val="NormalWeb"/>
        <w:spacing w:line="360" w:lineRule="auto"/>
        <w:ind w:firstLine="708"/>
        <w:jc w:val="both"/>
        <w:rPr>
          <w:color w:val="FF0000"/>
          <w:lang w:val="en-US"/>
        </w:rPr>
      </w:pPr>
      <w:r w:rsidRPr="002B0D4D">
        <w:rPr>
          <w:lang w:val="en-GB"/>
        </w:rPr>
        <w:t xml:space="preserve">The scalar </w:t>
      </w:r>
      <w:r w:rsidRPr="002B0D4D">
        <w:rPr>
          <w:position w:val="-4"/>
          <w:lang w:val="en-GB"/>
        </w:rPr>
        <w:object w:dxaOrig="639" w:dyaOrig="300">
          <v:shape id="_x0000_i1049" type="#_x0000_t75" style="width:31.9pt;height:14.95pt" o:ole="">
            <v:imagedata r:id="rId56" o:title=""/>
          </v:shape>
          <o:OLEObject Type="Embed" ProgID="Equation.DSMT4" ShapeID="_x0000_i1049" DrawAspect="Content" ObjectID="_1451051899" r:id="rId57"/>
        </w:object>
      </w:r>
      <w:r w:rsidRPr="002B0D4D">
        <w:rPr>
          <w:lang w:val="en-GB"/>
        </w:rPr>
        <w:t>in (7) measures the relevance of block K in the economy in terms of the gross output losses occurring when the intermediate demand supplied by the remaining block N</w:t>
      </w:r>
      <w:r w:rsidRPr="00DC1674">
        <w:rPr>
          <w:lang w:val="en-GB"/>
        </w:rPr>
        <w:t>-K, i.e. the external or out-block linkages, hypothetically disappear.</w:t>
      </w:r>
      <w:r>
        <w:rPr>
          <w:lang w:val="en-GB"/>
        </w:rPr>
        <w:t xml:space="preserve"> </w:t>
      </w:r>
      <w:r w:rsidRPr="00E40A67">
        <w:rPr>
          <w:lang w:val="en-GB"/>
        </w:rPr>
        <w:t xml:space="preserve">Therefore, under </w:t>
      </w:r>
      <w:proofErr w:type="spellStart"/>
      <w:r>
        <w:rPr>
          <w:lang w:val="en-GB"/>
        </w:rPr>
        <w:t>Cella’s</w:t>
      </w:r>
      <w:proofErr w:type="spellEnd"/>
      <w:r>
        <w:rPr>
          <w:lang w:val="en-GB"/>
        </w:rPr>
        <w:t xml:space="preserve"> </w:t>
      </w:r>
      <w:r w:rsidRPr="00E40A67">
        <w:rPr>
          <w:lang w:val="en-GB"/>
        </w:rPr>
        <w:t>HEM criterion, a sector becomes a key-backward sector if the size of these external industrial connections is above the sectors’ average.</w:t>
      </w:r>
      <w:r w:rsidRPr="002B0D4D">
        <w:rPr>
          <w:lang w:val="en-GB"/>
        </w:rPr>
        <w:t xml:space="preserve"> </w:t>
      </w:r>
      <w:r>
        <w:rPr>
          <w:lang w:val="en-GB"/>
        </w:rPr>
        <w:t>An analogous</w:t>
      </w:r>
      <w:r w:rsidRPr="00F536A5">
        <w:rPr>
          <w:lang w:val="en-US"/>
        </w:rPr>
        <w:t xml:space="preserve"> criterion would of course apply for </w:t>
      </w:r>
      <w:proofErr w:type="spellStart"/>
      <w:r w:rsidRPr="00F536A5">
        <w:rPr>
          <w:lang w:val="en-US"/>
        </w:rPr>
        <w:t>sectoral</w:t>
      </w:r>
      <w:proofErr w:type="spellEnd"/>
      <w:r w:rsidRPr="00F536A5">
        <w:rPr>
          <w:lang w:val="en-US"/>
        </w:rPr>
        <w:t xml:space="preserve"> block</w:t>
      </w:r>
      <w:r>
        <w:rPr>
          <w:lang w:val="en-US"/>
        </w:rPr>
        <w:t>s’</w:t>
      </w:r>
      <w:r w:rsidRPr="00F536A5">
        <w:rPr>
          <w:lang w:val="en-US"/>
        </w:rPr>
        <w:t xml:space="preserve"> key-backward indicators.</w:t>
      </w:r>
      <w:r>
        <w:rPr>
          <w:color w:val="FF0000"/>
          <w:lang w:val="en-US"/>
        </w:rPr>
        <w:t xml:space="preserve"> </w:t>
      </w:r>
    </w:p>
    <w:p w:rsidR="001A0A7E" w:rsidRDefault="001A0A7E" w:rsidP="001A0A7E">
      <w:pPr>
        <w:pStyle w:val="NormalWeb"/>
        <w:spacing w:line="360" w:lineRule="auto"/>
        <w:ind w:firstLine="709"/>
        <w:jc w:val="both"/>
        <w:rPr>
          <w:lang w:val="en-GB"/>
        </w:rPr>
      </w:pPr>
      <w:r>
        <w:rPr>
          <w:lang w:val="en-GB"/>
        </w:rPr>
        <w:t xml:space="preserve">We can now proceed to perform the comparison of the two standard I-O key-sector methods formally reviewed above.  We simply do so subtracting </w:t>
      </w:r>
      <w:r w:rsidRPr="008E2D9D">
        <w:rPr>
          <w:lang w:val="en-GB"/>
        </w:rPr>
        <w:t>expressions (5) and (7) to obtain:</w:t>
      </w:r>
    </w:p>
    <w:p w:rsidR="001A0A7E" w:rsidRDefault="001A0A7E" w:rsidP="001A0A7E">
      <w:pPr>
        <w:pStyle w:val="Textoindependiente"/>
        <w:rPr>
          <w:lang w:val="en-GB"/>
        </w:rPr>
      </w:pPr>
      <w:r w:rsidRPr="008E2D9D">
        <w:rPr>
          <w:position w:val="-14"/>
          <w:lang w:val="en-GB"/>
        </w:rPr>
        <w:object w:dxaOrig="4140" w:dyaOrig="440">
          <v:shape id="_x0000_i1050" type="#_x0000_t75" style="width:207.15pt;height:21.75pt" o:ole="">
            <v:imagedata r:id="rId58" o:title=""/>
          </v:shape>
          <o:OLEObject Type="Embed" ProgID="Equation.DSMT4" ShapeID="_x0000_i1050" DrawAspect="Content" ObjectID="_1451051900" r:id="rId59"/>
        </w:object>
      </w:r>
      <w:r w:rsidRPr="008E2D9D">
        <w:rPr>
          <w:lang w:val="en-GB"/>
        </w:rPr>
        <w:tab/>
      </w:r>
      <w:r w:rsidRPr="008E2D9D">
        <w:rPr>
          <w:lang w:val="en-GB"/>
        </w:rPr>
        <w:tab/>
      </w:r>
      <w:r w:rsidRPr="008E2D9D">
        <w:rPr>
          <w:lang w:val="en-GB"/>
        </w:rPr>
        <w:tab/>
      </w:r>
      <w:r w:rsidRPr="008E2D9D">
        <w:rPr>
          <w:lang w:val="en-GB"/>
        </w:rPr>
        <w:tab/>
      </w:r>
      <w:r w:rsidRPr="008E2D9D">
        <w:rPr>
          <w:lang w:val="en-GB"/>
        </w:rPr>
        <w:tab/>
      </w:r>
      <w:r w:rsidRPr="008E2D9D">
        <w:rPr>
          <w:lang w:val="en-GB"/>
        </w:rPr>
        <w:tab/>
        <w:t xml:space="preserve">     (8)</w:t>
      </w:r>
    </w:p>
    <w:p w:rsidR="001A0A7E" w:rsidRDefault="001A0A7E" w:rsidP="001A0A7E">
      <w:pPr>
        <w:pStyle w:val="NormalWeb"/>
        <w:spacing w:line="360" w:lineRule="auto"/>
        <w:ind w:firstLine="709"/>
        <w:jc w:val="both"/>
        <w:rPr>
          <w:lang w:val="en-GB"/>
        </w:rPr>
      </w:pPr>
      <w:r w:rsidRPr="008E2D9D">
        <w:rPr>
          <w:lang w:val="en-GB"/>
        </w:rPr>
        <w:t>Expression (8) implies that purely internal transactions</w:t>
      </w:r>
      <w:r>
        <w:rPr>
          <w:lang w:val="en-GB"/>
        </w:rPr>
        <w:t>,</w:t>
      </w:r>
      <w:r w:rsidRPr="008E2D9D">
        <w:rPr>
          <w:lang w:val="en-GB"/>
        </w:rPr>
        <w:t xml:space="preserve"> or direct self-supply transactions</w:t>
      </w:r>
      <w:r>
        <w:rPr>
          <w:lang w:val="en-GB"/>
        </w:rPr>
        <w:t>, captured by</w:t>
      </w:r>
      <w:r w:rsidRPr="008E2D9D">
        <w:rPr>
          <w:lang w:val="en-GB"/>
        </w:rPr>
        <w:t xml:space="preserve"> </w:t>
      </w:r>
      <w:r>
        <w:rPr>
          <w:lang w:val="en-GB"/>
        </w:rPr>
        <w:t xml:space="preserve">the </w:t>
      </w:r>
      <w:proofErr w:type="spellStart"/>
      <w:r>
        <w:rPr>
          <w:lang w:val="en-GB"/>
        </w:rPr>
        <w:t>sectoral</w:t>
      </w:r>
      <w:proofErr w:type="spellEnd"/>
      <w:r>
        <w:rPr>
          <w:lang w:val="en-GB"/>
        </w:rPr>
        <w:t xml:space="preserve"> </w:t>
      </w:r>
      <w:r w:rsidRPr="008E2D9D">
        <w:rPr>
          <w:position w:val="-4"/>
          <w:lang w:val="en-GB"/>
        </w:rPr>
        <w:object w:dxaOrig="499" w:dyaOrig="260">
          <v:shape id="_x0000_i1051" type="#_x0000_t75" style="width:24.45pt;height:12.9pt" o:ole="">
            <v:imagedata r:id="rId60" o:title=""/>
          </v:shape>
          <o:OLEObject Type="Embed" ProgID="Equation.DSMT4" ShapeID="_x0000_i1051" DrawAspect="Content" ObjectID="_1451051901" r:id="rId61"/>
        </w:object>
      </w:r>
      <w:r>
        <w:rPr>
          <w:lang w:val="en-GB"/>
        </w:rPr>
        <w:t xml:space="preserve">indicator are not accounted for under </w:t>
      </w:r>
      <w:proofErr w:type="spellStart"/>
      <w:r w:rsidRPr="008E2D9D">
        <w:rPr>
          <w:lang w:val="en-GB"/>
        </w:rPr>
        <w:t>Cella’s</w:t>
      </w:r>
      <w:proofErr w:type="spellEnd"/>
      <w:r w:rsidRPr="008E2D9D">
        <w:rPr>
          <w:lang w:val="en-GB"/>
        </w:rPr>
        <w:t xml:space="preserve"> HEM backward measures</w:t>
      </w:r>
      <w:r>
        <w:rPr>
          <w:lang w:val="en-GB"/>
        </w:rPr>
        <w:t>, i.e. the</w:t>
      </w:r>
      <w:r w:rsidRPr="008E2D9D">
        <w:rPr>
          <w:lang w:val="en-GB"/>
        </w:rPr>
        <w:t xml:space="preserve"> </w:t>
      </w:r>
      <w:r w:rsidRPr="008E2D9D">
        <w:rPr>
          <w:position w:val="-4"/>
          <w:lang w:val="en-GB"/>
        </w:rPr>
        <w:object w:dxaOrig="560" w:dyaOrig="260">
          <v:shape id="_x0000_i1052" type="#_x0000_t75" style="width:28.55pt;height:12.9pt" o:ole="">
            <v:imagedata r:id="rId62" o:title=""/>
          </v:shape>
          <o:OLEObject Type="Embed" ProgID="Equation.DSMT4" ShapeID="_x0000_i1052" DrawAspect="Content" ObjectID="_1451051902" r:id="rId63"/>
        </w:object>
      </w:r>
      <w:r w:rsidRPr="00D8591A">
        <w:rPr>
          <w:lang w:val="en-GB"/>
        </w:rPr>
        <w:t>indicator</w:t>
      </w:r>
      <w:r w:rsidRPr="00F536A5">
        <w:rPr>
          <w:lang w:val="en-GB"/>
        </w:rPr>
        <w:t>.</w:t>
      </w:r>
      <w:r w:rsidRPr="001363B9">
        <w:rPr>
          <w:color w:val="FF0000"/>
          <w:lang w:val="en-GB"/>
        </w:rPr>
        <w:t xml:space="preserve"> </w:t>
      </w:r>
      <w:r w:rsidRPr="005B5A58">
        <w:rPr>
          <w:lang w:val="en-GB"/>
        </w:rPr>
        <w:t>When classifying key sectors in terms of backward linkage effects, the differences between the two methods, as defined here, stem from the relevance of the production chains that are internal to the sector and that originate from their own intermediate demand. For the case of a group of sectors contained in block K,</w:t>
      </w:r>
      <w:r>
        <w:rPr>
          <w:color w:val="FF0000"/>
          <w:lang w:val="en-GB"/>
        </w:rPr>
        <w:t xml:space="preserve"> </w:t>
      </w:r>
      <w:r>
        <w:rPr>
          <w:lang w:val="en-GB"/>
        </w:rPr>
        <w:t>i</w:t>
      </w:r>
      <w:r w:rsidRPr="008E2D9D">
        <w:rPr>
          <w:lang w:val="en-GB"/>
        </w:rPr>
        <w:t xml:space="preserve">f the degree of a </w:t>
      </w:r>
      <w:proofErr w:type="spellStart"/>
      <w:r>
        <w:rPr>
          <w:lang w:val="en-GB"/>
        </w:rPr>
        <w:t>sectoral</w:t>
      </w:r>
      <w:proofErr w:type="spellEnd"/>
      <w:r>
        <w:rPr>
          <w:lang w:val="en-GB"/>
        </w:rPr>
        <w:t xml:space="preserve"> </w:t>
      </w:r>
      <w:r w:rsidRPr="008E2D9D">
        <w:rPr>
          <w:lang w:val="en-GB"/>
        </w:rPr>
        <w:t xml:space="preserve">block’s dependency </w:t>
      </w:r>
      <w:r>
        <w:rPr>
          <w:lang w:val="en-GB"/>
        </w:rPr>
        <w:t xml:space="preserve">on the internal (or </w:t>
      </w:r>
      <w:r w:rsidRPr="008E2D9D">
        <w:rPr>
          <w:lang w:val="en-GB"/>
        </w:rPr>
        <w:lastRenderedPageBreak/>
        <w:t>horizontal industrial integration</w:t>
      </w:r>
      <w:r>
        <w:rPr>
          <w:lang w:val="en-GB"/>
        </w:rPr>
        <w:t>)</w:t>
      </w:r>
      <w:r w:rsidRPr="008E2D9D">
        <w:rPr>
          <w:lang w:val="en-GB"/>
        </w:rPr>
        <w:t xml:space="preserve"> relative to </w:t>
      </w:r>
      <w:r>
        <w:rPr>
          <w:lang w:val="en-GB"/>
        </w:rPr>
        <w:t>its external</w:t>
      </w:r>
      <w:r w:rsidRPr="008E2D9D">
        <w:rPr>
          <w:lang w:val="en-GB"/>
        </w:rPr>
        <w:t xml:space="preserve"> interdependencies</w:t>
      </w:r>
      <w:r>
        <w:rPr>
          <w:lang w:val="en-GB"/>
        </w:rPr>
        <w:t xml:space="preserve"> (or </w:t>
      </w:r>
      <w:r w:rsidRPr="008E2D9D">
        <w:rPr>
          <w:lang w:val="en-GB"/>
        </w:rPr>
        <w:t>vertical industrial integration</w:t>
      </w:r>
      <w:r>
        <w:rPr>
          <w:lang w:val="en-GB"/>
        </w:rPr>
        <w:t xml:space="preserve">) </w:t>
      </w:r>
      <w:r w:rsidRPr="008E2D9D">
        <w:rPr>
          <w:lang w:val="en-GB"/>
        </w:rPr>
        <w:t>is very strong, then block K may</w:t>
      </w:r>
      <w:r>
        <w:rPr>
          <w:lang w:val="en-GB"/>
        </w:rPr>
        <w:t xml:space="preserve"> turn out to be a</w:t>
      </w:r>
      <w:r w:rsidRPr="008E2D9D">
        <w:rPr>
          <w:lang w:val="en-GB"/>
        </w:rPr>
        <w:t xml:space="preserve"> key-backward </w:t>
      </w:r>
      <w:proofErr w:type="spellStart"/>
      <w:r w:rsidRPr="008E2D9D">
        <w:rPr>
          <w:lang w:val="en-GB"/>
        </w:rPr>
        <w:t>sector</w:t>
      </w:r>
      <w:r>
        <w:rPr>
          <w:lang w:val="en-GB"/>
        </w:rPr>
        <w:t>al</w:t>
      </w:r>
      <w:proofErr w:type="spellEnd"/>
      <w:r>
        <w:rPr>
          <w:lang w:val="en-GB"/>
        </w:rPr>
        <w:t xml:space="preserve"> block under the CMM</w:t>
      </w:r>
      <w:r w:rsidRPr="008E2D9D">
        <w:rPr>
          <w:lang w:val="en-GB"/>
        </w:rPr>
        <w:t>. The categorisation of block K might be differen</w:t>
      </w:r>
      <w:r>
        <w:rPr>
          <w:lang w:val="en-GB"/>
        </w:rPr>
        <w:t>t, however, under the HEM</w:t>
      </w:r>
      <w:r w:rsidRPr="008E2D9D">
        <w:rPr>
          <w:lang w:val="en-GB"/>
        </w:rPr>
        <w:t xml:space="preserve"> since only the degree of vertical industrial integration </w:t>
      </w:r>
      <w:r>
        <w:rPr>
          <w:lang w:val="en-GB"/>
        </w:rPr>
        <w:t>caused by</w:t>
      </w:r>
      <w:r w:rsidRPr="008E2D9D">
        <w:rPr>
          <w:lang w:val="en-GB"/>
        </w:rPr>
        <w:t xml:space="preserve"> intermediate demand is taken into account</w:t>
      </w:r>
      <w:r>
        <w:rPr>
          <w:lang w:val="en-GB"/>
        </w:rPr>
        <w:t>.</w:t>
      </w:r>
    </w:p>
    <w:p w:rsidR="001A0A7E" w:rsidRDefault="001A0A7E" w:rsidP="001A0A7E">
      <w:pPr>
        <w:pStyle w:val="NormalWeb"/>
        <w:spacing w:line="360" w:lineRule="auto"/>
        <w:ind w:firstLine="709"/>
        <w:jc w:val="both"/>
        <w:rPr>
          <w:lang w:val="en-GB"/>
        </w:rPr>
      </w:pPr>
      <w:r w:rsidRPr="008E2D9D">
        <w:rPr>
          <w:lang w:val="en-GB"/>
        </w:rPr>
        <w:t xml:space="preserve">Once the distinction between the two methodologies becomes clearer, </w:t>
      </w:r>
      <w:r>
        <w:rPr>
          <w:lang w:val="en-GB"/>
        </w:rPr>
        <w:t xml:space="preserve">an interesting question that we would like to pose </w:t>
      </w:r>
      <w:r w:rsidRPr="008E2D9D">
        <w:rPr>
          <w:lang w:val="en-GB"/>
        </w:rPr>
        <w:t xml:space="preserve">is </w:t>
      </w:r>
      <w:r>
        <w:rPr>
          <w:lang w:val="en-GB"/>
        </w:rPr>
        <w:t xml:space="preserve">the following: </w:t>
      </w:r>
      <w:r w:rsidRPr="008E2D9D">
        <w:rPr>
          <w:lang w:val="en-GB"/>
        </w:rPr>
        <w:t xml:space="preserve">which </w:t>
      </w:r>
      <w:r w:rsidRPr="00DB6D68">
        <w:rPr>
          <w:lang w:val="en-GB"/>
        </w:rPr>
        <w:t>approach is</w:t>
      </w:r>
      <w:r w:rsidRPr="008E2D9D">
        <w:rPr>
          <w:lang w:val="en-GB"/>
        </w:rPr>
        <w:t xml:space="preserve"> the most appropriate for identifying key-backward sector</w:t>
      </w:r>
      <w:r>
        <w:rPr>
          <w:lang w:val="en-GB"/>
        </w:rPr>
        <w:t xml:space="preserve">s for favouring economic efficiency, in general, and </w:t>
      </w:r>
      <w:r w:rsidRPr="008E2D9D">
        <w:rPr>
          <w:lang w:val="en-GB"/>
        </w:rPr>
        <w:t xml:space="preserve">for </w:t>
      </w:r>
      <w:r>
        <w:rPr>
          <w:lang w:val="en-GB"/>
        </w:rPr>
        <w:t xml:space="preserve">promoting </w:t>
      </w:r>
      <w:r w:rsidRPr="008E2D9D">
        <w:rPr>
          <w:lang w:val="en-GB"/>
        </w:rPr>
        <w:t>energy efficiency policies</w:t>
      </w:r>
      <w:r>
        <w:rPr>
          <w:lang w:val="en-GB"/>
        </w:rPr>
        <w:t xml:space="preserve">, </w:t>
      </w:r>
      <w:r w:rsidRPr="00F659F4">
        <w:rPr>
          <w:lang w:val="en-GB"/>
        </w:rPr>
        <w:t>in particular?. In this regard, some authors (</w:t>
      </w:r>
      <w:proofErr w:type="spellStart"/>
      <w:r w:rsidRPr="00F659F4">
        <w:rPr>
          <w:lang w:val="en-GB"/>
        </w:rPr>
        <w:t>Cella</w:t>
      </w:r>
      <w:proofErr w:type="spellEnd"/>
      <w:r w:rsidRPr="00F659F4">
        <w:rPr>
          <w:lang w:val="en-GB"/>
        </w:rPr>
        <w:t xml:space="preserve">, 1984, and </w:t>
      </w:r>
      <w:proofErr w:type="spellStart"/>
      <w:r w:rsidRPr="00F659F4">
        <w:rPr>
          <w:lang w:val="en-GB"/>
        </w:rPr>
        <w:t>Termushoev</w:t>
      </w:r>
      <w:proofErr w:type="spellEnd"/>
      <w:r w:rsidRPr="00F659F4">
        <w:rPr>
          <w:lang w:val="en-GB"/>
        </w:rPr>
        <w:t xml:space="preserve">, 2010) have stressed that what matters is how diverse sectors’ industrial linkages are, i.e. industrial linkages not </w:t>
      </w:r>
      <w:proofErr w:type="gramStart"/>
      <w:r w:rsidRPr="00F659F4">
        <w:rPr>
          <w:lang w:val="en-GB"/>
        </w:rPr>
        <w:t>including  the</w:t>
      </w:r>
      <w:proofErr w:type="gramEnd"/>
      <w:r w:rsidRPr="00F659F4">
        <w:rPr>
          <w:lang w:val="en-GB"/>
        </w:rPr>
        <w:t xml:space="preserve"> internal or within block interdependences. </w:t>
      </w:r>
      <w:r w:rsidRPr="008E2D9D">
        <w:rPr>
          <w:lang w:val="en-GB"/>
        </w:rPr>
        <w:t>This reason would justi</w:t>
      </w:r>
      <w:r>
        <w:rPr>
          <w:lang w:val="en-GB"/>
        </w:rPr>
        <w:t>fy the use of the HEM indicator</w:t>
      </w:r>
      <w:r w:rsidRPr="008E2D9D">
        <w:rPr>
          <w:lang w:val="en-GB"/>
        </w:rPr>
        <w:t xml:space="preserve"> </w:t>
      </w:r>
      <w:r>
        <w:rPr>
          <w:lang w:val="en-GB"/>
        </w:rPr>
        <w:t xml:space="preserve">that follows </w:t>
      </w:r>
      <w:proofErr w:type="spellStart"/>
      <w:r>
        <w:rPr>
          <w:lang w:val="en-GB"/>
        </w:rPr>
        <w:t>Cella’s</w:t>
      </w:r>
      <w:proofErr w:type="spellEnd"/>
      <w:r>
        <w:rPr>
          <w:lang w:val="en-GB"/>
        </w:rPr>
        <w:t xml:space="preserve"> formulation </w:t>
      </w:r>
      <w:r w:rsidRPr="008E2D9D">
        <w:rPr>
          <w:lang w:val="en-GB"/>
        </w:rPr>
        <w:t xml:space="preserve">and its </w:t>
      </w:r>
      <w:r>
        <w:rPr>
          <w:lang w:val="en-GB"/>
        </w:rPr>
        <w:t>derived key-sector criterion. However</w:t>
      </w:r>
      <w:r w:rsidRPr="008E2D9D">
        <w:rPr>
          <w:lang w:val="en-GB"/>
        </w:rPr>
        <w:t xml:space="preserve"> </w:t>
      </w:r>
      <w:r>
        <w:rPr>
          <w:lang w:val="en-GB"/>
        </w:rPr>
        <w:t>within-block linkages</w:t>
      </w:r>
      <w:r w:rsidRPr="008E2D9D">
        <w:rPr>
          <w:lang w:val="en-GB"/>
        </w:rPr>
        <w:t xml:space="preserve"> are </w:t>
      </w:r>
      <w:r>
        <w:rPr>
          <w:lang w:val="en-GB"/>
        </w:rPr>
        <w:t>also important</w:t>
      </w:r>
      <w:r w:rsidRPr="008E2D9D">
        <w:rPr>
          <w:lang w:val="en-GB"/>
        </w:rPr>
        <w:t xml:space="preserve"> for identifying key backward sectors since they constitute part of the “grid” in </w:t>
      </w:r>
      <w:proofErr w:type="spellStart"/>
      <w:r w:rsidRPr="008E2D9D">
        <w:rPr>
          <w:lang w:val="en-GB"/>
        </w:rPr>
        <w:t>sectoral</w:t>
      </w:r>
      <w:proofErr w:type="spellEnd"/>
      <w:r w:rsidRPr="008E2D9D">
        <w:rPr>
          <w:lang w:val="en-GB"/>
        </w:rPr>
        <w:t xml:space="preserve"> linkages that also contributes to improve economic efficiency</w:t>
      </w:r>
      <w:r>
        <w:rPr>
          <w:lang w:val="en-GB"/>
        </w:rPr>
        <w:t xml:space="preserve"> </w:t>
      </w:r>
      <w:r w:rsidRPr="00717254">
        <w:rPr>
          <w:lang w:val="en-GB"/>
        </w:rPr>
        <w:t>(</w:t>
      </w:r>
      <w:proofErr w:type="spellStart"/>
      <w:r w:rsidRPr="00717254">
        <w:rPr>
          <w:lang w:val="en-GB"/>
        </w:rPr>
        <w:t>Guccione</w:t>
      </w:r>
      <w:proofErr w:type="spellEnd"/>
      <w:r w:rsidRPr="00717254">
        <w:rPr>
          <w:lang w:val="en-GB"/>
        </w:rPr>
        <w:t>, 1986)</w:t>
      </w:r>
      <w:r>
        <w:rPr>
          <w:lang w:val="en-GB"/>
        </w:rPr>
        <w:t xml:space="preserve">. </w:t>
      </w:r>
      <w:r w:rsidRPr="00F659F4">
        <w:rPr>
          <w:lang w:val="en-GB"/>
        </w:rPr>
        <w:t xml:space="preserve">Furthermore, notice that </w:t>
      </w:r>
      <w:r>
        <w:rPr>
          <w:lang w:val="en-GB"/>
        </w:rPr>
        <w:t>although</w:t>
      </w:r>
      <w:r w:rsidRPr="00F659F4">
        <w:rPr>
          <w:lang w:val="en-GB"/>
        </w:rPr>
        <w:t xml:space="preserve"> according to expression (8), the HEM backward indicator used in this analysis directly omits the internal linkages collected through the square matrix</w:t>
      </w:r>
      <w:r w:rsidRPr="00F659F4">
        <w:rPr>
          <w:position w:val="-14"/>
          <w:lang w:val="en-GB"/>
        </w:rPr>
        <w:object w:dxaOrig="1020" w:dyaOrig="440">
          <v:shape id="_x0000_i1053" type="#_x0000_t75" style="width:50.95pt;height:21.75pt" o:ole="">
            <v:imagedata r:id="rId64" o:title=""/>
          </v:shape>
          <o:OLEObject Type="Embed" ProgID="Equation.DSMT4" ShapeID="_x0000_i1053" DrawAspect="Content" ObjectID="_1451051903" r:id="rId65"/>
        </w:object>
      </w:r>
      <w:proofErr w:type="gramStart"/>
      <w:r w:rsidRPr="00F659F4">
        <w:rPr>
          <w:lang w:val="en-GB"/>
        </w:rPr>
        <w:t>,</w:t>
      </w:r>
      <w:proofErr w:type="gramEnd"/>
      <w:r w:rsidRPr="00F659F4">
        <w:rPr>
          <w:lang w:val="en-GB"/>
        </w:rPr>
        <w:t xml:space="preserve"> nonetheless these linkages indirectly exert an influence over the external ones</w:t>
      </w:r>
      <w:r w:rsidRPr="00F659F4">
        <w:rPr>
          <w:rStyle w:val="Refdenotaalpie"/>
          <w:lang w:val="en-GB"/>
        </w:rPr>
        <w:footnoteReference w:id="7"/>
      </w:r>
      <w:r w:rsidRPr="00F659F4">
        <w:rPr>
          <w:lang w:val="en-GB"/>
        </w:rPr>
        <w:t>.</w:t>
      </w:r>
      <w:r w:rsidRPr="008E2D9D">
        <w:rPr>
          <w:lang w:val="en-GB"/>
        </w:rPr>
        <w:t xml:space="preserve"> </w:t>
      </w:r>
      <w:r>
        <w:rPr>
          <w:lang w:val="en-GB"/>
        </w:rPr>
        <w:t xml:space="preserve"> </w:t>
      </w:r>
    </w:p>
    <w:p w:rsidR="001A0A7E" w:rsidRDefault="001A0A7E" w:rsidP="001A0A7E">
      <w:pPr>
        <w:pStyle w:val="NormalWeb"/>
        <w:spacing w:line="360" w:lineRule="auto"/>
        <w:ind w:firstLine="709"/>
        <w:jc w:val="both"/>
        <w:rPr>
          <w:lang w:val="en-GB"/>
        </w:rPr>
      </w:pPr>
      <w:r w:rsidRPr="00D06180">
        <w:rPr>
          <w:lang w:val="en-GB"/>
        </w:rPr>
        <w:t xml:space="preserve">In the context of energy efficiency policies, </w:t>
      </w:r>
      <w:r>
        <w:rPr>
          <w:lang w:val="en-GB"/>
        </w:rPr>
        <w:t xml:space="preserve">as advanced in Section 1, </w:t>
      </w:r>
      <w:r w:rsidRPr="00D06180">
        <w:rPr>
          <w:lang w:val="en-GB"/>
        </w:rPr>
        <w:t>internal linkage indicators</w:t>
      </w:r>
      <w:r>
        <w:rPr>
          <w:lang w:val="en-GB"/>
        </w:rPr>
        <w:t>,</w:t>
      </w:r>
      <w:r w:rsidRPr="00D06180">
        <w:rPr>
          <w:lang w:val="en-GB"/>
        </w:rPr>
        <w:t xml:space="preserve"> i.e.</w:t>
      </w:r>
      <w:r w:rsidRPr="00D06180">
        <w:rPr>
          <w:position w:val="-4"/>
          <w:lang w:val="en-GB"/>
        </w:rPr>
        <w:object w:dxaOrig="499" w:dyaOrig="260">
          <v:shape id="_x0000_i1054" type="#_x0000_t75" style="width:24.45pt;height:12.9pt" o:ole="">
            <v:imagedata r:id="rId66" o:title=""/>
          </v:shape>
          <o:OLEObject Type="Embed" ProgID="Equation.DSMT4" ShapeID="_x0000_i1054" DrawAspect="Content" ObjectID="_1451051904" r:id="rId67"/>
        </w:object>
      </w:r>
      <w:r w:rsidRPr="00D32CAC">
        <w:rPr>
          <w:lang w:val="en-US"/>
        </w:rPr>
        <w:t>,</w:t>
      </w:r>
      <w:r w:rsidRPr="00D06180">
        <w:rPr>
          <w:lang w:val="en-GB"/>
        </w:rPr>
        <w:t xml:space="preserve"> may be crucial for some energy related sectors, as the electricity sector</w:t>
      </w:r>
      <w:r>
        <w:rPr>
          <w:lang w:val="en-GB"/>
        </w:rPr>
        <w:t xml:space="preserve">. </w:t>
      </w:r>
      <w:r w:rsidRPr="00D06180">
        <w:rPr>
          <w:lang w:val="en-GB"/>
        </w:rPr>
        <w:t xml:space="preserve">The </w:t>
      </w:r>
      <w:r w:rsidRPr="00D06180">
        <w:rPr>
          <w:position w:val="-4"/>
          <w:lang w:val="en-GB"/>
        </w:rPr>
        <w:object w:dxaOrig="499" w:dyaOrig="260">
          <v:shape id="_x0000_i1055" type="#_x0000_t75" style="width:24.45pt;height:12.9pt" o:ole="">
            <v:imagedata r:id="rId66" o:title=""/>
          </v:shape>
          <o:OLEObject Type="Embed" ProgID="Equation.DSMT4" ShapeID="_x0000_i1055" DrawAspect="Content" ObjectID="_1451051905" r:id="rId68"/>
        </w:object>
      </w:r>
      <w:r w:rsidRPr="00D06180">
        <w:rPr>
          <w:lang w:val="en-US"/>
        </w:rPr>
        <w:t xml:space="preserve">indicator </w:t>
      </w:r>
      <w:r>
        <w:rPr>
          <w:lang w:val="en-US"/>
        </w:rPr>
        <w:t xml:space="preserve">of this energy sector </w:t>
      </w:r>
      <w:r w:rsidRPr="00D06180">
        <w:rPr>
          <w:lang w:val="en-GB"/>
        </w:rPr>
        <w:t>quantifies the additional amount of electricity</w:t>
      </w:r>
      <w:r>
        <w:rPr>
          <w:lang w:val="en-GB"/>
        </w:rPr>
        <w:t xml:space="preserve"> needed to accomplish </w:t>
      </w:r>
      <w:r w:rsidRPr="00D06180">
        <w:rPr>
          <w:lang w:val="en-GB"/>
        </w:rPr>
        <w:t xml:space="preserve">one unit </w:t>
      </w:r>
      <w:r>
        <w:rPr>
          <w:lang w:val="en-GB"/>
        </w:rPr>
        <w:t>of</w:t>
      </w:r>
      <w:r w:rsidRPr="00D06180">
        <w:rPr>
          <w:lang w:val="en-GB"/>
        </w:rPr>
        <w:t xml:space="preserve"> </w:t>
      </w:r>
      <w:r>
        <w:rPr>
          <w:lang w:val="en-GB"/>
        </w:rPr>
        <w:t xml:space="preserve">electricity demand. Therefore, the largest this internal backward linkage indicator is the lowest the degree of efficiency in the use of its own intermediate demand. </w:t>
      </w:r>
      <w:r w:rsidRPr="00D06180">
        <w:rPr>
          <w:lang w:val="en-GB"/>
        </w:rPr>
        <w:t xml:space="preserve">The </w:t>
      </w:r>
      <w:r w:rsidRPr="00D06180">
        <w:rPr>
          <w:position w:val="-4"/>
          <w:lang w:val="en-GB"/>
        </w:rPr>
        <w:object w:dxaOrig="560" w:dyaOrig="260">
          <v:shape id="_x0000_i1056" type="#_x0000_t75" style="width:28.55pt;height:12.9pt" o:ole="">
            <v:imagedata r:id="rId69" o:title=""/>
          </v:shape>
          <o:OLEObject Type="Embed" ProgID="Equation.DSMT4" ShapeID="_x0000_i1056" DrawAspect="Content" ObjectID="_1451051906" r:id="rId70"/>
        </w:object>
      </w:r>
      <w:r>
        <w:rPr>
          <w:lang w:val="en-US"/>
        </w:rPr>
        <w:t>measure</w:t>
      </w:r>
      <w:r w:rsidRPr="00D06180">
        <w:rPr>
          <w:lang w:val="en-US"/>
        </w:rPr>
        <w:t xml:space="preserve"> </w:t>
      </w:r>
      <w:r>
        <w:rPr>
          <w:lang w:val="en-US"/>
        </w:rPr>
        <w:t xml:space="preserve">of this sector, instead, </w:t>
      </w:r>
      <w:r w:rsidRPr="00D06180">
        <w:rPr>
          <w:lang w:val="en-US"/>
        </w:rPr>
        <w:t>inform</w:t>
      </w:r>
      <w:r>
        <w:rPr>
          <w:lang w:val="en-US"/>
        </w:rPr>
        <w:t>s</w:t>
      </w:r>
      <w:r w:rsidRPr="00D06180">
        <w:rPr>
          <w:lang w:val="en-US"/>
        </w:rPr>
        <w:t xml:space="preserve"> about the </w:t>
      </w:r>
      <w:r>
        <w:rPr>
          <w:lang w:val="en-US"/>
        </w:rPr>
        <w:t>role played by the remaining production units in covering this demand and, consequently, their potential to save energy in the production and distribution of electricity.</w:t>
      </w:r>
      <w:r w:rsidRPr="00D06180">
        <w:rPr>
          <w:lang w:val="en-US"/>
        </w:rPr>
        <w:t xml:space="preserve"> </w:t>
      </w:r>
      <w:r>
        <w:rPr>
          <w:lang w:val="en-GB"/>
        </w:rPr>
        <w:t>Therefore</w:t>
      </w:r>
      <w:r w:rsidRPr="00D06180">
        <w:rPr>
          <w:lang w:val="en-GB"/>
        </w:rPr>
        <w:t>, the combined use of these t</w:t>
      </w:r>
      <w:r>
        <w:rPr>
          <w:lang w:val="en-GB"/>
        </w:rPr>
        <w:t>wo</w:t>
      </w:r>
      <w:r w:rsidRPr="00D06180">
        <w:rPr>
          <w:lang w:val="en-GB"/>
        </w:rPr>
        <w:t xml:space="preserve"> backward measures captured by the “hybrid” I-O key sector method proposed here allows distinguishing </w:t>
      </w:r>
      <w:r w:rsidRPr="006E1C46">
        <w:rPr>
          <w:lang w:val="en-GB"/>
        </w:rPr>
        <w:t xml:space="preserve">and quantifying in a more accurate and refined way each sector energy efficiency </w:t>
      </w:r>
      <w:r w:rsidRPr="006E1C46">
        <w:rPr>
          <w:lang w:val="en-GB"/>
        </w:rPr>
        <w:lastRenderedPageBreak/>
        <w:t>“responsibility” in the production and distribution of electricity resources</w:t>
      </w:r>
      <w:r w:rsidRPr="00E606C4">
        <w:rPr>
          <w:lang w:val="en-GB"/>
        </w:rPr>
        <w:t>. Lastly, and in a complementary way,  the</w:t>
      </w:r>
      <w:r w:rsidRPr="00E606C4">
        <w:rPr>
          <w:position w:val="-4"/>
          <w:lang w:val="en-GB"/>
        </w:rPr>
        <w:object w:dxaOrig="560" w:dyaOrig="260">
          <v:shape id="_x0000_i1057" type="#_x0000_t75" style="width:28.55pt;height:12.9pt" o:ole="">
            <v:imagedata r:id="rId71" o:title=""/>
          </v:shape>
          <o:OLEObject Type="Embed" ProgID="Equation.DSMT4" ShapeID="_x0000_i1057" DrawAspect="Content" ObjectID="_1451051907" r:id="rId72"/>
        </w:object>
      </w:r>
      <w:r w:rsidRPr="00E606C4">
        <w:rPr>
          <w:lang w:val="en-US"/>
        </w:rPr>
        <w:t xml:space="preserve">and </w:t>
      </w:r>
      <w:r w:rsidRPr="00E606C4">
        <w:rPr>
          <w:position w:val="-4"/>
          <w:lang w:val="en-GB"/>
        </w:rPr>
        <w:object w:dxaOrig="560" w:dyaOrig="260">
          <v:shape id="_x0000_i1058" type="#_x0000_t75" style="width:28.55pt;height:12.9pt" o:ole="">
            <v:imagedata r:id="rId69" o:title=""/>
          </v:shape>
          <o:OLEObject Type="Embed" ProgID="Equation.DSMT4" ShapeID="_x0000_i1058" DrawAspect="Content" ObjectID="_1451051908" r:id="rId73"/>
        </w:object>
      </w:r>
      <w:r w:rsidRPr="00E606C4">
        <w:rPr>
          <w:lang w:val="en-US"/>
        </w:rPr>
        <w:t>indicators of all those sectors that participate in the electricity production and distribution process offer additional information about each sector’s contribution as electricity consumers</w:t>
      </w:r>
      <w:r w:rsidRPr="00E606C4">
        <w:rPr>
          <w:lang w:val="en-GB"/>
        </w:rPr>
        <w:t xml:space="preserve"> and, thus, their potential feedback effects in the economy-wide demand for electricity.</w:t>
      </w:r>
      <w:r w:rsidRPr="00D06180">
        <w:rPr>
          <w:lang w:val="en-GB"/>
        </w:rPr>
        <w:t xml:space="preserve">  </w:t>
      </w:r>
    </w:p>
    <w:p w:rsidR="001A0A7E" w:rsidRPr="002571B4" w:rsidRDefault="001A0A7E" w:rsidP="001A0A7E">
      <w:pPr>
        <w:pStyle w:val="Textoindependiente"/>
        <w:rPr>
          <w:b/>
          <w:lang w:val="en-GB"/>
        </w:rPr>
      </w:pPr>
      <w:r w:rsidRPr="002571B4">
        <w:rPr>
          <w:b/>
          <w:lang w:val="en-GB"/>
        </w:rPr>
        <w:t xml:space="preserve">3. An Empirical Exercise of the Hybrid I-O Key Sector Model.  </w:t>
      </w:r>
    </w:p>
    <w:p w:rsidR="001A0A7E" w:rsidRDefault="001A0A7E" w:rsidP="001A0A7E">
      <w:pPr>
        <w:pStyle w:val="NormalWeb"/>
        <w:spacing w:line="360" w:lineRule="auto"/>
        <w:ind w:firstLine="709"/>
        <w:jc w:val="both"/>
        <w:rPr>
          <w:strike/>
          <w:lang w:val="en-GB"/>
        </w:rPr>
      </w:pPr>
      <w:r w:rsidRPr="002A6570">
        <w:rPr>
          <w:lang w:val="en-GB"/>
        </w:rPr>
        <w:t>We apply now the “hybrid” mode</w:t>
      </w:r>
      <w:r>
        <w:rPr>
          <w:lang w:val="en-GB"/>
        </w:rPr>
        <w:t xml:space="preserve">l </w:t>
      </w:r>
      <w:r w:rsidRPr="002A6570">
        <w:rPr>
          <w:lang w:val="en-GB"/>
        </w:rPr>
        <w:t xml:space="preserve">to Spanish data with the objective of identifying </w:t>
      </w:r>
      <w:r>
        <w:rPr>
          <w:lang w:val="en-GB"/>
        </w:rPr>
        <w:t>key</w:t>
      </w:r>
      <w:r w:rsidRPr="002A6570">
        <w:rPr>
          <w:lang w:val="en-GB"/>
        </w:rPr>
        <w:t xml:space="preserve"> sectors</w:t>
      </w:r>
      <w:r>
        <w:rPr>
          <w:lang w:val="en-GB"/>
        </w:rPr>
        <w:t xml:space="preserve"> for those energy efficiency policy actions that specifically affect the production and distribution of electricity resources</w:t>
      </w:r>
      <w:r w:rsidRPr="002A6570">
        <w:rPr>
          <w:lang w:val="en-GB"/>
        </w:rPr>
        <w:t>. Our data set refers to a 2007 symmetric I-O table constructed from the make and use tables published by the Spanish National Institute of Statistics</w:t>
      </w:r>
      <w:r w:rsidRPr="00C43346">
        <w:rPr>
          <w:rStyle w:val="Refdenotaalpie"/>
          <w:lang w:val="en-GB"/>
        </w:rPr>
        <w:footnoteReference w:id="8"/>
      </w:r>
      <w:r w:rsidRPr="00C43346">
        <w:rPr>
          <w:lang w:val="en-GB"/>
        </w:rPr>
        <w:t>.</w:t>
      </w:r>
      <w:r w:rsidRPr="002A6570">
        <w:rPr>
          <w:lang w:val="en-GB"/>
        </w:rPr>
        <w:t xml:space="preserve"> </w:t>
      </w:r>
      <w:r w:rsidRPr="00F659F4">
        <w:rPr>
          <w:lang w:val="en-GB"/>
        </w:rPr>
        <w:t>To reconcile the economic flows coming from these tables, we have used the industry-technology assumption</w:t>
      </w:r>
      <w:r w:rsidRPr="00F659F4">
        <w:rPr>
          <w:rStyle w:val="Refdenotaalpie"/>
          <w:lang w:val="en-GB"/>
        </w:rPr>
        <w:footnoteReference w:id="9"/>
      </w:r>
      <w:r w:rsidRPr="00F659F4">
        <w:rPr>
          <w:lang w:val="en-GB"/>
        </w:rPr>
        <w:t>.</w:t>
      </w:r>
      <w:r>
        <w:rPr>
          <w:lang w:val="en-GB"/>
        </w:rPr>
        <w:t xml:space="preserve"> </w:t>
      </w:r>
    </w:p>
    <w:p w:rsidR="001A0A7E" w:rsidRDefault="001A0A7E" w:rsidP="001A0A7E">
      <w:pPr>
        <w:pStyle w:val="NormalWeb"/>
        <w:spacing w:line="360" w:lineRule="auto"/>
        <w:ind w:firstLine="709"/>
        <w:jc w:val="both"/>
        <w:rPr>
          <w:lang w:val="en-GB"/>
        </w:rPr>
      </w:pPr>
      <w:r>
        <w:rPr>
          <w:lang w:val="en-GB"/>
        </w:rPr>
        <w:t>In the</w:t>
      </w:r>
      <w:r w:rsidRPr="002A6570">
        <w:rPr>
          <w:lang w:val="en-GB"/>
        </w:rPr>
        <w:t xml:space="preserve"> empirical exercise carried out for the Spanish economy we have therefore used the decomposition of backward impacts for</w:t>
      </w:r>
      <w:r>
        <w:rPr>
          <w:lang w:val="en-GB"/>
        </w:rPr>
        <w:t>mally presented in expression (8</w:t>
      </w:r>
      <w:r w:rsidRPr="002A6570">
        <w:rPr>
          <w:lang w:val="en-GB"/>
        </w:rPr>
        <w:t>) that allows us to differentiate the internal and external effects w</w:t>
      </w:r>
      <w:r>
        <w:rPr>
          <w:lang w:val="en-GB"/>
        </w:rPr>
        <w:t xml:space="preserve">ithin the </w:t>
      </w:r>
      <w:proofErr w:type="spellStart"/>
      <w:r>
        <w:rPr>
          <w:lang w:val="en-GB"/>
        </w:rPr>
        <w:t>sectoral</w:t>
      </w:r>
      <w:proofErr w:type="spellEnd"/>
      <w:r>
        <w:rPr>
          <w:lang w:val="en-GB"/>
        </w:rPr>
        <w:t xml:space="preserve"> total backward impact</w:t>
      </w:r>
      <w:r w:rsidRPr="002A6570">
        <w:rPr>
          <w:lang w:val="en-GB"/>
        </w:rPr>
        <w:t xml:space="preserve">, which refer to un-weighted final demand measures. </w:t>
      </w:r>
      <w:r w:rsidRPr="00221E7E">
        <w:rPr>
          <w:lang w:val="en-GB"/>
        </w:rPr>
        <w:t>We have calculated these</w:t>
      </w:r>
      <w:r>
        <w:rPr>
          <w:lang w:val="en-GB"/>
        </w:rPr>
        <w:t xml:space="preserve"> </w:t>
      </w:r>
      <w:r w:rsidRPr="002A6570">
        <w:rPr>
          <w:lang w:val="en-GB"/>
        </w:rPr>
        <w:t xml:space="preserve">three backward </w:t>
      </w:r>
      <w:r>
        <w:rPr>
          <w:lang w:val="en-GB"/>
        </w:rPr>
        <w:t>indicators for the production and distribution of electricity and for the remaining 45 production units contemplated in our</w:t>
      </w:r>
      <w:r w:rsidRPr="002A6570">
        <w:rPr>
          <w:lang w:val="en-GB"/>
        </w:rPr>
        <w:t xml:space="preserve"> database. The </w:t>
      </w:r>
      <w:proofErr w:type="spellStart"/>
      <w:r w:rsidRPr="002A6570">
        <w:rPr>
          <w:lang w:val="en-GB"/>
        </w:rPr>
        <w:t>sectoral</w:t>
      </w:r>
      <w:proofErr w:type="spellEnd"/>
      <w:r w:rsidRPr="002A6570">
        <w:rPr>
          <w:lang w:val="en-GB"/>
        </w:rPr>
        <w:t xml:space="preserve"> disaggregation applied to the Spanish </w:t>
      </w:r>
      <w:r>
        <w:rPr>
          <w:lang w:val="en-GB"/>
        </w:rPr>
        <w:t xml:space="preserve">symmetric </w:t>
      </w:r>
      <w:r w:rsidRPr="002A6570">
        <w:rPr>
          <w:lang w:val="en-GB"/>
        </w:rPr>
        <w:t xml:space="preserve">I-O table for </w:t>
      </w:r>
      <w:r>
        <w:rPr>
          <w:lang w:val="en-GB"/>
        </w:rPr>
        <w:t xml:space="preserve">2007 and the corresponding  code </w:t>
      </w:r>
      <w:r w:rsidRPr="002A6570">
        <w:rPr>
          <w:lang w:val="en-GB"/>
        </w:rPr>
        <w:t xml:space="preserve">according to the Classification of Products by Activity for 2008 (CPA-2008) are included in the Annex. The </w:t>
      </w:r>
      <w:proofErr w:type="spellStart"/>
      <w:r w:rsidRPr="002A6570">
        <w:rPr>
          <w:lang w:val="en-GB"/>
        </w:rPr>
        <w:t>sectoral</w:t>
      </w:r>
      <w:proofErr w:type="spellEnd"/>
      <w:r w:rsidRPr="002A6570">
        <w:rPr>
          <w:lang w:val="en-GB"/>
        </w:rPr>
        <w:t xml:space="preserve"> decomposition chosen has tried to minimize as much as possible the potential pro</w:t>
      </w:r>
      <w:r>
        <w:rPr>
          <w:lang w:val="en-GB"/>
        </w:rPr>
        <w:t xml:space="preserve">blems of aggregation that may </w:t>
      </w:r>
      <w:r w:rsidRPr="002A6570">
        <w:rPr>
          <w:lang w:val="en-GB"/>
        </w:rPr>
        <w:t>bias linkage measures (</w:t>
      </w:r>
      <w:proofErr w:type="spellStart"/>
      <w:r w:rsidRPr="002A6570">
        <w:rPr>
          <w:lang w:val="en-GB"/>
        </w:rPr>
        <w:t>Hewings</w:t>
      </w:r>
      <w:proofErr w:type="spellEnd"/>
      <w:r w:rsidRPr="002A6570">
        <w:rPr>
          <w:lang w:val="en-GB"/>
        </w:rPr>
        <w:t xml:space="preserve">, 1974). </w:t>
      </w:r>
    </w:p>
    <w:p w:rsidR="001A0A7E" w:rsidRDefault="001A0A7E" w:rsidP="001A0A7E">
      <w:pPr>
        <w:pStyle w:val="NormalWeb"/>
        <w:spacing w:line="360" w:lineRule="auto"/>
        <w:ind w:firstLine="709"/>
        <w:jc w:val="both"/>
        <w:rPr>
          <w:strike/>
          <w:lang w:val="en-GB"/>
        </w:rPr>
      </w:pPr>
      <w:r w:rsidRPr="002A6570">
        <w:rPr>
          <w:lang w:val="en-GB"/>
        </w:rPr>
        <w:t>Before getting into a more concrete analysis of sectors’ “</w:t>
      </w:r>
      <w:proofErr w:type="spellStart"/>
      <w:r w:rsidRPr="002A6570">
        <w:rPr>
          <w:lang w:val="en-GB"/>
        </w:rPr>
        <w:t>keyness</w:t>
      </w:r>
      <w:proofErr w:type="spellEnd"/>
      <w:r w:rsidRPr="002A6570">
        <w:rPr>
          <w:lang w:val="en-GB"/>
        </w:rPr>
        <w:t>” in ter</w:t>
      </w:r>
      <w:r>
        <w:rPr>
          <w:lang w:val="en-GB"/>
        </w:rPr>
        <w:t xml:space="preserve">ms of efficiency gains in the production and distribution of electricity in the context of the </w:t>
      </w:r>
      <w:r>
        <w:rPr>
          <w:lang w:val="en-GB"/>
        </w:rPr>
        <w:lastRenderedPageBreak/>
        <w:t>Spanish economy</w:t>
      </w:r>
      <w:r w:rsidRPr="002A6570">
        <w:rPr>
          <w:lang w:val="en-GB"/>
        </w:rPr>
        <w:t>, we first present and comment the results for the three aforementioned backward indicators</w:t>
      </w:r>
      <w:r>
        <w:rPr>
          <w:lang w:val="en-GB"/>
        </w:rPr>
        <w:t xml:space="preserve">. </w:t>
      </w:r>
      <w:r w:rsidRPr="002A6570">
        <w:rPr>
          <w:lang w:val="en-GB"/>
        </w:rPr>
        <w:t>The total, internal and external backward impacts i</w:t>
      </w:r>
      <w:r>
        <w:rPr>
          <w:lang w:val="en-GB"/>
        </w:rPr>
        <w:t>n absolute terms for each production unit</w:t>
      </w:r>
      <w:r w:rsidRPr="002A6570">
        <w:rPr>
          <w:lang w:val="en-GB"/>
        </w:rPr>
        <w:t xml:space="preserve"> are shown down the three columns of Table 1. The last row of this table reports the arithmetic mean of </w:t>
      </w:r>
      <w:r>
        <w:rPr>
          <w:lang w:val="en-GB"/>
        </w:rPr>
        <w:t xml:space="preserve">all </w:t>
      </w:r>
      <w:r w:rsidRPr="002A6570">
        <w:rPr>
          <w:lang w:val="en-GB"/>
        </w:rPr>
        <w:t>sectors’ backward indicators. Sectors ar</w:t>
      </w:r>
      <w:r>
        <w:rPr>
          <w:lang w:val="en-GB"/>
        </w:rPr>
        <w:t>e sorted out in decreasing order</w:t>
      </w:r>
      <w:r w:rsidRPr="002A6570">
        <w:rPr>
          <w:lang w:val="en-GB"/>
        </w:rPr>
        <w:t xml:space="preserve"> according to the size of their total backward effect. To ease the discussion of the results, all backward indicators have been expressed in positive terms. This is in contrast to what is customary under the HEM approach whereby evaluated changes in gross sectors’ output are usually presented with a negative sign since they relate to gross output losses.</w:t>
      </w:r>
      <w:r w:rsidRPr="00922D9A">
        <w:rPr>
          <w:strike/>
          <w:lang w:val="en-GB"/>
        </w:rPr>
        <w:t xml:space="preserve"> </w:t>
      </w:r>
    </w:p>
    <w:p w:rsidR="001A0A7E" w:rsidRDefault="001A0A7E" w:rsidP="001A0A7E">
      <w:pPr>
        <w:spacing w:before="100" w:beforeAutospacing="1" w:after="100" w:afterAutospacing="1" w:line="360" w:lineRule="auto"/>
        <w:ind w:firstLine="709"/>
        <w:jc w:val="both"/>
        <w:outlineLvl w:val="0"/>
        <w:rPr>
          <w:strike/>
          <w:lang w:val="en-GB"/>
        </w:rPr>
      </w:pPr>
    </w:p>
    <w:p w:rsidR="001A0A7E" w:rsidRDefault="001A0A7E" w:rsidP="001A0A7E">
      <w:pPr>
        <w:spacing w:before="100" w:beforeAutospacing="1" w:after="100" w:afterAutospacing="1" w:line="360" w:lineRule="auto"/>
        <w:ind w:firstLine="709"/>
        <w:jc w:val="both"/>
        <w:outlineLvl w:val="0"/>
        <w:rPr>
          <w:strike/>
          <w:lang w:val="en-GB"/>
        </w:rPr>
      </w:pPr>
    </w:p>
    <w:p w:rsidR="001A0A7E" w:rsidRDefault="001A0A7E" w:rsidP="001A0A7E">
      <w:pPr>
        <w:spacing w:before="100" w:beforeAutospacing="1" w:after="100" w:afterAutospacing="1" w:line="360" w:lineRule="auto"/>
        <w:ind w:firstLine="709"/>
        <w:jc w:val="both"/>
        <w:outlineLvl w:val="0"/>
        <w:rPr>
          <w:strike/>
          <w:lang w:val="en-GB"/>
        </w:rPr>
      </w:pPr>
    </w:p>
    <w:p w:rsidR="001A0A7E" w:rsidRDefault="001A0A7E" w:rsidP="001A0A7E">
      <w:pPr>
        <w:spacing w:before="100" w:beforeAutospacing="1" w:after="100" w:afterAutospacing="1" w:line="240" w:lineRule="auto"/>
        <w:jc w:val="both"/>
        <w:outlineLvl w:val="0"/>
        <w:rPr>
          <w:strike/>
          <w:lang w:val="en-GB"/>
        </w:rPr>
      </w:pPr>
    </w:p>
    <w:tbl>
      <w:tblPr>
        <w:tblpPr w:leftFromText="141" w:rightFromText="141" w:vertAnchor="text" w:horzAnchor="margin" w:tblpXSpec="center" w:tblpY="-49"/>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2"/>
        <w:gridCol w:w="1559"/>
        <w:gridCol w:w="1559"/>
        <w:gridCol w:w="1843"/>
      </w:tblGrid>
      <w:tr w:rsidR="001A0A7E" w:rsidRPr="00375BE9" w:rsidTr="00267145">
        <w:tc>
          <w:tcPr>
            <w:tcW w:w="9923" w:type="dxa"/>
            <w:gridSpan w:val="4"/>
          </w:tcPr>
          <w:p w:rsidR="001A0A7E" w:rsidRPr="00375BE9" w:rsidRDefault="001A0A7E" w:rsidP="00267145">
            <w:pPr>
              <w:spacing w:line="240" w:lineRule="auto"/>
              <w:contextualSpacing/>
              <w:jc w:val="center"/>
              <w:rPr>
                <w:rFonts w:ascii="Times New Roman" w:hAnsi="Times New Roman" w:cs="Times New Roman"/>
                <w:b/>
                <w:bCs/>
                <w:sz w:val="18"/>
                <w:szCs w:val="18"/>
                <w:lang w:val="en-GB"/>
              </w:rPr>
            </w:pPr>
            <w:r w:rsidRPr="00375BE9">
              <w:rPr>
                <w:rFonts w:ascii="Times New Roman" w:hAnsi="Times New Roman" w:cs="Times New Roman"/>
                <w:b/>
                <w:bCs/>
                <w:sz w:val="18"/>
                <w:szCs w:val="18"/>
                <w:lang w:val="en-GB"/>
              </w:rPr>
              <w:lastRenderedPageBreak/>
              <w:t>Table 1: Total, Internal and External Backward Measures</w:t>
            </w:r>
            <w:r w:rsidRPr="00375BE9">
              <w:rPr>
                <w:rFonts w:ascii="Times New Roman" w:hAnsi="Times New Roman" w:cs="Times New Roman"/>
                <w:b/>
                <w:bCs/>
                <w:sz w:val="18"/>
                <w:szCs w:val="18"/>
                <w:vertAlign w:val="superscript"/>
                <w:lang w:val="en-GB"/>
              </w:rPr>
              <w:t>*</w:t>
            </w:r>
            <w:r w:rsidRPr="00375BE9">
              <w:rPr>
                <w:rFonts w:ascii="Times New Roman" w:hAnsi="Times New Roman" w:cs="Times New Roman"/>
                <w:b/>
                <w:bCs/>
                <w:sz w:val="18"/>
                <w:szCs w:val="18"/>
                <w:lang w:val="en-GB"/>
              </w:rPr>
              <w:t xml:space="preserve">: </w:t>
            </w:r>
          </w:p>
          <w:p w:rsidR="001A0A7E" w:rsidRPr="00375BE9" w:rsidRDefault="001A0A7E" w:rsidP="00267145">
            <w:pPr>
              <w:spacing w:line="240" w:lineRule="auto"/>
              <w:contextualSpacing/>
              <w:jc w:val="center"/>
              <w:rPr>
                <w:rFonts w:ascii="Times New Roman" w:hAnsi="Times New Roman" w:cs="Times New Roman"/>
                <w:sz w:val="18"/>
                <w:szCs w:val="18"/>
              </w:rPr>
            </w:pPr>
            <w:r w:rsidRPr="00375BE9">
              <w:rPr>
                <w:rFonts w:ascii="Times New Roman" w:hAnsi="Times New Roman" w:cs="Times New Roman"/>
                <w:b/>
                <w:bCs/>
                <w:sz w:val="18"/>
                <w:szCs w:val="18"/>
                <w:lang w:val="en-GB"/>
              </w:rPr>
              <w:t>Symmetric I-O Table for Spain. 2007</w:t>
            </w:r>
          </w:p>
        </w:tc>
      </w:tr>
      <w:tr w:rsidR="001A0A7E" w:rsidRPr="00375BE9" w:rsidTr="00267145">
        <w:tc>
          <w:tcPr>
            <w:tcW w:w="4962" w:type="dxa"/>
            <w:shd w:val="clear" w:color="auto" w:fill="B3B3B3"/>
          </w:tcPr>
          <w:p w:rsidR="001A0A7E" w:rsidRPr="00375BE9" w:rsidRDefault="001A0A7E" w:rsidP="00267145">
            <w:pPr>
              <w:spacing w:line="240" w:lineRule="auto"/>
              <w:contextualSpacing/>
              <w:jc w:val="center"/>
              <w:rPr>
                <w:rFonts w:ascii="Times New Roman" w:hAnsi="Times New Roman" w:cs="Times New Roman"/>
                <w:b/>
                <w:bCs/>
                <w:sz w:val="18"/>
                <w:szCs w:val="18"/>
              </w:rPr>
            </w:pPr>
            <w:proofErr w:type="spellStart"/>
            <w:r w:rsidRPr="00375BE9">
              <w:rPr>
                <w:rFonts w:ascii="Times New Roman" w:hAnsi="Times New Roman" w:cs="Times New Roman"/>
                <w:b/>
                <w:bCs/>
                <w:sz w:val="18"/>
                <w:szCs w:val="18"/>
              </w:rPr>
              <w:t>Sectors</w:t>
            </w:r>
            <w:proofErr w:type="spellEnd"/>
            <w:r w:rsidRPr="00375BE9">
              <w:rPr>
                <w:rFonts w:ascii="Times New Roman" w:hAnsi="Times New Roman" w:cs="Times New Roman"/>
                <w:b/>
                <w:bCs/>
                <w:sz w:val="18"/>
                <w:szCs w:val="18"/>
              </w:rPr>
              <w:t xml:space="preserve"> </w:t>
            </w:r>
          </w:p>
        </w:tc>
        <w:tc>
          <w:tcPr>
            <w:tcW w:w="1559" w:type="dxa"/>
            <w:shd w:val="clear" w:color="auto" w:fill="CCCCCC"/>
          </w:tcPr>
          <w:p w:rsidR="001A0A7E" w:rsidRPr="00375BE9" w:rsidRDefault="001A0A7E" w:rsidP="00267145">
            <w:pPr>
              <w:spacing w:line="240" w:lineRule="auto"/>
              <w:contextualSpacing/>
              <w:jc w:val="center"/>
              <w:rPr>
                <w:rFonts w:ascii="Times New Roman" w:hAnsi="Times New Roman" w:cs="Times New Roman"/>
                <w:sz w:val="18"/>
                <w:szCs w:val="18"/>
              </w:rPr>
            </w:pPr>
            <w:r w:rsidRPr="00375BE9">
              <w:rPr>
                <w:rFonts w:ascii="Times New Roman" w:hAnsi="Times New Roman" w:cs="Times New Roman"/>
                <w:position w:val="-4"/>
                <w:sz w:val="18"/>
                <w:szCs w:val="18"/>
              </w:rPr>
              <w:object w:dxaOrig="560" w:dyaOrig="260">
                <v:shape id="_x0000_i1059" type="#_x0000_t75" style="width:28.55pt;height:12.9pt" o:ole="">
                  <v:imagedata r:id="rId74" o:title=""/>
                </v:shape>
                <o:OLEObject Type="Embed" ProgID="Equation.DSMT4" ShapeID="_x0000_i1059" DrawAspect="Content" ObjectID="_1451051909" r:id="rId75"/>
              </w:object>
            </w:r>
          </w:p>
        </w:tc>
        <w:tc>
          <w:tcPr>
            <w:tcW w:w="1559" w:type="dxa"/>
            <w:shd w:val="clear" w:color="auto" w:fill="CCCCCC"/>
          </w:tcPr>
          <w:p w:rsidR="001A0A7E" w:rsidRPr="00375BE9" w:rsidRDefault="001A0A7E" w:rsidP="00267145">
            <w:pPr>
              <w:spacing w:line="240" w:lineRule="auto"/>
              <w:contextualSpacing/>
              <w:jc w:val="center"/>
              <w:rPr>
                <w:rFonts w:ascii="Times New Roman" w:hAnsi="Times New Roman" w:cs="Times New Roman"/>
                <w:sz w:val="18"/>
                <w:szCs w:val="18"/>
              </w:rPr>
            </w:pPr>
            <w:r w:rsidRPr="00375BE9">
              <w:rPr>
                <w:rFonts w:ascii="Times New Roman" w:hAnsi="Times New Roman" w:cs="Times New Roman"/>
                <w:position w:val="-4"/>
                <w:sz w:val="18"/>
                <w:szCs w:val="18"/>
              </w:rPr>
              <w:object w:dxaOrig="499" w:dyaOrig="260">
                <v:shape id="_x0000_i1060" type="#_x0000_t75" style="width:25.15pt;height:12.9pt" o:ole="">
                  <v:imagedata r:id="rId76" o:title=""/>
                </v:shape>
                <o:OLEObject Type="Embed" ProgID="Equation.DSMT4" ShapeID="_x0000_i1060" DrawAspect="Content" ObjectID="_1451051910" r:id="rId77"/>
              </w:object>
            </w:r>
          </w:p>
        </w:tc>
        <w:tc>
          <w:tcPr>
            <w:tcW w:w="1843" w:type="dxa"/>
            <w:shd w:val="clear" w:color="auto" w:fill="CCCCCC"/>
          </w:tcPr>
          <w:p w:rsidR="001A0A7E" w:rsidRPr="00375BE9" w:rsidRDefault="001A0A7E" w:rsidP="00267145">
            <w:pPr>
              <w:spacing w:line="240" w:lineRule="auto"/>
              <w:contextualSpacing/>
              <w:jc w:val="center"/>
              <w:rPr>
                <w:rFonts w:ascii="Times New Roman" w:hAnsi="Times New Roman" w:cs="Times New Roman"/>
                <w:sz w:val="18"/>
                <w:szCs w:val="18"/>
              </w:rPr>
            </w:pPr>
            <w:r w:rsidRPr="00375BE9">
              <w:rPr>
                <w:rFonts w:ascii="Times New Roman" w:hAnsi="Times New Roman" w:cs="Times New Roman"/>
                <w:position w:val="-4"/>
                <w:sz w:val="18"/>
                <w:szCs w:val="18"/>
              </w:rPr>
              <w:object w:dxaOrig="560" w:dyaOrig="260">
                <v:shape id="_x0000_i1061" type="#_x0000_t75" style="width:27.85pt;height:12.9pt" o:ole="">
                  <v:imagedata r:id="rId78" o:title=""/>
                </v:shape>
                <o:OLEObject Type="Embed" ProgID="Equation.DSMT4" ShapeID="_x0000_i1061" DrawAspect="Content" ObjectID="_1451051911" r:id="rId79"/>
              </w:object>
            </w:r>
          </w:p>
        </w:tc>
      </w:tr>
      <w:tr w:rsidR="001A0A7E" w:rsidRPr="00375BE9" w:rsidTr="00267145">
        <w:tc>
          <w:tcPr>
            <w:tcW w:w="4962" w:type="dxa"/>
            <w:shd w:val="clear" w:color="auto" w:fill="B3B3B3"/>
            <w:vAlign w:val="bottom"/>
          </w:tcPr>
          <w:p w:rsidR="001A0A7E" w:rsidRPr="00375BE9" w:rsidRDefault="001A0A7E" w:rsidP="00267145">
            <w:pPr>
              <w:spacing w:line="240" w:lineRule="auto"/>
              <w:contextualSpacing/>
              <w:rPr>
                <w:rFonts w:ascii="Times New Roman" w:hAnsi="Times New Roman" w:cs="Times New Roman"/>
                <w:b/>
                <w:bCs/>
                <w:color w:val="000000"/>
                <w:sz w:val="18"/>
                <w:szCs w:val="18"/>
                <w:lang w:val="en-US"/>
              </w:rPr>
            </w:pPr>
            <w:r w:rsidRPr="00375BE9">
              <w:rPr>
                <w:rFonts w:ascii="Times New Roman" w:hAnsi="Times New Roman" w:cs="Times New Roman"/>
                <w:b/>
                <w:bCs/>
                <w:color w:val="000000"/>
                <w:sz w:val="18"/>
                <w:szCs w:val="18"/>
                <w:lang w:val="en-GB"/>
              </w:rPr>
              <w:t>24_Sewerage and waste collection, treatment and disposal activities</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2.410</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1.217</w:t>
            </w:r>
          </w:p>
        </w:tc>
        <w:tc>
          <w:tcPr>
            <w:tcW w:w="1843"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1.193</w:t>
            </w:r>
          </w:p>
        </w:tc>
      </w:tr>
      <w:tr w:rsidR="001A0A7E" w:rsidRPr="00375BE9" w:rsidTr="00267145">
        <w:tc>
          <w:tcPr>
            <w:tcW w:w="4962" w:type="dxa"/>
            <w:shd w:val="clear" w:color="auto" w:fill="B3B3B3"/>
            <w:vAlign w:val="bottom"/>
          </w:tcPr>
          <w:p w:rsidR="001A0A7E" w:rsidRPr="00375BE9" w:rsidRDefault="001A0A7E" w:rsidP="00267145">
            <w:pPr>
              <w:spacing w:line="240" w:lineRule="auto"/>
              <w:contextualSpacing/>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25_Construction Sector</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2.397</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1.498</w:t>
            </w:r>
          </w:p>
        </w:tc>
        <w:tc>
          <w:tcPr>
            <w:tcW w:w="1843"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0.899</w:t>
            </w:r>
          </w:p>
        </w:tc>
      </w:tr>
      <w:tr w:rsidR="001A0A7E" w:rsidRPr="00375BE9" w:rsidTr="00267145">
        <w:tc>
          <w:tcPr>
            <w:tcW w:w="4962" w:type="dxa"/>
            <w:shd w:val="clear" w:color="auto" w:fill="B3B3B3"/>
            <w:vAlign w:val="bottom"/>
          </w:tcPr>
          <w:p w:rsidR="001A0A7E" w:rsidRPr="00375BE9" w:rsidRDefault="001A0A7E" w:rsidP="00267145">
            <w:pPr>
              <w:spacing w:line="240" w:lineRule="auto"/>
              <w:contextualSpacing/>
              <w:rPr>
                <w:rFonts w:ascii="Times New Roman" w:hAnsi="Times New Roman" w:cs="Times New Roman"/>
                <w:b/>
                <w:bCs/>
                <w:color w:val="000000"/>
                <w:sz w:val="18"/>
                <w:szCs w:val="18"/>
                <w:lang w:val="en-US"/>
              </w:rPr>
            </w:pPr>
            <w:r w:rsidRPr="00375BE9">
              <w:rPr>
                <w:rFonts w:ascii="Times New Roman" w:hAnsi="Times New Roman" w:cs="Times New Roman"/>
                <w:b/>
                <w:bCs/>
                <w:color w:val="000000"/>
                <w:sz w:val="18"/>
                <w:szCs w:val="18"/>
                <w:lang w:val="en-GB"/>
              </w:rPr>
              <w:t>09_Food products, beverages and tobacco Products</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2.271</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1.214</w:t>
            </w:r>
          </w:p>
        </w:tc>
        <w:tc>
          <w:tcPr>
            <w:tcW w:w="1843"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1.056</w:t>
            </w:r>
          </w:p>
        </w:tc>
      </w:tr>
      <w:tr w:rsidR="001A0A7E" w:rsidRPr="00375BE9" w:rsidTr="00267145">
        <w:tc>
          <w:tcPr>
            <w:tcW w:w="4962" w:type="dxa"/>
            <w:shd w:val="clear" w:color="auto" w:fill="B3B3B3"/>
            <w:vAlign w:val="bottom"/>
          </w:tcPr>
          <w:p w:rsidR="001A0A7E" w:rsidRPr="00DE2A2A" w:rsidRDefault="001A0A7E" w:rsidP="00267145">
            <w:pPr>
              <w:spacing w:line="240" w:lineRule="auto"/>
              <w:contextualSpacing/>
              <w:rPr>
                <w:rFonts w:ascii="Times New Roman" w:hAnsi="Times New Roman" w:cs="Times New Roman"/>
                <w:b/>
                <w:bCs/>
                <w:color w:val="000000"/>
                <w:sz w:val="18"/>
                <w:szCs w:val="18"/>
                <w:lang w:val="en-US"/>
              </w:rPr>
            </w:pPr>
            <w:r w:rsidRPr="00DE2A2A">
              <w:rPr>
                <w:rFonts w:ascii="Times New Roman" w:hAnsi="Times New Roman" w:cs="Times New Roman"/>
                <w:b/>
                <w:bCs/>
                <w:color w:val="000000"/>
                <w:sz w:val="18"/>
                <w:szCs w:val="18"/>
                <w:lang w:val="en-US"/>
              </w:rPr>
              <w:t>06_Production and Distribution of Electricity</w:t>
            </w:r>
          </w:p>
        </w:tc>
        <w:tc>
          <w:tcPr>
            <w:tcW w:w="1559" w:type="dxa"/>
            <w:vAlign w:val="bottom"/>
          </w:tcPr>
          <w:p w:rsidR="001A0A7E" w:rsidRPr="00DE2A2A" w:rsidRDefault="001A0A7E" w:rsidP="00267145">
            <w:pPr>
              <w:spacing w:line="240" w:lineRule="auto"/>
              <w:contextualSpacing/>
              <w:jc w:val="center"/>
              <w:rPr>
                <w:rFonts w:ascii="Times New Roman" w:hAnsi="Times New Roman" w:cs="Times New Roman"/>
                <w:b/>
                <w:bCs/>
                <w:color w:val="000000"/>
                <w:sz w:val="18"/>
                <w:szCs w:val="18"/>
              </w:rPr>
            </w:pPr>
            <w:r w:rsidRPr="00DE2A2A">
              <w:rPr>
                <w:rFonts w:ascii="Times New Roman" w:hAnsi="Times New Roman" w:cs="Times New Roman"/>
                <w:b/>
                <w:bCs/>
                <w:color w:val="000000"/>
                <w:sz w:val="18"/>
                <w:szCs w:val="18"/>
              </w:rPr>
              <w:t>2.249</w:t>
            </w:r>
          </w:p>
        </w:tc>
        <w:tc>
          <w:tcPr>
            <w:tcW w:w="1559" w:type="dxa"/>
            <w:vAlign w:val="bottom"/>
          </w:tcPr>
          <w:p w:rsidR="001A0A7E" w:rsidRPr="00DE2A2A" w:rsidRDefault="001A0A7E" w:rsidP="00267145">
            <w:pPr>
              <w:spacing w:line="240" w:lineRule="auto"/>
              <w:contextualSpacing/>
              <w:jc w:val="center"/>
              <w:rPr>
                <w:rFonts w:ascii="Times New Roman" w:hAnsi="Times New Roman" w:cs="Times New Roman"/>
                <w:b/>
                <w:bCs/>
                <w:color w:val="000000"/>
                <w:sz w:val="18"/>
                <w:szCs w:val="18"/>
              </w:rPr>
            </w:pPr>
            <w:r w:rsidRPr="00DE2A2A">
              <w:rPr>
                <w:rFonts w:ascii="Times New Roman" w:hAnsi="Times New Roman" w:cs="Times New Roman"/>
                <w:b/>
                <w:bCs/>
                <w:color w:val="000000"/>
                <w:sz w:val="18"/>
                <w:szCs w:val="18"/>
              </w:rPr>
              <w:t>1.227</w:t>
            </w:r>
          </w:p>
        </w:tc>
        <w:tc>
          <w:tcPr>
            <w:tcW w:w="1843" w:type="dxa"/>
            <w:vAlign w:val="bottom"/>
          </w:tcPr>
          <w:p w:rsidR="001A0A7E" w:rsidRPr="00DE2A2A" w:rsidRDefault="001A0A7E" w:rsidP="00267145">
            <w:pPr>
              <w:spacing w:line="240" w:lineRule="auto"/>
              <w:contextualSpacing/>
              <w:jc w:val="center"/>
              <w:rPr>
                <w:rFonts w:ascii="Times New Roman" w:hAnsi="Times New Roman" w:cs="Times New Roman"/>
                <w:b/>
                <w:bCs/>
                <w:color w:val="000000"/>
                <w:sz w:val="18"/>
                <w:szCs w:val="18"/>
              </w:rPr>
            </w:pPr>
            <w:r w:rsidRPr="00DE2A2A">
              <w:rPr>
                <w:rFonts w:ascii="Times New Roman" w:hAnsi="Times New Roman" w:cs="Times New Roman"/>
                <w:b/>
                <w:bCs/>
                <w:color w:val="000000"/>
                <w:sz w:val="18"/>
                <w:szCs w:val="18"/>
              </w:rPr>
              <w:t>1.022</w:t>
            </w:r>
          </w:p>
        </w:tc>
      </w:tr>
      <w:tr w:rsidR="001A0A7E" w:rsidRPr="00375BE9" w:rsidTr="00267145">
        <w:tc>
          <w:tcPr>
            <w:tcW w:w="4962" w:type="dxa"/>
            <w:shd w:val="clear" w:color="auto" w:fill="B3B3B3"/>
            <w:vAlign w:val="bottom"/>
          </w:tcPr>
          <w:p w:rsidR="001A0A7E" w:rsidRPr="00375BE9" w:rsidRDefault="001A0A7E" w:rsidP="00267145">
            <w:pPr>
              <w:spacing w:line="240" w:lineRule="auto"/>
              <w:contextualSpacing/>
              <w:rPr>
                <w:rFonts w:ascii="Times New Roman" w:hAnsi="Times New Roman" w:cs="Times New Roman"/>
                <w:b/>
                <w:bCs/>
                <w:color w:val="000000"/>
                <w:sz w:val="18"/>
                <w:szCs w:val="18"/>
                <w:lang w:val="en-US"/>
              </w:rPr>
            </w:pPr>
            <w:r w:rsidRPr="00375BE9">
              <w:rPr>
                <w:rFonts w:ascii="Times New Roman" w:hAnsi="Times New Roman" w:cs="Times New Roman"/>
                <w:b/>
                <w:bCs/>
                <w:color w:val="000000"/>
                <w:sz w:val="18"/>
                <w:szCs w:val="18"/>
                <w:lang w:val="en-GB"/>
              </w:rPr>
              <w:t>31_Travel agency and tour operator Services</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2.220</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1.104</w:t>
            </w:r>
          </w:p>
        </w:tc>
        <w:tc>
          <w:tcPr>
            <w:tcW w:w="1843"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1.116</w:t>
            </w:r>
          </w:p>
        </w:tc>
      </w:tr>
      <w:tr w:rsidR="001A0A7E" w:rsidRPr="00375BE9" w:rsidTr="00267145">
        <w:tc>
          <w:tcPr>
            <w:tcW w:w="4962" w:type="dxa"/>
            <w:shd w:val="clear" w:color="auto" w:fill="B3B3B3"/>
            <w:vAlign w:val="bottom"/>
          </w:tcPr>
          <w:p w:rsidR="001A0A7E" w:rsidRPr="00375BE9" w:rsidRDefault="001A0A7E" w:rsidP="00267145">
            <w:pPr>
              <w:spacing w:line="240" w:lineRule="auto"/>
              <w:contextualSpacing/>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 xml:space="preserve">16_Non-Metallic Mineral </w:t>
            </w:r>
            <w:proofErr w:type="spellStart"/>
            <w:r w:rsidRPr="00375BE9">
              <w:rPr>
                <w:rFonts w:ascii="Times New Roman" w:hAnsi="Times New Roman" w:cs="Times New Roman"/>
                <w:b/>
                <w:bCs/>
                <w:color w:val="000000"/>
                <w:sz w:val="18"/>
                <w:szCs w:val="18"/>
              </w:rPr>
              <w:t>Products</w:t>
            </w:r>
            <w:proofErr w:type="spellEnd"/>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2.168</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1.129</w:t>
            </w:r>
          </w:p>
        </w:tc>
        <w:tc>
          <w:tcPr>
            <w:tcW w:w="1843"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1.040</w:t>
            </w:r>
          </w:p>
        </w:tc>
      </w:tr>
      <w:tr w:rsidR="001A0A7E" w:rsidRPr="00375BE9" w:rsidTr="00267145">
        <w:tc>
          <w:tcPr>
            <w:tcW w:w="4962" w:type="dxa"/>
            <w:shd w:val="clear" w:color="auto" w:fill="B3B3B3"/>
            <w:vAlign w:val="bottom"/>
          </w:tcPr>
          <w:p w:rsidR="001A0A7E" w:rsidRPr="00375BE9" w:rsidRDefault="001A0A7E" w:rsidP="00267145">
            <w:pPr>
              <w:spacing w:line="240" w:lineRule="auto"/>
              <w:contextualSpacing/>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 xml:space="preserve">18_Basic </w:t>
            </w:r>
            <w:proofErr w:type="spellStart"/>
            <w:r w:rsidRPr="00375BE9">
              <w:rPr>
                <w:rFonts w:ascii="Times New Roman" w:hAnsi="Times New Roman" w:cs="Times New Roman"/>
                <w:b/>
                <w:bCs/>
                <w:color w:val="000000"/>
                <w:sz w:val="18"/>
                <w:szCs w:val="18"/>
              </w:rPr>
              <w:t>Metals</w:t>
            </w:r>
            <w:proofErr w:type="spellEnd"/>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2.114</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1.071</w:t>
            </w:r>
          </w:p>
        </w:tc>
        <w:tc>
          <w:tcPr>
            <w:tcW w:w="1843"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1.042</w:t>
            </w:r>
          </w:p>
        </w:tc>
      </w:tr>
      <w:tr w:rsidR="001A0A7E" w:rsidRPr="00375BE9" w:rsidTr="00267145">
        <w:tc>
          <w:tcPr>
            <w:tcW w:w="4962" w:type="dxa"/>
            <w:shd w:val="clear" w:color="auto" w:fill="B3B3B3"/>
            <w:vAlign w:val="bottom"/>
          </w:tcPr>
          <w:p w:rsidR="001A0A7E" w:rsidRPr="00375BE9" w:rsidRDefault="001A0A7E" w:rsidP="00267145">
            <w:pPr>
              <w:spacing w:line="240" w:lineRule="auto"/>
              <w:contextualSpacing/>
              <w:rPr>
                <w:rFonts w:ascii="Times New Roman" w:hAnsi="Times New Roman" w:cs="Times New Roman"/>
                <w:b/>
                <w:bCs/>
                <w:color w:val="000000"/>
                <w:sz w:val="18"/>
                <w:szCs w:val="18"/>
                <w:lang w:val="en-US"/>
              </w:rPr>
            </w:pPr>
            <w:r w:rsidRPr="00375BE9">
              <w:rPr>
                <w:rFonts w:ascii="Times New Roman" w:hAnsi="Times New Roman" w:cs="Times New Roman"/>
                <w:b/>
                <w:bCs/>
                <w:color w:val="000000"/>
                <w:sz w:val="18"/>
                <w:szCs w:val="18"/>
                <w:lang w:val="en-GB"/>
              </w:rPr>
              <w:t>26_Wholesale, Retail trade and repair services of Motor Vehicles</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2.070</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1.100</w:t>
            </w:r>
          </w:p>
        </w:tc>
        <w:tc>
          <w:tcPr>
            <w:tcW w:w="1843"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0.970</w:t>
            </w:r>
          </w:p>
        </w:tc>
      </w:tr>
      <w:tr w:rsidR="001A0A7E" w:rsidRPr="00375BE9" w:rsidTr="00267145">
        <w:tc>
          <w:tcPr>
            <w:tcW w:w="4962" w:type="dxa"/>
            <w:shd w:val="clear" w:color="auto" w:fill="B3B3B3"/>
            <w:vAlign w:val="bottom"/>
          </w:tcPr>
          <w:p w:rsidR="001A0A7E" w:rsidRPr="00375BE9" w:rsidRDefault="001A0A7E" w:rsidP="00267145">
            <w:pPr>
              <w:spacing w:line="240" w:lineRule="auto"/>
              <w:contextualSpacing/>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lang w:val="en-GB"/>
              </w:rPr>
              <w:t xml:space="preserve">11_Wood and Cork Products </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2.067</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1.320</w:t>
            </w:r>
          </w:p>
        </w:tc>
        <w:tc>
          <w:tcPr>
            <w:tcW w:w="1843"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0.747</w:t>
            </w:r>
          </w:p>
        </w:tc>
      </w:tr>
      <w:tr w:rsidR="001A0A7E" w:rsidRPr="00375BE9" w:rsidTr="00267145">
        <w:tc>
          <w:tcPr>
            <w:tcW w:w="4962" w:type="dxa"/>
            <w:shd w:val="clear" w:color="auto" w:fill="B3B3B3"/>
            <w:vAlign w:val="bottom"/>
          </w:tcPr>
          <w:p w:rsidR="001A0A7E" w:rsidRPr="00375BE9" w:rsidRDefault="001A0A7E" w:rsidP="00267145">
            <w:pPr>
              <w:spacing w:line="240" w:lineRule="auto"/>
              <w:contextualSpacing/>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 xml:space="preserve">13_Printing and </w:t>
            </w:r>
            <w:proofErr w:type="spellStart"/>
            <w:r w:rsidRPr="00375BE9">
              <w:rPr>
                <w:rFonts w:ascii="Times New Roman" w:hAnsi="Times New Roman" w:cs="Times New Roman"/>
                <w:b/>
                <w:bCs/>
                <w:color w:val="000000"/>
                <w:sz w:val="18"/>
                <w:szCs w:val="18"/>
              </w:rPr>
              <w:t>recording</w:t>
            </w:r>
            <w:proofErr w:type="spellEnd"/>
            <w:r w:rsidRPr="00375BE9">
              <w:rPr>
                <w:rFonts w:ascii="Times New Roman" w:hAnsi="Times New Roman" w:cs="Times New Roman"/>
                <w:b/>
                <w:bCs/>
                <w:color w:val="000000"/>
                <w:sz w:val="18"/>
                <w:szCs w:val="18"/>
              </w:rPr>
              <w:t xml:space="preserve"> </w:t>
            </w:r>
            <w:proofErr w:type="spellStart"/>
            <w:r w:rsidRPr="00375BE9">
              <w:rPr>
                <w:rFonts w:ascii="Times New Roman" w:hAnsi="Times New Roman" w:cs="Times New Roman"/>
                <w:b/>
                <w:bCs/>
                <w:color w:val="000000"/>
                <w:sz w:val="18"/>
                <w:szCs w:val="18"/>
              </w:rPr>
              <w:t>Services</w:t>
            </w:r>
            <w:proofErr w:type="spellEnd"/>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2.039</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1.077</w:t>
            </w:r>
          </w:p>
        </w:tc>
        <w:tc>
          <w:tcPr>
            <w:tcW w:w="1843"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0.961</w:t>
            </w:r>
          </w:p>
        </w:tc>
      </w:tr>
      <w:tr w:rsidR="001A0A7E" w:rsidRPr="00375BE9" w:rsidTr="00267145">
        <w:tc>
          <w:tcPr>
            <w:tcW w:w="4962" w:type="dxa"/>
            <w:shd w:val="clear" w:color="auto" w:fill="B3B3B3"/>
            <w:vAlign w:val="bottom"/>
          </w:tcPr>
          <w:p w:rsidR="001A0A7E" w:rsidRPr="00375BE9" w:rsidRDefault="001A0A7E" w:rsidP="00267145">
            <w:pPr>
              <w:spacing w:line="240" w:lineRule="auto"/>
              <w:contextualSpacing/>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 xml:space="preserve">30_Transport </w:t>
            </w:r>
            <w:proofErr w:type="spellStart"/>
            <w:r w:rsidRPr="00375BE9">
              <w:rPr>
                <w:rFonts w:ascii="Times New Roman" w:hAnsi="Times New Roman" w:cs="Times New Roman"/>
                <w:b/>
                <w:bCs/>
                <w:color w:val="000000"/>
                <w:sz w:val="18"/>
                <w:szCs w:val="18"/>
              </w:rPr>
              <w:t>Services</w:t>
            </w:r>
            <w:proofErr w:type="spellEnd"/>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1.997</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1.325</w:t>
            </w:r>
          </w:p>
        </w:tc>
        <w:tc>
          <w:tcPr>
            <w:tcW w:w="1843"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0.672</w:t>
            </w:r>
          </w:p>
        </w:tc>
      </w:tr>
      <w:tr w:rsidR="001A0A7E" w:rsidRPr="00375BE9" w:rsidTr="00267145">
        <w:tc>
          <w:tcPr>
            <w:tcW w:w="4962" w:type="dxa"/>
            <w:shd w:val="clear" w:color="auto" w:fill="B3B3B3"/>
            <w:vAlign w:val="bottom"/>
          </w:tcPr>
          <w:p w:rsidR="001A0A7E" w:rsidRPr="00375BE9" w:rsidRDefault="001A0A7E" w:rsidP="00267145">
            <w:pPr>
              <w:spacing w:line="240" w:lineRule="auto"/>
              <w:contextualSpacing/>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 xml:space="preserve">12_Paper and </w:t>
            </w:r>
            <w:proofErr w:type="spellStart"/>
            <w:r w:rsidRPr="00375BE9">
              <w:rPr>
                <w:rFonts w:ascii="Times New Roman" w:hAnsi="Times New Roman" w:cs="Times New Roman"/>
                <w:b/>
                <w:bCs/>
                <w:color w:val="000000"/>
                <w:sz w:val="18"/>
                <w:szCs w:val="18"/>
              </w:rPr>
              <w:t>paper</w:t>
            </w:r>
            <w:proofErr w:type="spellEnd"/>
            <w:r w:rsidRPr="00375BE9">
              <w:rPr>
                <w:rFonts w:ascii="Times New Roman" w:hAnsi="Times New Roman" w:cs="Times New Roman"/>
                <w:b/>
                <w:bCs/>
                <w:color w:val="000000"/>
                <w:sz w:val="18"/>
                <w:szCs w:val="18"/>
              </w:rPr>
              <w:t xml:space="preserve"> </w:t>
            </w:r>
            <w:proofErr w:type="spellStart"/>
            <w:r w:rsidRPr="00375BE9">
              <w:rPr>
                <w:rFonts w:ascii="Times New Roman" w:hAnsi="Times New Roman" w:cs="Times New Roman"/>
                <w:b/>
                <w:bCs/>
                <w:color w:val="000000"/>
                <w:sz w:val="18"/>
                <w:szCs w:val="18"/>
              </w:rPr>
              <w:t>Products</w:t>
            </w:r>
            <w:proofErr w:type="spellEnd"/>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1.996</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1.180</w:t>
            </w:r>
          </w:p>
        </w:tc>
        <w:tc>
          <w:tcPr>
            <w:tcW w:w="1843"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0.816</w:t>
            </w:r>
          </w:p>
        </w:tc>
      </w:tr>
      <w:tr w:rsidR="001A0A7E" w:rsidRPr="00375BE9" w:rsidTr="00267145">
        <w:tc>
          <w:tcPr>
            <w:tcW w:w="4962" w:type="dxa"/>
            <w:shd w:val="clear" w:color="auto" w:fill="B3B3B3"/>
            <w:vAlign w:val="bottom"/>
          </w:tcPr>
          <w:p w:rsidR="001A0A7E" w:rsidRPr="00375BE9" w:rsidRDefault="001A0A7E" w:rsidP="00267145">
            <w:pPr>
              <w:spacing w:line="240" w:lineRule="auto"/>
              <w:contextualSpacing/>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lang w:val="en-GB"/>
              </w:rPr>
              <w:t>17_Fabricated metal Products</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1.965</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1.094</w:t>
            </w:r>
          </w:p>
        </w:tc>
        <w:tc>
          <w:tcPr>
            <w:tcW w:w="1843"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0.871</w:t>
            </w:r>
          </w:p>
        </w:tc>
      </w:tr>
      <w:tr w:rsidR="001A0A7E" w:rsidRPr="00375BE9" w:rsidTr="00267145">
        <w:tc>
          <w:tcPr>
            <w:tcW w:w="4962" w:type="dxa"/>
            <w:shd w:val="clear" w:color="auto" w:fill="B3B3B3"/>
            <w:vAlign w:val="bottom"/>
          </w:tcPr>
          <w:p w:rsidR="001A0A7E" w:rsidRPr="00375BE9" w:rsidRDefault="001A0A7E" w:rsidP="00267145">
            <w:pPr>
              <w:spacing w:line="240" w:lineRule="auto"/>
              <w:contextualSpacing/>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 xml:space="preserve">15_Rubber and </w:t>
            </w:r>
            <w:proofErr w:type="spellStart"/>
            <w:r w:rsidRPr="00375BE9">
              <w:rPr>
                <w:rFonts w:ascii="Times New Roman" w:hAnsi="Times New Roman" w:cs="Times New Roman"/>
                <w:b/>
                <w:bCs/>
                <w:color w:val="000000"/>
                <w:sz w:val="18"/>
                <w:szCs w:val="18"/>
              </w:rPr>
              <w:t>plastics</w:t>
            </w:r>
            <w:proofErr w:type="spellEnd"/>
            <w:r w:rsidRPr="00375BE9">
              <w:rPr>
                <w:rFonts w:ascii="Times New Roman" w:hAnsi="Times New Roman" w:cs="Times New Roman"/>
                <w:b/>
                <w:bCs/>
                <w:color w:val="000000"/>
                <w:sz w:val="18"/>
                <w:szCs w:val="18"/>
              </w:rPr>
              <w:t xml:space="preserve"> </w:t>
            </w:r>
            <w:proofErr w:type="spellStart"/>
            <w:r w:rsidRPr="00375BE9">
              <w:rPr>
                <w:rFonts w:ascii="Times New Roman" w:hAnsi="Times New Roman" w:cs="Times New Roman"/>
                <w:b/>
                <w:bCs/>
                <w:color w:val="000000"/>
                <w:sz w:val="18"/>
                <w:szCs w:val="18"/>
              </w:rPr>
              <w:t>Products</w:t>
            </w:r>
            <w:proofErr w:type="spellEnd"/>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1.946</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1.168</w:t>
            </w:r>
          </w:p>
        </w:tc>
        <w:tc>
          <w:tcPr>
            <w:tcW w:w="1843"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0.778</w:t>
            </w:r>
          </w:p>
        </w:tc>
      </w:tr>
      <w:tr w:rsidR="001A0A7E" w:rsidRPr="00375BE9" w:rsidTr="00267145">
        <w:tc>
          <w:tcPr>
            <w:tcW w:w="4962" w:type="dxa"/>
            <w:shd w:val="clear" w:color="auto" w:fill="B3B3B3"/>
            <w:vAlign w:val="bottom"/>
          </w:tcPr>
          <w:p w:rsidR="001A0A7E" w:rsidRPr="00375BE9" w:rsidRDefault="001A0A7E" w:rsidP="00267145">
            <w:pPr>
              <w:spacing w:line="240" w:lineRule="auto"/>
              <w:contextualSpacing/>
              <w:rPr>
                <w:rFonts w:ascii="Times New Roman" w:hAnsi="Times New Roman" w:cs="Times New Roman"/>
                <w:b/>
                <w:bCs/>
                <w:color w:val="000000"/>
                <w:sz w:val="18"/>
                <w:szCs w:val="18"/>
                <w:lang w:val="en-US"/>
              </w:rPr>
            </w:pPr>
            <w:r w:rsidRPr="00375BE9">
              <w:rPr>
                <w:rFonts w:ascii="Times New Roman" w:hAnsi="Times New Roman" w:cs="Times New Roman"/>
                <w:b/>
                <w:bCs/>
                <w:color w:val="000000"/>
                <w:sz w:val="18"/>
                <w:szCs w:val="18"/>
                <w:lang w:val="en-US"/>
              </w:rPr>
              <w:t>07_Production and Distribution of Gas</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1.935</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1.000</w:t>
            </w:r>
          </w:p>
        </w:tc>
        <w:tc>
          <w:tcPr>
            <w:tcW w:w="1843"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0.934</w:t>
            </w:r>
          </w:p>
        </w:tc>
      </w:tr>
      <w:tr w:rsidR="001A0A7E" w:rsidRPr="00375BE9" w:rsidTr="00267145">
        <w:tc>
          <w:tcPr>
            <w:tcW w:w="4962" w:type="dxa"/>
            <w:shd w:val="clear" w:color="auto" w:fill="B3B3B3"/>
            <w:vAlign w:val="bottom"/>
          </w:tcPr>
          <w:p w:rsidR="001A0A7E" w:rsidRPr="00375BE9" w:rsidRDefault="001A0A7E" w:rsidP="00267145">
            <w:pPr>
              <w:spacing w:line="240" w:lineRule="auto"/>
              <w:contextualSpacing/>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08_Water Sector</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1.926</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1.002</w:t>
            </w:r>
          </w:p>
        </w:tc>
        <w:tc>
          <w:tcPr>
            <w:tcW w:w="1843"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0.923</w:t>
            </w:r>
          </w:p>
        </w:tc>
      </w:tr>
      <w:tr w:rsidR="001A0A7E" w:rsidRPr="00375BE9" w:rsidTr="00267145">
        <w:tc>
          <w:tcPr>
            <w:tcW w:w="4962" w:type="dxa"/>
            <w:shd w:val="clear" w:color="auto" w:fill="B3B3B3"/>
            <w:vAlign w:val="bottom"/>
          </w:tcPr>
          <w:p w:rsidR="001A0A7E" w:rsidRPr="00375BE9" w:rsidRDefault="001A0A7E" w:rsidP="00267145">
            <w:pPr>
              <w:spacing w:line="240" w:lineRule="auto"/>
              <w:contextualSpacing/>
              <w:rPr>
                <w:rFonts w:ascii="Times New Roman" w:hAnsi="Times New Roman" w:cs="Times New Roman"/>
                <w:b/>
                <w:bCs/>
                <w:color w:val="000000"/>
                <w:sz w:val="18"/>
                <w:szCs w:val="18"/>
                <w:lang w:val="en-US"/>
              </w:rPr>
            </w:pPr>
            <w:r w:rsidRPr="00375BE9">
              <w:rPr>
                <w:rFonts w:ascii="Times New Roman" w:hAnsi="Times New Roman" w:cs="Times New Roman"/>
                <w:b/>
                <w:bCs/>
                <w:color w:val="000000"/>
                <w:sz w:val="18"/>
                <w:szCs w:val="18"/>
                <w:lang w:val="en-GB"/>
              </w:rPr>
              <w:t>34_Insurance, reinsurance and pension funding Services</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1.900</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1.055</w:t>
            </w:r>
          </w:p>
        </w:tc>
        <w:tc>
          <w:tcPr>
            <w:tcW w:w="1843"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0.845</w:t>
            </w:r>
          </w:p>
        </w:tc>
      </w:tr>
      <w:tr w:rsidR="001A0A7E" w:rsidRPr="00375BE9" w:rsidTr="00267145">
        <w:tc>
          <w:tcPr>
            <w:tcW w:w="4962" w:type="dxa"/>
            <w:shd w:val="clear" w:color="auto" w:fill="B3B3B3"/>
            <w:vAlign w:val="bottom"/>
          </w:tcPr>
          <w:p w:rsidR="001A0A7E" w:rsidRPr="00375BE9" w:rsidRDefault="001A0A7E" w:rsidP="00267145">
            <w:pPr>
              <w:spacing w:line="240" w:lineRule="auto"/>
              <w:contextualSpacing/>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lang w:val="en-GB"/>
              </w:rPr>
              <w:t>22_Motor vehicles</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1.897</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1.287</w:t>
            </w:r>
          </w:p>
        </w:tc>
        <w:tc>
          <w:tcPr>
            <w:tcW w:w="1843"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0.610</w:t>
            </w:r>
          </w:p>
        </w:tc>
      </w:tr>
      <w:tr w:rsidR="001A0A7E" w:rsidRPr="00375BE9" w:rsidTr="00267145">
        <w:tc>
          <w:tcPr>
            <w:tcW w:w="4962" w:type="dxa"/>
            <w:shd w:val="clear" w:color="auto" w:fill="B3B3B3"/>
            <w:vAlign w:val="bottom"/>
          </w:tcPr>
          <w:p w:rsidR="001A0A7E" w:rsidRPr="00375BE9" w:rsidRDefault="001A0A7E" w:rsidP="00267145">
            <w:pPr>
              <w:spacing w:line="240" w:lineRule="auto"/>
              <w:contextualSpacing/>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 xml:space="preserve">32_Telecommunications and Postal </w:t>
            </w:r>
            <w:proofErr w:type="spellStart"/>
            <w:r w:rsidRPr="00375BE9">
              <w:rPr>
                <w:rFonts w:ascii="Times New Roman" w:hAnsi="Times New Roman" w:cs="Times New Roman"/>
                <w:b/>
                <w:bCs/>
                <w:color w:val="000000"/>
                <w:sz w:val="18"/>
                <w:szCs w:val="18"/>
              </w:rPr>
              <w:t>Services</w:t>
            </w:r>
            <w:proofErr w:type="spellEnd"/>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1.896</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1.157</w:t>
            </w:r>
          </w:p>
        </w:tc>
        <w:tc>
          <w:tcPr>
            <w:tcW w:w="1843"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0.739</w:t>
            </w:r>
          </w:p>
        </w:tc>
      </w:tr>
      <w:tr w:rsidR="001A0A7E" w:rsidRPr="00375BE9" w:rsidTr="00267145">
        <w:tc>
          <w:tcPr>
            <w:tcW w:w="4962" w:type="dxa"/>
            <w:shd w:val="clear" w:color="auto" w:fill="B3B3B3"/>
            <w:vAlign w:val="bottom"/>
          </w:tcPr>
          <w:p w:rsidR="001A0A7E" w:rsidRPr="00375BE9" w:rsidRDefault="001A0A7E" w:rsidP="00267145">
            <w:pPr>
              <w:spacing w:line="240" w:lineRule="auto"/>
              <w:contextualSpacing/>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lang w:val="en-GB"/>
              </w:rPr>
              <w:t>27_Other Wholesale trade services</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1.884</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1.034</w:t>
            </w:r>
          </w:p>
        </w:tc>
        <w:tc>
          <w:tcPr>
            <w:tcW w:w="1843"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0.850</w:t>
            </w:r>
          </w:p>
        </w:tc>
      </w:tr>
      <w:tr w:rsidR="001A0A7E" w:rsidRPr="00375BE9" w:rsidTr="00267145">
        <w:tc>
          <w:tcPr>
            <w:tcW w:w="4962" w:type="dxa"/>
            <w:shd w:val="clear" w:color="auto" w:fill="B3B3B3"/>
            <w:vAlign w:val="bottom"/>
          </w:tcPr>
          <w:p w:rsidR="001A0A7E" w:rsidRPr="00375BE9" w:rsidRDefault="001A0A7E" w:rsidP="00267145">
            <w:pPr>
              <w:spacing w:line="240" w:lineRule="auto"/>
              <w:contextualSpacing/>
              <w:rPr>
                <w:rFonts w:ascii="Times New Roman" w:hAnsi="Times New Roman" w:cs="Times New Roman"/>
                <w:b/>
                <w:bCs/>
                <w:color w:val="000000"/>
                <w:sz w:val="18"/>
                <w:szCs w:val="18"/>
                <w:lang w:val="en-US"/>
              </w:rPr>
            </w:pPr>
            <w:r w:rsidRPr="00375BE9">
              <w:rPr>
                <w:rFonts w:ascii="Times New Roman" w:hAnsi="Times New Roman" w:cs="Times New Roman"/>
                <w:b/>
                <w:bCs/>
                <w:color w:val="000000"/>
                <w:sz w:val="18"/>
                <w:szCs w:val="18"/>
                <w:lang w:val="en-GB"/>
              </w:rPr>
              <w:t>44_Services furnished by membership organisations</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1.882</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1.002</w:t>
            </w:r>
          </w:p>
        </w:tc>
        <w:tc>
          <w:tcPr>
            <w:tcW w:w="1843"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0.880</w:t>
            </w:r>
          </w:p>
        </w:tc>
      </w:tr>
      <w:tr w:rsidR="001A0A7E" w:rsidRPr="00375BE9" w:rsidTr="00267145">
        <w:tc>
          <w:tcPr>
            <w:tcW w:w="4962" w:type="dxa"/>
            <w:shd w:val="clear" w:color="auto" w:fill="B3B3B3"/>
            <w:vAlign w:val="bottom"/>
          </w:tcPr>
          <w:p w:rsidR="001A0A7E" w:rsidRPr="00375BE9" w:rsidRDefault="001A0A7E" w:rsidP="00267145">
            <w:pPr>
              <w:spacing w:line="240" w:lineRule="auto"/>
              <w:contextualSpacing/>
              <w:rPr>
                <w:rFonts w:ascii="Times New Roman" w:hAnsi="Times New Roman" w:cs="Times New Roman"/>
                <w:b/>
                <w:bCs/>
                <w:color w:val="000000"/>
                <w:sz w:val="18"/>
                <w:szCs w:val="18"/>
                <w:lang w:val="en-US"/>
              </w:rPr>
            </w:pPr>
            <w:r w:rsidRPr="00375BE9">
              <w:rPr>
                <w:rFonts w:ascii="Times New Roman" w:hAnsi="Times New Roman" w:cs="Times New Roman"/>
                <w:b/>
                <w:bCs/>
                <w:color w:val="000000"/>
                <w:sz w:val="18"/>
                <w:szCs w:val="18"/>
                <w:lang w:val="en-GB"/>
              </w:rPr>
              <w:t>05_Coke, refined petroleum and nuclear products</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1.872</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1.153</w:t>
            </w:r>
          </w:p>
        </w:tc>
        <w:tc>
          <w:tcPr>
            <w:tcW w:w="1843"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0.720</w:t>
            </w:r>
          </w:p>
        </w:tc>
      </w:tr>
      <w:tr w:rsidR="001A0A7E" w:rsidRPr="00375BE9" w:rsidTr="00267145">
        <w:tc>
          <w:tcPr>
            <w:tcW w:w="4962" w:type="dxa"/>
            <w:shd w:val="clear" w:color="auto" w:fill="B3B3B3"/>
            <w:vAlign w:val="bottom"/>
          </w:tcPr>
          <w:p w:rsidR="001A0A7E" w:rsidRPr="00375BE9" w:rsidRDefault="001A0A7E" w:rsidP="00267145">
            <w:pPr>
              <w:spacing w:line="240" w:lineRule="auto"/>
              <w:contextualSpacing/>
              <w:rPr>
                <w:rFonts w:ascii="Times New Roman" w:hAnsi="Times New Roman" w:cs="Times New Roman"/>
                <w:b/>
                <w:bCs/>
                <w:color w:val="000000"/>
                <w:sz w:val="18"/>
                <w:szCs w:val="18"/>
                <w:lang w:val="en-US"/>
              </w:rPr>
            </w:pPr>
            <w:r w:rsidRPr="00375BE9">
              <w:rPr>
                <w:rFonts w:ascii="Times New Roman" w:hAnsi="Times New Roman" w:cs="Times New Roman"/>
                <w:b/>
                <w:bCs/>
                <w:color w:val="000000"/>
                <w:sz w:val="18"/>
                <w:szCs w:val="18"/>
                <w:lang w:val="en-US"/>
              </w:rPr>
              <w:t>23_Furniture and other manufactured Products</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1.856</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1.041</w:t>
            </w:r>
          </w:p>
        </w:tc>
        <w:tc>
          <w:tcPr>
            <w:tcW w:w="1843"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0.815</w:t>
            </w:r>
          </w:p>
        </w:tc>
      </w:tr>
      <w:tr w:rsidR="001A0A7E" w:rsidRPr="00375BE9" w:rsidTr="00267145">
        <w:tc>
          <w:tcPr>
            <w:tcW w:w="4962" w:type="dxa"/>
            <w:shd w:val="clear" w:color="auto" w:fill="B3B3B3"/>
            <w:vAlign w:val="bottom"/>
          </w:tcPr>
          <w:p w:rsidR="001A0A7E" w:rsidRPr="00375BE9" w:rsidRDefault="001A0A7E" w:rsidP="00267145">
            <w:pPr>
              <w:spacing w:line="240" w:lineRule="auto"/>
              <w:contextualSpacing/>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 xml:space="preserve">46_Other personal </w:t>
            </w:r>
            <w:proofErr w:type="spellStart"/>
            <w:r w:rsidRPr="00375BE9">
              <w:rPr>
                <w:rFonts w:ascii="Times New Roman" w:hAnsi="Times New Roman" w:cs="Times New Roman"/>
                <w:b/>
                <w:bCs/>
                <w:color w:val="000000"/>
                <w:sz w:val="18"/>
                <w:szCs w:val="18"/>
              </w:rPr>
              <w:t>Services</w:t>
            </w:r>
            <w:proofErr w:type="spellEnd"/>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1.816</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1.021</w:t>
            </w:r>
          </w:p>
        </w:tc>
        <w:tc>
          <w:tcPr>
            <w:tcW w:w="1843"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0.795</w:t>
            </w:r>
          </w:p>
        </w:tc>
      </w:tr>
      <w:tr w:rsidR="001A0A7E" w:rsidRPr="00375BE9" w:rsidTr="00267145">
        <w:tc>
          <w:tcPr>
            <w:tcW w:w="4962" w:type="dxa"/>
            <w:shd w:val="clear" w:color="auto" w:fill="B3B3B3"/>
            <w:vAlign w:val="bottom"/>
          </w:tcPr>
          <w:p w:rsidR="001A0A7E" w:rsidRPr="00375BE9" w:rsidRDefault="001A0A7E" w:rsidP="00267145">
            <w:pPr>
              <w:spacing w:line="240" w:lineRule="auto"/>
              <w:contextualSpacing/>
              <w:rPr>
                <w:rFonts w:ascii="Times New Roman" w:hAnsi="Times New Roman" w:cs="Times New Roman"/>
                <w:b/>
                <w:bCs/>
                <w:color w:val="000000"/>
                <w:sz w:val="18"/>
                <w:szCs w:val="18"/>
                <w:lang w:val="en-US"/>
              </w:rPr>
            </w:pPr>
            <w:r w:rsidRPr="00375BE9">
              <w:rPr>
                <w:rFonts w:ascii="Times New Roman" w:hAnsi="Times New Roman" w:cs="Times New Roman"/>
                <w:b/>
                <w:bCs/>
                <w:color w:val="000000"/>
                <w:sz w:val="18"/>
                <w:szCs w:val="18"/>
                <w:lang w:val="en-GB"/>
              </w:rPr>
              <w:t>45_Sporting, amusement and recreation Services</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1.813</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1.129</w:t>
            </w:r>
          </w:p>
        </w:tc>
        <w:tc>
          <w:tcPr>
            <w:tcW w:w="1843"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0.684</w:t>
            </w:r>
          </w:p>
        </w:tc>
      </w:tr>
      <w:tr w:rsidR="001A0A7E" w:rsidRPr="00375BE9" w:rsidTr="00267145">
        <w:tc>
          <w:tcPr>
            <w:tcW w:w="4962" w:type="dxa"/>
            <w:shd w:val="clear" w:color="auto" w:fill="B3B3B3"/>
            <w:vAlign w:val="bottom"/>
          </w:tcPr>
          <w:p w:rsidR="001A0A7E" w:rsidRPr="00375BE9" w:rsidRDefault="001A0A7E" w:rsidP="00267145">
            <w:pPr>
              <w:spacing w:line="240" w:lineRule="auto"/>
              <w:contextualSpacing/>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 xml:space="preserve">37_Rental and leasing </w:t>
            </w:r>
            <w:proofErr w:type="spellStart"/>
            <w:r w:rsidRPr="00375BE9">
              <w:rPr>
                <w:rFonts w:ascii="Times New Roman" w:hAnsi="Times New Roman" w:cs="Times New Roman"/>
                <w:b/>
                <w:bCs/>
                <w:color w:val="000000"/>
                <w:sz w:val="18"/>
                <w:szCs w:val="18"/>
              </w:rPr>
              <w:t>Services</w:t>
            </w:r>
            <w:proofErr w:type="spellEnd"/>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1.805</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1.030</w:t>
            </w:r>
          </w:p>
        </w:tc>
        <w:tc>
          <w:tcPr>
            <w:tcW w:w="1843"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0.775</w:t>
            </w:r>
          </w:p>
        </w:tc>
      </w:tr>
      <w:tr w:rsidR="001A0A7E" w:rsidRPr="00375BE9" w:rsidTr="00267145">
        <w:tc>
          <w:tcPr>
            <w:tcW w:w="4962" w:type="dxa"/>
            <w:shd w:val="clear" w:color="auto" w:fill="B3B3B3"/>
            <w:vAlign w:val="bottom"/>
          </w:tcPr>
          <w:p w:rsidR="001A0A7E" w:rsidRPr="00375BE9" w:rsidRDefault="001A0A7E" w:rsidP="00267145">
            <w:pPr>
              <w:spacing w:line="240" w:lineRule="auto"/>
              <w:contextualSpacing/>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 xml:space="preserve">29_Accommodation and </w:t>
            </w:r>
            <w:proofErr w:type="spellStart"/>
            <w:r w:rsidRPr="00375BE9">
              <w:rPr>
                <w:rFonts w:ascii="Times New Roman" w:hAnsi="Times New Roman" w:cs="Times New Roman"/>
                <w:b/>
                <w:bCs/>
                <w:color w:val="000000"/>
                <w:sz w:val="18"/>
                <w:szCs w:val="18"/>
              </w:rPr>
              <w:t>food</w:t>
            </w:r>
            <w:proofErr w:type="spellEnd"/>
            <w:r w:rsidRPr="00375BE9">
              <w:rPr>
                <w:rFonts w:ascii="Times New Roman" w:hAnsi="Times New Roman" w:cs="Times New Roman"/>
                <w:b/>
                <w:bCs/>
                <w:color w:val="000000"/>
                <w:sz w:val="18"/>
                <w:szCs w:val="18"/>
              </w:rPr>
              <w:t xml:space="preserve"> </w:t>
            </w:r>
            <w:proofErr w:type="spellStart"/>
            <w:r w:rsidRPr="00375BE9">
              <w:rPr>
                <w:rFonts w:ascii="Times New Roman" w:hAnsi="Times New Roman" w:cs="Times New Roman"/>
                <w:b/>
                <w:bCs/>
                <w:color w:val="000000"/>
                <w:sz w:val="18"/>
                <w:szCs w:val="18"/>
              </w:rPr>
              <w:t>Services</w:t>
            </w:r>
            <w:proofErr w:type="spellEnd"/>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1.786</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1.001</w:t>
            </w:r>
          </w:p>
        </w:tc>
        <w:tc>
          <w:tcPr>
            <w:tcW w:w="1843"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0.786</w:t>
            </w:r>
          </w:p>
        </w:tc>
      </w:tr>
      <w:tr w:rsidR="001A0A7E" w:rsidRPr="00375BE9" w:rsidTr="00267145">
        <w:tc>
          <w:tcPr>
            <w:tcW w:w="4962" w:type="dxa"/>
            <w:shd w:val="clear" w:color="auto" w:fill="B3B3B3"/>
            <w:vAlign w:val="bottom"/>
          </w:tcPr>
          <w:p w:rsidR="001A0A7E" w:rsidRPr="00375BE9" w:rsidRDefault="001A0A7E" w:rsidP="00267145">
            <w:pPr>
              <w:spacing w:line="240" w:lineRule="auto"/>
              <w:contextualSpacing/>
              <w:rPr>
                <w:rFonts w:ascii="Times New Roman" w:hAnsi="Times New Roman" w:cs="Times New Roman"/>
                <w:b/>
                <w:bCs/>
                <w:color w:val="000000"/>
                <w:sz w:val="18"/>
                <w:szCs w:val="18"/>
                <w:lang w:val="en-US"/>
              </w:rPr>
            </w:pPr>
            <w:r w:rsidRPr="00375BE9">
              <w:rPr>
                <w:rFonts w:ascii="Times New Roman" w:hAnsi="Times New Roman" w:cs="Times New Roman"/>
                <w:b/>
                <w:bCs/>
                <w:color w:val="000000"/>
                <w:sz w:val="18"/>
                <w:szCs w:val="18"/>
                <w:lang w:val="en-GB"/>
              </w:rPr>
              <w:t>39_Scientific Research and Development Services</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1.770</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1.006</w:t>
            </w:r>
          </w:p>
        </w:tc>
        <w:tc>
          <w:tcPr>
            <w:tcW w:w="1843"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0.764</w:t>
            </w:r>
          </w:p>
        </w:tc>
      </w:tr>
      <w:tr w:rsidR="001A0A7E" w:rsidRPr="00375BE9" w:rsidTr="00267145">
        <w:tc>
          <w:tcPr>
            <w:tcW w:w="4962" w:type="dxa"/>
            <w:shd w:val="clear" w:color="auto" w:fill="B3B3B3"/>
            <w:vAlign w:val="bottom"/>
          </w:tcPr>
          <w:p w:rsidR="001A0A7E" w:rsidRPr="00375BE9" w:rsidRDefault="001A0A7E" w:rsidP="00267145">
            <w:pPr>
              <w:spacing w:line="240" w:lineRule="auto"/>
              <w:contextualSpacing/>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 xml:space="preserve">01_Agriculture and </w:t>
            </w:r>
            <w:proofErr w:type="spellStart"/>
            <w:r w:rsidRPr="00375BE9">
              <w:rPr>
                <w:rFonts w:ascii="Times New Roman" w:hAnsi="Times New Roman" w:cs="Times New Roman"/>
                <w:b/>
                <w:bCs/>
                <w:color w:val="000000"/>
                <w:sz w:val="18"/>
                <w:szCs w:val="18"/>
              </w:rPr>
              <w:t>hunting</w:t>
            </w:r>
            <w:proofErr w:type="spellEnd"/>
            <w:r w:rsidRPr="00375BE9">
              <w:rPr>
                <w:rFonts w:ascii="Times New Roman" w:hAnsi="Times New Roman" w:cs="Times New Roman"/>
                <w:b/>
                <w:bCs/>
                <w:color w:val="000000"/>
                <w:sz w:val="18"/>
                <w:szCs w:val="18"/>
              </w:rPr>
              <w:t xml:space="preserve"> </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1.762</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1.046</w:t>
            </w:r>
          </w:p>
        </w:tc>
        <w:tc>
          <w:tcPr>
            <w:tcW w:w="1843"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0.716</w:t>
            </w:r>
          </w:p>
        </w:tc>
      </w:tr>
      <w:tr w:rsidR="001A0A7E" w:rsidRPr="00375BE9" w:rsidTr="00267145">
        <w:tc>
          <w:tcPr>
            <w:tcW w:w="4962" w:type="dxa"/>
            <w:shd w:val="clear" w:color="auto" w:fill="B3B3B3"/>
            <w:vAlign w:val="bottom"/>
          </w:tcPr>
          <w:p w:rsidR="001A0A7E" w:rsidRPr="00375BE9" w:rsidRDefault="001A0A7E" w:rsidP="00267145">
            <w:pPr>
              <w:spacing w:line="240" w:lineRule="auto"/>
              <w:contextualSpacing/>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 xml:space="preserve">14_Chemicals and </w:t>
            </w:r>
            <w:proofErr w:type="spellStart"/>
            <w:r w:rsidRPr="00375BE9">
              <w:rPr>
                <w:rFonts w:ascii="Times New Roman" w:hAnsi="Times New Roman" w:cs="Times New Roman"/>
                <w:b/>
                <w:bCs/>
                <w:color w:val="000000"/>
                <w:sz w:val="18"/>
                <w:szCs w:val="18"/>
              </w:rPr>
              <w:t>chemical</w:t>
            </w:r>
            <w:proofErr w:type="spellEnd"/>
            <w:r w:rsidRPr="00375BE9">
              <w:rPr>
                <w:rFonts w:ascii="Times New Roman" w:hAnsi="Times New Roman" w:cs="Times New Roman"/>
                <w:b/>
                <w:bCs/>
                <w:color w:val="000000"/>
                <w:sz w:val="18"/>
                <w:szCs w:val="18"/>
              </w:rPr>
              <w:t xml:space="preserve"> </w:t>
            </w:r>
            <w:proofErr w:type="spellStart"/>
            <w:r w:rsidRPr="00375BE9">
              <w:rPr>
                <w:rFonts w:ascii="Times New Roman" w:hAnsi="Times New Roman" w:cs="Times New Roman"/>
                <w:b/>
                <w:bCs/>
                <w:color w:val="000000"/>
                <w:sz w:val="18"/>
                <w:szCs w:val="18"/>
              </w:rPr>
              <w:t>Products</w:t>
            </w:r>
            <w:proofErr w:type="spellEnd"/>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1.760</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1.188</w:t>
            </w:r>
          </w:p>
        </w:tc>
        <w:tc>
          <w:tcPr>
            <w:tcW w:w="1843"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0.572</w:t>
            </w:r>
          </w:p>
        </w:tc>
      </w:tr>
      <w:tr w:rsidR="001A0A7E" w:rsidRPr="00375BE9" w:rsidTr="00267145">
        <w:tc>
          <w:tcPr>
            <w:tcW w:w="4962" w:type="dxa"/>
            <w:shd w:val="clear" w:color="auto" w:fill="B3B3B3"/>
            <w:vAlign w:val="bottom"/>
          </w:tcPr>
          <w:p w:rsidR="001A0A7E" w:rsidRPr="00375BE9" w:rsidRDefault="001A0A7E" w:rsidP="00267145">
            <w:pPr>
              <w:spacing w:line="240" w:lineRule="auto"/>
              <w:contextualSpacing/>
              <w:rPr>
                <w:rFonts w:ascii="Times New Roman" w:hAnsi="Times New Roman" w:cs="Times New Roman"/>
                <w:b/>
                <w:bCs/>
                <w:color w:val="000000"/>
                <w:sz w:val="18"/>
                <w:szCs w:val="18"/>
                <w:lang w:val="en-US"/>
              </w:rPr>
            </w:pPr>
            <w:r w:rsidRPr="00375BE9">
              <w:rPr>
                <w:rFonts w:ascii="Times New Roman" w:hAnsi="Times New Roman" w:cs="Times New Roman"/>
                <w:b/>
                <w:bCs/>
                <w:color w:val="000000"/>
                <w:sz w:val="18"/>
                <w:szCs w:val="18"/>
                <w:lang w:val="en-GB"/>
              </w:rPr>
              <w:t>38_Computer programming, information and consultancy Services</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1.714</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1.151</w:t>
            </w:r>
          </w:p>
        </w:tc>
        <w:tc>
          <w:tcPr>
            <w:tcW w:w="1843"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0.563</w:t>
            </w:r>
          </w:p>
        </w:tc>
      </w:tr>
      <w:tr w:rsidR="001A0A7E" w:rsidRPr="00375BE9" w:rsidTr="00267145">
        <w:tc>
          <w:tcPr>
            <w:tcW w:w="4962" w:type="dxa"/>
            <w:shd w:val="clear" w:color="auto" w:fill="B3B3B3"/>
            <w:vAlign w:val="bottom"/>
          </w:tcPr>
          <w:p w:rsidR="001A0A7E" w:rsidRPr="00375BE9" w:rsidRDefault="001A0A7E" w:rsidP="00267145">
            <w:pPr>
              <w:spacing w:line="240" w:lineRule="auto"/>
              <w:contextualSpacing/>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 xml:space="preserve">21_Electrical </w:t>
            </w:r>
            <w:proofErr w:type="spellStart"/>
            <w:r w:rsidRPr="00375BE9">
              <w:rPr>
                <w:rFonts w:ascii="Times New Roman" w:hAnsi="Times New Roman" w:cs="Times New Roman"/>
                <w:b/>
                <w:bCs/>
                <w:color w:val="000000"/>
                <w:sz w:val="18"/>
                <w:szCs w:val="18"/>
              </w:rPr>
              <w:t>Equipment</w:t>
            </w:r>
            <w:proofErr w:type="spellEnd"/>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1.707</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1.152</w:t>
            </w:r>
          </w:p>
        </w:tc>
        <w:tc>
          <w:tcPr>
            <w:tcW w:w="1843"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0.555</w:t>
            </w:r>
          </w:p>
        </w:tc>
      </w:tr>
      <w:tr w:rsidR="001A0A7E" w:rsidRPr="00375BE9" w:rsidTr="00267145">
        <w:tc>
          <w:tcPr>
            <w:tcW w:w="4962" w:type="dxa"/>
            <w:shd w:val="clear" w:color="auto" w:fill="B3B3B3"/>
            <w:vAlign w:val="bottom"/>
          </w:tcPr>
          <w:p w:rsidR="001A0A7E" w:rsidRPr="00375BE9" w:rsidRDefault="001A0A7E" w:rsidP="00267145">
            <w:pPr>
              <w:spacing w:line="240" w:lineRule="auto"/>
              <w:contextualSpacing/>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 xml:space="preserve">40_Other </w:t>
            </w:r>
            <w:proofErr w:type="spellStart"/>
            <w:r w:rsidRPr="00375BE9">
              <w:rPr>
                <w:rFonts w:ascii="Times New Roman" w:hAnsi="Times New Roman" w:cs="Times New Roman"/>
                <w:b/>
                <w:bCs/>
                <w:color w:val="000000"/>
                <w:sz w:val="18"/>
                <w:szCs w:val="18"/>
              </w:rPr>
              <w:t>Services</w:t>
            </w:r>
            <w:proofErr w:type="spellEnd"/>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1.698</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1.086</w:t>
            </w:r>
          </w:p>
        </w:tc>
        <w:tc>
          <w:tcPr>
            <w:tcW w:w="1843"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0.612</w:t>
            </w:r>
          </w:p>
        </w:tc>
      </w:tr>
      <w:tr w:rsidR="001A0A7E" w:rsidRPr="00375BE9" w:rsidTr="00267145">
        <w:tc>
          <w:tcPr>
            <w:tcW w:w="4962" w:type="dxa"/>
            <w:shd w:val="clear" w:color="auto" w:fill="B3B3B3"/>
            <w:vAlign w:val="bottom"/>
          </w:tcPr>
          <w:p w:rsidR="001A0A7E" w:rsidRPr="00375BE9" w:rsidRDefault="001A0A7E" w:rsidP="00267145">
            <w:pPr>
              <w:spacing w:line="240" w:lineRule="auto"/>
              <w:contextualSpacing/>
              <w:rPr>
                <w:rFonts w:ascii="Times New Roman" w:hAnsi="Times New Roman" w:cs="Times New Roman"/>
                <w:b/>
                <w:bCs/>
                <w:color w:val="000000"/>
                <w:sz w:val="18"/>
                <w:szCs w:val="18"/>
                <w:lang w:val="en-US"/>
              </w:rPr>
            </w:pPr>
            <w:r w:rsidRPr="00375BE9">
              <w:rPr>
                <w:rFonts w:ascii="Times New Roman" w:hAnsi="Times New Roman" w:cs="Times New Roman"/>
                <w:b/>
                <w:bCs/>
                <w:color w:val="000000"/>
                <w:sz w:val="18"/>
                <w:szCs w:val="18"/>
                <w:lang w:val="en-GB"/>
              </w:rPr>
              <w:t>10_Textiles, wearing apparel and leather Products</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1.682</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1.216</w:t>
            </w:r>
          </w:p>
        </w:tc>
        <w:tc>
          <w:tcPr>
            <w:tcW w:w="1843"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0.466</w:t>
            </w:r>
          </w:p>
        </w:tc>
      </w:tr>
      <w:tr w:rsidR="001A0A7E" w:rsidRPr="00375BE9" w:rsidTr="00267145">
        <w:tc>
          <w:tcPr>
            <w:tcW w:w="4962" w:type="dxa"/>
            <w:shd w:val="clear" w:color="auto" w:fill="B3B3B3"/>
            <w:vAlign w:val="bottom"/>
          </w:tcPr>
          <w:p w:rsidR="001A0A7E" w:rsidRPr="00375BE9" w:rsidRDefault="001A0A7E" w:rsidP="00267145">
            <w:pPr>
              <w:spacing w:line="240" w:lineRule="auto"/>
              <w:contextualSpacing/>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lang w:val="en-GB"/>
              </w:rPr>
              <w:t>28_Other Retail trade services</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1.665</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1.001</w:t>
            </w:r>
          </w:p>
        </w:tc>
        <w:tc>
          <w:tcPr>
            <w:tcW w:w="1843"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0.664</w:t>
            </w:r>
          </w:p>
        </w:tc>
      </w:tr>
      <w:tr w:rsidR="001A0A7E" w:rsidRPr="00375BE9" w:rsidTr="00267145">
        <w:tc>
          <w:tcPr>
            <w:tcW w:w="4962" w:type="dxa"/>
            <w:shd w:val="clear" w:color="auto" w:fill="B3B3B3"/>
            <w:vAlign w:val="bottom"/>
          </w:tcPr>
          <w:p w:rsidR="001A0A7E" w:rsidRPr="00375BE9" w:rsidRDefault="001A0A7E" w:rsidP="00267145">
            <w:pPr>
              <w:spacing w:line="240" w:lineRule="auto"/>
              <w:contextualSpacing/>
              <w:rPr>
                <w:rFonts w:ascii="Times New Roman" w:hAnsi="Times New Roman" w:cs="Times New Roman"/>
                <w:b/>
                <w:bCs/>
                <w:color w:val="000000"/>
                <w:sz w:val="18"/>
                <w:szCs w:val="18"/>
                <w:lang w:val="en-US"/>
              </w:rPr>
            </w:pPr>
            <w:r w:rsidRPr="00375BE9">
              <w:rPr>
                <w:rFonts w:ascii="Times New Roman" w:hAnsi="Times New Roman" w:cs="Times New Roman"/>
                <w:b/>
                <w:bCs/>
                <w:color w:val="000000"/>
                <w:sz w:val="18"/>
                <w:szCs w:val="18"/>
                <w:lang w:val="en-GB"/>
              </w:rPr>
              <w:t>35_Services auxiliary to financial services and insurance Services</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1.657</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1.175</w:t>
            </w:r>
          </w:p>
        </w:tc>
        <w:tc>
          <w:tcPr>
            <w:tcW w:w="1843"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0.482</w:t>
            </w:r>
          </w:p>
        </w:tc>
      </w:tr>
      <w:tr w:rsidR="001A0A7E" w:rsidRPr="00375BE9" w:rsidTr="00267145">
        <w:tc>
          <w:tcPr>
            <w:tcW w:w="4962" w:type="dxa"/>
            <w:shd w:val="clear" w:color="auto" w:fill="B3B3B3"/>
            <w:vAlign w:val="bottom"/>
          </w:tcPr>
          <w:p w:rsidR="001A0A7E" w:rsidRPr="00375BE9" w:rsidRDefault="001A0A7E" w:rsidP="00267145">
            <w:pPr>
              <w:spacing w:line="240" w:lineRule="auto"/>
              <w:contextualSpacing/>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lang w:val="en-GB"/>
              </w:rPr>
              <w:t xml:space="preserve">19_Machinery and equipment </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1.644</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1.048</w:t>
            </w:r>
          </w:p>
        </w:tc>
        <w:tc>
          <w:tcPr>
            <w:tcW w:w="1843"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0.596</w:t>
            </w:r>
          </w:p>
        </w:tc>
      </w:tr>
      <w:tr w:rsidR="001A0A7E" w:rsidRPr="00375BE9" w:rsidTr="00267145">
        <w:tc>
          <w:tcPr>
            <w:tcW w:w="4962" w:type="dxa"/>
            <w:shd w:val="clear" w:color="auto" w:fill="B3B3B3"/>
            <w:vAlign w:val="bottom"/>
          </w:tcPr>
          <w:p w:rsidR="001A0A7E" w:rsidRPr="00375BE9" w:rsidRDefault="001A0A7E" w:rsidP="00267145">
            <w:pPr>
              <w:spacing w:line="240" w:lineRule="auto"/>
              <w:contextualSpacing/>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 xml:space="preserve">43_Health and Social </w:t>
            </w:r>
            <w:proofErr w:type="spellStart"/>
            <w:r w:rsidRPr="00375BE9">
              <w:rPr>
                <w:rFonts w:ascii="Times New Roman" w:hAnsi="Times New Roman" w:cs="Times New Roman"/>
                <w:b/>
                <w:bCs/>
                <w:color w:val="000000"/>
                <w:sz w:val="18"/>
                <w:szCs w:val="18"/>
              </w:rPr>
              <w:t>Services</w:t>
            </w:r>
            <w:proofErr w:type="spellEnd"/>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1.580</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1.054</w:t>
            </w:r>
          </w:p>
        </w:tc>
        <w:tc>
          <w:tcPr>
            <w:tcW w:w="1843"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0.527</w:t>
            </w:r>
          </w:p>
        </w:tc>
      </w:tr>
      <w:tr w:rsidR="001A0A7E" w:rsidRPr="00375BE9" w:rsidTr="00267145">
        <w:tc>
          <w:tcPr>
            <w:tcW w:w="4962" w:type="dxa"/>
            <w:shd w:val="clear" w:color="auto" w:fill="B3B3B3"/>
            <w:vAlign w:val="bottom"/>
          </w:tcPr>
          <w:p w:rsidR="001A0A7E" w:rsidRPr="00375BE9" w:rsidRDefault="001A0A7E" w:rsidP="00267145">
            <w:pPr>
              <w:spacing w:line="240" w:lineRule="auto"/>
              <w:contextualSpacing/>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 xml:space="preserve">36_Real estate </w:t>
            </w:r>
            <w:proofErr w:type="spellStart"/>
            <w:r w:rsidRPr="00375BE9">
              <w:rPr>
                <w:rFonts w:ascii="Times New Roman" w:hAnsi="Times New Roman" w:cs="Times New Roman"/>
                <w:b/>
                <w:bCs/>
                <w:color w:val="000000"/>
                <w:sz w:val="18"/>
                <w:szCs w:val="18"/>
              </w:rPr>
              <w:t>Services</w:t>
            </w:r>
            <w:proofErr w:type="spellEnd"/>
            <w:r w:rsidRPr="00375BE9">
              <w:rPr>
                <w:rFonts w:ascii="Times New Roman" w:hAnsi="Times New Roman" w:cs="Times New Roman"/>
                <w:b/>
                <w:bCs/>
                <w:color w:val="000000"/>
                <w:sz w:val="18"/>
                <w:szCs w:val="18"/>
              </w:rPr>
              <w:t xml:space="preserve"> </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1.526</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1.009</w:t>
            </w:r>
          </w:p>
        </w:tc>
        <w:tc>
          <w:tcPr>
            <w:tcW w:w="1843"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0.517</w:t>
            </w:r>
          </w:p>
        </w:tc>
      </w:tr>
      <w:tr w:rsidR="001A0A7E" w:rsidRPr="00375BE9" w:rsidTr="00267145">
        <w:tc>
          <w:tcPr>
            <w:tcW w:w="4962" w:type="dxa"/>
            <w:shd w:val="clear" w:color="auto" w:fill="B3B3B3"/>
            <w:vAlign w:val="bottom"/>
          </w:tcPr>
          <w:p w:rsidR="001A0A7E" w:rsidRPr="00375BE9" w:rsidRDefault="001A0A7E" w:rsidP="00267145">
            <w:pPr>
              <w:spacing w:line="240" w:lineRule="auto"/>
              <w:contextualSpacing/>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lang w:val="en-GB"/>
              </w:rPr>
              <w:t>41_Public Services</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1.526</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1.000</w:t>
            </w:r>
          </w:p>
        </w:tc>
        <w:tc>
          <w:tcPr>
            <w:tcW w:w="1843"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0.526</w:t>
            </w:r>
          </w:p>
        </w:tc>
      </w:tr>
      <w:tr w:rsidR="001A0A7E" w:rsidRPr="00375BE9" w:rsidTr="00267145">
        <w:tc>
          <w:tcPr>
            <w:tcW w:w="4962" w:type="dxa"/>
            <w:shd w:val="clear" w:color="auto" w:fill="B3B3B3"/>
            <w:vAlign w:val="bottom"/>
          </w:tcPr>
          <w:p w:rsidR="001A0A7E" w:rsidRPr="00375BE9" w:rsidRDefault="001A0A7E" w:rsidP="00267145">
            <w:pPr>
              <w:spacing w:line="240" w:lineRule="auto"/>
              <w:contextualSpacing/>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 xml:space="preserve">03_Fishing and </w:t>
            </w:r>
            <w:proofErr w:type="spellStart"/>
            <w:r w:rsidRPr="00375BE9">
              <w:rPr>
                <w:rFonts w:ascii="Times New Roman" w:hAnsi="Times New Roman" w:cs="Times New Roman"/>
                <w:b/>
                <w:bCs/>
                <w:color w:val="000000"/>
                <w:sz w:val="18"/>
                <w:szCs w:val="18"/>
              </w:rPr>
              <w:t>aquaculture</w:t>
            </w:r>
            <w:proofErr w:type="spellEnd"/>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1.513</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1.000</w:t>
            </w:r>
          </w:p>
        </w:tc>
        <w:tc>
          <w:tcPr>
            <w:tcW w:w="1843"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0.512</w:t>
            </w:r>
          </w:p>
        </w:tc>
      </w:tr>
      <w:tr w:rsidR="001A0A7E" w:rsidRPr="00375BE9" w:rsidTr="00267145">
        <w:tc>
          <w:tcPr>
            <w:tcW w:w="4962" w:type="dxa"/>
            <w:shd w:val="clear" w:color="auto" w:fill="B3B3B3"/>
            <w:vAlign w:val="bottom"/>
          </w:tcPr>
          <w:p w:rsidR="001A0A7E" w:rsidRPr="00375BE9" w:rsidRDefault="001A0A7E" w:rsidP="00267145">
            <w:pPr>
              <w:spacing w:line="240" w:lineRule="auto"/>
              <w:contextualSpacing/>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lang w:val="en-GB"/>
              </w:rPr>
              <w:t>33_Financial Services</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1.336</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1.066</w:t>
            </w:r>
          </w:p>
        </w:tc>
        <w:tc>
          <w:tcPr>
            <w:tcW w:w="1843"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0.27</w:t>
            </w:r>
          </w:p>
        </w:tc>
      </w:tr>
      <w:tr w:rsidR="001A0A7E" w:rsidRPr="00375BE9" w:rsidTr="00267145">
        <w:tc>
          <w:tcPr>
            <w:tcW w:w="4962" w:type="dxa"/>
            <w:shd w:val="clear" w:color="auto" w:fill="B3B3B3"/>
            <w:vAlign w:val="bottom"/>
          </w:tcPr>
          <w:p w:rsidR="001A0A7E" w:rsidRPr="00375BE9" w:rsidRDefault="001A0A7E" w:rsidP="00267145">
            <w:pPr>
              <w:spacing w:line="240" w:lineRule="auto"/>
              <w:contextualSpacing/>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 xml:space="preserve">42_Education </w:t>
            </w:r>
            <w:proofErr w:type="spellStart"/>
            <w:r w:rsidRPr="00375BE9">
              <w:rPr>
                <w:rFonts w:ascii="Times New Roman" w:hAnsi="Times New Roman" w:cs="Times New Roman"/>
                <w:b/>
                <w:bCs/>
                <w:color w:val="000000"/>
                <w:sz w:val="18"/>
                <w:szCs w:val="18"/>
              </w:rPr>
              <w:t>Services</w:t>
            </w:r>
            <w:proofErr w:type="spellEnd"/>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1.233</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1.002</w:t>
            </w:r>
          </w:p>
        </w:tc>
        <w:tc>
          <w:tcPr>
            <w:tcW w:w="1843"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0.231</w:t>
            </w:r>
          </w:p>
        </w:tc>
      </w:tr>
      <w:tr w:rsidR="001A0A7E" w:rsidRPr="00375BE9" w:rsidTr="00267145">
        <w:tc>
          <w:tcPr>
            <w:tcW w:w="4962" w:type="dxa"/>
            <w:shd w:val="clear" w:color="auto" w:fill="B3B3B3"/>
            <w:vAlign w:val="bottom"/>
          </w:tcPr>
          <w:p w:rsidR="001A0A7E" w:rsidRPr="00375BE9" w:rsidRDefault="001A0A7E" w:rsidP="00267145">
            <w:pPr>
              <w:spacing w:line="240" w:lineRule="auto"/>
              <w:contextualSpacing/>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02_Forestry</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1.199</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1.000</w:t>
            </w:r>
          </w:p>
        </w:tc>
        <w:tc>
          <w:tcPr>
            <w:tcW w:w="1843"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0.199</w:t>
            </w:r>
          </w:p>
        </w:tc>
      </w:tr>
      <w:tr w:rsidR="001A0A7E" w:rsidRPr="00375BE9" w:rsidTr="00267145">
        <w:tc>
          <w:tcPr>
            <w:tcW w:w="4962" w:type="dxa"/>
            <w:shd w:val="clear" w:color="auto" w:fill="B3B3B3"/>
            <w:vAlign w:val="bottom"/>
          </w:tcPr>
          <w:p w:rsidR="001A0A7E" w:rsidRPr="00375BE9" w:rsidRDefault="001A0A7E" w:rsidP="00267145">
            <w:pPr>
              <w:spacing w:line="240" w:lineRule="auto"/>
              <w:contextualSpacing/>
              <w:rPr>
                <w:rFonts w:ascii="Times New Roman" w:hAnsi="Times New Roman" w:cs="Times New Roman"/>
                <w:b/>
                <w:bCs/>
                <w:color w:val="000000"/>
                <w:sz w:val="18"/>
                <w:szCs w:val="18"/>
                <w:lang w:val="en-US"/>
              </w:rPr>
            </w:pPr>
            <w:r w:rsidRPr="00375BE9">
              <w:rPr>
                <w:rFonts w:ascii="Times New Roman" w:hAnsi="Times New Roman" w:cs="Times New Roman"/>
                <w:b/>
                <w:bCs/>
                <w:color w:val="000000"/>
                <w:sz w:val="18"/>
                <w:szCs w:val="18"/>
                <w:lang w:val="en-GB"/>
              </w:rPr>
              <w:t>20_Computer, electronic and optical Products</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1.199</w:t>
            </w:r>
          </w:p>
        </w:tc>
        <w:tc>
          <w:tcPr>
            <w:tcW w:w="1559"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1.038</w:t>
            </w:r>
          </w:p>
        </w:tc>
        <w:tc>
          <w:tcPr>
            <w:tcW w:w="1843" w:type="dxa"/>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0.161</w:t>
            </w:r>
          </w:p>
        </w:tc>
      </w:tr>
      <w:tr w:rsidR="001A0A7E" w:rsidRPr="00375BE9" w:rsidTr="00267145">
        <w:tc>
          <w:tcPr>
            <w:tcW w:w="4962" w:type="dxa"/>
            <w:tcBorders>
              <w:bottom w:val="single" w:sz="4" w:space="0" w:color="auto"/>
            </w:tcBorders>
            <w:shd w:val="clear" w:color="auto" w:fill="B3B3B3"/>
            <w:vAlign w:val="bottom"/>
          </w:tcPr>
          <w:p w:rsidR="001A0A7E" w:rsidRPr="00375BE9" w:rsidRDefault="001A0A7E" w:rsidP="00267145">
            <w:pPr>
              <w:spacing w:line="240" w:lineRule="auto"/>
              <w:contextualSpacing/>
              <w:rPr>
                <w:rFonts w:ascii="Times New Roman" w:hAnsi="Times New Roman" w:cs="Times New Roman"/>
                <w:b/>
                <w:bCs/>
                <w:color w:val="000000"/>
                <w:sz w:val="18"/>
                <w:szCs w:val="18"/>
              </w:rPr>
            </w:pPr>
            <w:r w:rsidRPr="00375BE9">
              <w:rPr>
                <w:rFonts w:ascii="Times New Roman" w:hAnsi="Times New Roman" w:cs="Times New Roman"/>
                <w:b/>
                <w:bCs/>
                <w:color w:val="000000"/>
                <w:sz w:val="18"/>
                <w:szCs w:val="18"/>
              </w:rPr>
              <w:t xml:space="preserve">04_Mining and </w:t>
            </w:r>
            <w:proofErr w:type="spellStart"/>
            <w:r w:rsidRPr="00375BE9">
              <w:rPr>
                <w:rFonts w:ascii="Times New Roman" w:hAnsi="Times New Roman" w:cs="Times New Roman"/>
                <w:b/>
                <w:bCs/>
                <w:color w:val="000000"/>
                <w:sz w:val="18"/>
                <w:szCs w:val="18"/>
              </w:rPr>
              <w:t>quarrying</w:t>
            </w:r>
            <w:proofErr w:type="spellEnd"/>
          </w:p>
        </w:tc>
        <w:tc>
          <w:tcPr>
            <w:tcW w:w="1559" w:type="dxa"/>
            <w:tcBorders>
              <w:bottom w:val="single" w:sz="4" w:space="0" w:color="auto"/>
            </w:tcBorders>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1.184</w:t>
            </w:r>
          </w:p>
        </w:tc>
        <w:tc>
          <w:tcPr>
            <w:tcW w:w="1559" w:type="dxa"/>
            <w:tcBorders>
              <w:bottom w:val="single" w:sz="4" w:space="0" w:color="auto"/>
            </w:tcBorders>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1.002</w:t>
            </w:r>
          </w:p>
        </w:tc>
        <w:tc>
          <w:tcPr>
            <w:tcW w:w="1843" w:type="dxa"/>
            <w:tcBorders>
              <w:bottom w:val="single" w:sz="4" w:space="0" w:color="auto"/>
            </w:tcBorders>
            <w:vAlign w:val="bottom"/>
          </w:tcPr>
          <w:p w:rsidR="001A0A7E" w:rsidRPr="00375BE9" w:rsidRDefault="001A0A7E" w:rsidP="00267145">
            <w:pPr>
              <w:spacing w:line="240" w:lineRule="auto"/>
              <w:contextualSpacing/>
              <w:jc w:val="center"/>
              <w:rPr>
                <w:rFonts w:ascii="Times New Roman" w:hAnsi="Times New Roman" w:cs="Times New Roman"/>
                <w:color w:val="000000"/>
                <w:sz w:val="18"/>
                <w:szCs w:val="18"/>
              </w:rPr>
            </w:pPr>
            <w:r w:rsidRPr="00375BE9">
              <w:rPr>
                <w:rFonts w:ascii="Times New Roman" w:hAnsi="Times New Roman" w:cs="Times New Roman"/>
                <w:color w:val="000000"/>
                <w:sz w:val="18"/>
                <w:szCs w:val="18"/>
              </w:rPr>
              <w:t>0.182</w:t>
            </w:r>
          </w:p>
        </w:tc>
      </w:tr>
      <w:tr w:rsidR="001A0A7E" w:rsidRPr="00375BE9" w:rsidTr="00267145">
        <w:tc>
          <w:tcPr>
            <w:tcW w:w="4962" w:type="dxa"/>
            <w:shd w:val="clear" w:color="auto" w:fill="D9D9D9"/>
            <w:vAlign w:val="bottom"/>
          </w:tcPr>
          <w:p w:rsidR="001A0A7E" w:rsidRPr="00375BE9" w:rsidRDefault="001A0A7E" w:rsidP="00267145">
            <w:pPr>
              <w:spacing w:line="240" w:lineRule="auto"/>
              <w:contextualSpacing/>
              <w:jc w:val="center"/>
              <w:rPr>
                <w:rFonts w:ascii="Times New Roman" w:hAnsi="Times New Roman" w:cs="Times New Roman"/>
                <w:b/>
                <w:bCs/>
                <w:sz w:val="18"/>
                <w:szCs w:val="18"/>
              </w:rPr>
            </w:pPr>
            <w:proofErr w:type="spellStart"/>
            <w:r w:rsidRPr="00375BE9">
              <w:rPr>
                <w:rFonts w:ascii="Times New Roman" w:hAnsi="Times New Roman" w:cs="Times New Roman"/>
                <w:b/>
                <w:bCs/>
                <w:sz w:val="18"/>
                <w:szCs w:val="18"/>
              </w:rPr>
              <w:t>Average</w:t>
            </w:r>
            <w:proofErr w:type="spellEnd"/>
            <w:r w:rsidRPr="00375BE9">
              <w:rPr>
                <w:rFonts w:ascii="Times New Roman" w:hAnsi="Times New Roman" w:cs="Times New Roman"/>
                <w:b/>
                <w:bCs/>
                <w:sz w:val="18"/>
                <w:szCs w:val="18"/>
              </w:rPr>
              <w:t xml:space="preserve"> </w:t>
            </w:r>
            <w:proofErr w:type="spellStart"/>
            <w:r w:rsidRPr="00375BE9">
              <w:rPr>
                <w:rFonts w:ascii="Times New Roman" w:hAnsi="Times New Roman" w:cs="Times New Roman"/>
                <w:b/>
                <w:bCs/>
                <w:sz w:val="18"/>
                <w:szCs w:val="18"/>
              </w:rPr>
              <w:t>Effect</w:t>
            </w:r>
            <w:proofErr w:type="spellEnd"/>
          </w:p>
        </w:tc>
        <w:tc>
          <w:tcPr>
            <w:tcW w:w="1559" w:type="dxa"/>
            <w:shd w:val="clear" w:color="auto" w:fill="D9D9D9"/>
            <w:vAlign w:val="bottom"/>
          </w:tcPr>
          <w:p w:rsidR="001A0A7E" w:rsidRPr="00375BE9" w:rsidRDefault="001A0A7E" w:rsidP="00267145">
            <w:pPr>
              <w:spacing w:line="240" w:lineRule="auto"/>
              <w:contextualSpacing/>
              <w:jc w:val="center"/>
              <w:rPr>
                <w:rFonts w:ascii="Times New Roman" w:hAnsi="Times New Roman" w:cs="Times New Roman"/>
                <w:b/>
                <w:bCs/>
                <w:sz w:val="18"/>
                <w:szCs w:val="18"/>
              </w:rPr>
            </w:pPr>
            <w:r w:rsidRPr="00375BE9">
              <w:rPr>
                <w:rFonts w:ascii="Times New Roman" w:hAnsi="Times New Roman" w:cs="Times New Roman"/>
                <w:b/>
                <w:bCs/>
                <w:sz w:val="18"/>
                <w:szCs w:val="18"/>
              </w:rPr>
              <w:t>1.816</w:t>
            </w:r>
          </w:p>
        </w:tc>
        <w:tc>
          <w:tcPr>
            <w:tcW w:w="1559" w:type="dxa"/>
            <w:shd w:val="clear" w:color="auto" w:fill="D9D9D9"/>
            <w:vAlign w:val="bottom"/>
          </w:tcPr>
          <w:p w:rsidR="001A0A7E" w:rsidRPr="00375BE9" w:rsidRDefault="001A0A7E" w:rsidP="00267145">
            <w:pPr>
              <w:spacing w:line="240" w:lineRule="auto"/>
              <w:contextualSpacing/>
              <w:jc w:val="center"/>
              <w:rPr>
                <w:rFonts w:ascii="Times New Roman" w:hAnsi="Times New Roman" w:cs="Times New Roman"/>
                <w:b/>
                <w:bCs/>
                <w:sz w:val="18"/>
                <w:szCs w:val="18"/>
              </w:rPr>
            </w:pPr>
            <w:r w:rsidRPr="00375BE9">
              <w:rPr>
                <w:rFonts w:ascii="Times New Roman" w:hAnsi="Times New Roman" w:cs="Times New Roman"/>
                <w:b/>
                <w:bCs/>
                <w:sz w:val="18"/>
                <w:szCs w:val="18"/>
              </w:rPr>
              <w:t>1.106</w:t>
            </w:r>
          </w:p>
        </w:tc>
        <w:tc>
          <w:tcPr>
            <w:tcW w:w="1843" w:type="dxa"/>
            <w:shd w:val="clear" w:color="auto" w:fill="D9D9D9"/>
            <w:vAlign w:val="bottom"/>
          </w:tcPr>
          <w:p w:rsidR="001A0A7E" w:rsidRPr="00375BE9" w:rsidRDefault="001A0A7E" w:rsidP="00267145">
            <w:pPr>
              <w:spacing w:line="240" w:lineRule="auto"/>
              <w:contextualSpacing/>
              <w:jc w:val="center"/>
              <w:rPr>
                <w:rFonts w:ascii="Times New Roman" w:hAnsi="Times New Roman" w:cs="Times New Roman"/>
                <w:b/>
                <w:bCs/>
                <w:sz w:val="18"/>
                <w:szCs w:val="18"/>
              </w:rPr>
            </w:pPr>
            <w:r w:rsidRPr="00375BE9">
              <w:rPr>
                <w:rFonts w:ascii="Times New Roman" w:hAnsi="Times New Roman" w:cs="Times New Roman"/>
                <w:b/>
                <w:bCs/>
                <w:sz w:val="18"/>
                <w:szCs w:val="18"/>
              </w:rPr>
              <w:t>0.710</w:t>
            </w:r>
          </w:p>
        </w:tc>
      </w:tr>
    </w:tbl>
    <w:p w:rsidR="001A0A7E" w:rsidRDefault="001A0A7E" w:rsidP="001A0A7E">
      <w:pPr>
        <w:pStyle w:val="Epgrafe"/>
        <w:ind w:left="2832" w:firstLine="708"/>
        <w:rPr>
          <w:i/>
          <w:lang w:val="en-GB"/>
        </w:rPr>
      </w:pPr>
      <w:r w:rsidRPr="00375BE9">
        <w:rPr>
          <w:i/>
          <w:lang w:val="en-GB"/>
        </w:rPr>
        <w:t>Source: Own elaboration</w:t>
      </w:r>
    </w:p>
    <w:p w:rsidR="001A0A7E" w:rsidRPr="001048FC" w:rsidRDefault="001A0A7E" w:rsidP="001A0A7E">
      <w:pPr>
        <w:pStyle w:val="Epgrafe"/>
        <w:rPr>
          <w:i/>
          <w:lang w:val="en-GB"/>
        </w:rPr>
      </w:pPr>
      <w:r>
        <w:rPr>
          <w:i/>
          <w:lang w:val="en-GB"/>
        </w:rPr>
        <w:t xml:space="preserve">               </w:t>
      </w:r>
      <w:r w:rsidRPr="006510CF">
        <w:rPr>
          <w:lang w:val="en-GB"/>
        </w:rPr>
        <w:t xml:space="preserve"> * Backward measures in bold refer to sectors with above average backward effects. </w:t>
      </w:r>
    </w:p>
    <w:p w:rsidR="001A0A7E" w:rsidRDefault="001A0A7E" w:rsidP="001A0A7E">
      <w:pPr>
        <w:pStyle w:val="NormalWeb"/>
        <w:spacing w:line="360" w:lineRule="auto"/>
        <w:ind w:firstLine="708"/>
        <w:jc w:val="both"/>
        <w:rPr>
          <w:lang w:val="en-GB"/>
        </w:rPr>
      </w:pPr>
    </w:p>
    <w:p w:rsidR="001A0A7E" w:rsidRDefault="001A0A7E" w:rsidP="001A0A7E">
      <w:pPr>
        <w:pStyle w:val="NormalWeb"/>
        <w:spacing w:line="360" w:lineRule="auto"/>
        <w:ind w:firstLine="708"/>
        <w:jc w:val="both"/>
        <w:rPr>
          <w:lang w:val="en-GB"/>
        </w:rPr>
      </w:pPr>
    </w:p>
    <w:p w:rsidR="001A0A7E" w:rsidRPr="002B4F7A" w:rsidRDefault="001A0A7E" w:rsidP="001A0A7E">
      <w:pPr>
        <w:pStyle w:val="NormalWeb"/>
        <w:spacing w:line="360" w:lineRule="auto"/>
        <w:ind w:firstLine="708"/>
        <w:jc w:val="both"/>
        <w:rPr>
          <w:lang w:val="en-GB"/>
        </w:rPr>
      </w:pPr>
      <w:r>
        <w:rPr>
          <w:lang w:val="en-GB"/>
        </w:rPr>
        <w:lastRenderedPageBreak/>
        <w:t>T</w:t>
      </w:r>
      <w:r w:rsidRPr="002A6570">
        <w:rPr>
          <w:lang w:val="en-GB"/>
        </w:rPr>
        <w:t xml:space="preserve">able 1 </w:t>
      </w:r>
      <w:proofErr w:type="gramStart"/>
      <w:r w:rsidRPr="002A6570">
        <w:rPr>
          <w:lang w:val="en-GB"/>
        </w:rPr>
        <w:t>shows</w:t>
      </w:r>
      <w:proofErr w:type="gramEnd"/>
      <w:r w:rsidRPr="002A6570">
        <w:rPr>
          <w:lang w:val="en-GB"/>
        </w:rPr>
        <w:t xml:space="preserve"> that most of the production units with a significant positive distan</w:t>
      </w:r>
      <w:r>
        <w:rPr>
          <w:lang w:val="en-GB"/>
        </w:rPr>
        <w:t>ce from the sector’s average internal backward impacts</w:t>
      </w:r>
      <w:r w:rsidRPr="002A6570">
        <w:rPr>
          <w:lang w:val="en-GB"/>
        </w:rPr>
        <w:t xml:space="preserve"> appear to be key sectors under the CMM. As mentioned in Section 2 when interpreting expression (</w:t>
      </w:r>
      <w:r>
        <w:rPr>
          <w:lang w:val="en-GB"/>
        </w:rPr>
        <w:t>8</w:t>
      </w:r>
      <w:r w:rsidRPr="002A6570">
        <w:rPr>
          <w:lang w:val="en-GB"/>
        </w:rPr>
        <w:t xml:space="preserve">), the remarkable weight that </w:t>
      </w:r>
      <w:r>
        <w:rPr>
          <w:lang w:val="en-GB"/>
        </w:rPr>
        <w:t xml:space="preserve">these internal </w:t>
      </w:r>
      <w:r w:rsidRPr="002A6570">
        <w:rPr>
          <w:lang w:val="en-GB"/>
        </w:rPr>
        <w:t xml:space="preserve">backward effects have on the classification under the CMM indicators explains these outcomes. Notice, for instance, that the </w:t>
      </w:r>
      <w:r w:rsidRPr="004855B7">
        <w:rPr>
          <w:lang w:val="en-GB"/>
        </w:rPr>
        <w:t xml:space="preserve">Construction </w:t>
      </w:r>
      <w:r>
        <w:rPr>
          <w:lang w:val="en-GB"/>
        </w:rPr>
        <w:t>s</w:t>
      </w:r>
      <w:r w:rsidRPr="004855B7">
        <w:rPr>
          <w:lang w:val="en-GB"/>
        </w:rPr>
        <w:t>ector</w:t>
      </w:r>
      <w:r w:rsidRPr="002A6570">
        <w:rPr>
          <w:lang w:val="en-GB"/>
        </w:rPr>
        <w:t xml:space="preserve"> </w:t>
      </w:r>
      <w:r>
        <w:rPr>
          <w:lang w:val="en-GB"/>
        </w:rPr>
        <w:t>(Sector number</w:t>
      </w:r>
      <w:r w:rsidRPr="004855B7">
        <w:rPr>
          <w:b/>
          <w:sz w:val="20"/>
          <w:szCs w:val="20"/>
          <w:lang w:val="en-GB"/>
        </w:rPr>
        <w:t xml:space="preserve"> </w:t>
      </w:r>
      <w:r w:rsidRPr="004855B7">
        <w:rPr>
          <w:b/>
          <w:lang w:val="en-GB"/>
        </w:rPr>
        <w:t>25</w:t>
      </w:r>
      <w:r>
        <w:rPr>
          <w:b/>
          <w:sz w:val="20"/>
          <w:szCs w:val="20"/>
          <w:lang w:val="en-GB"/>
        </w:rPr>
        <w:t xml:space="preserve"> </w:t>
      </w:r>
      <w:r w:rsidRPr="004855B7">
        <w:rPr>
          <w:b/>
          <w:bCs/>
          <w:lang w:val="en-GB"/>
        </w:rPr>
        <w:t>)</w:t>
      </w:r>
      <w:r w:rsidRPr="002A6570">
        <w:rPr>
          <w:i/>
          <w:lang w:val="en-GB"/>
        </w:rPr>
        <w:t>,</w:t>
      </w:r>
      <w:r w:rsidRPr="002A6570">
        <w:rPr>
          <w:lang w:val="en-GB"/>
        </w:rPr>
        <w:t xml:space="preserve"> which has the highest internal </w:t>
      </w:r>
      <w:r w:rsidRPr="00874EB7">
        <w:rPr>
          <w:lang w:val="en-GB"/>
        </w:rPr>
        <w:t>backward effect</w:t>
      </w:r>
      <w:r>
        <w:rPr>
          <w:lang w:val="en-GB"/>
        </w:rPr>
        <w:t xml:space="preserve"> with a value of 1.</w:t>
      </w:r>
      <w:r w:rsidRPr="00874EB7">
        <w:rPr>
          <w:lang w:val="en-GB"/>
        </w:rPr>
        <w:t xml:space="preserve">498 units </w:t>
      </w:r>
      <w:r>
        <w:rPr>
          <w:lang w:val="en-GB"/>
        </w:rPr>
        <w:t xml:space="preserve">of </w:t>
      </w:r>
      <w:r w:rsidRPr="00874EB7">
        <w:rPr>
          <w:lang w:val="en-GB"/>
        </w:rPr>
        <w:t>gross ou</w:t>
      </w:r>
      <w:r>
        <w:rPr>
          <w:lang w:val="en-GB"/>
        </w:rPr>
        <w:t>tput</w:t>
      </w:r>
      <w:r w:rsidRPr="00874EB7">
        <w:rPr>
          <w:lang w:val="en-GB"/>
        </w:rPr>
        <w:t xml:space="preserve"> per unit increase in its final demand, takes the second</w:t>
      </w:r>
      <w:r w:rsidRPr="00D808A8">
        <w:rPr>
          <w:lang w:val="en-GB"/>
        </w:rPr>
        <w:t xml:space="preserve"> position in terms</w:t>
      </w:r>
      <w:r w:rsidRPr="002A6570">
        <w:rPr>
          <w:lang w:val="en-GB"/>
        </w:rPr>
        <w:t xml:space="preserve"> of its total backwar</w:t>
      </w:r>
      <w:r>
        <w:rPr>
          <w:lang w:val="en-GB"/>
        </w:rPr>
        <w:t>d effect. Under the HEM criterion</w:t>
      </w:r>
      <w:r w:rsidRPr="002A6570">
        <w:rPr>
          <w:lang w:val="en-GB"/>
        </w:rPr>
        <w:t>, though still above t</w:t>
      </w:r>
      <w:r>
        <w:rPr>
          <w:lang w:val="en-GB"/>
        </w:rPr>
        <w:t xml:space="preserve">he sectors’ average, the </w:t>
      </w:r>
      <w:r w:rsidRPr="004855B7">
        <w:rPr>
          <w:lang w:val="en-GB"/>
        </w:rPr>
        <w:t xml:space="preserve">Construction </w:t>
      </w:r>
      <w:r>
        <w:rPr>
          <w:lang w:val="en-GB"/>
        </w:rPr>
        <w:t>sector</w:t>
      </w:r>
      <w:r>
        <w:rPr>
          <w:b/>
          <w:bCs/>
          <w:sz w:val="20"/>
          <w:szCs w:val="20"/>
          <w:lang w:val="en-GB"/>
        </w:rPr>
        <w:t xml:space="preserve"> </w:t>
      </w:r>
      <w:r w:rsidRPr="002A6570">
        <w:rPr>
          <w:lang w:val="en-GB"/>
        </w:rPr>
        <w:t>backward stimulus is</w:t>
      </w:r>
      <w:r>
        <w:rPr>
          <w:lang w:val="en-GB"/>
        </w:rPr>
        <w:t xml:space="preserve"> modest compared to other sectors, i.e. the</w:t>
      </w:r>
      <w:r w:rsidRPr="002A6570">
        <w:rPr>
          <w:lang w:val="en-GB"/>
        </w:rPr>
        <w:t xml:space="preserve"> </w:t>
      </w:r>
      <w:r w:rsidRPr="004855B7">
        <w:rPr>
          <w:iCs/>
          <w:lang w:val="en-GB"/>
        </w:rPr>
        <w:t xml:space="preserve">Sewerage, </w:t>
      </w:r>
      <w:r>
        <w:rPr>
          <w:iCs/>
          <w:lang w:val="en-GB"/>
        </w:rPr>
        <w:t>waste c</w:t>
      </w:r>
      <w:r w:rsidRPr="004855B7">
        <w:rPr>
          <w:iCs/>
          <w:lang w:val="en-GB"/>
        </w:rPr>
        <w:t>ollection</w:t>
      </w:r>
      <w:r w:rsidRPr="004855B7">
        <w:rPr>
          <w:lang w:val="en-GB"/>
        </w:rPr>
        <w:t>,</w:t>
      </w:r>
      <w:r>
        <w:rPr>
          <w:lang w:val="en-GB"/>
        </w:rPr>
        <w:t xml:space="preserve"> treatment and disposal </w:t>
      </w:r>
      <w:r w:rsidRPr="005C7DF0">
        <w:rPr>
          <w:lang w:val="en-GB"/>
        </w:rPr>
        <w:t xml:space="preserve">activities (Sector number </w:t>
      </w:r>
      <w:r w:rsidRPr="005C7DF0">
        <w:rPr>
          <w:b/>
          <w:lang w:val="en-GB"/>
        </w:rPr>
        <w:t>24</w:t>
      </w:r>
      <w:r w:rsidRPr="005C7DF0">
        <w:rPr>
          <w:b/>
          <w:bCs/>
          <w:sz w:val="20"/>
          <w:szCs w:val="20"/>
          <w:lang w:val="en-GB"/>
        </w:rPr>
        <w:t>)</w:t>
      </w:r>
      <w:r w:rsidRPr="005C7DF0">
        <w:rPr>
          <w:lang w:val="en-GB"/>
        </w:rPr>
        <w:t>. A</w:t>
      </w:r>
      <w:r>
        <w:rPr>
          <w:lang w:val="en-GB"/>
        </w:rPr>
        <w:t xml:space="preserve"> plausible</w:t>
      </w:r>
      <w:r w:rsidRPr="00670D5F">
        <w:rPr>
          <w:lang w:val="en-GB"/>
        </w:rPr>
        <w:t xml:space="preserve"> justification for such imbalance between the </w:t>
      </w:r>
      <w:r w:rsidRPr="00670D5F">
        <w:rPr>
          <w:position w:val="-4"/>
          <w:lang w:val="en-GB"/>
        </w:rPr>
        <w:object w:dxaOrig="499" w:dyaOrig="260">
          <v:shape id="_x0000_i1062" type="#_x0000_t75" style="width:24.45pt;height:12.9pt" o:ole="">
            <v:imagedata r:id="rId66" o:title=""/>
          </v:shape>
          <o:OLEObject Type="Embed" ProgID="Equation.DSMT4" ShapeID="_x0000_i1062" DrawAspect="Content" ObjectID="_1451051912" r:id="rId80"/>
        </w:object>
      </w:r>
      <w:r w:rsidRPr="00670D5F">
        <w:rPr>
          <w:lang w:val="en-GB"/>
        </w:rPr>
        <w:t xml:space="preserve"> indicator and the </w:t>
      </w:r>
      <w:r w:rsidRPr="00670D5F">
        <w:rPr>
          <w:position w:val="-4"/>
          <w:lang w:val="en-GB"/>
        </w:rPr>
        <w:object w:dxaOrig="560" w:dyaOrig="260">
          <v:shape id="_x0000_i1063" type="#_x0000_t75" style="width:28.55pt;height:12.9pt" o:ole="">
            <v:imagedata r:id="rId69" o:title=""/>
          </v:shape>
          <o:OLEObject Type="Embed" ProgID="Equation.DSMT4" ShapeID="_x0000_i1063" DrawAspect="Content" ObjectID="_1451051913" r:id="rId81"/>
        </w:object>
      </w:r>
      <w:r>
        <w:rPr>
          <w:lang w:val="en-GB"/>
        </w:rPr>
        <w:t xml:space="preserve"> measure </w:t>
      </w:r>
      <w:r w:rsidRPr="00670D5F">
        <w:rPr>
          <w:lang w:val="en-GB"/>
        </w:rPr>
        <w:t>is that some prod</w:t>
      </w:r>
      <w:r>
        <w:rPr>
          <w:lang w:val="en-GB"/>
        </w:rPr>
        <w:t xml:space="preserve">ucts from the Construction sector are inputs and, </w:t>
      </w:r>
      <w:r w:rsidRPr="00670D5F">
        <w:rPr>
          <w:lang w:val="en-GB"/>
        </w:rPr>
        <w:t>at the same time</w:t>
      </w:r>
      <w:r>
        <w:rPr>
          <w:lang w:val="en-GB"/>
        </w:rPr>
        <w:t>,</w:t>
      </w:r>
      <w:r w:rsidRPr="00670D5F">
        <w:rPr>
          <w:lang w:val="en-GB"/>
        </w:rPr>
        <w:t xml:space="preserve"> outputs</w:t>
      </w:r>
      <w:r>
        <w:rPr>
          <w:lang w:val="en-GB"/>
        </w:rPr>
        <w:t xml:space="preserve"> of this sector</w:t>
      </w:r>
      <w:r w:rsidRPr="00670D5F">
        <w:rPr>
          <w:lang w:val="en-GB"/>
        </w:rPr>
        <w:t xml:space="preserve">, i.e. </w:t>
      </w:r>
      <w:r>
        <w:rPr>
          <w:lang w:val="en-GB"/>
        </w:rPr>
        <w:t xml:space="preserve">Construction products like engineering and construction equipment are needed to construct </w:t>
      </w:r>
      <w:r w:rsidRPr="00670D5F">
        <w:rPr>
          <w:lang w:val="en-GB"/>
        </w:rPr>
        <w:t>buildings</w:t>
      </w:r>
      <w:r>
        <w:rPr>
          <w:lang w:val="en-GB"/>
        </w:rPr>
        <w:t>.</w:t>
      </w:r>
      <w:r w:rsidRPr="00670D5F">
        <w:rPr>
          <w:lang w:val="en-GB"/>
        </w:rPr>
        <w:t xml:space="preserve"> Furthermore, even for certain production units the </w:t>
      </w:r>
      <w:r>
        <w:rPr>
          <w:lang w:val="en-GB"/>
        </w:rPr>
        <w:t xml:space="preserve">influence of these internal linkages completely alters the </w:t>
      </w:r>
      <w:r w:rsidRPr="00670D5F">
        <w:rPr>
          <w:lang w:val="en-GB"/>
        </w:rPr>
        <w:t>classification as key-backward sector</w:t>
      </w:r>
      <w:r w:rsidRPr="00375BE9">
        <w:rPr>
          <w:lang w:val="en-GB"/>
        </w:rPr>
        <w:t>s</w:t>
      </w:r>
      <w:r>
        <w:rPr>
          <w:lang w:val="en-GB"/>
        </w:rPr>
        <w:t xml:space="preserve">. This is for instance </w:t>
      </w:r>
      <w:r w:rsidRPr="00670D5F">
        <w:rPr>
          <w:lang w:val="en-GB"/>
        </w:rPr>
        <w:t xml:space="preserve">the case of </w:t>
      </w:r>
      <w:r w:rsidRPr="002457EB">
        <w:rPr>
          <w:iCs/>
          <w:lang w:val="en-GB"/>
        </w:rPr>
        <w:t>Transport</w:t>
      </w:r>
      <w:r w:rsidRPr="00670D5F">
        <w:rPr>
          <w:i/>
          <w:iCs/>
          <w:lang w:val="en-GB"/>
        </w:rPr>
        <w:t xml:space="preserve"> </w:t>
      </w:r>
      <w:r w:rsidRPr="00670D5F">
        <w:rPr>
          <w:iCs/>
          <w:lang w:val="en-GB"/>
        </w:rPr>
        <w:t>services</w:t>
      </w:r>
      <w:r w:rsidRPr="00670D5F">
        <w:rPr>
          <w:i/>
          <w:iCs/>
          <w:lang w:val="en-GB"/>
        </w:rPr>
        <w:t xml:space="preserve"> </w:t>
      </w:r>
      <w:r>
        <w:rPr>
          <w:lang w:val="en-GB"/>
        </w:rPr>
        <w:t xml:space="preserve">(Sector number </w:t>
      </w:r>
      <w:r w:rsidRPr="002457EB">
        <w:rPr>
          <w:b/>
          <w:lang w:val="en-GB"/>
        </w:rPr>
        <w:t>30</w:t>
      </w:r>
      <w:r>
        <w:rPr>
          <w:b/>
          <w:bCs/>
          <w:sz w:val="20"/>
          <w:szCs w:val="20"/>
          <w:lang w:val="en-GB"/>
        </w:rPr>
        <w:t>)</w:t>
      </w:r>
      <w:r w:rsidRPr="00670D5F">
        <w:rPr>
          <w:b/>
          <w:bCs/>
          <w:sz w:val="20"/>
          <w:szCs w:val="20"/>
          <w:lang w:val="en-GB"/>
        </w:rPr>
        <w:t xml:space="preserve"> </w:t>
      </w:r>
      <w:r w:rsidRPr="00670D5F">
        <w:rPr>
          <w:bCs/>
          <w:lang w:val="en-GB"/>
        </w:rPr>
        <w:t xml:space="preserve">since most transport services are multimodal </w:t>
      </w:r>
      <w:r w:rsidRPr="00670D5F">
        <w:rPr>
          <w:lang w:val="en-GB"/>
        </w:rPr>
        <w:t xml:space="preserve">and </w:t>
      </w:r>
      <w:r w:rsidRPr="002457EB">
        <w:rPr>
          <w:iCs/>
          <w:lang w:val="en-GB"/>
        </w:rPr>
        <w:t>Motor Vehicles</w:t>
      </w:r>
      <w:r w:rsidRPr="002457EB">
        <w:rPr>
          <w:lang w:val="en-GB"/>
        </w:rPr>
        <w:t xml:space="preserve"> </w:t>
      </w:r>
      <w:r>
        <w:rPr>
          <w:lang w:val="en-GB"/>
        </w:rPr>
        <w:t>i</w:t>
      </w:r>
      <w:r w:rsidRPr="00670D5F">
        <w:rPr>
          <w:lang w:val="en-GB"/>
        </w:rPr>
        <w:t>ndustry</w:t>
      </w:r>
      <w:r>
        <w:rPr>
          <w:lang w:val="en-GB"/>
        </w:rPr>
        <w:t xml:space="preserve"> (Sector number </w:t>
      </w:r>
      <w:r w:rsidRPr="002457EB">
        <w:rPr>
          <w:b/>
          <w:lang w:val="en-GB"/>
        </w:rPr>
        <w:t>22</w:t>
      </w:r>
      <w:r>
        <w:rPr>
          <w:b/>
          <w:bCs/>
          <w:sz w:val="20"/>
          <w:szCs w:val="20"/>
          <w:lang w:val="en-GB"/>
        </w:rPr>
        <w:t>)</w:t>
      </w:r>
      <w:r w:rsidRPr="00670D5F">
        <w:rPr>
          <w:b/>
          <w:bCs/>
          <w:sz w:val="20"/>
          <w:szCs w:val="20"/>
          <w:lang w:val="en-GB"/>
        </w:rPr>
        <w:t xml:space="preserve"> </w:t>
      </w:r>
      <w:r w:rsidRPr="00670D5F">
        <w:rPr>
          <w:bCs/>
          <w:lang w:val="en-GB"/>
        </w:rPr>
        <w:t>where similar justifications as those outlined for the Construction sector may be applied</w:t>
      </w:r>
      <w:r w:rsidRPr="00670D5F">
        <w:rPr>
          <w:lang w:val="en-GB"/>
        </w:rPr>
        <w:t>.</w:t>
      </w:r>
      <w:r w:rsidRPr="002B4F7A">
        <w:rPr>
          <w:lang w:val="en-GB"/>
        </w:rPr>
        <w:t xml:space="preserve"> </w:t>
      </w:r>
    </w:p>
    <w:p w:rsidR="001A0A7E" w:rsidRPr="006B36FE" w:rsidRDefault="001A0A7E" w:rsidP="001A0A7E">
      <w:pPr>
        <w:pStyle w:val="NormalWeb"/>
        <w:spacing w:line="360" w:lineRule="auto"/>
        <w:ind w:firstLine="709"/>
        <w:jc w:val="both"/>
        <w:rPr>
          <w:lang w:val="en-US"/>
        </w:rPr>
      </w:pPr>
      <w:r>
        <w:rPr>
          <w:lang w:val="en-GB"/>
        </w:rPr>
        <w:t>I</w:t>
      </w:r>
      <w:r w:rsidRPr="002A6570">
        <w:rPr>
          <w:lang w:val="en-GB"/>
        </w:rPr>
        <w:t xml:space="preserve">n most cases, </w:t>
      </w:r>
      <w:r>
        <w:rPr>
          <w:lang w:val="en-GB"/>
        </w:rPr>
        <w:t xml:space="preserve">however, </w:t>
      </w:r>
      <w:r w:rsidRPr="002A6570">
        <w:rPr>
          <w:lang w:val="en-GB"/>
        </w:rPr>
        <w:t>those sectors that are key-backward sectors</w:t>
      </w:r>
      <w:r>
        <w:rPr>
          <w:lang w:val="en-GB"/>
        </w:rPr>
        <w:t xml:space="preserve"> under the CMM criterion</w:t>
      </w:r>
      <w:r w:rsidRPr="002A6570">
        <w:rPr>
          <w:lang w:val="en-GB"/>
        </w:rPr>
        <w:t xml:space="preserve"> turn out to be also identified as such</w:t>
      </w:r>
      <w:r>
        <w:rPr>
          <w:lang w:val="en-GB"/>
        </w:rPr>
        <w:t xml:space="preserve"> under </w:t>
      </w:r>
      <w:proofErr w:type="spellStart"/>
      <w:r>
        <w:rPr>
          <w:lang w:val="en-GB"/>
        </w:rPr>
        <w:t>Cella’s</w:t>
      </w:r>
      <w:proofErr w:type="spellEnd"/>
      <w:r>
        <w:rPr>
          <w:lang w:val="en-GB"/>
        </w:rPr>
        <w:t xml:space="preserve"> HEM criterion</w:t>
      </w:r>
      <w:r w:rsidRPr="002A6570">
        <w:rPr>
          <w:lang w:val="en-GB"/>
        </w:rPr>
        <w:t xml:space="preserve">, </w:t>
      </w:r>
      <w:r>
        <w:rPr>
          <w:lang w:val="en-GB"/>
        </w:rPr>
        <w:t>al</w:t>
      </w:r>
      <w:r w:rsidRPr="002A6570">
        <w:rPr>
          <w:lang w:val="en-GB"/>
        </w:rPr>
        <w:t xml:space="preserve">though with a different order. This finding is not </w:t>
      </w:r>
      <w:r>
        <w:rPr>
          <w:lang w:val="en-GB"/>
        </w:rPr>
        <w:t xml:space="preserve">a </w:t>
      </w:r>
      <w:r w:rsidRPr="002A6570">
        <w:rPr>
          <w:lang w:val="en-GB"/>
        </w:rPr>
        <w:t>mere coincidence but rather, as pointed out in Section 2, is due to the indir</w:t>
      </w:r>
      <w:r>
        <w:rPr>
          <w:lang w:val="en-GB"/>
        </w:rPr>
        <w:t xml:space="preserve">ect positive effect that strong internal industrial linkages have over external industrial dependencies. As a result, </w:t>
      </w:r>
      <w:r w:rsidRPr="002A6570">
        <w:rPr>
          <w:lang w:val="en-GB"/>
        </w:rPr>
        <w:t>external effects matter for sector “</w:t>
      </w:r>
      <w:proofErr w:type="spellStart"/>
      <w:r w:rsidRPr="002A6570">
        <w:rPr>
          <w:lang w:val="en-GB"/>
        </w:rPr>
        <w:t>keyness</w:t>
      </w:r>
      <w:proofErr w:type="spellEnd"/>
      <w:r w:rsidRPr="002A6570">
        <w:rPr>
          <w:lang w:val="en-GB"/>
        </w:rPr>
        <w:t>”</w:t>
      </w:r>
      <w:r>
        <w:rPr>
          <w:lang w:val="en-GB"/>
        </w:rPr>
        <w:t xml:space="preserve">, but those internal </w:t>
      </w:r>
      <w:r w:rsidRPr="002A6570">
        <w:rPr>
          <w:lang w:val="en-GB"/>
        </w:rPr>
        <w:t xml:space="preserve">interdependencies </w:t>
      </w:r>
      <w:r>
        <w:rPr>
          <w:lang w:val="en-GB"/>
        </w:rPr>
        <w:t xml:space="preserve">that stem from own intermediate demand </w:t>
      </w:r>
      <w:r w:rsidRPr="002A6570">
        <w:rPr>
          <w:lang w:val="en-GB"/>
        </w:rPr>
        <w:t xml:space="preserve">matter too since the latter positively stimulates the former. In connecting our findings to those in the excellent analysis carried out by </w:t>
      </w:r>
      <w:proofErr w:type="spellStart"/>
      <w:r w:rsidRPr="002A6570">
        <w:rPr>
          <w:lang w:val="en-GB"/>
        </w:rPr>
        <w:t>Temurshoev</w:t>
      </w:r>
      <w:proofErr w:type="spellEnd"/>
      <w:r w:rsidRPr="002A6570">
        <w:rPr>
          <w:lang w:val="en-GB"/>
        </w:rPr>
        <w:t xml:space="preserve"> (2010), despite our different extraction approach</w:t>
      </w:r>
      <w:r w:rsidRPr="002A6570">
        <w:rPr>
          <w:rStyle w:val="Refdenotaalpie"/>
        </w:rPr>
        <w:footnoteReference w:id="10"/>
      </w:r>
      <w:r w:rsidRPr="002A6570">
        <w:rPr>
          <w:lang w:val="en-GB"/>
        </w:rPr>
        <w:t>, some of his conclusions could also be applied</w:t>
      </w:r>
      <w:r>
        <w:rPr>
          <w:lang w:val="en-GB"/>
        </w:rPr>
        <w:t xml:space="preserve"> here</w:t>
      </w:r>
      <w:r w:rsidRPr="002A6570">
        <w:rPr>
          <w:lang w:val="en-GB"/>
        </w:rPr>
        <w:t xml:space="preserve">. </w:t>
      </w:r>
      <w:r>
        <w:rPr>
          <w:lang w:val="en-GB"/>
        </w:rPr>
        <w:t xml:space="preserve"> </w:t>
      </w:r>
    </w:p>
    <w:p w:rsidR="001A0A7E" w:rsidRDefault="001A0A7E" w:rsidP="001A0A7E">
      <w:pPr>
        <w:pStyle w:val="NormalWeb"/>
        <w:spacing w:line="360" w:lineRule="auto"/>
        <w:ind w:firstLine="709"/>
        <w:jc w:val="both"/>
        <w:rPr>
          <w:iCs/>
          <w:lang w:val="en-GB"/>
        </w:rPr>
      </w:pPr>
      <w:r>
        <w:rPr>
          <w:lang w:val="en-GB"/>
        </w:rPr>
        <w:lastRenderedPageBreak/>
        <w:t>W</w:t>
      </w:r>
      <w:r w:rsidRPr="002A6570">
        <w:rPr>
          <w:lang w:val="en-GB"/>
        </w:rPr>
        <w:t xml:space="preserve">e </w:t>
      </w:r>
      <w:r>
        <w:rPr>
          <w:lang w:val="en-GB"/>
        </w:rPr>
        <w:t xml:space="preserve">now </w:t>
      </w:r>
      <w:r w:rsidRPr="002A6570">
        <w:rPr>
          <w:lang w:val="en-GB"/>
        </w:rPr>
        <w:t xml:space="preserve">highlight the usefulness of combining the two “pure” methodologies through our proposed “hybrid” approach for the study of energy efficiency policies in the context of the Spanish economy. </w:t>
      </w:r>
      <w:r>
        <w:rPr>
          <w:lang w:val="en-GB"/>
        </w:rPr>
        <w:t xml:space="preserve">These policies are currently focused at increasing efficiency levels in the intermediate use of </w:t>
      </w:r>
      <w:r w:rsidRPr="002457EB">
        <w:rPr>
          <w:lang w:val="en-GB"/>
        </w:rPr>
        <w:t>Electricity (</w:t>
      </w:r>
      <w:r>
        <w:rPr>
          <w:lang w:val="en-GB"/>
        </w:rPr>
        <w:t xml:space="preserve">Sector number </w:t>
      </w:r>
      <w:r w:rsidRPr="002457EB">
        <w:rPr>
          <w:b/>
          <w:lang w:val="en-GB"/>
        </w:rPr>
        <w:t>06</w:t>
      </w:r>
      <w:r w:rsidRPr="002457EB">
        <w:rPr>
          <w:lang w:val="en-GB"/>
        </w:rPr>
        <w:t>)</w:t>
      </w:r>
      <w:r>
        <w:rPr>
          <w:lang w:val="en-GB"/>
        </w:rPr>
        <w:t xml:space="preserve"> as an input. The reason is that the size of the external spreading out effects, as captured by the </w:t>
      </w:r>
      <w:r w:rsidRPr="00C06213">
        <w:rPr>
          <w:b/>
          <w:lang w:val="en-GB"/>
        </w:rPr>
        <w:t>EBL</w:t>
      </w:r>
      <w:r>
        <w:rPr>
          <w:lang w:val="en-GB"/>
        </w:rPr>
        <w:t xml:space="preserve"> indicator, is larger than those of the other energy </w:t>
      </w:r>
      <w:r w:rsidRPr="00375BE9">
        <w:rPr>
          <w:lang w:val="en-GB"/>
        </w:rPr>
        <w:t>related sectors, namely, Mining and</w:t>
      </w:r>
      <w:r>
        <w:rPr>
          <w:lang w:val="en-GB"/>
        </w:rPr>
        <w:t xml:space="preserve"> quarrying industry (Sector number</w:t>
      </w:r>
      <w:r w:rsidRPr="00375BE9">
        <w:rPr>
          <w:lang w:val="en-GB"/>
        </w:rPr>
        <w:t xml:space="preserve"> </w:t>
      </w:r>
      <w:r w:rsidRPr="00375BE9">
        <w:rPr>
          <w:b/>
          <w:lang w:val="en-GB"/>
        </w:rPr>
        <w:t>04</w:t>
      </w:r>
      <w:r w:rsidRPr="00375BE9">
        <w:rPr>
          <w:lang w:val="en-GB"/>
        </w:rPr>
        <w:t>)</w:t>
      </w:r>
      <w:r w:rsidRPr="00375BE9">
        <w:rPr>
          <w:i/>
          <w:lang w:val="en-GB"/>
        </w:rPr>
        <w:t xml:space="preserve">, </w:t>
      </w:r>
      <w:r w:rsidRPr="00375BE9">
        <w:rPr>
          <w:lang w:val="en-GB"/>
        </w:rPr>
        <w:t xml:space="preserve">that includes energy extractive industries, the Production and </w:t>
      </w:r>
      <w:r>
        <w:rPr>
          <w:lang w:val="en-GB"/>
        </w:rPr>
        <w:t>Distribution of gas (Sector number</w:t>
      </w:r>
      <w:r w:rsidRPr="00375BE9">
        <w:rPr>
          <w:lang w:val="en-GB"/>
        </w:rPr>
        <w:t xml:space="preserve"> </w:t>
      </w:r>
      <w:r w:rsidRPr="00375BE9">
        <w:rPr>
          <w:b/>
          <w:lang w:val="en-GB"/>
        </w:rPr>
        <w:t>07</w:t>
      </w:r>
      <w:r w:rsidRPr="00375BE9">
        <w:rPr>
          <w:lang w:val="en-GB"/>
        </w:rPr>
        <w:t xml:space="preserve">) </w:t>
      </w:r>
      <w:r w:rsidRPr="00375BE9">
        <w:rPr>
          <w:i/>
          <w:lang w:val="en-GB"/>
        </w:rPr>
        <w:t xml:space="preserve">, </w:t>
      </w:r>
      <w:r w:rsidRPr="00375BE9">
        <w:rPr>
          <w:lang w:val="en-GB"/>
        </w:rPr>
        <w:t>and the Coke, refined petroleum and nuclear</w:t>
      </w:r>
      <w:r>
        <w:rPr>
          <w:lang w:val="en-GB"/>
        </w:rPr>
        <w:t xml:space="preserve"> products industry (Sector number </w:t>
      </w:r>
      <w:r w:rsidRPr="00375BE9">
        <w:rPr>
          <w:b/>
          <w:lang w:val="en-GB"/>
        </w:rPr>
        <w:t>05</w:t>
      </w:r>
      <w:r w:rsidRPr="00375BE9">
        <w:rPr>
          <w:lang w:val="en-GB"/>
        </w:rPr>
        <w:t>) .</w:t>
      </w:r>
      <w:r>
        <w:rPr>
          <w:lang w:val="en-GB"/>
        </w:rPr>
        <w:t>The strong ext</w:t>
      </w:r>
      <w:r w:rsidRPr="00AA6467">
        <w:rPr>
          <w:lang w:val="en-GB"/>
        </w:rPr>
        <w:t xml:space="preserve">ernal backward linkages of the electricity sector favour the transmission of efficiency gains in a more balanced way since its suppliers of intermediate inputs </w:t>
      </w:r>
      <w:r>
        <w:rPr>
          <w:lang w:val="en-GB"/>
        </w:rPr>
        <w:t>also</w:t>
      </w:r>
      <w:r w:rsidRPr="00AA6467">
        <w:rPr>
          <w:lang w:val="en-GB"/>
        </w:rPr>
        <w:t xml:space="preserve"> use electricity resources in their production process</w:t>
      </w:r>
      <w:r>
        <w:rPr>
          <w:lang w:val="en-GB"/>
        </w:rPr>
        <w:t>.</w:t>
      </w:r>
      <w:r w:rsidRPr="00AA6467">
        <w:rPr>
          <w:lang w:val="en-GB"/>
        </w:rPr>
        <w:t xml:space="preserve"> </w:t>
      </w:r>
      <w:r w:rsidRPr="0018435C">
        <w:rPr>
          <w:lang w:val="en-GB"/>
        </w:rPr>
        <w:t xml:space="preserve">In addition, the </w:t>
      </w:r>
      <w:r w:rsidRPr="00190BE1">
        <w:rPr>
          <w:lang w:val="en-GB"/>
        </w:rPr>
        <w:t xml:space="preserve">Electricity </w:t>
      </w:r>
      <w:r w:rsidRPr="0018435C">
        <w:rPr>
          <w:lang w:val="en-GB"/>
        </w:rPr>
        <w:t>sector</w:t>
      </w:r>
      <w:r>
        <w:rPr>
          <w:lang w:val="en-GB"/>
        </w:rPr>
        <w:t xml:space="preserve"> </w:t>
      </w:r>
      <w:r w:rsidRPr="0018435C">
        <w:rPr>
          <w:iCs/>
          <w:lang w:val="en-GB"/>
        </w:rPr>
        <w:t xml:space="preserve">also presents the strongest </w:t>
      </w:r>
      <w:r w:rsidRPr="0018435C">
        <w:rPr>
          <w:position w:val="-4"/>
          <w:lang w:val="en-GB"/>
        </w:rPr>
        <w:object w:dxaOrig="499" w:dyaOrig="260">
          <v:shape id="_x0000_i1064" type="#_x0000_t75" style="width:25.8pt;height:12.9pt" o:ole="">
            <v:imagedata r:id="rId82" o:title=""/>
          </v:shape>
          <o:OLEObject Type="Embed" ProgID="Equation.DSMT4" ShapeID="_x0000_i1064" DrawAspect="Content" ObjectID="_1451051914" r:id="rId83"/>
        </w:object>
      </w:r>
      <w:r w:rsidRPr="0018435C">
        <w:rPr>
          <w:lang w:val="en-GB"/>
        </w:rPr>
        <w:t>indicator</w:t>
      </w:r>
      <w:r w:rsidRPr="0018435C">
        <w:rPr>
          <w:iCs/>
          <w:lang w:val="en-GB"/>
        </w:rPr>
        <w:t xml:space="preserve"> among all </w:t>
      </w:r>
      <w:r>
        <w:rPr>
          <w:iCs/>
          <w:lang w:val="en-GB"/>
        </w:rPr>
        <w:t xml:space="preserve">of the </w:t>
      </w:r>
      <w:r w:rsidRPr="0018435C">
        <w:rPr>
          <w:iCs/>
          <w:lang w:val="en-GB"/>
        </w:rPr>
        <w:t>energy related sectors</w:t>
      </w:r>
      <w:r>
        <w:rPr>
          <w:iCs/>
          <w:lang w:val="en-GB"/>
        </w:rPr>
        <w:t>.</w:t>
      </w:r>
    </w:p>
    <w:tbl>
      <w:tblPr>
        <w:tblpPr w:leftFromText="141" w:rightFromText="141" w:vertAnchor="text" w:horzAnchor="margin" w:tblpXSpec="center" w:tblpY="-824"/>
        <w:tblW w:w="10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08"/>
        <w:gridCol w:w="1540"/>
        <w:gridCol w:w="1540"/>
        <w:gridCol w:w="1261"/>
        <w:gridCol w:w="1435"/>
      </w:tblGrid>
      <w:tr w:rsidR="001A0A7E" w:rsidRPr="000A6A01" w:rsidTr="00267145">
        <w:trPr>
          <w:trHeight w:val="416"/>
        </w:trPr>
        <w:tc>
          <w:tcPr>
            <w:tcW w:w="10084" w:type="dxa"/>
            <w:gridSpan w:val="5"/>
          </w:tcPr>
          <w:p w:rsidR="001A0A7E" w:rsidRPr="000A6A01" w:rsidRDefault="001A0A7E" w:rsidP="00267145">
            <w:pPr>
              <w:spacing w:after="0" w:line="240" w:lineRule="auto"/>
              <w:contextualSpacing/>
              <w:jc w:val="center"/>
              <w:rPr>
                <w:rFonts w:ascii="Times New Roman" w:hAnsi="Times New Roman" w:cs="Times New Roman"/>
                <w:b/>
                <w:bCs/>
                <w:sz w:val="18"/>
                <w:szCs w:val="18"/>
                <w:lang w:val="en-GB"/>
              </w:rPr>
            </w:pPr>
            <w:r w:rsidRPr="000A6A01">
              <w:rPr>
                <w:rFonts w:ascii="Times New Roman" w:hAnsi="Times New Roman" w:cs="Times New Roman"/>
                <w:b/>
                <w:bCs/>
                <w:sz w:val="18"/>
                <w:szCs w:val="18"/>
                <w:lang w:val="en-GB"/>
              </w:rPr>
              <w:lastRenderedPageBreak/>
              <w:t>Table 2:Distribution of the Total and External Backward Indicators of the Electricity Sector</w:t>
            </w:r>
            <w:r w:rsidRPr="000A6A01">
              <w:rPr>
                <w:rFonts w:ascii="Times New Roman" w:hAnsi="Times New Roman" w:cs="Times New Roman"/>
                <w:b/>
                <w:bCs/>
                <w:sz w:val="18"/>
                <w:szCs w:val="18"/>
                <w:vertAlign w:val="superscript"/>
                <w:lang w:val="en-GB"/>
              </w:rPr>
              <w:t>*</w:t>
            </w:r>
            <w:r w:rsidRPr="000A6A01">
              <w:rPr>
                <w:rFonts w:ascii="Times New Roman" w:hAnsi="Times New Roman" w:cs="Times New Roman"/>
                <w:b/>
                <w:bCs/>
                <w:sz w:val="18"/>
                <w:szCs w:val="18"/>
                <w:lang w:val="en-GB"/>
              </w:rPr>
              <w:t xml:space="preserve">: </w:t>
            </w:r>
          </w:p>
          <w:p w:rsidR="001A0A7E" w:rsidRPr="000A6A01" w:rsidRDefault="001A0A7E" w:rsidP="00267145">
            <w:pPr>
              <w:spacing w:after="0" w:line="240" w:lineRule="auto"/>
              <w:contextualSpacing/>
              <w:jc w:val="center"/>
              <w:rPr>
                <w:rFonts w:ascii="Times New Roman" w:hAnsi="Times New Roman" w:cs="Times New Roman"/>
                <w:sz w:val="18"/>
                <w:szCs w:val="18"/>
                <w:lang w:val="en-US"/>
              </w:rPr>
            </w:pPr>
            <w:r w:rsidRPr="000A6A01">
              <w:rPr>
                <w:rFonts w:ascii="Times New Roman" w:hAnsi="Times New Roman" w:cs="Times New Roman"/>
                <w:b/>
                <w:bCs/>
                <w:sz w:val="18"/>
                <w:szCs w:val="18"/>
                <w:lang w:val="en-GB"/>
              </w:rPr>
              <w:t>Symmetric I-O Table for Spain. 2007</w:t>
            </w:r>
          </w:p>
        </w:tc>
      </w:tr>
      <w:tr w:rsidR="001A0A7E" w:rsidRPr="004702D5" w:rsidTr="00267145">
        <w:trPr>
          <w:trHeight w:val="702"/>
        </w:trPr>
        <w:tc>
          <w:tcPr>
            <w:tcW w:w="4308" w:type="dxa"/>
            <w:vMerge w:val="restart"/>
          </w:tcPr>
          <w:p w:rsidR="001A0A7E" w:rsidRPr="000A6A01" w:rsidRDefault="001A0A7E" w:rsidP="00267145">
            <w:pPr>
              <w:spacing w:after="0" w:line="240" w:lineRule="auto"/>
              <w:contextualSpacing/>
              <w:jc w:val="center"/>
              <w:rPr>
                <w:rFonts w:ascii="Times New Roman" w:hAnsi="Times New Roman" w:cs="Times New Roman"/>
                <w:b/>
                <w:bCs/>
                <w:sz w:val="18"/>
                <w:szCs w:val="18"/>
                <w:lang w:val="en-US"/>
              </w:rPr>
            </w:pPr>
          </w:p>
          <w:p w:rsidR="001A0A7E" w:rsidRPr="000A6A01" w:rsidRDefault="001A0A7E" w:rsidP="00267145">
            <w:pPr>
              <w:spacing w:after="0" w:line="240" w:lineRule="auto"/>
              <w:contextualSpacing/>
              <w:jc w:val="center"/>
              <w:rPr>
                <w:rFonts w:ascii="Times New Roman" w:hAnsi="Times New Roman" w:cs="Times New Roman"/>
                <w:b/>
                <w:bCs/>
                <w:sz w:val="18"/>
                <w:szCs w:val="18"/>
                <w:lang w:val="en-US"/>
              </w:rPr>
            </w:pPr>
          </w:p>
          <w:p w:rsidR="001A0A7E" w:rsidRPr="000A6A01" w:rsidRDefault="001A0A7E" w:rsidP="00267145">
            <w:pPr>
              <w:spacing w:after="0" w:line="240" w:lineRule="auto"/>
              <w:contextualSpacing/>
              <w:jc w:val="center"/>
              <w:rPr>
                <w:rFonts w:ascii="Times New Roman" w:hAnsi="Times New Roman" w:cs="Times New Roman"/>
                <w:b/>
                <w:bCs/>
                <w:sz w:val="18"/>
                <w:szCs w:val="18"/>
                <w:lang w:val="en-US"/>
              </w:rPr>
            </w:pPr>
            <w:proofErr w:type="spellStart"/>
            <w:r w:rsidRPr="000A6A01">
              <w:rPr>
                <w:rFonts w:ascii="Times New Roman" w:hAnsi="Times New Roman" w:cs="Times New Roman"/>
                <w:b/>
                <w:bCs/>
                <w:sz w:val="18"/>
                <w:szCs w:val="18"/>
              </w:rPr>
              <w:t>Sectors</w:t>
            </w:r>
            <w:proofErr w:type="spellEnd"/>
            <w:r w:rsidRPr="000A6A01">
              <w:rPr>
                <w:rFonts w:ascii="Times New Roman" w:hAnsi="Times New Roman" w:cs="Times New Roman"/>
                <w:b/>
                <w:bCs/>
                <w:sz w:val="18"/>
                <w:szCs w:val="18"/>
              </w:rPr>
              <w:t xml:space="preserve"> </w:t>
            </w:r>
          </w:p>
        </w:tc>
        <w:tc>
          <w:tcPr>
            <w:tcW w:w="3080" w:type="dxa"/>
            <w:gridSpan w:val="2"/>
          </w:tcPr>
          <w:p w:rsidR="001A0A7E" w:rsidRPr="000A6A01" w:rsidRDefault="001A0A7E" w:rsidP="00267145">
            <w:pPr>
              <w:spacing w:after="0" w:line="240" w:lineRule="auto"/>
              <w:contextualSpacing/>
              <w:jc w:val="center"/>
              <w:rPr>
                <w:rFonts w:ascii="Times New Roman" w:hAnsi="Times New Roman" w:cs="Times New Roman"/>
                <w:b/>
                <w:sz w:val="18"/>
                <w:szCs w:val="18"/>
                <w:lang w:val="en-GB"/>
              </w:rPr>
            </w:pPr>
            <w:proofErr w:type="spellStart"/>
            <w:r w:rsidRPr="000A6A01">
              <w:rPr>
                <w:rFonts w:ascii="Times New Roman" w:hAnsi="Times New Roman" w:cs="Times New Roman"/>
                <w:b/>
                <w:sz w:val="18"/>
                <w:szCs w:val="18"/>
                <w:lang w:val="en-GB"/>
              </w:rPr>
              <w:t>Sectoral</w:t>
            </w:r>
            <w:proofErr w:type="spellEnd"/>
            <w:r w:rsidRPr="000A6A01">
              <w:rPr>
                <w:rFonts w:ascii="Times New Roman" w:hAnsi="Times New Roman" w:cs="Times New Roman"/>
                <w:b/>
                <w:sz w:val="18"/>
                <w:szCs w:val="18"/>
                <w:lang w:val="en-GB"/>
              </w:rPr>
              <w:t xml:space="preserve"> Distribution of </w:t>
            </w:r>
          </w:p>
          <w:p w:rsidR="001A0A7E" w:rsidRPr="000A6A01" w:rsidRDefault="001A0A7E" w:rsidP="00267145">
            <w:pPr>
              <w:spacing w:after="0" w:line="240" w:lineRule="auto"/>
              <w:contextualSpacing/>
              <w:jc w:val="center"/>
              <w:rPr>
                <w:rFonts w:ascii="Times New Roman" w:hAnsi="Times New Roman" w:cs="Times New Roman"/>
                <w:sz w:val="18"/>
                <w:szCs w:val="18"/>
                <w:lang w:val="en-US"/>
              </w:rPr>
            </w:pPr>
            <w:r w:rsidRPr="000A6A01">
              <w:rPr>
                <w:rFonts w:ascii="Times New Roman" w:hAnsi="Times New Roman" w:cs="Times New Roman"/>
                <w:b/>
                <w:sz w:val="18"/>
                <w:szCs w:val="18"/>
                <w:lang w:val="en-GB"/>
              </w:rPr>
              <w:t xml:space="preserve">the </w:t>
            </w:r>
            <w:r w:rsidRPr="000A6A01">
              <w:rPr>
                <w:rFonts w:ascii="Times New Roman" w:hAnsi="Times New Roman" w:cs="Times New Roman"/>
                <w:position w:val="-4"/>
                <w:sz w:val="18"/>
                <w:szCs w:val="18"/>
                <w:lang w:val="en-GB"/>
              </w:rPr>
              <w:object w:dxaOrig="560" w:dyaOrig="260">
                <v:shape id="_x0000_i1065" type="#_x0000_t75" style="width:28.55pt;height:12.9pt" o:ole="">
                  <v:imagedata r:id="rId84" o:title=""/>
                </v:shape>
                <o:OLEObject Type="Embed" ProgID="Equation.DSMT4" ShapeID="_x0000_i1065" DrawAspect="Content" ObjectID="_1451051915" r:id="rId85"/>
              </w:object>
            </w:r>
            <w:r w:rsidRPr="000A6A01">
              <w:rPr>
                <w:rFonts w:ascii="Times New Roman" w:hAnsi="Times New Roman" w:cs="Times New Roman"/>
                <w:sz w:val="18"/>
                <w:szCs w:val="18"/>
                <w:lang w:val="en-US"/>
              </w:rPr>
              <w:t>indicator of the Electricity Sector</w:t>
            </w:r>
          </w:p>
        </w:tc>
        <w:tc>
          <w:tcPr>
            <w:tcW w:w="2695" w:type="dxa"/>
            <w:gridSpan w:val="2"/>
          </w:tcPr>
          <w:p w:rsidR="001A0A7E" w:rsidRPr="000A6A01" w:rsidRDefault="001A0A7E" w:rsidP="00267145">
            <w:pPr>
              <w:spacing w:after="0" w:line="240" w:lineRule="auto"/>
              <w:contextualSpacing/>
              <w:jc w:val="center"/>
              <w:rPr>
                <w:rFonts w:ascii="Times New Roman" w:hAnsi="Times New Roman" w:cs="Times New Roman"/>
                <w:b/>
                <w:sz w:val="18"/>
                <w:szCs w:val="18"/>
                <w:lang w:val="en-GB"/>
              </w:rPr>
            </w:pPr>
            <w:proofErr w:type="spellStart"/>
            <w:r w:rsidRPr="000A6A01">
              <w:rPr>
                <w:rFonts w:ascii="Times New Roman" w:hAnsi="Times New Roman" w:cs="Times New Roman"/>
                <w:b/>
                <w:sz w:val="18"/>
                <w:szCs w:val="18"/>
                <w:lang w:val="en-GB"/>
              </w:rPr>
              <w:t>Sectoral</w:t>
            </w:r>
            <w:proofErr w:type="spellEnd"/>
            <w:r w:rsidRPr="000A6A01">
              <w:rPr>
                <w:rFonts w:ascii="Times New Roman" w:hAnsi="Times New Roman" w:cs="Times New Roman"/>
                <w:b/>
                <w:sz w:val="18"/>
                <w:szCs w:val="18"/>
                <w:lang w:val="en-GB"/>
              </w:rPr>
              <w:t xml:space="preserve"> Distribution of </w:t>
            </w:r>
          </w:p>
          <w:p w:rsidR="001A0A7E" w:rsidRPr="000A6A01" w:rsidRDefault="001A0A7E" w:rsidP="00267145">
            <w:pPr>
              <w:spacing w:after="0" w:line="240" w:lineRule="auto"/>
              <w:contextualSpacing/>
              <w:jc w:val="center"/>
              <w:rPr>
                <w:rFonts w:ascii="Times New Roman" w:hAnsi="Times New Roman" w:cs="Times New Roman"/>
                <w:sz w:val="18"/>
                <w:szCs w:val="18"/>
                <w:lang w:val="en-US"/>
              </w:rPr>
            </w:pPr>
            <w:r w:rsidRPr="000A6A01">
              <w:rPr>
                <w:rFonts w:ascii="Times New Roman" w:hAnsi="Times New Roman" w:cs="Times New Roman"/>
                <w:sz w:val="18"/>
                <w:szCs w:val="18"/>
                <w:lang w:val="en-US"/>
              </w:rPr>
              <w:t>the</w:t>
            </w:r>
            <w:r w:rsidRPr="000A6A01">
              <w:rPr>
                <w:rFonts w:ascii="Times New Roman" w:hAnsi="Times New Roman" w:cs="Times New Roman"/>
                <w:position w:val="-4"/>
                <w:sz w:val="18"/>
                <w:szCs w:val="18"/>
                <w:lang w:val="en-GB"/>
              </w:rPr>
              <w:object w:dxaOrig="560" w:dyaOrig="260">
                <v:shape id="_x0000_i1066" type="#_x0000_t75" style="width:28.55pt;height:12.9pt" o:ole="">
                  <v:imagedata r:id="rId86" o:title=""/>
                </v:shape>
                <o:OLEObject Type="Embed" ProgID="Equation.DSMT4" ShapeID="_x0000_i1066" DrawAspect="Content" ObjectID="_1451051916" r:id="rId87"/>
              </w:object>
            </w:r>
            <w:r w:rsidRPr="000A6A01">
              <w:rPr>
                <w:rFonts w:ascii="Times New Roman" w:hAnsi="Times New Roman" w:cs="Times New Roman"/>
                <w:sz w:val="18"/>
                <w:szCs w:val="18"/>
                <w:lang w:val="en-US"/>
              </w:rPr>
              <w:t>indicator of the</w:t>
            </w:r>
          </w:p>
          <w:p w:rsidR="001A0A7E" w:rsidRPr="000A6A01" w:rsidRDefault="001A0A7E" w:rsidP="00267145">
            <w:pPr>
              <w:spacing w:after="0" w:line="240" w:lineRule="auto"/>
              <w:contextualSpacing/>
              <w:jc w:val="center"/>
              <w:rPr>
                <w:rFonts w:ascii="Times New Roman" w:hAnsi="Times New Roman" w:cs="Times New Roman"/>
                <w:sz w:val="18"/>
                <w:szCs w:val="18"/>
                <w:lang w:val="en-US"/>
              </w:rPr>
            </w:pPr>
            <w:r w:rsidRPr="000A6A01">
              <w:rPr>
                <w:rFonts w:ascii="Times New Roman" w:hAnsi="Times New Roman" w:cs="Times New Roman"/>
                <w:sz w:val="18"/>
                <w:szCs w:val="18"/>
                <w:lang w:val="en-US"/>
              </w:rPr>
              <w:t>Electricity Sector</w:t>
            </w:r>
          </w:p>
        </w:tc>
      </w:tr>
      <w:tr w:rsidR="001A0A7E" w:rsidRPr="000A6A01" w:rsidTr="00267145">
        <w:trPr>
          <w:trHeight w:val="143"/>
        </w:trPr>
        <w:tc>
          <w:tcPr>
            <w:tcW w:w="4308" w:type="dxa"/>
            <w:vMerge/>
            <w:shd w:val="clear" w:color="auto" w:fill="B3B3B3"/>
          </w:tcPr>
          <w:p w:rsidR="001A0A7E" w:rsidRPr="000A6A01" w:rsidRDefault="001A0A7E" w:rsidP="00267145">
            <w:pPr>
              <w:spacing w:after="0" w:line="240" w:lineRule="auto"/>
              <w:contextualSpacing/>
              <w:jc w:val="center"/>
              <w:rPr>
                <w:rFonts w:ascii="Times New Roman" w:hAnsi="Times New Roman" w:cs="Times New Roman"/>
                <w:b/>
                <w:bCs/>
                <w:sz w:val="18"/>
                <w:szCs w:val="18"/>
                <w:lang w:val="en-GB"/>
              </w:rPr>
            </w:pPr>
          </w:p>
        </w:tc>
        <w:tc>
          <w:tcPr>
            <w:tcW w:w="1540" w:type="dxa"/>
            <w:shd w:val="clear" w:color="auto" w:fill="CCCCCC"/>
          </w:tcPr>
          <w:p w:rsidR="001A0A7E" w:rsidRPr="000A6A01" w:rsidRDefault="001A0A7E" w:rsidP="00267145">
            <w:pPr>
              <w:spacing w:after="0" w:line="240" w:lineRule="auto"/>
              <w:contextualSpacing/>
              <w:jc w:val="center"/>
              <w:rPr>
                <w:rFonts w:ascii="Times New Roman" w:hAnsi="Times New Roman" w:cs="Times New Roman"/>
                <w:sz w:val="18"/>
                <w:szCs w:val="18"/>
              </w:rPr>
            </w:pPr>
            <w:r w:rsidRPr="000A6A01">
              <w:rPr>
                <w:rFonts w:ascii="Times New Roman" w:hAnsi="Times New Roman" w:cs="Times New Roman"/>
                <w:position w:val="-4"/>
                <w:sz w:val="18"/>
                <w:szCs w:val="18"/>
              </w:rPr>
              <w:object w:dxaOrig="880" w:dyaOrig="300">
                <v:shape id="_x0000_i1067" type="#_x0000_t75" style="width:44.15pt;height:14.95pt" o:ole="">
                  <v:imagedata r:id="rId88" o:title=""/>
                </v:shape>
                <o:OLEObject Type="Embed" ProgID="Equation.DSMT4" ShapeID="_x0000_i1067" DrawAspect="Content" ObjectID="_1451051917" r:id="rId89"/>
              </w:object>
            </w:r>
          </w:p>
        </w:tc>
        <w:tc>
          <w:tcPr>
            <w:tcW w:w="1540" w:type="dxa"/>
            <w:shd w:val="clear" w:color="auto" w:fill="CCCCCC"/>
          </w:tcPr>
          <w:p w:rsidR="001A0A7E" w:rsidRPr="000A6A01" w:rsidRDefault="001A0A7E" w:rsidP="00267145">
            <w:pPr>
              <w:spacing w:after="0" w:line="240" w:lineRule="auto"/>
              <w:contextualSpacing/>
              <w:jc w:val="center"/>
              <w:rPr>
                <w:rFonts w:ascii="Times New Roman" w:hAnsi="Times New Roman" w:cs="Times New Roman"/>
                <w:sz w:val="18"/>
                <w:szCs w:val="18"/>
              </w:rPr>
            </w:pPr>
            <w:r w:rsidRPr="000A6A01">
              <w:rPr>
                <w:rFonts w:ascii="Times New Roman" w:hAnsi="Times New Roman" w:cs="Times New Roman"/>
                <w:position w:val="-4"/>
                <w:sz w:val="18"/>
                <w:szCs w:val="18"/>
              </w:rPr>
              <w:object w:dxaOrig="880" w:dyaOrig="300">
                <v:shape id="_x0000_i1068" type="#_x0000_t75" style="width:44.15pt;height:14.95pt" o:ole="">
                  <v:imagedata r:id="rId90" o:title=""/>
                </v:shape>
                <o:OLEObject Type="Embed" ProgID="Equation.DSMT4" ShapeID="_x0000_i1068" DrawAspect="Content" ObjectID="_1451051918" r:id="rId91"/>
              </w:object>
            </w:r>
            <w:r w:rsidRPr="000A6A01">
              <w:rPr>
                <w:rFonts w:ascii="Times New Roman" w:hAnsi="Times New Roman" w:cs="Times New Roman"/>
                <w:sz w:val="18"/>
                <w:szCs w:val="18"/>
              </w:rPr>
              <w:t>%</w:t>
            </w:r>
          </w:p>
        </w:tc>
        <w:tc>
          <w:tcPr>
            <w:tcW w:w="1261" w:type="dxa"/>
            <w:shd w:val="clear" w:color="auto" w:fill="CCCCCC"/>
          </w:tcPr>
          <w:p w:rsidR="001A0A7E" w:rsidRPr="000A6A01" w:rsidRDefault="001A0A7E" w:rsidP="00267145">
            <w:pPr>
              <w:spacing w:after="0" w:line="240" w:lineRule="auto"/>
              <w:contextualSpacing/>
              <w:jc w:val="center"/>
              <w:rPr>
                <w:rFonts w:ascii="Times New Roman" w:hAnsi="Times New Roman" w:cs="Times New Roman"/>
                <w:sz w:val="18"/>
                <w:szCs w:val="18"/>
              </w:rPr>
            </w:pPr>
            <w:r w:rsidRPr="000A6A01">
              <w:rPr>
                <w:rFonts w:ascii="Times New Roman" w:hAnsi="Times New Roman" w:cs="Times New Roman"/>
                <w:position w:val="-4"/>
                <w:sz w:val="18"/>
                <w:szCs w:val="18"/>
              </w:rPr>
              <w:object w:dxaOrig="880" w:dyaOrig="300">
                <v:shape id="_x0000_i1069" type="#_x0000_t75" style="width:42.8pt;height:14.95pt" o:ole="">
                  <v:imagedata r:id="rId92" o:title=""/>
                </v:shape>
                <o:OLEObject Type="Embed" ProgID="Equation.DSMT4" ShapeID="_x0000_i1069" DrawAspect="Content" ObjectID="_1451051919" r:id="rId93"/>
              </w:object>
            </w:r>
          </w:p>
        </w:tc>
        <w:tc>
          <w:tcPr>
            <w:tcW w:w="1434" w:type="dxa"/>
            <w:shd w:val="clear" w:color="auto" w:fill="CCCCCC"/>
          </w:tcPr>
          <w:p w:rsidR="001A0A7E" w:rsidRPr="000A6A01" w:rsidRDefault="001A0A7E" w:rsidP="00267145">
            <w:pPr>
              <w:spacing w:after="0" w:line="240" w:lineRule="auto"/>
              <w:contextualSpacing/>
              <w:jc w:val="center"/>
              <w:rPr>
                <w:rFonts w:ascii="Times New Roman" w:hAnsi="Times New Roman" w:cs="Times New Roman"/>
                <w:sz w:val="18"/>
                <w:szCs w:val="18"/>
              </w:rPr>
            </w:pPr>
            <w:r w:rsidRPr="000A6A01">
              <w:rPr>
                <w:rFonts w:ascii="Times New Roman" w:hAnsi="Times New Roman" w:cs="Times New Roman"/>
                <w:position w:val="-4"/>
                <w:sz w:val="18"/>
                <w:szCs w:val="18"/>
              </w:rPr>
              <w:object w:dxaOrig="880" w:dyaOrig="300">
                <v:shape id="_x0000_i1070" type="#_x0000_t75" style="width:42.8pt;height:14.95pt" o:ole="">
                  <v:imagedata r:id="rId94" o:title=""/>
                </v:shape>
                <o:OLEObject Type="Embed" ProgID="Equation.DSMT4" ShapeID="_x0000_i1070" DrawAspect="Content" ObjectID="_1451051920" r:id="rId95"/>
              </w:object>
            </w:r>
            <w:r w:rsidRPr="000A6A01">
              <w:rPr>
                <w:rFonts w:ascii="Times New Roman" w:hAnsi="Times New Roman" w:cs="Times New Roman"/>
                <w:sz w:val="18"/>
                <w:szCs w:val="18"/>
              </w:rPr>
              <w:t>%</w:t>
            </w:r>
          </w:p>
        </w:tc>
      </w:tr>
      <w:tr w:rsidR="001A0A7E" w:rsidRPr="000A6A01" w:rsidTr="00267145">
        <w:trPr>
          <w:trHeight w:val="196"/>
        </w:trPr>
        <w:tc>
          <w:tcPr>
            <w:tcW w:w="4308" w:type="dxa"/>
            <w:shd w:val="clear" w:color="auto" w:fill="B3B3B3"/>
            <w:vAlign w:val="bottom"/>
          </w:tcPr>
          <w:p w:rsidR="001A0A7E" w:rsidRPr="000A6A01" w:rsidRDefault="001A0A7E" w:rsidP="00267145">
            <w:pPr>
              <w:spacing w:after="0" w:line="240" w:lineRule="auto"/>
              <w:contextualSpacing/>
              <w:rPr>
                <w:rFonts w:ascii="Times New Roman" w:hAnsi="Times New Roman" w:cs="Times New Roman"/>
                <w:b/>
                <w:bCs/>
                <w:color w:val="000000"/>
                <w:sz w:val="18"/>
                <w:szCs w:val="18"/>
                <w:lang w:val="en-US"/>
              </w:rPr>
            </w:pPr>
            <w:r w:rsidRPr="000A6A01">
              <w:rPr>
                <w:rFonts w:ascii="Times New Roman" w:hAnsi="Times New Roman" w:cs="Times New Roman"/>
                <w:b/>
                <w:bCs/>
                <w:color w:val="000000"/>
                <w:sz w:val="18"/>
                <w:szCs w:val="18"/>
                <w:lang w:val="en-US"/>
              </w:rPr>
              <w:t>06_Production and Distribution of Electricity</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1.240</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55.143</w:t>
            </w:r>
          </w:p>
        </w:tc>
        <w:tc>
          <w:tcPr>
            <w:tcW w:w="1261"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0.013</w:t>
            </w:r>
          </w:p>
        </w:tc>
        <w:tc>
          <w:tcPr>
            <w:tcW w:w="1434"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1.284</w:t>
            </w:r>
          </w:p>
        </w:tc>
      </w:tr>
      <w:tr w:rsidR="001A0A7E" w:rsidRPr="000A6A01" w:rsidTr="00267145">
        <w:trPr>
          <w:trHeight w:val="208"/>
        </w:trPr>
        <w:tc>
          <w:tcPr>
            <w:tcW w:w="4308" w:type="dxa"/>
            <w:shd w:val="clear" w:color="auto" w:fill="B3B3B3"/>
            <w:vAlign w:val="bottom"/>
          </w:tcPr>
          <w:p w:rsidR="001A0A7E" w:rsidRPr="000A6A01" w:rsidRDefault="001A0A7E" w:rsidP="00267145">
            <w:pPr>
              <w:spacing w:after="0" w:line="240" w:lineRule="auto"/>
              <w:contextualSpacing/>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 xml:space="preserve">04_Mining and </w:t>
            </w:r>
            <w:proofErr w:type="spellStart"/>
            <w:r w:rsidRPr="000A6A01">
              <w:rPr>
                <w:rFonts w:ascii="Times New Roman" w:hAnsi="Times New Roman" w:cs="Times New Roman"/>
                <w:b/>
                <w:bCs/>
                <w:color w:val="000000"/>
                <w:sz w:val="18"/>
                <w:szCs w:val="18"/>
              </w:rPr>
              <w:t>quarrying</w:t>
            </w:r>
            <w:proofErr w:type="spellEnd"/>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0.209</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9.272</w:t>
            </w:r>
          </w:p>
        </w:tc>
        <w:tc>
          <w:tcPr>
            <w:tcW w:w="1261"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0.209</w:t>
            </w:r>
          </w:p>
        </w:tc>
        <w:tc>
          <w:tcPr>
            <w:tcW w:w="1434"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20.405</w:t>
            </w:r>
          </w:p>
        </w:tc>
      </w:tr>
      <w:tr w:rsidR="001A0A7E" w:rsidRPr="000A6A01" w:rsidTr="00267145">
        <w:trPr>
          <w:trHeight w:val="208"/>
        </w:trPr>
        <w:tc>
          <w:tcPr>
            <w:tcW w:w="4308" w:type="dxa"/>
            <w:shd w:val="clear" w:color="auto" w:fill="B3B3B3"/>
            <w:vAlign w:val="bottom"/>
          </w:tcPr>
          <w:p w:rsidR="001A0A7E" w:rsidRPr="000A6A01" w:rsidRDefault="001A0A7E" w:rsidP="00267145">
            <w:pPr>
              <w:spacing w:after="0" w:line="240" w:lineRule="auto"/>
              <w:contextualSpacing/>
              <w:rPr>
                <w:rFonts w:ascii="Times New Roman" w:hAnsi="Times New Roman" w:cs="Times New Roman"/>
                <w:b/>
                <w:bCs/>
                <w:color w:val="000000"/>
                <w:sz w:val="18"/>
                <w:szCs w:val="18"/>
                <w:lang w:val="en-US"/>
              </w:rPr>
            </w:pPr>
            <w:r w:rsidRPr="000A6A01">
              <w:rPr>
                <w:rFonts w:ascii="Times New Roman" w:hAnsi="Times New Roman" w:cs="Times New Roman"/>
                <w:b/>
                <w:bCs/>
                <w:color w:val="000000"/>
                <w:sz w:val="18"/>
                <w:szCs w:val="18"/>
                <w:lang w:val="en-US"/>
              </w:rPr>
              <w:t>07_Production and Distribution of Gas</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0.152</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6.763</w:t>
            </w:r>
          </w:p>
        </w:tc>
        <w:tc>
          <w:tcPr>
            <w:tcW w:w="1261"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0.152</w:t>
            </w:r>
          </w:p>
        </w:tc>
        <w:tc>
          <w:tcPr>
            <w:tcW w:w="1434"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14.884</w:t>
            </w:r>
          </w:p>
        </w:tc>
      </w:tr>
      <w:tr w:rsidR="001A0A7E" w:rsidRPr="000A6A01" w:rsidTr="00267145">
        <w:trPr>
          <w:trHeight w:val="196"/>
        </w:trPr>
        <w:tc>
          <w:tcPr>
            <w:tcW w:w="4308" w:type="dxa"/>
            <w:shd w:val="clear" w:color="auto" w:fill="B3B3B3"/>
            <w:vAlign w:val="bottom"/>
          </w:tcPr>
          <w:p w:rsidR="001A0A7E" w:rsidRPr="000A6A01" w:rsidRDefault="001A0A7E" w:rsidP="00267145">
            <w:pPr>
              <w:spacing w:after="0" w:line="240" w:lineRule="auto"/>
              <w:contextualSpacing/>
              <w:rPr>
                <w:rFonts w:ascii="Times New Roman" w:hAnsi="Times New Roman" w:cs="Times New Roman"/>
                <w:b/>
                <w:bCs/>
                <w:color w:val="000000"/>
                <w:sz w:val="18"/>
                <w:szCs w:val="18"/>
                <w:lang w:val="en-US"/>
              </w:rPr>
            </w:pPr>
            <w:r w:rsidRPr="000A6A01">
              <w:rPr>
                <w:rFonts w:ascii="Times New Roman" w:hAnsi="Times New Roman" w:cs="Times New Roman"/>
                <w:b/>
                <w:bCs/>
                <w:color w:val="000000"/>
                <w:sz w:val="18"/>
                <w:szCs w:val="18"/>
                <w:lang w:val="en-GB"/>
              </w:rPr>
              <w:t>05_Coke. refined petroleum and nuclear products</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0.123</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5.485</w:t>
            </w:r>
          </w:p>
        </w:tc>
        <w:tc>
          <w:tcPr>
            <w:tcW w:w="1261"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0.123</w:t>
            </w:r>
          </w:p>
        </w:tc>
        <w:tc>
          <w:tcPr>
            <w:tcW w:w="1434"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12.070</w:t>
            </w:r>
          </w:p>
        </w:tc>
      </w:tr>
      <w:tr w:rsidR="001A0A7E" w:rsidRPr="000A6A01" w:rsidTr="00267145">
        <w:trPr>
          <w:trHeight w:val="208"/>
        </w:trPr>
        <w:tc>
          <w:tcPr>
            <w:tcW w:w="4308" w:type="dxa"/>
            <w:shd w:val="clear" w:color="auto" w:fill="B3B3B3"/>
            <w:vAlign w:val="bottom"/>
          </w:tcPr>
          <w:p w:rsidR="001A0A7E" w:rsidRPr="000A6A01" w:rsidRDefault="001A0A7E" w:rsidP="00267145">
            <w:pPr>
              <w:spacing w:after="0" w:line="240" w:lineRule="auto"/>
              <w:contextualSpacing/>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 xml:space="preserve">40_Other </w:t>
            </w:r>
            <w:proofErr w:type="spellStart"/>
            <w:r w:rsidRPr="000A6A01">
              <w:rPr>
                <w:rFonts w:ascii="Times New Roman" w:hAnsi="Times New Roman" w:cs="Times New Roman"/>
                <w:b/>
                <w:bCs/>
                <w:color w:val="000000"/>
                <w:sz w:val="18"/>
                <w:szCs w:val="18"/>
              </w:rPr>
              <w:t>Services</w:t>
            </w:r>
            <w:proofErr w:type="spellEnd"/>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0.107</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4.739</w:t>
            </w:r>
          </w:p>
        </w:tc>
        <w:tc>
          <w:tcPr>
            <w:tcW w:w="1261"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0.107</w:t>
            </w:r>
          </w:p>
        </w:tc>
        <w:tc>
          <w:tcPr>
            <w:tcW w:w="1434"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10.429</w:t>
            </w:r>
          </w:p>
        </w:tc>
      </w:tr>
      <w:tr w:rsidR="001A0A7E" w:rsidRPr="000A6A01" w:rsidTr="00267145">
        <w:trPr>
          <w:trHeight w:val="208"/>
        </w:trPr>
        <w:tc>
          <w:tcPr>
            <w:tcW w:w="4308" w:type="dxa"/>
            <w:shd w:val="clear" w:color="auto" w:fill="B3B3B3"/>
            <w:vAlign w:val="bottom"/>
          </w:tcPr>
          <w:p w:rsidR="001A0A7E" w:rsidRPr="000A6A01" w:rsidRDefault="001A0A7E" w:rsidP="00267145">
            <w:pPr>
              <w:spacing w:after="0" w:line="240" w:lineRule="auto"/>
              <w:contextualSpacing/>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 xml:space="preserve">32_Telecommunications and Postal </w:t>
            </w:r>
            <w:proofErr w:type="spellStart"/>
            <w:r w:rsidRPr="000A6A01">
              <w:rPr>
                <w:rFonts w:ascii="Times New Roman" w:hAnsi="Times New Roman" w:cs="Times New Roman"/>
                <w:b/>
                <w:bCs/>
                <w:color w:val="000000"/>
                <w:sz w:val="18"/>
                <w:szCs w:val="18"/>
              </w:rPr>
              <w:t>Services</w:t>
            </w:r>
            <w:proofErr w:type="spellEnd"/>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0.044</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1.952</w:t>
            </w:r>
          </w:p>
        </w:tc>
        <w:tc>
          <w:tcPr>
            <w:tcW w:w="1261"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0.044</w:t>
            </w:r>
          </w:p>
        </w:tc>
        <w:tc>
          <w:tcPr>
            <w:tcW w:w="1434"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4.296</w:t>
            </w:r>
          </w:p>
        </w:tc>
      </w:tr>
      <w:tr w:rsidR="001A0A7E" w:rsidRPr="000A6A01" w:rsidTr="00267145">
        <w:trPr>
          <w:trHeight w:val="196"/>
        </w:trPr>
        <w:tc>
          <w:tcPr>
            <w:tcW w:w="4308" w:type="dxa"/>
            <w:shd w:val="clear" w:color="auto" w:fill="B3B3B3"/>
            <w:vAlign w:val="bottom"/>
          </w:tcPr>
          <w:p w:rsidR="001A0A7E" w:rsidRPr="000A6A01" w:rsidRDefault="001A0A7E" w:rsidP="00267145">
            <w:pPr>
              <w:spacing w:after="0" w:line="240" w:lineRule="auto"/>
              <w:contextualSpacing/>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25_Construction Sector</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0.040</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1.781</w:t>
            </w:r>
          </w:p>
        </w:tc>
        <w:tc>
          <w:tcPr>
            <w:tcW w:w="1261"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0.040</w:t>
            </w:r>
          </w:p>
        </w:tc>
        <w:tc>
          <w:tcPr>
            <w:tcW w:w="1434"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3.919</w:t>
            </w:r>
          </w:p>
        </w:tc>
      </w:tr>
      <w:tr w:rsidR="001A0A7E" w:rsidRPr="000A6A01" w:rsidTr="00267145">
        <w:trPr>
          <w:trHeight w:val="208"/>
        </w:trPr>
        <w:tc>
          <w:tcPr>
            <w:tcW w:w="4308" w:type="dxa"/>
            <w:shd w:val="clear" w:color="auto" w:fill="B3B3B3"/>
            <w:vAlign w:val="bottom"/>
          </w:tcPr>
          <w:p w:rsidR="001A0A7E" w:rsidRPr="000A6A01" w:rsidRDefault="001A0A7E" w:rsidP="00267145">
            <w:pPr>
              <w:spacing w:after="0" w:line="240" w:lineRule="auto"/>
              <w:contextualSpacing/>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 xml:space="preserve">30_Transport </w:t>
            </w:r>
            <w:proofErr w:type="spellStart"/>
            <w:r w:rsidRPr="000A6A01">
              <w:rPr>
                <w:rFonts w:ascii="Times New Roman" w:hAnsi="Times New Roman" w:cs="Times New Roman"/>
                <w:b/>
                <w:bCs/>
                <w:color w:val="000000"/>
                <w:sz w:val="18"/>
                <w:szCs w:val="18"/>
              </w:rPr>
              <w:t>Services</w:t>
            </w:r>
            <w:proofErr w:type="spellEnd"/>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0.035</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1.546</w:t>
            </w:r>
          </w:p>
        </w:tc>
        <w:tc>
          <w:tcPr>
            <w:tcW w:w="1261"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0.035</w:t>
            </w:r>
          </w:p>
        </w:tc>
        <w:tc>
          <w:tcPr>
            <w:tcW w:w="1434"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3.403</w:t>
            </w:r>
          </w:p>
        </w:tc>
      </w:tr>
      <w:tr w:rsidR="001A0A7E" w:rsidRPr="000A6A01" w:rsidTr="00267145">
        <w:trPr>
          <w:trHeight w:val="208"/>
        </w:trPr>
        <w:tc>
          <w:tcPr>
            <w:tcW w:w="4308" w:type="dxa"/>
            <w:shd w:val="clear" w:color="auto" w:fill="B3B3B3"/>
            <w:vAlign w:val="bottom"/>
          </w:tcPr>
          <w:p w:rsidR="001A0A7E" w:rsidRPr="000A6A01" w:rsidRDefault="001A0A7E" w:rsidP="00267145">
            <w:pPr>
              <w:spacing w:after="0" w:line="240" w:lineRule="auto"/>
              <w:contextualSpacing/>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 xml:space="preserve">18_Basic </w:t>
            </w:r>
            <w:proofErr w:type="spellStart"/>
            <w:r w:rsidRPr="000A6A01">
              <w:rPr>
                <w:rFonts w:ascii="Times New Roman" w:hAnsi="Times New Roman" w:cs="Times New Roman"/>
                <w:b/>
                <w:bCs/>
                <w:color w:val="000000"/>
                <w:sz w:val="18"/>
                <w:szCs w:val="18"/>
              </w:rPr>
              <w:t>Metals</w:t>
            </w:r>
            <w:proofErr w:type="spellEnd"/>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0.032</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1.404</w:t>
            </w:r>
          </w:p>
        </w:tc>
        <w:tc>
          <w:tcPr>
            <w:tcW w:w="1261"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0.032</w:t>
            </w:r>
          </w:p>
        </w:tc>
        <w:tc>
          <w:tcPr>
            <w:tcW w:w="1434"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3.090</w:t>
            </w:r>
          </w:p>
        </w:tc>
      </w:tr>
      <w:tr w:rsidR="001A0A7E" w:rsidRPr="000A6A01" w:rsidTr="00267145">
        <w:trPr>
          <w:trHeight w:val="208"/>
        </w:trPr>
        <w:tc>
          <w:tcPr>
            <w:tcW w:w="4308" w:type="dxa"/>
            <w:shd w:val="clear" w:color="auto" w:fill="B3B3B3"/>
            <w:vAlign w:val="bottom"/>
          </w:tcPr>
          <w:p w:rsidR="001A0A7E" w:rsidRPr="000A6A01" w:rsidRDefault="001A0A7E" w:rsidP="00267145">
            <w:pPr>
              <w:spacing w:after="0" w:line="240" w:lineRule="auto"/>
              <w:contextualSpacing/>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lang w:val="en-GB"/>
              </w:rPr>
              <w:t>33_Financial Services</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0.025</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1.122</w:t>
            </w:r>
          </w:p>
        </w:tc>
        <w:tc>
          <w:tcPr>
            <w:tcW w:w="1261"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0.025</w:t>
            </w:r>
          </w:p>
        </w:tc>
        <w:tc>
          <w:tcPr>
            <w:tcW w:w="1434"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2.470</w:t>
            </w:r>
          </w:p>
        </w:tc>
      </w:tr>
      <w:tr w:rsidR="001A0A7E" w:rsidRPr="000A6A01" w:rsidTr="00267145">
        <w:trPr>
          <w:trHeight w:val="196"/>
        </w:trPr>
        <w:tc>
          <w:tcPr>
            <w:tcW w:w="4308" w:type="dxa"/>
            <w:shd w:val="clear" w:color="auto" w:fill="B3B3B3"/>
            <w:vAlign w:val="bottom"/>
          </w:tcPr>
          <w:p w:rsidR="001A0A7E" w:rsidRPr="000A6A01" w:rsidRDefault="001A0A7E" w:rsidP="00267145">
            <w:pPr>
              <w:spacing w:after="0" w:line="240" w:lineRule="auto"/>
              <w:contextualSpacing/>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 xml:space="preserve">36_Real estate </w:t>
            </w:r>
            <w:proofErr w:type="spellStart"/>
            <w:r w:rsidRPr="000A6A01">
              <w:rPr>
                <w:rFonts w:ascii="Times New Roman" w:hAnsi="Times New Roman" w:cs="Times New Roman"/>
                <w:b/>
                <w:bCs/>
                <w:color w:val="000000"/>
                <w:sz w:val="18"/>
                <w:szCs w:val="18"/>
              </w:rPr>
              <w:t>Services</w:t>
            </w:r>
            <w:proofErr w:type="spellEnd"/>
            <w:r w:rsidRPr="000A6A01">
              <w:rPr>
                <w:rFonts w:ascii="Times New Roman" w:hAnsi="Times New Roman" w:cs="Times New Roman"/>
                <w:b/>
                <w:bCs/>
                <w:color w:val="000000"/>
                <w:sz w:val="18"/>
                <w:szCs w:val="18"/>
              </w:rPr>
              <w:t xml:space="preserve"> </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0.024</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1.072</w:t>
            </w:r>
          </w:p>
        </w:tc>
        <w:tc>
          <w:tcPr>
            <w:tcW w:w="1261"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0.024</w:t>
            </w:r>
          </w:p>
        </w:tc>
        <w:tc>
          <w:tcPr>
            <w:tcW w:w="1434"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2.358</w:t>
            </w:r>
          </w:p>
        </w:tc>
      </w:tr>
      <w:tr w:rsidR="001A0A7E" w:rsidRPr="000A6A01" w:rsidTr="00267145">
        <w:trPr>
          <w:trHeight w:val="208"/>
        </w:trPr>
        <w:tc>
          <w:tcPr>
            <w:tcW w:w="4308" w:type="dxa"/>
            <w:shd w:val="clear" w:color="auto" w:fill="B3B3B3"/>
            <w:vAlign w:val="bottom"/>
          </w:tcPr>
          <w:p w:rsidR="001A0A7E" w:rsidRPr="000A6A01" w:rsidRDefault="001A0A7E" w:rsidP="00267145">
            <w:pPr>
              <w:spacing w:after="0" w:line="240" w:lineRule="auto"/>
              <w:contextualSpacing/>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lang w:val="en-GB"/>
              </w:rPr>
              <w:t>27_Other Wholesale trade services</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0.023</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1.007</w:t>
            </w:r>
          </w:p>
        </w:tc>
        <w:tc>
          <w:tcPr>
            <w:tcW w:w="1261"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0.023</w:t>
            </w:r>
          </w:p>
        </w:tc>
        <w:tc>
          <w:tcPr>
            <w:tcW w:w="1434"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2.217</w:t>
            </w:r>
          </w:p>
        </w:tc>
      </w:tr>
      <w:tr w:rsidR="001A0A7E" w:rsidRPr="000A6A01" w:rsidTr="00267145">
        <w:trPr>
          <w:trHeight w:val="208"/>
        </w:trPr>
        <w:tc>
          <w:tcPr>
            <w:tcW w:w="4308" w:type="dxa"/>
            <w:shd w:val="clear" w:color="auto" w:fill="B3B3B3"/>
            <w:vAlign w:val="bottom"/>
          </w:tcPr>
          <w:p w:rsidR="001A0A7E" w:rsidRPr="000A6A01" w:rsidRDefault="001A0A7E" w:rsidP="00267145">
            <w:pPr>
              <w:spacing w:after="0" w:line="240" w:lineRule="auto"/>
              <w:contextualSpacing/>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lang w:val="en-GB"/>
              </w:rPr>
              <w:t xml:space="preserve">19_Machinery and equipment </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0.022</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0.968</w:t>
            </w:r>
          </w:p>
        </w:tc>
        <w:tc>
          <w:tcPr>
            <w:tcW w:w="1261"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0.022</w:t>
            </w:r>
          </w:p>
        </w:tc>
        <w:tc>
          <w:tcPr>
            <w:tcW w:w="1434"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2.130</w:t>
            </w:r>
          </w:p>
        </w:tc>
      </w:tr>
      <w:tr w:rsidR="001A0A7E" w:rsidRPr="000A6A01" w:rsidTr="00267145">
        <w:trPr>
          <w:trHeight w:val="196"/>
        </w:trPr>
        <w:tc>
          <w:tcPr>
            <w:tcW w:w="4308" w:type="dxa"/>
            <w:shd w:val="clear" w:color="auto" w:fill="B3B3B3"/>
            <w:vAlign w:val="bottom"/>
          </w:tcPr>
          <w:p w:rsidR="001A0A7E" w:rsidRPr="000A6A01" w:rsidRDefault="001A0A7E" w:rsidP="00267145">
            <w:pPr>
              <w:spacing w:after="0" w:line="240" w:lineRule="auto"/>
              <w:contextualSpacing/>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 xml:space="preserve">21_Electrical </w:t>
            </w:r>
            <w:proofErr w:type="spellStart"/>
            <w:r w:rsidRPr="000A6A01">
              <w:rPr>
                <w:rFonts w:ascii="Times New Roman" w:hAnsi="Times New Roman" w:cs="Times New Roman"/>
                <w:b/>
                <w:bCs/>
                <w:color w:val="000000"/>
                <w:sz w:val="18"/>
                <w:szCs w:val="18"/>
              </w:rPr>
              <w:t>Equipment</w:t>
            </w:r>
            <w:proofErr w:type="spellEnd"/>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0.022</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0.992</w:t>
            </w:r>
          </w:p>
        </w:tc>
        <w:tc>
          <w:tcPr>
            <w:tcW w:w="1261"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0.022</w:t>
            </w:r>
          </w:p>
        </w:tc>
        <w:tc>
          <w:tcPr>
            <w:tcW w:w="1434"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2.183</w:t>
            </w:r>
          </w:p>
        </w:tc>
      </w:tr>
      <w:tr w:rsidR="001A0A7E" w:rsidRPr="000A6A01" w:rsidTr="00267145">
        <w:trPr>
          <w:trHeight w:val="208"/>
        </w:trPr>
        <w:tc>
          <w:tcPr>
            <w:tcW w:w="4308" w:type="dxa"/>
            <w:shd w:val="clear" w:color="auto" w:fill="B3B3B3"/>
            <w:vAlign w:val="bottom"/>
          </w:tcPr>
          <w:p w:rsidR="001A0A7E" w:rsidRPr="000A6A01" w:rsidRDefault="001A0A7E" w:rsidP="00267145">
            <w:pPr>
              <w:spacing w:after="0" w:line="240" w:lineRule="auto"/>
              <w:contextualSpacing/>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lang w:val="en-GB"/>
              </w:rPr>
              <w:t>17_Fabricated metal Products</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0.017</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0.777</w:t>
            </w:r>
          </w:p>
        </w:tc>
        <w:tc>
          <w:tcPr>
            <w:tcW w:w="1261"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0.017</w:t>
            </w:r>
          </w:p>
        </w:tc>
        <w:tc>
          <w:tcPr>
            <w:tcW w:w="1434"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1.711</w:t>
            </w:r>
          </w:p>
        </w:tc>
      </w:tr>
      <w:tr w:rsidR="001A0A7E" w:rsidRPr="000A6A01" w:rsidTr="00267145">
        <w:trPr>
          <w:trHeight w:val="208"/>
        </w:trPr>
        <w:tc>
          <w:tcPr>
            <w:tcW w:w="4308" w:type="dxa"/>
            <w:shd w:val="clear" w:color="auto" w:fill="B3B3B3"/>
            <w:vAlign w:val="bottom"/>
          </w:tcPr>
          <w:p w:rsidR="001A0A7E" w:rsidRPr="000A6A01" w:rsidRDefault="001A0A7E" w:rsidP="00267145">
            <w:pPr>
              <w:spacing w:after="0" w:line="240" w:lineRule="auto"/>
              <w:contextualSpacing/>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 xml:space="preserve">13_Printing and </w:t>
            </w:r>
            <w:proofErr w:type="spellStart"/>
            <w:r w:rsidRPr="000A6A01">
              <w:rPr>
                <w:rFonts w:ascii="Times New Roman" w:hAnsi="Times New Roman" w:cs="Times New Roman"/>
                <w:b/>
                <w:bCs/>
                <w:color w:val="000000"/>
                <w:sz w:val="18"/>
                <w:szCs w:val="18"/>
              </w:rPr>
              <w:t>recording</w:t>
            </w:r>
            <w:proofErr w:type="spellEnd"/>
            <w:r w:rsidRPr="000A6A01">
              <w:rPr>
                <w:rFonts w:ascii="Times New Roman" w:hAnsi="Times New Roman" w:cs="Times New Roman"/>
                <w:b/>
                <w:bCs/>
                <w:color w:val="000000"/>
                <w:sz w:val="18"/>
                <w:szCs w:val="18"/>
              </w:rPr>
              <w:t xml:space="preserve"> </w:t>
            </w:r>
            <w:proofErr w:type="spellStart"/>
            <w:r w:rsidRPr="000A6A01">
              <w:rPr>
                <w:rFonts w:ascii="Times New Roman" w:hAnsi="Times New Roman" w:cs="Times New Roman"/>
                <w:b/>
                <w:bCs/>
                <w:color w:val="000000"/>
                <w:sz w:val="18"/>
                <w:szCs w:val="18"/>
              </w:rPr>
              <w:t>Services</w:t>
            </w:r>
            <w:proofErr w:type="spellEnd"/>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0.013</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0.567</w:t>
            </w:r>
          </w:p>
        </w:tc>
        <w:tc>
          <w:tcPr>
            <w:tcW w:w="1261"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0.013</w:t>
            </w:r>
          </w:p>
        </w:tc>
        <w:tc>
          <w:tcPr>
            <w:tcW w:w="1434"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1.247</w:t>
            </w:r>
          </w:p>
        </w:tc>
      </w:tr>
      <w:tr w:rsidR="001A0A7E" w:rsidRPr="000A6A01" w:rsidTr="00267145">
        <w:trPr>
          <w:trHeight w:val="196"/>
        </w:trPr>
        <w:tc>
          <w:tcPr>
            <w:tcW w:w="4308" w:type="dxa"/>
            <w:shd w:val="clear" w:color="auto" w:fill="B3B3B3"/>
            <w:vAlign w:val="bottom"/>
          </w:tcPr>
          <w:p w:rsidR="001A0A7E" w:rsidRPr="000A6A01" w:rsidRDefault="001A0A7E" w:rsidP="00267145">
            <w:pPr>
              <w:spacing w:after="0" w:line="240" w:lineRule="auto"/>
              <w:contextualSpacing/>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 xml:space="preserve">14_Chemicals and </w:t>
            </w:r>
            <w:proofErr w:type="spellStart"/>
            <w:r w:rsidRPr="000A6A01">
              <w:rPr>
                <w:rFonts w:ascii="Times New Roman" w:hAnsi="Times New Roman" w:cs="Times New Roman"/>
                <w:b/>
                <w:bCs/>
                <w:color w:val="000000"/>
                <w:sz w:val="18"/>
                <w:szCs w:val="18"/>
              </w:rPr>
              <w:t>chemical</w:t>
            </w:r>
            <w:proofErr w:type="spellEnd"/>
            <w:r w:rsidRPr="000A6A01">
              <w:rPr>
                <w:rFonts w:ascii="Times New Roman" w:hAnsi="Times New Roman" w:cs="Times New Roman"/>
                <w:b/>
                <w:bCs/>
                <w:color w:val="000000"/>
                <w:sz w:val="18"/>
                <w:szCs w:val="18"/>
              </w:rPr>
              <w:t xml:space="preserve"> </w:t>
            </w:r>
            <w:proofErr w:type="spellStart"/>
            <w:r w:rsidRPr="000A6A01">
              <w:rPr>
                <w:rFonts w:ascii="Times New Roman" w:hAnsi="Times New Roman" w:cs="Times New Roman"/>
                <w:b/>
                <w:bCs/>
                <w:color w:val="000000"/>
                <w:sz w:val="18"/>
                <w:szCs w:val="18"/>
              </w:rPr>
              <w:t>Products</w:t>
            </w:r>
            <w:proofErr w:type="spellEnd"/>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0.010</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0.462</w:t>
            </w:r>
          </w:p>
        </w:tc>
        <w:tc>
          <w:tcPr>
            <w:tcW w:w="1261"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0.010</w:t>
            </w:r>
          </w:p>
        </w:tc>
        <w:tc>
          <w:tcPr>
            <w:tcW w:w="1434"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1.017</w:t>
            </w:r>
          </w:p>
        </w:tc>
      </w:tr>
      <w:tr w:rsidR="001A0A7E" w:rsidRPr="000A6A01" w:rsidTr="00267145">
        <w:trPr>
          <w:trHeight w:val="208"/>
        </w:trPr>
        <w:tc>
          <w:tcPr>
            <w:tcW w:w="4308" w:type="dxa"/>
            <w:shd w:val="clear" w:color="auto" w:fill="B3B3B3"/>
            <w:vAlign w:val="bottom"/>
          </w:tcPr>
          <w:p w:rsidR="001A0A7E" w:rsidRPr="000A6A01" w:rsidRDefault="001A0A7E" w:rsidP="00267145">
            <w:pPr>
              <w:spacing w:after="0" w:line="240" w:lineRule="auto"/>
              <w:contextualSpacing/>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 xml:space="preserve">16_Non-Metallic Mineral </w:t>
            </w:r>
            <w:proofErr w:type="spellStart"/>
            <w:r w:rsidRPr="000A6A01">
              <w:rPr>
                <w:rFonts w:ascii="Times New Roman" w:hAnsi="Times New Roman" w:cs="Times New Roman"/>
                <w:b/>
                <w:bCs/>
                <w:color w:val="000000"/>
                <w:sz w:val="18"/>
                <w:szCs w:val="18"/>
              </w:rPr>
              <w:t>Products</w:t>
            </w:r>
            <w:proofErr w:type="spellEnd"/>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0.009</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0.421</w:t>
            </w:r>
          </w:p>
        </w:tc>
        <w:tc>
          <w:tcPr>
            <w:tcW w:w="1261"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0.009</w:t>
            </w:r>
          </w:p>
        </w:tc>
        <w:tc>
          <w:tcPr>
            <w:tcW w:w="1434"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0.928</w:t>
            </w:r>
          </w:p>
        </w:tc>
      </w:tr>
      <w:tr w:rsidR="001A0A7E" w:rsidRPr="000A6A01" w:rsidTr="00267145">
        <w:trPr>
          <w:trHeight w:val="208"/>
        </w:trPr>
        <w:tc>
          <w:tcPr>
            <w:tcW w:w="4308" w:type="dxa"/>
            <w:shd w:val="clear" w:color="auto" w:fill="B3B3B3"/>
            <w:vAlign w:val="bottom"/>
          </w:tcPr>
          <w:p w:rsidR="001A0A7E" w:rsidRPr="000A6A01" w:rsidRDefault="001A0A7E" w:rsidP="00267145">
            <w:pPr>
              <w:spacing w:after="0" w:line="240" w:lineRule="auto"/>
              <w:contextualSpacing/>
              <w:rPr>
                <w:rFonts w:ascii="Times New Roman" w:hAnsi="Times New Roman" w:cs="Times New Roman"/>
                <w:b/>
                <w:bCs/>
                <w:color w:val="000000"/>
                <w:sz w:val="18"/>
                <w:szCs w:val="18"/>
                <w:lang w:val="en-US"/>
              </w:rPr>
            </w:pPr>
            <w:r w:rsidRPr="000A6A01">
              <w:rPr>
                <w:rFonts w:ascii="Times New Roman" w:hAnsi="Times New Roman" w:cs="Times New Roman"/>
                <w:b/>
                <w:bCs/>
                <w:color w:val="000000"/>
                <w:sz w:val="18"/>
                <w:szCs w:val="18"/>
                <w:lang w:val="en-GB"/>
              </w:rPr>
              <w:t>39_Scientific Research and Development Services</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0.009</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0.383</w:t>
            </w:r>
          </w:p>
        </w:tc>
        <w:tc>
          <w:tcPr>
            <w:tcW w:w="1261"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0.009</w:t>
            </w:r>
          </w:p>
        </w:tc>
        <w:tc>
          <w:tcPr>
            <w:tcW w:w="1434"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0.844</w:t>
            </w:r>
          </w:p>
        </w:tc>
      </w:tr>
      <w:tr w:rsidR="001A0A7E" w:rsidRPr="000A6A01" w:rsidTr="00267145">
        <w:trPr>
          <w:trHeight w:val="404"/>
        </w:trPr>
        <w:tc>
          <w:tcPr>
            <w:tcW w:w="4308" w:type="dxa"/>
            <w:shd w:val="clear" w:color="auto" w:fill="B3B3B3"/>
            <w:vAlign w:val="bottom"/>
          </w:tcPr>
          <w:p w:rsidR="001A0A7E" w:rsidRPr="000A6A01" w:rsidRDefault="001A0A7E" w:rsidP="00267145">
            <w:pPr>
              <w:spacing w:after="0" w:line="240" w:lineRule="auto"/>
              <w:contextualSpacing/>
              <w:rPr>
                <w:rFonts w:ascii="Times New Roman" w:hAnsi="Times New Roman" w:cs="Times New Roman"/>
                <w:b/>
                <w:bCs/>
                <w:color w:val="000000"/>
                <w:sz w:val="18"/>
                <w:szCs w:val="18"/>
                <w:lang w:val="en-US"/>
              </w:rPr>
            </w:pPr>
            <w:r w:rsidRPr="000A6A01">
              <w:rPr>
                <w:rFonts w:ascii="Times New Roman" w:hAnsi="Times New Roman" w:cs="Times New Roman"/>
                <w:b/>
                <w:bCs/>
                <w:color w:val="000000"/>
                <w:sz w:val="18"/>
                <w:szCs w:val="18"/>
                <w:lang w:val="en-GB"/>
              </w:rPr>
              <w:t>26_Wholesale. Retail trade and repair services of Motor Vehicles</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0.008</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0.374</w:t>
            </w:r>
          </w:p>
        </w:tc>
        <w:tc>
          <w:tcPr>
            <w:tcW w:w="1261"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0.008</w:t>
            </w:r>
          </w:p>
        </w:tc>
        <w:tc>
          <w:tcPr>
            <w:tcW w:w="1434"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0.823</w:t>
            </w:r>
          </w:p>
        </w:tc>
      </w:tr>
      <w:tr w:rsidR="001A0A7E" w:rsidRPr="000A6A01" w:rsidTr="00267145">
        <w:trPr>
          <w:trHeight w:val="208"/>
        </w:trPr>
        <w:tc>
          <w:tcPr>
            <w:tcW w:w="4308" w:type="dxa"/>
            <w:shd w:val="clear" w:color="auto" w:fill="B3B3B3"/>
            <w:vAlign w:val="bottom"/>
          </w:tcPr>
          <w:p w:rsidR="001A0A7E" w:rsidRPr="000A6A01" w:rsidRDefault="001A0A7E" w:rsidP="00267145">
            <w:pPr>
              <w:spacing w:after="0" w:line="240" w:lineRule="auto"/>
              <w:contextualSpacing/>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 xml:space="preserve">37_Rental and leasing </w:t>
            </w:r>
            <w:proofErr w:type="spellStart"/>
            <w:r w:rsidRPr="000A6A01">
              <w:rPr>
                <w:rFonts w:ascii="Times New Roman" w:hAnsi="Times New Roman" w:cs="Times New Roman"/>
                <w:b/>
                <w:bCs/>
                <w:color w:val="000000"/>
                <w:sz w:val="18"/>
                <w:szCs w:val="18"/>
              </w:rPr>
              <w:t>Services</w:t>
            </w:r>
            <w:proofErr w:type="spellEnd"/>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0.008</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0.361</w:t>
            </w:r>
          </w:p>
        </w:tc>
        <w:tc>
          <w:tcPr>
            <w:tcW w:w="1261"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0.008</w:t>
            </w:r>
          </w:p>
        </w:tc>
        <w:tc>
          <w:tcPr>
            <w:tcW w:w="1434"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0.794</w:t>
            </w:r>
          </w:p>
        </w:tc>
      </w:tr>
      <w:tr w:rsidR="001A0A7E" w:rsidRPr="000A6A01" w:rsidTr="00267145">
        <w:trPr>
          <w:trHeight w:val="404"/>
        </w:trPr>
        <w:tc>
          <w:tcPr>
            <w:tcW w:w="4308" w:type="dxa"/>
            <w:shd w:val="clear" w:color="auto" w:fill="B3B3B3"/>
            <w:vAlign w:val="bottom"/>
          </w:tcPr>
          <w:p w:rsidR="001A0A7E" w:rsidRPr="000A6A01" w:rsidRDefault="001A0A7E" w:rsidP="00267145">
            <w:pPr>
              <w:spacing w:after="0" w:line="240" w:lineRule="auto"/>
              <w:contextualSpacing/>
              <w:rPr>
                <w:rFonts w:ascii="Times New Roman" w:hAnsi="Times New Roman" w:cs="Times New Roman"/>
                <w:b/>
                <w:bCs/>
                <w:color w:val="000000"/>
                <w:sz w:val="18"/>
                <w:szCs w:val="18"/>
                <w:lang w:val="en-US"/>
              </w:rPr>
            </w:pPr>
            <w:r w:rsidRPr="000A6A01">
              <w:rPr>
                <w:rFonts w:ascii="Times New Roman" w:hAnsi="Times New Roman" w:cs="Times New Roman"/>
                <w:b/>
                <w:bCs/>
                <w:color w:val="000000"/>
                <w:sz w:val="18"/>
                <w:szCs w:val="18"/>
                <w:lang w:val="en-GB"/>
              </w:rPr>
              <w:t>38_Computer programming. information and consultancy Services</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0.008</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0.359</w:t>
            </w:r>
          </w:p>
        </w:tc>
        <w:tc>
          <w:tcPr>
            <w:tcW w:w="1261"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0.008</w:t>
            </w:r>
          </w:p>
        </w:tc>
        <w:tc>
          <w:tcPr>
            <w:tcW w:w="1434"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0.791</w:t>
            </w:r>
          </w:p>
        </w:tc>
      </w:tr>
      <w:tr w:rsidR="001A0A7E" w:rsidRPr="000A6A01" w:rsidTr="00267145">
        <w:trPr>
          <w:trHeight w:val="416"/>
        </w:trPr>
        <w:tc>
          <w:tcPr>
            <w:tcW w:w="4308" w:type="dxa"/>
            <w:shd w:val="clear" w:color="auto" w:fill="B3B3B3"/>
            <w:vAlign w:val="bottom"/>
          </w:tcPr>
          <w:p w:rsidR="001A0A7E" w:rsidRPr="000A6A01" w:rsidRDefault="001A0A7E" w:rsidP="00267145">
            <w:pPr>
              <w:spacing w:after="0" w:line="240" w:lineRule="auto"/>
              <w:contextualSpacing/>
              <w:rPr>
                <w:rFonts w:ascii="Times New Roman" w:hAnsi="Times New Roman" w:cs="Times New Roman"/>
                <w:b/>
                <w:bCs/>
                <w:color w:val="000000"/>
                <w:sz w:val="18"/>
                <w:szCs w:val="18"/>
                <w:lang w:val="en-US"/>
              </w:rPr>
            </w:pPr>
            <w:r w:rsidRPr="000A6A01">
              <w:rPr>
                <w:rFonts w:ascii="Times New Roman" w:hAnsi="Times New Roman" w:cs="Times New Roman"/>
                <w:b/>
                <w:bCs/>
                <w:color w:val="000000"/>
                <w:sz w:val="18"/>
                <w:szCs w:val="18"/>
                <w:lang w:val="en-GB"/>
              </w:rPr>
              <w:t>35_Services auxiliary to financial services and insurance Services</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0.007</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0.295</w:t>
            </w:r>
          </w:p>
        </w:tc>
        <w:tc>
          <w:tcPr>
            <w:tcW w:w="1261"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0.007</w:t>
            </w:r>
          </w:p>
        </w:tc>
        <w:tc>
          <w:tcPr>
            <w:tcW w:w="1434"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0.648</w:t>
            </w:r>
          </w:p>
        </w:tc>
      </w:tr>
      <w:tr w:rsidR="001A0A7E" w:rsidRPr="000A6A01" w:rsidTr="00267145">
        <w:trPr>
          <w:trHeight w:val="208"/>
        </w:trPr>
        <w:tc>
          <w:tcPr>
            <w:tcW w:w="4308" w:type="dxa"/>
            <w:shd w:val="clear" w:color="auto" w:fill="B3B3B3"/>
            <w:vAlign w:val="bottom"/>
          </w:tcPr>
          <w:p w:rsidR="001A0A7E" w:rsidRPr="000A6A01" w:rsidRDefault="001A0A7E" w:rsidP="00267145">
            <w:pPr>
              <w:spacing w:after="0" w:line="240" w:lineRule="auto"/>
              <w:contextualSpacing/>
              <w:rPr>
                <w:rFonts w:ascii="Times New Roman" w:hAnsi="Times New Roman" w:cs="Times New Roman"/>
                <w:b/>
                <w:bCs/>
                <w:color w:val="000000"/>
                <w:sz w:val="18"/>
                <w:szCs w:val="18"/>
                <w:lang w:val="en-US"/>
              </w:rPr>
            </w:pPr>
            <w:r w:rsidRPr="000A6A01">
              <w:rPr>
                <w:rFonts w:ascii="Times New Roman" w:hAnsi="Times New Roman" w:cs="Times New Roman"/>
                <w:b/>
                <w:bCs/>
                <w:color w:val="000000"/>
                <w:sz w:val="18"/>
                <w:szCs w:val="18"/>
                <w:lang w:val="en-GB"/>
              </w:rPr>
              <w:t>45_Sporting. amusement and recreation Services</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0.006</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0.273</w:t>
            </w:r>
          </w:p>
        </w:tc>
        <w:tc>
          <w:tcPr>
            <w:tcW w:w="1261"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0.006</w:t>
            </w:r>
          </w:p>
        </w:tc>
        <w:tc>
          <w:tcPr>
            <w:tcW w:w="1434"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0.601</w:t>
            </w:r>
          </w:p>
        </w:tc>
      </w:tr>
      <w:tr w:rsidR="001A0A7E" w:rsidRPr="000A6A01" w:rsidTr="00267145">
        <w:trPr>
          <w:trHeight w:val="196"/>
        </w:trPr>
        <w:tc>
          <w:tcPr>
            <w:tcW w:w="4308" w:type="dxa"/>
            <w:shd w:val="clear" w:color="auto" w:fill="B3B3B3"/>
            <w:vAlign w:val="bottom"/>
          </w:tcPr>
          <w:p w:rsidR="001A0A7E" w:rsidRPr="000A6A01" w:rsidRDefault="001A0A7E" w:rsidP="00267145">
            <w:pPr>
              <w:spacing w:after="0" w:line="240" w:lineRule="auto"/>
              <w:contextualSpacing/>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 xml:space="preserve">12_Paper and </w:t>
            </w:r>
            <w:proofErr w:type="spellStart"/>
            <w:r w:rsidRPr="000A6A01">
              <w:rPr>
                <w:rFonts w:ascii="Times New Roman" w:hAnsi="Times New Roman" w:cs="Times New Roman"/>
                <w:b/>
                <w:bCs/>
                <w:color w:val="000000"/>
                <w:sz w:val="18"/>
                <w:szCs w:val="18"/>
              </w:rPr>
              <w:t>paper</w:t>
            </w:r>
            <w:proofErr w:type="spellEnd"/>
            <w:r w:rsidRPr="000A6A01">
              <w:rPr>
                <w:rFonts w:ascii="Times New Roman" w:hAnsi="Times New Roman" w:cs="Times New Roman"/>
                <w:b/>
                <w:bCs/>
                <w:color w:val="000000"/>
                <w:sz w:val="18"/>
                <w:szCs w:val="18"/>
              </w:rPr>
              <w:t xml:space="preserve"> </w:t>
            </w:r>
            <w:proofErr w:type="spellStart"/>
            <w:r w:rsidRPr="000A6A01">
              <w:rPr>
                <w:rFonts w:ascii="Times New Roman" w:hAnsi="Times New Roman" w:cs="Times New Roman"/>
                <w:b/>
                <w:bCs/>
                <w:color w:val="000000"/>
                <w:sz w:val="18"/>
                <w:szCs w:val="18"/>
              </w:rPr>
              <w:t>Products</w:t>
            </w:r>
            <w:proofErr w:type="spellEnd"/>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0.005</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0.232</w:t>
            </w:r>
          </w:p>
        </w:tc>
        <w:tc>
          <w:tcPr>
            <w:tcW w:w="1261"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0.005</w:t>
            </w:r>
          </w:p>
        </w:tc>
        <w:tc>
          <w:tcPr>
            <w:tcW w:w="1434"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0.512</w:t>
            </w:r>
          </w:p>
        </w:tc>
      </w:tr>
      <w:tr w:rsidR="001A0A7E" w:rsidRPr="000A6A01" w:rsidTr="00267145">
        <w:trPr>
          <w:trHeight w:val="208"/>
        </w:trPr>
        <w:tc>
          <w:tcPr>
            <w:tcW w:w="4308" w:type="dxa"/>
            <w:shd w:val="clear" w:color="auto" w:fill="B3B3B3"/>
            <w:vAlign w:val="bottom"/>
          </w:tcPr>
          <w:p w:rsidR="001A0A7E" w:rsidRPr="000A6A01" w:rsidRDefault="001A0A7E" w:rsidP="00267145">
            <w:pPr>
              <w:spacing w:after="0" w:line="240" w:lineRule="auto"/>
              <w:contextualSpacing/>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lang w:val="en-GB"/>
              </w:rPr>
              <w:t>22_Motor vehicles</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0.005</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0.205</w:t>
            </w:r>
          </w:p>
        </w:tc>
        <w:tc>
          <w:tcPr>
            <w:tcW w:w="1261"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0.005</w:t>
            </w:r>
          </w:p>
        </w:tc>
        <w:tc>
          <w:tcPr>
            <w:tcW w:w="1434"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0.451</w:t>
            </w:r>
          </w:p>
        </w:tc>
      </w:tr>
      <w:tr w:rsidR="001A0A7E" w:rsidRPr="000A6A01" w:rsidTr="00267145">
        <w:trPr>
          <w:trHeight w:val="208"/>
        </w:trPr>
        <w:tc>
          <w:tcPr>
            <w:tcW w:w="4308" w:type="dxa"/>
            <w:shd w:val="clear" w:color="auto" w:fill="B3B3B3"/>
            <w:vAlign w:val="bottom"/>
          </w:tcPr>
          <w:p w:rsidR="001A0A7E" w:rsidRPr="000A6A01" w:rsidRDefault="001A0A7E" w:rsidP="00267145">
            <w:pPr>
              <w:spacing w:after="0" w:line="240" w:lineRule="auto"/>
              <w:contextualSpacing/>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 xml:space="preserve">15_Rubber and </w:t>
            </w:r>
            <w:proofErr w:type="spellStart"/>
            <w:r w:rsidRPr="000A6A01">
              <w:rPr>
                <w:rFonts w:ascii="Times New Roman" w:hAnsi="Times New Roman" w:cs="Times New Roman"/>
                <w:b/>
                <w:bCs/>
                <w:color w:val="000000"/>
                <w:sz w:val="18"/>
                <w:szCs w:val="18"/>
              </w:rPr>
              <w:t>plastics</w:t>
            </w:r>
            <w:proofErr w:type="spellEnd"/>
            <w:r w:rsidRPr="000A6A01">
              <w:rPr>
                <w:rFonts w:ascii="Times New Roman" w:hAnsi="Times New Roman" w:cs="Times New Roman"/>
                <w:b/>
                <w:bCs/>
                <w:color w:val="000000"/>
                <w:sz w:val="18"/>
                <w:szCs w:val="18"/>
              </w:rPr>
              <w:t xml:space="preserve"> </w:t>
            </w:r>
            <w:proofErr w:type="spellStart"/>
            <w:r w:rsidRPr="000A6A01">
              <w:rPr>
                <w:rFonts w:ascii="Times New Roman" w:hAnsi="Times New Roman" w:cs="Times New Roman"/>
                <w:b/>
                <w:bCs/>
                <w:color w:val="000000"/>
                <w:sz w:val="18"/>
                <w:szCs w:val="18"/>
              </w:rPr>
              <w:t>Products</w:t>
            </w:r>
            <w:proofErr w:type="spellEnd"/>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0.004</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0.179</w:t>
            </w:r>
          </w:p>
        </w:tc>
        <w:tc>
          <w:tcPr>
            <w:tcW w:w="1261"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0.004</w:t>
            </w:r>
          </w:p>
        </w:tc>
        <w:tc>
          <w:tcPr>
            <w:tcW w:w="1434"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0.394</w:t>
            </w:r>
          </w:p>
        </w:tc>
      </w:tr>
      <w:tr w:rsidR="001A0A7E" w:rsidRPr="000A6A01" w:rsidTr="00267145">
        <w:trPr>
          <w:trHeight w:val="196"/>
        </w:trPr>
        <w:tc>
          <w:tcPr>
            <w:tcW w:w="4308" w:type="dxa"/>
            <w:shd w:val="clear" w:color="auto" w:fill="B3B3B3"/>
            <w:vAlign w:val="bottom"/>
          </w:tcPr>
          <w:p w:rsidR="001A0A7E" w:rsidRPr="000A6A01" w:rsidRDefault="001A0A7E" w:rsidP="00267145">
            <w:pPr>
              <w:spacing w:after="0" w:line="240" w:lineRule="auto"/>
              <w:contextualSpacing/>
              <w:rPr>
                <w:rFonts w:ascii="Times New Roman" w:hAnsi="Times New Roman" w:cs="Times New Roman"/>
                <w:b/>
                <w:bCs/>
                <w:color w:val="000000"/>
                <w:sz w:val="18"/>
                <w:szCs w:val="18"/>
                <w:lang w:val="en-US"/>
              </w:rPr>
            </w:pPr>
            <w:r w:rsidRPr="000A6A01">
              <w:rPr>
                <w:rFonts w:ascii="Times New Roman" w:hAnsi="Times New Roman" w:cs="Times New Roman"/>
                <w:b/>
                <w:bCs/>
                <w:color w:val="000000"/>
                <w:sz w:val="18"/>
                <w:szCs w:val="18"/>
                <w:lang w:val="en-US"/>
              </w:rPr>
              <w:t>23_Furniture and other manufactured Products</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0.004</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0.172</w:t>
            </w:r>
          </w:p>
        </w:tc>
        <w:tc>
          <w:tcPr>
            <w:tcW w:w="1261"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0.004</w:t>
            </w:r>
          </w:p>
        </w:tc>
        <w:tc>
          <w:tcPr>
            <w:tcW w:w="1434"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0.379</w:t>
            </w:r>
          </w:p>
        </w:tc>
      </w:tr>
      <w:tr w:rsidR="001A0A7E" w:rsidRPr="000A6A01" w:rsidTr="00267145">
        <w:trPr>
          <w:trHeight w:val="416"/>
        </w:trPr>
        <w:tc>
          <w:tcPr>
            <w:tcW w:w="4308" w:type="dxa"/>
            <w:shd w:val="clear" w:color="auto" w:fill="B3B3B3"/>
            <w:vAlign w:val="bottom"/>
          </w:tcPr>
          <w:p w:rsidR="001A0A7E" w:rsidRPr="000A6A01" w:rsidRDefault="001A0A7E" w:rsidP="00267145">
            <w:pPr>
              <w:spacing w:after="0" w:line="240" w:lineRule="auto"/>
              <w:contextualSpacing/>
              <w:rPr>
                <w:rFonts w:ascii="Times New Roman" w:hAnsi="Times New Roman" w:cs="Times New Roman"/>
                <w:b/>
                <w:bCs/>
                <w:color w:val="000000"/>
                <w:sz w:val="18"/>
                <w:szCs w:val="18"/>
                <w:lang w:val="en-US"/>
              </w:rPr>
            </w:pPr>
            <w:r w:rsidRPr="000A6A01">
              <w:rPr>
                <w:rFonts w:ascii="Times New Roman" w:hAnsi="Times New Roman" w:cs="Times New Roman"/>
                <w:b/>
                <w:bCs/>
                <w:color w:val="000000"/>
                <w:sz w:val="18"/>
                <w:szCs w:val="18"/>
                <w:lang w:val="en-GB"/>
              </w:rPr>
              <w:t>24_Sewerage and waste collection. treatment and disposal activities</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0.004</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0.191</w:t>
            </w:r>
          </w:p>
        </w:tc>
        <w:tc>
          <w:tcPr>
            <w:tcW w:w="1261"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0.004</w:t>
            </w:r>
          </w:p>
        </w:tc>
        <w:tc>
          <w:tcPr>
            <w:tcW w:w="1434"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0.420</w:t>
            </w:r>
          </w:p>
        </w:tc>
      </w:tr>
      <w:tr w:rsidR="001A0A7E" w:rsidRPr="000A6A01" w:rsidTr="00267145">
        <w:trPr>
          <w:trHeight w:val="208"/>
        </w:trPr>
        <w:tc>
          <w:tcPr>
            <w:tcW w:w="4308" w:type="dxa"/>
            <w:shd w:val="clear" w:color="auto" w:fill="B3B3B3"/>
            <w:vAlign w:val="bottom"/>
          </w:tcPr>
          <w:p w:rsidR="001A0A7E" w:rsidRPr="000A6A01" w:rsidRDefault="001A0A7E" w:rsidP="00267145">
            <w:pPr>
              <w:spacing w:after="0" w:line="240" w:lineRule="auto"/>
              <w:contextualSpacing/>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 xml:space="preserve">29_Accommodation and </w:t>
            </w:r>
            <w:proofErr w:type="spellStart"/>
            <w:r w:rsidRPr="000A6A01">
              <w:rPr>
                <w:rFonts w:ascii="Times New Roman" w:hAnsi="Times New Roman" w:cs="Times New Roman"/>
                <w:b/>
                <w:bCs/>
                <w:color w:val="000000"/>
                <w:sz w:val="18"/>
                <w:szCs w:val="18"/>
              </w:rPr>
              <w:t>food</w:t>
            </w:r>
            <w:proofErr w:type="spellEnd"/>
            <w:r w:rsidRPr="000A6A01">
              <w:rPr>
                <w:rFonts w:ascii="Times New Roman" w:hAnsi="Times New Roman" w:cs="Times New Roman"/>
                <w:b/>
                <w:bCs/>
                <w:color w:val="000000"/>
                <w:sz w:val="18"/>
                <w:szCs w:val="18"/>
              </w:rPr>
              <w:t xml:space="preserve"> </w:t>
            </w:r>
            <w:proofErr w:type="spellStart"/>
            <w:r w:rsidRPr="000A6A01">
              <w:rPr>
                <w:rFonts w:ascii="Times New Roman" w:hAnsi="Times New Roman" w:cs="Times New Roman"/>
                <w:b/>
                <w:bCs/>
                <w:color w:val="000000"/>
                <w:sz w:val="18"/>
                <w:szCs w:val="18"/>
              </w:rPr>
              <w:t>Services</w:t>
            </w:r>
            <w:proofErr w:type="spellEnd"/>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0.004</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0.194</w:t>
            </w:r>
          </w:p>
        </w:tc>
        <w:tc>
          <w:tcPr>
            <w:tcW w:w="1261"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0.004</w:t>
            </w:r>
          </w:p>
        </w:tc>
        <w:tc>
          <w:tcPr>
            <w:tcW w:w="1434"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0.426</w:t>
            </w:r>
          </w:p>
        </w:tc>
      </w:tr>
      <w:tr w:rsidR="001A0A7E" w:rsidRPr="000A6A01" w:rsidTr="00267145">
        <w:trPr>
          <w:trHeight w:val="196"/>
        </w:trPr>
        <w:tc>
          <w:tcPr>
            <w:tcW w:w="4308" w:type="dxa"/>
            <w:shd w:val="clear" w:color="auto" w:fill="B3B3B3"/>
            <w:vAlign w:val="bottom"/>
          </w:tcPr>
          <w:p w:rsidR="001A0A7E" w:rsidRPr="000A6A01" w:rsidRDefault="001A0A7E" w:rsidP="00267145">
            <w:pPr>
              <w:spacing w:after="0" w:line="240" w:lineRule="auto"/>
              <w:contextualSpacing/>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 xml:space="preserve">42_Education </w:t>
            </w:r>
            <w:proofErr w:type="spellStart"/>
            <w:r w:rsidRPr="000A6A01">
              <w:rPr>
                <w:rFonts w:ascii="Times New Roman" w:hAnsi="Times New Roman" w:cs="Times New Roman"/>
                <w:b/>
                <w:bCs/>
                <w:color w:val="000000"/>
                <w:sz w:val="18"/>
                <w:szCs w:val="18"/>
              </w:rPr>
              <w:t>Services</w:t>
            </w:r>
            <w:proofErr w:type="spellEnd"/>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0.004</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0.173</w:t>
            </w:r>
          </w:p>
        </w:tc>
        <w:tc>
          <w:tcPr>
            <w:tcW w:w="1261"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0.004</w:t>
            </w:r>
          </w:p>
        </w:tc>
        <w:tc>
          <w:tcPr>
            <w:tcW w:w="1434"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0.382</w:t>
            </w:r>
          </w:p>
        </w:tc>
      </w:tr>
      <w:tr w:rsidR="001A0A7E" w:rsidRPr="000A6A01" w:rsidTr="00267145">
        <w:trPr>
          <w:trHeight w:val="208"/>
        </w:trPr>
        <w:tc>
          <w:tcPr>
            <w:tcW w:w="4308" w:type="dxa"/>
            <w:shd w:val="clear" w:color="auto" w:fill="B3B3B3"/>
            <w:vAlign w:val="bottom"/>
          </w:tcPr>
          <w:p w:rsidR="001A0A7E" w:rsidRPr="000A6A01" w:rsidRDefault="001A0A7E" w:rsidP="00267145">
            <w:pPr>
              <w:spacing w:after="0" w:line="240" w:lineRule="auto"/>
              <w:contextualSpacing/>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08_Water Sector</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0.004</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0.156</w:t>
            </w:r>
          </w:p>
        </w:tc>
        <w:tc>
          <w:tcPr>
            <w:tcW w:w="1261"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0.004</w:t>
            </w:r>
          </w:p>
        </w:tc>
        <w:tc>
          <w:tcPr>
            <w:tcW w:w="1434"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0.344</w:t>
            </w:r>
          </w:p>
        </w:tc>
      </w:tr>
      <w:tr w:rsidR="001A0A7E" w:rsidRPr="000A6A01" w:rsidTr="00267145">
        <w:trPr>
          <w:trHeight w:val="208"/>
        </w:trPr>
        <w:tc>
          <w:tcPr>
            <w:tcW w:w="4308" w:type="dxa"/>
            <w:shd w:val="clear" w:color="auto" w:fill="B3B3B3"/>
            <w:vAlign w:val="bottom"/>
          </w:tcPr>
          <w:p w:rsidR="001A0A7E" w:rsidRPr="000A6A01" w:rsidRDefault="001A0A7E" w:rsidP="00267145">
            <w:pPr>
              <w:spacing w:after="0" w:line="240" w:lineRule="auto"/>
              <w:contextualSpacing/>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lang w:val="en-GB"/>
              </w:rPr>
              <w:t xml:space="preserve">11_Wood and Cork Products </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0.003</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0.131</w:t>
            </w:r>
          </w:p>
        </w:tc>
        <w:tc>
          <w:tcPr>
            <w:tcW w:w="1261"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0.003</w:t>
            </w:r>
          </w:p>
        </w:tc>
        <w:tc>
          <w:tcPr>
            <w:tcW w:w="1434"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0.289</w:t>
            </w:r>
          </w:p>
        </w:tc>
      </w:tr>
      <w:tr w:rsidR="001A0A7E" w:rsidRPr="000A6A01" w:rsidTr="00267145">
        <w:trPr>
          <w:trHeight w:val="404"/>
        </w:trPr>
        <w:tc>
          <w:tcPr>
            <w:tcW w:w="4308" w:type="dxa"/>
            <w:shd w:val="clear" w:color="auto" w:fill="B3B3B3"/>
            <w:vAlign w:val="bottom"/>
          </w:tcPr>
          <w:p w:rsidR="001A0A7E" w:rsidRPr="000A6A01" w:rsidRDefault="001A0A7E" w:rsidP="00267145">
            <w:pPr>
              <w:spacing w:after="0" w:line="240" w:lineRule="auto"/>
              <w:contextualSpacing/>
              <w:rPr>
                <w:rFonts w:ascii="Times New Roman" w:hAnsi="Times New Roman" w:cs="Times New Roman"/>
                <w:b/>
                <w:bCs/>
                <w:color w:val="000000"/>
                <w:sz w:val="18"/>
                <w:szCs w:val="18"/>
                <w:lang w:val="en-US"/>
              </w:rPr>
            </w:pPr>
            <w:r w:rsidRPr="000A6A01">
              <w:rPr>
                <w:rFonts w:ascii="Times New Roman" w:hAnsi="Times New Roman" w:cs="Times New Roman"/>
                <w:b/>
                <w:bCs/>
                <w:color w:val="000000"/>
                <w:sz w:val="18"/>
                <w:szCs w:val="18"/>
                <w:lang w:val="en-GB"/>
              </w:rPr>
              <w:t>34_Insurance. reinsurance and pension funding Services</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0.003</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0.119</w:t>
            </w:r>
          </w:p>
        </w:tc>
        <w:tc>
          <w:tcPr>
            <w:tcW w:w="1261"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0.003</w:t>
            </w:r>
          </w:p>
        </w:tc>
        <w:tc>
          <w:tcPr>
            <w:tcW w:w="1434"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0.263</w:t>
            </w:r>
          </w:p>
        </w:tc>
      </w:tr>
      <w:tr w:rsidR="001A0A7E" w:rsidRPr="000A6A01" w:rsidTr="00267145">
        <w:trPr>
          <w:trHeight w:val="208"/>
        </w:trPr>
        <w:tc>
          <w:tcPr>
            <w:tcW w:w="4308" w:type="dxa"/>
            <w:shd w:val="clear" w:color="auto" w:fill="B3B3B3"/>
            <w:vAlign w:val="bottom"/>
          </w:tcPr>
          <w:p w:rsidR="001A0A7E" w:rsidRPr="000A6A01" w:rsidRDefault="001A0A7E" w:rsidP="00267145">
            <w:pPr>
              <w:spacing w:after="0" w:line="240" w:lineRule="auto"/>
              <w:contextualSpacing/>
              <w:rPr>
                <w:rFonts w:ascii="Times New Roman" w:hAnsi="Times New Roman" w:cs="Times New Roman"/>
                <w:b/>
                <w:bCs/>
                <w:color w:val="000000"/>
                <w:sz w:val="18"/>
                <w:szCs w:val="18"/>
                <w:lang w:val="en-US"/>
              </w:rPr>
            </w:pPr>
            <w:r w:rsidRPr="000A6A01">
              <w:rPr>
                <w:rFonts w:ascii="Times New Roman" w:hAnsi="Times New Roman" w:cs="Times New Roman"/>
                <w:b/>
                <w:bCs/>
                <w:color w:val="000000"/>
                <w:sz w:val="18"/>
                <w:szCs w:val="18"/>
                <w:lang w:val="en-GB"/>
              </w:rPr>
              <w:t>09_Food products. beverages and tobacco Products</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0.003</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0.127</w:t>
            </w:r>
          </w:p>
        </w:tc>
        <w:tc>
          <w:tcPr>
            <w:tcW w:w="1261"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0.003</w:t>
            </w:r>
          </w:p>
        </w:tc>
        <w:tc>
          <w:tcPr>
            <w:tcW w:w="1434"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0.281</w:t>
            </w:r>
          </w:p>
        </w:tc>
      </w:tr>
      <w:tr w:rsidR="001A0A7E" w:rsidRPr="000A6A01" w:rsidTr="00267145">
        <w:trPr>
          <w:trHeight w:val="208"/>
        </w:trPr>
        <w:tc>
          <w:tcPr>
            <w:tcW w:w="4308" w:type="dxa"/>
            <w:shd w:val="clear" w:color="auto" w:fill="B3B3B3"/>
            <w:vAlign w:val="bottom"/>
          </w:tcPr>
          <w:p w:rsidR="001A0A7E" w:rsidRPr="000A6A01" w:rsidRDefault="001A0A7E" w:rsidP="00267145">
            <w:pPr>
              <w:spacing w:after="0" w:line="240" w:lineRule="auto"/>
              <w:contextualSpacing/>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 xml:space="preserve">01_Agriculture and </w:t>
            </w:r>
            <w:proofErr w:type="spellStart"/>
            <w:r w:rsidRPr="000A6A01">
              <w:rPr>
                <w:rFonts w:ascii="Times New Roman" w:hAnsi="Times New Roman" w:cs="Times New Roman"/>
                <w:b/>
                <w:bCs/>
                <w:color w:val="000000"/>
                <w:sz w:val="18"/>
                <w:szCs w:val="18"/>
              </w:rPr>
              <w:t>hunting</w:t>
            </w:r>
            <w:proofErr w:type="spellEnd"/>
            <w:r w:rsidRPr="000A6A01">
              <w:rPr>
                <w:rFonts w:ascii="Times New Roman" w:hAnsi="Times New Roman" w:cs="Times New Roman"/>
                <w:b/>
                <w:bCs/>
                <w:color w:val="000000"/>
                <w:sz w:val="18"/>
                <w:szCs w:val="18"/>
              </w:rPr>
              <w:t xml:space="preserve"> </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0.002</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0.095</w:t>
            </w:r>
          </w:p>
        </w:tc>
        <w:tc>
          <w:tcPr>
            <w:tcW w:w="1261"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0.002</w:t>
            </w:r>
          </w:p>
        </w:tc>
        <w:tc>
          <w:tcPr>
            <w:tcW w:w="1434"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0.209</w:t>
            </w:r>
          </w:p>
        </w:tc>
      </w:tr>
      <w:tr w:rsidR="001A0A7E" w:rsidRPr="000A6A01" w:rsidTr="00267145">
        <w:trPr>
          <w:trHeight w:val="196"/>
        </w:trPr>
        <w:tc>
          <w:tcPr>
            <w:tcW w:w="4308" w:type="dxa"/>
            <w:shd w:val="clear" w:color="auto" w:fill="B3B3B3"/>
            <w:vAlign w:val="bottom"/>
          </w:tcPr>
          <w:p w:rsidR="001A0A7E" w:rsidRPr="000A6A01" w:rsidRDefault="001A0A7E" w:rsidP="00267145">
            <w:pPr>
              <w:spacing w:after="0" w:line="240" w:lineRule="auto"/>
              <w:contextualSpacing/>
              <w:rPr>
                <w:rFonts w:ascii="Times New Roman" w:hAnsi="Times New Roman" w:cs="Times New Roman"/>
                <w:b/>
                <w:bCs/>
                <w:color w:val="000000"/>
                <w:sz w:val="18"/>
                <w:szCs w:val="18"/>
                <w:lang w:val="en-US"/>
              </w:rPr>
            </w:pPr>
            <w:r w:rsidRPr="000A6A01">
              <w:rPr>
                <w:rFonts w:ascii="Times New Roman" w:hAnsi="Times New Roman" w:cs="Times New Roman"/>
                <w:b/>
                <w:bCs/>
                <w:color w:val="000000"/>
                <w:sz w:val="18"/>
                <w:szCs w:val="18"/>
                <w:lang w:val="en-GB"/>
              </w:rPr>
              <w:t>10_Textiles. wearing apparel and leather Products</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0.002</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0.082</w:t>
            </w:r>
          </w:p>
        </w:tc>
        <w:tc>
          <w:tcPr>
            <w:tcW w:w="1261"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0.002</w:t>
            </w:r>
          </w:p>
        </w:tc>
        <w:tc>
          <w:tcPr>
            <w:tcW w:w="1434"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0.180</w:t>
            </w:r>
          </w:p>
        </w:tc>
      </w:tr>
      <w:tr w:rsidR="001A0A7E" w:rsidRPr="000A6A01" w:rsidTr="00267145">
        <w:trPr>
          <w:trHeight w:val="208"/>
        </w:trPr>
        <w:tc>
          <w:tcPr>
            <w:tcW w:w="4308" w:type="dxa"/>
            <w:shd w:val="clear" w:color="auto" w:fill="B3B3B3"/>
            <w:vAlign w:val="bottom"/>
          </w:tcPr>
          <w:p w:rsidR="001A0A7E" w:rsidRPr="000A6A01" w:rsidRDefault="001A0A7E" w:rsidP="00267145">
            <w:pPr>
              <w:spacing w:after="0" w:line="240" w:lineRule="auto"/>
              <w:contextualSpacing/>
              <w:rPr>
                <w:rFonts w:ascii="Times New Roman" w:hAnsi="Times New Roman" w:cs="Times New Roman"/>
                <w:b/>
                <w:bCs/>
                <w:color w:val="000000"/>
                <w:sz w:val="18"/>
                <w:szCs w:val="18"/>
                <w:lang w:val="en-US"/>
              </w:rPr>
            </w:pPr>
            <w:r w:rsidRPr="000A6A01">
              <w:rPr>
                <w:rFonts w:ascii="Times New Roman" w:hAnsi="Times New Roman" w:cs="Times New Roman"/>
                <w:b/>
                <w:bCs/>
                <w:color w:val="000000"/>
                <w:sz w:val="18"/>
                <w:szCs w:val="18"/>
                <w:lang w:val="en-GB"/>
              </w:rPr>
              <w:t>20_Computer. electronic and optical Products</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0.002</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0.070</w:t>
            </w:r>
          </w:p>
        </w:tc>
        <w:tc>
          <w:tcPr>
            <w:tcW w:w="1261"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0.002</w:t>
            </w:r>
          </w:p>
        </w:tc>
        <w:tc>
          <w:tcPr>
            <w:tcW w:w="1434"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0.153</w:t>
            </w:r>
          </w:p>
        </w:tc>
      </w:tr>
      <w:tr w:rsidR="001A0A7E" w:rsidRPr="000A6A01" w:rsidTr="00267145">
        <w:trPr>
          <w:trHeight w:val="208"/>
        </w:trPr>
        <w:tc>
          <w:tcPr>
            <w:tcW w:w="4308" w:type="dxa"/>
            <w:shd w:val="clear" w:color="auto" w:fill="B3B3B3"/>
            <w:vAlign w:val="bottom"/>
          </w:tcPr>
          <w:p w:rsidR="001A0A7E" w:rsidRPr="000A6A01" w:rsidRDefault="001A0A7E" w:rsidP="00267145">
            <w:pPr>
              <w:spacing w:after="0" w:line="240" w:lineRule="auto"/>
              <w:contextualSpacing/>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lang w:val="en-GB"/>
              </w:rPr>
              <w:t>28_Other Retail trade services</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0.002</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0.095</w:t>
            </w:r>
          </w:p>
        </w:tc>
        <w:tc>
          <w:tcPr>
            <w:tcW w:w="1261"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0.002</w:t>
            </w:r>
          </w:p>
        </w:tc>
        <w:tc>
          <w:tcPr>
            <w:tcW w:w="1434"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0.210</w:t>
            </w:r>
          </w:p>
        </w:tc>
      </w:tr>
      <w:tr w:rsidR="001A0A7E" w:rsidRPr="000A6A01" w:rsidTr="00267145">
        <w:trPr>
          <w:trHeight w:val="196"/>
        </w:trPr>
        <w:tc>
          <w:tcPr>
            <w:tcW w:w="4308" w:type="dxa"/>
            <w:shd w:val="clear" w:color="auto" w:fill="B3B3B3"/>
            <w:vAlign w:val="bottom"/>
          </w:tcPr>
          <w:p w:rsidR="001A0A7E" w:rsidRPr="000A6A01" w:rsidRDefault="001A0A7E" w:rsidP="00267145">
            <w:pPr>
              <w:spacing w:after="0" w:line="240" w:lineRule="auto"/>
              <w:contextualSpacing/>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 xml:space="preserve">43_Health and Social </w:t>
            </w:r>
            <w:proofErr w:type="spellStart"/>
            <w:r w:rsidRPr="000A6A01">
              <w:rPr>
                <w:rFonts w:ascii="Times New Roman" w:hAnsi="Times New Roman" w:cs="Times New Roman"/>
                <w:b/>
                <w:bCs/>
                <w:color w:val="000000"/>
                <w:sz w:val="18"/>
                <w:szCs w:val="18"/>
              </w:rPr>
              <w:t>Services</w:t>
            </w:r>
            <w:proofErr w:type="spellEnd"/>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0.002</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0.091</w:t>
            </w:r>
          </w:p>
        </w:tc>
        <w:tc>
          <w:tcPr>
            <w:tcW w:w="1261"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0.002</w:t>
            </w:r>
          </w:p>
        </w:tc>
        <w:tc>
          <w:tcPr>
            <w:tcW w:w="1434"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0.200</w:t>
            </w:r>
          </w:p>
        </w:tc>
      </w:tr>
      <w:tr w:rsidR="001A0A7E" w:rsidRPr="000A6A01" w:rsidTr="00267145">
        <w:trPr>
          <w:trHeight w:val="208"/>
        </w:trPr>
        <w:tc>
          <w:tcPr>
            <w:tcW w:w="4308" w:type="dxa"/>
            <w:shd w:val="clear" w:color="auto" w:fill="B3B3B3"/>
            <w:vAlign w:val="bottom"/>
          </w:tcPr>
          <w:p w:rsidR="001A0A7E" w:rsidRPr="000A6A01" w:rsidRDefault="001A0A7E" w:rsidP="00267145">
            <w:pPr>
              <w:spacing w:after="0" w:line="240" w:lineRule="auto"/>
              <w:contextualSpacing/>
              <w:rPr>
                <w:rFonts w:ascii="Times New Roman" w:hAnsi="Times New Roman" w:cs="Times New Roman"/>
                <w:b/>
                <w:bCs/>
                <w:color w:val="000000"/>
                <w:sz w:val="18"/>
                <w:szCs w:val="18"/>
                <w:lang w:val="en-US"/>
              </w:rPr>
            </w:pPr>
            <w:r w:rsidRPr="000A6A01">
              <w:rPr>
                <w:rFonts w:ascii="Times New Roman" w:hAnsi="Times New Roman" w:cs="Times New Roman"/>
                <w:b/>
                <w:bCs/>
                <w:color w:val="000000"/>
                <w:sz w:val="18"/>
                <w:szCs w:val="18"/>
                <w:lang w:val="en-GB"/>
              </w:rPr>
              <w:t>44_Services furnished by membership organisations</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0.002</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0.067</w:t>
            </w:r>
          </w:p>
        </w:tc>
        <w:tc>
          <w:tcPr>
            <w:tcW w:w="1261"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0.002</w:t>
            </w:r>
          </w:p>
        </w:tc>
        <w:tc>
          <w:tcPr>
            <w:tcW w:w="1434"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0.147</w:t>
            </w:r>
          </w:p>
        </w:tc>
      </w:tr>
      <w:tr w:rsidR="001A0A7E" w:rsidRPr="000A6A01" w:rsidTr="00267145">
        <w:trPr>
          <w:trHeight w:val="208"/>
        </w:trPr>
        <w:tc>
          <w:tcPr>
            <w:tcW w:w="4308" w:type="dxa"/>
            <w:shd w:val="clear" w:color="auto" w:fill="B3B3B3"/>
            <w:vAlign w:val="bottom"/>
          </w:tcPr>
          <w:p w:rsidR="001A0A7E" w:rsidRPr="000A6A01" w:rsidRDefault="001A0A7E" w:rsidP="00267145">
            <w:pPr>
              <w:spacing w:after="0" w:line="240" w:lineRule="auto"/>
              <w:contextualSpacing/>
              <w:rPr>
                <w:rFonts w:ascii="Times New Roman" w:hAnsi="Times New Roman" w:cs="Times New Roman"/>
                <w:b/>
                <w:bCs/>
                <w:color w:val="000000"/>
                <w:sz w:val="18"/>
                <w:szCs w:val="18"/>
                <w:lang w:val="en-US"/>
              </w:rPr>
            </w:pPr>
            <w:r w:rsidRPr="000A6A01">
              <w:rPr>
                <w:rFonts w:ascii="Times New Roman" w:hAnsi="Times New Roman" w:cs="Times New Roman"/>
                <w:b/>
                <w:bCs/>
                <w:color w:val="000000"/>
                <w:sz w:val="18"/>
                <w:szCs w:val="18"/>
                <w:lang w:val="en-GB"/>
              </w:rPr>
              <w:t>31_Travel agency and tour operator Services</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0.001</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0.060</w:t>
            </w:r>
          </w:p>
        </w:tc>
        <w:tc>
          <w:tcPr>
            <w:tcW w:w="1261"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0.001</w:t>
            </w:r>
          </w:p>
        </w:tc>
        <w:tc>
          <w:tcPr>
            <w:tcW w:w="1434"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0.132</w:t>
            </w:r>
          </w:p>
        </w:tc>
      </w:tr>
      <w:tr w:rsidR="001A0A7E" w:rsidRPr="000A6A01" w:rsidTr="00267145">
        <w:trPr>
          <w:trHeight w:val="196"/>
        </w:trPr>
        <w:tc>
          <w:tcPr>
            <w:tcW w:w="4308" w:type="dxa"/>
            <w:shd w:val="clear" w:color="auto" w:fill="B3B3B3"/>
            <w:vAlign w:val="bottom"/>
          </w:tcPr>
          <w:p w:rsidR="001A0A7E" w:rsidRPr="000A6A01" w:rsidRDefault="001A0A7E" w:rsidP="00267145">
            <w:pPr>
              <w:spacing w:after="0" w:line="240" w:lineRule="auto"/>
              <w:contextualSpacing/>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02_Forestry</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0.000</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0.019</w:t>
            </w:r>
          </w:p>
        </w:tc>
        <w:tc>
          <w:tcPr>
            <w:tcW w:w="1261"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0.000</w:t>
            </w:r>
          </w:p>
        </w:tc>
        <w:tc>
          <w:tcPr>
            <w:tcW w:w="1434"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0.042</w:t>
            </w:r>
          </w:p>
        </w:tc>
      </w:tr>
      <w:tr w:rsidR="001A0A7E" w:rsidRPr="000A6A01" w:rsidTr="00267145">
        <w:trPr>
          <w:trHeight w:val="208"/>
        </w:trPr>
        <w:tc>
          <w:tcPr>
            <w:tcW w:w="4308" w:type="dxa"/>
            <w:shd w:val="clear" w:color="auto" w:fill="B3B3B3"/>
            <w:vAlign w:val="bottom"/>
          </w:tcPr>
          <w:p w:rsidR="001A0A7E" w:rsidRPr="000A6A01" w:rsidRDefault="001A0A7E" w:rsidP="00267145">
            <w:pPr>
              <w:spacing w:after="0" w:line="240" w:lineRule="auto"/>
              <w:contextualSpacing/>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 xml:space="preserve">03_Fishing and </w:t>
            </w:r>
            <w:proofErr w:type="spellStart"/>
            <w:r w:rsidRPr="000A6A01">
              <w:rPr>
                <w:rFonts w:ascii="Times New Roman" w:hAnsi="Times New Roman" w:cs="Times New Roman"/>
                <w:b/>
                <w:bCs/>
                <w:color w:val="000000"/>
                <w:sz w:val="18"/>
                <w:szCs w:val="18"/>
              </w:rPr>
              <w:t>aquaculture</w:t>
            </w:r>
            <w:proofErr w:type="spellEnd"/>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0.000</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0.003</w:t>
            </w:r>
          </w:p>
        </w:tc>
        <w:tc>
          <w:tcPr>
            <w:tcW w:w="1261"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0.000</w:t>
            </w:r>
          </w:p>
        </w:tc>
        <w:tc>
          <w:tcPr>
            <w:tcW w:w="1434"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0.007</w:t>
            </w:r>
          </w:p>
        </w:tc>
      </w:tr>
      <w:tr w:rsidR="001A0A7E" w:rsidRPr="000A6A01" w:rsidTr="00267145">
        <w:trPr>
          <w:trHeight w:val="208"/>
        </w:trPr>
        <w:tc>
          <w:tcPr>
            <w:tcW w:w="4308" w:type="dxa"/>
            <w:shd w:val="clear" w:color="auto" w:fill="B3B3B3"/>
            <w:vAlign w:val="bottom"/>
          </w:tcPr>
          <w:p w:rsidR="001A0A7E" w:rsidRPr="000A6A01" w:rsidRDefault="001A0A7E" w:rsidP="00267145">
            <w:pPr>
              <w:spacing w:after="0" w:line="240" w:lineRule="auto"/>
              <w:contextualSpacing/>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lang w:val="en-GB"/>
              </w:rPr>
              <w:t>41_Public Services</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0.000</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0.000</w:t>
            </w:r>
          </w:p>
        </w:tc>
        <w:tc>
          <w:tcPr>
            <w:tcW w:w="1261"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0.000</w:t>
            </w:r>
          </w:p>
        </w:tc>
        <w:tc>
          <w:tcPr>
            <w:tcW w:w="1434"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0.000</w:t>
            </w:r>
          </w:p>
        </w:tc>
      </w:tr>
      <w:tr w:rsidR="001A0A7E" w:rsidRPr="000A6A01" w:rsidTr="00267145">
        <w:trPr>
          <w:trHeight w:val="196"/>
        </w:trPr>
        <w:tc>
          <w:tcPr>
            <w:tcW w:w="4308" w:type="dxa"/>
            <w:shd w:val="clear" w:color="auto" w:fill="B3B3B3"/>
            <w:vAlign w:val="bottom"/>
          </w:tcPr>
          <w:p w:rsidR="001A0A7E" w:rsidRPr="000A6A01" w:rsidRDefault="001A0A7E" w:rsidP="00267145">
            <w:pPr>
              <w:spacing w:after="0" w:line="240" w:lineRule="auto"/>
              <w:contextualSpacing/>
              <w:rPr>
                <w:rFonts w:ascii="Times New Roman" w:hAnsi="Times New Roman" w:cs="Times New Roman"/>
                <w:b/>
                <w:bCs/>
                <w:color w:val="000000"/>
                <w:sz w:val="18"/>
                <w:szCs w:val="18"/>
              </w:rPr>
            </w:pPr>
            <w:r w:rsidRPr="000A6A01">
              <w:rPr>
                <w:rFonts w:ascii="Times New Roman" w:hAnsi="Times New Roman" w:cs="Times New Roman"/>
                <w:b/>
                <w:bCs/>
                <w:color w:val="000000"/>
                <w:sz w:val="18"/>
                <w:szCs w:val="18"/>
              </w:rPr>
              <w:t xml:space="preserve">46_Other personal </w:t>
            </w:r>
            <w:proofErr w:type="spellStart"/>
            <w:r w:rsidRPr="000A6A01">
              <w:rPr>
                <w:rFonts w:ascii="Times New Roman" w:hAnsi="Times New Roman" w:cs="Times New Roman"/>
                <w:b/>
                <w:bCs/>
                <w:color w:val="000000"/>
                <w:sz w:val="18"/>
                <w:szCs w:val="18"/>
              </w:rPr>
              <w:t>Services</w:t>
            </w:r>
            <w:proofErr w:type="spellEnd"/>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0.000</w:t>
            </w:r>
          </w:p>
        </w:tc>
        <w:tc>
          <w:tcPr>
            <w:tcW w:w="1540"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0.018</w:t>
            </w:r>
          </w:p>
        </w:tc>
        <w:tc>
          <w:tcPr>
            <w:tcW w:w="1261"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0.000</w:t>
            </w:r>
          </w:p>
        </w:tc>
        <w:tc>
          <w:tcPr>
            <w:tcW w:w="1434" w:type="dxa"/>
            <w:vAlign w:val="bottom"/>
          </w:tcPr>
          <w:p w:rsidR="001A0A7E" w:rsidRPr="000A6A01" w:rsidRDefault="001A0A7E" w:rsidP="00267145">
            <w:pPr>
              <w:spacing w:after="0" w:line="240" w:lineRule="auto"/>
              <w:contextualSpacing/>
              <w:jc w:val="center"/>
              <w:rPr>
                <w:rFonts w:ascii="Times New Roman" w:hAnsi="Times New Roman" w:cs="Times New Roman"/>
                <w:color w:val="000000"/>
                <w:sz w:val="18"/>
                <w:szCs w:val="18"/>
              </w:rPr>
            </w:pPr>
            <w:r w:rsidRPr="000A6A01">
              <w:rPr>
                <w:rFonts w:ascii="Times New Roman" w:hAnsi="Times New Roman" w:cs="Times New Roman"/>
                <w:color w:val="000000"/>
                <w:sz w:val="18"/>
                <w:szCs w:val="18"/>
              </w:rPr>
              <w:t>0.040</w:t>
            </w:r>
          </w:p>
        </w:tc>
      </w:tr>
      <w:tr w:rsidR="001A0A7E" w:rsidRPr="000A6A01" w:rsidTr="00267145">
        <w:trPr>
          <w:trHeight w:val="208"/>
        </w:trPr>
        <w:tc>
          <w:tcPr>
            <w:tcW w:w="4308" w:type="dxa"/>
            <w:shd w:val="clear" w:color="auto" w:fill="D9D9D9"/>
            <w:vAlign w:val="bottom"/>
          </w:tcPr>
          <w:p w:rsidR="001A0A7E" w:rsidRPr="000A6A01" w:rsidRDefault="001A0A7E" w:rsidP="00267145">
            <w:pPr>
              <w:spacing w:after="0" w:line="240" w:lineRule="auto"/>
              <w:contextualSpacing/>
              <w:rPr>
                <w:rFonts w:ascii="Times New Roman" w:hAnsi="Times New Roman" w:cs="Times New Roman"/>
                <w:b/>
                <w:bCs/>
                <w:sz w:val="18"/>
                <w:szCs w:val="18"/>
              </w:rPr>
            </w:pPr>
            <w:r w:rsidRPr="000A6A01">
              <w:rPr>
                <w:rFonts w:ascii="Times New Roman" w:hAnsi="Times New Roman" w:cs="Times New Roman"/>
                <w:b/>
                <w:bCs/>
                <w:sz w:val="18"/>
                <w:szCs w:val="18"/>
              </w:rPr>
              <w:t>Total</w:t>
            </w:r>
          </w:p>
        </w:tc>
        <w:tc>
          <w:tcPr>
            <w:tcW w:w="1540" w:type="dxa"/>
            <w:shd w:val="clear" w:color="auto" w:fill="D9D9D9"/>
            <w:vAlign w:val="bottom"/>
          </w:tcPr>
          <w:p w:rsidR="001A0A7E" w:rsidRPr="000A6A01" w:rsidRDefault="001A0A7E" w:rsidP="00267145">
            <w:pPr>
              <w:spacing w:after="0" w:line="240" w:lineRule="auto"/>
              <w:contextualSpacing/>
              <w:jc w:val="center"/>
              <w:rPr>
                <w:rFonts w:ascii="Times New Roman" w:hAnsi="Times New Roman" w:cs="Times New Roman"/>
                <w:b/>
                <w:sz w:val="18"/>
                <w:szCs w:val="18"/>
              </w:rPr>
            </w:pPr>
            <w:r w:rsidRPr="000A6A01">
              <w:rPr>
                <w:rFonts w:ascii="Times New Roman" w:hAnsi="Times New Roman" w:cs="Times New Roman"/>
                <w:b/>
                <w:bCs/>
                <w:sz w:val="18"/>
                <w:szCs w:val="18"/>
              </w:rPr>
              <w:t>2.249</w:t>
            </w:r>
          </w:p>
        </w:tc>
        <w:tc>
          <w:tcPr>
            <w:tcW w:w="1540" w:type="dxa"/>
            <w:shd w:val="clear" w:color="auto" w:fill="D9D9D9"/>
            <w:vAlign w:val="bottom"/>
          </w:tcPr>
          <w:p w:rsidR="001A0A7E" w:rsidRPr="000A6A01" w:rsidRDefault="001A0A7E" w:rsidP="00267145">
            <w:pPr>
              <w:spacing w:after="0" w:line="240" w:lineRule="auto"/>
              <w:contextualSpacing/>
              <w:jc w:val="center"/>
              <w:rPr>
                <w:rFonts w:ascii="Times New Roman" w:hAnsi="Times New Roman" w:cs="Times New Roman"/>
                <w:b/>
                <w:sz w:val="18"/>
                <w:szCs w:val="18"/>
              </w:rPr>
            </w:pPr>
            <w:r w:rsidRPr="000A6A01">
              <w:rPr>
                <w:rFonts w:ascii="Times New Roman" w:hAnsi="Times New Roman" w:cs="Times New Roman"/>
                <w:b/>
                <w:sz w:val="18"/>
                <w:szCs w:val="18"/>
              </w:rPr>
              <w:t>100</w:t>
            </w:r>
          </w:p>
        </w:tc>
        <w:tc>
          <w:tcPr>
            <w:tcW w:w="1261" w:type="dxa"/>
            <w:shd w:val="clear" w:color="auto" w:fill="D9D9D9"/>
            <w:vAlign w:val="bottom"/>
          </w:tcPr>
          <w:p w:rsidR="001A0A7E" w:rsidRPr="000A6A01" w:rsidRDefault="001A0A7E" w:rsidP="00267145">
            <w:pPr>
              <w:spacing w:after="0" w:line="240" w:lineRule="auto"/>
              <w:contextualSpacing/>
              <w:jc w:val="center"/>
              <w:rPr>
                <w:rFonts w:ascii="Times New Roman" w:hAnsi="Times New Roman" w:cs="Times New Roman"/>
                <w:b/>
                <w:sz w:val="18"/>
                <w:szCs w:val="18"/>
              </w:rPr>
            </w:pPr>
            <w:r w:rsidRPr="000A6A01">
              <w:rPr>
                <w:rFonts w:ascii="Times New Roman" w:hAnsi="Times New Roman" w:cs="Times New Roman"/>
                <w:b/>
                <w:sz w:val="18"/>
                <w:szCs w:val="18"/>
              </w:rPr>
              <w:t>1.022</w:t>
            </w:r>
          </w:p>
        </w:tc>
        <w:tc>
          <w:tcPr>
            <w:tcW w:w="1434" w:type="dxa"/>
            <w:shd w:val="clear" w:color="auto" w:fill="D9D9D9"/>
            <w:vAlign w:val="bottom"/>
          </w:tcPr>
          <w:p w:rsidR="001A0A7E" w:rsidRPr="000A6A01" w:rsidRDefault="001A0A7E" w:rsidP="00267145">
            <w:pPr>
              <w:spacing w:after="0" w:line="240" w:lineRule="auto"/>
              <w:contextualSpacing/>
              <w:jc w:val="center"/>
              <w:rPr>
                <w:rFonts w:ascii="Times New Roman" w:hAnsi="Times New Roman" w:cs="Times New Roman"/>
                <w:b/>
                <w:sz w:val="18"/>
                <w:szCs w:val="18"/>
              </w:rPr>
            </w:pPr>
            <w:r w:rsidRPr="000A6A01">
              <w:rPr>
                <w:rFonts w:ascii="Times New Roman" w:hAnsi="Times New Roman" w:cs="Times New Roman"/>
                <w:b/>
                <w:sz w:val="18"/>
                <w:szCs w:val="18"/>
              </w:rPr>
              <w:t>100</w:t>
            </w:r>
          </w:p>
        </w:tc>
      </w:tr>
      <w:tr w:rsidR="001A0A7E" w:rsidRPr="000A6A01" w:rsidTr="00267145">
        <w:trPr>
          <w:trHeight w:val="208"/>
        </w:trPr>
        <w:tc>
          <w:tcPr>
            <w:tcW w:w="4308" w:type="dxa"/>
            <w:shd w:val="clear" w:color="auto" w:fill="D9D9D9"/>
            <w:vAlign w:val="bottom"/>
          </w:tcPr>
          <w:p w:rsidR="001A0A7E" w:rsidRPr="000A6A01" w:rsidRDefault="001A0A7E" w:rsidP="00267145">
            <w:pPr>
              <w:spacing w:after="0" w:line="240" w:lineRule="auto"/>
              <w:contextualSpacing/>
              <w:rPr>
                <w:rFonts w:ascii="Times New Roman" w:hAnsi="Times New Roman" w:cs="Times New Roman"/>
                <w:b/>
                <w:bCs/>
                <w:sz w:val="18"/>
                <w:szCs w:val="18"/>
              </w:rPr>
            </w:pPr>
            <w:proofErr w:type="spellStart"/>
            <w:r w:rsidRPr="000A6A01">
              <w:rPr>
                <w:rFonts w:ascii="Times New Roman" w:hAnsi="Times New Roman" w:cs="Times New Roman"/>
                <w:b/>
                <w:bCs/>
                <w:sz w:val="18"/>
                <w:szCs w:val="18"/>
              </w:rPr>
              <w:t>Average</w:t>
            </w:r>
            <w:proofErr w:type="spellEnd"/>
            <w:r w:rsidRPr="000A6A01">
              <w:rPr>
                <w:rFonts w:ascii="Times New Roman" w:hAnsi="Times New Roman" w:cs="Times New Roman"/>
                <w:b/>
                <w:bCs/>
                <w:sz w:val="18"/>
                <w:szCs w:val="18"/>
              </w:rPr>
              <w:t xml:space="preserve"> </w:t>
            </w:r>
            <w:proofErr w:type="spellStart"/>
            <w:r w:rsidRPr="000A6A01">
              <w:rPr>
                <w:rFonts w:ascii="Times New Roman" w:hAnsi="Times New Roman" w:cs="Times New Roman"/>
                <w:b/>
                <w:bCs/>
                <w:sz w:val="18"/>
                <w:szCs w:val="18"/>
              </w:rPr>
              <w:t>Effect</w:t>
            </w:r>
            <w:proofErr w:type="spellEnd"/>
          </w:p>
        </w:tc>
        <w:tc>
          <w:tcPr>
            <w:tcW w:w="1540" w:type="dxa"/>
            <w:shd w:val="clear" w:color="auto" w:fill="D9D9D9"/>
            <w:vAlign w:val="bottom"/>
          </w:tcPr>
          <w:p w:rsidR="001A0A7E" w:rsidRPr="000A6A01" w:rsidRDefault="001A0A7E" w:rsidP="00267145">
            <w:pPr>
              <w:spacing w:after="0" w:line="240" w:lineRule="auto"/>
              <w:contextualSpacing/>
              <w:jc w:val="center"/>
              <w:rPr>
                <w:rFonts w:ascii="Times New Roman" w:hAnsi="Times New Roman" w:cs="Times New Roman"/>
                <w:b/>
                <w:sz w:val="18"/>
                <w:szCs w:val="18"/>
              </w:rPr>
            </w:pPr>
            <w:r w:rsidRPr="000A6A01">
              <w:rPr>
                <w:rFonts w:ascii="Times New Roman" w:hAnsi="Times New Roman" w:cs="Times New Roman"/>
                <w:b/>
                <w:sz w:val="18"/>
                <w:szCs w:val="18"/>
              </w:rPr>
              <w:t>0.050</w:t>
            </w:r>
          </w:p>
        </w:tc>
        <w:tc>
          <w:tcPr>
            <w:tcW w:w="1540" w:type="dxa"/>
            <w:shd w:val="clear" w:color="auto" w:fill="D9D9D9"/>
            <w:vAlign w:val="bottom"/>
          </w:tcPr>
          <w:p w:rsidR="001A0A7E" w:rsidRPr="000A6A01" w:rsidRDefault="001A0A7E" w:rsidP="00267145">
            <w:pPr>
              <w:spacing w:after="0" w:line="240" w:lineRule="auto"/>
              <w:contextualSpacing/>
              <w:jc w:val="center"/>
              <w:rPr>
                <w:rFonts w:ascii="Times New Roman" w:hAnsi="Times New Roman" w:cs="Times New Roman"/>
                <w:b/>
                <w:sz w:val="18"/>
                <w:szCs w:val="18"/>
              </w:rPr>
            </w:pPr>
            <w:r w:rsidRPr="000A6A01">
              <w:rPr>
                <w:rFonts w:ascii="Times New Roman" w:hAnsi="Times New Roman" w:cs="Times New Roman"/>
                <w:b/>
                <w:sz w:val="18"/>
                <w:szCs w:val="18"/>
              </w:rPr>
              <w:t>2.17</w:t>
            </w:r>
          </w:p>
        </w:tc>
        <w:tc>
          <w:tcPr>
            <w:tcW w:w="1261" w:type="dxa"/>
            <w:shd w:val="clear" w:color="auto" w:fill="D9D9D9"/>
            <w:vAlign w:val="bottom"/>
          </w:tcPr>
          <w:p w:rsidR="001A0A7E" w:rsidRPr="000A6A01" w:rsidRDefault="001A0A7E" w:rsidP="00267145">
            <w:pPr>
              <w:spacing w:after="0" w:line="240" w:lineRule="auto"/>
              <w:contextualSpacing/>
              <w:jc w:val="center"/>
              <w:rPr>
                <w:rFonts w:ascii="Times New Roman" w:hAnsi="Times New Roman" w:cs="Times New Roman"/>
                <w:b/>
                <w:sz w:val="18"/>
                <w:szCs w:val="18"/>
              </w:rPr>
            </w:pPr>
            <w:r w:rsidRPr="000A6A01">
              <w:rPr>
                <w:rFonts w:ascii="Times New Roman" w:hAnsi="Times New Roman" w:cs="Times New Roman"/>
                <w:b/>
                <w:sz w:val="18"/>
                <w:szCs w:val="18"/>
              </w:rPr>
              <w:t>0.022</w:t>
            </w:r>
          </w:p>
        </w:tc>
        <w:tc>
          <w:tcPr>
            <w:tcW w:w="1434" w:type="dxa"/>
            <w:shd w:val="clear" w:color="auto" w:fill="D9D9D9"/>
            <w:vAlign w:val="bottom"/>
          </w:tcPr>
          <w:p w:rsidR="001A0A7E" w:rsidRPr="000A6A01" w:rsidRDefault="001A0A7E" w:rsidP="00267145">
            <w:pPr>
              <w:spacing w:after="0" w:line="240" w:lineRule="auto"/>
              <w:contextualSpacing/>
              <w:jc w:val="center"/>
              <w:rPr>
                <w:rFonts w:ascii="Times New Roman" w:hAnsi="Times New Roman" w:cs="Times New Roman"/>
                <w:b/>
                <w:sz w:val="18"/>
                <w:szCs w:val="18"/>
              </w:rPr>
            </w:pPr>
            <w:r w:rsidRPr="000A6A01">
              <w:rPr>
                <w:rFonts w:ascii="Times New Roman" w:hAnsi="Times New Roman" w:cs="Times New Roman"/>
                <w:b/>
                <w:sz w:val="18"/>
                <w:szCs w:val="18"/>
              </w:rPr>
              <w:t>2.17</w:t>
            </w:r>
          </w:p>
        </w:tc>
      </w:tr>
      <w:tr w:rsidR="001A0A7E" w:rsidRPr="004702D5" w:rsidTr="00267145">
        <w:trPr>
          <w:trHeight w:val="907"/>
        </w:trPr>
        <w:tc>
          <w:tcPr>
            <w:tcW w:w="10084" w:type="dxa"/>
            <w:gridSpan w:val="5"/>
            <w:tcBorders>
              <w:left w:val="nil"/>
              <w:bottom w:val="nil"/>
              <w:right w:val="nil"/>
            </w:tcBorders>
            <w:vAlign w:val="bottom"/>
          </w:tcPr>
          <w:p w:rsidR="001A0A7E" w:rsidRDefault="001A0A7E" w:rsidP="00267145">
            <w:pPr>
              <w:spacing w:after="0" w:line="240" w:lineRule="auto"/>
              <w:contextualSpacing/>
              <w:jc w:val="center"/>
              <w:rPr>
                <w:rFonts w:ascii="Times New Roman" w:hAnsi="Times New Roman" w:cs="Times New Roman"/>
                <w:b/>
                <w:i/>
                <w:iCs/>
                <w:sz w:val="20"/>
                <w:szCs w:val="20"/>
                <w:lang w:val="en-GB"/>
              </w:rPr>
            </w:pPr>
          </w:p>
          <w:p w:rsidR="001A0A7E" w:rsidRPr="000A6A01" w:rsidRDefault="001A0A7E" w:rsidP="00267145">
            <w:pPr>
              <w:spacing w:after="0" w:line="240" w:lineRule="auto"/>
              <w:contextualSpacing/>
              <w:jc w:val="center"/>
              <w:rPr>
                <w:rFonts w:ascii="Times New Roman" w:hAnsi="Times New Roman" w:cs="Times New Roman"/>
                <w:b/>
                <w:i/>
                <w:iCs/>
                <w:sz w:val="20"/>
                <w:szCs w:val="20"/>
                <w:lang w:val="en-GB"/>
              </w:rPr>
            </w:pPr>
            <w:r w:rsidRPr="000A6A01">
              <w:rPr>
                <w:rFonts w:ascii="Times New Roman" w:hAnsi="Times New Roman" w:cs="Times New Roman"/>
                <w:b/>
                <w:i/>
                <w:iCs/>
                <w:sz w:val="20"/>
                <w:szCs w:val="20"/>
                <w:lang w:val="en-GB"/>
              </w:rPr>
              <w:t>Source: Own elaboration.</w:t>
            </w:r>
          </w:p>
          <w:p w:rsidR="001A0A7E" w:rsidRPr="000A6A01" w:rsidRDefault="001A0A7E" w:rsidP="00267145">
            <w:pPr>
              <w:spacing w:after="0" w:line="240" w:lineRule="auto"/>
              <w:contextualSpacing/>
              <w:rPr>
                <w:rFonts w:ascii="Times New Roman" w:hAnsi="Times New Roman" w:cs="Times New Roman"/>
                <w:b/>
                <w:sz w:val="20"/>
                <w:szCs w:val="20"/>
                <w:lang w:val="en-GB"/>
              </w:rPr>
            </w:pPr>
            <w:r w:rsidRPr="000A6A01">
              <w:rPr>
                <w:rFonts w:ascii="Times New Roman" w:hAnsi="Times New Roman" w:cs="Times New Roman"/>
                <w:b/>
                <w:i/>
                <w:iCs/>
                <w:sz w:val="20"/>
                <w:szCs w:val="20"/>
                <w:lang w:val="en-GB"/>
              </w:rPr>
              <w:t xml:space="preserve">                                            * Figures in bold refer to sectors with above sectors’ average effect.</w:t>
            </w:r>
          </w:p>
        </w:tc>
      </w:tr>
    </w:tbl>
    <w:p w:rsidR="001A0A7E" w:rsidRPr="000A6A01" w:rsidRDefault="001A0A7E" w:rsidP="001A0A7E">
      <w:pPr>
        <w:pStyle w:val="Textoindependienteprimerasangra"/>
        <w:rPr>
          <w:b/>
          <w:lang w:val="en-GB"/>
        </w:rPr>
      </w:pPr>
    </w:p>
    <w:p w:rsidR="001A0A7E" w:rsidRDefault="001A0A7E" w:rsidP="001A0A7E">
      <w:pPr>
        <w:pStyle w:val="NormalWeb"/>
        <w:spacing w:line="360" w:lineRule="auto"/>
        <w:ind w:firstLine="709"/>
        <w:jc w:val="both"/>
        <w:rPr>
          <w:lang w:val="en-GB"/>
        </w:rPr>
      </w:pPr>
    </w:p>
    <w:p w:rsidR="001A0A7E" w:rsidRDefault="001A0A7E" w:rsidP="001A0A7E">
      <w:pPr>
        <w:pStyle w:val="NormalWeb"/>
        <w:spacing w:line="360" w:lineRule="auto"/>
        <w:ind w:firstLine="708"/>
        <w:jc w:val="both"/>
        <w:rPr>
          <w:lang w:val="en-GB"/>
        </w:rPr>
      </w:pPr>
      <w:r w:rsidRPr="00DE7CC4">
        <w:rPr>
          <w:lang w:val="en-GB"/>
        </w:rPr>
        <w:lastRenderedPageBreak/>
        <w:t>We</w:t>
      </w:r>
      <w:r w:rsidRPr="002A6570">
        <w:rPr>
          <w:lang w:val="en-GB"/>
        </w:rPr>
        <w:t xml:space="preserve"> </w:t>
      </w:r>
      <w:r>
        <w:rPr>
          <w:lang w:val="en-GB"/>
        </w:rPr>
        <w:t xml:space="preserve">will </w:t>
      </w:r>
      <w:r w:rsidRPr="002A6570">
        <w:rPr>
          <w:lang w:val="en-GB"/>
        </w:rPr>
        <w:t xml:space="preserve">address </w:t>
      </w:r>
      <w:r>
        <w:rPr>
          <w:lang w:val="en-GB"/>
        </w:rPr>
        <w:t xml:space="preserve">now </w:t>
      </w:r>
      <w:r w:rsidRPr="002A6570">
        <w:rPr>
          <w:lang w:val="en-GB"/>
        </w:rPr>
        <w:t xml:space="preserve">the following two questions: </w:t>
      </w:r>
      <w:r>
        <w:rPr>
          <w:lang w:val="en-GB"/>
        </w:rPr>
        <w:t xml:space="preserve">first, </w:t>
      </w:r>
      <w:r w:rsidRPr="002A6570">
        <w:rPr>
          <w:lang w:val="en-GB"/>
        </w:rPr>
        <w:t>how “diverse”</w:t>
      </w:r>
      <w:r>
        <w:rPr>
          <w:lang w:val="en-GB"/>
        </w:rPr>
        <w:t>,</w:t>
      </w:r>
      <w:r w:rsidRPr="002A6570">
        <w:rPr>
          <w:lang w:val="en-GB"/>
        </w:rPr>
        <w:t xml:space="preserve"> or non-r</w:t>
      </w:r>
      <w:r>
        <w:rPr>
          <w:lang w:val="en-GB"/>
        </w:rPr>
        <w:t xml:space="preserve">edundant, are the industrial </w:t>
      </w:r>
      <w:r w:rsidRPr="002A6570">
        <w:rPr>
          <w:lang w:val="en-GB"/>
        </w:rPr>
        <w:t xml:space="preserve">interdependencies </w:t>
      </w:r>
      <w:r>
        <w:rPr>
          <w:lang w:val="en-GB"/>
        </w:rPr>
        <w:t>in the production and distribution of electricity resources</w:t>
      </w:r>
      <w:r w:rsidRPr="002A6570">
        <w:rPr>
          <w:lang w:val="en-GB"/>
        </w:rPr>
        <w:t xml:space="preserve">? </w:t>
      </w:r>
      <w:r>
        <w:rPr>
          <w:lang w:val="en-GB"/>
        </w:rPr>
        <w:t>A</w:t>
      </w:r>
      <w:r w:rsidRPr="002A6570">
        <w:rPr>
          <w:lang w:val="en-GB"/>
        </w:rPr>
        <w:t>nd</w:t>
      </w:r>
      <w:r>
        <w:rPr>
          <w:lang w:val="en-GB"/>
        </w:rPr>
        <w:t xml:space="preserve"> second, which is the “responsibility” that can be assigned in these terms to each production sector, including the </w:t>
      </w:r>
      <w:r w:rsidRPr="00E92817">
        <w:rPr>
          <w:lang w:val="en-GB"/>
        </w:rPr>
        <w:t>Electricity</w:t>
      </w:r>
      <w:r>
        <w:rPr>
          <w:lang w:val="en-GB"/>
        </w:rPr>
        <w:t xml:space="preserve"> sector itself</w:t>
      </w:r>
      <w:proofErr w:type="gramStart"/>
      <w:r>
        <w:rPr>
          <w:lang w:val="en-GB"/>
        </w:rPr>
        <w:t>?.</w:t>
      </w:r>
      <w:proofErr w:type="gramEnd"/>
      <w:r>
        <w:rPr>
          <w:lang w:val="en-GB"/>
        </w:rPr>
        <w:t xml:space="preserve"> We answer these</w:t>
      </w:r>
      <w:r w:rsidRPr="002A6570">
        <w:rPr>
          <w:lang w:val="en-GB"/>
        </w:rPr>
        <w:t xml:space="preserve"> </w:t>
      </w:r>
      <w:r>
        <w:rPr>
          <w:lang w:val="en-GB"/>
        </w:rPr>
        <w:t xml:space="preserve">two </w:t>
      </w:r>
      <w:r w:rsidRPr="002A6570">
        <w:rPr>
          <w:lang w:val="en-GB"/>
        </w:rPr>
        <w:t>question</w:t>
      </w:r>
      <w:r>
        <w:rPr>
          <w:lang w:val="en-GB"/>
        </w:rPr>
        <w:t>s</w:t>
      </w:r>
      <w:r w:rsidRPr="002A6570">
        <w:rPr>
          <w:lang w:val="en-GB"/>
        </w:rPr>
        <w:t xml:space="preserve"> </w:t>
      </w:r>
      <w:r w:rsidRPr="000A6A01">
        <w:rPr>
          <w:lang w:val="en-GB"/>
        </w:rPr>
        <w:t xml:space="preserve">decomposing </w:t>
      </w:r>
      <w:r>
        <w:rPr>
          <w:lang w:val="en-GB"/>
        </w:rPr>
        <w:t>the total and external</w:t>
      </w:r>
      <w:r w:rsidRPr="002A6570">
        <w:rPr>
          <w:lang w:val="en-GB"/>
        </w:rPr>
        <w:t xml:space="preserve"> backward effect of the </w:t>
      </w:r>
      <w:r w:rsidRPr="00E92817">
        <w:rPr>
          <w:lang w:val="en-GB"/>
        </w:rPr>
        <w:t xml:space="preserve">Electricity </w:t>
      </w:r>
      <w:r w:rsidRPr="002A6570">
        <w:rPr>
          <w:lang w:val="en-GB"/>
        </w:rPr>
        <w:t>sector</w:t>
      </w:r>
      <w:r>
        <w:rPr>
          <w:lang w:val="en-GB"/>
        </w:rPr>
        <w:t xml:space="preserve">, i.e. </w:t>
      </w:r>
      <w:proofErr w:type="gramStart"/>
      <w:r>
        <w:rPr>
          <w:lang w:val="en-GB"/>
        </w:rPr>
        <w:t>the</w:t>
      </w:r>
      <w:r w:rsidRPr="003003CD">
        <w:rPr>
          <w:position w:val="-4"/>
          <w:sz w:val="20"/>
          <w:szCs w:val="20"/>
          <w:lang w:val="en-GB"/>
        </w:rPr>
        <w:object w:dxaOrig="880" w:dyaOrig="300">
          <v:shape id="_x0000_i1071" type="#_x0000_t75" style="width:44.15pt;height:14.95pt" o:ole="">
            <v:imagedata r:id="rId88" o:title=""/>
          </v:shape>
          <o:OLEObject Type="Embed" ProgID="Equation.DSMT4" ShapeID="_x0000_i1071" DrawAspect="Content" ObjectID="_1451051921" r:id="rId96"/>
        </w:object>
      </w:r>
      <w:r>
        <w:rPr>
          <w:sz w:val="20"/>
          <w:szCs w:val="20"/>
          <w:lang w:val="en-GB"/>
        </w:rPr>
        <w:t xml:space="preserve"> </w:t>
      </w:r>
      <w:r>
        <w:rPr>
          <w:lang w:val="en-US"/>
        </w:rPr>
        <w:t>and</w:t>
      </w:r>
      <w:proofErr w:type="gramEnd"/>
      <w:r>
        <w:rPr>
          <w:lang w:val="en-US"/>
        </w:rPr>
        <w:t xml:space="preserve"> the </w:t>
      </w:r>
      <w:r w:rsidRPr="00B85F4A">
        <w:rPr>
          <w:position w:val="-4"/>
          <w:lang w:val="en-GB"/>
        </w:rPr>
        <w:object w:dxaOrig="880" w:dyaOrig="300">
          <v:shape id="_x0000_i1072" type="#_x0000_t75" style="width:42.8pt;height:14.95pt" o:ole="">
            <v:imagedata r:id="rId92" o:title=""/>
          </v:shape>
          <o:OLEObject Type="Embed" ProgID="Equation.DSMT4" ShapeID="_x0000_i1072" DrawAspect="Content" ObjectID="_1451051922" r:id="rId97"/>
        </w:object>
      </w:r>
      <w:r w:rsidRPr="00466EF0">
        <w:rPr>
          <w:lang w:val="en-US"/>
        </w:rPr>
        <w:t xml:space="preserve"> </w:t>
      </w:r>
      <w:r w:rsidRPr="00E60DBD">
        <w:rPr>
          <w:lang w:val="en-US"/>
        </w:rPr>
        <w:t>indicators</w:t>
      </w:r>
      <w:r>
        <w:rPr>
          <w:lang w:val="en-US"/>
        </w:rPr>
        <w:t xml:space="preserve">, </w:t>
      </w:r>
      <w:r w:rsidRPr="002A6570">
        <w:rPr>
          <w:lang w:val="en-GB"/>
        </w:rPr>
        <w:t xml:space="preserve">according to </w:t>
      </w:r>
      <w:r>
        <w:rPr>
          <w:lang w:val="en-GB"/>
        </w:rPr>
        <w:t>the sectors’</w:t>
      </w:r>
      <w:r w:rsidRPr="002A6570">
        <w:rPr>
          <w:lang w:val="en-GB"/>
        </w:rPr>
        <w:t xml:space="preserve"> </w:t>
      </w:r>
      <w:r>
        <w:rPr>
          <w:lang w:val="en-GB"/>
        </w:rPr>
        <w:t xml:space="preserve">absolute and </w:t>
      </w:r>
      <w:r w:rsidRPr="002A6570">
        <w:rPr>
          <w:lang w:val="en-GB"/>
        </w:rPr>
        <w:t>percentage c</w:t>
      </w:r>
      <w:r>
        <w:rPr>
          <w:lang w:val="en-GB"/>
        </w:rPr>
        <w:t xml:space="preserve">ontributions. The </w:t>
      </w:r>
      <w:r w:rsidRPr="002A6570">
        <w:rPr>
          <w:lang w:val="en-GB"/>
        </w:rPr>
        <w:t>results are shown in Table 2</w:t>
      </w:r>
      <w:r>
        <w:rPr>
          <w:lang w:val="en-GB"/>
        </w:rPr>
        <w:t xml:space="preserve"> where sectors have </w:t>
      </w:r>
      <w:r w:rsidRPr="002A6570">
        <w:rPr>
          <w:lang w:val="en-GB"/>
        </w:rPr>
        <w:t xml:space="preserve">been </w:t>
      </w:r>
      <w:r>
        <w:rPr>
          <w:lang w:val="en-GB"/>
        </w:rPr>
        <w:t>listed</w:t>
      </w:r>
      <w:r w:rsidRPr="002A6570">
        <w:rPr>
          <w:lang w:val="en-GB"/>
        </w:rPr>
        <w:t xml:space="preserve"> in descending order considering each sector</w:t>
      </w:r>
      <w:r>
        <w:rPr>
          <w:lang w:val="en-GB"/>
        </w:rPr>
        <w:t>’s</w:t>
      </w:r>
      <w:r w:rsidRPr="002A6570">
        <w:rPr>
          <w:lang w:val="en-GB"/>
        </w:rPr>
        <w:t xml:space="preserve"> weight over the total backward effect of the </w:t>
      </w:r>
      <w:r w:rsidRPr="00E92817">
        <w:rPr>
          <w:lang w:val="en-GB"/>
        </w:rPr>
        <w:t>Electricity</w:t>
      </w:r>
      <w:r w:rsidRPr="002A6570">
        <w:rPr>
          <w:lang w:val="en-GB"/>
        </w:rPr>
        <w:t xml:space="preserve"> sector</w:t>
      </w:r>
      <w:r>
        <w:rPr>
          <w:lang w:val="en-GB"/>
        </w:rPr>
        <w:t xml:space="preserve">, i.e. </w:t>
      </w:r>
      <w:r w:rsidRPr="003003CD">
        <w:rPr>
          <w:position w:val="-4"/>
          <w:sz w:val="20"/>
          <w:szCs w:val="20"/>
          <w:lang w:val="en-GB"/>
        </w:rPr>
        <w:object w:dxaOrig="880" w:dyaOrig="300">
          <v:shape id="_x0000_i1073" type="#_x0000_t75" style="width:44.15pt;height:14.95pt" o:ole="">
            <v:imagedata r:id="rId98" o:title=""/>
          </v:shape>
          <o:OLEObject Type="Embed" ProgID="Equation.DSMT4" ShapeID="_x0000_i1073" DrawAspect="Content" ObjectID="_1451051923" r:id="rId99"/>
        </w:object>
      </w:r>
      <w:r w:rsidRPr="00EA4FB4">
        <w:rPr>
          <w:sz w:val="20"/>
          <w:szCs w:val="20"/>
          <w:lang w:val="en-GB"/>
        </w:rPr>
        <w:t xml:space="preserve"> </w:t>
      </w:r>
      <w:r w:rsidRPr="003A2902">
        <w:rPr>
          <w:lang w:val="en-US"/>
        </w:rPr>
        <w:t>indicator</w:t>
      </w:r>
      <w:r w:rsidRPr="002A6570">
        <w:rPr>
          <w:lang w:val="en-GB"/>
        </w:rPr>
        <w:t xml:space="preserve">. </w:t>
      </w:r>
      <w:r>
        <w:rPr>
          <w:lang w:val="en-GB"/>
        </w:rPr>
        <w:t xml:space="preserve"> </w:t>
      </w:r>
      <w:r w:rsidRPr="002A6570">
        <w:rPr>
          <w:lang w:val="en-GB"/>
        </w:rPr>
        <w:t xml:space="preserve">Notice </w:t>
      </w:r>
      <w:r>
        <w:rPr>
          <w:lang w:val="en-GB"/>
        </w:rPr>
        <w:t xml:space="preserve">first </w:t>
      </w:r>
      <w:r w:rsidRPr="002A6570">
        <w:rPr>
          <w:lang w:val="en-GB"/>
        </w:rPr>
        <w:t xml:space="preserve">that </w:t>
      </w:r>
      <w:r>
        <w:rPr>
          <w:lang w:val="en-GB"/>
        </w:rPr>
        <w:t xml:space="preserve">the </w:t>
      </w:r>
      <w:proofErr w:type="spellStart"/>
      <w:r>
        <w:rPr>
          <w:lang w:val="en-GB"/>
        </w:rPr>
        <w:t>sectoral</w:t>
      </w:r>
      <w:proofErr w:type="spellEnd"/>
      <w:r>
        <w:rPr>
          <w:lang w:val="en-GB"/>
        </w:rPr>
        <w:t xml:space="preserve"> </w:t>
      </w:r>
      <w:r w:rsidRPr="002A6570">
        <w:rPr>
          <w:lang w:val="en-GB"/>
        </w:rPr>
        <w:t xml:space="preserve">distribution of total and external backward effects of the </w:t>
      </w:r>
      <w:r w:rsidRPr="00E92817">
        <w:rPr>
          <w:lang w:val="en-GB"/>
        </w:rPr>
        <w:t>Electricity</w:t>
      </w:r>
      <w:r w:rsidRPr="002A6570">
        <w:rPr>
          <w:i/>
          <w:lang w:val="en-GB"/>
        </w:rPr>
        <w:t xml:space="preserve"> </w:t>
      </w:r>
      <w:r w:rsidRPr="002A6570">
        <w:rPr>
          <w:lang w:val="en-GB"/>
        </w:rPr>
        <w:t xml:space="preserve">sector differ only in the </w:t>
      </w:r>
      <w:r w:rsidRPr="00E92817">
        <w:rPr>
          <w:lang w:val="en-GB"/>
        </w:rPr>
        <w:t>Electricity</w:t>
      </w:r>
      <w:r>
        <w:rPr>
          <w:lang w:val="en-GB"/>
        </w:rPr>
        <w:t xml:space="preserve"> sector itself. This is </w:t>
      </w:r>
      <w:r w:rsidRPr="002A6570">
        <w:rPr>
          <w:lang w:val="en-GB"/>
        </w:rPr>
        <w:t xml:space="preserve">explained by the </w:t>
      </w:r>
      <w:r>
        <w:rPr>
          <w:lang w:val="en-GB"/>
        </w:rPr>
        <w:t>internal</w:t>
      </w:r>
      <w:r w:rsidRPr="002A6570">
        <w:rPr>
          <w:lang w:val="en-GB"/>
        </w:rPr>
        <w:t xml:space="preserve"> backward effect of this sector that exactly corresponds to the difference between its total and </w:t>
      </w:r>
      <w:r>
        <w:rPr>
          <w:lang w:val="en-GB"/>
        </w:rPr>
        <w:t xml:space="preserve">external </w:t>
      </w:r>
      <w:r w:rsidRPr="002A6570">
        <w:rPr>
          <w:lang w:val="en-GB"/>
        </w:rPr>
        <w:t>backward measures</w:t>
      </w:r>
      <w:r>
        <w:rPr>
          <w:lang w:val="en-GB"/>
        </w:rPr>
        <w:t xml:space="preserve">, as reported in Table 1, i.e. </w:t>
      </w:r>
      <w:r w:rsidRPr="003003CD">
        <w:rPr>
          <w:position w:val="-4"/>
          <w:sz w:val="20"/>
          <w:szCs w:val="20"/>
          <w:lang w:val="en-GB"/>
        </w:rPr>
        <w:object w:dxaOrig="2920" w:dyaOrig="300">
          <v:shape id="_x0000_i1074" type="#_x0000_t75" style="width:144.7pt;height:14.95pt" o:ole="">
            <v:imagedata r:id="rId100" o:title=""/>
          </v:shape>
          <o:OLEObject Type="Embed" ProgID="Equation.DSMT4" ShapeID="_x0000_i1074" DrawAspect="Content" ObjectID="_1451051924" r:id="rId101"/>
        </w:object>
      </w:r>
      <w:r>
        <w:rPr>
          <w:lang w:val="en-GB"/>
        </w:rPr>
        <w:t xml:space="preserve"> which </w:t>
      </w:r>
      <w:r w:rsidRPr="00C43346">
        <w:rPr>
          <w:lang w:val="en-GB"/>
        </w:rPr>
        <w:t>amounts to</w:t>
      </w:r>
      <w:r>
        <w:rPr>
          <w:lang w:val="en-GB"/>
        </w:rPr>
        <w:t xml:space="preserve"> 55.14</w:t>
      </w:r>
      <w:r w:rsidRPr="00C43346">
        <w:rPr>
          <w:lang w:val="en-GB"/>
        </w:rPr>
        <w:t xml:space="preserve"> percent over</w:t>
      </w:r>
      <w:r>
        <w:rPr>
          <w:lang w:val="en-GB"/>
        </w:rPr>
        <w:t xml:space="preserve"> the </w:t>
      </w:r>
      <w:r w:rsidRPr="003003CD">
        <w:rPr>
          <w:position w:val="-4"/>
          <w:sz w:val="20"/>
          <w:szCs w:val="20"/>
          <w:lang w:val="en-GB"/>
        </w:rPr>
        <w:object w:dxaOrig="880" w:dyaOrig="300">
          <v:shape id="_x0000_i1075" type="#_x0000_t75" style="width:44.15pt;height:14.95pt" o:ole="">
            <v:imagedata r:id="rId98" o:title=""/>
          </v:shape>
          <o:OLEObject Type="Embed" ProgID="Equation.DSMT4" ShapeID="_x0000_i1075" DrawAspect="Content" ObjectID="_1451051925" r:id="rId102"/>
        </w:object>
      </w:r>
      <w:r w:rsidRPr="0067661A">
        <w:rPr>
          <w:lang w:val="en-GB"/>
        </w:rPr>
        <w:t>indicator</w:t>
      </w:r>
      <w:r>
        <w:rPr>
          <w:lang w:val="en-GB"/>
        </w:rPr>
        <w:t xml:space="preserve">. This result clearly shows the remarkable dependency that the Electricity sector has on self-supply, </w:t>
      </w:r>
      <w:r w:rsidRPr="005C7DF0">
        <w:rPr>
          <w:iCs/>
          <w:lang w:val="en-GB"/>
        </w:rPr>
        <w:t>validating the EU specific policy actions and consequently, those reflected in the Spanish Energy Saving and Efficiency Action Plan 2011-2020</w:t>
      </w:r>
      <w:r>
        <w:rPr>
          <w:iCs/>
          <w:lang w:val="en-GB"/>
        </w:rPr>
        <w:t xml:space="preserve"> </w:t>
      </w:r>
      <w:r w:rsidRPr="0018435C">
        <w:rPr>
          <w:iCs/>
          <w:lang w:val="en-GB"/>
        </w:rPr>
        <w:t>to improve</w:t>
      </w:r>
      <w:r>
        <w:rPr>
          <w:iCs/>
          <w:lang w:val="en-GB"/>
        </w:rPr>
        <w:t xml:space="preserve"> </w:t>
      </w:r>
      <w:r w:rsidRPr="0018435C">
        <w:rPr>
          <w:iCs/>
          <w:lang w:val="en-GB"/>
        </w:rPr>
        <w:t>efficiency levels in the generation</w:t>
      </w:r>
      <w:r>
        <w:rPr>
          <w:iCs/>
          <w:lang w:val="en-GB"/>
        </w:rPr>
        <w:t>,</w:t>
      </w:r>
      <w:r w:rsidRPr="0018435C">
        <w:rPr>
          <w:iCs/>
          <w:lang w:val="en-GB"/>
        </w:rPr>
        <w:t xml:space="preserve"> transmission and distribution of this energy input</w:t>
      </w:r>
      <w:r>
        <w:rPr>
          <w:iCs/>
          <w:lang w:val="en-GB"/>
        </w:rPr>
        <w:t>,</w:t>
      </w:r>
      <w:r w:rsidRPr="0018435C">
        <w:rPr>
          <w:iCs/>
          <w:lang w:val="en-GB"/>
        </w:rPr>
        <w:t xml:space="preserve"> i.e.</w:t>
      </w:r>
      <w:r>
        <w:rPr>
          <w:lang w:val="en-GB"/>
        </w:rPr>
        <w:t xml:space="preserve"> promoting “co-generation”, increasing the electricity production share of larger-scale plans and boosting the contribution of renewable energy resources in the electric power generation </w:t>
      </w:r>
      <w:r w:rsidRPr="0018435C">
        <w:rPr>
          <w:lang w:val="en-GB"/>
        </w:rPr>
        <w:t>process</w:t>
      </w:r>
      <w:r>
        <w:rPr>
          <w:lang w:val="en-GB"/>
        </w:rPr>
        <w:t>, among others</w:t>
      </w:r>
      <w:r w:rsidRPr="0018435C">
        <w:rPr>
          <w:lang w:val="en-GB"/>
        </w:rPr>
        <w:t>.</w:t>
      </w:r>
      <w:r w:rsidRPr="0018435C">
        <w:rPr>
          <w:iCs/>
          <w:lang w:val="en-GB"/>
        </w:rPr>
        <w:t xml:space="preserve"> </w:t>
      </w:r>
    </w:p>
    <w:p w:rsidR="001A0A7E" w:rsidRPr="00240694" w:rsidRDefault="001A0A7E" w:rsidP="001A0A7E">
      <w:pPr>
        <w:pStyle w:val="NormalWeb"/>
        <w:spacing w:line="360" w:lineRule="auto"/>
        <w:ind w:firstLine="709"/>
        <w:jc w:val="both"/>
        <w:rPr>
          <w:lang w:val="en-GB"/>
        </w:rPr>
      </w:pPr>
      <w:r w:rsidRPr="002A6570">
        <w:rPr>
          <w:lang w:val="en-GB"/>
        </w:rPr>
        <w:t>According to the decom</w:t>
      </w:r>
      <w:r>
        <w:rPr>
          <w:lang w:val="en-GB"/>
        </w:rPr>
        <w:t xml:space="preserve">position shown in Table 2, the previously listed </w:t>
      </w:r>
      <w:r w:rsidRPr="002A6570">
        <w:rPr>
          <w:lang w:val="en-GB"/>
        </w:rPr>
        <w:t>energy related sectors</w:t>
      </w:r>
      <w:r>
        <w:rPr>
          <w:lang w:val="en-GB"/>
        </w:rPr>
        <w:t xml:space="preserve"> in the economy </w:t>
      </w:r>
      <w:r w:rsidRPr="002A6570">
        <w:rPr>
          <w:lang w:val="en-GB"/>
        </w:rPr>
        <w:t xml:space="preserve">appear to contribute the most to the </w:t>
      </w:r>
      <w:r>
        <w:rPr>
          <w:lang w:val="en-GB"/>
        </w:rPr>
        <w:t xml:space="preserve">remaining part of the </w:t>
      </w:r>
      <w:r w:rsidRPr="002A6570">
        <w:rPr>
          <w:lang w:val="en-GB"/>
        </w:rPr>
        <w:t xml:space="preserve">backward stimulus of the </w:t>
      </w:r>
      <w:r w:rsidRPr="00307EFD">
        <w:rPr>
          <w:iCs/>
          <w:lang w:val="en-GB"/>
        </w:rPr>
        <w:t>Electricity</w:t>
      </w:r>
      <w:r w:rsidRPr="00307EFD">
        <w:rPr>
          <w:lang w:val="en-GB"/>
        </w:rPr>
        <w:t xml:space="preserve"> </w:t>
      </w:r>
      <w:r w:rsidRPr="002A6570">
        <w:rPr>
          <w:lang w:val="en-GB"/>
        </w:rPr>
        <w:t>sector</w:t>
      </w:r>
      <w:r>
        <w:rPr>
          <w:lang w:val="en-GB"/>
        </w:rPr>
        <w:t xml:space="preserve">. </w:t>
      </w:r>
      <w:r w:rsidRPr="002A6570">
        <w:rPr>
          <w:lang w:val="en-GB"/>
        </w:rPr>
        <w:t>All these energy related sec</w:t>
      </w:r>
      <w:r>
        <w:rPr>
          <w:lang w:val="en-GB"/>
        </w:rPr>
        <w:t xml:space="preserve">tors jointly represent 47.36 percent of the </w:t>
      </w:r>
      <w:r w:rsidRPr="002A6570">
        <w:rPr>
          <w:position w:val="-4"/>
          <w:lang w:val="en-GB"/>
        </w:rPr>
        <w:object w:dxaOrig="560" w:dyaOrig="260">
          <v:shape id="_x0000_i1076" type="#_x0000_t75" style="width:28.55pt;height:12.9pt" o:ole="">
            <v:imagedata r:id="rId103" o:title=""/>
          </v:shape>
          <o:OLEObject Type="Embed" ProgID="Equation.DSMT4" ShapeID="_x0000_i1076" DrawAspect="Content" ObjectID="_1451051926" r:id="rId104"/>
        </w:object>
      </w:r>
      <w:r>
        <w:rPr>
          <w:lang w:val="en-GB"/>
        </w:rPr>
        <w:t xml:space="preserve"> of the electricity sector. </w:t>
      </w:r>
      <w:r w:rsidRPr="002A6570">
        <w:rPr>
          <w:lang w:val="en-GB"/>
        </w:rPr>
        <w:t xml:space="preserve">This is not a surprising </w:t>
      </w:r>
      <w:r>
        <w:rPr>
          <w:lang w:val="en-GB"/>
        </w:rPr>
        <w:t>result since electricity, as mentioned in Section 1, is an</w:t>
      </w:r>
      <w:r w:rsidRPr="002A6570">
        <w:rPr>
          <w:lang w:val="en-GB"/>
        </w:rPr>
        <w:t xml:space="preserve"> output in the transformation process of primary energy resources</w:t>
      </w:r>
      <w:r>
        <w:rPr>
          <w:lang w:val="en-GB"/>
        </w:rPr>
        <w:t>. This outcome reinforces the legitimacy</w:t>
      </w:r>
      <w:r w:rsidRPr="002A6570">
        <w:rPr>
          <w:lang w:val="en-GB"/>
        </w:rPr>
        <w:t xml:space="preserve"> of the </w:t>
      </w:r>
      <w:r w:rsidRPr="00307EFD">
        <w:rPr>
          <w:iCs/>
          <w:lang w:val="en-GB"/>
        </w:rPr>
        <w:t>Electricity</w:t>
      </w:r>
      <w:r w:rsidRPr="002A6570">
        <w:rPr>
          <w:i/>
          <w:iCs/>
          <w:lang w:val="en-GB"/>
        </w:rPr>
        <w:t xml:space="preserve"> </w:t>
      </w:r>
      <w:r>
        <w:rPr>
          <w:lang w:val="en-GB"/>
        </w:rPr>
        <w:t xml:space="preserve">sector as a key </w:t>
      </w:r>
      <w:r w:rsidRPr="002A6570">
        <w:rPr>
          <w:lang w:val="en-GB"/>
        </w:rPr>
        <w:t>sector for energy efficiency policies.</w:t>
      </w:r>
      <w:r>
        <w:rPr>
          <w:lang w:val="en-GB"/>
        </w:rPr>
        <w:t xml:space="preserve"> In addition, this result may</w:t>
      </w:r>
      <w:r w:rsidRPr="002A6570">
        <w:rPr>
          <w:lang w:val="en-GB"/>
        </w:rPr>
        <w:t xml:space="preserve"> </w:t>
      </w:r>
      <w:r>
        <w:rPr>
          <w:lang w:val="en-GB"/>
        </w:rPr>
        <w:t xml:space="preserve">also </w:t>
      </w:r>
      <w:r w:rsidRPr="002A6570">
        <w:rPr>
          <w:lang w:val="en-GB"/>
        </w:rPr>
        <w:t>be us</w:t>
      </w:r>
      <w:r>
        <w:rPr>
          <w:lang w:val="en-GB"/>
        </w:rPr>
        <w:t>ed as an approximate indicator</w:t>
      </w:r>
      <w:r w:rsidRPr="002A6570">
        <w:rPr>
          <w:lang w:val="en-GB"/>
        </w:rPr>
        <w:t xml:space="preserve"> of </w:t>
      </w:r>
      <w:r>
        <w:rPr>
          <w:lang w:val="en-GB"/>
        </w:rPr>
        <w:t xml:space="preserve">the degree of </w:t>
      </w:r>
      <w:r w:rsidRPr="002A6570">
        <w:rPr>
          <w:lang w:val="en-GB"/>
        </w:rPr>
        <w:t xml:space="preserve">dependence that the </w:t>
      </w:r>
      <w:r w:rsidRPr="00307EFD">
        <w:rPr>
          <w:lang w:val="en-GB"/>
        </w:rPr>
        <w:t>Electricity</w:t>
      </w:r>
      <w:r w:rsidRPr="002A6570">
        <w:rPr>
          <w:i/>
          <w:lang w:val="en-GB"/>
        </w:rPr>
        <w:t xml:space="preserve"> </w:t>
      </w:r>
      <w:r w:rsidRPr="002A6570">
        <w:rPr>
          <w:lang w:val="en-GB"/>
        </w:rPr>
        <w:t>sector has over non-renewable primary energy sources</w:t>
      </w:r>
      <w:r>
        <w:rPr>
          <w:lang w:val="en-GB"/>
        </w:rPr>
        <w:t xml:space="preserve"> in its generation and distribution process.</w:t>
      </w:r>
    </w:p>
    <w:p w:rsidR="001A0A7E" w:rsidRPr="00B1628C" w:rsidRDefault="001A0A7E" w:rsidP="001A0A7E">
      <w:pPr>
        <w:pStyle w:val="NormalWeb"/>
        <w:spacing w:line="360" w:lineRule="auto"/>
        <w:ind w:firstLine="709"/>
        <w:jc w:val="both"/>
        <w:rPr>
          <w:rFonts w:cs="Arial"/>
          <w:bCs/>
          <w:lang w:val="en-GB"/>
        </w:rPr>
      </w:pPr>
      <w:r w:rsidRPr="002A6570">
        <w:rPr>
          <w:lang w:val="en-GB"/>
        </w:rPr>
        <w:lastRenderedPageBreak/>
        <w:t>Lastly</w:t>
      </w:r>
      <w:r>
        <w:rPr>
          <w:lang w:val="en-GB"/>
        </w:rPr>
        <w:t xml:space="preserve">, once we have described the nature and structure of the backward interdependencies between the </w:t>
      </w:r>
      <w:r w:rsidRPr="00307EFD">
        <w:rPr>
          <w:lang w:val="en-GB"/>
        </w:rPr>
        <w:t>Electricity</w:t>
      </w:r>
      <w:r>
        <w:rPr>
          <w:lang w:val="en-GB"/>
        </w:rPr>
        <w:t xml:space="preserve"> </w:t>
      </w:r>
      <w:r w:rsidRPr="00C210DF">
        <w:rPr>
          <w:lang w:val="en-GB"/>
        </w:rPr>
        <w:t>sector and the</w:t>
      </w:r>
      <w:r>
        <w:rPr>
          <w:lang w:val="en-GB"/>
        </w:rPr>
        <w:t xml:space="preserve"> remaining energy related sectors using our “hybrid” I-O key sector measures, we now move to replicate the exercise for the non-energy related sectors. In doing so, we will pay </w:t>
      </w:r>
      <w:r w:rsidRPr="002A6570">
        <w:rPr>
          <w:lang w:val="en-GB"/>
        </w:rPr>
        <w:t>special attention to the manufacturing industries si</w:t>
      </w:r>
      <w:r>
        <w:rPr>
          <w:lang w:val="en-GB"/>
        </w:rPr>
        <w:t xml:space="preserve">nce </w:t>
      </w:r>
      <w:r w:rsidRPr="002A6570">
        <w:rPr>
          <w:lang w:val="en-GB"/>
        </w:rPr>
        <w:t>they are considered to provide the highest potential</w:t>
      </w:r>
      <w:r>
        <w:rPr>
          <w:lang w:val="en-GB"/>
        </w:rPr>
        <w:t xml:space="preserve"> in energy savings (</w:t>
      </w:r>
      <w:proofErr w:type="spellStart"/>
      <w:r>
        <w:rPr>
          <w:lang w:val="en-GB"/>
        </w:rPr>
        <w:t>Tarancón</w:t>
      </w:r>
      <w:proofErr w:type="spellEnd"/>
      <w:r>
        <w:rPr>
          <w:lang w:val="en-GB"/>
        </w:rPr>
        <w:t xml:space="preserve"> et al. 2010). A</w:t>
      </w:r>
      <w:r w:rsidRPr="002A6570">
        <w:rPr>
          <w:lang w:val="en-GB"/>
        </w:rPr>
        <w:t>ccording to the results in Table 2</w:t>
      </w:r>
      <w:r>
        <w:rPr>
          <w:lang w:val="en-GB"/>
        </w:rPr>
        <w:t>,</w:t>
      </w:r>
      <w:r w:rsidRPr="002A6570">
        <w:rPr>
          <w:lang w:val="en-GB"/>
        </w:rPr>
        <w:t xml:space="preserve"> the manufacturing of </w:t>
      </w:r>
      <w:r>
        <w:rPr>
          <w:lang w:val="en-GB"/>
        </w:rPr>
        <w:t xml:space="preserve">Basic Metals (Sector number </w:t>
      </w:r>
      <w:r w:rsidRPr="00307EFD">
        <w:rPr>
          <w:b/>
          <w:lang w:val="en-GB"/>
        </w:rPr>
        <w:t>18</w:t>
      </w:r>
      <w:r>
        <w:rPr>
          <w:lang w:val="en-GB"/>
        </w:rPr>
        <w:t>)</w:t>
      </w:r>
      <w:r w:rsidRPr="002A6570">
        <w:rPr>
          <w:lang w:val="en-GB"/>
        </w:rPr>
        <w:t xml:space="preserve"> followed by </w:t>
      </w:r>
      <w:r w:rsidRPr="00307EFD">
        <w:rPr>
          <w:lang w:val="en-GB"/>
        </w:rPr>
        <w:t>the Electrical Equipment</w:t>
      </w:r>
      <w:r w:rsidRPr="002A6570">
        <w:rPr>
          <w:lang w:val="en-GB"/>
        </w:rPr>
        <w:t xml:space="preserve"> </w:t>
      </w:r>
      <w:r>
        <w:rPr>
          <w:lang w:val="en-GB"/>
        </w:rPr>
        <w:t xml:space="preserve">(Sector number </w:t>
      </w:r>
      <w:r w:rsidRPr="00307EFD">
        <w:rPr>
          <w:rFonts w:cs="Arial"/>
          <w:b/>
          <w:bCs/>
          <w:lang w:val="en-GB"/>
        </w:rPr>
        <w:t>21</w:t>
      </w:r>
      <w:r w:rsidRPr="005C7DF0">
        <w:rPr>
          <w:lang w:val="en-GB"/>
        </w:rPr>
        <w:t xml:space="preserve">) and the Machinery and Non-Electrical Equipment industries (Sector number </w:t>
      </w:r>
      <w:r w:rsidRPr="005C7DF0">
        <w:rPr>
          <w:rFonts w:cs="Arial"/>
          <w:b/>
          <w:bCs/>
          <w:lang w:val="en-GB"/>
        </w:rPr>
        <w:t>19)</w:t>
      </w:r>
      <w:r w:rsidRPr="005C7DF0">
        <w:rPr>
          <w:sz w:val="20"/>
          <w:szCs w:val="20"/>
          <w:lang w:val="en-GB"/>
        </w:rPr>
        <w:t>,</w:t>
      </w:r>
      <w:r w:rsidRPr="005C7DF0">
        <w:rPr>
          <w:rFonts w:cs="Arial"/>
          <w:b/>
          <w:bCs/>
          <w:sz w:val="20"/>
          <w:szCs w:val="20"/>
          <w:lang w:val="en-GB"/>
        </w:rPr>
        <w:t xml:space="preserve"> </w:t>
      </w:r>
      <w:r w:rsidRPr="005C7DF0">
        <w:rPr>
          <w:rFonts w:cs="Arial"/>
          <w:bCs/>
          <w:lang w:val="en-GB"/>
        </w:rPr>
        <w:t>respectively</w:t>
      </w:r>
      <w:r>
        <w:rPr>
          <w:rFonts w:cs="Arial"/>
          <w:b/>
          <w:bCs/>
          <w:sz w:val="20"/>
          <w:szCs w:val="20"/>
          <w:lang w:val="en-GB"/>
        </w:rPr>
        <w:t xml:space="preserve">, </w:t>
      </w:r>
      <w:r w:rsidRPr="002A6570">
        <w:rPr>
          <w:rFonts w:cs="Arial"/>
          <w:bCs/>
          <w:lang w:val="en-GB"/>
        </w:rPr>
        <w:t xml:space="preserve">are the </w:t>
      </w:r>
      <w:r>
        <w:rPr>
          <w:rFonts w:cs="Arial"/>
          <w:bCs/>
          <w:lang w:val="en-GB"/>
        </w:rPr>
        <w:t xml:space="preserve">main input suppliers of the </w:t>
      </w:r>
      <w:r w:rsidRPr="00307EFD">
        <w:rPr>
          <w:rFonts w:cs="Arial"/>
          <w:bCs/>
          <w:lang w:val="en-GB"/>
        </w:rPr>
        <w:t xml:space="preserve">Electricity </w:t>
      </w:r>
      <w:r>
        <w:rPr>
          <w:rFonts w:cs="Arial"/>
          <w:bCs/>
          <w:lang w:val="en-GB"/>
        </w:rPr>
        <w:t xml:space="preserve">sector among all </w:t>
      </w:r>
      <w:r w:rsidRPr="002A6570">
        <w:rPr>
          <w:rFonts w:cs="Arial"/>
          <w:bCs/>
          <w:lang w:val="en-GB"/>
        </w:rPr>
        <w:t>man</w:t>
      </w:r>
      <w:r>
        <w:rPr>
          <w:rFonts w:cs="Arial"/>
          <w:bCs/>
          <w:lang w:val="en-GB"/>
        </w:rPr>
        <w:t>ufacturing industries. The role played by these manufacturing industries in providing the necessary infrastructure for the production and distribution of electricity to the whole economic system backs this finding. Connecting this result</w:t>
      </w:r>
      <w:r w:rsidRPr="002A6570">
        <w:rPr>
          <w:rFonts w:cs="Arial"/>
          <w:bCs/>
          <w:lang w:val="en-GB"/>
        </w:rPr>
        <w:t xml:space="preserve"> with </w:t>
      </w:r>
      <w:r>
        <w:rPr>
          <w:rFonts w:cs="Arial"/>
          <w:bCs/>
          <w:lang w:val="en-GB"/>
        </w:rPr>
        <w:t>those</w:t>
      </w:r>
      <w:r w:rsidRPr="002A6570">
        <w:rPr>
          <w:rFonts w:cs="Arial"/>
          <w:bCs/>
          <w:lang w:val="en-GB"/>
        </w:rPr>
        <w:t xml:space="preserve"> </w:t>
      </w:r>
      <w:r>
        <w:rPr>
          <w:rFonts w:cs="Arial"/>
          <w:bCs/>
          <w:lang w:val="en-GB"/>
        </w:rPr>
        <w:t>outlined in Table 1,</w:t>
      </w:r>
      <w:r w:rsidRPr="002A6570">
        <w:rPr>
          <w:rFonts w:cs="Arial"/>
          <w:bCs/>
          <w:lang w:val="en-GB"/>
        </w:rPr>
        <w:t xml:space="preserve"> the</w:t>
      </w:r>
      <w:r w:rsidRPr="002A6570">
        <w:rPr>
          <w:lang w:val="en-GB"/>
        </w:rPr>
        <w:t xml:space="preserve"> manufacturing of </w:t>
      </w:r>
      <w:r w:rsidRPr="00307EFD">
        <w:rPr>
          <w:lang w:val="en-GB"/>
        </w:rPr>
        <w:t>Basic Metals</w:t>
      </w:r>
      <w:r w:rsidRPr="002A6570">
        <w:rPr>
          <w:lang w:val="en-GB"/>
        </w:rPr>
        <w:t xml:space="preserve"> </w:t>
      </w:r>
      <w:r w:rsidRPr="002A6570">
        <w:rPr>
          <w:rFonts w:cs="Arial"/>
          <w:bCs/>
          <w:lang w:val="en-GB"/>
        </w:rPr>
        <w:t>also</w:t>
      </w:r>
      <w:r w:rsidRPr="002A6570">
        <w:rPr>
          <w:rFonts w:cs="Arial"/>
          <w:b/>
          <w:bCs/>
          <w:sz w:val="20"/>
          <w:szCs w:val="20"/>
          <w:lang w:val="en-GB"/>
        </w:rPr>
        <w:t xml:space="preserve"> </w:t>
      </w:r>
      <w:r w:rsidRPr="002A6570">
        <w:rPr>
          <w:lang w:val="en-GB"/>
        </w:rPr>
        <w:t>presents the highest total and ext</w:t>
      </w:r>
      <w:r>
        <w:rPr>
          <w:lang w:val="en-GB"/>
        </w:rPr>
        <w:t>ernal backward indicators</w:t>
      </w:r>
      <w:r w:rsidRPr="002A6570">
        <w:rPr>
          <w:lang w:val="en-GB"/>
        </w:rPr>
        <w:t xml:space="preserve"> among the</w:t>
      </w:r>
      <w:r>
        <w:rPr>
          <w:lang w:val="en-GB"/>
        </w:rPr>
        <w:t>se three</w:t>
      </w:r>
      <w:r w:rsidRPr="002A6570">
        <w:rPr>
          <w:lang w:val="en-GB"/>
        </w:rPr>
        <w:t xml:space="preserve"> </w:t>
      </w:r>
      <w:r>
        <w:rPr>
          <w:lang w:val="en-GB"/>
        </w:rPr>
        <w:t xml:space="preserve">manufacturing </w:t>
      </w:r>
      <w:r w:rsidRPr="002A6570">
        <w:rPr>
          <w:lang w:val="en-GB"/>
        </w:rPr>
        <w:t>industries</w:t>
      </w:r>
      <w:r>
        <w:rPr>
          <w:lang w:val="en-GB"/>
        </w:rPr>
        <w:t>. The size of these two indicators also suggests the potential of this manufacturing sector to affect economy-wide levels of electricity consumption</w:t>
      </w:r>
      <w:r w:rsidRPr="002A6570">
        <w:rPr>
          <w:lang w:val="en-GB"/>
        </w:rPr>
        <w:t>.</w:t>
      </w:r>
      <w:r>
        <w:rPr>
          <w:lang w:val="en-GB"/>
        </w:rPr>
        <w:t xml:space="preserve"> </w:t>
      </w:r>
    </w:p>
    <w:p w:rsidR="001A0A7E" w:rsidRDefault="001A0A7E" w:rsidP="001A0A7E">
      <w:pPr>
        <w:pStyle w:val="NormalWeb"/>
        <w:spacing w:line="360" w:lineRule="auto"/>
        <w:ind w:firstLine="709"/>
        <w:jc w:val="both"/>
        <w:rPr>
          <w:lang w:val="en-GB"/>
        </w:rPr>
      </w:pPr>
      <w:r>
        <w:rPr>
          <w:lang w:val="en-GB"/>
        </w:rPr>
        <w:t>Summing up,</w:t>
      </w:r>
      <w:r w:rsidRPr="002A6570">
        <w:rPr>
          <w:lang w:val="en-GB"/>
        </w:rPr>
        <w:t xml:space="preserve"> </w:t>
      </w:r>
      <w:r>
        <w:rPr>
          <w:lang w:val="en-GB"/>
        </w:rPr>
        <w:t xml:space="preserve">the </w:t>
      </w:r>
      <w:r w:rsidRPr="00C210DF">
        <w:rPr>
          <w:rFonts w:cs="Arial"/>
          <w:bCs/>
          <w:lang w:val="en-GB"/>
        </w:rPr>
        <w:t>information</w:t>
      </w:r>
      <w:r>
        <w:rPr>
          <w:lang w:val="en-GB"/>
        </w:rPr>
        <w:t xml:space="preserve"> provided by all these backward measures calculated through the “hybrid” I-O key sector </w:t>
      </w:r>
      <w:r w:rsidRPr="00382726">
        <w:rPr>
          <w:lang w:val="en-GB"/>
        </w:rPr>
        <w:t>methodology</w:t>
      </w:r>
      <w:r>
        <w:rPr>
          <w:color w:val="FF0000"/>
          <w:lang w:val="en-GB"/>
        </w:rPr>
        <w:t xml:space="preserve"> </w:t>
      </w:r>
      <w:r>
        <w:rPr>
          <w:lang w:val="en-GB"/>
        </w:rPr>
        <w:t>indicates that</w:t>
      </w:r>
      <w:r w:rsidRPr="002A6570">
        <w:rPr>
          <w:lang w:val="en-GB"/>
        </w:rPr>
        <w:t xml:space="preserve"> this manufacturing sector is a goo</w:t>
      </w:r>
      <w:r>
        <w:rPr>
          <w:lang w:val="en-GB"/>
        </w:rPr>
        <w:t xml:space="preserve">d “additional” candidate to focus energy efficiency policy efforts. This is so because, firstly, the manufacturing of </w:t>
      </w:r>
      <w:r w:rsidRPr="00307EFD">
        <w:rPr>
          <w:lang w:val="en-GB"/>
        </w:rPr>
        <w:t>Basic Metals</w:t>
      </w:r>
      <w:r>
        <w:rPr>
          <w:lang w:val="en-GB"/>
        </w:rPr>
        <w:t xml:space="preserve"> is a key-backward sector that, boosting total production may generate a remarkable influence on electricity demand in the economy; secondly, apart from other primary energy resources, the outputs produced by this manufacturing sector are also necessary inputs in the production and distribution of electricity that, at the same time, requires additional electricity resources for their fabrication.   </w:t>
      </w:r>
    </w:p>
    <w:p w:rsidR="001A0A7E" w:rsidRDefault="001A0A7E" w:rsidP="001A0A7E">
      <w:pPr>
        <w:pStyle w:val="NormalWeb"/>
        <w:spacing w:line="360" w:lineRule="auto"/>
        <w:ind w:firstLine="709"/>
        <w:jc w:val="both"/>
        <w:rPr>
          <w:lang w:val="en-GB"/>
        </w:rPr>
      </w:pPr>
    </w:p>
    <w:p w:rsidR="001A0A7E" w:rsidRDefault="001A0A7E" w:rsidP="001A0A7E">
      <w:pPr>
        <w:pStyle w:val="NormalWeb"/>
        <w:spacing w:line="360" w:lineRule="auto"/>
        <w:ind w:firstLine="709"/>
        <w:jc w:val="both"/>
        <w:rPr>
          <w:lang w:val="en-GB"/>
        </w:rPr>
      </w:pPr>
    </w:p>
    <w:p w:rsidR="001A0A7E" w:rsidRDefault="001A0A7E" w:rsidP="001A0A7E">
      <w:pPr>
        <w:pStyle w:val="NormalWeb"/>
        <w:spacing w:line="360" w:lineRule="auto"/>
        <w:ind w:firstLine="709"/>
        <w:jc w:val="both"/>
        <w:rPr>
          <w:lang w:val="en-GB"/>
        </w:rPr>
      </w:pPr>
    </w:p>
    <w:p w:rsidR="001A0A7E" w:rsidRDefault="001A0A7E" w:rsidP="001A0A7E">
      <w:pPr>
        <w:pStyle w:val="NormalWeb"/>
        <w:spacing w:line="360" w:lineRule="auto"/>
        <w:ind w:firstLine="709"/>
        <w:jc w:val="both"/>
        <w:rPr>
          <w:lang w:val="en-GB"/>
        </w:rPr>
      </w:pPr>
    </w:p>
    <w:p w:rsidR="001A0A7E" w:rsidRDefault="001A0A7E" w:rsidP="001A0A7E">
      <w:pPr>
        <w:pStyle w:val="NormalWeb"/>
        <w:spacing w:line="360" w:lineRule="auto"/>
        <w:ind w:firstLine="709"/>
        <w:jc w:val="both"/>
        <w:rPr>
          <w:lang w:val="en-GB"/>
        </w:rPr>
      </w:pPr>
    </w:p>
    <w:p w:rsidR="001A0A7E" w:rsidRDefault="001A0A7E" w:rsidP="001A0A7E">
      <w:pPr>
        <w:pStyle w:val="NormalWeb"/>
        <w:spacing w:line="360" w:lineRule="auto"/>
        <w:ind w:firstLine="709"/>
        <w:jc w:val="both"/>
        <w:rPr>
          <w:lang w:val="en-GB"/>
        </w:rPr>
      </w:pPr>
    </w:p>
    <w:p w:rsidR="001A0A7E" w:rsidRPr="002571B4" w:rsidRDefault="001A0A7E" w:rsidP="001A0A7E">
      <w:pPr>
        <w:pStyle w:val="Textoindependiente"/>
        <w:rPr>
          <w:b/>
          <w:lang w:val="en-GB"/>
        </w:rPr>
      </w:pPr>
      <w:r w:rsidRPr="002571B4">
        <w:rPr>
          <w:b/>
          <w:lang w:val="en-GB"/>
        </w:rPr>
        <w:t>4.</w:t>
      </w:r>
      <w:r>
        <w:rPr>
          <w:b/>
          <w:lang w:val="en-GB"/>
        </w:rPr>
        <w:t xml:space="preserve"> Conclusions and</w:t>
      </w:r>
      <w:r w:rsidRPr="002571B4">
        <w:rPr>
          <w:b/>
          <w:lang w:val="en-GB"/>
        </w:rPr>
        <w:t xml:space="preserve"> Policy Recommendations. </w:t>
      </w:r>
    </w:p>
    <w:p w:rsidR="001A0A7E" w:rsidRPr="002A6570" w:rsidRDefault="001A0A7E" w:rsidP="001A0A7E">
      <w:pPr>
        <w:pStyle w:val="NormalWeb"/>
        <w:spacing w:line="360" w:lineRule="auto"/>
        <w:ind w:firstLine="709"/>
        <w:jc w:val="both"/>
        <w:rPr>
          <w:lang w:val="en-GB"/>
        </w:rPr>
      </w:pPr>
      <w:r w:rsidRPr="005C7DF0">
        <w:rPr>
          <w:lang w:val="en-GB"/>
        </w:rPr>
        <w:t>The empirical application to the Spanish economy of the “hybrid” I-O proposal for detecting key sectors shows that, in marked contrast with other energy sectors, the Electricity sector presents the strongest total and external demand-pull effects among these energy related sectors.</w:t>
      </w:r>
      <w:r>
        <w:rPr>
          <w:lang w:val="en-GB"/>
        </w:rPr>
        <w:t xml:space="preserve"> Considering that electricity resources are relevant inputs in the production process of all production units in the economy, t</w:t>
      </w:r>
      <w:r w:rsidRPr="002A6570">
        <w:rPr>
          <w:lang w:val="en-GB"/>
        </w:rPr>
        <w:t>his result suggests that efficiency gains in the processes of transformation</w:t>
      </w:r>
      <w:r>
        <w:rPr>
          <w:lang w:val="en-GB"/>
        </w:rPr>
        <w:t>,</w:t>
      </w:r>
      <w:r w:rsidRPr="002A6570">
        <w:rPr>
          <w:lang w:val="en-GB"/>
        </w:rPr>
        <w:t xml:space="preserve"> distribution and generation of electricity may be as important as those </w:t>
      </w:r>
      <w:r>
        <w:rPr>
          <w:lang w:val="en-GB"/>
        </w:rPr>
        <w:t xml:space="preserve">arising </w:t>
      </w:r>
      <w:r w:rsidRPr="002A6570">
        <w:rPr>
          <w:lang w:val="en-GB"/>
        </w:rPr>
        <w:t>in its final use.</w:t>
      </w:r>
    </w:p>
    <w:p w:rsidR="001A0A7E" w:rsidRPr="002A6570" w:rsidRDefault="001A0A7E" w:rsidP="001A0A7E">
      <w:pPr>
        <w:pStyle w:val="NormalWeb"/>
        <w:spacing w:line="360" w:lineRule="auto"/>
        <w:ind w:firstLine="709"/>
        <w:jc w:val="both"/>
        <w:rPr>
          <w:lang w:val="en-GB"/>
        </w:rPr>
      </w:pPr>
      <w:r w:rsidRPr="002A6570">
        <w:rPr>
          <w:lang w:val="en-GB"/>
        </w:rPr>
        <w:t>Furthermore</w:t>
      </w:r>
      <w:r>
        <w:rPr>
          <w:lang w:val="en-GB"/>
        </w:rPr>
        <w:t>,</w:t>
      </w:r>
      <w:r w:rsidRPr="002A6570">
        <w:rPr>
          <w:lang w:val="en-GB"/>
        </w:rPr>
        <w:t xml:space="preserve"> the </w:t>
      </w:r>
      <w:proofErr w:type="spellStart"/>
      <w:r w:rsidRPr="002A6570">
        <w:rPr>
          <w:lang w:val="en-GB"/>
        </w:rPr>
        <w:t>sectoral</w:t>
      </w:r>
      <w:proofErr w:type="spellEnd"/>
      <w:r w:rsidRPr="002A6570">
        <w:rPr>
          <w:lang w:val="en-GB"/>
        </w:rPr>
        <w:t xml:space="preserve"> relative decomposition of its external backward impact indicates that most of its “non-redundant” interdependencies are still remarkably concentrated over other energy sectors that relate to no</w:t>
      </w:r>
      <w:r>
        <w:rPr>
          <w:lang w:val="en-GB"/>
        </w:rPr>
        <w:t>n-</w:t>
      </w:r>
      <w:proofErr w:type="spellStart"/>
      <w:r>
        <w:rPr>
          <w:lang w:val="en-GB"/>
        </w:rPr>
        <w:t>renewables</w:t>
      </w:r>
      <w:proofErr w:type="spellEnd"/>
      <w:r>
        <w:rPr>
          <w:lang w:val="en-GB"/>
        </w:rPr>
        <w:t>.</w:t>
      </w:r>
      <w:r w:rsidRPr="002A6570">
        <w:rPr>
          <w:lang w:val="en-GB"/>
        </w:rPr>
        <w:t xml:space="preserve"> This is the case</w:t>
      </w:r>
      <w:r>
        <w:rPr>
          <w:lang w:val="en-GB"/>
        </w:rPr>
        <w:t xml:space="preserve">, </w:t>
      </w:r>
      <w:r w:rsidRPr="002A6570">
        <w:rPr>
          <w:lang w:val="en-GB"/>
        </w:rPr>
        <w:t>at least</w:t>
      </w:r>
      <w:r>
        <w:rPr>
          <w:lang w:val="en-GB"/>
        </w:rPr>
        <w:t>,</w:t>
      </w:r>
      <w:r w:rsidRPr="002A6570">
        <w:rPr>
          <w:lang w:val="en-GB"/>
        </w:rPr>
        <w:t xml:space="preserve"> for </w:t>
      </w:r>
      <w:r>
        <w:rPr>
          <w:lang w:val="en-GB"/>
        </w:rPr>
        <w:t>the Spanish economy and for the period</w:t>
      </w:r>
      <w:r w:rsidRPr="002A6570">
        <w:rPr>
          <w:lang w:val="en-GB"/>
        </w:rPr>
        <w:t xml:space="preserve"> 2007 considered in this analysis. From this result</w:t>
      </w:r>
      <w:r>
        <w:rPr>
          <w:lang w:val="en-GB"/>
        </w:rPr>
        <w:t>,</w:t>
      </w:r>
      <w:r w:rsidRPr="002A6570">
        <w:rPr>
          <w:lang w:val="en-GB"/>
        </w:rPr>
        <w:t xml:space="preserve"> it seems that in the Spanish context a</w:t>
      </w:r>
      <w:r>
        <w:rPr>
          <w:lang w:val="en-GB"/>
        </w:rPr>
        <w:t>dditional efforts should be undertaken</w:t>
      </w:r>
      <w:r w:rsidRPr="002A6570">
        <w:rPr>
          <w:lang w:val="en-GB"/>
        </w:rPr>
        <w:t xml:space="preserve"> to reduce these connections</w:t>
      </w:r>
      <w:r>
        <w:rPr>
          <w:lang w:val="en-GB"/>
        </w:rPr>
        <w:t xml:space="preserve">, </w:t>
      </w:r>
      <w:r w:rsidRPr="002A6570">
        <w:rPr>
          <w:lang w:val="en-GB"/>
        </w:rPr>
        <w:t xml:space="preserve">favouring both a stronger dependence on </w:t>
      </w:r>
      <w:proofErr w:type="spellStart"/>
      <w:r w:rsidRPr="002A6570">
        <w:rPr>
          <w:lang w:val="en-GB"/>
        </w:rPr>
        <w:t>renewables</w:t>
      </w:r>
      <w:proofErr w:type="spellEnd"/>
      <w:r w:rsidRPr="002A6570">
        <w:rPr>
          <w:lang w:val="en-GB"/>
        </w:rPr>
        <w:t xml:space="preserve"> and a more efficient use of non-</w:t>
      </w:r>
      <w:proofErr w:type="spellStart"/>
      <w:r w:rsidRPr="002A6570">
        <w:rPr>
          <w:lang w:val="en-GB"/>
        </w:rPr>
        <w:t>renewables</w:t>
      </w:r>
      <w:proofErr w:type="spellEnd"/>
      <w:r w:rsidRPr="002A6570">
        <w:rPr>
          <w:lang w:val="en-GB"/>
        </w:rPr>
        <w:t xml:space="preserve"> in electricity generation.   </w:t>
      </w:r>
    </w:p>
    <w:p w:rsidR="001A0A7E" w:rsidRDefault="001A0A7E" w:rsidP="001A0A7E">
      <w:pPr>
        <w:pStyle w:val="NormalWeb"/>
        <w:spacing w:line="360" w:lineRule="auto"/>
        <w:ind w:firstLine="709"/>
        <w:jc w:val="both"/>
        <w:rPr>
          <w:lang w:val="en-GB"/>
        </w:rPr>
      </w:pPr>
      <w:r w:rsidRPr="00C53957">
        <w:rPr>
          <w:lang w:val="en-GB"/>
        </w:rPr>
        <w:t>Another interesting outcome obtained through the I-O “hybrid” method, refers</w:t>
      </w:r>
      <w:r w:rsidRPr="002A6570">
        <w:rPr>
          <w:lang w:val="en-GB"/>
        </w:rPr>
        <w:t xml:space="preserve"> to the structure and nature of the </w:t>
      </w:r>
      <w:r w:rsidRPr="00382726">
        <w:rPr>
          <w:lang w:val="en-GB"/>
        </w:rPr>
        <w:t>interdependencies between the manufacturing industries and the Electricity sector regarding their demand-pull stimuli</w:t>
      </w:r>
      <w:r w:rsidRPr="00F151EC">
        <w:rPr>
          <w:lang w:val="en-GB"/>
        </w:rPr>
        <w:t>.</w:t>
      </w:r>
      <w:r>
        <w:rPr>
          <w:color w:val="FF0000"/>
          <w:lang w:val="en-GB"/>
        </w:rPr>
        <w:t xml:space="preserve"> </w:t>
      </w:r>
      <w:r>
        <w:rPr>
          <w:lang w:val="en-GB"/>
        </w:rPr>
        <w:t xml:space="preserve">Our findings </w:t>
      </w:r>
      <w:r w:rsidRPr="002A6570">
        <w:rPr>
          <w:lang w:val="en-GB"/>
        </w:rPr>
        <w:t xml:space="preserve">indicate </w:t>
      </w:r>
      <w:r>
        <w:rPr>
          <w:lang w:val="en-GB"/>
        </w:rPr>
        <w:t xml:space="preserve">that, among these industries, the manufacturing of Basic Metals yields </w:t>
      </w:r>
      <w:r w:rsidRPr="00C53957">
        <w:rPr>
          <w:lang w:val="en-GB"/>
        </w:rPr>
        <w:t>the largest contribution to the external demand-pull stimuli of the Electricity sector</w:t>
      </w:r>
      <w:r>
        <w:rPr>
          <w:lang w:val="en-GB"/>
        </w:rPr>
        <w:t xml:space="preserve">. A plausible explanation for this finding rests on the role played by this sector as supplier of the electricity infrastructure necessary for the production and distribution of these secondary energy resources. Additionally, it is important to consider that energy resources are also required for the fabrication of electricity infrastructure. </w:t>
      </w:r>
      <w:r w:rsidRPr="005C7DF0">
        <w:rPr>
          <w:lang w:val="en-GB"/>
        </w:rPr>
        <w:t>Consequently, the question of how to improve energy efficiency may rest not only on achieving a more efficiency use of electricity resources but also a more efficient use of the available infrastructure.</w:t>
      </w:r>
      <w:r>
        <w:rPr>
          <w:lang w:val="en-GB"/>
        </w:rPr>
        <w:t xml:space="preserve"> </w:t>
      </w:r>
    </w:p>
    <w:p w:rsidR="001A0A7E" w:rsidRPr="0021309D" w:rsidRDefault="001A0A7E" w:rsidP="001A0A7E">
      <w:pPr>
        <w:pStyle w:val="NormalWeb"/>
        <w:spacing w:line="360" w:lineRule="auto"/>
        <w:ind w:firstLine="709"/>
        <w:jc w:val="both"/>
        <w:rPr>
          <w:lang w:val="en-GB"/>
        </w:rPr>
      </w:pPr>
      <w:r>
        <w:rPr>
          <w:lang w:val="en-GB"/>
        </w:rPr>
        <w:t xml:space="preserve">Another fact that emerges thanks to the use of the “hybrid” approach is that the </w:t>
      </w:r>
      <w:r w:rsidRPr="006F1C02">
        <w:rPr>
          <w:lang w:val="en-GB"/>
        </w:rPr>
        <w:t>Electricity</w:t>
      </w:r>
      <w:r w:rsidRPr="002A6570">
        <w:rPr>
          <w:lang w:val="en-GB"/>
        </w:rPr>
        <w:t xml:space="preserve"> sector and th</w:t>
      </w:r>
      <w:r>
        <w:rPr>
          <w:lang w:val="en-GB"/>
        </w:rPr>
        <w:t>e manufacturing of Basic M</w:t>
      </w:r>
      <w:r w:rsidRPr="006F1C02">
        <w:rPr>
          <w:lang w:val="en-GB"/>
        </w:rPr>
        <w:t>etals</w:t>
      </w:r>
      <w:r>
        <w:rPr>
          <w:lang w:val="en-GB"/>
        </w:rPr>
        <w:t xml:space="preserve"> share the characteristic of </w:t>
      </w:r>
      <w:r w:rsidRPr="002A6570">
        <w:rPr>
          <w:lang w:val="en-GB"/>
        </w:rPr>
        <w:t>having significant backward measures</w:t>
      </w:r>
      <w:r>
        <w:rPr>
          <w:lang w:val="en-GB"/>
        </w:rPr>
        <w:t>,</w:t>
      </w:r>
      <w:r w:rsidRPr="002A6570">
        <w:rPr>
          <w:lang w:val="en-GB"/>
        </w:rPr>
        <w:t xml:space="preserve"> both internal</w:t>
      </w:r>
      <w:r>
        <w:rPr>
          <w:lang w:val="en-GB"/>
        </w:rPr>
        <w:t xml:space="preserve"> and external to their own </w:t>
      </w:r>
      <w:r>
        <w:rPr>
          <w:lang w:val="en-GB"/>
        </w:rPr>
        <w:lastRenderedPageBreak/>
        <w:t>production unit</w:t>
      </w:r>
      <w:r w:rsidRPr="002A6570">
        <w:rPr>
          <w:lang w:val="en-GB"/>
        </w:rPr>
        <w:t>. Con</w:t>
      </w:r>
      <w:r>
        <w:rPr>
          <w:lang w:val="en-GB"/>
        </w:rPr>
        <w:t>sequently, the strength of its</w:t>
      </w:r>
      <w:r w:rsidRPr="002A6570">
        <w:rPr>
          <w:lang w:val="en-GB"/>
        </w:rPr>
        <w:t xml:space="preserve"> </w:t>
      </w:r>
      <w:r>
        <w:rPr>
          <w:lang w:val="en-GB"/>
        </w:rPr>
        <w:t>demand-pull stimuli will remarkably influence economy-wide energy demand and, thus, energy efficiency levels.</w:t>
      </w:r>
      <w:r w:rsidRPr="002A6570">
        <w:rPr>
          <w:lang w:val="en-GB"/>
        </w:rPr>
        <w:t xml:space="preserve"> </w:t>
      </w:r>
      <w:r>
        <w:rPr>
          <w:lang w:val="en-GB"/>
        </w:rPr>
        <w:t xml:space="preserve">Taking </w:t>
      </w:r>
      <w:r w:rsidRPr="002A6570">
        <w:rPr>
          <w:lang w:val="en-GB"/>
        </w:rPr>
        <w:t>this into account</w:t>
      </w:r>
      <w:r>
        <w:rPr>
          <w:lang w:val="en-GB"/>
        </w:rPr>
        <w:t>, additional</w:t>
      </w:r>
      <w:r w:rsidRPr="002A6570">
        <w:rPr>
          <w:lang w:val="en-GB"/>
        </w:rPr>
        <w:t xml:space="preserve"> special policy guidelines should be designed for this manufacturing industry</w:t>
      </w:r>
      <w:r>
        <w:rPr>
          <w:lang w:val="en-GB"/>
        </w:rPr>
        <w:t xml:space="preserve"> going further and beyond the specific actions for manufactures contemplated in the Spanish National Action Plan for Energy Efficiency 2011-2020. The reason rests on the remarkable potential direct and indirect influence that this sector has in the final use of electricity and, also, from its relevant role as an input provider for the production and distribution of electricity resources</w:t>
      </w:r>
      <w:r w:rsidRPr="002A6570">
        <w:rPr>
          <w:lang w:val="en-GB"/>
        </w:rPr>
        <w:t xml:space="preserve">. </w:t>
      </w:r>
    </w:p>
    <w:p w:rsidR="001A0A7E" w:rsidRPr="006B36FE" w:rsidRDefault="001A0A7E" w:rsidP="001A0A7E">
      <w:pPr>
        <w:pStyle w:val="NormalWeb"/>
        <w:spacing w:line="360" w:lineRule="auto"/>
        <w:ind w:firstLine="709"/>
        <w:jc w:val="both"/>
        <w:rPr>
          <w:lang w:val="en-US"/>
        </w:rPr>
      </w:pPr>
      <w:r w:rsidRPr="002A6570">
        <w:rPr>
          <w:lang w:val="en-GB"/>
        </w:rPr>
        <w:t xml:space="preserve">The recommendations suggested </w:t>
      </w:r>
      <w:r>
        <w:rPr>
          <w:lang w:val="en-GB"/>
        </w:rPr>
        <w:t xml:space="preserve">by our new </w:t>
      </w:r>
      <w:r w:rsidRPr="002A6570">
        <w:rPr>
          <w:lang w:val="en-GB"/>
        </w:rPr>
        <w:t xml:space="preserve">methodological approach </w:t>
      </w:r>
      <w:r>
        <w:rPr>
          <w:lang w:val="en-GB"/>
        </w:rPr>
        <w:t>c</w:t>
      </w:r>
      <w:r w:rsidRPr="002A6570">
        <w:rPr>
          <w:lang w:val="en-GB"/>
        </w:rPr>
        <w:t xml:space="preserve">ould </w:t>
      </w:r>
      <w:r>
        <w:rPr>
          <w:lang w:val="en-GB"/>
        </w:rPr>
        <w:t xml:space="preserve">be useful </w:t>
      </w:r>
      <w:r w:rsidRPr="002A6570">
        <w:rPr>
          <w:lang w:val="en-GB"/>
        </w:rPr>
        <w:t>to enhance the design and effectivene</w:t>
      </w:r>
      <w:r>
        <w:rPr>
          <w:lang w:val="en-GB"/>
        </w:rPr>
        <w:t xml:space="preserve">ss of energy efficiency policy actions, in general, and those that affect the production and distribution of electricity, in particular.  </w:t>
      </w:r>
      <w:r w:rsidRPr="00DD5425">
        <w:rPr>
          <w:lang w:val="en-GB"/>
        </w:rPr>
        <w:t xml:space="preserve">Most of the policy recommendations drawn from our “hybrid” I-O method in the context of the Spanish economy can be extended </w:t>
      </w:r>
      <w:r w:rsidRPr="00C53957">
        <w:rPr>
          <w:lang w:val="en-GB"/>
        </w:rPr>
        <w:t>or adapted</w:t>
      </w:r>
      <w:r>
        <w:rPr>
          <w:lang w:val="en-GB"/>
        </w:rPr>
        <w:t xml:space="preserve"> </w:t>
      </w:r>
      <w:r w:rsidRPr="00DD5425">
        <w:rPr>
          <w:lang w:val="en-GB"/>
        </w:rPr>
        <w:t>to other EU Member States economies</w:t>
      </w:r>
      <w:r>
        <w:rPr>
          <w:lang w:val="en-GB"/>
        </w:rPr>
        <w:t xml:space="preserve">. </w:t>
      </w:r>
      <w:r w:rsidRPr="00DD5425">
        <w:rPr>
          <w:lang w:val="en-GB"/>
        </w:rPr>
        <w:t xml:space="preserve"> </w:t>
      </w:r>
      <w:r w:rsidRPr="00C53957">
        <w:rPr>
          <w:lang w:val="en-GB"/>
        </w:rPr>
        <w:t xml:space="preserve">These policy suggestions are based on general aspects that directly relate to the production and distribution of electricity and that our approach helps to discern and quantify.  </w:t>
      </w:r>
    </w:p>
    <w:p w:rsidR="001A0A7E" w:rsidRPr="006B36FE" w:rsidRDefault="001A0A7E" w:rsidP="001A0A7E">
      <w:pPr>
        <w:pStyle w:val="NormalWeb"/>
        <w:spacing w:line="360" w:lineRule="auto"/>
        <w:ind w:firstLine="709"/>
        <w:jc w:val="both"/>
        <w:rPr>
          <w:lang w:val="en-US"/>
        </w:rPr>
      </w:pPr>
    </w:p>
    <w:p w:rsidR="001A0A7E" w:rsidRPr="006B36FE" w:rsidRDefault="001A0A7E" w:rsidP="001A0A7E">
      <w:pPr>
        <w:pStyle w:val="NormalWeb"/>
        <w:spacing w:line="360" w:lineRule="auto"/>
        <w:ind w:firstLine="709"/>
        <w:jc w:val="both"/>
        <w:rPr>
          <w:lang w:val="en-US"/>
        </w:rPr>
      </w:pPr>
    </w:p>
    <w:p w:rsidR="001A0A7E" w:rsidRPr="006B36FE" w:rsidRDefault="001A0A7E" w:rsidP="001A0A7E">
      <w:pPr>
        <w:pStyle w:val="NormalWeb"/>
        <w:spacing w:line="360" w:lineRule="auto"/>
        <w:ind w:firstLine="709"/>
        <w:jc w:val="both"/>
        <w:rPr>
          <w:lang w:val="en-US"/>
        </w:rPr>
      </w:pPr>
    </w:p>
    <w:p w:rsidR="001A0A7E" w:rsidRPr="006B36FE" w:rsidRDefault="001A0A7E" w:rsidP="001A0A7E">
      <w:pPr>
        <w:pStyle w:val="NormalWeb"/>
        <w:spacing w:line="360" w:lineRule="auto"/>
        <w:ind w:firstLine="709"/>
        <w:jc w:val="both"/>
        <w:rPr>
          <w:lang w:val="en-US"/>
        </w:rPr>
      </w:pPr>
    </w:p>
    <w:p w:rsidR="001A0A7E" w:rsidRPr="006B36FE" w:rsidRDefault="001A0A7E" w:rsidP="001A0A7E">
      <w:pPr>
        <w:pStyle w:val="NormalWeb"/>
        <w:spacing w:line="360" w:lineRule="auto"/>
        <w:ind w:firstLine="709"/>
        <w:jc w:val="both"/>
        <w:rPr>
          <w:lang w:val="en-US"/>
        </w:rPr>
      </w:pPr>
    </w:p>
    <w:p w:rsidR="001A0A7E" w:rsidRPr="006B36FE" w:rsidRDefault="001A0A7E" w:rsidP="001A0A7E">
      <w:pPr>
        <w:pStyle w:val="NormalWeb"/>
        <w:spacing w:line="360" w:lineRule="auto"/>
        <w:ind w:firstLine="709"/>
        <w:jc w:val="both"/>
        <w:rPr>
          <w:lang w:val="en-US"/>
        </w:rPr>
      </w:pPr>
    </w:p>
    <w:p w:rsidR="001A0A7E" w:rsidRPr="006B36FE" w:rsidRDefault="001A0A7E" w:rsidP="001A0A7E">
      <w:pPr>
        <w:spacing w:before="100" w:beforeAutospacing="1" w:after="100" w:afterAutospacing="1" w:line="360" w:lineRule="auto"/>
        <w:ind w:firstLine="709"/>
        <w:jc w:val="both"/>
        <w:outlineLvl w:val="0"/>
        <w:rPr>
          <w:b/>
          <w:lang w:val="en-US"/>
        </w:rPr>
      </w:pPr>
    </w:p>
    <w:p w:rsidR="001A0A7E" w:rsidRPr="006B36FE" w:rsidRDefault="001A0A7E" w:rsidP="001A0A7E">
      <w:pPr>
        <w:spacing w:before="100" w:beforeAutospacing="1" w:after="100" w:afterAutospacing="1" w:line="360" w:lineRule="auto"/>
        <w:ind w:firstLine="709"/>
        <w:jc w:val="both"/>
        <w:outlineLvl w:val="0"/>
        <w:rPr>
          <w:b/>
          <w:lang w:val="en-US"/>
        </w:rPr>
      </w:pPr>
    </w:p>
    <w:p w:rsidR="001A0A7E" w:rsidRPr="006B36FE" w:rsidRDefault="001A0A7E" w:rsidP="001A0A7E">
      <w:pPr>
        <w:spacing w:before="100" w:beforeAutospacing="1" w:after="100" w:afterAutospacing="1" w:line="360" w:lineRule="auto"/>
        <w:ind w:firstLine="709"/>
        <w:jc w:val="both"/>
        <w:outlineLvl w:val="0"/>
        <w:rPr>
          <w:b/>
          <w:lang w:val="en-US"/>
        </w:rPr>
      </w:pPr>
    </w:p>
    <w:p w:rsidR="001A0A7E" w:rsidRPr="006B36FE" w:rsidRDefault="001A0A7E" w:rsidP="001A0A7E">
      <w:pPr>
        <w:spacing w:before="100" w:beforeAutospacing="1" w:after="100" w:afterAutospacing="1" w:line="360" w:lineRule="auto"/>
        <w:ind w:firstLine="709"/>
        <w:jc w:val="both"/>
        <w:outlineLvl w:val="0"/>
        <w:rPr>
          <w:b/>
          <w:lang w:val="en-US"/>
        </w:rPr>
      </w:pPr>
    </w:p>
    <w:p w:rsidR="001A0A7E" w:rsidRPr="006B36FE" w:rsidRDefault="001A0A7E" w:rsidP="001A0A7E">
      <w:pPr>
        <w:spacing w:before="100" w:beforeAutospacing="1" w:after="100" w:afterAutospacing="1" w:line="360" w:lineRule="auto"/>
        <w:ind w:firstLine="709"/>
        <w:jc w:val="both"/>
        <w:outlineLvl w:val="0"/>
        <w:rPr>
          <w:b/>
          <w:lang w:val="en-US"/>
        </w:rPr>
      </w:pPr>
    </w:p>
    <w:p w:rsidR="001A0A7E" w:rsidRDefault="001A0A7E" w:rsidP="001A0A7E">
      <w:pPr>
        <w:pStyle w:val="DefaultText"/>
        <w:ind w:left="0" w:firstLine="0"/>
        <w:jc w:val="both"/>
        <w:rPr>
          <w:sz w:val="22"/>
          <w:szCs w:val="22"/>
          <w:lang w:val="en-GB"/>
        </w:rPr>
      </w:pPr>
      <w:r w:rsidRPr="005C7DF0">
        <w:rPr>
          <w:sz w:val="22"/>
          <w:szCs w:val="22"/>
          <w:lang w:val="en-GB"/>
        </w:rPr>
        <w:t>.</w:t>
      </w:r>
    </w:p>
    <w:p w:rsidR="001A0A7E" w:rsidRDefault="001A0A7E" w:rsidP="001A0A7E">
      <w:pPr>
        <w:pStyle w:val="DefaultText"/>
        <w:ind w:left="0" w:firstLine="0"/>
        <w:jc w:val="both"/>
        <w:rPr>
          <w:sz w:val="22"/>
          <w:szCs w:val="22"/>
          <w:lang w:val="en-GB"/>
        </w:rPr>
      </w:pPr>
    </w:p>
    <w:p w:rsidR="001A0A7E" w:rsidRDefault="001A0A7E" w:rsidP="001A0A7E">
      <w:pPr>
        <w:pStyle w:val="DefaultText"/>
        <w:ind w:left="0" w:firstLine="0"/>
        <w:jc w:val="both"/>
        <w:rPr>
          <w:sz w:val="22"/>
          <w:szCs w:val="22"/>
          <w:lang w:val="en-GB"/>
        </w:rPr>
      </w:pPr>
    </w:p>
    <w:p w:rsidR="001A0A7E" w:rsidRDefault="001A0A7E" w:rsidP="001A0A7E">
      <w:pPr>
        <w:pStyle w:val="DefaultText"/>
        <w:ind w:left="0" w:firstLine="0"/>
        <w:jc w:val="both"/>
        <w:rPr>
          <w:sz w:val="22"/>
          <w:szCs w:val="22"/>
          <w:lang w:val="en-GB"/>
        </w:rPr>
      </w:pPr>
    </w:p>
    <w:p w:rsidR="001A0A7E" w:rsidRDefault="001A0A7E" w:rsidP="001A0A7E">
      <w:pPr>
        <w:pStyle w:val="DefaultText"/>
        <w:ind w:left="0" w:firstLine="0"/>
        <w:jc w:val="both"/>
        <w:rPr>
          <w:sz w:val="22"/>
          <w:szCs w:val="22"/>
          <w:lang w:val="en-GB"/>
        </w:rPr>
      </w:pPr>
    </w:p>
    <w:p w:rsidR="001A0A7E" w:rsidRDefault="001A0A7E" w:rsidP="001A0A7E">
      <w:pPr>
        <w:pStyle w:val="DefaultText"/>
        <w:ind w:left="0" w:firstLine="0"/>
        <w:jc w:val="both"/>
        <w:rPr>
          <w:sz w:val="22"/>
          <w:szCs w:val="22"/>
          <w:lang w:val="en-GB"/>
        </w:rPr>
      </w:pPr>
    </w:p>
    <w:p w:rsidR="001A0A7E" w:rsidRDefault="001A0A7E" w:rsidP="001A0A7E">
      <w:pPr>
        <w:pStyle w:val="DefaultText"/>
        <w:ind w:left="0" w:firstLine="0"/>
        <w:jc w:val="both"/>
        <w:rPr>
          <w:sz w:val="22"/>
          <w:szCs w:val="22"/>
          <w:lang w:val="en-GB"/>
        </w:rPr>
      </w:pPr>
    </w:p>
    <w:p w:rsidR="001A0A7E" w:rsidRDefault="001A0A7E" w:rsidP="001A0A7E">
      <w:pPr>
        <w:pStyle w:val="DefaultText"/>
        <w:ind w:left="0" w:firstLine="0"/>
        <w:jc w:val="both"/>
        <w:rPr>
          <w:sz w:val="22"/>
          <w:szCs w:val="22"/>
          <w:lang w:val="en-GB"/>
        </w:rPr>
      </w:pPr>
    </w:p>
    <w:p w:rsidR="001A0A7E" w:rsidRDefault="001A0A7E" w:rsidP="001A0A7E">
      <w:pPr>
        <w:pStyle w:val="DefaultText"/>
        <w:ind w:left="0" w:firstLine="0"/>
        <w:jc w:val="both"/>
        <w:rPr>
          <w:sz w:val="22"/>
          <w:szCs w:val="22"/>
          <w:lang w:val="en-GB"/>
        </w:rPr>
      </w:pPr>
    </w:p>
    <w:p w:rsidR="001A0A7E" w:rsidRDefault="001A0A7E" w:rsidP="001A0A7E">
      <w:pPr>
        <w:pStyle w:val="DefaultText"/>
        <w:ind w:left="0" w:firstLine="0"/>
        <w:jc w:val="both"/>
        <w:rPr>
          <w:sz w:val="22"/>
          <w:szCs w:val="22"/>
          <w:lang w:val="en-GB"/>
        </w:rPr>
      </w:pPr>
    </w:p>
    <w:p w:rsidR="001A0A7E" w:rsidRDefault="001A0A7E" w:rsidP="001A0A7E">
      <w:pPr>
        <w:pStyle w:val="DefaultText"/>
        <w:ind w:left="0" w:firstLine="0"/>
        <w:jc w:val="both"/>
        <w:rPr>
          <w:sz w:val="22"/>
          <w:szCs w:val="22"/>
          <w:lang w:val="en-GB"/>
        </w:rPr>
      </w:pPr>
    </w:p>
    <w:p w:rsidR="001A0A7E" w:rsidRDefault="001A0A7E" w:rsidP="001A0A7E">
      <w:pPr>
        <w:pStyle w:val="DefaultText"/>
        <w:ind w:left="0" w:firstLine="0"/>
        <w:jc w:val="both"/>
        <w:rPr>
          <w:sz w:val="22"/>
          <w:szCs w:val="22"/>
          <w:lang w:val="en-GB"/>
        </w:rPr>
      </w:pPr>
    </w:p>
    <w:p w:rsidR="001A0A7E" w:rsidRDefault="001A0A7E" w:rsidP="001A0A7E">
      <w:pPr>
        <w:pStyle w:val="DefaultText"/>
        <w:ind w:left="0" w:firstLine="0"/>
        <w:jc w:val="both"/>
        <w:rPr>
          <w:sz w:val="22"/>
          <w:szCs w:val="22"/>
          <w:lang w:val="en-GB"/>
        </w:rPr>
      </w:pPr>
    </w:p>
    <w:p w:rsidR="001A0A7E" w:rsidRDefault="001A0A7E" w:rsidP="001A0A7E">
      <w:pPr>
        <w:pStyle w:val="DefaultText"/>
        <w:ind w:left="0" w:firstLine="0"/>
        <w:jc w:val="both"/>
        <w:rPr>
          <w:sz w:val="22"/>
          <w:szCs w:val="22"/>
          <w:lang w:val="en-GB"/>
        </w:rPr>
      </w:pPr>
    </w:p>
    <w:p w:rsidR="001A0A7E" w:rsidRDefault="001A0A7E" w:rsidP="001A0A7E">
      <w:pPr>
        <w:pStyle w:val="DefaultText"/>
        <w:ind w:left="0" w:firstLine="0"/>
        <w:jc w:val="both"/>
        <w:rPr>
          <w:sz w:val="22"/>
          <w:szCs w:val="22"/>
          <w:lang w:val="en-GB"/>
        </w:rPr>
      </w:pPr>
    </w:p>
    <w:p w:rsidR="001A0A7E" w:rsidRDefault="001A0A7E" w:rsidP="001A0A7E">
      <w:pPr>
        <w:pStyle w:val="DefaultText"/>
        <w:ind w:left="0" w:firstLine="0"/>
        <w:jc w:val="both"/>
        <w:rPr>
          <w:sz w:val="22"/>
          <w:szCs w:val="22"/>
          <w:lang w:val="en-GB"/>
        </w:rPr>
      </w:pPr>
    </w:p>
    <w:p w:rsidR="001A0A7E" w:rsidRDefault="001A0A7E" w:rsidP="001A0A7E">
      <w:pPr>
        <w:pStyle w:val="DefaultText"/>
        <w:ind w:left="0" w:firstLine="0"/>
        <w:jc w:val="both"/>
        <w:rPr>
          <w:sz w:val="22"/>
          <w:szCs w:val="22"/>
          <w:lang w:val="en-GB"/>
        </w:rPr>
      </w:pPr>
    </w:p>
    <w:p w:rsidR="001A0A7E" w:rsidRDefault="001A0A7E" w:rsidP="001A0A7E">
      <w:pPr>
        <w:pStyle w:val="DefaultText"/>
        <w:ind w:left="0" w:firstLine="0"/>
        <w:jc w:val="both"/>
        <w:rPr>
          <w:sz w:val="22"/>
          <w:szCs w:val="22"/>
          <w:lang w:val="en-GB"/>
        </w:rPr>
      </w:pPr>
    </w:p>
    <w:p w:rsidR="001A0A7E" w:rsidRDefault="001A0A7E" w:rsidP="001A0A7E">
      <w:pPr>
        <w:pStyle w:val="DefaultText"/>
        <w:ind w:left="0" w:firstLine="0"/>
        <w:jc w:val="both"/>
        <w:rPr>
          <w:sz w:val="22"/>
          <w:szCs w:val="22"/>
          <w:lang w:val="en-GB"/>
        </w:rPr>
      </w:pPr>
    </w:p>
    <w:p w:rsidR="001A0A7E" w:rsidRDefault="001A0A7E" w:rsidP="001A0A7E">
      <w:pPr>
        <w:pStyle w:val="DefaultText"/>
        <w:ind w:left="0" w:firstLine="0"/>
        <w:jc w:val="both"/>
        <w:rPr>
          <w:sz w:val="22"/>
          <w:szCs w:val="22"/>
          <w:lang w:val="en-GB"/>
        </w:rPr>
      </w:pPr>
    </w:p>
    <w:p w:rsidR="001A0A7E" w:rsidRDefault="001A0A7E" w:rsidP="001A0A7E">
      <w:pPr>
        <w:pStyle w:val="DefaultText"/>
        <w:ind w:left="0" w:firstLine="0"/>
        <w:jc w:val="both"/>
        <w:rPr>
          <w:sz w:val="22"/>
          <w:szCs w:val="22"/>
          <w:lang w:val="en-GB"/>
        </w:rPr>
      </w:pPr>
    </w:p>
    <w:p w:rsidR="001A0A7E" w:rsidRDefault="001A0A7E" w:rsidP="001A0A7E">
      <w:pPr>
        <w:pStyle w:val="DefaultText"/>
        <w:ind w:left="0" w:firstLine="0"/>
        <w:jc w:val="both"/>
        <w:rPr>
          <w:sz w:val="22"/>
          <w:szCs w:val="22"/>
          <w:lang w:val="en-GB"/>
        </w:rPr>
      </w:pPr>
    </w:p>
    <w:p w:rsidR="001A0A7E" w:rsidRDefault="001A0A7E" w:rsidP="001A0A7E">
      <w:pPr>
        <w:pStyle w:val="DefaultText"/>
        <w:ind w:left="0" w:firstLine="0"/>
        <w:jc w:val="both"/>
        <w:rPr>
          <w:sz w:val="22"/>
          <w:szCs w:val="22"/>
          <w:lang w:val="en-GB"/>
        </w:rPr>
      </w:pPr>
    </w:p>
    <w:p w:rsidR="001A0A7E" w:rsidRDefault="001A0A7E" w:rsidP="001A0A7E">
      <w:pPr>
        <w:pStyle w:val="DefaultText"/>
        <w:ind w:left="0" w:firstLine="0"/>
        <w:jc w:val="both"/>
        <w:rPr>
          <w:sz w:val="22"/>
          <w:szCs w:val="22"/>
          <w:lang w:val="en-GB"/>
        </w:rPr>
      </w:pPr>
    </w:p>
    <w:p w:rsidR="001A0A7E" w:rsidRDefault="001A0A7E" w:rsidP="001A0A7E">
      <w:pPr>
        <w:pStyle w:val="DefaultText"/>
        <w:ind w:left="0" w:firstLine="0"/>
        <w:jc w:val="both"/>
        <w:rPr>
          <w:sz w:val="22"/>
          <w:szCs w:val="22"/>
          <w:lang w:val="en-GB"/>
        </w:rPr>
      </w:pPr>
    </w:p>
    <w:p w:rsidR="001A0A7E" w:rsidRDefault="001A0A7E" w:rsidP="001A0A7E">
      <w:pPr>
        <w:pStyle w:val="DefaultText"/>
        <w:ind w:left="0" w:firstLine="0"/>
        <w:jc w:val="both"/>
        <w:rPr>
          <w:sz w:val="22"/>
          <w:szCs w:val="22"/>
          <w:lang w:val="en-GB"/>
        </w:rPr>
      </w:pPr>
    </w:p>
    <w:p w:rsidR="001A0A7E" w:rsidRDefault="001A0A7E" w:rsidP="001A0A7E">
      <w:pPr>
        <w:pStyle w:val="DefaultText"/>
        <w:ind w:left="0" w:firstLine="0"/>
        <w:jc w:val="both"/>
        <w:rPr>
          <w:sz w:val="22"/>
          <w:szCs w:val="22"/>
          <w:lang w:val="en-GB"/>
        </w:rPr>
      </w:pPr>
    </w:p>
    <w:p w:rsidR="001A0A7E" w:rsidRDefault="001A0A7E" w:rsidP="001A0A7E">
      <w:pPr>
        <w:pStyle w:val="DefaultText"/>
        <w:ind w:left="0" w:firstLine="0"/>
        <w:jc w:val="both"/>
        <w:rPr>
          <w:sz w:val="22"/>
          <w:szCs w:val="22"/>
          <w:lang w:val="en-GB"/>
        </w:rPr>
      </w:pPr>
    </w:p>
    <w:p w:rsidR="001A0A7E" w:rsidRDefault="001A0A7E" w:rsidP="001A0A7E">
      <w:pPr>
        <w:pStyle w:val="DefaultText"/>
        <w:ind w:left="0" w:firstLine="0"/>
        <w:jc w:val="both"/>
        <w:rPr>
          <w:sz w:val="22"/>
          <w:szCs w:val="22"/>
          <w:lang w:val="en-GB"/>
        </w:rPr>
      </w:pPr>
    </w:p>
    <w:p w:rsidR="001A0A7E" w:rsidRDefault="001A0A7E" w:rsidP="001A0A7E">
      <w:pPr>
        <w:pStyle w:val="DefaultText"/>
        <w:ind w:left="0" w:firstLine="0"/>
        <w:jc w:val="both"/>
        <w:rPr>
          <w:sz w:val="22"/>
          <w:szCs w:val="22"/>
          <w:lang w:val="en-GB"/>
        </w:rPr>
      </w:pPr>
    </w:p>
    <w:p w:rsidR="001A0A7E" w:rsidRDefault="001A0A7E" w:rsidP="001A0A7E">
      <w:pPr>
        <w:pStyle w:val="DefaultText"/>
        <w:ind w:left="0" w:firstLine="0"/>
        <w:jc w:val="both"/>
        <w:rPr>
          <w:sz w:val="22"/>
          <w:szCs w:val="22"/>
          <w:lang w:val="en-GB"/>
        </w:rPr>
      </w:pPr>
    </w:p>
    <w:p w:rsidR="001A0A7E" w:rsidRDefault="001A0A7E" w:rsidP="001A0A7E">
      <w:pPr>
        <w:pStyle w:val="DefaultText"/>
        <w:ind w:left="0" w:firstLine="0"/>
        <w:jc w:val="both"/>
        <w:rPr>
          <w:sz w:val="22"/>
          <w:szCs w:val="22"/>
          <w:lang w:val="en-GB"/>
        </w:rPr>
      </w:pPr>
    </w:p>
    <w:p w:rsidR="001A0A7E" w:rsidRDefault="001A0A7E" w:rsidP="001A0A7E">
      <w:pPr>
        <w:pStyle w:val="DefaultText"/>
        <w:ind w:left="0" w:firstLine="0"/>
        <w:jc w:val="both"/>
        <w:rPr>
          <w:sz w:val="22"/>
          <w:szCs w:val="22"/>
          <w:lang w:val="en-GB"/>
        </w:rPr>
      </w:pPr>
    </w:p>
    <w:p w:rsidR="001A0A7E" w:rsidRDefault="001A0A7E" w:rsidP="001A0A7E">
      <w:pPr>
        <w:pStyle w:val="DefaultText"/>
        <w:ind w:left="0" w:firstLine="0"/>
        <w:jc w:val="both"/>
        <w:rPr>
          <w:sz w:val="22"/>
          <w:szCs w:val="22"/>
          <w:lang w:val="en-GB"/>
        </w:rPr>
      </w:pPr>
    </w:p>
    <w:p w:rsidR="001A0A7E" w:rsidRDefault="001A0A7E" w:rsidP="001A0A7E">
      <w:pPr>
        <w:pStyle w:val="DefaultText"/>
        <w:ind w:left="0" w:firstLine="0"/>
        <w:jc w:val="both"/>
        <w:rPr>
          <w:sz w:val="22"/>
          <w:szCs w:val="22"/>
          <w:lang w:val="en-GB"/>
        </w:rPr>
      </w:pPr>
    </w:p>
    <w:p w:rsidR="001A0A7E" w:rsidRDefault="001A0A7E" w:rsidP="001A0A7E">
      <w:pPr>
        <w:pStyle w:val="DefaultText"/>
        <w:ind w:left="0" w:firstLine="0"/>
        <w:jc w:val="both"/>
        <w:rPr>
          <w:sz w:val="22"/>
          <w:szCs w:val="22"/>
          <w:lang w:val="en-GB"/>
        </w:rPr>
      </w:pPr>
    </w:p>
    <w:p w:rsidR="001A0A7E" w:rsidRDefault="001A0A7E" w:rsidP="001A0A7E">
      <w:pPr>
        <w:pStyle w:val="DefaultText"/>
        <w:ind w:left="0" w:firstLine="0"/>
        <w:jc w:val="both"/>
        <w:rPr>
          <w:sz w:val="22"/>
          <w:szCs w:val="22"/>
          <w:lang w:val="en-GB"/>
        </w:rPr>
      </w:pPr>
    </w:p>
    <w:p w:rsidR="001A0A7E" w:rsidRDefault="001A0A7E" w:rsidP="001A0A7E">
      <w:pPr>
        <w:pStyle w:val="DefaultText"/>
        <w:ind w:left="0" w:firstLine="0"/>
        <w:jc w:val="both"/>
        <w:rPr>
          <w:sz w:val="22"/>
          <w:szCs w:val="22"/>
          <w:lang w:val="en-GB"/>
        </w:rPr>
      </w:pPr>
    </w:p>
    <w:p w:rsidR="001A0A7E" w:rsidRDefault="001A0A7E" w:rsidP="001A0A7E">
      <w:pPr>
        <w:pStyle w:val="DefaultText"/>
        <w:ind w:left="0" w:firstLine="0"/>
        <w:jc w:val="both"/>
        <w:rPr>
          <w:sz w:val="22"/>
          <w:szCs w:val="22"/>
          <w:lang w:val="en-GB"/>
        </w:rPr>
      </w:pPr>
    </w:p>
    <w:p w:rsidR="001A0A7E" w:rsidRDefault="001A0A7E" w:rsidP="001A0A7E">
      <w:pPr>
        <w:pStyle w:val="DefaultText"/>
        <w:ind w:left="0" w:firstLine="0"/>
        <w:jc w:val="both"/>
        <w:rPr>
          <w:sz w:val="22"/>
          <w:szCs w:val="22"/>
          <w:lang w:val="en-GB"/>
        </w:rPr>
      </w:pPr>
    </w:p>
    <w:p w:rsidR="001A0A7E" w:rsidRDefault="001A0A7E" w:rsidP="001A0A7E">
      <w:pPr>
        <w:pStyle w:val="DefaultText"/>
        <w:ind w:left="0" w:firstLine="0"/>
        <w:jc w:val="both"/>
        <w:rPr>
          <w:sz w:val="22"/>
          <w:szCs w:val="22"/>
          <w:lang w:val="en-GB"/>
        </w:rPr>
      </w:pPr>
    </w:p>
    <w:p w:rsidR="001A0A7E" w:rsidRDefault="001A0A7E" w:rsidP="001A0A7E">
      <w:pPr>
        <w:pStyle w:val="DefaultText"/>
        <w:ind w:left="0" w:firstLine="0"/>
        <w:jc w:val="both"/>
        <w:rPr>
          <w:sz w:val="22"/>
          <w:szCs w:val="22"/>
          <w:lang w:val="en-GB"/>
        </w:rPr>
      </w:pPr>
    </w:p>
    <w:p w:rsidR="001A0A7E" w:rsidRDefault="001A0A7E" w:rsidP="001A0A7E">
      <w:pPr>
        <w:pStyle w:val="DefaultText"/>
        <w:ind w:left="0" w:firstLine="0"/>
        <w:jc w:val="both"/>
        <w:rPr>
          <w:sz w:val="22"/>
          <w:szCs w:val="22"/>
          <w:lang w:val="en-GB"/>
        </w:rPr>
      </w:pPr>
    </w:p>
    <w:p w:rsidR="001A0A7E" w:rsidRDefault="001A0A7E" w:rsidP="001A0A7E">
      <w:pPr>
        <w:pStyle w:val="DefaultText"/>
        <w:ind w:left="0" w:firstLine="0"/>
        <w:jc w:val="both"/>
        <w:rPr>
          <w:sz w:val="22"/>
          <w:szCs w:val="22"/>
          <w:lang w:val="en-GB"/>
        </w:rPr>
      </w:pPr>
    </w:p>
    <w:p w:rsidR="001A0A7E" w:rsidRDefault="001A0A7E" w:rsidP="001A0A7E">
      <w:pPr>
        <w:pStyle w:val="DefaultText"/>
        <w:ind w:left="0" w:firstLine="0"/>
        <w:jc w:val="both"/>
        <w:rPr>
          <w:sz w:val="22"/>
          <w:szCs w:val="22"/>
          <w:lang w:val="en-GB"/>
        </w:rPr>
      </w:pPr>
    </w:p>
    <w:p w:rsidR="001A0A7E" w:rsidRDefault="001A0A7E" w:rsidP="001A0A7E">
      <w:pPr>
        <w:pStyle w:val="DefaultText"/>
        <w:ind w:left="0" w:firstLine="0"/>
        <w:jc w:val="both"/>
        <w:rPr>
          <w:sz w:val="22"/>
          <w:szCs w:val="22"/>
          <w:lang w:val="en-GB"/>
        </w:rPr>
      </w:pPr>
    </w:p>
    <w:p w:rsidR="001A0A7E" w:rsidRDefault="001A0A7E" w:rsidP="001A0A7E">
      <w:pPr>
        <w:pStyle w:val="DefaultText"/>
        <w:ind w:left="0" w:firstLine="0"/>
        <w:jc w:val="both"/>
        <w:rPr>
          <w:sz w:val="22"/>
          <w:szCs w:val="22"/>
          <w:lang w:val="en-GB"/>
        </w:rPr>
      </w:pPr>
    </w:p>
    <w:p w:rsidR="001A0A7E" w:rsidRDefault="001A0A7E" w:rsidP="001A0A7E">
      <w:pPr>
        <w:pStyle w:val="DefaultText"/>
        <w:ind w:left="0" w:firstLine="0"/>
        <w:jc w:val="both"/>
        <w:rPr>
          <w:sz w:val="22"/>
          <w:szCs w:val="22"/>
          <w:lang w:val="en-GB"/>
        </w:rPr>
      </w:pPr>
    </w:p>
    <w:p w:rsidR="001A0A7E" w:rsidRDefault="001A0A7E" w:rsidP="001A0A7E">
      <w:pPr>
        <w:pStyle w:val="DefaultText"/>
        <w:ind w:left="0" w:firstLine="0"/>
        <w:jc w:val="both"/>
        <w:rPr>
          <w:sz w:val="22"/>
          <w:szCs w:val="22"/>
          <w:lang w:val="en-GB"/>
        </w:rPr>
      </w:pPr>
    </w:p>
    <w:p w:rsidR="001A0A7E" w:rsidRDefault="001A0A7E" w:rsidP="001A0A7E">
      <w:pPr>
        <w:pStyle w:val="DefaultText"/>
        <w:ind w:left="0" w:firstLine="0"/>
        <w:jc w:val="both"/>
        <w:rPr>
          <w:sz w:val="22"/>
          <w:szCs w:val="22"/>
          <w:lang w:val="en-GB"/>
        </w:rPr>
      </w:pPr>
    </w:p>
    <w:p w:rsidR="001A0A7E" w:rsidRPr="00C53957" w:rsidRDefault="001A0A7E" w:rsidP="001A0A7E">
      <w:pPr>
        <w:pStyle w:val="Ttulo1"/>
        <w:rPr>
          <w:sz w:val="24"/>
          <w:szCs w:val="24"/>
          <w:lang w:val="en-US"/>
        </w:rPr>
      </w:pPr>
      <w:r w:rsidRPr="00C53957">
        <w:rPr>
          <w:sz w:val="24"/>
          <w:szCs w:val="24"/>
          <w:lang w:val="en-US"/>
        </w:rPr>
        <w:t xml:space="preserve">References  </w:t>
      </w:r>
    </w:p>
    <w:p w:rsidR="001A0A7E" w:rsidRPr="00543FA7" w:rsidRDefault="001A0A7E" w:rsidP="001A0A7E">
      <w:pPr>
        <w:pStyle w:val="Textoindependiente"/>
        <w:jc w:val="both"/>
        <w:rPr>
          <w:b/>
          <w:lang w:val="en-GB"/>
        </w:rPr>
      </w:pPr>
      <w:proofErr w:type="spellStart"/>
      <w:r w:rsidRPr="00237A87">
        <w:rPr>
          <w:lang w:val="en-US"/>
        </w:rPr>
        <w:lastRenderedPageBreak/>
        <w:t>Alcánt</w:t>
      </w:r>
      <w:r>
        <w:rPr>
          <w:lang w:val="en-US"/>
        </w:rPr>
        <w:t>ara</w:t>
      </w:r>
      <w:proofErr w:type="spellEnd"/>
      <w:r>
        <w:rPr>
          <w:lang w:val="en-US"/>
        </w:rPr>
        <w:t>,</w:t>
      </w:r>
      <w:r w:rsidRPr="00237A87">
        <w:rPr>
          <w:lang w:val="en-US"/>
        </w:rPr>
        <w:t xml:space="preserve"> </w:t>
      </w:r>
      <w:r w:rsidRPr="00543FA7">
        <w:rPr>
          <w:lang w:val="en-GB"/>
        </w:rPr>
        <w:t>V.</w:t>
      </w:r>
      <w:proofErr w:type="gramStart"/>
      <w:r>
        <w:rPr>
          <w:lang w:val="en-GB"/>
        </w:rPr>
        <w:t xml:space="preserve">, </w:t>
      </w:r>
      <w:r w:rsidRPr="00543FA7">
        <w:rPr>
          <w:lang w:val="en-GB"/>
        </w:rPr>
        <w:t xml:space="preserve"> Roca</w:t>
      </w:r>
      <w:proofErr w:type="gramEnd"/>
      <w:r>
        <w:rPr>
          <w:lang w:val="en-GB"/>
        </w:rPr>
        <w:t>,</w:t>
      </w:r>
      <w:r w:rsidRPr="00543FA7">
        <w:rPr>
          <w:lang w:val="en-GB"/>
        </w:rPr>
        <w:t xml:space="preserve"> J. </w:t>
      </w:r>
      <w:r>
        <w:rPr>
          <w:lang w:val="en-GB"/>
        </w:rPr>
        <w:t>(</w:t>
      </w:r>
      <w:r w:rsidRPr="00543FA7">
        <w:rPr>
          <w:lang w:val="en-GB"/>
        </w:rPr>
        <w:t>1995</w:t>
      </w:r>
      <w:r>
        <w:rPr>
          <w:lang w:val="en-GB"/>
        </w:rPr>
        <w:t>)</w:t>
      </w:r>
      <w:r w:rsidRPr="00543FA7">
        <w:rPr>
          <w:lang w:val="en-GB"/>
        </w:rPr>
        <w:t>.‘</w:t>
      </w:r>
      <w:proofErr w:type="gramStart"/>
      <w:r w:rsidRPr="00543FA7">
        <w:rPr>
          <w:lang w:val="en-GB"/>
        </w:rPr>
        <w:t>Energy and CO</w:t>
      </w:r>
      <w:r w:rsidRPr="00543FA7">
        <w:rPr>
          <w:vertAlign w:val="subscript"/>
          <w:lang w:val="en-GB"/>
        </w:rPr>
        <w:t xml:space="preserve">2 </w:t>
      </w:r>
      <w:r w:rsidRPr="00543FA7">
        <w:rPr>
          <w:lang w:val="en-GB"/>
        </w:rPr>
        <w:t>Emissions in Spain’.</w:t>
      </w:r>
      <w:proofErr w:type="gramEnd"/>
      <w:r w:rsidRPr="00543FA7">
        <w:rPr>
          <w:lang w:val="en-GB"/>
        </w:rPr>
        <w:t xml:space="preserve"> </w:t>
      </w:r>
      <w:r w:rsidRPr="00E360DB">
        <w:rPr>
          <w:i/>
          <w:iCs/>
          <w:lang w:val="en-GB"/>
        </w:rPr>
        <w:t>Energy Economics</w:t>
      </w:r>
      <w:r>
        <w:rPr>
          <w:iCs/>
          <w:lang w:val="en-GB"/>
        </w:rPr>
        <w:t>,</w:t>
      </w:r>
      <w:r w:rsidRPr="00543FA7">
        <w:rPr>
          <w:iCs/>
          <w:lang w:val="en-GB"/>
        </w:rPr>
        <w:t xml:space="preserve"> 17</w:t>
      </w:r>
      <w:r>
        <w:rPr>
          <w:iCs/>
          <w:lang w:val="en-GB"/>
        </w:rPr>
        <w:t>,</w:t>
      </w:r>
      <w:r w:rsidRPr="00543FA7">
        <w:rPr>
          <w:iCs/>
          <w:lang w:val="en-GB"/>
        </w:rPr>
        <w:t xml:space="preserve"> 221-230.</w:t>
      </w:r>
    </w:p>
    <w:p w:rsidR="001A0A7E" w:rsidRPr="00543FA7" w:rsidRDefault="001A0A7E" w:rsidP="001A0A7E">
      <w:pPr>
        <w:pStyle w:val="Textoindependiente"/>
        <w:jc w:val="both"/>
        <w:rPr>
          <w:lang w:val="en-GB"/>
        </w:rPr>
      </w:pPr>
      <w:proofErr w:type="spellStart"/>
      <w:r w:rsidRPr="00543FA7">
        <w:rPr>
          <w:lang w:val="en-GB"/>
        </w:rPr>
        <w:t>Alcántara</w:t>
      </w:r>
      <w:proofErr w:type="spellEnd"/>
      <w:r>
        <w:rPr>
          <w:lang w:val="en-GB"/>
        </w:rPr>
        <w:t>,</w:t>
      </w:r>
      <w:r w:rsidRPr="00543FA7">
        <w:rPr>
          <w:lang w:val="en-GB"/>
        </w:rPr>
        <w:t xml:space="preserve"> V.</w:t>
      </w:r>
      <w:proofErr w:type="gramStart"/>
      <w:r>
        <w:rPr>
          <w:lang w:val="en-GB"/>
        </w:rPr>
        <w:t xml:space="preserve">,  </w:t>
      </w:r>
      <w:r w:rsidRPr="00543FA7">
        <w:rPr>
          <w:lang w:val="en-GB"/>
        </w:rPr>
        <w:t>Padilla</w:t>
      </w:r>
      <w:proofErr w:type="gramEnd"/>
      <w:r>
        <w:rPr>
          <w:lang w:val="en-GB"/>
        </w:rPr>
        <w:t>,</w:t>
      </w:r>
      <w:r w:rsidRPr="00543FA7">
        <w:rPr>
          <w:lang w:val="en-GB"/>
        </w:rPr>
        <w:t xml:space="preserve"> </w:t>
      </w:r>
      <w:r>
        <w:rPr>
          <w:lang w:val="en-GB"/>
        </w:rPr>
        <w:t xml:space="preserve"> </w:t>
      </w:r>
      <w:r w:rsidRPr="00543FA7">
        <w:rPr>
          <w:lang w:val="en-GB"/>
        </w:rPr>
        <w:t xml:space="preserve">E. </w:t>
      </w:r>
      <w:r>
        <w:rPr>
          <w:lang w:val="en-GB"/>
        </w:rPr>
        <w:t>(</w:t>
      </w:r>
      <w:r w:rsidRPr="00543FA7">
        <w:rPr>
          <w:lang w:val="en-GB"/>
        </w:rPr>
        <w:t>2003</w:t>
      </w:r>
      <w:r>
        <w:rPr>
          <w:lang w:val="en-GB"/>
        </w:rPr>
        <w:t>)</w:t>
      </w:r>
      <w:r w:rsidRPr="00543FA7">
        <w:rPr>
          <w:lang w:val="en-GB"/>
        </w:rPr>
        <w:t xml:space="preserve">. ‘Key Sectors in Final Energy Consumption: An Input-Output application to the Spanish case’. </w:t>
      </w:r>
      <w:r w:rsidRPr="00E360DB">
        <w:rPr>
          <w:i/>
          <w:iCs/>
          <w:lang w:val="en-GB"/>
        </w:rPr>
        <w:t>Energy Policy</w:t>
      </w:r>
      <w:r>
        <w:rPr>
          <w:iCs/>
          <w:lang w:val="en-GB"/>
        </w:rPr>
        <w:t>,</w:t>
      </w:r>
      <w:r w:rsidRPr="00543FA7">
        <w:rPr>
          <w:iCs/>
          <w:lang w:val="en-GB"/>
        </w:rPr>
        <w:t xml:space="preserve"> </w:t>
      </w:r>
      <w:r w:rsidRPr="00543FA7">
        <w:rPr>
          <w:lang w:val="en-GB"/>
        </w:rPr>
        <w:t>31</w:t>
      </w:r>
      <w:r>
        <w:rPr>
          <w:lang w:val="en-GB"/>
        </w:rPr>
        <w:t>,</w:t>
      </w:r>
      <w:r w:rsidRPr="00543FA7">
        <w:rPr>
          <w:lang w:val="en-GB"/>
        </w:rPr>
        <w:t xml:space="preserve"> 1673-1678.</w:t>
      </w:r>
    </w:p>
    <w:p w:rsidR="001A0A7E" w:rsidRPr="00543FA7" w:rsidRDefault="001A0A7E" w:rsidP="001A0A7E">
      <w:pPr>
        <w:pStyle w:val="Textoindependiente"/>
        <w:jc w:val="both"/>
        <w:rPr>
          <w:lang w:val="en-GB"/>
        </w:rPr>
      </w:pPr>
      <w:r w:rsidRPr="00543FA7">
        <w:rPr>
          <w:lang w:val="en-GB"/>
        </w:rPr>
        <w:t>Blair</w:t>
      </w:r>
      <w:r>
        <w:rPr>
          <w:lang w:val="en-GB"/>
        </w:rPr>
        <w:t>,</w:t>
      </w:r>
      <w:r w:rsidRPr="00543FA7">
        <w:rPr>
          <w:lang w:val="en-GB"/>
        </w:rPr>
        <w:t xml:space="preserve"> P. </w:t>
      </w:r>
      <w:r>
        <w:rPr>
          <w:lang w:val="en-GB"/>
        </w:rPr>
        <w:t>(</w:t>
      </w:r>
      <w:r w:rsidRPr="00543FA7">
        <w:rPr>
          <w:lang w:val="en-GB"/>
        </w:rPr>
        <w:t>1980</w:t>
      </w:r>
      <w:r>
        <w:rPr>
          <w:lang w:val="en-GB"/>
        </w:rPr>
        <w:t>)</w:t>
      </w:r>
      <w:r w:rsidRPr="00543FA7">
        <w:rPr>
          <w:lang w:val="en-GB"/>
        </w:rPr>
        <w:t xml:space="preserve">. </w:t>
      </w:r>
      <w:proofErr w:type="gramStart"/>
      <w:r w:rsidRPr="00543FA7">
        <w:rPr>
          <w:lang w:val="en-GB"/>
        </w:rPr>
        <w:t>‘Hierarchies and Priorities in Regional Energy Planning’.</w:t>
      </w:r>
      <w:proofErr w:type="gramEnd"/>
      <w:r w:rsidRPr="00543FA7">
        <w:rPr>
          <w:lang w:val="en-GB"/>
        </w:rPr>
        <w:t xml:space="preserve"> Regional Science and Urban Economics</w:t>
      </w:r>
      <w:r>
        <w:rPr>
          <w:lang w:val="en-GB"/>
        </w:rPr>
        <w:t>,</w:t>
      </w:r>
      <w:r w:rsidRPr="00543FA7">
        <w:rPr>
          <w:lang w:val="en-GB"/>
        </w:rPr>
        <w:t xml:space="preserve"> 10</w:t>
      </w:r>
      <w:r>
        <w:rPr>
          <w:lang w:val="en-GB"/>
        </w:rPr>
        <w:t xml:space="preserve">, </w:t>
      </w:r>
      <w:r w:rsidRPr="00543FA7">
        <w:rPr>
          <w:lang w:val="en-GB"/>
        </w:rPr>
        <w:t>387-405.</w:t>
      </w:r>
    </w:p>
    <w:p w:rsidR="001A0A7E" w:rsidRPr="00543FA7" w:rsidRDefault="001A0A7E" w:rsidP="001A0A7E">
      <w:pPr>
        <w:pStyle w:val="Textoindependiente"/>
        <w:jc w:val="both"/>
        <w:rPr>
          <w:lang w:val="en-GB"/>
        </w:rPr>
      </w:pPr>
      <w:proofErr w:type="spellStart"/>
      <w:proofErr w:type="gramStart"/>
      <w:r w:rsidRPr="00543FA7">
        <w:rPr>
          <w:lang w:val="en-GB"/>
        </w:rPr>
        <w:t>Cella</w:t>
      </w:r>
      <w:proofErr w:type="spellEnd"/>
      <w:r>
        <w:rPr>
          <w:lang w:val="en-GB"/>
        </w:rPr>
        <w:t>,</w:t>
      </w:r>
      <w:r w:rsidRPr="00543FA7">
        <w:rPr>
          <w:lang w:val="en-GB"/>
        </w:rPr>
        <w:t xml:space="preserve"> G. </w:t>
      </w:r>
      <w:r>
        <w:rPr>
          <w:lang w:val="en-GB"/>
        </w:rPr>
        <w:t>(</w:t>
      </w:r>
      <w:r w:rsidRPr="00543FA7">
        <w:rPr>
          <w:lang w:val="en-GB"/>
        </w:rPr>
        <w:t>1984</w:t>
      </w:r>
      <w:r>
        <w:rPr>
          <w:lang w:val="en-GB"/>
        </w:rPr>
        <w:t>)</w:t>
      </w:r>
      <w:r w:rsidRPr="00543FA7">
        <w:rPr>
          <w:lang w:val="en-GB"/>
        </w:rPr>
        <w:t>.</w:t>
      </w:r>
      <w:proofErr w:type="gramEnd"/>
      <w:r w:rsidRPr="00543FA7">
        <w:rPr>
          <w:lang w:val="en-GB"/>
        </w:rPr>
        <w:t xml:space="preserve"> </w:t>
      </w:r>
      <w:proofErr w:type="gramStart"/>
      <w:r w:rsidRPr="00543FA7">
        <w:rPr>
          <w:lang w:val="en-GB"/>
        </w:rPr>
        <w:t xml:space="preserve">‘The Input-output Measurement of </w:t>
      </w:r>
      <w:proofErr w:type="spellStart"/>
      <w:r w:rsidRPr="00543FA7">
        <w:rPr>
          <w:lang w:val="en-GB"/>
        </w:rPr>
        <w:t>Interindustry</w:t>
      </w:r>
      <w:proofErr w:type="spellEnd"/>
      <w:r w:rsidRPr="00543FA7">
        <w:rPr>
          <w:lang w:val="en-GB"/>
        </w:rPr>
        <w:t xml:space="preserve"> </w:t>
      </w:r>
      <w:proofErr w:type="spellStart"/>
      <w:r w:rsidRPr="00543FA7">
        <w:rPr>
          <w:lang w:val="en-GB"/>
        </w:rPr>
        <w:t>Linkages’.</w:t>
      </w:r>
      <w:r w:rsidRPr="00FD4DBD">
        <w:rPr>
          <w:i/>
          <w:lang w:val="en-GB"/>
        </w:rPr>
        <w:t>Oxford</w:t>
      </w:r>
      <w:proofErr w:type="spellEnd"/>
      <w:r w:rsidRPr="00FD4DBD">
        <w:rPr>
          <w:i/>
          <w:lang w:val="en-GB"/>
        </w:rPr>
        <w:t xml:space="preserve"> Bulletin of Economics and Statistics</w:t>
      </w:r>
      <w:r>
        <w:rPr>
          <w:lang w:val="en-GB"/>
        </w:rPr>
        <w:t>,</w:t>
      </w:r>
      <w:r w:rsidRPr="00543FA7">
        <w:rPr>
          <w:lang w:val="en-GB"/>
        </w:rPr>
        <w:t xml:space="preserve"> 46</w:t>
      </w:r>
      <w:r>
        <w:rPr>
          <w:lang w:val="en-GB"/>
        </w:rPr>
        <w:t xml:space="preserve">, </w:t>
      </w:r>
      <w:r w:rsidRPr="00543FA7">
        <w:rPr>
          <w:lang w:val="en-GB"/>
        </w:rPr>
        <w:t>73-84.</w:t>
      </w:r>
      <w:proofErr w:type="gramEnd"/>
    </w:p>
    <w:p w:rsidR="001A0A7E" w:rsidRPr="00543FA7" w:rsidRDefault="001A0A7E" w:rsidP="001A0A7E">
      <w:pPr>
        <w:pStyle w:val="Textoindependiente"/>
        <w:jc w:val="both"/>
        <w:rPr>
          <w:lang w:val="en-GB"/>
        </w:rPr>
      </w:pPr>
      <w:r w:rsidRPr="00543FA7">
        <w:rPr>
          <w:lang w:val="en-GB"/>
        </w:rPr>
        <w:t>Clements</w:t>
      </w:r>
      <w:r>
        <w:rPr>
          <w:lang w:val="en-GB"/>
        </w:rPr>
        <w:t>,</w:t>
      </w:r>
      <w:r w:rsidRPr="00543FA7">
        <w:rPr>
          <w:lang w:val="en-GB"/>
        </w:rPr>
        <w:t xml:space="preserve"> B.J. </w:t>
      </w:r>
      <w:r>
        <w:rPr>
          <w:lang w:val="en-GB"/>
        </w:rPr>
        <w:t>(</w:t>
      </w:r>
      <w:r w:rsidRPr="00543FA7">
        <w:rPr>
          <w:lang w:val="en-GB"/>
        </w:rPr>
        <w:t>1990</w:t>
      </w:r>
      <w:r>
        <w:rPr>
          <w:lang w:val="en-GB"/>
        </w:rPr>
        <w:t>)</w:t>
      </w:r>
      <w:r w:rsidRPr="00543FA7">
        <w:rPr>
          <w:lang w:val="en-GB"/>
        </w:rPr>
        <w:t xml:space="preserve">. </w:t>
      </w:r>
      <w:proofErr w:type="gramStart"/>
      <w:r w:rsidRPr="00543FA7">
        <w:rPr>
          <w:lang w:val="en-GB"/>
        </w:rPr>
        <w:t xml:space="preserve">‘On the Decomposition and Normalization of </w:t>
      </w:r>
      <w:proofErr w:type="spellStart"/>
      <w:r w:rsidRPr="00543FA7">
        <w:rPr>
          <w:lang w:val="en-GB"/>
        </w:rPr>
        <w:t>Interindustry</w:t>
      </w:r>
      <w:proofErr w:type="spellEnd"/>
      <w:r w:rsidRPr="00543FA7">
        <w:rPr>
          <w:lang w:val="en-GB"/>
        </w:rPr>
        <w:t xml:space="preserve"> Linkages’.</w:t>
      </w:r>
      <w:proofErr w:type="gramEnd"/>
      <w:r>
        <w:rPr>
          <w:lang w:val="en-GB"/>
        </w:rPr>
        <w:t xml:space="preserve"> </w:t>
      </w:r>
      <w:r w:rsidRPr="00FD4DBD">
        <w:rPr>
          <w:i/>
          <w:lang w:val="en-GB"/>
        </w:rPr>
        <w:t>Economic Letters</w:t>
      </w:r>
      <w:r>
        <w:rPr>
          <w:lang w:val="en-GB"/>
        </w:rPr>
        <w:t>,</w:t>
      </w:r>
      <w:r w:rsidRPr="00543FA7">
        <w:rPr>
          <w:lang w:val="en-GB"/>
        </w:rPr>
        <w:t xml:space="preserve"> 33</w:t>
      </w:r>
      <w:r>
        <w:rPr>
          <w:lang w:val="en-GB"/>
        </w:rPr>
        <w:t xml:space="preserve">, </w:t>
      </w:r>
      <w:r w:rsidRPr="00543FA7">
        <w:rPr>
          <w:lang w:val="en-GB"/>
        </w:rPr>
        <w:t>337-340.</w:t>
      </w:r>
    </w:p>
    <w:p w:rsidR="001A0A7E" w:rsidRPr="00543FA7" w:rsidRDefault="001A0A7E" w:rsidP="001A0A7E">
      <w:pPr>
        <w:pStyle w:val="Textoindependiente"/>
        <w:jc w:val="both"/>
        <w:rPr>
          <w:lang w:val="en-GB"/>
        </w:rPr>
      </w:pPr>
      <w:r w:rsidRPr="00543FA7">
        <w:rPr>
          <w:lang w:val="en-GB"/>
        </w:rPr>
        <w:t>Cumberland</w:t>
      </w:r>
      <w:r>
        <w:rPr>
          <w:lang w:val="en-GB"/>
        </w:rPr>
        <w:t>,</w:t>
      </w:r>
      <w:r w:rsidRPr="00543FA7">
        <w:rPr>
          <w:lang w:val="en-GB"/>
        </w:rPr>
        <w:t xml:space="preserve"> J.H. </w:t>
      </w:r>
      <w:r>
        <w:rPr>
          <w:lang w:val="en-GB"/>
        </w:rPr>
        <w:t>(</w:t>
      </w:r>
      <w:r w:rsidRPr="00543FA7">
        <w:rPr>
          <w:lang w:val="en-GB"/>
        </w:rPr>
        <w:t>1966</w:t>
      </w:r>
      <w:r>
        <w:rPr>
          <w:lang w:val="en-GB"/>
        </w:rPr>
        <w:t>)</w:t>
      </w:r>
      <w:r w:rsidRPr="00543FA7">
        <w:rPr>
          <w:lang w:val="en-GB"/>
        </w:rPr>
        <w:t xml:space="preserve">. </w:t>
      </w:r>
      <w:proofErr w:type="gramStart"/>
      <w:r w:rsidRPr="00543FA7">
        <w:rPr>
          <w:lang w:val="en-GB"/>
        </w:rPr>
        <w:t xml:space="preserve">‘A Regional </w:t>
      </w:r>
      <w:proofErr w:type="spellStart"/>
      <w:r w:rsidRPr="00543FA7">
        <w:rPr>
          <w:lang w:val="en-GB"/>
        </w:rPr>
        <w:t>Interindustry</w:t>
      </w:r>
      <w:proofErr w:type="spellEnd"/>
      <w:r w:rsidRPr="00543FA7">
        <w:rPr>
          <w:lang w:val="en-GB"/>
        </w:rPr>
        <w:t xml:space="preserve"> Model for Development Objectives’.</w:t>
      </w:r>
      <w:proofErr w:type="gramEnd"/>
      <w:r w:rsidRPr="00543FA7">
        <w:rPr>
          <w:lang w:val="en-GB"/>
        </w:rPr>
        <w:t xml:space="preserve"> </w:t>
      </w:r>
      <w:r w:rsidRPr="00FD4DBD">
        <w:rPr>
          <w:i/>
          <w:lang w:val="en-GB"/>
        </w:rPr>
        <w:t>Papers of the Regional Science Association</w:t>
      </w:r>
      <w:r>
        <w:rPr>
          <w:lang w:val="en-GB"/>
        </w:rPr>
        <w:t>,</w:t>
      </w:r>
      <w:r w:rsidRPr="00543FA7">
        <w:rPr>
          <w:lang w:val="en-GB"/>
        </w:rPr>
        <w:t xml:space="preserve"> 17</w:t>
      </w:r>
      <w:r>
        <w:rPr>
          <w:lang w:val="en-GB"/>
        </w:rPr>
        <w:t>,</w:t>
      </w:r>
      <w:r w:rsidRPr="00543FA7">
        <w:rPr>
          <w:lang w:val="en-GB"/>
        </w:rPr>
        <w:t xml:space="preserve"> 65-94.</w:t>
      </w:r>
    </w:p>
    <w:p w:rsidR="001A0A7E" w:rsidRPr="00543FA7" w:rsidRDefault="001A0A7E" w:rsidP="001A0A7E">
      <w:pPr>
        <w:pStyle w:val="Textoindependiente"/>
        <w:jc w:val="both"/>
        <w:rPr>
          <w:lang w:val="en-GB"/>
        </w:rPr>
      </w:pPr>
      <w:proofErr w:type="spellStart"/>
      <w:r w:rsidRPr="00543FA7">
        <w:rPr>
          <w:lang w:val="en-GB"/>
        </w:rPr>
        <w:t>Guccione</w:t>
      </w:r>
      <w:proofErr w:type="spellEnd"/>
      <w:r>
        <w:rPr>
          <w:lang w:val="en-GB"/>
        </w:rPr>
        <w:t xml:space="preserve">, </w:t>
      </w:r>
      <w:r w:rsidRPr="00543FA7">
        <w:rPr>
          <w:lang w:val="en-GB"/>
        </w:rPr>
        <w:t xml:space="preserve">A. </w:t>
      </w:r>
      <w:r>
        <w:rPr>
          <w:lang w:val="en-GB"/>
        </w:rPr>
        <w:t>(</w:t>
      </w:r>
      <w:r w:rsidRPr="00543FA7">
        <w:rPr>
          <w:lang w:val="en-GB"/>
        </w:rPr>
        <w:t>1986</w:t>
      </w:r>
      <w:r>
        <w:rPr>
          <w:lang w:val="en-GB"/>
        </w:rPr>
        <w:t>)</w:t>
      </w:r>
      <w:r w:rsidRPr="00543FA7">
        <w:rPr>
          <w:lang w:val="en-GB"/>
        </w:rPr>
        <w:t xml:space="preserve">. ‘The Input-Output Measurement of </w:t>
      </w:r>
      <w:proofErr w:type="spellStart"/>
      <w:r w:rsidRPr="00543FA7">
        <w:rPr>
          <w:lang w:val="en-GB"/>
        </w:rPr>
        <w:t>Interindustry</w:t>
      </w:r>
      <w:proofErr w:type="spellEnd"/>
      <w:r w:rsidRPr="00543FA7">
        <w:rPr>
          <w:lang w:val="en-GB"/>
        </w:rPr>
        <w:t xml:space="preserve"> Linkages: A Comment’. </w:t>
      </w:r>
      <w:r w:rsidRPr="00FD4DBD">
        <w:rPr>
          <w:i/>
          <w:lang w:val="en-GB"/>
        </w:rPr>
        <w:t>Oxford Bulletin of Economics and Statistics</w:t>
      </w:r>
      <w:r>
        <w:rPr>
          <w:lang w:val="en-GB"/>
        </w:rPr>
        <w:t>,</w:t>
      </w:r>
      <w:r w:rsidRPr="00543FA7">
        <w:rPr>
          <w:lang w:val="en-GB"/>
        </w:rPr>
        <w:t xml:space="preserve"> 48</w:t>
      </w:r>
      <w:r>
        <w:rPr>
          <w:lang w:val="en-GB"/>
        </w:rPr>
        <w:t>,</w:t>
      </w:r>
      <w:r w:rsidRPr="00543FA7">
        <w:rPr>
          <w:lang w:val="en-GB"/>
        </w:rPr>
        <w:t xml:space="preserve"> 373–377.</w:t>
      </w:r>
    </w:p>
    <w:p w:rsidR="001A0A7E" w:rsidRPr="00543FA7" w:rsidRDefault="001A0A7E" w:rsidP="001A0A7E">
      <w:pPr>
        <w:pStyle w:val="Textoindependiente"/>
        <w:jc w:val="both"/>
        <w:rPr>
          <w:lang w:val="en-GB"/>
        </w:rPr>
      </w:pPr>
      <w:proofErr w:type="gramStart"/>
      <w:r w:rsidRPr="00543FA7">
        <w:rPr>
          <w:lang w:val="en-GB"/>
        </w:rPr>
        <w:t>Guerra</w:t>
      </w:r>
      <w:r>
        <w:rPr>
          <w:lang w:val="en-GB"/>
        </w:rPr>
        <w:t>,</w:t>
      </w:r>
      <w:r w:rsidRPr="00543FA7">
        <w:rPr>
          <w:lang w:val="en-GB"/>
        </w:rPr>
        <w:t xml:space="preserve"> A.</w:t>
      </w:r>
      <w:r>
        <w:rPr>
          <w:lang w:val="en-GB"/>
        </w:rPr>
        <w:t xml:space="preserve">, </w:t>
      </w:r>
      <w:proofErr w:type="spellStart"/>
      <w:r w:rsidRPr="00543FA7">
        <w:rPr>
          <w:lang w:val="en-GB"/>
        </w:rPr>
        <w:t>Sancho</w:t>
      </w:r>
      <w:proofErr w:type="spellEnd"/>
      <w:r>
        <w:rPr>
          <w:lang w:val="en-GB"/>
        </w:rPr>
        <w:t>,</w:t>
      </w:r>
      <w:r w:rsidRPr="00543FA7">
        <w:rPr>
          <w:lang w:val="en-GB"/>
        </w:rPr>
        <w:t xml:space="preserve"> F. </w:t>
      </w:r>
      <w:r>
        <w:rPr>
          <w:lang w:val="en-GB"/>
        </w:rPr>
        <w:t>(</w:t>
      </w:r>
      <w:r w:rsidRPr="00543FA7">
        <w:rPr>
          <w:lang w:val="en-GB"/>
        </w:rPr>
        <w:t>2010</w:t>
      </w:r>
      <w:r>
        <w:rPr>
          <w:lang w:val="en-GB"/>
        </w:rPr>
        <w:t>)</w:t>
      </w:r>
      <w:r w:rsidRPr="00543FA7">
        <w:rPr>
          <w:lang w:val="en-GB"/>
        </w:rPr>
        <w:t>.</w:t>
      </w:r>
      <w:proofErr w:type="gramEnd"/>
      <w:r w:rsidRPr="00543FA7">
        <w:rPr>
          <w:lang w:val="en-GB"/>
        </w:rPr>
        <w:t xml:space="preserve"> </w:t>
      </w:r>
      <w:proofErr w:type="gramStart"/>
      <w:r w:rsidRPr="00543FA7">
        <w:rPr>
          <w:lang w:val="en-GB"/>
        </w:rPr>
        <w:t>‘Measuring Energy Linkages with the Hypothetical Extraction Method: An application to Spain’.</w:t>
      </w:r>
      <w:proofErr w:type="gramEnd"/>
      <w:r>
        <w:rPr>
          <w:lang w:val="en-GB"/>
        </w:rPr>
        <w:t xml:space="preserve"> </w:t>
      </w:r>
      <w:r w:rsidRPr="00FD4DBD">
        <w:rPr>
          <w:i/>
          <w:lang w:val="en-GB"/>
        </w:rPr>
        <w:t>Energy Economics</w:t>
      </w:r>
      <w:r>
        <w:rPr>
          <w:lang w:val="en-GB"/>
        </w:rPr>
        <w:t xml:space="preserve">, </w:t>
      </w:r>
      <w:r w:rsidRPr="00543FA7">
        <w:rPr>
          <w:lang w:val="en-GB"/>
        </w:rPr>
        <w:t>32</w:t>
      </w:r>
      <w:r>
        <w:rPr>
          <w:lang w:val="en-GB"/>
        </w:rPr>
        <w:t>,</w:t>
      </w:r>
      <w:r w:rsidRPr="00543FA7">
        <w:rPr>
          <w:lang w:val="en-GB"/>
        </w:rPr>
        <w:t xml:space="preserve"> 831-837.</w:t>
      </w:r>
    </w:p>
    <w:p w:rsidR="001A0A7E" w:rsidRPr="00543FA7" w:rsidRDefault="001A0A7E" w:rsidP="001A0A7E">
      <w:pPr>
        <w:pStyle w:val="Textoindependiente"/>
        <w:jc w:val="both"/>
        <w:rPr>
          <w:lang w:val="en-GB"/>
        </w:rPr>
      </w:pPr>
      <w:proofErr w:type="spellStart"/>
      <w:r w:rsidRPr="00543FA7">
        <w:rPr>
          <w:lang w:val="en-GB"/>
        </w:rPr>
        <w:t>Hewings</w:t>
      </w:r>
      <w:proofErr w:type="spellEnd"/>
      <w:r>
        <w:rPr>
          <w:lang w:val="en-GB"/>
        </w:rPr>
        <w:t>,</w:t>
      </w:r>
      <w:r w:rsidRPr="00543FA7">
        <w:rPr>
          <w:lang w:val="en-GB"/>
        </w:rPr>
        <w:t xml:space="preserve"> G.J.D. </w:t>
      </w:r>
      <w:r>
        <w:rPr>
          <w:lang w:val="en-GB"/>
        </w:rPr>
        <w:t>(</w:t>
      </w:r>
      <w:r w:rsidRPr="00543FA7">
        <w:rPr>
          <w:lang w:val="en-GB"/>
        </w:rPr>
        <w:t>1974</w:t>
      </w:r>
      <w:r>
        <w:rPr>
          <w:lang w:val="en-GB"/>
        </w:rPr>
        <w:t>)</w:t>
      </w:r>
      <w:r w:rsidRPr="00543FA7">
        <w:rPr>
          <w:lang w:val="en-GB"/>
        </w:rPr>
        <w:t xml:space="preserve">. ‘The Effect of Aggregation on the Empirical </w:t>
      </w:r>
      <w:proofErr w:type="spellStart"/>
      <w:r w:rsidRPr="00543FA7">
        <w:rPr>
          <w:lang w:val="en-GB"/>
        </w:rPr>
        <w:t>Identiﬁcation</w:t>
      </w:r>
      <w:proofErr w:type="spellEnd"/>
      <w:r w:rsidRPr="00543FA7">
        <w:rPr>
          <w:lang w:val="en-GB"/>
        </w:rPr>
        <w:t xml:space="preserve"> of Key-Sectors in a Regional Economy: A Partial Evaluation of Alternative Techniques’. </w:t>
      </w:r>
      <w:proofErr w:type="gramStart"/>
      <w:r w:rsidRPr="00FD4DBD">
        <w:rPr>
          <w:i/>
          <w:lang w:val="en-GB"/>
        </w:rPr>
        <w:t>Environment and Planning A</w:t>
      </w:r>
      <w:r>
        <w:rPr>
          <w:lang w:val="en-GB"/>
        </w:rPr>
        <w:t xml:space="preserve">, </w:t>
      </w:r>
      <w:r w:rsidRPr="00543FA7">
        <w:rPr>
          <w:lang w:val="en-GB"/>
        </w:rPr>
        <w:t>6</w:t>
      </w:r>
      <w:r>
        <w:rPr>
          <w:lang w:val="en-GB"/>
        </w:rPr>
        <w:t xml:space="preserve">, </w:t>
      </w:r>
      <w:r w:rsidRPr="00543FA7">
        <w:rPr>
          <w:lang w:val="en-GB"/>
        </w:rPr>
        <w:t>439–453.</w:t>
      </w:r>
      <w:proofErr w:type="gramEnd"/>
    </w:p>
    <w:p w:rsidR="001A0A7E" w:rsidRPr="00543FA7" w:rsidRDefault="001A0A7E" w:rsidP="001A0A7E">
      <w:pPr>
        <w:pStyle w:val="Textoindependiente"/>
        <w:jc w:val="both"/>
        <w:rPr>
          <w:lang w:val="en-GB"/>
        </w:rPr>
      </w:pPr>
      <w:r w:rsidRPr="00543FA7">
        <w:rPr>
          <w:lang w:val="en-GB"/>
        </w:rPr>
        <w:t>Hirschman</w:t>
      </w:r>
      <w:r>
        <w:rPr>
          <w:lang w:val="en-GB"/>
        </w:rPr>
        <w:t xml:space="preserve">, </w:t>
      </w:r>
      <w:r w:rsidRPr="00543FA7">
        <w:rPr>
          <w:lang w:val="en-GB"/>
        </w:rPr>
        <w:t xml:space="preserve">A. </w:t>
      </w:r>
      <w:r>
        <w:rPr>
          <w:lang w:val="en-GB"/>
        </w:rPr>
        <w:t>(</w:t>
      </w:r>
      <w:r w:rsidRPr="00543FA7">
        <w:rPr>
          <w:lang w:val="en-GB"/>
        </w:rPr>
        <w:t>1958</w:t>
      </w:r>
      <w:r>
        <w:rPr>
          <w:lang w:val="en-GB"/>
        </w:rPr>
        <w:t>)</w:t>
      </w:r>
      <w:r w:rsidRPr="00543FA7">
        <w:rPr>
          <w:lang w:val="en-GB"/>
        </w:rPr>
        <w:t xml:space="preserve">. </w:t>
      </w:r>
      <w:proofErr w:type="gramStart"/>
      <w:r w:rsidRPr="00FD4DBD">
        <w:rPr>
          <w:i/>
          <w:lang w:val="en-GB"/>
        </w:rPr>
        <w:t>‘The Strategy of Economic Development’</w:t>
      </w:r>
      <w:r w:rsidRPr="00543FA7">
        <w:rPr>
          <w:lang w:val="en-GB"/>
        </w:rPr>
        <w:t>.</w:t>
      </w:r>
      <w:proofErr w:type="gramEnd"/>
      <w:r w:rsidRPr="00543FA7">
        <w:rPr>
          <w:lang w:val="en-GB"/>
        </w:rPr>
        <w:t xml:space="preserve"> </w:t>
      </w:r>
      <w:proofErr w:type="gramStart"/>
      <w:r w:rsidRPr="00543FA7">
        <w:rPr>
          <w:lang w:val="en-GB"/>
        </w:rPr>
        <w:t>Yale University Press</w:t>
      </w:r>
      <w:r>
        <w:rPr>
          <w:lang w:val="en-GB"/>
        </w:rPr>
        <w:t>.</w:t>
      </w:r>
      <w:proofErr w:type="gramEnd"/>
      <w:r w:rsidRPr="00543FA7">
        <w:rPr>
          <w:lang w:val="en-GB"/>
        </w:rPr>
        <w:t xml:space="preserve"> New Haven.</w:t>
      </w:r>
    </w:p>
    <w:p w:rsidR="001A0A7E" w:rsidRPr="00543FA7" w:rsidRDefault="001A0A7E" w:rsidP="001A0A7E">
      <w:pPr>
        <w:pStyle w:val="Textoindependiente"/>
        <w:jc w:val="both"/>
        <w:rPr>
          <w:lang w:val="en-GB"/>
        </w:rPr>
      </w:pPr>
      <w:proofErr w:type="spellStart"/>
      <w:r w:rsidRPr="00543FA7">
        <w:rPr>
          <w:lang w:val="en-GB"/>
        </w:rPr>
        <w:t>Hawdon</w:t>
      </w:r>
      <w:proofErr w:type="spellEnd"/>
      <w:r>
        <w:rPr>
          <w:lang w:val="en-GB"/>
        </w:rPr>
        <w:t>,</w:t>
      </w:r>
      <w:r w:rsidRPr="00543FA7">
        <w:rPr>
          <w:lang w:val="en-GB"/>
        </w:rPr>
        <w:t xml:space="preserve"> D.</w:t>
      </w:r>
      <w:r>
        <w:rPr>
          <w:lang w:val="en-GB"/>
        </w:rPr>
        <w:t xml:space="preserve">, </w:t>
      </w:r>
      <w:r w:rsidRPr="00543FA7">
        <w:rPr>
          <w:lang w:val="en-GB"/>
        </w:rPr>
        <w:t>Pearson</w:t>
      </w:r>
      <w:r>
        <w:rPr>
          <w:lang w:val="en-GB"/>
        </w:rPr>
        <w:t>,</w:t>
      </w:r>
      <w:r w:rsidRPr="00543FA7">
        <w:rPr>
          <w:lang w:val="en-GB"/>
        </w:rPr>
        <w:t xml:space="preserve"> P.</w:t>
      </w:r>
      <w:r>
        <w:rPr>
          <w:lang w:val="en-GB"/>
        </w:rPr>
        <w:t xml:space="preserve"> (1995)</w:t>
      </w:r>
      <w:r w:rsidRPr="00543FA7">
        <w:rPr>
          <w:lang w:val="en-GB"/>
        </w:rPr>
        <w:t xml:space="preserve"> ‘Input-Output Simulations of Energy</w:t>
      </w:r>
      <w:r>
        <w:rPr>
          <w:lang w:val="en-GB"/>
        </w:rPr>
        <w:t xml:space="preserve">, </w:t>
      </w:r>
      <w:r w:rsidRPr="00543FA7">
        <w:rPr>
          <w:lang w:val="en-GB"/>
        </w:rPr>
        <w:t>Environment</w:t>
      </w:r>
      <w:r>
        <w:rPr>
          <w:lang w:val="en-GB"/>
        </w:rPr>
        <w:t xml:space="preserve"> and</w:t>
      </w:r>
      <w:r w:rsidRPr="00543FA7">
        <w:rPr>
          <w:lang w:val="en-GB"/>
        </w:rPr>
        <w:t xml:space="preserve"> Economy Interactions in the UK’. </w:t>
      </w:r>
      <w:r w:rsidRPr="00FD4DBD">
        <w:rPr>
          <w:i/>
          <w:lang w:val="en-GB"/>
        </w:rPr>
        <w:t>Energy Economics</w:t>
      </w:r>
      <w:r>
        <w:rPr>
          <w:lang w:val="en-GB"/>
        </w:rPr>
        <w:t>,</w:t>
      </w:r>
      <w:r w:rsidRPr="00543FA7">
        <w:rPr>
          <w:lang w:val="en-GB"/>
        </w:rPr>
        <w:t xml:space="preserve"> 17</w:t>
      </w:r>
      <w:r>
        <w:rPr>
          <w:lang w:val="en-GB"/>
        </w:rPr>
        <w:t>,</w:t>
      </w:r>
      <w:r w:rsidRPr="00543FA7">
        <w:rPr>
          <w:lang w:val="en-GB"/>
        </w:rPr>
        <w:t xml:space="preserve"> 73-86.</w:t>
      </w:r>
    </w:p>
    <w:p w:rsidR="001A0A7E" w:rsidRPr="00543FA7" w:rsidRDefault="001A0A7E" w:rsidP="001A0A7E">
      <w:pPr>
        <w:pStyle w:val="Textoindependiente"/>
        <w:jc w:val="both"/>
        <w:rPr>
          <w:lang w:val="en-GB"/>
        </w:rPr>
      </w:pPr>
      <w:proofErr w:type="spellStart"/>
      <w:proofErr w:type="gramStart"/>
      <w:r w:rsidRPr="00543FA7">
        <w:rPr>
          <w:lang w:val="en-GB"/>
        </w:rPr>
        <w:t>Lenzen</w:t>
      </w:r>
      <w:proofErr w:type="spellEnd"/>
      <w:r>
        <w:rPr>
          <w:lang w:val="en-GB"/>
        </w:rPr>
        <w:t>, M. (2003).</w:t>
      </w:r>
      <w:proofErr w:type="gramEnd"/>
      <w:r>
        <w:rPr>
          <w:lang w:val="en-GB"/>
        </w:rPr>
        <w:t xml:space="preserve"> ‘</w:t>
      </w:r>
      <w:r w:rsidRPr="00543FA7">
        <w:rPr>
          <w:lang w:val="en-GB"/>
        </w:rPr>
        <w:t>Environmental Important Paths</w:t>
      </w:r>
      <w:r>
        <w:rPr>
          <w:lang w:val="en-GB"/>
        </w:rPr>
        <w:t>,</w:t>
      </w:r>
      <w:r w:rsidRPr="00543FA7">
        <w:rPr>
          <w:lang w:val="en-GB"/>
        </w:rPr>
        <w:t xml:space="preserve"> linkages and key sectors in the</w:t>
      </w:r>
      <w:r>
        <w:rPr>
          <w:lang w:val="en-GB"/>
        </w:rPr>
        <w:t xml:space="preserve"> Australian Economy’</w:t>
      </w:r>
      <w:r w:rsidRPr="00543FA7">
        <w:rPr>
          <w:lang w:val="en-GB"/>
        </w:rPr>
        <w:t xml:space="preserve">. </w:t>
      </w:r>
      <w:r w:rsidRPr="00FD4DBD">
        <w:rPr>
          <w:i/>
          <w:lang w:val="en-GB"/>
        </w:rPr>
        <w:t>Structural Change and Economy Dynamics</w:t>
      </w:r>
      <w:r>
        <w:rPr>
          <w:lang w:val="en-GB"/>
        </w:rPr>
        <w:t xml:space="preserve">, 14, </w:t>
      </w:r>
      <w:r w:rsidRPr="00543FA7">
        <w:rPr>
          <w:lang w:val="en-GB"/>
        </w:rPr>
        <w:t>1-14.</w:t>
      </w:r>
    </w:p>
    <w:p w:rsidR="001A0A7E" w:rsidRPr="00543FA7" w:rsidRDefault="001A0A7E" w:rsidP="001A0A7E">
      <w:pPr>
        <w:pStyle w:val="Textoindependiente"/>
        <w:jc w:val="both"/>
        <w:rPr>
          <w:lang w:val="en-GB"/>
        </w:rPr>
      </w:pPr>
      <w:r w:rsidRPr="00543FA7">
        <w:rPr>
          <w:lang w:val="en-GB"/>
        </w:rPr>
        <w:t>Leontief</w:t>
      </w:r>
      <w:r>
        <w:rPr>
          <w:lang w:val="en-GB"/>
        </w:rPr>
        <w:t>,</w:t>
      </w:r>
      <w:r w:rsidRPr="00543FA7">
        <w:rPr>
          <w:lang w:val="en-GB"/>
        </w:rPr>
        <w:t xml:space="preserve"> W.W. </w:t>
      </w:r>
      <w:r>
        <w:rPr>
          <w:lang w:val="en-GB"/>
        </w:rPr>
        <w:t>(</w:t>
      </w:r>
      <w:r w:rsidRPr="00543FA7">
        <w:rPr>
          <w:lang w:val="en-GB"/>
        </w:rPr>
        <w:t>1936</w:t>
      </w:r>
      <w:r>
        <w:rPr>
          <w:lang w:val="en-GB"/>
        </w:rPr>
        <w:t>)</w:t>
      </w:r>
      <w:r w:rsidRPr="00543FA7">
        <w:rPr>
          <w:lang w:val="en-GB"/>
        </w:rPr>
        <w:t xml:space="preserve">. </w:t>
      </w:r>
      <w:proofErr w:type="gramStart"/>
      <w:r w:rsidRPr="00543FA7">
        <w:rPr>
          <w:lang w:val="en-GB"/>
        </w:rPr>
        <w:t>‘Quantitative Input-Output Relationships in the Economic System of the United States’.</w:t>
      </w:r>
      <w:proofErr w:type="gramEnd"/>
      <w:r w:rsidRPr="00543FA7">
        <w:rPr>
          <w:lang w:val="en-GB"/>
        </w:rPr>
        <w:t xml:space="preserve"> </w:t>
      </w:r>
      <w:proofErr w:type="gramStart"/>
      <w:r w:rsidRPr="00FD4DBD">
        <w:rPr>
          <w:i/>
          <w:lang w:val="en-GB"/>
        </w:rPr>
        <w:t>Review of Economics and Statistics</w:t>
      </w:r>
      <w:r>
        <w:rPr>
          <w:lang w:val="en-GB"/>
        </w:rPr>
        <w:t>,</w:t>
      </w:r>
      <w:r w:rsidRPr="00543FA7">
        <w:rPr>
          <w:lang w:val="en-GB"/>
        </w:rPr>
        <w:t xml:space="preserve"> 18</w:t>
      </w:r>
      <w:r>
        <w:rPr>
          <w:lang w:val="en-GB"/>
        </w:rPr>
        <w:t>,</w:t>
      </w:r>
      <w:r w:rsidRPr="00543FA7">
        <w:rPr>
          <w:lang w:val="en-GB"/>
        </w:rPr>
        <w:t xml:space="preserve"> 105-1025.</w:t>
      </w:r>
      <w:proofErr w:type="gramEnd"/>
    </w:p>
    <w:p w:rsidR="001A0A7E" w:rsidRPr="00543FA7" w:rsidRDefault="001A0A7E" w:rsidP="001A0A7E">
      <w:pPr>
        <w:pStyle w:val="Textoindependiente"/>
        <w:jc w:val="both"/>
        <w:rPr>
          <w:lang w:val="en-GB"/>
        </w:rPr>
      </w:pPr>
      <w:r w:rsidRPr="00543FA7">
        <w:rPr>
          <w:lang w:val="en-GB"/>
        </w:rPr>
        <w:t>Leontief</w:t>
      </w:r>
      <w:r>
        <w:rPr>
          <w:lang w:val="en-GB"/>
        </w:rPr>
        <w:t xml:space="preserve">, </w:t>
      </w:r>
      <w:r w:rsidRPr="00543FA7">
        <w:rPr>
          <w:lang w:val="en-GB"/>
        </w:rPr>
        <w:t xml:space="preserve">W.W. </w:t>
      </w:r>
      <w:r>
        <w:rPr>
          <w:lang w:val="en-GB"/>
        </w:rPr>
        <w:t>(</w:t>
      </w:r>
      <w:r w:rsidRPr="00543FA7">
        <w:rPr>
          <w:lang w:val="en-GB"/>
        </w:rPr>
        <w:t>1941</w:t>
      </w:r>
      <w:r>
        <w:rPr>
          <w:lang w:val="en-GB"/>
        </w:rPr>
        <w:t>)</w:t>
      </w:r>
      <w:r w:rsidRPr="00543FA7">
        <w:rPr>
          <w:lang w:val="en-GB"/>
        </w:rPr>
        <w:t xml:space="preserve">. </w:t>
      </w:r>
      <w:proofErr w:type="gramStart"/>
      <w:r w:rsidRPr="00FD4DBD">
        <w:rPr>
          <w:i/>
          <w:lang w:val="en-GB"/>
        </w:rPr>
        <w:t>‘The Structure of the American Economy’</w:t>
      </w:r>
      <w:r w:rsidRPr="00543FA7">
        <w:rPr>
          <w:lang w:val="en-GB"/>
        </w:rPr>
        <w:t>.</w:t>
      </w:r>
      <w:proofErr w:type="gramEnd"/>
      <w:r w:rsidRPr="00543FA7">
        <w:rPr>
          <w:lang w:val="en-GB"/>
        </w:rPr>
        <w:t xml:space="preserve"> </w:t>
      </w:r>
      <w:proofErr w:type="gramStart"/>
      <w:r w:rsidRPr="00543FA7">
        <w:rPr>
          <w:lang w:val="en-GB"/>
        </w:rPr>
        <w:t>Oxford University Press</w:t>
      </w:r>
      <w:r>
        <w:rPr>
          <w:lang w:val="en-GB"/>
        </w:rPr>
        <w:t>.</w:t>
      </w:r>
      <w:proofErr w:type="gramEnd"/>
      <w:r w:rsidRPr="00543FA7">
        <w:rPr>
          <w:lang w:val="en-GB"/>
        </w:rPr>
        <w:t xml:space="preserve"> New York</w:t>
      </w:r>
      <w:r>
        <w:rPr>
          <w:lang w:val="en-GB"/>
        </w:rPr>
        <w:t>.</w:t>
      </w:r>
      <w:r w:rsidRPr="00543FA7">
        <w:rPr>
          <w:lang w:val="en-GB"/>
        </w:rPr>
        <w:t xml:space="preserve"> NY.</w:t>
      </w:r>
    </w:p>
    <w:p w:rsidR="001A0A7E" w:rsidRPr="00543FA7" w:rsidRDefault="001A0A7E" w:rsidP="001A0A7E">
      <w:pPr>
        <w:pStyle w:val="Textoindependiente"/>
        <w:jc w:val="both"/>
        <w:rPr>
          <w:lang w:val="en-GB"/>
        </w:rPr>
      </w:pPr>
      <w:proofErr w:type="spellStart"/>
      <w:proofErr w:type="gramStart"/>
      <w:r w:rsidRPr="00543FA7">
        <w:rPr>
          <w:lang w:val="en-GB"/>
        </w:rPr>
        <w:t>Meller</w:t>
      </w:r>
      <w:proofErr w:type="spellEnd"/>
      <w:r>
        <w:rPr>
          <w:lang w:val="en-GB"/>
        </w:rPr>
        <w:t>,</w:t>
      </w:r>
      <w:r w:rsidRPr="00543FA7">
        <w:rPr>
          <w:lang w:val="en-GB"/>
        </w:rPr>
        <w:t xml:space="preserve"> P.</w:t>
      </w:r>
      <w:r>
        <w:rPr>
          <w:lang w:val="en-GB"/>
        </w:rPr>
        <w:t xml:space="preserve">, </w:t>
      </w:r>
      <w:proofErr w:type="spellStart"/>
      <w:r w:rsidRPr="00543FA7">
        <w:rPr>
          <w:lang w:val="en-GB"/>
        </w:rPr>
        <w:t>Marfán</w:t>
      </w:r>
      <w:proofErr w:type="spellEnd"/>
      <w:r>
        <w:rPr>
          <w:lang w:val="en-GB"/>
        </w:rPr>
        <w:t>,</w:t>
      </w:r>
      <w:r w:rsidRPr="00543FA7">
        <w:rPr>
          <w:lang w:val="en-GB"/>
        </w:rPr>
        <w:t xml:space="preserve"> M. </w:t>
      </w:r>
      <w:r>
        <w:rPr>
          <w:lang w:val="en-GB"/>
        </w:rPr>
        <w:t>(</w:t>
      </w:r>
      <w:r w:rsidRPr="00543FA7">
        <w:rPr>
          <w:lang w:val="en-GB"/>
        </w:rPr>
        <w:t>1981</w:t>
      </w:r>
      <w:r>
        <w:rPr>
          <w:lang w:val="en-GB"/>
        </w:rPr>
        <w:t>)</w:t>
      </w:r>
      <w:r w:rsidRPr="00543FA7">
        <w:rPr>
          <w:lang w:val="en-GB"/>
        </w:rPr>
        <w:t>.</w:t>
      </w:r>
      <w:proofErr w:type="gramEnd"/>
      <w:r w:rsidRPr="00543FA7">
        <w:rPr>
          <w:lang w:val="en-GB"/>
        </w:rPr>
        <w:t xml:space="preserve"> ‘Small and Large Industry: Employment Generation</w:t>
      </w:r>
      <w:r>
        <w:rPr>
          <w:lang w:val="en-GB"/>
        </w:rPr>
        <w:t>,</w:t>
      </w:r>
      <w:r w:rsidRPr="00543FA7">
        <w:rPr>
          <w:lang w:val="en-GB"/>
        </w:rPr>
        <w:t xml:space="preserve"> Linkages and Key Sectors’. </w:t>
      </w:r>
      <w:r w:rsidRPr="00FD4DBD">
        <w:rPr>
          <w:i/>
          <w:lang w:val="en-GB"/>
        </w:rPr>
        <w:t>Economic Development and Cultural Change</w:t>
      </w:r>
      <w:r>
        <w:rPr>
          <w:lang w:val="en-GB"/>
        </w:rPr>
        <w:t>,</w:t>
      </w:r>
      <w:r w:rsidRPr="00543FA7">
        <w:rPr>
          <w:lang w:val="en-GB"/>
        </w:rPr>
        <w:t xml:space="preserve"> 29</w:t>
      </w:r>
      <w:r>
        <w:rPr>
          <w:lang w:val="en-GB"/>
        </w:rPr>
        <w:t>,</w:t>
      </w:r>
      <w:r w:rsidRPr="00543FA7">
        <w:rPr>
          <w:lang w:val="en-GB"/>
        </w:rPr>
        <w:t xml:space="preserve"> 263-274.</w:t>
      </w:r>
    </w:p>
    <w:p w:rsidR="001A0A7E" w:rsidRPr="00543FA7" w:rsidRDefault="001A0A7E" w:rsidP="001A0A7E">
      <w:pPr>
        <w:pStyle w:val="Textoindependiente"/>
        <w:jc w:val="both"/>
        <w:rPr>
          <w:lang w:val="en-GB"/>
        </w:rPr>
      </w:pPr>
      <w:r w:rsidRPr="00543FA7">
        <w:rPr>
          <w:lang w:val="en-GB"/>
        </w:rPr>
        <w:t>Miller</w:t>
      </w:r>
      <w:r>
        <w:rPr>
          <w:lang w:val="en-GB"/>
        </w:rPr>
        <w:t>,</w:t>
      </w:r>
      <w:r w:rsidRPr="00543FA7">
        <w:rPr>
          <w:lang w:val="en-GB"/>
        </w:rPr>
        <w:t xml:space="preserve"> R.E. </w:t>
      </w:r>
      <w:r>
        <w:rPr>
          <w:lang w:val="en-GB"/>
        </w:rPr>
        <w:t>(</w:t>
      </w:r>
      <w:r w:rsidRPr="00543FA7">
        <w:rPr>
          <w:lang w:val="en-GB"/>
        </w:rPr>
        <w:t>1966</w:t>
      </w:r>
      <w:r>
        <w:rPr>
          <w:lang w:val="en-GB"/>
        </w:rPr>
        <w:t>)</w:t>
      </w:r>
      <w:r w:rsidRPr="00543FA7">
        <w:rPr>
          <w:lang w:val="en-GB"/>
        </w:rPr>
        <w:t>. ‘Interregional Feedback Effects in Input-Output Models: Some Preliminary Results’.</w:t>
      </w:r>
      <w:r>
        <w:rPr>
          <w:lang w:val="en-GB"/>
        </w:rPr>
        <w:t xml:space="preserve"> </w:t>
      </w:r>
      <w:r w:rsidRPr="00FD4DBD">
        <w:rPr>
          <w:i/>
          <w:lang w:val="en-GB"/>
        </w:rPr>
        <w:t>Papers in Regional Science Association</w:t>
      </w:r>
      <w:r>
        <w:rPr>
          <w:lang w:val="en-GB"/>
        </w:rPr>
        <w:t>,</w:t>
      </w:r>
      <w:r w:rsidRPr="00543FA7">
        <w:rPr>
          <w:lang w:val="en-GB"/>
        </w:rPr>
        <w:t xml:space="preserve"> 17</w:t>
      </w:r>
      <w:r>
        <w:rPr>
          <w:lang w:val="en-GB"/>
        </w:rPr>
        <w:t>, 105-</w:t>
      </w:r>
      <w:r w:rsidRPr="00543FA7">
        <w:rPr>
          <w:lang w:val="en-GB"/>
        </w:rPr>
        <w:t>125.</w:t>
      </w:r>
    </w:p>
    <w:p w:rsidR="001A0A7E" w:rsidRPr="00543FA7" w:rsidRDefault="001A0A7E" w:rsidP="001A0A7E">
      <w:pPr>
        <w:pStyle w:val="Textoindependiente"/>
        <w:jc w:val="both"/>
        <w:rPr>
          <w:lang w:val="en-GB"/>
        </w:rPr>
      </w:pPr>
      <w:r w:rsidRPr="00543FA7">
        <w:rPr>
          <w:lang w:val="en-GB"/>
        </w:rPr>
        <w:t>Miller</w:t>
      </w:r>
      <w:r>
        <w:rPr>
          <w:lang w:val="en-GB"/>
        </w:rPr>
        <w:t xml:space="preserve">, </w:t>
      </w:r>
      <w:r w:rsidRPr="00543FA7">
        <w:rPr>
          <w:lang w:val="en-GB"/>
        </w:rPr>
        <w:t xml:space="preserve">R.E. </w:t>
      </w:r>
      <w:r>
        <w:rPr>
          <w:lang w:val="en-GB"/>
        </w:rPr>
        <w:t>(</w:t>
      </w:r>
      <w:r w:rsidRPr="00543FA7">
        <w:rPr>
          <w:lang w:val="en-GB"/>
        </w:rPr>
        <w:t>1969</w:t>
      </w:r>
      <w:r>
        <w:rPr>
          <w:lang w:val="en-GB"/>
        </w:rPr>
        <w:t>)</w:t>
      </w:r>
      <w:r w:rsidRPr="00543FA7">
        <w:rPr>
          <w:lang w:val="en-GB"/>
        </w:rPr>
        <w:t>. ‘Interregional Feedback Effects in Input-Output Models: Some Experimental Results’ .</w:t>
      </w:r>
      <w:r w:rsidRPr="00FD4DBD">
        <w:rPr>
          <w:i/>
          <w:lang w:val="en-GB"/>
        </w:rPr>
        <w:t>Western Economic Journal</w:t>
      </w:r>
      <w:r>
        <w:rPr>
          <w:lang w:val="en-GB"/>
        </w:rPr>
        <w:t xml:space="preserve">, </w:t>
      </w:r>
      <w:r w:rsidRPr="00543FA7">
        <w:rPr>
          <w:lang w:val="en-GB"/>
        </w:rPr>
        <w:t>7</w:t>
      </w:r>
      <w:r>
        <w:rPr>
          <w:lang w:val="en-GB"/>
        </w:rPr>
        <w:t>, 41-</w:t>
      </w:r>
      <w:r w:rsidRPr="00543FA7">
        <w:rPr>
          <w:lang w:val="en-GB"/>
        </w:rPr>
        <w:t>50.</w:t>
      </w:r>
    </w:p>
    <w:p w:rsidR="001A0A7E" w:rsidRPr="00543FA7" w:rsidRDefault="001A0A7E" w:rsidP="001A0A7E">
      <w:pPr>
        <w:pStyle w:val="Textoindependiente"/>
        <w:jc w:val="both"/>
        <w:rPr>
          <w:lang w:val="en-GB"/>
        </w:rPr>
      </w:pPr>
      <w:r w:rsidRPr="00543FA7">
        <w:rPr>
          <w:lang w:val="en-GB"/>
        </w:rPr>
        <w:t>Miller</w:t>
      </w:r>
      <w:r>
        <w:rPr>
          <w:lang w:val="en-GB"/>
        </w:rPr>
        <w:t xml:space="preserve">, </w:t>
      </w:r>
      <w:r w:rsidRPr="00543FA7">
        <w:rPr>
          <w:lang w:val="en-GB"/>
        </w:rPr>
        <w:t>R.E.</w:t>
      </w:r>
      <w:r>
        <w:rPr>
          <w:lang w:val="en-GB"/>
        </w:rPr>
        <w:t xml:space="preserve">, </w:t>
      </w:r>
      <w:r w:rsidRPr="00543FA7">
        <w:rPr>
          <w:lang w:val="en-GB"/>
        </w:rPr>
        <w:t>Lahr</w:t>
      </w:r>
      <w:r>
        <w:rPr>
          <w:lang w:val="en-GB"/>
        </w:rPr>
        <w:t xml:space="preserve">, M.L. (2001). </w:t>
      </w:r>
      <w:proofErr w:type="gramStart"/>
      <w:r>
        <w:rPr>
          <w:lang w:val="en-GB"/>
        </w:rPr>
        <w:t xml:space="preserve">‘A </w:t>
      </w:r>
      <w:r w:rsidRPr="00543FA7">
        <w:rPr>
          <w:lang w:val="en-GB"/>
        </w:rPr>
        <w:t>Taxonomy</w:t>
      </w:r>
      <w:proofErr w:type="gramEnd"/>
      <w:r w:rsidRPr="00543FA7">
        <w:rPr>
          <w:lang w:val="en-GB"/>
        </w:rPr>
        <w:t xml:space="preserve"> of Extractions’</w:t>
      </w:r>
      <w:r>
        <w:rPr>
          <w:lang w:val="en-GB"/>
        </w:rPr>
        <w:t>. I</w:t>
      </w:r>
      <w:r w:rsidRPr="00543FA7">
        <w:rPr>
          <w:lang w:val="en-GB"/>
        </w:rPr>
        <w:t>n M.L. Lahr and R.E. Miller (</w:t>
      </w:r>
      <w:proofErr w:type="spellStart"/>
      <w:proofErr w:type="gramStart"/>
      <w:r w:rsidRPr="00543FA7">
        <w:rPr>
          <w:lang w:val="en-GB"/>
        </w:rPr>
        <w:t>eds</w:t>
      </w:r>
      <w:proofErr w:type="spellEnd"/>
      <w:proofErr w:type="gramEnd"/>
      <w:r w:rsidRPr="00543FA7">
        <w:rPr>
          <w:lang w:val="en-GB"/>
        </w:rPr>
        <w:t>)</w:t>
      </w:r>
      <w:r>
        <w:rPr>
          <w:lang w:val="en-GB"/>
        </w:rPr>
        <w:t>.</w:t>
      </w:r>
      <w:r w:rsidRPr="00543FA7">
        <w:rPr>
          <w:lang w:val="en-GB"/>
        </w:rPr>
        <w:t xml:space="preserve"> </w:t>
      </w:r>
      <w:r w:rsidRPr="00FD4DBD">
        <w:rPr>
          <w:i/>
          <w:lang w:val="en-GB"/>
        </w:rPr>
        <w:t>Regional Science Perspectives in Economic Analysis: A Festschrift in Memory of Benjamin H. Stevens</w:t>
      </w:r>
      <w:r>
        <w:rPr>
          <w:lang w:val="en-GB"/>
        </w:rPr>
        <w:t>.</w:t>
      </w:r>
      <w:r w:rsidRPr="00543FA7">
        <w:rPr>
          <w:lang w:val="en-GB"/>
        </w:rPr>
        <w:t xml:space="preserve"> Elsevier Science</w:t>
      </w:r>
      <w:r>
        <w:rPr>
          <w:lang w:val="en-GB"/>
        </w:rPr>
        <w:t>. Amsterdam,</w:t>
      </w:r>
      <w:r w:rsidRPr="00543FA7">
        <w:rPr>
          <w:lang w:val="en-GB"/>
        </w:rPr>
        <w:t xml:space="preserve"> 407-441.</w:t>
      </w:r>
    </w:p>
    <w:p w:rsidR="001A0A7E" w:rsidRPr="00543FA7" w:rsidRDefault="001A0A7E" w:rsidP="001A0A7E">
      <w:pPr>
        <w:pStyle w:val="Textoindependiente"/>
        <w:jc w:val="both"/>
        <w:rPr>
          <w:lang w:val="en-GB"/>
        </w:rPr>
      </w:pPr>
      <w:r w:rsidRPr="00543FA7">
        <w:rPr>
          <w:lang w:val="fr-FR"/>
        </w:rPr>
        <w:t>Miller</w:t>
      </w:r>
      <w:r>
        <w:rPr>
          <w:lang w:val="fr-FR"/>
        </w:rPr>
        <w:t>,</w:t>
      </w:r>
      <w:r w:rsidRPr="00543FA7">
        <w:rPr>
          <w:lang w:val="fr-FR"/>
        </w:rPr>
        <w:t xml:space="preserve"> R.E.</w:t>
      </w:r>
      <w:r>
        <w:rPr>
          <w:lang w:val="fr-FR"/>
        </w:rPr>
        <w:t xml:space="preserve">, </w:t>
      </w:r>
      <w:r w:rsidRPr="00543FA7">
        <w:rPr>
          <w:lang w:val="fr-FR"/>
        </w:rPr>
        <w:t>Blair</w:t>
      </w:r>
      <w:r>
        <w:rPr>
          <w:lang w:val="fr-FR"/>
        </w:rPr>
        <w:t>,</w:t>
      </w:r>
      <w:r w:rsidRPr="00543FA7">
        <w:rPr>
          <w:lang w:val="fr-FR"/>
        </w:rPr>
        <w:t xml:space="preserve"> P.D. </w:t>
      </w:r>
      <w:r>
        <w:rPr>
          <w:lang w:val="fr-FR"/>
        </w:rPr>
        <w:t>(</w:t>
      </w:r>
      <w:r w:rsidRPr="00543FA7">
        <w:rPr>
          <w:lang w:val="fr-FR"/>
        </w:rPr>
        <w:t>2009</w:t>
      </w:r>
      <w:r>
        <w:rPr>
          <w:lang w:val="fr-FR"/>
        </w:rPr>
        <w:t>)</w:t>
      </w:r>
      <w:r w:rsidRPr="00543FA7">
        <w:rPr>
          <w:lang w:val="fr-FR"/>
        </w:rPr>
        <w:t xml:space="preserve">. </w:t>
      </w:r>
      <w:r w:rsidRPr="00FD4DBD">
        <w:rPr>
          <w:i/>
          <w:lang w:val="fr-FR"/>
        </w:rPr>
        <w:t>‘</w:t>
      </w:r>
      <w:r w:rsidRPr="00FD4DBD">
        <w:rPr>
          <w:i/>
          <w:lang w:val="en-GB"/>
        </w:rPr>
        <w:t>Input-Output Analysis: Foundations and Extensions’</w:t>
      </w:r>
      <w:r w:rsidRPr="00543FA7">
        <w:rPr>
          <w:lang w:val="en-GB"/>
        </w:rPr>
        <w:t xml:space="preserve">. </w:t>
      </w:r>
      <w:proofErr w:type="gramStart"/>
      <w:r w:rsidRPr="00543FA7">
        <w:rPr>
          <w:lang w:val="en-GB"/>
        </w:rPr>
        <w:t>(Second Edition).Cambridge University Press.</w:t>
      </w:r>
      <w:proofErr w:type="gramEnd"/>
      <w:r w:rsidRPr="00543FA7">
        <w:rPr>
          <w:lang w:val="en-GB"/>
        </w:rPr>
        <w:t xml:space="preserve"> Cambridge.</w:t>
      </w:r>
    </w:p>
    <w:p w:rsidR="001A0A7E" w:rsidRPr="00543FA7" w:rsidRDefault="001A0A7E" w:rsidP="001A0A7E">
      <w:pPr>
        <w:pStyle w:val="Textoindependiente"/>
        <w:jc w:val="both"/>
        <w:rPr>
          <w:lang w:val="en-GB"/>
        </w:rPr>
      </w:pPr>
      <w:proofErr w:type="spellStart"/>
      <w:r w:rsidRPr="00543FA7">
        <w:rPr>
          <w:lang w:val="pt-BR"/>
        </w:rPr>
        <w:t>Paelinck</w:t>
      </w:r>
      <w:proofErr w:type="spellEnd"/>
      <w:r>
        <w:rPr>
          <w:lang w:val="pt-BR"/>
        </w:rPr>
        <w:t>,</w:t>
      </w:r>
      <w:r w:rsidRPr="00543FA7">
        <w:rPr>
          <w:lang w:val="pt-BR"/>
        </w:rPr>
        <w:t xml:space="preserve"> J</w:t>
      </w:r>
      <w:proofErr w:type="gramStart"/>
      <w:r w:rsidRPr="00543FA7">
        <w:rPr>
          <w:lang w:val="pt-BR"/>
        </w:rPr>
        <w:t>.</w:t>
      </w:r>
      <w:r>
        <w:rPr>
          <w:lang w:val="pt-BR"/>
        </w:rPr>
        <w:t>,</w:t>
      </w:r>
      <w:proofErr w:type="gramEnd"/>
      <w:r w:rsidRPr="00543FA7">
        <w:rPr>
          <w:lang w:val="pt-BR"/>
        </w:rPr>
        <w:t xml:space="preserve"> de </w:t>
      </w:r>
      <w:proofErr w:type="spellStart"/>
      <w:r w:rsidRPr="00543FA7">
        <w:rPr>
          <w:lang w:val="pt-BR"/>
        </w:rPr>
        <w:t>Caevel</w:t>
      </w:r>
      <w:proofErr w:type="spellEnd"/>
      <w:r>
        <w:rPr>
          <w:lang w:val="pt-BR"/>
        </w:rPr>
        <w:t>, J.,</w:t>
      </w:r>
      <w:r w:rsidRPr="00543FA7">
        <w:rPr>
          <w:lang w:val="pt-BR"/>
        </w:rPr>
        <w:t xml:space="preserve"> </w:t>
      </w:r>
      <w:proofErr w:type="spellStart"/>
      <w:r w:rsidRPr="00543FA7">
        <w:rPr>
          <w:lang w:val="pt-BR"/>
        </w:rPr>
        <w:t>Degueldre</w:t>
      </w:r>
      <w:proofErr w:type="spellEnd"/>
      <w:r>
        <w:rPr>
          <w:lang w:val="pt-BR"/>
        </w:rPr>
        <w:t>,</w:t>
      </w:r>
      <w:r w:rsidRPr="00543FA7">
        <w:rPr>
          <w:lang w:val="pt-BR"/>
        </w:rPr>
        <w:t xml:space="preserve"> J. </w:t>
      </w:r>
      <w:r>
        <w:rPr>
          <w:lang w:val="pt-BR"/>
        </w:rPr>
        <w:t>(</w:t>
      </w:r>
      <w:r w:rsidRPr="00543FA7">
        <w:rPr>
          <w:lang w:val="pt-BR"/>
        </w:rPr>
        <w:t>1965</w:t>
      </w:r>
      <w:r>
        <w:rPr>
          <w:lang w:val="pt-BR"/>
        </w:rPr>
        <w:t>)</w:t>
      </w:r>
      <w:r w:rsidRPr="00543FA7">
        <w:rPr>
          <w:lang w:val="pt-BR"/>
        </w:rPr>
        <w:t xml:space="preserve">. </w:t>
      </w:r>
      <w:r w:rsidRPr="00543FA7">
        <w:rPr>
          <w:lang w:val="fr-FR"/>
        </w:rPr>
        <w:t xml:space="preserve">‘Analyse Quantitative de Certaines Phénomènes du Développement Régional Polarisé : Essai de Simulation Statique </w:t>
      </w:r>
      <w:r w:rsidRPr="00543FA7">
        <w:rPr>
          <w:lang w:val="fr-FR"/>
        </w:rPr>
        <w:lastRenderedPageBreak/>
        <w:t>d’Itinéraires de Propagation’. In Bibliothèque de l’Institut de Science Économique. No. 7</w:t>
      </w:r>
      <w:r>
        <w:rPr>
          <w:lang w:val="fr-FR"/>
        </w:rPr>
        <w:t>.</w:t>
      </w:r>
      <w:r w:rsidRPr="00543FA7">
        <w:rPr>
          <w:lang w:val="fr-FR"/>
        </w:rPr>
        <w:t xml:space="preserve"> </w:t>
      </w:r>
      <w:proofErr w:type="spellStart"/>
      <w:r w:rsidRPr="00FD4DBD">
        <w:rPr>
          <w:i/>
          <w:lang w:val="fr-FR"/>
        </w:rPr>
        <w:t>Problémes</w:t>
      </w:r>
      <w:proofErr w:type="spellEnd"/>
      <w:r w:rsidRPr="00FD4DBD">
        <w:rPr>
          <w:i/>
          <w:lang w:val="fr-FR"/>
        </w:rPr>
        <w:t xml:space="preserve"> de Conversion Économique : Analyses Théoriques et Études Appliquées</w:t>
      </w:r>
      <w:r w:rsidRPr="00543FA7">
        <w:rPr>
          <w:lang w:val="fr-FR"/>
        </w:rPr>
        <w:t xml:space="preserve">. </w:t>
      </w:r>
      <w:proofErr w:type="gramStart"/>
      <w:r w:rsidRPr="00543FA7">
        <w:rPr>
          <w:lang w:val="en-GB"/>
        </w:rPr>
        <w:t>Paris :</w:t>
      </w:r>
      <w:proofErr w:type="gramEnd"/>
      <w:r w:rsidRPr="00543FA7">
        <w:rPr>
          <w:lang w:val="en-GB"/>
        </w:rPr>
        <w:t xml:space="preserve"> </w:t>
      </w:r>
      <w:proofErr w:type="spellStart"/>
      <w:r w:rsidRPr="00543FA7">
        <w:rPr>
          <w:lang w:val="en-GB"/>
        </w:rPr>
        <w:t>M.-Th</w:t>
      </w:r>
      <w:proofErr w:type="spellEnd"/>
      <w:r w:rsidRPr="00543FA7">
        <w:rPr>
          <w:lang w:val="en-GB"/>
        </w:rPr>
        <w:t xml:space="preserve">. </w:t>
      </w:r>
      <w:proofErr w:type="spellStart"/>
      <w:r w:rsidRPr="00543FA7">
        <w:rPr>
          <w:lang w:val="en-GB"/>
        </w:rPr>
        <w:t>Génin</w:t>
      </w:r>
      <w:proofErr w:type="spellEnd"/>
      <w:r w:rsidRPr="00543FA7">
        <w:rPr>
          <w:lang w:val="en-GB"/>
        </w:rPr>
        <w:t xml:space="preserve">. </w:t>
      </w:r>
    </w:p>
    <w:p w:rsidR="001A0A7E" w:rsidRPr="00543FA7" w:rsidRDefault="001A0A7E" w:rsidP="001A0A7E">
      <w:pPr>
        <w:pStyle w:val="Textoindependiente"/>
        <w:jc w:val="both"/>
        <w:rPr>
          <w:lang w:val="en-GB"/>
        </w:rPr>
      </w:pPr>
      <w:r w:rsidRPr="00543FA7">
        <w:rPr>
          <w:lang w:val="en-GB"/>
        </w:rPr>
        <w:t>Rasmussen</w:t>
      </w:r>
      <w:r>
        <w:rPr>
          <w:lang w:val="en-GB"/>
        </w:rPr>
        <w:t xml:space="preserve">, </w:t>
      </w:r>
      <w:r w:rsidRPr="00543FA7">
        <w:rPr>
          <w:lang w:val="en-GB"/>
        </w:rPr>
        <w:t xml:space="preserve">P.N. </w:t>
      </w:r>
      <w:r>
        <w:rPr>
          <w:lang w:val="en-GB"/>
        </w:rPr>
        <w:t>(</w:t>
      </w:r>
      <w:r w:rsidRPr="00543FA7">
        <w:rPr>
          <w:lang w:val="en-GB"/>
        </w:rPr>
        <w:t>1957</w:t>
      </w:r>
      <w:r>
        <w:rPr>
          <w:lang w:val="en-GB"/>
        </w:rPr>
        <w:t>)</w:t>
      </w:r>
      <w:r w:rsidRPr="00543FA7">
        <w:rPr>
          <w:lang w:val="en-GB"/>
        </w:rPr>
        <w:t xml:space="preserve">. </w:t>
      </w:r>
      <w:proofErr w:type="gramStart"/>
      <w:r w:rsidRPr="00FD4DBD">
        <w:rPr>
          <w:i/>
          <w:lang w:val="en-GB"/>
        </w:rPr>
        <w:t>‘Studies in Inter-</w:t>
      </w:r>
      <w:proofErr w:type="spellStart"/>
      <w:r w:rsidRPr="00FD4DBD">
        <w:rPr>
          <w:i/>
          <w:lang w:val="en-GB"/>
        </w:rPr>
        <w:t>Sectoral</w:t>
      </w:r>
      <w:proofErr w:type="spellEnd"/>
      <w:r w:rsidRPr="00FD4DBD">
        <w:rPr>
          <w:i/>
          <w:lang w:val="en-GB"/>
        </w:rPr>
        <w:t xml:space="preserve"> Relations’</w:t>
      </w:r>
      <w:r w:rsidRPr="00543FA7">
        <w:rPr>
          <w:lang w:val="en-GB"/>
        </w:rPr>
        <w:t>.</w:t>
      </w:r>
      <w:proofErr w:type="gramEnd"/>
      <w:r w:rsidRPr="00543FA7">
        <w:rPr>
          <w:lang w:val="en-GB"/>
        </w:rPr>
        <w:t xml:space="preserve"> </w:t>
      </w:r>
      <w:proofErr w:type="gramStart"/>
      <w:r w:rsidRPr="00543FA7">
        <w:rPr>
          <w:lang w:val="en-GB"/>
        </w:rPr>
        <w:t>North-Holland</w:t>
      </w:r>
      <w:r>
        <w:rPr>
          <w:lang w:val="en-GB"/>
        </w:rPr>
        <w:t>.</w:t>
      </w:r>
      <w:proofErr w:type="gramEnd"/>
      <w:r w:rsidRPr="00543FA7">
        <w:rPr>
          <w:lang w:val="en-GB"/>
        </w:rPr>
        <w:t xml:space="preserve"> Amsterdam.</w:t>
      </w:r>
    </w:p>
    <w:p w:rsidR="001A0A7E" w:rsidRPr="00091E3A" w:rsidRDefault="001A0A7E" w:rsidP="001A0A7E">
      <w:pPr>
        <w:pStyle w:val="Textoindependiente"/>
        <w:jc w:val="both"/>
        <w:rPr>
          <w:lang w:val="en-GB"/>
        </w:rPr>
      </w:pPr>
      <w:r w:rsidRPr="00091E3A">
        <w:rPr>
          <w:lang w:val="en-GB"/>
        </w:rPr>
        <w:t>Schultz</w:t>
      </w:r>
      <w:r>
        <w:rPr>
          <w:lang w:val="en-GB"/>
        </w:rPr>
        <w:t>,</w:t>
      </w:r>
      <w:r w:rsidRPr="00091E3A">
        <w:rPr>
          <w:lang w:val="en-GB"/>
        </w:rPr>
        <w:t xml:space="preserve"> S. </w:t>
      </w:r>
      <w:r>
        <w:rPr>
          <w:lang w:val="en-GB"/>
        </w:rPr>
        <w:t>(</w:t>
      </w:r>
      <w:r w:rsidRPr="00091E3A">
        <w:rPr>
          <w:lang w:val="en-GB"/>
        </w:rPr>
        <w:t>1977</w:t>
      </w:r>
      <w:r>
        <w:rPr>
          <w:lang w:val="en-GB"/>
        </w:rPr>
        <w:t>)</w:t>
      </w:r>
      <w:r w:rsidRPr="00091E3A">
        <w:rPr>
          <w:lang w:val="en-GB"/>
        </w:rPr>
        <w:t xml:space="preserve">. </w:t>
      </w:r>
      <w:proofErr w:type="gramStart"/>
      <w:r w:rsidRPr="00091E3A">
        <w:rPr>
          <w:lang w:val="en-GB"/>
        </w:rPr>
        <w:t xml:space="preserve">‘Approaches to Identifying Key Sectors Empirically by Means of Input-output </w:t>
      </w:r>
      <w:proofErr w:type="spellStart"/>
      <w:r w:rsidRPr="00091E3A">
        <w:rPr>
          <w:lang w:val="en-GB"/>
        </w:rPr>
        <w:t>Analysis’.</w:t>
      </w:r>
      <w:r w:rsidRPr="00FD4DBD">
        <w:rPr>
          <w:i/>
          <w:lang w:val="en-GB"/>
        </w:rPr>
        <w:t>Journal</w:t>
      </w:r>
      <w:proofErr w:type="spellEnd"/>
      <w:r w:rsidRPr="00FD4DBD">
        <w:rPr>
          <w:i/>
          <w:lang w:val="en-GB"/>
        </w:rPr>
        <w:t xml:space="preserve"> of Development Studies</w:t>
      </w:r>
      <w:r>
        <w:rPr>
          <w:lang w:val="en-GB"/>
        </w:rPr>
        <w:t>,</w:t>
      </w:r>
      <w:r w:rsidRPr="00091E3A">
        <w:rPr>
          <w:lang w:val="en-GB"/>
        </w:rPr>
        <w:t xml:space="preserve"> 14</w:t>
      </w:r>
      <w:r>
        <w:rPr>
          <w:lang w:val="en-GB"/>
        </w:rPr>
        <w:t>,</w:t>
      </w:r>
      <w:r w:rsidRPr="00091E3A">
        <w:rPr>
          <w:lang w:val="en-GB"/>
        </w:rPr>
        <w:t xml:space="preserve"> 77-96.</w:t>
      </w:r>
      <w:proofErr w:type="gramEnd"/>
    </w:p>
    <w:p w:rsidR="001A0A7E" w:rsidRPr="00543FA7" w:rsidRDefault="001A0A7E" w:rsidP="001A0A7E">
      <w:pPr>
        <w:pStyle w:val="Textoindependiente"/>
        <w:jc w:val="both"/>
        <w:rPr>
          <w:lang w:val="en-GB"/>
        </w:rPr>
      </w:pPr>
      <w:proofErr w:type="spellStart"/>
      <w:r w:rsidRPr="00543FA7">
        <w:rPr>
          <w:lang w:val="en-GB"/>
        </w:rPr>
        <w:t>Strassert</w:t>
      </w:r>
      <w:proofErr w:type="spellEnd"/>
      <w:r>
        <w:rPr>
          <w:lang w:val="en-GB"/>
        </w:rPr>
        <w:t>,</w:t>
      </w:r>
      <w:r w:rsidRPr="00543FA7">
        <w:rPr>
          <w:lang w:val="en-GB"/>
        </w:rPr>
        <w:t xml:space="preserve"> G.</w:t>
      </w:r>
      <w:r>
        <w:rPr>
          <w:lang w:val="en-GB"/>
        </w:rPr>
        <w:t xml:space="preserve"> (1968).</w:t>
      </w:r>
      <w:r w:rsidRPr="00543FA7">
        <w:rPr>
          <w:lang w:val="en-GB"/>
        </w:rPr>
        <w:t xml:space="preserve"> ‘</w:t>
      </w:r>
      <w:proofErr w:type="spellStart"/>
      <w:r w:rsidRPr="00543FA7">
        <w:rPr>
          <w:lang w:val="en-GB"/>
        </w:rPr>
        <w:t>Zur</w:t>
      </w:r>
      <w:proofErr w:type="spellEnd"/>
      <w:r w:rsidRPr="00543FA7">
        <w:rPr>
          <w:lang w:val="en-GB"/>
        </w:rPr>
        <w:t xml:space="preserve"> </w:t>
      </w:r>
      <w:proofErr w:type="spellStart"/>
      <w:r w:rsidRPr="00543FA7">
        <w:rPr>
          <w:lang w:val="en-GB"/>
        </w:rPr>
        <w:t>Bestimmung</w:t>
      </w:r>
      <w:proofErr w:type="spellEnd"/>
      <w:r w:rsidRPr="00543FA7">
        <w:rPr>
          <w:lang w:val="en-GB"/>
        </w:rPr>
        <w:t xml:space="preserve"> </w:t>
      </w:r>
      <w:proofErr w:type="spellStart"/>
      <w:r w:rsidRPr="00543FA7">
        <w:rPr>
          <w:lang w:val="en-GB"/>
        </w:rPr>
        <w:t>Strategischer</w:t>
      </w:r>
      <w:proofErr w:type="spellEnd"/>
      <w:r w:rsidRPr="00543FA7">
        <w:rPr>
          <w:lang w:val="en-GB"/>
        </w:rPr>
        <w:t xml:space="preserve"> </w:t>
      </w:r>
      <w:proofErr w:type="spellStart"/>
      <w:r w:rsidRPr="00543FA7">
        <w:rPr>
          <w:lang w:val="en-GB"/>
        </w:rPr>
        <w:t>Sektoren</w:t>
      </w:r>
      <w:proofErr w:type="spellEnd"/>
      <w:r w:rsidRPr="00543FA7">
        <w:rPr>
          <w:lang w:val="en-GB"/>
        </w:rPr>
        <w:t xml:space="preserve"> </w:t>
      </w:r>
      <w:proofErr w:type="spellStart"/>
      <w:r w:rsidRPr="00543FA7">
        <w:rPr>
          <w:lang w:val="en-GB"/>
        </w:rPr>
        <w:t>mit</w:t>
      </w:r>
      <w:proofErr w:type="spellEnd"/>
      <w:r w:rsidRPr="00543FA7">
        <w:rPr>
          <w:lang w:val="en-GB"/>
        </w:rPr>
        <w:t xml:space="preserve"> </w:t>
      </w:r>
      <w:proofErr w:type="spellStart"/>
      <w:r w:rsidRPr="00543FA7">
        <w:rPr>
          <w:lang w:val="en-GB"/>
        </w:rPr>
        <w:t>hilfe</w:t>
      </w:r>
      <w:proofErr w:type="spellEnd"/>
      <w:r w:rsidRPr="00543FA7">
        <w:rPr>
          <w:lang w:val="en-GB"/>
        </w:rPr>
        <w:t xml:space="preserve"> von Input-Output </w:t>
      </w:r>
      <w:proofErr w:type="spellStart"/>
      <w:r w:rsidRPr="00543FA7">
        <w:rPr>
          <w:lang w:val="en-GB"/>
        </w:rPr>
        <w:t>modellen</w:t>
      </w:r>
      <w:proofErr w:type="spellEnd"/>
      <w:r w:rsidRPr="00543FA7">
        <w:rPr>
          <w:lang w:val="en-GB"/>
        </w:rPr>
        <w:t xml:space="preserve">’. </w:t>
      </w:r>
      <w:proofErr w:type="spellStart"/>
      <w:r w:rsidRPr="00FD4DBD">
        <w:rPr>
          <w:i/>
          <w:lang w:val="en-GB"/>
        </w:rPr>
        <w:t>Jahrbucher</w:t>
      </w:r>
      <w:proofErr w:type="spellEnd"/>
      <w:r w:rsidRPr="00FD4DBD">
        <w:rPr>
          <w:i/>
          <w:lang w:val="en-GB"/>
        </w:rPr>
        <w:t xml:space="preserve"> fur </w:t>
      </w:r>
      <w:proofErr w:type="spellStart"/>
      <w:r w:rsidRPr="00FD4DBD">
        <w:rPr>
          <w:i/>
          <w:lang w:val="en-GB"/>
        </w:rPr>
        <w:t>Nationalokonomie</w:t>
      </w:r>
      <w:proofErr w:type="spellEnd"/>
      <w:r w:rsidRPr="00FD4DBD">
        <w:rPr>
          <w:i/>
          <w:lang w:val="en-GB"/>
        </w:rPr>
        <w:t xml:space="preserve"> und </w:t>
      </w:r>
      <w:proofErr w:type="spellStart"/>
      <w:r w:rsidRPr="00FD4DBD">
        <w:rPr>
          <w:i/>
          <w:lang w:val="en-GB"/>
        </w:rPr>
        <w:t>Statistick</w:t>
      </w:r>
      <w:proofErr w:type="spellEnd"/>
      <w:r>
        <w:rPr>
          <w:lang w:val="en-GB"/>
        </w:rPr>
        <w:t>,</w:t>
      </w:r>
      <w:r w:rsidRPr="00543FA7">
        <w:rPr>
          <w:lang w:val="en-GB"/>
        </w:rPr>
        <w:t xml:space="preserve"> 182</w:t>
      </w:r>
      <w:r>
        <w:rPr>
          <w:lang w:val="en-GB"/>
        </w:rPr>
        <w:t>,</w:t>
      </w:r>
      <w:r w:rsidRPr="00543FA7">
        <w:rPr>
          <w:lang w:val="en-GB"/>
        </w:rPr>
        <w:t xml:space="preserve"> 211-215.</w:t>
      </w:r>
    </w:p>
    <w:p w:rsidR="001A0A7E" w:rsidRPr="00E15A36" w:rsidRDefault="001A0A7E" w:rsidP="001A0A7E">
      <w:pPr>
        <w:pStyle w:val="Textoindependiente"/>
        <w:jc w:val="both"/>
        <w:rPr>
          <w:lang w:val="en-GB"/>
        </w:rPr>
      </w:pPr>
      <w:proofErr w:type="spellStart"/>
      <w:r w:rsidRPr="00543FA7">
        <w:rPr>
          <w:lang w:val="en-GB"/>
        </w:rPr>
        <w:t>Strout</w:t>
      </w:r>
      <w:proofErr w:type="spellEnd"/>
      <w:r>
        <w:rPr>
          <w:lang w:val="en-GB"/>
        </w:rPr>
        <w:t>,</w:t>
      </w:r>
      <w:r w:rsidRPr="00543FA7">
        <w:rPr>
          <w:lang w:val="en-GB"/>
        </w:rPr>
        <w:t xml:space="preserve"> A. </w:t>
      </w:r>
      <w:r>
        <w:rPr>
          <w:lang w:val="en-GB"/>
        </w:rPr>
        <w:t>(</w:t>
      </w:r>
      <w:r w:rsidRPr="00543FA7">
        <w:rPr>
          <w:lang w:val="en-GB"/>
        </w:rPr>
        <w:t>1967</w:t>
      </w:r>
      <w:r>
        <w:rPr>
          <w:lang w:val="en-GB"/>
        </w:rPr>
        <w:t>)</w:t>
      </w:r>
      <w:r w:rsidRPr="00543FA7">
        <w:rPr>
          <w:lang w:val="en-GB"/>
        </w:rPr>
        <w:t xml:space="preserve">. </w:t>
      </w:r>
      <w:proofErr w:type="gramStart"/>
      <w:r w:rsidRPr="00543FA7">
        <w:rPr>
          <w:lang w:val="en-GB"/>
        </w:rPr>
        <w:t>‘Technological Change and U.S. Energy Consumption’.</w:t>
      </w:r>
      <w:proofErr w:type="gramEnd"/>
      <w:r w:rsidRPr="00543FA7">
        <w:rPr>
          <w:lang w:val="en-GB"/>
        </w:rPr>
        <w:t xml:space="preserve"> </w:t>
      </w:r>
      <w:proofErr w:type="gramStart"/>
      <w:r w:rsidRPr="00543FA7">
        <w:rPr>
          <w:lang w:val="en-GB"/>
        </w:rPr>
        <w:t>Ph.D. dissertation</w:t>
      </w:r>
      <w:r>
        <w:rPr>
          <w:lang w:val="en-GB"/>
        </w:rPr>
        <w:t>.</w:t>
      </w:r>
      <w:proofErr w:type="gramEnd"/>
      <w:r w:rsidRPr="00543FA7">
        <w:rPr>
          <w:lang w:val="en-GB"/>
        </w:rPr>
        <w:t xml:space="preserve"> </w:t>
      </w:r>
      <w:proofErr w:type="gramStart"/>
      <w:r w:rsidRPr="00543FA7">
        <w:rPr>
          <w:lang w:val="en-GB"/>
        </w:rPr>
        <w:t>University of Chicago.</w:t>
      </w:r>
      <w:proofErr w:type="gramEnd"/>
    </w:p>
    <w:p w:rsidR="001A0A7E" w:rsidRPr="00543FA7" w:rsidRDefault="001A0A7E" w:rsidP="001A0A7E">
      <w:pPr>
        <w:pStyle w:val="Textoindependiente"/>
        <w:jc w:val="both"/>
        <w:rPr>
          <w:rFonts w:ascii="Arial Unicode MS" w:hAnsi="Arial Unicode MS"/>
          <w:color w:val="2E2E2E"/>
          <w:sz w:val="18"/>
          <w:szCs w:val="18"/>
          <w:lang w:val="en-GB"/>
        </w:rPr>
      </w:pPr>
      <w:bookmarkStart w:id="0" w:name="articles"/>
      <w:proofErr w:type="spellStart"/>
      <w:r w:rsidRPr="00F659F4">
        <w:rPr>
          <w:lang w:val="en-US"/>
        </w:rPr>
        <w:t>Tarancón</w:t>
      </w:r>
      <w:proofErr w:type="spellEnd"/>
      <w:r w:rsidRPr="00F659F4">
        <w:rPr>
          <w:lang w:val="en-US"/>
        </w:rPr>
        <w:t xml:space="preserve">, M.A., Del Río. </w:t>
      </w:r>
      <w:proofErr w:type="gramStart"/>
      <w:r w:rsidRPr="00F659F4">
        <w:rPr>
          <w:lang w:val="en-US"/>
        </w:rPr>
        <w:t xml:space="preserve">P., </w:t>
      </w:r>
      <w:proofErr w:type="spellStart"/>
      <w:r w:rsidRPr="00F659F4">
        <w:rPr>
          <w:lang w:val="en-US"/>
        </w:rPr>
        <w:t>Callejas-Albiñana</w:t>
      </w:r>
      <w:proofErr w:type="spellEnd"/>
      <w:r w:rsidRPr="00F659F4">
        <w:rPr>
          <w:lang w:val="en-US"/>
        </w:rPr>
        <w:t>, F. (2010).</w:t>
      </w:r>
      <w:proofErr w:type="gramEnd"/>
      <w:r w:rsidRPr="00F659F4">
        <w:rPr>
          <w:lang w:val="en-US"/>
        </w:rPr>
        <w:t xml:space="preserve"> </w:t>
      </w:r>
      <w:r w:rsidRPr="00F659F4">
        <w:rPr>
          <w:rFonts w:ascii="Arial Unicode MS" w:hAnsi="Arial Unicode MS"/>
          <w:color w:val="2E2E2E"/>
          <w:sz w:val="18"/>
          <w:szCs w:val="18"/>
          <w:lang w:val="en-US"/>
        </w:rPr>
        <w:t xml:space="preserve"> </w:t>
      </w:r>
      <w:proofErr w:type="gramStart"/>
      <w:r w:rsidRPr="00543FA7">
        <w:rPr>
          <w:rFonts w:ascii="Arial Unicode MS" w:hAnsi="Arial Unicode MS"/>
          <w:color w:val="2E2E2E"/>
          <w:sz w:val="18"/>
          <w:szCs w:val="18"/>
          <w:lang w:val="en-GB"/>
        </w:rPr>
        <w:t>‘</w:t>
      </w:r>
      <w:r w:rsidRPr="00543FA7">
        <w:rPr>
          <w:lang w:val="en-GB"/>
        </w:rPr>
        <w:t>Assessing the Influence of Manufacturing sectors on Electricity Demand: A Cross-Country Input-Output Approach’.</w:t>
      </w:r>
      <w:proofErr w:type="gramEnd"/>
      <w:r w:rsidRPr="00543FA7">
        <w:rPr>
          <w:lang w:val="en-GB"/>
        </w:rPr>
        <w:t xml:space="preserve"> </w:t>
      </w:r>
      <w:r w:rsidRPr="00FD4DBD">
        <w:rPr>
          <w:i/>
          <w:iCs/>
          <w:lang w:val="en-GB"/>
        </w:rPr>
        <w:t>Energy Policy</w:t>
      </w:r>
      <w:r>
        <w:rPr>
          <w:iCs/>
          <w:lang w:val="en-GB"/>
        </w:rPr>
        <w:t xml:space="preserve">, </w:t>
      </w:r>
      <w:r w:rsidRPr="00543FA7">
        <w:rPr>
          <w:lang w:val="en-GB"/>
        </w:rPr>
        <w:t>38</w:t>
      </w:r>
      <w:r>
        <w:rPr>
          <w:lang w:val="en-GB"/>
        </w:rPr>
        <w:t>,</w:t>
      </w:r>
      <w:r w:rsidRPr="00543FA7">
        <w:rPr>
          <w:lang w:val="en-GB"/>
        </w:rPr>
        <w:t xml:space="preserve"> 1900-1908.</w:t>
      </w:r>
    </w:p>
    <w:p w:rsidR="001A0A7E" w:rsidRPr="00543FA7" w:rsidRDefault="001A0A7E" w:rsidP="001A0A7E">
      <w:pPr>
        <w:pStyle w:val="Textoindependiente"/>
        <w:jc w:val="both"/>
        <w:rPr>
          <w:lang w:val="en-GB"/>
        </w:rPr>
      </w:pPr>
      <w:proofErr w:type="spellStart"/>
      <w:r w:rsidRPr="00543FA7">
        <w:rPr>
          <w:lang w:val="en-GB"/>
        </w:rPr>
        <w:t>Temurshoev</w:t>
      </w:r>
      <w:proofErr w:type="spellEnd"/>
      <w:r>
        <w:rPr>
          <w:lang w:val="en-GB"/>
        </w:rPr>
        <w:t>,</w:t>
      </w:r>
      <w:r w:rsidRPr="00543FA7">
        <w:rPr>
          <w:lang w:val="en-GB"/>
        </w:rPr>
        <w:t xml:space="preserve"> U. </w:t>
      </w:r>
      <w:r>
        <w:rPr>
          <w:lang w:val="en-GB"/>
        </w:rPr>
        <w:t>(</w:t>
      </w:r>
      <w:r w:rsidRPr="00543FA7">
        <w:rPr>
          <w:lang w:val="en-GB"/>
        </w:rPr>
        <w:t>2010</w:t>
      </w:r>
      <w:r>
        <w:rPr>
          <w:lang w:val="en-GB"/>
        </w:rPr>
        <w:t>)</w:t>
      </w:r>
      <w:r w:rsidRPr="00543FA7">
        <w:rPr>
          <w:lang w:val="en-GB"/>
        </w:rPr>
        <w:t xml:space="preserve">. </w:t>
      </w:r>
      <w:proofErr w:type="gramStart"/>
      <w:r w:rsidRPr="004058C5">
        <w:rPr>
          <w:lang w:val="en-GB"/>
        </w:rPr>
        <w:t>‘</w:t>
      </w:r>
      <w:hyperlink r:id="rId105" w:history="1">
        <w:r w:rsidRPr="004058C5">
          <w:rPr>
            <w:rStyle w:val="Hipervnculo"/>
            <w:bCs/>
            <w:color w:val="auto"/>
            <w:u w:val="none"/>
            <w:lang w:val="en-GB"/>
          </w:rPr>
          <w:t>Identifying</w:t>
        </w:r>
        <w:r w:rsidR="004058C5">
          <w:rPr>
            <w:rStyle w:val="Hipervnculo"/>
            <w:bCs/>
            <w:color w:val="auto"/>
            <w:u w:val="none"/>
            <w:lang w:val="en-GB"/>
          </w:rPr>
          <w:t xml:space="preserve"> Optimal Sector Groupings with t</w:t>
        </w:r>
        <w:r w:rsidRPr="004058C5">
          <w:rPr>
            <w:rStyle w:val="Hipervnculo"/>
            <w:bCs/>
            <w:color w:val="auto"/>
            <w:u w:val="none"/>
            <w:lang w:val="en-GB"/>
          </w:rPr>
          <w:t>he Hypothetical Extraction Method</w:t>
        </w:r>
      </w:hyperlink>
      <w:r w:rsidRPr="004058C5">
        <w:rPr>
          <w:lang w:val="en-GB"/>
        </w:rPr>
        <w:t>’.</w:t>
      </w:r>
      <w:proofErr w:type="gramEnd"/>
      <w:r w:rsidRPr="004058C5">
        <w:rPr>
          <w:lang w:val="en-GB"/>
        </w:rPr>
        <w:t xml:space="preserve"> </w:t>
      </w:r>
      <w:hyperlink r:id="rId106" w:history="1">
        <w:r w:rsidRPr="004058C5">
          <w:rPr>
            <w:rStyle w:val="Hipervnculo"/>
            <w:i/>
            <w:color w:val="auto"/>
            <w:u w:val="none"/>
            <w:lang w:val="en-GB"/>
          </w:rPr>
          <w:t>Journal of Regional Science</w:t>
        </w:r>
      </w:hyperlink>
      <w:r>
        <w:rPr>
          <w:lang w:val="en-GB"/>
        </w:rPr>
        <w:t xml:space="preserve">, </w:t>
      </w:r>
      <w:r w:rsidRPr="00543FA7">
        <w:rPr>
          <w:lang w:val="en-GB"/>
        </w:rPr>
        <w:t>50</w:t>
      </w:r>
      <w:r>
        <w:rPr>
          <w:lang w:val="en-GB"/>
        </w:rPr>
        <w:t>,</w:t>
      </w:r>
      <w:r w:rsidRPr="00543FA7">
        <w:rPr>
          <w:lang w:val="en-GB"/>
        </w:rPr>
        <w:t xml:space="preserve"> 872-890.</w:t>
      </w:r>
    </w:p>
    <w:bookmarkEnd w:id="0"/>
    <w:p w:rsidR="001A0A7E" w:rsidRDefault="001A0A7E" w:rsidP="001A0A7E">
      <w:pPr>
        <w:pStyle w:val="Textoindependiente"/>
        <w:jc w:val="both"/>
        <w:rPr>
          <w:lang w:val="en-GB"/>
        </w:rPr>
      </w:pPr>
      <w:r w:rsidRPr="00F94C71">
        <w:rPr>
          <w:lang w:val="en-GB"/>
        </w:rPr>
        <w:t>Wang</w:t>
      </w:r>
      <w:r>
        <w:rPr>
          <w:lang w:val="en-GB"/>
        </w:rPr>
        <w:t xml:space="preserve">, Y., </w:t>
      </w:r>
      <w:r w:rsidRPr="00F94C71">
        <w:rPr>
          <w:lang w:val="en-GB"/>
        </w:rPr>
        <w:t>Liang</w:t>
      </w:r>
      <w:r>
        <w:rPr>
          <w:lang w:val="en-GB"/>
        </w:rPr>
        <w:t>,</w:t>
      </w:r>
      <w:r w:rsidRPr="00F94C71">
        <w:rPr>
          <w:lang w:val="en-GB"/>
        </w:rPr>
        <w:t xml:space="preserve"> S. </w:t>
      </w:r>
      <w:r>
        <w:rPr>
          <w:lang w:val="en-GB"/>
        </w:rPr>
        <w:t>(</w:t>
      </w:r>
      <w:r w:rsidRPr="00F94C71">
        <w:rPr>
          <w:lang w:val="en-GB"/>
        </w:rPr>
        <w:t>2013</w:t>
      </w:r>
      <w:r>
        <w:rPr>
          <w:lang w:val="en-GB"/>
        </w:rPr>
        <w:t>)</w:t>
      </w:r>
      <w:r w:rsidRPr="00F94C71">
        <w:rPr>
          <w:lang w:val="en-GB"/>
        </w:rPr>
        <w:t xml:space="preserve">. </w:t>
      </w:r>
      <w:proofErr w:type="gramStart"/>
      <w:r w:rsidRPr="00F94C71">
        <w:rPr>
          <w:lang w:val="en-GB"/>
        </w:rPr>
        <w:t>‘Carbon dioxide mitigation target of China in 2020 and key ec</w:t>
      </w:r>
      <w:r>
        <w:rPr>
          <w:lang w:val="en-GB"/>
        </w:rPr>
        <w:t>onomic sectors’.</w:t>
      </w:r>
      <w:proofErr w:type="gramEnd"/>
      <w:r>
        <w:rPr>
          <w:lang w:val="en-GB"/>
        </w:rPr>
        <w:t xml:space="preserve"> </w:t>
      </w:r>
      <w:r w:rsidRPr="00FD4DBD">
        <w:rPr>
          <w:i/>
          <w:lang w:val="en-GB"/>
        </w:rPr>
        <w:t>Energy Policy</w:t>
      </w:r>
      <w:r>
        <w:rPr>
          <w:lang w:val="en-GB"/>
        </w:rPr>
        <w:t xml:space="preserve">, </w:t>
      </w:r>
      <w:r w:rsidRPr="00F94C71">
        <w:rPr>
          <w:lang w:val="en-GB"/>
        </w:rPr>
        <w:t>58</w:t>
      </w:r>
      <w:r>
        <w:rPr>
          <w:lang w:val="en-GB"/>
        </w:rPr>
        <w:t>,</w:t>
      </w:r>
      <w:r w:rsidRPr="00F94C71">
        <w:rPr>
          <w:lang w:val="en-GB"/>
        </w:rPr>
        <w:t xml:space="preserve"> 90-96.</w:t>
      </w:r>
    </w:p>
    <w:p w:rsidR="004058C5" w:rsidRDefault="004058C5" w:rsidP="001A0A7E">
      <w:pPr>
        <w:pStyle w:val="Textoindependiente"/>
        <w:jc w:val="both"/>
        <w:rPr>
          <w:lang w:val="en-GB"/>
        </w:rPr>
      </w:pPr>
    </w:p>
    <w:p w:rsidR="004058C5" w:rsidRDefault="004058C5" w:rsidP="001A0A7E">
      <w:pPr>
        <w:pStyle w:val="Textoindependiente"/>
        <w:jc w:val="both"/>
        <w:rPr>
          <w:lang w:val="en-GB"/>
        </w:rPr>
      </w:pPr>
    </w:p>
    <w:p w:rsidR="004058C5" w:rsidRDefault="004058C5" w:rsidP="001A0A7E">
      <w:pPr>
        <w:pStyle w:val="Textoindependiente"/>
        <w:jc w:val="both"/>
        <w:rPr>
          <w:lang w:val="en-GB"/>
        </w:rPr>
      </w:pPr>
    </w:p>
    <w:p w:rsidR="004058C5" w:rsidRDefault="004058C5" w:rsidP="001A0A7E">
      <w:pPr>
        <w:pStyle w:val="Textoindependiente"/>
        <w:jc w:val="both"/>
        <w:rPr>
          <w:lang w:val="en-GB"/>
        </w:rPr>
      </w:pPr>
    </w:p>
    <w:p w:rsidR="004058C5" w:rsidRDefault="004058C5" w:rsidP="001A0A7E">
      <w:pPr>
        <w:pStyle w:val="Textoindependiente"/>
        <w:jc w:val="both"/>
        <w:rPr>
          <w:lang w:val="en-GB"/>
        </w:rPr>
      </w:pPr>
    </w:p>
    <w:p w:rsidR="004058C5" w:rsidRDefault="004058C5" w:rsidP="001A0A7E">
      <w:pPr>
        <w:pStyle w:val="Textoindependiente"/>
        <w:jc w:val="both"/>
        <w:rPr>
          <w:lang w:val="en-GB"/>
        </w:rPr>
      </w:pPr>
    </w:p>
    <w:p w:rsidR="004058C5" w:rsidRDefault="004058C5" w:rsidP="001A0A7E">
      <w:pPr>
        <w:pStyle w:val="Textoindependiente"/>
        <w:jc w:val="both"/>
        <w:rPr>
          <w:lang w:val="en-GB"/>
        </w:rPr>
      </w:pPr>
    </w:p>
    <w:p w:rsidR="004058C5" w:rsidRDefault="004058C5" w:rsidP="001A0A7E">
      <w:pPr>
        <w:pStyle w:val="Textoindependiente"/>
        <w:jc w:val="both"/>
        <w:rPr>
          <w:lang w:val="en-GB"/>
        </w:rPr>
      </w:pPr>
    </w:p>
    <w:p w:rsidR="004058C5" w:rsidRDefault="004058C5" w:rsidP="001A0A7E">
      <w:pPr>
        <w:pStyle w:val="Textoindependiente"/>
        <w:jc w:val="both"/>
        <w:rPr>
          <w:lang w:val="en-GB"/>
        </w:rPr>
      </w:pPr>
    </w:p>
    <w:p w:rsidR="004058C5" w:rsidRDefault="004058C5" w:rsidP="001A0A7E">
      <w:pPr>
        <w:pStyle w:val="Textoindependiente"/>
        <w:jc w:val="both"/>
        <w:rPr>
          <w:lang w:val="en-GB"/>
        </w:rPr>
      </w:pPr>
    </w:p>
    <w:p w:rsidR="004058C5" w:rsidRDefault="004058C5" w:rsidP="001A0A7E">
      <w:pPr>
        <w:pStyle w:val="Textoindependiente"/>
        <w:jc w:val="both"/>
        <w:rPr>
          <w:lang w:val="en-GB"/>
        </w:rPr>
      </w:pPr>
    </w:p>
    <w:p w:rsidR="00A836DF" w:rsidRDefault="00A836DF" w:rsidP="001A0A7E">
      <w:pPr>
        <w:pStyle w:val="Textoindependiente"/>
        <w:jc w:val="both"/>
        <w:rPr>
          <w:lang w:val="en-GB"/>
        </w:rPr>
      </w:pPr>
    </w:p>
    <w:p w:rsidR="00A836DF" w:rsidRDefault="00A836DF" w:rsidP="001A0A7E">
      <w:pPr>
        <w:pStyle w:val="Textoindependiente"/>
        <w:jc w:val="both"/>
        <w:rPr>
          <w:lang w:val="en-GB"/>
        </w:rPr>
      </w:pPr>
    </w:p>
    <w:p w:rsidR="004058C5" w:rsidRDefault="004058C5" w:rsidP="001A0A7E">
      <w:pPr>
        <w:pStyle w:val="Textoindependiente"/>
        <w:jc w:val="both"/>
        <w:rPr>
          <w:lang w:val="en-GB"/>
        </w:rPr>
      </w:pPr>
    </w:p>
    <w:p w:rsidR="004058C5" w:rsidRDefault="004058C5" w:rsidP="001A0A7E">
      <w:pPr>
        <w:pStyle w:val="Textoindependiente"/>
        <w:jc w:val="both"/>
        <w:rPr>
          <w:lang w:val="en-GB"/>
        </w:rPr>
      </w:pPr>
    </w:p>
    <w:p w:rsidR="004058C5" w:rsidRDefault="004058C5" w:rsidP="001A0A7E">
      <w:pPr>
        <w:pStyle w:val="Textoindependiente"/>
        <w:jc w:val="both"/>
        <w:rPr>
          <w:lang w:val="en-GB"/>
        </w:rPr>
      </w:pPr>
    </w:p>
    <w:p w:rsidR="004058C5" w:rsidRDefault="004058C5" w:rsidP="001A0A7E">
      <w:pPr>
        <w:pStyle w:val="Textoindependiente"/>
        <w:jc w:val="both"/>
        <w:rPr>
          <w:lang w:val="en-GB"/>
        </w:rPr>
      </w:pPr>
    </w:p>
    <w:p w:rsidR="004058C5" w:rsidRDefault="004058C5" w:rsidP="001A0A7E">
      <w:pPr>
        <w:pStyle w:val="Textoindependiente"/>
        <w:jc w:val="both"/>
        <w:rPr>
          <w:lang w:val="en-GB"/>
        </w:rPr>
      </w:pPr>
    </w:p>
    <w:p w:rsidR="004058C5" w:rsidRDefault="004058C5" w:rsidP="001A0A7E">
      <w:pPr>
        <w:pStyle w:val="Textoindependiente"/>
        <w:jc w:val="both"/>
        <w:rPr>
          <w:lang w:val="en-GB"/>
        </w:rPr>
      </w:pPr>
    </w:p>
    <w:p w:rsidR="004058C5" w:rsidRPr="00247126" w:rsidRDefault="004058C5" w:rsidP="004058C5">
      <w:pPr>
        <w:pStyle w:val="Ttulo2"/>
        <w:contextualSpacing/>
        <w:rPr>
          <w:rFonts w:ascii="Times New Roman" w:hAnsi="Times New Roman" w:cs="Times New Roman"/>
          <w:sz w:val="20"/>
          <w:szCs w:val="20"/>
          <w:lang w:val="en-GB"/>
        </w:rPr>
      </w:pPr>
      <w:r w:rsidRPr="00247126">
        <w:rPr>
          <w:rFonts w:ascii="Times New Roman" w:hAnsi="Times New Roman" w:cs="Times New Roman"/>
          <w:sz w:val="20"/>
          <w:szCs w:val="20"/>
          <w:lang w:val="en-GB"/>
        </w:rPr>
        <w:lastRenderedPageBreak/>
        <w:t xml:space="preserve">Annex: </w:t>
      </w:r>
      <w:proofErr w:type="spellStart"/>
      <w:r w:rsidRPr="00247126">
        <w:rPr>
          <w:rFonts w:ascii="Times New Roman" w:hAnsi="Times New Roman" w:cs="Times New Roman"/>
          <w:sz w:val="20"/>
          <w:szCs w:val="20"/>
          <w:lang w:val="en-GB"/>
        </w:rPr>
        <w:t>Sectoral</w:t>
      </w:r>
      <w:proofErr w:type="spellEnd"/>
      <w:r w:rsidRPr="00247126">
        <w:rPr>
          <w:rFonts w:ascii="Times New Roman" w:hAnsi="Times New Roman" w:cs="Times New Roman"/>
          <w:sz w:val="20"/>
          <w:szCs w:val="20"/>
          <w:lang w:val="en-GB"/>
        </w:rPr>
        <w:t xml:space="preserve"> Disaggregation for the Symmetric Spanish Input-output Table. 2007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2"/>
        <w:gridCol w:w="2410"/>
      </w:tblGrid>
      <w:tr w:rsidR="004058C5" w:rsidRPr="00247126" w:rsidTr="00267145">
        <w:tc>
          <w:tcPr>
            <w:tcW w:w="6062" w:type="dxa"/>
          </w:tcPr>
          <w:p w:rsidR="004058C5" w:rsidRPr="00247126" w:rsidRDefault="004058C5" w:rsidP="00267145">
            <w:pPr>
              <w:spacing w:line="240" w:lineRule="auto"/>
              <w:contextualSpacing/>
              <w:jc w:val="center"/>
              <w:rPr>
                <w:rFonts w:ascii="Times New Roman" w:hAnsi="Times New Roman" w:cs="Times New Roman"/>
                <w:b/>
                <w:bCs/>
                <w:sz w:val="20"/>
                <w:szCs w:val="20"/>
              </w:rPr>
            </w:pPr>
            <w:proofErr w:type="spellStart"/>
            <w:r w:rsidRPr="00247126">
              <w:rPr>
                <w:rFonts w:ascii="Times New Roman" w:hAnsi="Times New Roman" w:cs="Times New Roman"/>
                <w:b/>
                <w:bCs/>
                <w:sz w:val="20"/>
                <w:szCs w:val="20"/>
              </w:rPr>
              <w:t>Sectos</w:t>
            </w:r>
            <w:proofErr w:type="spellEnd"/>
          </w:p>
        </w:tc>
        <w:tc>
          <w:tcPr>
            <w:tcW w:w="2410" w:type="dxa"/>
          </w:tcPr>
          <w:p w:rsidR="004058C5" w:rsidRPr="00247126" w:rsidRDefault="004058C5" w:rsidP="00267145">
            <w:pPr>
              <w:spacing w:line="240" w:lineRule="auto"/>
              <w:contextualSpacing/>
              <w:jc w:val="center"/>
              <w:rPr>
                <w:rFonts w:ascii="Times New Roman" w:hAnsi="Times New Roman" w:cs="Times New Roman"/>
                <w:b/>
                <w:bCs/>
                <w:sz w:val="20"/>
                <w:szCs w:val="20"/>
              </w:rPr>
            </w:pPr>
            <w:r w:rsidRPr="00247126">
              <w:rPr>
                <w:rFonts w:ascii="Times New Roman" w:hAnsi="Times New Roman" w:cs="Times New Roman"/>
                <w:b/>
                <w:bCs/>
                <w:sz w:val="20"/>
                <w:szCs w:val="20"/>
              </w:rPr>
              <w:t>CPA-2008</w:t>
            </w:r>
          </w:p>
          <w:p w:rsidR="004058C5" w:rsidRPr="00247126" w:rsidRDefault="004058C5" w:rsidP="00267145">
            <w:pPr>
              <w:spacing w:line="240" w:lineRule="auto"/>
              <w:contextualSpacing/>
              <w:jc w:val="center"/>
              <w:rPr>
                <w:rFonts w:ascii="Times New Roman" w:hAnsi="Times New Roman" w:cs="Times New Roman"/>
                <w:b/>
                <w:bCs/>
                <w:sz w:val="20"/>
                <w:szCs w:val="20"/>
              </w:rPr>
            </w:pPr>
            <w:proofErr w:type="spellStart"/>
            <w:r w:rsidRPr="00247126">
              <w:rPr>
                <w:rFonts w:ascii="Times New Roman" w:hAnsi="Times New Roman" w:cs="Times New Roman"/>
                <w:b/>
                <w:bCs/>
                <w:sz w:val="20"/>
                <w:szCs w:val="20"/>
              </w:rPr>
              <w:t>Classification</w:t>
            </w:r>
            <w:proofErr w:type="spellEnd"/>
          </w:p>
        </w:tc>
      </w:tr>
      <w:tr w:rsidR="004058C5" w:rsidRPr="00247126" w:rsidTr="00267145">
        <w:tc>
          <w:tcPr>
            <w:tcW w:w="6062" w:type="dxa"/>
            <w:vAlign w:val="bottom"/>
          </w:tcPr>
          <w:p w:rsidR="004058C5" w:rsidRPr="00247126" w:rsidRDefault="004058C5" w:rsidP="00267145">
            <w:pPr>
              <w:spacing w:line="240" w:lineRule="auto"/>
              <w:contextualSpacing/>
              <w:rPr>
                <w:rFonts w:ascii="Times New Roman" w:hAnsi="Times New Roman" w:cs="Times New Roman"/>
                <w:b/>
                <w:bCs/>
                <w:color w:val="000000"/>
                <w:sz w:val="20"/>
                <w:szCs w:val="20"/>
              </w:rPr>
            </w:pPr>
            <w:r w:rsidRPr="00247126">
              <w:rPr>
                <w:rFonts w:ascii="Times New Roman" w:hAnsi="Times New Roman" w:cs="Times New Roman"/>
                <w:b/>
                <w:bCs/>
                <w:color w:val="000000"/>
                <w:sz w:val="20"/>
                <w:szCs w:val="20"/>
              </w:rPr>
              <w:t xml:space="preserve">01_Agriculture and </w:t>
            </w:r>
            <w:proofErr w:type="spellStart"/>
            <w:r w:rsidRPr="00247126">
              <w:rPr>
                <w:rFonts w:ascii="Times New Roman" w:hAnsi="Times New Roman" w:cs="Times New Roman"/>
                <w:b/>
                <w:bCs/>
                <w:color w:val="000000"/>
                <w:sz w:val="20"/>
                <w:szCs w:val="20"/>
              </w:rPr>
              <w:t>hunting</w:t>
            </w:r>
            <w:proofErr w:type="spellEnd"/>
            <w:r w:rsidRPr="00247126">
              <w:rPr>
                <w:rFonts w:ascii="Times New Roman" w:hAnsi="Times New Roman" w:cs="Times New Roman"/>
                <w:b/>
                <w:bCs/>
                <w:color w:val="000000"/>
                <w:sz w:val="20"/>
                <w:szCs w:val="20"/>
              </w:rPr>
              <w:t xml:space="preserve"> </w:t>
            </w:r>
          </w:p>
        </w:tc>
        <w:tc>
          <w:tcPr>
            <w:tcW w:w="2410" w:type="dxa"/>
            <w:vAlign w:val="bottom"/>
          </w:tcPr>
          <w:p w:rsidR="004058C5" w:rsidRPr="00247126" w:rsidRDefault="004058C5" w:rsidP="00267145">
            <w:pPr>
              <w:spacing w:line="240" w:lineRule="auto"/>
              <w:contextualSpacing/>
              <w:rPr>
                <w:rFonts w:ascii="Times New Roman" w:hAnsi="Times New Roman" w:cs="Times New Roman"/>
                <w:sz w:val="20"/>
                <w:szCs w:val="20"/>
              </w:rPr>
            </w:pPr>
            <w:r w:rsidRPr="00247126">
              <w:rPr>
                <w:rFonts w:ascii="Times New Roman" w:hAnsi="Times New Roman" w:cs="Times New Roman"/>
                <w:sz w:val="20"/>
                <w:szCs w:val="20"/>
              </w:rPr>
              <w:t>CPA_A01</w:t>
            </w:r>
          </w:p>
        </w:tc>
      </w:tr>
      <w:tr w:rsidR="004058C5" w:rsidRPr="00247126" w:rsidTr="00267145">
        <w:tc>
          <w:tcPr>
            <w:tcW w:w="6062" w:type="dxa"/>
            <w:vAlign w:val="bottom"/>
          </w:tcPr>
          <w:p w:rsidR="004058C5" w:rsidRPr="00247126" w:rsidRDefault="004058C5" w:rsidP="00267145">
            <w:pPr>
              <w:spacing w:line="240" w:lineRule="auto"/>
              <w:contextualSpacing/>
              <w:rPr>
                <w:rFonts w:ascii="Times New Roman" w:hAnsi="Times New Roman" w:cs="Times New Roman"/>
                <w:b/>
                <w:bCs/>
                <w:color w:val="000000"/>
                <w:sz w:val="20"/>
                <w:szCs w:val="20"/>
              </w:rPr>
            </w:pPr>
            <w:r w:rsidRPr="00247126">
              <w:rPr>
                <w:rFonts w:ascii="Times New Roman" w:hAnsi="Times New Roman" w:cs="Times New Roman"/>
                <w:b/>
                <w:bCs/>
                <w:color w:val="000000"/>
                <w:sz w:val="20"/>
                <w:szCs w:val="20"/>
              </w:rPr>
              <w:t>02_Forestry</w:t>
            </w:r>
          </w:p>
        </w:tc>
        <w:tc>
          <w:tcPr>
            <w:tcW w:w="2410" w:type="dxa"/>
            <w:vAlign w:val="bottom"/>
          </w:tcPr>
          <w:p w:rsidR="004058C5" w:rsidRPr="00247126" w:rsidRDefault="004058C5" w:rsidP="00267145">
            <w:pPr>
              <w:spacing w:line="240" w:lineRule="auto"/>
              <w:contextualSpacing/>
              <w:rPr>
                <w:rFonts w:ascii="Times New Roman" w:hAnsi="Times New Roman" w:cs="Times New Roman"/>
                <w:sz w:val="20"/>
                <w:szCs w:val="20"/>
              </w:rPr>
            </w:pPr>
            <w:r w:rsidRPr="00247126">
              <w:rPr>
                <w:rFonts w:ascii="Times New Roman" w:hAnsi="Times New Roman" w:cs="Times New Roman"/>
                <w:sz w:val="20"/>
                <w:szCs w:val="20"/>
              </w:rPr>
              <w:t>CPA_A02</w:t>
            </w:r>
          </w:p>
        </w:tc>
      </w:tr>
      <w:tr w:rsidR="004058C5" w:rsidRPr="00247126" w:rsidTr="00267145">
        <w:tc>
          <w:tcPr>
            <w:tcW w:w="6062" w:type="dxa"/>
            <w:vAlign w:val="bottom"/>
          </w:tcPr>
          <w:p w:rsidR="004058C5" w:rsidRPr="00247126" w:rsidRDefault="004058C5" w:rsidP="00267145">
            <w:pPr>
              <w:spacing w:line="240" w:lineRule="auto"/>
              <w:contextualSpacing/>
              <w:rPr>
                <w:rFonts w:ascii="Times New Roman" w:hAnsi="Times New Roman" w:cs="Times New Roman"/>
                <w:b/>
                <w:bCs/>
                <w:color w:val="000000"/>
                <w:sz w:val="20"/>
                <w:szCs w:val="20"/>
              </w:rPr>
            </w:pPr>
            <w:r w:rsidRPr="00247126">
              <w:rPr>
                <w:rFonts w:ascii="Times New Roman" w:hAnsi="Times New Roman" w:cs="Times New Roman"/>
                <w:b/>
                <w:bCs/>
                <w:color w:val="000000"/>
                <w:sz w:val="20"/>
                <w:szCs w:val="20"/>
              </w:rPr>
              <w:t xml:space="preserve">03_Fishing and </w:t>
            </w:r>
            <w:proofErr w:type="spellStart"/>
            <w:r w:rsidRPr="00247126">
              <w:rPr>
                <w:rFonts w:ascii="Times New Roman" w:hAnsi="Times New Roman" w:cs="Times New Roman"/>
                <w:b/>
                <w:bCs/>
                <w:color w:val="000000"/>
                <w:sz w:val="20"/>
                <w:szCs w:val="20"/>
              </w:rPr>
              <w:t>aquaculture</w:t>
            </w:r>
            <w:proofErr w:type="spellEnd"/>
          </w:p>
        </w:tc>
        <w:tc>
          <w:tcPr>
            <w:tcW w:w="2410" w:type="dxa"/>
            <w:vAlign w:val="bottom"/>
          </w:tcPr>
          <w:p w:rsidR="004058C5" w:rsidRPr="00247126" w:rsidRDefault="004058C5" w:rsidP="00267145">
            <w:pPr>
              <w:spacing w:line="240" w:lineRule="auto"/>
              <w:contextualSpacing/>
              <w:rPr>
                <w:rFonts w:ascii="Times New Roman" w:hAnsi="Times New Roman" w:cs="Times New Roman"/>
                <w:sz w:val="20"/>
                <w:szCs w:val="20"/>
              </w:rPr>
            </w:pPr>
            <w:r w:rsidRPr="00247126">
              <w:rPr>
                <w:rFonts w:ascii="Times New Roman" w:hAnsi="Times New Roman" w:cs="Times New Roman"/>
                <w:sz w:val="20"/>
                <w:szCs w:val="20"/>
              </w:rPr>
              <w:t>CPA_A03</w:t>
            </w:r>
          </w:p>
        </w:tc>
      </w:tr>
      <w:tr w:rsidR="004058C5" w:rsidRPr="00247126" w:rsidTr="00267145">
        <w:tc>
          <w:tcPr>
            <w:tcW w:w="6062" w:type="dxa"/>
            <w:vAlign w:val="bottom"/>
          </w:tcPr>
          <w:p w:rsidR="004058C5" w:rsidRPr="00247126" w:rsidRDefault="004058C5" w:rsidP="00267145">
            <w:pPr>
              <w:spacing w:line="240" w:lineRule="auto"/>
              <w:contextualSpacing/>
              <w:rPr>
                <w:rFonts w:ascii="Times New Roman" w:hAnsi="Times New Roman" w:cs="Times New Roman"/>
                <w:b/>
                <w:bCs/>
                <w:color w:val="000000"/>
                <w:sz w:val="20"/>
                <w:szCs w:val="20"/>
              </w:rPr>
            </w:pPr>
            <w:r w:rsidRPr="00247126">
              <w:rPr>
                <w:rFonts w:ascii="Times New Roman" w:hAnsi="Times New Roman" w:cs="Times New Roman"/>
                <w:b/>
                <w:bCs/>
                <w:color w:val="000000"/>
                <w:sz w:val="20"/>
                <w:szCs w:val="20"/>
              </w:rPr>
              <w:t xml:space="preserve">04_Mining and </w:t>
            </w:r>
            <w:proofErr w:type="spellStart"/>
            <w:r w:rsidRPr="00247126">
              <w:rPr>
                <w:rFonts w:ascii="Times New Roman" w:hAnsi="Times New Roman" w:cs="Times New Roman"/>
                <w:b/>
                <w:bCs/>
                <w:color w:val="000000"/>
                <w:sz w:val="20"/>
                <w:szCs w:val="20"/>
              </w:rPr>
              <w:t>quarrying</w:t>
            </w:r>
            <w:proofErr w:type="spellEnd"/>
          </w:p>
        </w:tc>
        <w:tc>
          <w:tcPr>
            <w:tcW w:w="2410" w:type="dxa"/>
            <w:vAlign w:val="bottom"/>
          </w:tcPr>
          <w:p w:rsidR="004058C5" w:rsidRPr="00247126" w:rsidRDefault="004058C5" w:rsidP="00267145">
            <w:pPr>
              <w:spacing w:line="240" w:lineRule="auto"/>
              <w:contextualSpacing/>
              <w:rPr>
                <w:rFonts w:ascii="Times New Roman" w:hAnsi="Times New Roman" w:cs="Times New Roman"/>
                <w:sz w:val="20"/>
                <w:szCs w:val="20"/>
              </w:rPr>
            </w:pPr>
            <w:r w:rsidRPr="00247126">
              <w:rPr>
                <w:rFonts w:ascii="Times New Roman" w:hAnsi="Times New Roman" w:cs="Times New Roman"/>
                <w:sz w:val="20"/>
                <w:szCs w:val="20"/>
              </w:rPr>
              <w:t>CPA_B</w:t>
            </w:r>
          </w:p>
        </w:tc>
      </w:tr>
      <w:tr w:rsidR="004058C5" w:rsidRPr="00247126" w:rsidTr="00267145">
        <w:tc>
          <w:tcPr>
            <w:tcW w:w="6062" w:type="dxa"/>
            <w:vAlign w:val="bottom"/>
          </w:tcPr>
          <w:p w:rsidR="004058C5" w:rsidRPr="00247126" w:rsidRDefault="004058C5" w:rsidP="00267145">
            <w:pPr>
              <w:spacing w:line="240" w:lineRule="auto"/>
              <w:contextualSpacing/>
              <w:rPr>
                <w:rFonts w:ascii="Times New Roman" w:hAnsi="Times New Roman" w:cs="Times New Roman"/>
                <w:b/>
                <w:bCs/>
                <w:color w:val="000000"/>
                <w:sz w:val="20"/>
                <w:szCs w:val="20"/>
                <w:lang w:val="en-US"/>
              </w:rPr>
            </w:pPr>
            <w:r w:rsidRPr="00247126">
              <w:rPr>
                <w:rFonts w:ascii="Times New Roman" w:hAnsi="Times New Roman" w:cs="Times New Roman"/>
                <w:b/>
                <w:bCs/>
                <w:color w:val="000000"/>
                <w:sz w:val="20"/>
                <w:szCs w:val="20"/>
                <w:lang w:val="en-GB"/>
              </w:rPr>
              <w:t>05_Coke, refined petroleum and nuclear products</w:t>
            </w:r>
          </w:p>
        </w:tc>
        <w:tc>
          <w:tcPr>
            <w:tcW w:w="2410" w:type="dxa"/>
            <w:vAlign w:val="bottom"/>
          </w:tcPr>
          <w:p w:rsidR="004058C5" w:rsidRPr="00247126" w:rsidRDefault="004058C5" w:rsidP="00267145">
            <w:pPr>
              <w:spacing w:line="240" w:lineRule="auto"/>
              <w:contextualSpacing/>
              <w:rPr>
                <w:rFonts w:ascii="Times New Roman" w:hAnsi="Times New Roman" w:cs="Times New Roman"/>
                <w:sz w:val="20"/>
                <w:szCs w:val="20"/>
              </w:rPr>
            </w:pPr>
            <w:r w:rsidRPr="00247126">
              <w:rPr>
                <w:rFonts w:ascii="Times New Roman" w:hAnsi="Times New Roman" w:cs="Times New Roman"/>
                <w:sz w:val="20"/>
                <w:szCs w:val="20"/>
              </w:rPr>
              <w:t>CPA_C19</w:t>
            </w:r>
          </w:p>
        </w:tc>
      </w:tr>
      <w:tr w:rsidR="004058C5" w:rsidRPr="00247126" w:rsidTr="00267145">
        <w:tc>
          <w:tcPr>
            <w:tcW w:w="6062" w:type="dxa"/>
            <w:vAlign w:val="bottom"/>
          </w:tcPr>
          <w:p w:rsidR="004058C5" w:rsidRPr="00247126" w:rsidRDefault="004058C5" w:rsidP="00267145">
            <w:pPr>
              <w:spacing w:line="240" w:lineRule="auto"/>
              <w:contextualSpacing/>
              <w:rPr>
                <w:rFonts w:ascii="Times New Roman" w:hAnsi="Times New Roman" w:cs="Times New Roman"/>
                <w:b/>
                <w:bCs/>
                <w:color w:val="000000"/>
                <w:sz w:val="20"/>
                <w:szCs w:val="20"/>
                <w:lang w:val="en-US"/>
              </w:rPr>
            </w:pPr>
            <w:r w:rsidRPr="00247126">
              <w:rPr>
                <w:rFonts w:ascii="Times New Roman" w:hAnsi="Times New Roman" w:cs="Times New Roman"/>
                <w:b/>
                <w:bCs/>
                <w:color w:val="000000"/>
                <w:sz w:val="20"/>
                <w:szCs w:val="20"/>
                <w:lang w:val="en-US"/>
              </w:rPr>
              <w:t>06_Production and Distribution of Electricity</w:t>
            </w:r>
          </w:p>
        </w:tc>
        <w:tc>
          <w:tcPr>
            <w:tcW w:w="2410" w:type="dxa"/>
            <w:vAlign w:val="bottom"/>
          </w:tcPr>
          <w:p w:rsidR="004058C5" w:rsidRPr="00247126" w:rsidRDefault="004058C5" w:rsidP="00267145">
            <w:pPr>
              <w:spacing w:line="240" w:lineRule="auto"/>
              <w:contextualSpacing/>
              <w:rPr>
                <w:rFonts w:ascii="Times New Roman" w:hAnsi="Times New Roman" w:cs="Times New Roman"/>
                <w:sz w:val="20"/>
                <w:szCs w:val="20"/>
              </w:rPr>
            </w:pPr>
            <w:r w:rsidRPr="00247126">
              <w:rPr>
                <w:rFonts w:ascii="Times New Roman" w:hAnsi="Times New Roman" w:cs="Times New Roman"/>
                <w:sz w:val="20"/>
                <w:szCs w:val="20"/>
              </w:rPr>
              <w:t>CPA_D35</w:t>
            </w:r>
          </w:p>
        </w:tc>
      </w:tr>
      <w:tr w:rsidR="004058C5" w:rsidRPr="00247126" w:rsidTr="00267145">
        <w:tc>
          <w:tcPr>
            <w:tcW w:w="6062" w:type="dxa"/>
            <w:vAlign w:val="bottom"/>
          </w:tcPr>
          <w:p w:rsidR="004058C5" w:rsidRPr="00247126" w:rsidRDefault="004058C5" w:rsidP="00267145">
            <w:pPr>
              <w:spacing w:line="240" w:lineRule="auto"/>
              <w:contextualSpacing/>
              <w:rPr>
                <w:rFonts w:ascii="Times New Roman" w:hAnsi="Times New Roman" w:cs="Times New Roman"/>
                <w:b/>
                <w:bCs/>
                <w:color w:val="000000"/>
                <w:sz w:val="20"/>
                <w:szCs w:val="20"/>
                <w:lang w:val="en-US"/>
              </w:rPr>
            </w:pPr>
            <w:r w:rsidRPr="00247126">
              <w:rPr>
                <w:rFonts w:ascii="Times New Roman" w:hAnsi="Times New Roman" w:cs="Times New Roman"/>
                <w:b/>
                <w:bCs/>
                <w:color w:val="000000"/>
                <w:sz w:val="20"/>
                <w:szCs w:val="20"/>
                <w:lang w:val="en-US"/>
              </w:rPr>
              <w:t>07_Production and Distribution of Gas</w:t>
            </w:r>
          </w:p>
        </w:tc>
        <w:tc>
          <w:tcPr>
            <w:tcW w:w="2410" w:type="dxa"/>
            <w:vAlign w:val="bottom"/>
          </w:tcPr>
          <w:p w:rsidR="004058C5" w:rsidRPr="00247126" w:rsidRDefault="004058C5" w:rsidP="00267145">
            <w:pPr>
              <w:spacing w:line="240" w:lineRule="auto"/>
              <w:contextualSpacing/>
              <w:rPr>
                <w:rFonts w:ascii="Times New Roman" w:hAnsi="Times New Roman" w:cs="Times New Roman"/>
                <w:sz w:val="20"/>
                <w:szCs w:val="20"/>
              </w:rPr>
            </w:pPr>
            <w:r w:rsidRPr="00247126">
              <w:rPr>
                <w:rFonts w:ascii="Times New Roman" w:hAnsi="Times New Roman" w:cs="Times New Roman"/>
                <w:sz w:val="20"/>
                <w:szCs w:val="20"/>
              </w:rPr>
              <w:t>CPA_D35</w:t>
            </w:r>
          </w:p>
        </w:tc>
      </w:tr>
      <w:tr w:rsidR="004058C5" w:rsidRPr="00247126" w:rsidTr="00267145">
        <w:tc>
          <w:tcPr>
            <w:tcW w:w="6062" w:type="dxa"/>
            <w:vAlign w:val="bottom"/>
          </w:tcPr>
          <w:p w:rsidR="004058C5" w:rsidRPr="00247126" w:rsidRDefault="004058C5" w:rsidP="00267145">
            <w:pPr>
              <w:spacing w:line="240" w:lineRule="auto"/>
              <w:contextualSpacing/>
              <w:rPr>
                <w:rFonts w:ascii="Times New Roman" w:hAnsi="Times New Roman" w:cs="Times New Roman"/>
                <w:b/>
                <w:bCs/>
                <w:color w:val="000000"/>
                <w:sz w:val="20"/>
                <w:szCs w:val="20"/>
              </w:rPr>
            </w:pPr>
            <w:r w:rsidRPr="00247126">
              <w:rPr>
                <w:rFonts w:ascii="Times New Roman" w:hAnsi="Times New Roman" w:cs="Times New Roman"/>
                <w:b/>
                <w:bCs/>
                <w:color w:val="000000"/>
                <w:sz w:val="20"/>
                <w:szCs w:val="20"/>
              </w:rPr>
              <w:t>08_Water Sector</w:t>
            </w:r>
          </w:p>
        </w:tc>
        <w:tc>
          <w:tcPr>
            <w:tcW w:w="2410" w:type="dxa"/>
            <w:vAlign w:val="bottom"/>
          </w:tcPr>
          <w:p w:rsidR="004058C5" w:rsidRPr="00247126" w:rsidRDefault="004058C5" w:rsidP="00267145">
            <w:pPr>
              <w:spacing w:line="240" w:lineRule="auto"/>
              <w:contextualSpacing/>
              <w:rPr>
                <w:rFonts w:ascii="Times New Roman" w:hAnsi="Times New Roman" w:cs="Times New Roman"/>
                <w:sz w:val="20"/>
                <w:szCs w:val="20"/>
              </w:rPr>
            </w:pPr>
            <w:r w:rsidRPr="00247126">
              <w:rPr>
                <w:rFonts w:ascii="Times New Roman" w:hAnsi="Times New Roman" w:cs="Times New Roman"/>
                <w:sz w:val="20"/>
                <w:szCs w:val="20"/>
              </w:rPr>
              <w:t>CPA_E36</w:t>
            </w:r>
          </w:p>
        </w:tc>
      </w:tr>
      <w:tr w:rsidR="004058C5" w:rsidRPr="00247126" w:rsidTr="00267145">
        <w:tc>
          <w:tcPr>
            <w:tcW w:w="6062" w:type="dxa"/>
            <w:vAlign w:val="bottom"/>
          </w:tcPr>
          <w:p w:rsidR="004058C5" w:rsidRPr="00247126" w:rsidRDefault="004058C5" w:rsidP="00267145">
            <w:pPr>
              <w:spacing w:line="240" w:lineRule="auto"/>
              <w:contextualSpacing/>
              <w:rPr>
                <w:rFonts w:ascii="Times New Roman" w:hAnsi="Times New Roman" w:cs="Times New Roman"/>
                <w:b/>
                <w:bCs/>
                <w:color w:val="000000"/>
                <w:sz w:val="20"/>
                <w:szCs w:val="20"/>
                <w:lang w:val="en-US"/>
              </w:rPr>
            </w:pPr>
            <w:r w:rsidRPr="00247126">
              <w:rPr>
                <w:rFonts w:ascii="Times New Roman" w:hAnsi="Times New Roman" w:cs="Times New Roman"/>
                <w:b/>
                <w:bCs/>
                <w:color w:val="000000"/>
                <w:sz w:val="20"/>
                <w:szCs w:val="20"/>
                <w:lang w:val="en-GB"/>
              </w:rPr>
              <w:t>09_Food products, beverages and tobacco Products</w:t>
            </w:r>
          </w:p>
        </w:tc>
        <w:tc>
          <w:tcPr>
            <w:tcW w:w="2410" w:type="dxa"/>
            <w:vAlign w:val="bottom"/>
          </w:tcPr>
          <w:p w:rsidR="004058C5" w:rsidRPr="00247126" w:rsidRDefault="004058C5" w:rsidP="00267145">
            <w:pPr>
              <w:spacing w:line="240" w:lineRule="auto"/>
              <w:contextualSpacing/>
              <w:rPr>
                <w:rFonts w:ascii="Times New Roman" w:hAnsi="Times New Roman" w:cs="Times New Roman"/>
                <w:sz w:val="20"/>
                <w:szCs w:val="20"/>
              </w:rPr>
            </w:pPr>
            <w:r w:rsidRPr="00247126">
              <w:rPr>
                <w:rFonts w:ascii="Times New Roman" w:hAnsi="Times New Roman" w:cs="Times New Roman"/>
                <w:sz w:val="20"/>
                <w:szCs w:val="20"/>
              </w:rPr>
              <w:t>CPA_C10-C12</w:t>
            </w:r>
          </w:p>
        </w:tc>
      </w:tr>
      <w:tr w:rsidR="004058C5" w:rsidRPr="00247126" w:rsidTr="00267145">
        <w:tc>
          <w:tcPr>
            <w:tcW w:w="6062" w:type="dxa"/>
            <w:vAlign w:val="bottom"/>
          </w:tcPr>
          <w:p w:rsidR="004058C5" w:rsidRPr="00247126" w:rsidRDefault="004058C5" w:rsidP="00267145">
            <w:pPr>
              <w:spacing w:line="240" w:lineRule="auto"/>
              <w:contextualSpacing/>
              <w:rPr>
                <w:rFonts w:ascii="Times New Roman" w:hAnsi="Times New Roman" w:cs="Times New Roman"/>
                <w:b/>
                <w:bCs/>
                <w:color w:val="000000"/>
                <w:sz w:val="20"/>
                <w:szCs w:val="20"/>
                <w:lang w:val="en-US"/>
              </w:rPr>
            </w:pPr>
            <w:r w:rsidRPr="00247126">
              <w:rPr>
                <w:rFonts w:ascii="Times New Roman" w:hAnsi="Times New Roman" w:cs="Times New Roman"/>
                <w:b/>
                <w:bCs/>
                <w:color w:val="000000"/>
                <w:sz w:val="20"/>
                <w:szCs w:val="20"/>
                <w:lang w:val="en-GB"/>
              </w:rPr>
              <w:t>10_Textiles, wearing apparel and leather Products</w:t>
            </w:r>
          </w:p>
        </w:tc>
        <w:tc>
          <w:tcPr>
            <w:tcW w:w="2410" w:type="dxa"/>
            <w:vAlign w:val="bottom"/>
          </w:tcPr>
          <w:p w:rsidR="004058C5" w:rsidRPr="00247126" w:rsidRDefault="004058C5" w:rsidP="00267145">
            <w:pPr>
              <w:spacing w:line="240" w:lineRule="auto"/>
              <w:contextualSpacing/>
              <w:rPr>
                <w:rFonts w:ascii="Times New Roman" w:hAnsi="Times New Roman" w:cs="Times New Roman"/>
                <w:sz w:val="20"/>
                <w:szCs w:val="20"/>
              </w:rPr>
            </w:pPr>
            <w:r w:rsidRPr="00247126">
              <w:rPr>
                <w:rFonts w:ascii="Times New Roman" w:hAnsi="Times New Roman" w:cs="Times New Roman"/>
                <w:sz w:val="20"/>
                <w:szCs w:val="20"/>
              </w:rPr>
              <w:t>CPA_C13-C15</w:t>
            </w:r>
          </w:p>
        </w:tc>
      </w:tr>
      <w:tr w:rsidR="004058C5" w:rsidRPr="00247126" w:rsidTr="00267145">
        <w:tc>
          <w:tcPr>
            <w:tcW w:w="6062" w:type="dxa"/>
            <w:vAlign w:val="bottom"/>
          </w:tcPr>
          <w:p w:rsidR="004058C5" w:rsidRPr="00247126" w:rsidRDefault="004058C5" w:rsidP="00267145">
            <w:pPr>
              <w:spacing w:line="240" w:lineRule="auto"/>
              <w:contextualSpacing/>
              <w:rPr>
                <w:rFonts w:ascii="Times New Roman" w:hAnsi="Times New Roman" w:cs="Times New Roman"/>
                <w:b/>
                <w:bCs/>
                <w:color w:val="000000"/>
                <w:sz w:val="20"/>
                <w:szCs w:val="20"/>
              </w:rPr>
            </w:pPr>
            <w:r w:rsidRPr="00247126">
              <w:rPr>
                <w:rFonts w:ascii="Times New Roman" w:hAnsi="Times New Roman" w:cs="Times New Roman"/>
                <w:b/>
                <w:bCs/>
                <w:color w:val="000000"/>
                <w:sz w:val="20"/>
                <w:szCs w:val="20"/>
                <w:lang w:val="en-GB"/>
              </w:rPr>
              <w:t xml:space="preserve">11_Wood and Cork Products </w:t>
            </w:r>
          </w:p>
        </w:tc>
        <w:tc>
          <w:tcPr>
            <w:tcW w:w="2410" w:type="dxa"/>
            <w:vAlign w:val="bottom"/>
          </w:tcPr>
          <w:p w:rsidR="004058C5" w:rsidRPr="00247126" w:rsidRDefault="004058C5" w:rsidP="00267145">
            <w:pPr>
              <w:spacing w:line="240" w:lineRule="auto"/>
              <w:contextualSpacing/>
              <w:rPr>
                <w:rFonts w:ascii="Times New Roman" w:hAnsi="Times New Roman" w:cs="Times New Roman"/>
                <w:sz w:val="20"/>
                <w:szCs w:val="20"/>
              </w:rPr>
            </w:pPr>
            <w:r w:rsidRPr="00247126">
              <w:rPr>
                <w:rFonts w:ascii="Times New Roman" w:hAnsi="Times New Roman" w:cs="Times New Roman"/>
                <w:sz w:val="20"/>
                <w:szCs w:val="20"/>
              </w:rPr>
              <w:t>CPA_C16</w:t>
            </w:r>
          </w:p>
        </w:tc>
      </w:tr>
      <w:tr w:rsidR="004058C5" w:rsidRPr="00247126" w:rsidTr="00267145">
        <w:tc>
          <w:tcPr>
            <w:tcW w:w="6062" w:type="dxa"/>
            <w:vAlign w:val="bottom"/>
          </w:tcPr>
          <w:p w:rsidR="004058C5" w:rsidRPr="00247126" w:rsidRDefault="004058C5" w:rsidP="00267145">
            <w:pPr>
              <w:spacing w:line="240" w:lineRule="auto"/>
              <w:contextualSpacing/>
              <w:rPr>
                <w:rFonts w:ascii="Times New Roman" w:hAnsi="Times New Roman" w:cs="Times New Roman"/>
                <w:b/>
                <w:bCs/>
                <w:color w:val="000000"/>
                <w:sz w:val="20"/>
                <w:szCs w:val="20"/>
              </w:rPr>
            </w:pPr>
            <w:r w:rsidRPr="00247126">
              <w:rPr>
                <w:rFonts w:ascii="Times New Roman" w:hAnsi="Times New Roman" w:cs="Times New Roman"/>
                <w:b/>
                <w:bCs/>
                <w:color w:val="000000"/>
                <w:sz w:val="20"/>
                <w:szCs w:val="20"/>
              </w:rPr>
              <w:t xml:space="preserve">12_Paper and </w:t>
            </w:r>
            <w:proofErr w:type="spellStart"/>
            <w:r w:rsidRPr="00247126">
              <w:rPr>
                <w:rFonts w:ascii="Times New Roman" w:hAnsi="Times New Roman" w:cs="Times New Roman"/>
                <w:b/>
                <w:bCs/>
                <w:color w:val="000000"/>
                <w:sz w:val="20"/>
                <w:szCs w:val="20"/>
              </w:rPr>
              <w:t>paper</w:t>
            </w:r>
            <w:proofErr w:type="spellEnd"/>
            <w:r w:rsidRPr="00247126">
              <w:rPr>
                <w:rFonts w:ascii="Times New Roman" w:hAnsi="Times New Roman" w:cs="Times New Roman"/>
                <w:b/>
                <w:bCs/>
                <w:color w:val="000000"/>
                <w:sz w:val="20"/>
                <w:szCs w:val="20"/>
              </w:rPr>
              <w:t xml:space="preserve"> </w:t>
            </w:r>
            <w:proofErr w:type="spellStart"/>
            <w:r w:rsidRPr="00247126">
              <w:rPr>
                <w:rFonts w:ascii="Times New Roman" w:hAnsi="Times New Roman" w:cs="Times New Roman"/>
                <w:b/>
                <w:bCs/>
                <w:color w:val="000000"/>
                <w:sz w:val="20"/>
                <w:szCs w:val="20"/>
              </w:rPr>
              <w:t>Products</w:t>
            </w:r>
            <w:proofErr w:type="spellEnd"/>
          </w:p>
        </w:tc>
        <w:tc>
          <w:tcPr>
            <w:tcW w:w="2410" w:type="dxa"/>
            <w:vAlign w:val="bottom"/>
          </w:tcPr>
          <w:p w:rsidR="004058C5" w:rsidRPr="00247126" w:rsidRDefault="004058C5" w:rsidP="00267145">
            <w:pPr>
              <w:spacing w:line="240" w:lineRule="auto"/>
              <w:contextualSpacing/>
              <w:rPr>
                <w:rFonts w:ascii="Times New Roman" w:hAnsi="Times New Roman" w:cs="Times New Roman"/>
                <w:sz w:val="20"/>
                <w:szCs w:val="20"/>
              </w:rPr>
            </w:pPr>
            <w:r w:rsidRPr="00247126">
              <w:rPr>
                <w:rFonts w:ascii="Times New Roman" w:hAnsi="Times New Roman" w:cs="Times New Roman"/>
                <w:sz w:val="20"/>
                <w:szCs w:val="20"/>
              </w:rPr>
              <w:t>CPA_C17</w:t>
            </w:r>
          </w:p>
        </w:tc>
      </w:tr>
      <w:tr w:rsidR="004058C5" w:rsidRPr="00247126" w:rsidTr="00267145">
        <w:tc>
          <w:tcPr>
            <w:tcW w:w="6062" w:type="dxa"/>
            <w:vAlign w:val="bottom"/>
          </w:tcPr>
          <w:p w:rsidR="004058C5" w:rsidRPr="00247126" w:rsidRDefault="004058C5" w:rsidP="00267145">
            <w:pPr>
              <w:spacing w:line="240" w:lineRule="auto"/>
              <w:contextualSpacing/>
              <w:rPr>
                <w:rFonts w:ascii="Times New Roman" w:hAnsi="Times New Roman" w:cs="Times New Roman"/>
                <w:b/>
                <w:bCs/>
                <w:color w:val="000000"/>
                <w:sz w:val="20"/>
                <w:szCs w:val="20"/>
              </w:rPr>
            </w:pPr>
            <w:r w:rsidRPr="00247126">
              <w:rPr>
                <w:rFonts w:ascii="Times New Roman" w:hAnsi="Times New Roman" w:cs="Times New Roman"/>
                <w:b/>
                <w:bCs/>
                <w:color w:val="000000"/>
                <w:sz w:val="20"/>
                <w:szCs w:val="20"/>
              </w:rPr>
              <w:t xml:space="preserve">13_Printing and </w:t>
            </w:r>
            <w:proofErr w:type="spellStart"/>
            <w:r w:rsidRPr="00247126">
              <w:rPr>
                <w:rFonts w:ascii="Times New Roman" w:hAnsi="Times New Roman" w:cs="Times New Roman"/>
                <w:b/>
                <w:bCs/>
                <w:color w:val="000000"/>
                <w:sz w:val="20"/>
                <w:szCs w:val="20"/>
              </w:rPr>
              <w:t>recording</w:t>
            </w:r>
            <w:proofErr w:type="spellEnd"/>
            <w:r w:rsidRPr="00247126">
              <w:rPr>
                <w:rFonts w:ascii="Times New Roman" w:hAnsi="Times New Roman" w:cs="Times New Roman"/>
                <w:b/>
                <w:bCs/>
                <w:color w:val="000000"/>
                <w:sz w:val="20"/>
                <w:szCs w:val="20"/>
              </w:rPr>
              <w:t xml:space="preserve"> </w:t>
            </w:r>
            <w:proofErr w:type="spellStart"/>
            <w:r w:rsidRPr="00247126">
              <w:rPr>
                <w:rFonts w:ascii="Times New Roman" w:hAnsi="Times New Roman" w:cs="Times New Roman"/>
                <w:b/>
                <w:bCs/>
                <w:color w:val="000000"/>
                <w:sz w:val="20"/>
                <w:szCs w:val="20"/>
              </w:rPr>
              <w:t>Services</w:t>
            </w:r>
            <w:proofErr w:type="spellEnd"/>
          </w:p>
        </w:tc>
        <w:tc>
          <w:tcPr>
            <w:tcW w:w="2410" w:type="dxa"/>
            <w:vAlign w:val="bottom"/>
          </w:tcPr>
          <w:p w:rsidR="004058C5" w:rsidRPr="00247126" w:rsidRDefault="004058C5" w:rsidP="00267145">
            <w:pPr>
              <w:spacing w:line="240" w:lineRule="auto"/>
              <w:contextualSpacing/>
              <w:rPr>
                <w:rFonts w:ascii="Times New Roman" w:hAnsi="Times New Roman" w:cs="Times New Roman"/>
                <w:sz w:val="20"/>
                <w:szCs w:val="20"/>
              </w:rPr>
            </w:pPr>
            <w:r w:rsidRPr="00247126">
              <w:rPr>
                <w:rFonts w:ascii="Times New Roman" w:hAnsi="Times New Roman" w:cs="Times New Roman"/>
                <w:sz w:val="20"/>
                <w:szCs w:val="20"/>
              </w:rPr>
              <w:t>CPA_C18</w:t>
            </w:r>
          </w:p>
        </w:tc>
      </w:tr>
      <w:tr w:rsidR="004058C5" w:rsidRPr="00247126" w:rsidTr="00267145">
        <w:tc>
          <w:tcPr>
            <w:tcW w:w="6062" w:type="dxa"/>
            <w:vAlign w:val="bottom"/>
          </w:tcPr>
          <w:p w:rsidR="004058C5" w:rsidRPr="00247126" w:rsidRDefault="004058C5" w:rsidP="00267145">
            <w:pPr>
              <w:spacing w:line="240" w:lineRule="auto"/>
              <w:contextualSpacing/>
              <w:rPr>
                <w:rFonts w:ascii="Times New Roman" w:hAnsi="Times New Roman" w:cs="Times New Roman"/>
                <w:b/>
                <w:bCs/>
                <w:color w:val="000000"/>
                <w:sz w:val="20"/>
                <w:szCs w:val="20"/>
              </w:rPr>
            </w:pPr>
            <w:r w:rsidRPr="00247126">
              <w:rPr>
                <w:rFonts w:ascii="Times New Roman" w:hAnsi="Times New Roman" w:cs="Times New Roman"/>
                <w:b/>
                <w:bCs/>
                <w:color w:val="000000"/>
                <w:sz w:val="20"/>
                <w:szCs w:val="20"/>
              </w:rPr>
              <w:t xml:space="preserve">14_Chemicals and </w:t>
            </w:r>
            <w:proofErr w:type="spellStart"/>
            <w:r w:rsidRPr="00247126">
              <w:rPr>
                <w:rFonts w:ascii="Times New Roman" w:hAnsi="Times New Roman" w:cs="Times New Roman"/>
                <w:b/>
                <w:bCs/>
                <w:color w:val="000000"/>
                <w:sz w:val="20"/>
                <w:szCs w:val="20"/>
              </w:rPr>
              <w:t>chemical</w:t>
            </w:r>
            <w:proofErr w:type="spellEnd"/>
            <w:r w:rsidRPr="00247126">
              <w:rPr>
                <w:rFonts w:ascii="Times New Roman" w:hAnsi="Times New Roman" w:cs="Times New Roman"/>
                <w:b/>
                <w:bCs/>
                <w:color w:val="000000"/>
                <w:sz w:val="20"/>
                <w:szCs w:val="20"/>
              </w:rPr>
              <w:t xml:space="preserve"> </w:t>
            </w:r>
            <w:proofErr w:type="spellStart"/>
            <w:r w:rsidRPr="00247126">
              <w:rPr>
                <w:rFonts w:ascii="Times New Roman" w:hAnsi="Times New Roman" w:cs="Times New Roman"/>
                <w:b/>
                <w:bCs/>
                <w:color w:val="000000"/>
                <w:sz w:val="20"/>
                <w:szCs w:val="20"/>
              </w:rPr>
              <w:t>Products</w:t>
            </w:r>
            <w:proofErr w:type="spellEnd"/>
          </w:p>
        </w:tc>
        <w:tc>
          <w:tcPr>
            <w:tcW w:w="2410" w:type="dxa"/>
            <w:vAlign w:val="bottom"/>
          </w:tcPr>
          <w:p w:rsidR="004058C5" w:rsidRPr="00247126" w:rsidRDefault="004058C5" w:rsidP="00267145">
            <w:pPr>
              <w:spacing w:line="240" w:lineRule="auto"/>
              <w:contextualSpacing/>
              <w:rPr>
                <w:rFonts w:ascii="Times New Roman" w:hAnsi="Times New Roman" w:cs="Times New Roman"/>
                <w:sz w:val="20"/>
                <w:szCs w:val="20"/>
              </w:rPr>
            </w:pPr>
            <w:r w:rsidRPr="00247126">
              <w:rPr>
                <w:rFonts w:ascii="Times New Roman" w:hAnsi="Times New Roman" w:cs="Times New Roman"/>
                <w:sz w:val="20"/>
                <w:szCs w:val="20"/>
              </w:rPr>
              <w:t>CPA_C20</w:t>
            </w:r>
          </w:p>
        </w:tc>
      </w:tr>
      <w:tr w:rsidR="004058C5" w:rsidRPr="00247126" w:rsidTr="00267145">
        <w:tc>
          <w:tcPr>
            <w:tcW w:w="6062" w:type="dxa"/>
            <w:vAlign w:val="bottom"/>
          </w:tcPr>
          <w:p w:rsidR="004058C5" w:rsidRPr="00247126" w:rsidRDefault="004058C5" w:rsidP="00267145">
            <w:pPr>
              <w:spacing w:line="240" w:lineRule="auto"/>
              <w:contextualSpacing/>
              <w:rPr>
                <w:rFonts w:ascii="Times New Roman" w:hAnsi="Times New Roman" w:cs="Times New Roman"/>
                <w:b/>
                <w:bCs/>
                <w:color w:val="000000"/>
                <w:sz w:val="20"/>
                <w:szCs w:val="20"/>
              </w:rPr>
            </w:pPr>
            <w:r w:rsidRPr="00247126">
              <w:rPr>
                <w:rFonts w:ascii="Times New Roman" w:hAnsi="Times New Roman" w:cs="Times New Roman"/>
                <w:b/>
                <w:bCs/>
                <w:color w:val="000000"/>
                <w:sz w:val="20"/>
                <w:szCs w:val="20"/>
              </w:rPr>
              <w:t xml:space="preserve">15_Rubber and </w:t>
            </w:r>
            <w:proofErr w:type="spellStart"/>
            <w:r w:rsidRPr="00247126">
              <w:rPr>
                <w:rFonts w:ascii="Times New Roman" w:hAnsi="Times New Roman" w:cs="Times New Roman"/>
                <w:b/>
                <w:bCs/>
                <w:color w:val="000000"/>
                <w:sz w:val="20"/>
                <w:szCs w:val="20"/>
              </w:rPr>
              <w:t>plastics</w:t>
            </w:r>
            <w:proofErr w:type="spellEnd"/>
            <w:r w:rsidRPr="00247126">
              <w:rPr>
                <w:rFonts w:ascii="Times New Roman" w:hAnsi="Times New Roman" w:cs="Times New Roman"/>
                <w:b/>
                <w:bCs/>
                <w:color w:val="000000"/>
                <w:sz w:val="20"/>
                <w:szCs w:val="20"/>
              </w:rPr>
              <w:t xml:space="preserve"> </w:t>
            </w:r>
            <w:proofErr w:type="spellStart"/>
            <w:r w:rsidRPr="00247126">
              <w:rPr>
                <w:rFonts w:ascii="Times New Roman" w:hAnsi="Times New Roman" w:cs="Times New Roman"/>
                <w:b/>
                <w:bCs/>
                <w:color w:val="000000"/>
                <w:sz w:val="20"/>
                <w:szCs w:val="20"/>
              </w:rPr>
              <w:t>Products</w:t>
            </w:r>
            <w:proofErr w:type="spellEnd"/>
          </w:p>
        </w:tc>
        <w:tc>
          <w:tcPr>
            <w:tcW w:w="2410" w:type="dxa"/>
            <w:vAlign w:val="bottom"/>
          </w:tcPr>
          <w:p w:rsidR="004058C5" w:rsidRPr="00247126" w:rsidRDefault="004058C5" w:rsidP="00267145">
            <w:pPr>
              <w:spacing w:line="240" w:lineRule="auto"/>
              <w:contextualSpacing/>
              <w:rPr>
                <w:rFonts w:ascii="Times New Roman" w:hAnsi="Times New Roman" w:cs="Times New Roman"/>
                <w:sz w:val="20"/>
                <w:szCs w:val="20"/>
              </w:rPr>
            </w:pPr>
            <w:r w:rsidRPr="00247126">
              <w:rPr>
                <w:rFonts w:ascii="Times New Roman" w:hAnsi="Times New Roman" w:cs="Times New Roman"/>
                <w:sz w:val="20"/>
                <w:szCs w:val="20"/>
              </w:rPr>
              <w:t>CPA_C22</w:t>
            </w:r>
          </w:p>
        </w:tc>
      </w:tr>
      <w:tr w:rsidR="004058C5" w:rsidRPr="00247126" w:rsidTr="00267145">
        <w:tc>
          <w:tcPr>
            <w:tcW w:w="6062" w:type="dxa"/>
            <w:vAlign w:val="bottom"/>
          </w:tcPr>
          <w:p w:rsidR="004058C5" w:rsidRPr="00247126" w:rsidRDefault="004058C5" w:rsidP="00267145">
            <w:pPr>
              <w:spacing w:line="240" w:lineRule="auto"/>
              <w:contextualSpacing/>
              <w:rPr>
                <w:rFonts w:ascii="Times New Roman" w:hAnsi="Times New Roman" w:cs="Times New Roman"/>
                <w:b/>
                <w:bCs/>
                <w:color w:val="000000"/>
                <w:sz w:val="20"/>
                <w:szCs w:val="20"/>
              </w:rPr>
            </w:pPr>
            <w:r w:rsidRPr="00247126">
              <w:rPr>
                <w:rFonts w:ascii="Times New Roman" w:hAnsi="Times New Roman" w:cs="Times New Roman"/>
                <w:b/>
                <w:bCs/>
                <w:color w:val="000000"/>
                <w:sz w:val="20"/>
                <w:szCs w:val="20"/>
              </w:rPr>
              <w:t xml:space="preserve">16_Non-Metallic Mineral </w:t>
            </w:r>
            <w:proofErr w:type="spellStart"/>
            <w:r w:rsidRPr="00247126">
              <w:rPr>
                <w:rFonts w:ascii="Times New Roman" w:hAnsi="Times New Roman" w:cs="Times New Roman"/>
                <w:b/>
                <w:bCs/>
                <w:color w:val="000000"/>
                <w:sz w:val="20"/>
                <w:szCs w:val="20"/>
              </w:rPr>
              <w:t>Products</w:t>
            </w:r>
            <w:proofErr w:type="spellEnd"/>
          </w:p>
        </w:tc>
        <w:tc>
          <w:tcPr>
            <w:tcW w:w="2410" w:type="dxa"/>
            <w:vAlign w:val="bottom"/>
          </w:tcPr>
          <w:p w:rsidR="004058C5" w:rsidRPr="00247126" w:rsidRDefault="004058C5" w:rsidP="00267145">
            <w:pPr>
              <w:spacing w:line="240" w:lineRule="auto"/>
              <w:contextualSpacing/>
              <w:rPr>
                <w:rFonts w:ascii="Times New Roman" w:hAnsi="Times New Roman" w:cs="Times New Roman"/>
                <w:sz w:val="20"/>
                <w:szCs w:val="20"/>
              </w:rPr>
            </w:pPr>
            <w:r w:rsidRPr="00247126">
              <w:rPr>
                <w:rFonts w:ascii="Times New Roman" w:hAnsi="Times New Roman" w:cs="Times New Roman"/>
                <w:sz w:val="20"/>
                <w:szCs w:val="20"/>
              </w:rPr>
              <w:t>CPA_C23</w:t>
            </w:r>
          </w:p>
        </w:tc>
      </w:tr>
      <w:tr w:rsidR="004058C5" w:rsidRPr="00247126" w:rsidTr="00267145">
        <w:tc>
          <w:tcPr>
            <w:tcW w:w="6062" w:type="dxa"/>
            <w:vAlign w:val="bottom"/>
          </w:tcPr>
          <w:p w:rsidR="004058C5" w:rsidRPr="00247126" w:rsidRDefault="004058C5" w:rsidP="00267145">
            <w:pPr>
              <w:spacing w:line="240" w:lineRule="auto"/>
              <w:contextualSpacing/>
              <w:rPr>
                <w:rFonts w:ascii="Times New Roman" w:hAnsi="Times New Roman" w:cs="Times New Roman"/>
                <w:b/>
                <w:bCs/>
                <w:color w:val="000000"/>
                <w:sz w:val="20"/>
                <w:szCs w:val="20"/>
              </w:rPr>
            </w:pPr>
            <w:r w:rsidRPr="00247126">
              <w:rPr>
                <w:rFonts w:ascii="Times New Roman" w:hAnsi="Times New Roman" w:cs="Times New Roman"/>
                <w:b/>
                <w:bCs/>
                <w:color w:val="000000"/>
                <w:sz w:val="20"/>
                <w:szCs w:val="20"/>
                <w:lang w:val="en-GB"/>
              </w:rPr>
              <w:t>17_Fabricated metal Products</w:t>
            </w:r>
          </w:p>
        </w:tc>
        <w:tc>
          <w:tcPr>
            <w:tcW w:w="2410" w:type="dxa"/>
            <w:vAlign w:val="bottom"/>
          </w:tcPr>
          <w:p w:rsidR="004058C5" w:rsidRPr="00247126" w:rsidRDefault="004058C5" w:rsidP="00267145">
            <w:pPr>
              <w:spacing w:line="240" w:lineRule="auto"/>
              <w:contextualSpacing/>
              <w:rPr>
                <w:rFonts w:ascii="Times New Roman" w:hAnsi="Times New Roman" w:cs="Times New Roman"/>
                <w:sz w:val="20"/>
                <w:szCs w:val="20"/>
              </w:rPr>
            </w:pPr>
            <w:r w:rsidRPr="00247126">
              <w:rPr>
                <w:rFonts w:ascii="Times New Roman" w:hAnsi="Times New Roman" w:cs="Times New Roman"/>
                <w:sz w:val="20"/>
                <w:szCs w:val="20"/>
              </w:rPr>
              <w:t>CPA_C25</w:t>
            </w:r>
          </w:p>
        </w:tc>
      </w:tr>
      <w:tr w:rsidR="004058C5" w:rsidRPr="00247126" w:rsidTr="00267145">
        <w:tc>
          <w:tcPr>
            <w:tcW w:w="6062" w:type="dxa"/>
            <w:vAlign w:val="bottom"/>
          </w:tcPr>
          <w:p w:rsidR="004058C5" w:rsidRPr="00247126" w:rsidRDefault="004058C5" w:rsidP="00267145">
            <w:pPr>
              <w:spacing w:line="240" w:lineRule="auto"/>
              <w:contextualSpacing/>
              <w:rPr>
                <w:rFonts w:ascii="Times New Roman" w:hAnsi="Times New Roman" w:cs="Times New Roman"/>
                <w:b/>
                <w:bCs/>
                <w:color w:val="000000"/>
                <w:sz w:val="20"/>
                <w:szCs w:val="20"/>
              </w:rPr>
            </w:pPr>
            <w:r w:rsidRPr="00247126">
              <w:rPr>
                <w:rFonts w:ascii="Times New Roman" w:hAnsi="Times New Roman" w:cs="Times New Roman"/>
                <w:b/>
                <w:bCs/>
                <w:color w:val="000000"/>
                <w:sz w:val="20"/>
                <w:szCs w:val="20"/>
              </w:rPr>
              <w:t xml:space="preserve">18_Basic </w:t>
            </w:r>
            <w:proofErr w:type="spellStart"/>
            <w:r w:rsidRPr="00247126">
              <w:rPr>
                <w:rFonts w:ascii="Times New Roman" w:hAnsi="Times New Roman" w:cs="Times New Roman"/>
                <w:b/>
                <w:bCs/>
                <w:color w:val="000000"/>
                <w:sz w:val="20"/>
                <w:szCs w:val="20"/>
              </w:rPr>
              <w:t>Metals</w:t>
            </w:r>
            <w:proofErr w:type="spellEnd"/>
          </w:p>
        </w:tc>
        <w:tc>
          <w:tcPr>
            <w:tcW w:w="2410" w:type="dxa"/>
            <w:vAlign w:val="bottom"/>
          </w:tcPr>
          <w:p w:rsidR="004058C5" w:rsidRPr="00247126" w:rsidRDefault="004058C5" w:rsidP="00267145">
            <w:pPr>
              <w:spacing w:line="240" w:lineRule="auto"/>
              <w:contextualSpacing/>
              <w:rPr>
                <w:rFonts w:ascii="Times New Roman" w:hAnsi="Times New Roman" w:cs="Times New Roman"/>
                <w:sz w:val="20"/>
                <w:szCs w:val="20"/>
              </w:rPr>
            </w:pPr>
            <w:r w:rsidRPr="00247126">
              <w:rPr>
                <w:rFonts w:ascii="Times New Roman" w:hAnsi="Times New Roman" w:cs="Times New Roman"/>
                <w:sz w:val="20"/>
                <w:szCs w:val="20"/>
              </w:rPr>
              <w:t>CPA_C24</w:t>
            </w:r>
          </w:p>
        </w:tc>
      </w:tr>
      <w:tr w:rsidR="004058C5" w:rsidRPr="00247126" w:rsidTr="00267145">
        <w:tc>
          <w:tcPr>
            <w:tcW w:w="6062" w:type="dxa"/>
            <w:vAlign w:val="bottom"/>
          </w:tcPr>
          <w:p w:rsidR="004058C5" w:rsidRPr="00247126" w:rsidRDefault="004058C5" w:rsidP="00267145">
            <w:pPr>
              <w:spacing w:line="240" w:lineRule="auto"/>
              <w:contextualSpacing/>
              <w:rPr>
                <w:rFonts w:ascii="Times New Roman" w:hAnsi="Times New Roman" w:cs="Times New Roman"/>
                <w:b/>
                <w:bCs/>
                <w:color w:val="000000"/>
                <w:sz w:val="20"/>
                <w:szCs w:val="20"/>
              </w:rPr>
            </w:pPr>
            <w:r w:rsidRPr="00247126">
              <w:rPr>
                <w:rFonts w:ascii="Times New Roman" w:hAnsi="Times New Roman" w:cs="Times New Roman"/>
                <w:b/>
                <w:bCs/>
                <w:color w:val="000000"/>
                <w:sz w:val="20"/>
                <w:szCs w:val="20"/>
                <w:lang w:val="en-GB"/>
              </w:rPr>
              <w:t xml:space="preserve">19_Machinery and equipment </w:t>
            </w:r>
          </w:p>
        </w:tc>
        <w:tc>
          <w:tcPr>
            <w:tcW w:w="2410" w:type="dxa"/>
            <w:vAlign w:val="bottom"/>
          </w:tcPr>
          <w:p w:rsidR="004058C5" w:rsidRPr="00247126" w:rsidRDefault="004058C5" w:rsidP="00267145">
            <w:pPr>
              <w:spacing w:line="240" w:lineRule="auto"/>
              <w:contextualSpacing/>
              <w:rPr>
                <w:rFonts w:ascii="Times New Roman" w:hAnsi="Times New Roman" w:cs="Times New Roman"/>
                <w:sz w:val="20"/>
                <w:szCs w:val="20"/>
              </w:rPr>
            </w:pPr>
            <w:r w:rsidRPr="00247126">
              <w:rPr>
                <w:rFonts w:ascii="Times New Roman" w:hAnsi="Times New Roman" w:cs="Times New Roman"/>
                <w:sz w:val="20"/>
                <w:szCs w:val="20"/>
              </w:rPr>
              <w:t>CPA_C28</w:t>
            </w:r>
          </w:p>
        </w:tc>
      </w:tr>
      <w:tr w:rsidR="004058C5" w:rsidRPr="00247126" w:rsidTr="00267145">
        <w:tc>
          <w:tcPr>
            <w:tcW w:w="6062" w:type="dxa"/>
            <w:vAlign w:val="bottom"/>
          </w:tcPr>
          <w:p w:rsidR="004058C5" w:rsidRPr="00247126" w:rsidRDefault="004058C5" w:rsidP="00267145">
            <w:pPr>
              <w:spacing w:line="240" w:lineRule="auto"/>
              <w:contextualSpacing/>
              <w:rPr>
                <w:rFonts w:ascii="Times New Roman" w:hAnsi="Times New Roman" w:cs="Times New Roman"/>
                <w:b/>
                <w:bCs/>
                <w:color w:val="000000"/>
                <w:sz w:val="20"/>
                <w:szCs w:val="20"/>
                <w:lang w:val="en-US"/>
              </w:rPr>
            </w:pPr>
            <w:r w:rsidRPr="00247126">
              <w:rPr>
                <w:rFonts w:ascii="Times New Roman" w:hAnsi="Times New Roman" w:cs="Times New Roman"/>
                <w:b/>
                <w:bCs/>
                <w:color w:val="000000"/>
                <w:sz w:val="20"/>
                <w:szCs w:val="20"/>
                <w:lang w:val="en-GB"/>
              </w:rPr>
              <w:t>20_Computer, electronic and optical Products</w:t>
            </w:r>
          </w:p>
        </w:tc>
        <w:tc>
          <w:tcPr>
            <w:tcW w:w="2410" w:type="dxa"/>
            <w:vAlign w:val="bottom"/>
          </w:tcPr>
          <w:p w:rsidR="004058C5" w:rsidRPr="00247126" w:rsidRDefault="004058C5" w:rsidP="00267145">
            <w:pPr>
              <w:spacing w:line="240" w:lineRule="auto"/>
              <w:contextualSpacing/>
              <w:rPr>
                <w:rFonts w:ascii="Times New Roman" w:hAnsi="Times New Roman" w:cs="Times New Roman"/>
                <w:sz w:val="20"/>
                <w:szCs w:val="20"/>
              </w:rPr>
            </w:pPr>
            <w:r w:rsidRPr="00247126">
              <w:rPr>
                <w:rFonts w:ascii="Times New Roman" w:hAnsi="Times New Roman" w:cs="Times New Roman"/>
                <w:sz w:val="20"/>
                <w:szCs w:val="20"/>
              </w:rPr>
              <w:t>CPA_C26</w:t>
            </w:r>
          </w:p>
        </w:tc>
      </w:tr>
      <w:tr w:rsidR="004058C5" w:rsidRPr="00247126" w:rsidTr="00267145">
        <w:tc>
          <w:tcPr>
            <w:tcW w:w="6062" w:type="dxa"/>
            <w:vAlign w:val="bottom"/>
          </w:tcPr>
          <w:p w:rsidR="004058C5" w:rsidRPr="00247126" w:rsidRDefault="004058C5" w:rsidP="00267145">
            <w:pPr>
              <w:spacing w:line="240" w:lineRule="auto"/>
              <w:contextualSpacing/>
              <w:rPr>
                <w:rFonts w:ascii="Times New Roman" w:hAnsi="Times New Roman" w:cs="Times New Roman"/>
                <w:b/>
                <w:bCs/>
                <w:color w:val="000000"/>
                <w:sz w:val="20"/>
                <w:szCs w:val="20"/>
              </w:rPr>
            </w:pPr>
            <w:r w:rsidRPr="00247126">
              <w:rPr>
                <w:rFonts w:ascii="Times New Roman" w:hAnsi="Times New Roman" w:cs="Times New Roman"/>
                <w:b/>
                <w:bCs/>
                <w:color w:val="000000"/>
                <w:sz w:val="20"/>
                <w:szCs w:val="20"/>
              </w:rPr>
              <w:t xml:space="preserve">21_Electrical </w:t>
            </w:r>
            <w:proofErr w:type="spellStart"/>
            <w:r w:rsidRPr="00247126">
              <w:rPr>
                <w:rFonts w:ascii="Times New Roman" w:hAnsi="Times New Roman" w:cs="Times New Roman"/>
                <w:b/>
                <w:bCs/>
                <w:color w:val="000000"/>
                <w:sz w:val="20"/>
                <w:szCs w:val="20"/>
              </w:rPr>
              <w:t>Equipment</w:t>
            </w:r>
            <w:proofErr w:type="spellEnd"/>
          </w:p>
        </w:tc>
        <w:tc>
          <w:tcPr>
            <w:tcW w:w="2410" w:type="dxa"/>
            <w:vAlign w:val="bottom"/>
          </w:tcPr>
          <w:p w:rsidR="004058C5" w:rsidRPr="00247126" w:rsidRDefault="004058C5" w:rsidP="00267145">
            <w:pPr>
              <w:spacing w:line="240" w:lineRule="auto"/>
              <w:contextualSpacing/>
              <w:rPr>
                <w:rFonts w:ascii="Times New Roman" w:hAnsi="Times New Roman" w:cs="Times New Roman"/>
                <w:sz w:val="20"/>
                <w:szCs w:val="20"/>
              </w:rPr>
            </w:pPr>
            <w:r w:rsidRPr="00247126">
              <w:rPr>
                <w:rFonts w:ascii="Times New Roman" w:hAnsi="Times New Roman" w:cs="Times New Roman"/>
                <w:sz w:val="20"/>
                <w:szCs w:val="20"/>
              </w:rPr>
              <w:t>CPA_C27</w:t>
            </w:r>
          </w:p>
        </w:tc>
      </w:tr>
      <w:tr w:rsidR="004058C5" w:rsidRPr="00247126" w:rsidTr="00267145">
        <w:tc>
          <w:tcPr>
            <w:tcW w:w="6062" w:type="dxa"/>
            <w:vAlign w:val="bottom"/>
          </w:tcPr>
          <w:p w:rsidR="004058C5" w:rsidRPr="00247126" w:rsidRDefault="004058C5" w:rsidP="00267145">
            <w:pPr>
              <w:spacing w:line="240" w:lineRule="auto"/>
              <w:contextualSpacing/>
              <w:rPr>
                <w:rFonts w:ascii="Times New Roman" w:hAnsi="Times New Roman" w:cs="Times New Roman"/>
                <w:b/>
                <w:bCs/>
                <w:color w:val="000000"/>
                <w:sz w:val="20"/>
                <w:szCs w:val="20"/>
              </w:rPr>
            </w:pPr>
            <w:r w:rsidRPr="00247126">
              <w:rPr>
                <w:rFonts w:ascii="Times New Roman" w:hAnsi="Times New Roman" w:cs="Times New Roman"/>
                <w:b/>
                <w:bCs/>
                <w:color w:val="000000"/>
                <w:sz w:val="20"/>
                <w:szCs w:val="20"/>
                <w:lang w:val="en-GB"/>
              </w:rPr>
              <w:t>22_Motor vehicles</w:t>
            </w:r>
          </w:p>
        </w:tc>
        <w:tc>
          <w:tcPr>
            <w:tcW w:w="2410" w:type="dxa"/>
            <w:vAlign w:val="bottom"/>
          </w:tcPr>
          <w:p w:rsidR="004058C5" w:rsidRPr="00247126" w:rsidRDefault="004058C5" w:rsidP="00267145">
            <w:pPr>
              <w:spacing w:line="240" w:lineRule="auto"/>
              <w:contextualSpacing/>
              <w:rPr>
                <w:rFonts w:ascii="Times New Roman" w:hAnsi="Times New Roman" w:cs="Times New Roman"/>
                <w:sz w:val="20"/>
                <w:szCs w:val="20"/>
              </w:rPr>
            </w:pPr>
            <w:r w:rsidRPr="00247126">
              <w:rPr>
                <w:rFonts w:ascii="Times New Roman" w:hAnsi="Times New Roman" w:cs="Times New Roman"/>
                <w:sz w:val="20"/>
                <w:szCs w:val="20"/>
              </w:rPr>
              <w:t>CPA_C29-C30</w:t>
            </w:r>
          </w:p>
        </w:tc>
      </w:tr>
      <w:tr w:rsidR="004058C5" w:rsidRPr="00247126" w:rsidTr="00267145">
        <w:tc>
          <w:tcPr>
            <w:tcW w:w="6062" w:type="dxa"/>
            <w:vAlign w:val="bottom"/>
          </w:tcPr>
          <w:p w:rsidR="004058C5" w:rsidRPr="00247126" w:rsidRDefault="004058C5" w:rsidP="00267145">
            <w:pPr>
              <w:spacing w:line="240" w:lineRule="auto"/>
              <w:contextualSpacing/>
              <w:rPr>
                <w:rFonts w:ascii="Times New Roman" w:hAnsi="Times New Roman" w:cs="Times New Roman"/>
                <w:b/>
                <w:bCs/>
                <w:color w:val="000000"/>
                <w:sz w:val="20"/>
                <w:szCs w:val="20"/>
                <w:lang w:val="en-US"/>
              </w:rPr>
            </w:pPr>
            <w:r w:rsidRPr="00247126">
              <w:rPr>
                <w:rFonts w:ascii="Times New Roman" w:hAnsi="Times New Roman" w:cs="Times New Roman"/>
                <w:b/>
                <w:bCs/>
                <w:color w:val="000000"/>
                <w:sz w:val="20"/>
                <w:szCs w:val="20"/>
                <w:lang w:val="en-US"/>
              </w:rPr>
              <w:t>23_Furniture and other manufactured Products</w:t>
            </w:r>
          </w:p>
        </w:tc>
        <w:tc>
          <w:tcPr>
            <w:tcW w:w="2410" w:type="dxa"/>
            <w:vAlign w:val="bottom"/>
          </w:tcPr>
          <w:p w:rsidR="004058C5" w:rsidRPr="00247126" w:rsidRDefault="004058C5" w:rsidP="00267145">
            <w:pPr>
              <w:spacing w:line="240" w:lineRule="auto"/>
              <w:contextualSpacing/>
              <w:rPr>
                <w:rFonts w:ascii="Times New Roman" w:hAnsi="Times New Roman" w:cs="Times New Roman"/>
                <w:sz w:val="20"/>
                <w:szCs w:val="20"/>
              </w:rPr>
            </w:pPr>
            <w:r w:rsidRPr="00247126">
              <w:rPr>
                <w:rFonts w:ascii="Times New Roman" w:hAnsi="Times New Roman" w:cs="Times New Roman"/>
                <w:sz w:val="20"/>
                <w:szCs w:val="20"/>
              </w:rPr>
              <w:t>CPA_C31_C32</w:t>
            </w:r>
          </w:p>
        </w:tc>
      </w:tr>
      <w:tr w:rsidR="004058C5" w:rsidRPr="00247126" w:rsidTr="00267145">
        <w:tc>
          <w:tcPr>
            <w:tcW w:w="6062" w:type="dxa"/>
            <w:vAlign w:val="bottom"/>
          </w:tcPr>
          <w:p w:rsidR="004058C5" w:rsidRPr="00247126" w:rsidRDefault="004058C5" w:rsidP="00267145">
            <w:pPr>
              <w:spacing w:line="240" w:lineRule="auto"/>
              <w:contextualSpacing/>
              <w:rPr>
                <w:rFonts w:ascii="Times New Roman" w:hAnsi="Times New Roman" w:cs="Times New Roman"/>
                <w:b/>
                <w:bCs/>
                <w:color w:val="000000"/>
                <w:sz w:val="20"/>
                <w:szCs w:val="20"/>
                <w:lang w:val="en-US"/>
              </w:rPr>
            </w:pPr>
            <w:r w:rsidRPr="00247126">
              <w:rPr>
                <w:rFonts w:ascii="Times New Roman" w:hAnsi="Times New Roman" w:cs="Times New Roman"/>
                <w:b/>
                <w:bCs/>
                <w:color w:val="000000"/>
                <w:sz w:val="20"/>
                <w:szCs w:val="20"/>
                <w:lang w:val="en-GB"/>
              </w:rPr>
              <w:t>24_Sewerage and waste collection, treatment and disposal activities</w:t>
            </w:r>
          </w:p>
        </w:tc>
        <w:tc>
          <w:tcPr>
            <w:tcW w:w="2410" w:type="dxa"/>
            <w:vAlign w:val="bottom"/>
          </w:tcPr>
          <w:p w:rsidR="004058C5" w:rsidRPr="00247126" w:rsidRDefault="004058C5" w:rsidP="00267145">
            <w:pPr>
              <w:spacing w:line="240" w:lineRule="auto"/>
              <w:contextualSpacing/>
              <w:rPr>
                <w:rFonts w:ascii="Times New Roman" w:hAnsi="Times New Roman" w:cs="Times New Roman"/>
                <w:sz w:val="20"/>
                <w:szCs w:val="20"/>
              </w:rPr>
            </w:pPr>
            <w:r w:rsidRPr="00247126">
              <w:rPr>
                <w:rFonts w:ascii="Times New Roman" w:hAnsi="Times New Roman" w:cs="Times New Roman"/>
                <w:sz w:val="20"/>
                <w:szCs w:val="20"/>
              </w:rPr>
              <w:t>CPA_E37-E39</w:t>
            </w:r>
          </w:p>
        </w:tc>
      </w:tr>
      <w:tr w:rsidR="004058C5" w:rsidRPr="00247126" w:rsidTr="00267145">
        <w:tc>
          <w:tcPr>
            <w:tcW w:w="6062" w:type="dxa"/>
            <w:vAlign w:val="bottom"/>
          </w:tcPr>
          <w:p w:rsidR="004058C5" w:rsidRPr="00247126" w:rsidRDefault="004058C5" w:rsidP="00267145">
            <w:pPr>
              <w:spacing w:line="240" w:lineRule="auto"/>
              <w:contextualSpacing/>
              <w:rPr>
                <w:rFonts w:ascii="Times New Roman" w:hAnsi="Times New Roman" w:cs="Times New Roman"/>
                <w:b/>
                <w:bCs/>
                <w:color w:val="000000"/>
                <w:sz w:val="20"/>
                <w:szCs w:val="20"/>
              </w:rPr>
            </w:pPr>
            <w:r w:rsidRPr="00247126">
              <w:rPr>
                <w:rFonts w:ascii="Times New Roman" w:hAnsi="Times New Roman" w:cs="Times New Roman"/>
                <w:b/>
                <w:bCs/>
                <w:color w:val="000000"/>
                <w:sz w:val="20"/>
                <w:szCs w:val="20"/>
              </w:rPr>
              <w:t>25_Construction Sector</w:t>
            </w:r>
          </w:p>
        </w:tc>
        <w:tc>
          <w:tcPr>
            <w:tcW w:w="2410" w:type="dxa"/>
            <w:vAlign w:val="bottom"/>
          </w:tcPr>
          <w:p w:rsidR="004058C5" w:rsidRPr="00247126" w:rsidRDefault="004058C5" w:rsidP="00267145">
            <w:pPr>
              <w:spacing w:line="240" w:lineRule="auto"/>
              <w:contextualSpacing/>
              <w:rPr>
                <w:rFonts w:ascii="Times New Roman" w:hAnsi="Times New Roman" w:cs="Times New Roman"/>
                <w:sz w:val="20"/>
                <w:szCs w:val="20"/>
              </w:rPr>
            </w:pPr>
            <w:r w:rsidRPr="00247126">
              <w:rPr>
                <w:rFonts w:ascii="Times New Roman" w:hAnsi="Times New Roman" w:cs="Times New Roman"/>
                <w:sz w:val="20"/>
                <w:szCs w:val="20"/>
              </w:rPr>
              <w:t>CPA_F</w:t>
            </w:r>
          </w:p>
        </w:tc>
      </w:tr>
      <w:tr w:rsidR="004058C5" w:rsidRPr="00247126" w:rsidTr="00267145">
        <w:tc>
          <w:tcPr>
            <w:tcW w:w="6062" w:type="dxa"/>
            <w:vAlign w:val="bottom"/>
          </w:tcPr>
          <w:p w:rsidR="004058C5" w:rsidRPr="00247126" w:rsidRDefault="004058C5" w:rsidP="00267145">
            <w:pPr>
              <w:spacing w:line="240" w:lineRule="auto"/>
              <w:contextualSpacing/>
              <w:rPr>
                <w:rFonts w:ascii="Times New Roman" w:hAnsi="Times New Roman" w:cs="Times New Roman"/>
                <w:b/>
                <w:bCs/>
                <w:color w:val="000000"/>
                <w:sz w:val="20"/>
                <w:szCs w:val="20"/>
                <w:lang w:val="en-US"/>
              </w:rPr>
            </w:pPr>
            <w:r w:rsidRPr="00247126">
              <w:rPr>
                <w:rFonts w:ascii="Times New Roman" w:hAnsi="Times New Roman" w:cs="Times New Roman"/>
                <w:b/>
                <w:bCs/>
                <w:color w:val="000000"/>
                <w:sz w:val="20"/>
                <w:szCs w:val="20"/>
                <w:lang w:val="en-GB"/>
              </w:rPr>
              <w:t>26_Wholesale, Retail trade and repair services of Motor Vehicles</w:t>
            </w:r>
          </w:p>
        </w:tc>
        <w:tc>
          <w:tcPr>
            <w:tcW w:w="2410" w:type="dxa"/>
            <w:vAlign w:val="bottom"/>
          </w:tcPr>
          <w:p w:rsidR="004058C5" w:rsidRPr="00247126" w:rsidRDefault="004058C5" w:rsidP="00267145">
            <w:pPr>
              <w:spacing w:line="240" w:lineRule="auto"/>
              <w:contextualSpacing/>
              <w:rPr>
                <w:rFonts w:ascii="Times New Roman" w:hAnsi="Times New Roman" w:cs="Times New Roman"/>
                <w:sz w:val="20"/>
                <w:szCs w:val="20"/>
              </w:rPr>
            </w:pPr>
            <w:r w:rsidRPr="00247126">
              <w:rPr>
                <w:rFonts w:ascii="Times New Roman" w:hAnsi="Times New Roman" w:cs="Times New Roman"/>
                <w:sz w:val="20"/>
                <w:szCs w:val="20"/>
              </w:rPr>
              <w:t>CPA_G45</w:t>
            </w:r>
          </w:p>
        </w:tc>
      </w:tr>
      <w:tr w:rsidR="004058C5" w:rsidRPr="00247126" w:rsidTr="00267145">
        <w:tc>
          <w:tcPr>
            <w:tcW w:w="6062" w:type="dxa"/>
            <w:vAlign w:val="bottom"/>
          </w:tcPr>
          <w:p w:rsidR="004058C5" w:rsidRPr="00247126" w:rsidRDefault="004058C5" w:rsidP="00267145">
            <w:pPr>
              <w:spacing w:line="240" w:lineRule="auto"/>
              <w:contextualSpacing/>
              <w:rPr>
                <w:rFonts w:ascii="Times New Roman" w:hAnsi="Times New Roman" w:cs="Times New Roman"/>
                <w:b/>
                <w:bCs/>
                <w:color w:val="000000"/>
                <w:sz w:val="20"/>
                <w:szCs w:val="20"/>
              </w:rPr>
            </w:pPr>
            <w:r w:rsidRPr="00247126">
              <w:rPr>
                <w:rFonts w:ascii="Times New Roman" w:hAnsi="Times New Roman" w:cs="Times New Roman"/>
                <w:b/>
                <w:bCs/>
                <w:color w:val="000000"/>
                <w:sz w:val="20"/>
                <w:szCs w:val="20"/>
                <w:lang w:val="en-GB"/>
              </w:rPr>
              <w:t>27_Other Wholesale trade services</w:t>
            </w:r>
          </w:p>
        </w:tc>
        <w:tc>
          <w:tcPr>
            <w:tcW w:w="2410" w:type="dxa"/>
            <w:vAlign w:val="bottom"/>
          </w:tcPr>
          <w:p w:rsidR="004058C5" w:rsidRPr="00247126" w:rsidRDefault="004058C5" w:rsidP="00267145">
            <w:pPr>
              <w:spacing w:line="240" w:lineRule="auto"/>
              <w:contextualSpacing/>
              <w:rPr>
                <w:rFonts w:ascii="Times New Roman" w:hAnsi="Times New Roman" w:cs="Times New Roman"/>
                <w:sz w:val="20"/>
                <w:szCs w:val="20"/>
              </w:rPr>
            </w:pPr>
            <w:r w:rsidRPr="00247126">
              <w:rPr>
                <w:rFonts w:ascii="Times New Roman" w:hAnsi="Times New Roman" w:cs="Times New Roman"/>
                <w:sz w:val="20"/>
                <w:szCs w:val="20"/>
              </w:rPr>
              <w:t>CPA_G46</w:t>
            </w:r>
          </w:p>
        </w:tc>
      </w:tr>
      <w:tr w:rsidR="004058C5" w:rsidRPr="00247126" w:rsidTr="00267145">
        <w:tc>
          <w:tcPr>
            <w:tcW w:w="6062" w:type="dxa"/>
            <w:vAlign w:val="bottom"/>
          </w:tcPr>
          <w:p w:rsidR="004058C5" w:rsidRPr="00247126" w:rsidRDefault="004058C5" w:rsidP="00267145">
            <w:pPr>
              <w:spacing w:line="240" w:lineRule="auto"/>
              <w:contextualSpacing/>
              <w:rPr>
                <w:rFonts w:ascii="Times New Roman" w:hAnsi="Times New Roman" w:cs="Times New Roman"/>
                <w:b/>
                <w:bCs/>
                <w:color w:val="000000"/>
                <w:sz w:val="20"/>
                <w:szCs w:val="20"/>
              </w:rPr>
            </w:pPr>
            <w:r w:rsidRPr="00247126">
              <w:rPr>
                <w:rFonts w:ascii="Times New Roman" w:hAnsi="Times New Roman" w:cs="Times New Roman"/>
                <w:b/>
                <w:bCs/>
                <w:color w:val="000000"/>
                <w:sz w:val="20"/>
                <w:szCs w:val="20"/>
                <w:lang w:val="en-GB"/>
              </w:rPr>
              <w:t>28_Other Retail trade services</w:t>
            </w:r>
          </w:p>
        </w:tc>
        <w:tc>
          <w:tcPr>
            <w:tcW w:w="2410" w:type="dxa"/>
            <w:vAlign w:val="bottom"/>
          </w:tcPr>
          <w:p w:rsidR="004058C5" w:rsidRPr="00247126" w:rsidRDefault="004058C5" w:rsidP="00267145">
            <w:pPr>
              <w:spacing w:line="240" w:lineRule="auto"/>
              <w:contextualSpacing/>
              <w:rPr>
                <w:rFonts w:ascii="Times New Roman" w:hAnsi="Times New Roman" w:cs="Times New Roman"/>
                <w:sz w:val="20"/>
                <w:szCs w:val="20"/>
              </w:rPr>
            </w:pPr>
            <w:r w:rsidRPr="00247126">
              <w:rPr>
                <w:rFonts w:ascii="Times New Roman" w:hAnsi="Times New Roman" w:cs="Times New Roman"/>
                <w:sz w:val="20"/>
                <w:szCs w:val="20"/>
              </w:rPr>
              <w:t>CPA_G47</w:t>
            </w:r>
          </w:p>
        </w:tc>
      </w:tr>
      <w:tr w:rsidR="004058C5" w:rsidRPr="00247126" w:rsidTr="00267145">
        <w:tc>
          <w:tcPr>
            <w:tcW w:w="6062" w:type="dxa"/>
            <w:vAlign w:val="bottom"/>
          </w:tcPr>
          <w:p w:rsidR="004058C5" w:rsidRPr="00247126" w:rsidRDefault="004058C5" w:rsidP="00267145">
            <w:pPr>
              <w:spacing w:line="240" w:lineRule="auto"/>
              <w:contextualSpacing/>
              <w:rPr>
                <w:rFonts w:ascii="Times New Roman" w:hAnsi="Times New Roman" w:cs="Times New Roman"/>
                <w:b/>
                <w:bCs/>
                <w:color w:val="000000"/>
                <w:sz w:val="20"/>
                <w:szCs w:val="20"/>
              </w:rPr>
            </w:pPr>
            <w:r w:rsidRPr="00247126">
              <w:rPr>
                <w:rFonts w:ascii="Times New Roman" w:hAnsi="Times New Roman" w:cs="Times New Roman"/>
                <w:b/>
                <w:bCs/>
                <w:color w:val="000000"/>
                <w:sz w:val="20"/>
                <w:szCs w:val="20"/>
              </w:rPr>
              <w:t xml:space="preserve">29_Accommodation and </w:t>
            </w:r>
            <w:proofErr w:type="spellStart"/>
            <w:r w:rsidRPr="00247126">
              <w:rPr>
                <w:rFonts w:ascii="Times New Roman" w:hAnsi="Times New Roman" w:cs="Times New Roman"/>
                <w:b/>
                <w:bCs/>
                <w:color w:val="000000"/>
                <w:sz w:val="20"/>
                <w:szCs w:val="20"/>
              </w:rPr>
              <w:t>food</w:t>
            </w:r>
            <w:proofErr w:type="spellEnd"/>
            <w:r w:rsidRPr="00247126">
              <w:rPr>
                <w:rFonts w:ascii="Times New Roman" w:hAnsi="Times New Roman" w:cs="Times New Roman"/>
                <w:b/>
                <w:bCs/>
                <w:color w:val="000000"/>
                <w:sz w:val="20"/>
                <w:szCs w:val="20"/>
              </w:rPr>
              <w:t xml:space="preserve"> </w:t>
            </w:r>
            <w:proofErr w:type="spellStart"/>
            <w:r w:rsidRPr="00247126">
              <w:rPr>
                <w:rFonts w:ascii="Times New Roman" w:hAnsi="Times New Roman" w:cs="Times New Roman"/>
                <w:b/>
                <w:bCs/>
                <w:color w:val="000000"/>
                <w:sz w:val="20"/>
                <w:szCs w:val="20"/>
              </w:rPr>
              <w:t>Services</w:t>
            </w:r>
            <w:proofErr w:type="spellEnd"/>
          </w:p>
        </w:tc>
        <w:tc>
          <w:tcPr>
            <w:tcW w:w="2410" w:type="dxa"/>
            <w:vAlign w:val="bottom"/>
          </w:tcPr>
          <w:p w:rsidR="004058C5" w:rsidRPr="00247126" w:rsidRDefault="004058C5" w:rsidP="00267145">
            <w:pPr>
              <w:spacing w:line="240" w:lineRule="auto"/>
              <w:contextualSpacing/>
              <w:rPr>
                <w:rFonts w:ascii="Times New Roman" w:hAnsi="Times New Roman" w:cs="Times New Roman"/>
                <w:sz w:val="20"/>
                <w:szCs w:val="20"/>
              </w:rPr>
            </w:pPr>
            <w:r w:rsidRPr="00247126">
              <w:rPr>
                <w:rFonts w:ascii="Times New Roman" w:hAnsi="Times New Roman" w:cs="Times New Roman"/>
                <w:sz w:val="20"/>
                <w:szCs w:val="20"/>
              </w:rPr>
              <w:t>CPA_I</w:t>
            </w:r>
          </w:p>
        </w:tc>
      </w:tr>
      <w:tr w:rsidR="004058C5" w:rsidRPr="00247126" w:rsidTr="00267145">
        <w:tc>
          <w:tcPr>
            <w:tcW w:w="6062" w:type="dxa"/>
            <w:vAlign w:val="bottom"/>
          </w:tcPr>
          <w:p w:rsidR="004058C5" w:rsidRPr="00247126" w:rsidRDefault="004058C5" w:rsidP="00267145">
            <w:pPr>
              <w:spacing w:line="240" w:lineRule="auto"/>
              <w:contextualSpacing/>
              <w:rPr>
                <w:rFonts w:ascii="Times New Roman" w:hAnsi="Times New Roman" w:cs="Times New Roman"/>
                <w:b/>
                <w:bCs/>
                <w:color w:val="000000"/>
                <w:sz w:val="20"/>
                <w:szCs w:val="20"/>
              </w:rPr>
            </w:pPr>
            <w:r w:rsidRPr="00247126">
              <w:rPr>
                <w:rFonts w:ascii="Times New Roman" w:hAnsi="Times New Roman" w:cs="Times New Roman"/>
                <w:b/>
                <w:bCs/>
                <w:color w:val="000000"/>
                <w:sz w:val="20"/>
                <w:szCs w:val="20"/>
              </w:rPr>
              <w:t xml:space="preserve">30_Transport </w:t>
            </w:r>
            <w:proofErr w:type="spellStart"/>
            <w:r w:rsidRPr="00247126">
              <w:rPr>
                <w:rFonts w:ascii="Times New Roman" w:hAnsi="Times New Roman" w:cs="Times New Roman"/>
                <w:b/>
                <w:bCs/>
                <w:color w:val="000000"/>
                <w:sz w:val="20"/>
                <w:szCs w:val="20"/>
              </w:rPr>
              <w:t>Services</w:t>
            </w:r>
            <w:proofErr w:type="spellEnd"/>
          </w:p>
        </w:tc>
        <w:tc>
          <w:tcPr>
            <w:tcW w:w="2410" w:type="dxa"/>
            <w:vAlign w:val="bottom"/>
          </w:tcPr>
          <w:p w:rsidR="004058C5" w:rsidRPr="00247126" w:rsidRDefault="004058C5" w:rsidP="00267145">
            <w:pPr>
              <w:spacing w:line="240" w:lineRule="auto"/>
              <w:contextualSpacing/>
              <w:rPr>
                <w:rFonts w:ascii="Times New Roman" w:hAnsi="Times New Roman" w:cs="Times New Roman"/>
                <w:sz w:val="20"/>
                <w:szCs w:val="20"/>
              </w:rPr>
            </w:pPr>
            <w:r w:rsidRPr="00247126">
              <w:rPr>
                <w:rFonts w:ascii="Times New Roman" w:hAnsi="Times New Roman" w:cs="Times New Roman"/>
                <w:sz w:val="20"/>
                <w:szCs w:val="20"/>
              </w:rPr>
              <w:t>CPA_H49-H56</w:t>
            </w:r>
          </w:p>
        </w:tc>
      </w:tr>
      <w:tr w:rsidR="004058C5" w:rsidRPr="00247126" w:rsidTr="00267145">
        <w:tc>
          <w:tcPr>
            <w:tcW w:w="6062" w:type="dxa"/>
            <w:vAlign w:val="bottom"/>
          </w:tcPr>
          <w:p w:rsidR="004058C5" w:rsidRPr="00247126" w:rsidRDefault="004058C5" w:rsidP="00267145">
            <w:pPr>
              <w:spacing w:line="240" w:lineRule="auto"/>
              <w:contextualSpacing/>
              <w:rPr>
                <w:rFonts w:ascii="Times New Roman" w:hAnsi="Times New Roman" w:cs="Times New Roman"/>
                <w:b/>
                <w:bCs/>
                <w:color w:val="000000"/>
                <w:sz w:val="20"/>
                <w:szCs w:val="20"/>
                <w:lang w:val="en-US"/>
              </w:rPr>
            </w:pPr>
            <w:r w:rsidRPr="00247126">
              <w:rPr>
                <w:rFonts w:ascii="Times New Roman" w:hAnsi="Times New Roman" w:cs="Times New Roman"/>
                <w:b/>
                <w:bCs/>
                <w:color w:val="000000"/>
                <w:sz w:val="20"/>
                <w:szCs w:val="20"/>
                <w:lang w:val="en-GB"/>
              </w:rPr>
              <w:t>31_Travel agency and tour operator Services</w:t>
            </w:r>
          </w:p>
        </w:tc>
        <w:tc>
          <w:tcPr>
            <w:tcW w:w="2410" w:type="dxa"/>
            <w:vAlign w:val="bottom"/>
          </w:tcPr>
          <w:p w:rsidR="004058C5" w:rsidRPr="00247126" w:rsidRDefault="004058C5" w:rsidP="00267145">
            <w:pPr>
              <w:spacing w:line="240" w:lineRule="auto"/>
              <w:contextualSpacing/>
              <w:rPr>
                <w:rFonts w:ascii="Times New Roman" w:hAnsi="Times New Roman" w:cs="Times New Roman"/>
                <w:sz w:val="20"/>
                <w:szCs w:val="20"/>
              </w:rPr>
            </w:pPr>
            <w:r w:rsidRPr="00247126">
              <w:rPr>
                <w:rFonts w:ascii="Times New Roman" w:hAnsi="Times New Roman" w:cs="Times New Roman"/>
                <w:sz w:val="20"/>
                <w:szCs w:val="20"/>
              </w:rPr>
              <w:t>CPA_N79</w:t>
            </w:r>
          </w:p>
        </w:tc>
      </w:tr>
      <w:tr w:rsidR="004058C5" w:rsidRPr="00247126" w:rsidTr="00267145">
        <w:tc>
          <w:tcPr>
            <w:tcW w:w="6062" w:type="dxa"/>
            <w:vAlign w:val="bottom"/>
          </w:tcPr>
          <w:p w:rsidR="004058C5" w:rsidRPr="00247126" w:rsidRDefault="004058C5" w:rsidP="00267145">
            <w:pPr>
              <w:spacing w:line="240" w:lineRule="auto"/>
              <w:contextualSpacing/>
              <w:rPr>
                <w:rFonts w:ascii="Times New Roman" w:hAnsi="Times New Roman" w:cs="Times New Roman"/>
                <w:b/>
                <w:bCs/>
                <w:color w:val="000000"/>
                <w:sz w:val="20"/>
                <w:szCs w:val="20"/>
              </w:rPr>
            </w:pPr>
            <w:r w:rsidRPr="00247126">
              <w:rPr>
                <w:rFonts w:ascii="Times New Roman" w:hAnsi="Times New Roman" w:cs="Times New Roman"/>
                <w:b/>
                <w:bCs/>
                <w:color w:val="000000"/>
                <w:sz w:val="20"/>
                <w:szCs w:val="20"/>
              </w:rPr>
              <w:t xml:space="preserve">32_Telecommunications and Postal </w:t>
            </w:r>
            <w:proofErr w:type="spellStart"/>
            <w:r w:rsidRPr="00247126">
              <w:rPr>
                <w:rFonts w:ascii="Times New Roman" w:hAnsi="Times New Roman" w:cs="Times New Roman"/>
                <w:b/>
                <w:bCs/>
                <w:color w:val="000000"/>
                <w:sz w:val="20"/>
                <w:szCs w:val="20"/>
              </w:rPr>
              <w:t>Services</w:t>
            </w:r>
            <w:proofErr w:type="spellEnd"/>
          </w:p>
        </w:tc>
        <w:tc>
          <w:tcPr>
            <w:tcW w:w="2410" w:type="dxa"/>
            <w:vAlign w:val="bottom"/>
          </w:tcPr>
          <w:p w:rsidR="004058C5" w:rsidRPr="00247126" w:rsidRDefault="004058C5" w:rsidP="00267145">
            <w:pPr>
              <w:spacing w:line="240" w:lineRule="auto"/>
              <w:contextualSpacing/>
              <w:rPr>
                <w:rFonts w:ascii="Times New Roman" w:hAnsi="Times New Roman" w:cs="Times New Roman"/>
                <w:sz w:val="20"/>
                <w:szCs w:val="20"/>
              </w:rPr>
            </w:pPr>
            <w:r w:rsidRPr="00247126">
              <w:rPr>
                <w:rFonts w:ascii="Times New Roman" w:hAnsi="Times New Roman" w:cs="Times New Roman"/>
                <w:sz w:val="20"/>
                <w:szCs w:val="20"/>
              </w:rPr>
              <w:t>CPA_J61-J62 &amp; CPA_H53</w:t>
            </w:r>
          </w:p>
        </w:tc>
      </w:tr>
      <w:tr w:rsidR="004058C5" w:rsidRPr="00247126" w:rsidTr="00267145">
        <w:tc>
          <w:tcPr>
            <w:tcW w:w="6062" w:type="dxa"/>
            <w:vAlign w:val="bottom"/>
          </w:tcPr>
          <w:p w:rsidR="004058C5" w:rsidRPr="00247126" w:rsidRDefault="004058C5" w:rsidP="00267145">
            <w:pPr>
              <w:spacing w:line="240" w:lineRule="auto"/>
              <w:contextualSpacing/>
              <w:rPr>
                <w:rFonts w:ascii="Times New Roman" w:hAnsi="Times New Roman" w:cs="Times New Roman"/>
                <w:b/>
                <w:bCs/>
                <w:color w:val="000000"/>
                <w:sz w:val="20"/>
                <w:szCs w:val="20"/>
              </w:rPr>
            </w:pPr>
            <w:r w:rsidRPr="00247126">
              <w:rPr>
                <w:rFonts w:ascii="Times New Roman" w:hAnsi="Times New Roman" w:cs="Times New Roman"/>
                <w:b/>
                <w:bCs/>
                <w:color w:val="000000"/>
                <w:sz w:val="20"/>
                <w:szCs w:val="20"/>
                <w:lang w:val="en-GB"/>
              </w:rPr>
              <w:t>33_Financial Services</w:t>
            </w:r>
          </w:p>
        </w:tc>
        <w:tc>
          <w:tcPr>
            <w:tcW w:w="2410" w:type="dxa"/>
            <w:vAlign w:val="bottom"/>
          </w:tcPr>
          <w:p w:rsidR="004058C5" w:rsidRPr="00247126" w:rsidRDefault="004058C5" w:rsidP="00267145">
            <w:pPr>
              <w:spacing w:line="240" w:lineRule="auto"/>
              <w:contextualSpacing/>
              <w:rPr>
                <w:rFonts w:ascii="Times New Roman" w:hAnsi="Times New Roman" w:cs="Times New Roman"/>
                <w:sz w:val="20"/>
                <w:szCs w:val="20"/>
              </w:rPr>
            </w:pPr>
            <w:r w:rsidRPr="00247126">
              <w:rPr>
                <w:rFonts w:ascii="Times New Roman" w:hAnsi="Times New Roman" w:cs="Times New Roman"/>
                <w:sz w:val="20"/>
                <w:szCs w:val="20"/>
              </w:rPr>
              <w:t>CPA_K64</w:t>
            </w:r>
          </w:p>
        </w:tc>
      </w:tr>
      <w:tr w:rsidR="004058C5" w:rsidRPr="00247126" w:rsidTr="00267145">
        <w:tc>
          <w:tcPr>
            <w:tcW w:w="6062" w:type="dxa"/>
            <w:vAlign w:val="bottom"/>
          </w:tcPr>
          <w:p w:rsidR="004058C5" w:rsidRPr="00247126" w:rsidRDefault="004058C5" w:rsidP="00267145">
            <w:pPr>
              <w:spacing w:line="240" w:lineRule="auto"/>
              <w:contextualSpacing/>
              <w:rPr>
                <w:rFonts w:ascii="Times New Roman" w:hAnsi="Times New Roman" w:cs="Times New Roman"/>
                <w:b/>
                <w:bCs/>
                <w:color w:val="000000"/>
                <w:sz w:val="20"/>
                <w:szCs w:val="20"/>
                <w:lang w:val="en-US"/>
              </w:rPr>
            </w:pPr>
            <w:r w:rsidRPr="00247126">
              <w:rPr>
                <w:rFonts w:ascii="Times New Roman" w:hAnsi="Times New Roman" w:cs="Times New Roman"/>
                <w:b/>
                <w:bCs/>
                <w:color w:val="000000"/>
                <w:sz w:val="20"/>
                <w:szCs w:val="20"/>
                <w:lang w:val="en-GB"/>
              </w:rPr>
              <w:t>34_Insurance, reinsurance and pension funding Services</w:t>
            </w:r>
          </w:p>
        </w:tc>
        <w:tc>
          <w:tcPr>
            <w:tcW w:w="2410" w:type="dxa"/>
            <w:vAlign w:val="bottom"/>
          </w:tcPr>
          <w:p w:rsidR="004058C5" w:rsidRPr="00247126" w:rsidRDefault="004058C5" w:rsidP="00267145">
            <w:pPr>
              <w:spacing w:line="240" w:lineRule="auto"/>
              <w:contextualSpacing/>
              <w:rPr>
                <w:rFonts w:ascii="Times New Roman" w:hAnsi="Times New Roman" w:cs="Times New Roman"/>
                <w:sz w:val="20"/>
                <w:szCs w:val="20"/>
              </w:rPr>
            </w:pPr>
            <w:r w:rsidRPr="00247126">
              <w:rPr>
                <w:rFonts w:ascii="Times New Roman" w:hAnsi="Times New Roman" w:cs="Times New Roman"/>
                <w:sz w:val="20"/>
                <w:szCs w:val="20"/>
              </w:rPr>
              <w:t>CPA_K65</w:t>
            </w:r>
          </w:p>
        </w:tc>
      </w:tr>
      <w:tr w:rsidR="004058C5" w:rsidRPr="00247126" w:rsidTr="00267145">
        <w:tc>
          <w:tcPr>
            <w:tcW w:w="6062" w:type="dxa"/>
            <w:vAlign w:val="bottom"/>
          </w:tcPr>
          <w:p w:rsidR="004058C5" w:rsidRPr="00247126" w:rsidRDefault="004058C5" w:rsidP="00267145">
            <w:pPr>
              <w:spacing w:line="240" w:lineRule="auto"/>
              <w:contextualSpacing/>
              <w:rPr>
                <w:rFonts w:ascii="Times New Roman" w:hAnsi="Times New Roman" w:cs="Times New Roman"/>
                <w:b/>
                <w:bCs/>
                <w:color w:val="000000"/>
                <w:sz w:val="20"/>
                <w:szCs w:val="20"/>
                <w:lang w:val="en-US"/>
              </w:rPr>
            </w:pPr>
            <w:r w:rsidRPr="00247126">
              <w:rPr>
                <w:rFonts w:ascii="Times New Roman" w:hAnsi="Times New Roman" w:cs="Times New Roman"/>
                <w:b/>
                <w:bCs/>
                <w:color w:val="000000"/>
                <w:sz w:val="20"/>
                <w:szCs w:val="20"/>
                <w:lang w:val="en-GB"/>
              </w:rPr>
              <w:t>35_Services auxiliary to financial services and insurance Services</w:t>
            </w:r>
          </w:p>
        </w:tc>
        <w:tc>
          <w:tcPr>
            <w:tcW w:w="2410" w:type="dxa"/>
            <w:vAlign w:val="bottom"/>
          </w:tcPr>
          <w:p w:rsidR="004058C5" w:rsidRPr="00247126" w:rsidRDefault="004058C5" w:rsidP="00267145">
            <w:pPr>
              <w:spacing w:line="240" w:lineRule="auto"/>
              <w:contextualSpacing/>
              <w:rPr>
                <w:rFonts w:ascii="Times New Roman" w:hAnsi="Times New Roman" w:cs="Times New Roman"/>
                <w:sz w:val="20"/>
                <w:szCs w:val="20"/>
              </w:rPr>
            </w:pPr>
            <w:r w:rsidRPr="00247126">
              <w:rPr>
                <w:rFonts w:ascii="Times New Roman" w:hAnsi="Times New Roman" w:cs="Times New Roman"/>
                <w:sz w:val="20"/>
                <w:szCs w:val="20"/>
              </w:rPr>
              <w:t>CPA_K66</w:t>
            </w:r>
          </w:p>
        </w:tc>
      </w:tr>
      <w:tr w:rsidR="004058C5" w:rsidRPr="00247126" w:rsidTr="00267145">
        <w:tc>
          <w:tcPr>
            <w:tcW w:w="6062" w:type="dxa"/>
            <w:vAlign w:val="bottom"/>
          </w:tcPr>
          <w:p w:rsidR="004058C5" w:rsidRPr="00247126" w:rsidRDefault="004058C5" w:rsidP="00267145">
            <w:pPr>
              <w:spacing w:line="240" w:lineRule="auto"/>
              <w:contextualSpacing/>
              <w:rPr>
                <w:rFonts w:ascii="Times New Roman" w:hAnsi="Times New Roman" w:cs="Times New Roman"/>
                <w:b/>
                <w:bCs/>
                <w:color w:val="000000"/>
                <w:sz w:val="20"/>
                <w:szCs w:val="20"/>
              </w:rPr>
            </w:pPr>
            <w:r w:rsidRPr="00247126">
              <w:rPr>
                <w:rFonts w:ascii="Times New Roman" w:hAnsi="Times New Roman" w:cs="Times New Roman"/>
                <w:b/>
                <w:bCs/>
                <w:color w:val="000000"/>
                <w:sz w:val="20"/>
                <w:szCs w:val="20"/>
              </w:rPr>
              <w:t xml:space="preserve">36_Real estate </w:t>
            </w:r>
            <w:proofErr w:type="spellStart"/>
            <w:r w:rsidRPr="00247126">
              <w:rPr>
                <w:rFonts w:ascii="Times New Roman" w:hAnsi="Times New Roman" w:cs="Times New Roman"/>
                <w:b/>
                <w:bCs/>
                <w:color w:val="000000"/>
                <w:sz w:val="20"/>
                <w:szCs w:val="20"/>
              </w:rPr>
              <w:t>Services</w:t>
            </w:r>
            <w:proofErr w:type="spellEnd"/>
            <w:r w:rsidRPr="00247126">
              <w:rPr>
                <w:rFonts w:ascii="Times New Roman" w:hAnsi="Times New Roman" w:cs="Times New Roman"/>
                <w:b/>
                <w:bCs/>
                <w:color w:val="000000"/>
                <w:sz w:val="20"/>
                <w:szCs w:val="20"/>
              </w:rPr>
              <w:t xml:space="preserve"> </w:t>
            </w:r>
          </w:p>
        </w:tc>
        <w:tc>
          <w:tcPr>
            <w:tcW w:w="2410" w:type="dxa"/>
            <w:vAlign w:val="bottom"/>
          </w:tcPr>
          <w:p w:rsidR="004058C5" w:rsidRPr="00247126" w:rsidRDefault="004058C5" w:rsidP="00267145">
            <w:pPr>
              <w:spacing w:line="240" w:lineRule="auto"/>
              <w:contextualSpacing/>
              <w:rPr>
                <w:rFonts w:ascii="Times New Roman" w:hAnsi="Times New Roman" w:cs="Times New Roman"/>
                <w:sz w:val="20"/>
                <w:szCs w:val="20"/>
              </w:rPr>
            </w:pPr>
            <w:r w:rsidRPr="00247126">
              <w:rPr>
                <w:rFonts w:ascii="Times New Roman" w:hAnsi="Times New Roman" w:cs="Times New Roman"/>
                <w:sz w:val="20"/>
                <w:szCs w:val="20"/>
              </w:rPr>
              <w:t>CPA_L68</w:t>
            </w:r>
          </w:p>
        </w:tc>
      </w:tr>
      <w:tr w:rsidR="004058C5" w:rsidRPr="00247126" w:rsidTr="00267145">
        <w:tc>
          <w:tcPr>
            <w:tcW w:w="6062" w:type="dxa"/>
            <w:vAlign w:val="bottom"/>
          </w:tcPr>
          <w:p w:rsidR="004058C5" w:rsidRPr="00247126" w:rsidRDefault="004058C5" w:rsidP="00267145">
            <w:pPr>
              <w:spacing w:line="240" w:lineRule="auto"/>
              <w:contextualSpacing/>
              <w:rPr>
                <w:rFonts w:ascii="Times New Roman" w:hAnsi="Times New Roman" w:cs="Times New Roman"/>
                <w:b/>
                <w:bCs/>
                <w:color w:val="000000"/>
                <w:sz w:val="20"/>
                <w:szCs w:val="20"/>
              </w:rPr>
            </w:pPr>
            <w:r w:rsidRPr="00247126">
              <w:rPr>
                <w:rFonts w:ascii="Times New Roman" w:hAnsi="Times New Roman" w:cs="Times New Roman"/>
                <w:b/>
                <w:bCs/>
                <w:color w:val="000000"/>
                <w:sz w:val="20"/>
                <w:szCs w:val="20"/>
              </w:rPr>
              <w:t xml:space="preserve">37_Rental and leasing </w:t>
            </w:r>
            <w:proofErr w:type="spellStart"/>
            <w:r w:rsidRPr="00247126">
              <w:rPr>
                <w:rFonts w:ascii="Times New Roman" w:hAnsi="Times New Roman" w:cs="Times New Roman"/>
                <w:b/>
                <w:bCs/>
                <w:color w:val="000000"/>
                <w:sz w:val="20"/>
                <w:szCs w:val="20"/>
              </w:rPr>
              <w:t>Services</w:t>
            </w:r>
            <w:proofErr w:type="spellEnd"/>
          </w:p>
        </w:tc>
        <w:tc>
          <w:tcPr>
            <w:tcW w:w="2410" w:type="dxa"/>
            <w:vAlign w:val="bottom"/>
          </w:tcPr>
          <w:p w:rsidR="004058C5" w:rsidRPr="00247126" w:rsidRDefault="004058C5" w:rsidP="00267145">
            <w:pPr>
              <w:spacing w:line="240" w:lineRule="auto"/>
              <w:contextualSpacing/>
              <w:rPr>
                <w:rFonts w:ascii="Times New Roman" w:hAnsi="Times New Roman" w:cs="Times New Roman"/>
                <w:sz w:val="20"/>
                <w:szCs w:val="20"/>
              </w:rPr>
            </w:pPr>
            <w:r w:rsidRPr="00247126">
              <w:rPr>
                <w:rFonts w:ascii="Times New Roman" w:hAnsi="Times New Roman" w:cs="Times New Roman"/>
                <w:sz w:val="20"/>
                <w:szCs w:val="20"/>
              </w:rPr>
              <w:t>CPA_N77</w:t>
            </w:r>
          </w:p>
        </w:tc>
      </w:tr>
      <w:tr w:rsidR="004058C5" w:rsidRPr="00247126" w:rsidTr="00267145">
        <w:tc>
          <w:tcPr>
            <w:tcW w:w="6062" w:type="dxa"/>
            <w:vAlign w:val="bottom"/>
          </w:tcPr>
          <w:p w:rsidR="004058C5" w:rsidRPr="00247126" w:rsidRDefault="004058C5" w:rsidP="00267145">
            <w:pPr>
              <w:spacing w:line="240" w:lineRule="auto"/>
              <w:contextualSpacing/>
              <w:rPr>
                <w:rFonts w:ascii="Times New Roman" w:hAnsi="Times New Roman" w:cs="Times New Roman"/>
                <w:b/>
                <w:bCs/>
                <w:color w:val="000000"/>
                <w:sz w:val="20"/>
                <w:szCs w:val="20"/>
                <w:lang w:val="en-US"/>
              </w:rPr>
            </w:pPr>
            <w:r w:rsidRPr="00247126">
              <w:rPr>
                <w:rFonts w:ascii="Times New Roman" w:hAnsi="Times New Roman" w:cs="Times New Roman"/>
                <w:b/>
                <w:bCs/>
                <w:color w:val="000000"/>
                <w:sz w:val="20"/>
                <w:szCs w:val="20"/>
                <w:lang w:val="en-GB"/>
              </w:rPr>
              <w:t>38_Computer programming, information and consultancy Services</w:t>
            </w:r>
          </w:p>
        </w:tc>
        <w:tc>
          <w:tcPr>
            <w:tcW w:w="2410" w:type="dxa"/>
            <w:vAlign w:val="bottom"/>
          </w:tcPr>
          <w:p w:rsidR="004058C5" w:rsidRPr="00247126" w:rsidRDefault="004058C5" w:rsidP="00267145">
            <w:pPr>
              <w:spacing w:line="240" w:lineRule="auto"/>
              <w:contextualSpacing/>
              <w:rPr>
                <w:rFonts w:ascii="Times New Roman" w:hAnsi="Times New Roman" w:cs="Times New Roman"/>
                <w:sz w:val="20"/>
                <w:szCs w:val="20"/>
              </w:rPr>
            </w:pPr>
            <w:r w:rsidRPr="00247126">
              <w:rPr>
                <w:rFonts w:ascii="Times New Roman" w:hAnsi="Times New Roman" w:cs="Times New Roman"/>
                <w:sz w:val="20"/>
                <w:szCs w:val="20"/>
              </w:rPr>
              <w:t>CPA_J62_J63</w:t>
            </w:r>
          </w:p>
        </w:tc>
      </w:tr>
      <w:tr w:rsidR="004058C5" w:rsidRPr="00247126" w:rsidTr="00267145">
        <w:tc>
          <w:tcPr>
            <w:tcW w:w="6062" w:type="dxa"/>
            <w:vAlign w:val="bottom"/>
          </w:tcPr>
          <w:p w:rsidR="004058C5" w:rsidRPr="00247126" w:rsidRDefault="004058C5" w:rsidP="00267145">
            <w:pPr>
              <w:spacing w:line="240" w:lineRule="auto"/>
              <w:contextualSpacing/>
              <w:rPr>
                <w:rFonts w:ascii="Times New Roman" w:hAnsi="Times New Roman" w:cs="Times New Roman"/>
                <w:b/>
                <w:bCs/>
                <w:color w:val="000000"/>
                <w:sz w:val="20"/>
                <w:szCs w:val="20"/>
                <w:lang w:val="en-US"/>
              </w:rPr>
            </w:pPr>
            <w:r w:rsidRPr="00247126">
              <w:rPr>
                <w:rFonts w:ascii="Times New Roman" w:hAnsi="Times New Roman" w:cs="Times New Roman"/>
                <w:b/>
                <w:bCs/>
                <w:color w:val="000000"/>
                <w:sz w:val="20"/>
                <w:szCs w:val="20"/>
                <w:lang w:val="en-GB"/>
              </w:rPr>
              <w:t>39_Scientific Research and Development Services</w:t>
            </w:r>
          </w:p>
        </w:tc>
        <w:tc>
          <w:tcPr>
            <w:tcW w:w="2410" w:type="dxa"/>
            <w:vAlign w:val="bottom"/>
          </w:tcPr>
          <w:p w:rsidR="004058C5" w:rsidRPr="00247126" w:rsidRDefault="004058C5" w:rsidP="00267145">
            <w:pPr>
              <w:spacing w:line="240" w:lineRule="auto"/>
              <w:contextualSpacing/>
              <w:rPr>
                <w:rFonts w:ascii="Times New Roman" w:hAnsi="Times New Roman" w:cs="Times New Roman"/>
                <w:sz w:val="20"/>
                <w:szCs w:val="20"/>
              </w:rPr>
            </w:pPr>
            <w:r w:rsidRPr="00247126">
              <w:rPr>
                <w:rFonts w:ascii="Times New Roman" w:hAnsi="Times New Roman" w:cs="Times New Roman"/>
                <w:sz w:val="20"/>
                <w:szCs w:val="20"/>
              </w:rPr>
              <w:t>CPA_M72</w:t>
            </w:r>
          </w:p>
        </w:tc>
      </w:tr>
      <w:tr w:rsidR="004058C5" w:rsidRPr="00247126" w:rsidTr="00267145">
        <w:tc>
          <w:tcPr>
            <w:tcW w:w="6062" w:type="dxa"/>
            <w:vAlign w:val="bottom"/>
          </w:tcPr>
          <w:p w:rsidR="004058C5" w:rsidRPr="00247126" w:rsidRDefault="004058C5" w:rsidP="00267145">
            <w:pPr>
              <w:spacing w:line="240" w:lineRule="auto"/>
              <w:contextualSpacing/>
              <w:rPr>
                <w:rFonts w:ascii="Times New Roman" w:hAnsi="Times New Roman" w:cs="Times New Roman"/>
                <w:b/>
                <w:bCs/>
                <w:color w:val="000000"/>
                <w:sz w:val="20"/>
                <w:szCs w:val="20"/>
              </w:rPr>
            </w:pPr>
            <w:r w:rsidRPr="00247126">
              <w:rPr>
                <w:rFonts w:ascii="Times New Roman" w:hAnsi="Times New Roman" w:cs="Times New Roman"/>
                <w:b/>
                <w:bCs/>
                <w:color w:val="000000"/>
                <w:sz w:val="20"/>
                <w:szCs w:val="20"/>
              </w:rPr>
              <w:t xml:space="preserve">40_Other </w:t>
            </w:r>
            <w:proofErr w:type="spellStart"/>
            <w:r w:rsidRPr="00247126">
              <w:rPr>
                <w:rFonts w:ascii="Times New Roman" w:hAnsi="Times New Roman" w:cs="Times New Roman"/>
                <w:b/>
                <w:bCs/>
                <w:color w:val="000000"/>
                <w:sz w:val="20"/>
                <w:szCs w:val="20"/>
              </w:rPr>
              <w:t>Services</w:t>
            </w:r>
            <w:proofErr w:type="spellEnd"/>
          </w:p>
        </w:tc>
        <w:tc>
          <w:tcPr>
            <w:tcW w:w="2410" w:type="dxa"/>
            <w:vAlign w:val="bottom"/>
          </w:tcPr>
          <w:p w:rsidR="004058C5" w:rsidRPr="00247126" w:rsidRDefault="004058C5" w:rsidP="00267145">
            <w:pPr>
              <w:spacing w:line="240" w:lineRule="auto"/>
              <w:contextualSpacing/>
              <w:rPr>
                <w:rFonts w:ascii="Times New Roman" w:hAnsi="Times New Roman" w:cs="Times New Roman"/>
                <w:sz w:val="20"/>
                <w:szCs w:val="20"/>
              </w:rPr>
            </w:pPr>
            <w:r w:rsidRPr="00247126">
              <w:rPr>
                <w:rFonts w:ascii="Times New Roman" w:hAnsi="Times New Roman" w:cs="Times New Roman"/>
                <w:sz w:val="20"/>
                <w:szCs w:val="20"/>
              </w:rPr>
              <w:t>CPA_M74_M75</w:t>
            </w:r>
          </w:p>
        </w:tc>
      </w:tr>
      <w:tr w:rsidR="004058C5" w:rsidRPr="00247126" w:rsidTr="00267145">
        <w:tc>
          <w:tcPr>
            <w:tcW w:w="6062" w:type="dxa"/>
            <w:vAlign w:val="bottom"/>
          </w:tcPr>
          <w:p w:rsidR="004058C5" w:rsidRPr="00247126" w:rsidRDefault="004058C5" w:rsidP="00267145">
            <w:pPr>
              <w:spacing w:line="240" w:lineRule="auto"/>
              <w:contextualSpacing/>
              <w:rPr>
                <w:rFonts w:ascii="Times New Roman" w:hAnsi="Times New Roman" w:cs="Times New Roman"/>
                <w:b/>
                <w:bCs/>
                <w:color w:val="000000"/>
                <w:sz w:val="20"/>
                <w:szCs w:val="20"/>
              </w:rPr>
            </w:pPr>
            <w:r w:rsidRPr="00247126">
              <w:rPr>
                <w:rFonts w:ascii="Times New Roman" w:hAnsi="Times New Roman" w:cs="Times New Roman"/>
                <w:b/>
                <w:bCs/>
                <w:color w:val="000000"/>
                <w:sz w:val="20"/>
                <w:szCs w:val="20"/>
                <w:lang w:val="en-GB"/>
              </w:rPr>
              <w:t>41_Public Services</w:t>
            </w:r>
          </w:p>
        </w:tc>
        <w:tc>
          <w:tcPr>
            <w:tcW w:w="2410" w:type="dxa"/>
            <w:vAlign w:val="bottom"/>
          </w:tcPr>
          <w:p w:rsidR="004058C5" w:rsidRPr="00247126" w:rsidRDefault="004058C5" w:rsidP="00267145">
            <w:pPr>
              <w:spacing w:line="240" w:lineRule="auto"/>
              <w:contextualSpacing/>
              <w:rPr>
                <w:rFonts w:ascii="Times New Roman" w:hAnsi="Times New Roman" w:cs="Times New Roman"/>
                <w:sz w:val="20"/>
                <w:szCs w:val="20"/>
              </w:rPr>
            </w:pPr>
            <w:r w:rsidRPr="00247126">
              <w:rPr>
                <w:rFonts w:ascii="Times New Roman" w:hAnsi="Times New Roman" w:cs="Times New Roman"/>
                <w:sz w:val="20"/>
                <w:szCs w:val="20"/>
              </w:rPr>
              <w:t>CPA_O84</w:t>
            </w:r>
          </w:p>
        </w:tc>
      </w:tr>
      <w:tr w:rsidR="004058C5" w:rsidRPr="00247126" w:rsidTr="00267145">
        <w:tc>
          <w:tcPr>
            <w:tcW w:w="6062" w:type="dxa"/>
            <w:vAlign w:val="bottom"/>
          </w:tcPr>
          <w:p w:rsidR="004058C5" w:rsidRPr="00247126" w:rsidRDefault="004058C5" w:rsidP="00267145">
            <w:pPr>
              <w:spacing w:line="240" w:lineRule="auto"/>
              <w:contextualSpacing/>
              <w:rPr>
                <w:rFonts w:ascii="Times New Roman" w:hAnsi="Times New Roman" w:cs="Times New Roman"/>
                <w:b/>
                <w:bCs/>
                <w:color w:val="000000"/>
                <w:sz w:val="20"/>
                <w:szCs w:val="20"/>
              </w:rPr>
            </w:pPr>
            <w:r w:rsidRPr="00247126">
              <w:rPr>
                <w:rFonts w:ascii="Times New Roman" w:hAnsi="Times New Roman" w:cs="Times New Roman"/>
                <w:b/>
                <w:bCs/>
                <w:color w:val="000000"/>
                <w:sz w:val="20"/>
                <w:szCs w:val="20"/>
              </w:rPr>
              <w:t xml:space="preserve">42_Education </w:t>
            </w:r>
            <w:proofErr w:type="spellStart"/>
            <w:r w:rsidRPr="00247126">
              <w:rPr>
                <w:rFonts w:ascii="Times New Roman" w:hAnsi="Times New Roman" w:cs="Times New Roman"/>
                <w:b/>
                <w:bCs/>
                <w:color w:val="000000"/>
                <w:sz w:val="20"/>
                <w:szCs w:val="20"/>
              </w:rPr>
              <w:t>Services</w:t>
            </w:r>
            <w:proofErr w:type="spellEnd"/>
          </w:p>
        </w:tc>
        <w:tc>
          <w:tcPr>
            <w:tcW w:w="2410" w:type="dxa"/>
            <w:vAlign w:val="bottom"/>
          </w:tcPr>
          <w:p w:rsidR="004058C5" w:rsidRPr="00247126" w:rsidRDefault="004058C5" w:rsidP="00267145">
            <w:pPr>
              <w:spacing w:line="240" w:lineRule="auto"/>
              <w:contextualSpacing/>
              <w:rPr>
                <w:rFonts w:ascii="Times New Roman" w:hAnsi="Times New Roman" w:cs="Times New Roman"/>
                <w:sz w:val="20"/>
                <w:szCs w:val="20"/>
              </w:rPr>
            </w:pPr>
            <w:r w:rsidRPr="00247126">
              <w:rPr>
                <w:rFonts w:ascii="Times New Roman" w:hAnsi="Times New Roman" w:cs="Times New Roman"/>
                <w:sz w:val="20"/>
                <w:szCs w:val="20"/>
              </w:rPr>
              <w:t>CPA_P85</w:t>
            </w:r>
          </w:p>
        </w:tc>
      </w:tr>
      <w:tr w:rsidR="004058C5" w:rsidRPr="00247126" w:rsidTr="00267145">
        <w:tc>
          <w:tcPr>
            <w:tcW w:w="6062" w:type="dxa"/>
            <w:vAlign w:val="bottom"/>
          </w:tcPr>
          <w:p w:rsidR="004058C5" w:rsidRPr="00247126" w:rsidRDefault="004058C5" w:rsidP="00267145">
            <w:pPr>
              <w:spacing w:line="240" w:lineRule="auto"/>
              <w:contextualSpacing/>
              <w:rPr>
                <w:rFonts w:ascii="Times New Roman" w:hAnsi="Times New Roman" w:cs="Times New Roman"/>
                <w:b/>
                <w:bCs/>
                <w:color w:val="000000"/>
                <w:sz w:val="20"/>
                <w:szCs w:val="20"/>
              </w:rPr>
            </w:pPr>
            <w:r w:rsidRPr="00247126">
              <w:rPr>
                <w:rFonts w:ascii="Times New Roman" w:hAnsi="Times New Roman" w:cs="Times New Roman"/>
                <w:b/>
                <w:bCs/>
                <w:color w:val="000000"/>
                <w:sz w:val="20"/>
                <w:szCs w:val="20"/>
              </w:rPr>
              <w:t xml:space="preserve">43_Health and Social </w:t>
            </w:r>
            <w:proofErr w:type="spellStart"/>
            <w:r w:rsidRPr="00247126">
              <w:rPr>
                <w:rFonts w:ascii="Times New Roman" w:hAnsi="Times New Roman" w:cs="Times New Roman"/>
                <w:b/>
                <w:bCs/>
                <w:color w:val="000000"/>
                <w:sz w:val="20"/>
                <w:szCs w:val="20"/>
              </w:rPr>
              <w:t>Services</w:t>
            </w:r>
            <w:proofErr w:type="spellEnd"/>
          </w:p>
        </w:tc>
        <w:tc>
          <w:tcPr>
            <w:tcW w:w="2410" w:type="dxa"/>
            <w:vAlign w:val="bottom"/>
          </w:tcPr>
          <w:p w:rsidR="004058C5" w:rsidRPr="00247126" w:rsidRDefault="004058C5" w:rsidP="00267145">
            <w:pPr>
              <w:spacing w:line="240" w:lineRule="auto"/>
              <w:contextualSpacing/>
              <w:rPr>
                <w:rFonts w:ascii="Times New Roman" w:hAnsi="Times New Roman" w:cs="Times New Roman"/>
                <w:sz w:val="20"/>
                <w:szCs w:val="20"/>
              </w:rPr>
            </w:pPr>
            <w:r w:rsidRPr="00247126">
              <w:rPr>
                <w:rFonts w:ascii="Times New Roman" w:hAnsi="Times New Roman" w:cs="Times New Roman"/>
                <w:sz w:val="20"/>
                <w:szCs w:val="20"/>
              </w:rPr>
              <w:t>CPA_Q86-Q87</w:t>
            </w:r>
          </w:p>
        </w:tc>
      </w:tr>
      <w:tr w:rsidR="004058C5" w:rsidRPr="00247126" w:rsidTr="00267145">
        <w:tc>
          <w:tcPr>
            <w:tcW w:w="6062" w:type="dxa"/>
            <w:vAlign w:val="bottom"/>
          </w:tcPr>
          <w:p w:rsidR="004058C5" w:rsidRPr="00247126" w:rsidRDefault="004058C5" w:rsidP="00267145">
            <w:pPr>
              <w:spacing w:line="240" w:lineRule="auto"/>
              <w:contextualSpacing/>
              <w:rPr>
                <w:rFonts w:ascii="Times New Roman" w:hAnsi="Times New Roman" w:cs="Times New Roman"/>
                <w:b/>
                <w:bCs/>
                <w:color w:val="000000"/>
                <w:sz w:val="20"/>
                <w:szCs w:val="20"/>
                <w:lang w:val="en-US"/>
              </w:rPr>
            </w:pPr>
            <w:r w:rsidRPr="00247126">
              <w:rPr>
                <w:rFonts w:ascii="Times New Roman" w:hAnsi="Times New Roman" w:cs="Times New Roman"/>
                <w:b/>
                <w:bCs/>
                <w:color w:val="000000"/>
                <w:sz w:val="20"/>
                <w:szCs w:val="20"/>
                <w:lang w:val="en-GB"/>
              </w:rPr>
              <w:t>44_Services furnished by membership organisations</w:t>
            </w:r>
          </w:p>
        </w:tc>
        <w:tc>
          <w:tcPr>
            <w:tcW w:w="2410" w:type="dxa"/>
            <w:vAlign w:val="bottom"/>
          </w:tcPr>
          <w:p w:rsidR="004058C5" w:rsidRPr="00247126" w:rsidRDefault="004058C5" w:rsidP="00267145">
            <w:pPr>
              <w:spacing w:line="240" w:lineRule="auto"/>
              <w:contextualSpacing/>
              <w:rPr>
                <w:rFonts w:ascii="Times New Roman" w:hAnsi="Times New Roman" w:cs="Times New Roman"/>
                <w:sz w:val="20"/>
                <w:szCs w:val="20"/>
              </w:rPr>
            </w:pPr>
            <w:r w:rsidRPr="00247126">
              <w:rPr>
                <w:rFonts w:ascii="Times New Roman" w:hAnsi="Times New Roman" w:cs="Times New Roman"/>
                <w:sz w:val="20"/>
                <w:szCs w:val="20"/>
              </w:rPr>
              <w:t>CPA_S94</w:t>
            </w:r>
          </w:p>
        </w:tc>
      </w:tr>
      <w:tr w:rsidR="004058C5" w:rsidRPr="00247126" w:rsidTr="00267145">
        <w:tc>
          <w:tcPr>
            <w:tcW w:w="6062" w:type="dxa"/>
            <w:vAlign w:val="bottom"/>
          </w:tcPr>
          <w:p w:rsidR="004058C5" w:rsidRPr="00247126" w:rsidRDefault="004058C5" w:rsidP="00267145">
            <w:pPr>
              <w:spacing w:line="240" w:lineRule="auto"/>
              <w:contextualSpacing/>
              <w:rPr>
                <w:rFonts w:ascii="Times New Roman" w:hAnsi="Times New Roman" w:cs="Times New Roman"/>
                <w:b/>
                <w:bCs/>
                <w:color w:val="000000"/>
                <w:sz w:val="20"/>
                <w:szCs w:val="20"/>
                <w:lang w:val="en-US"/>
              </w:rPr>
            </w:pPr>
            <w:r w:rsidRPr="00247126">
              <w:rPr>
                <w:rFonts w:ascii="Times New Roman" w:hAnsi="Times New Roman" w:cs="Times New Roman"/>
                <w:b/>
                <w:bCs/>
                <w:color w:val="000000"/>
                <w:sz w:val="20"/>
                <w:szCs w:val="20"/>
                <w:lang w:val="en-GB"/>
              </w:rPr>
              <w:t>45_Sporting, amusement and recreation Services</w:t>
            </w:r>
          </w:p>
        </w:tc>
        <w:tc>
          <w:tcPr>
            <w:tcW w:w="2410" w:type="dxa"/>
            <w:vAlign w:val="bottom"/>
          </w:tcPr>
          <w:p w:rsidR="004058C5" w:rsidRPr="00247126" w:rsidRDefault="004058C5" w:rsidP="00267145">
            <w:pPr>
              <w:spacing w:line="240" w:lineRule="auto"/>
              <w:contextualSpacing/>
              <w:rPr>
                <w:rFonts w:ascii="Times New Roman" w:hAnsi="Times New Roman" w:cs="Times New Roman"/>
                <w:sz w:val="20"/>
                <w:szCs w:val="20"/>
              </w:rPr>
            </w:pPr>
            <w:r w:rsidRPr="00247126">
              <w:rPr>
                <w:rFonts w:ascii="Times New Roman" w:hAnsi="Times New Roman" w:cs="Times New Roman"/>
                <w:sz w:val="20"/>
                <w:szCs w:val="20"/>
              </w:rPr>
              <w:t>CPA_R90-R93</w:t>
            </w:r>
          </w:p>
        </w:tc>
      </w:tr>
      <w:tr w:rsidR="004058C5" w:rsidRPr="00247126" w:rsidTr="00267145">
        <w:tc>
          <w:tcPr>
            <w:tcW w:w="6062" w:type="dxa"/>
            <w:vAlign w:val="bottom"/>
          </w:tcPr>
          <w:p w:rsidR="004058C5" w:rsidRPr="00247126" w:rsidRDefault="004058C5" w:rsidP="00267145">
            <w:pPr>
              <w:spacing w:line="240" w:lineRule="auto"/>
              <w:contextualSpacing/>
              <w:rPr>
                <w:rFonts w:ascii="Times New Roman" w:hAnsi="Times New Roman" w:cs="Times New Roman"/>
                <w:b/>
                <w:bCs/>
                <w:color w:val="000000"/>
                <w:sz w:val="20"/>
                <w:szCs w:val="20"/>
              </w:rPr>
            </w:pPr>
            <w:r w:rsidRPr="00247126">
              <w:rPr>
                <w:rFonts w:ascii="Times New Roman" w:hAnsi="Times New Roman" w:cs="Times New Roman"/>
                <w:b/>
                <w:bCs/>
                <w:color w:val="000000"/>
                <w:sz w:val="20"/>
                <w:szCs w:val="20"/>
              </w:rPr>
              <w:t xml:space="preserve">46_Other personal </w:t>
            </w:r>
            <w:proofErr w:type="spellStart"/>
            <w:r w:rsidRPr="00247126">
              <w:rPr>
                <w:rFonts w:ascii="Times New Roman" w:hAnsi="Times New Roman" w:cs="Times New Roman"/>
                <w:b/>
                <w:bCs/>
                <w:color w:val="000000"/>
                <w:sz w:val="20"/>
                <w:szCs w:val="20"/>
              </w:rPr>
              <w:t>Services</w:t>
            </w:r>
            <w:proofErr w:type="spellEnd"/>
          </w:p>
        </w:tc>
        <w:tc>
          <w:tcPr>
            <w:tcW w:w="2410" w:type="dxa"/>
            <w:vAlign w:val="bottom"/>
          </w:tcPr>
          <w:p w:rsidR="004058C5" w:rsidRPr="00247126" w:rsidRDefault="004058C5" w:rsidP="00267145">
            <w:pPr>
              <w:spacing w:line="240" w:lineRule="auto"/>
              <w:contextualSpacing/>
              <w:rPr>
                <w:rFonts w:ascii="Times New Roman" w:hAnsi="Times New Roman" w:cs="Times New Roman"/>
                <w:sz w:val="20"/>
                <w:szCs w:val="20"/>
              </w:rPr>
            </w:pPr>
            <w:r w:rsidRPr="00247126">
              <w:rPr>
                <w:rFonts w:ascii="Times New Roman" w:hAnsi="Times New Roman" w:cs="Times New Roman"/>
                <w:sz w:val="20"/>
                <w:szCs w:val="20"/>
              </w:rPr>
              <w:t>CPA_S96</w:t>
            </w:r>
          </w:p>
        </w:tc>
      </w:tr>
    </w:tbl>
    <w:p w:rsidR="004058C5" w:rsidRPr="00247126" w:rsidRDefault="004058C5" w:rsidP="004058C5">
      <w:pPr>
        <w:autoSpaceDE w:val="0"/>
        <w:autoSpaceDN w:val="0"/>
        <w:adjustRightInd w:val="0"/>
        <w:spacing w:line="240" w:lineRule="auto"/>
        <w:contextualSpacing/>
        <w:jc w:val="both"/>
        <w:rPr>
          <w:rFonts w:ascii="Times New Roman" w:hAnsi="Times New Roman" w:cs="Times New Roman"/>
          <w:b/>
          <w:bCs/>
          <w:sz w:val="20"/>
          <w:szCs w:val="20"/>
          <w:lang w:val="en-GB"/>
        </w:rPr>
      </w:pPr>
    </w:p>
    <w:p w:rsidR="001A0A7E" w:rsidRDefault="001A0A7E" w:rsidP="001A0A7E">
      <w:pPr>
        <w:spacing w:before="240" w:after="240"/>
        <w:jc w:val="both"/>
        <w:outlineLvl w:val="0"/>
        <w:rPr>
          <w:lang w:val="en-GB"/>
        </w:rPr>
      </w:pPr>
    </w:p>
    <w:sectPr w:rsidR="001A0A7E" w:rsidSect="0076464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6AF" w:rsidRDefault="00CC16AF" w:rsidP="001A0A7E">
      <w:pPr>
        <w:spacing w:after="0" w:line="240" w:lineRule="auto"/>
      </w:pPr>
      <w:r>
        <w:separator/>
      </w:r>
    </w:p>
  </w:endnote>
  <w:endnote w:type="continuationSeparator" w:id="0">
    <w:p w:rsidR="00CC16AF" w:rsidRDefault="00CC16AF" w:rsidP="001A0A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6AF" w:rsidRDefault="00CC16AF" w:rsidP="001A0A7E">
      <w:pPr>
        <w:spacing w:after="0" w:line="240" w:lineRule="auto"/>
      </w:pPr>
      <w:r>
        <w:separator/>
      </w:r>
    </w:p>
  </w:footnote>
  <w:footnote w:type="continuationSeparator" w:id="0">
    <w:p w:rsidR="00CC16AF" w:rsidRDefault="00CC16AF" w:rsidP="001A0A7E">
      <w:pPr>
        <w:spacing w:after="0" w:line="240" w:lineRule="auto"/>
      </w:pPr>
      <w:r>
        <w:continuationSeparator/>
      </w:r>
    </w:p>
  </w:footnote>
  <w:footnote w:id="1">
    <w:p w:rsidR="001A0A7E" w:rsidRPr="00ED7C97" w:rsidRDefault="001A0A7E" w:rsidP="001A0A7E">
      <w:pPr>
        <w:pStyle w:val="Textonotapie"/>
        <w:rPr>
          <w:lang w:val="en-US"/>
        </w:rPr>
      </w:pPr>
      <w:r>
        <w:rPr>
          <w:rStyle w:val="Refdenotaalpie"/>
        </w:rPr>
        <w:footnoteRef/>
      </w:r>
      <w:r w:rsidRPr="003A35ED">
        <w:rPr>
          <w:lang w:val="en-GB"/>
        </w:rPr>
        <w:t xml:space="preserve"> </w:t>
      </w:r>
      <w:proofErr w:type="gramStart"/>
      <w:r>
        <w:rPr>
          <w:lang w:val="en-GB"/>
        </w:rPr>
        <w:t>Energy Efficiency Plan 2011, COM (2011) 0109.</w:t>
      </w:r>
      <w:proofErr w:type="gramEnd"/>
    </w:p>
  </w:footnote>
  <w:footnote w:id="2">
    <w:p w:rsidR="001A0A7E" w:rsidRDefault="001A0A7E" w:rsidP="001A0A7E">
      <w:pPr>
        <w:pStyle w:val="Textonotapie"/>
        <w:rPr>
          <w:lang w:val="en-GB"/>
        </w:rPr>
      </w:pPr>
      <w:r>
        <w:rPr>
          <w:rStyle w:val="Refdenotaalpie"/>
        </w:rPr>
        <w:footnoteRef/>
      </w:r>
      <w:r w:rsidRPr="00106246">
        <w:rPr>
          <w:lang w:val="en-GB"/>
        </w:rPr>
        <w:t xml:space="preserve"> </w:t>
      </w:r>
      <w:r>
        <w:rPr>
          <w:lang w:val="en-GB"/>
        </w:rPr>
        <w:t xml:space="preserve">See </w:t>
      </w:r>
      <w:r w:rsidRPr="00106246">
        <w:rPr>
          <w:lang w:val="en-GB"/>
        </w:rPr>
        <w:t>“A Roadmap for moving to a co</w:t>
      </w:r>
      <w:r>
        <w:rPr>
          <w:lang w:val="en-GB"/>
        </w:rPr>
        <w:t xml:space="preserve">mpetitive low carbon economy in </w:t>
      </w:r>
      <w:smartTag w:uri="urn:schemas-microsoft-com:office:smarttags" w:element="metricconverter">
        <w:smartTagPr>
          <w:attr w:name="ProductID" w:val="2050”"/>
        </w:smartTagPr>
        <w:r w:rsidRPr="00106246">
          <w:rPr>
            <w:lang w:val="en-GB"/>
          </w:rPr>
          <w:t>2050”</w:t>
        </w:r>
      </w:smartTag>
      <w:r w:rsidRPr="00106246">
        <w:rPr>
          <w:lang w:val="en-GB"/>
        </w:rPr>
        <w:t>, COM (2011)112.</w:t>
      </w:r>
    </w:p>
    <w:p w:rsidR="001A0A7E" w:rsidRPr="00ED7C97" w:rsidRDefault="001A0A7E" w:rsidP="001A0A7E">
      <w:pPr>
        <w:pStyle w:val="Textonotapie"/>
        <w:rPr>
          <w:lang w:val="en-US"/>
        </w:rPr>
      </w:pPr>
    </w:p>
  </w:footnote>
  <w:footnote w:id="3">
    <w:p w:rsidR="001A0A7E" w:rsidRPr="00281949" w:rsidRDefault="001A0A7E" w:rsidP="001A0A7E">
      <w:pPr>
        <w:pStyle w:val="Textonotapie"/>
        <w:jc w:val="both"/>
        <w:rPr>
          <w:color w:val="FF0000"/>
          <w:lang w:val="en-US"/>
        </w:rPr>
      </w:pPr>
      <w:r w:rsidRPr="00B632B8">
        <w:rPr>
          <w:vertAlign w:val="superscript"/>
          <w:lang w:val="en-GB"/>
        </w:rPr>
        <w:t>3</w:t>
      </w:r>
      <w:r>
        <w:rPr>
          <w:lang w:val="en-GB"/>
        </w:rPr>
        <w:t>The</w:t>
      </w:r>
      <w:r>
        <w:rPr>
          <w:lang w:val="en-US"/>
        </w:rPr>
        <w:t xml:space="preserve"> information about efficiency losses in the transmission and distribution of electricity has been obtained from a subset of the World Development Indicators annually published by the World Bank. The remaining information was extracted from the report “2020 vision: Saving our Energy” (2007) published by the Directorate-General of Energy and Transport (European Commission).</w:t>
      </w:r>
    </w:p>
  </w:footnote>
  <w:footnote w:id="4">
    <w:p w:rsidR="001A0A7E" w:rsidRPr="00814CB2" w:rsidRDefault="001A0A7E" w:rsidP="001A0A7E">
      <w:pPr>
        <w:pStyle w:val="Textonotapie"/>
        <w:rPr>
          <w:lang w:val="en-US"/>
        </w:rPr>
      </w:pPr>
      <w:r>
        <w:rPr>
          <w:rStyle w:val="Refdenotaalpie"/>
        </w:rPr>
        <w:footnoteRef/>
      </w:r>
      <w:r w:rsidRPr="00814CB2">
        <w:rPr>
          <w:lang w:val="en-US"/>
        </w:rPr>
        <w:t xml:space="preserve"> </w:t>
      </w:r>
      <w:r>
        <w:rPr>
          <w:lang w:val="en-US"/>
        </w:rPr>
        <w:t>See the e</w:t>
      </w:r>
      <w:r w:rsidRPr="00631652">
        <w:rPr>
          <w:lang w:val="en-US"/>
        </w:rPr>
        <w:t xml:space="preserve">xecutive summary of the </w:t>
      </w:r>
      <w:r>
        <w:rPr>
          <w:lang w:val="en-US"/>
        </w:rPr>
        <w:t>Energy Saving and Efficiency Action Plan 2011-2020 available at the web-side of the Spanish Ministry of Industry, Energy and Tourism.</w:t>
      </w:r>
    </w:p>
  </w:footnote>
  <w:footnote w:id="5">
    <w:p w:rsidR="001A0A7E" w:rsidRPr="00ED7C97" w:rsidRDefault="001A0A7E" w:rsidP="001A0A7E">
      <w:pPr>
        <w:pStyle w:val="Textonotapie"/>
        <w:jc w:val="both"/>
        <w:rPr>
          <w:lang w:val="en-US"/>
        </w:rPr>
      </w:pPr>
      <w:r>
        <w:rPr>
          <w:rStyle w:val="Refdenotaalpie"/>
        </w:rPr>
        <w:footnoteRef/>
      </w:r>
      <w:r w:rsidRPr="003B20E6">
        <w:rPr>
          <w:lang w:val="en-GB"/>
        </w:rPr>
        <w:t xml:space="preserve"> </w:t>
      </w:r>
      <w:r w:rsidRPr="00F94C71">
        <w:rPr>
          <w:lang w:val="en-GB"/>
        </w:rPr>
        <w:t>Using</w:t>
      </w:r>
      <w:r>
        <w:rPr>
          <w:lang w:val="en-GB"/>
        </w:rPr>
        <w:t>,</w:t>
      </w:r>
      <w:r w:rsidRPr="00F94C71">
        <w:rPr>
          <w:lang w:val="en-GB"/>
        </w:rPr>
        <w:t xml:space="preserve"> for instance, the original HEM formulation of </w:t>
      </w:r>
      <w:proofErr w:type="spellStart"/>
      <w:r w:rsidRPr="00F94C71">
        <w:rPr>
          <w:lang w:val="en-GB"/>
        </w:rPr>
        <w:t>Paelinck</w:t>
      </w:r>
      <w:proofErr w:type="spellEnd"/>
      <w:r w:rsidRPr="00F94C71">
        <w:rPr>
          <w:lang w:val="en-GB"/>
        </w:rPr>
        <w:t xml:space="preserve"> et al. (1965) where not only external linkages but also internal linkages are extracted</w:t>
      </w:r>
      <w:r>
        <w:rPr>
          <w:lang w:val="en-GB"/>
        </w:rPr>
        <w:t>, i.e</w:t>
      </w:r>
      <w:proofErr w:type="gramStart"/>
      <w:r>
        <w:rPr>
          <w:lang w:val="en-GB"/>
        </w:rPr>
        <w:t xml:space="preserve">. </w:t>
      </w:r>
      <w:proofErr w:type="gramEnd"/>
      <w:r w:rsidRPr="00091E3A">
        <w:rPr>
          <w:position w:val="-12"/>
          <w:lang w:val="en-GB"/>
        </w:rPr>
        <w:object w:dxaOrig="2580" w:dyaOrig="360">
          <v:shape id="_x0000_i1077" type="#_x0000_t75" style="width:129.05pt;height:18.35pt" o:ole="">
            <v:imagedata r:id="rId1" o:title=""/>
          </v:shape>
          <o:OLEObject Type="Embed" ProgID="Equation.DSMT4" ShapeID="_x0000_i1077" DrawAspect="Content" ObjectID="_1451051927" r:id="rId2"/>
        </w:object>
      </w:r>
      <w:r>
        <w:rPr>
          <w:lang w:val="en-GB"/>
        </w:rPr>
        <w:t>,</w:t>
      </w:r>
      <w:r w:rsidRPr="00F94C71">
        <w:rPr>
          <w:lang w:val="en-GB"/>
        </w:rPr>
        <w:t xml:space="preserve"> </w:t>
      </w:r>
      <w:r w:rsidRPr="00367294">
        <w:rPr>
          <w:lang w:val="en-GB"/>
        </w:rPr>
        <w:t>would have based the distinction between the two traditional backward indicators on the size of its final demand. Therefore, the application of this alternative HEM formulation would not be appropriate for the context of the analysis here.</w:t>
      </w:r>
      <w:r>
        <w:rPr>
          <w:lang w:val="en-GB"/>
        </w:rPr>
        <w:t xml:space="preserve"> </w:t>
      </w:r>
    </w:p>
  </w:footnote>
  <w:footnote w:id="6">
    <w:p w:rsidR="001A0A7E" w:rsidRPr="005C6FB3" w:rsidRDefault="001A0A7E" w:rsidP="001A0A7E">
      <w:pPr>
        <w:pStyle w:val="Textonotapie"/>
        <w:jc w:val="both"/>
        <w:rPr>
          <w:lang w:val="en-US"/>
        </w:rPr>
      </w:pPr>
      <w:r w:rsidRPr="00F94C71">
        <w:rPr>
          <w:rStyle w:val="Refdenotaalpie"/>
        </w:rPr>
        <w:footnoteRef/>
      </w:r>
      <w:r w:rsidRPr="00F94C71">
        <w:rPr>
          <w:lang w:val="en-GB"/>
        </w:rPr>
        <w:t xml:space="preserve"> </w:t>
      </w:r>
      <w:r w:rsidRPr="00F659F4">
        <w:rPr>
          <w:lang w:val="en-GB"/>
        </w:rPr>
        <w:t xml:space="preserve">Under </w:t>
      </w:r>
      <w:proofErr w:type="spellStart"/>
      <w:r w:rsidRPr="00F659F4">
        <w:rPr>
          <w:lang w:val="en-GB"/>
        </w:rPr>
        <w:t>Cella’s</w:t>
      </w:r>
      <w:proofErr w:type="spellEnd"/>
      <w:r w:rsidRPr="00F659F4">
        <w:rPr>
          <w:lang w:val="en-GB"/>
        </w:rPr>
        <w:t xml:space="preserve"> HEM formulation, the size of the own intermediate demand interdependencies does not have any direct impact in determining the hierarchical order of sectors. The question whether these internal linkages should be accounted for or not still remains a major source of debate in the HEM literature. This debate was first initialized by Miller (1966, 1969) in a multiregional context and later retaken in a parallel way by </w:t>
      </w:r>
      <w:proofErr w:type="spellStart"/>
      <w:r w:rsidRPr="00F659F4">
        <w:rPr>
          <w:lang w:val="en-GB"/>
        </w:rPr>
        <w:t>Guccione</w:t>
      </w:r>
      <w:proofErr w:type="spellEnd"/>
      <w:r w:rsidRPr="00F659F4">
        <w:rPr>
          <w:lang w:val="en-GB"/>
        </w:rPr>
        <w:t xml:space="preserve"> (1986) as a response to the extraction method suggested by </w:t>
      </w:r>
      <w:proofErr w:type="spellStart"/>
      <w:r w:rsidRPr="00F659F4">
        <w:rPr>
          <w:lang w:val="en-GB"/>
        </w:rPr>
        <w:t>Cella</w:t>
      </w:r>
      <w:proofErr w:type="spellEnd"/>
      <w:r w:rsidRPr="00F659F4">
        <w:rPr>
          <w:lang w:val="en-GB"/>
        </w:rPr>
        <w:t xml:space="preserve"> (1984) for addressing inter-</w:t>
      </w:r>
      <w:proofErr w:type="spellStart"/>
      <w:r w:rsidRPr="00F659F4">
        <w:rPr>
          <w:lang w:val="en-GB"/>
        </w:rPr>
        <w:t>sectoral</w:t>
      </w:r>
      <w:proofErr w:type="spellEnd"/>
      <w:r w:rsidRPr="00F659F4">
        <w:rPr>
          <w:lang w:val="en-GB"/>
        </w:rPr>
        <w:t xml:space="preserve"> analysis.</w:t>
      </w:r>
      <w:r w:rsidRPr="000D7592">
        <w:rPr>
          <w:lang w:val="en-GB"/>
        </w:rPr>
        <w:t xml:space="preserve"> </w:t>
      </w:r>
    </w:p>
  </w:footnote>
  <w:footnote w:id="7">
    <w:p w:rsidR="001A0A7E" w:rsidRPr="00ED7C97" w:rsidRDefault="001A0A7E" w:rsidP="001A0A7E">
      <w:pPr>
        <w:pStyle w:val="Textonotapie"/>
        <w:jc w:val="both"/>
        <w:rPr>
          <w:lang w:val="en-US"/>
        </w:rPr>
      </w:pPr>
      <w:r>
        <w:rPr>
          <w:rStyle w:val="Refdenotaalpie"/>
        </w:rPr>
        <w:footnoteRef/>
      </w:r>
      <w:r w:rsidRPr="008E2D9D">
        <w:rPr>
          <w:lang w:val="en-GB"/>
        </w:rPr>
        <w:t xml:space="preserve"> </w:t>
      </w:r>
      <w:r w:rsidRPr="00854E4C">
        <w:rPr>
          <w:lang w:val="en-GB"/>
        </w:rPr>
        <w:t>This explains the reason why previous studies have found strong correlation when comparing the results obtained under two traditional I-O key-sector methodologies (Miller and Lahr, 2001). This was so even though alternative HEM formulations were used for this comparison.</w:t>
      </w:r>
      <w:r>
        <w:rPr>
          <w:lang w:val="en-GB"/>
        </w:rPr>
        <w:t xml:space="preserve"> </w:t>
      </w:r>
    </w:p>
  </w:footnote>
  <w:footnote w:id="8">
    <w:p w:rsidR="001A0A7E" w:rsidRPr="006510CF" w:rsidRDefault="001A0A7E" w:rsidP="001A0A7E">
      <w:pPr>
        <w:pStyle w:val="Textonotapie"/>
        <w:jc w:val="both"/>
        <w:rPr>
          <w:lang w:val="en-US"/>
        </w:rPr>
      </w:pPr>
      <w:r w:rsidRPr="00221E7E">
        <w:rPr>
          <w:rStyle w:val="Refdenotaalpie"/>
        </w:rPr>
        <w:footnoteRef/>
      </w:r>
      <w:r w:rsidRPr="00221E7E">
        <w:rPr>
          <w:lang w:val="en-GB"/>
        </w:rPr>
        <w:t xml:space="preserve"> </w:t>
      </w:r>
      <w:r w:rsidRPr="006510CF">
        <w:rPr>
          <w:lang w:val="en-GB"/>
        </w:rPr>
        <w:t>This data set was downloaded from the official web-side of this institution (</w:t>
      </w:r>
      <w:r w:rsidR="003E1EA0">
        <w:fldChar w:fldCharType="begin"/>
      </w:r>
      <w:r w:rsidR="003E1EA0" w:rsidRPr="004702D5">
        <w:rPr>
          <w:lang w:val="en-US"/>
        </w:rPr>
        <w:instrText>HYPERLINK "http://www.ine.es/daco/daco42/cne00/cneio2000.htm"</w:instrText>
      </w:r>
      <w:r w:rsidR="003E1EA0">
        <w:fldChar w:fldCharType="separate"/>
      </w:r>
      <w:r w:rsidRPr="006510CF">
        <w:rPr>
          <w:rStyle w:val="Hipervnculo"/>
          <w:lang w:val="en-GB"/>
        </w:rPr>
        <w:t>http://www.ine.es/daco/daco42/cne00/cneio2000.htm</w:t>
      </w:r>
      <w:r w:rsidR="003E1EA0">
        <w:fldChar w:fldCharType="end"/>
      </w:r>
      <w:r w:rsidRPr="006510CF">
        <w:rPr>
          <w:lang w:val="en-GB"/>
        </w:rPr>
        <w:t xml:space="preserve">) and refers to the latest update available at that moment, December 2012. </w:t>
      </w:r>
    </w:p>
  </w:footnote>
  <w:footnote w:id="9">
    <w:p w:rsidR="001A0A7E" w:rsidRPr="006510CF" w:rsidRDefault="001A0A7E" w:rsidP="001A0A7E">
      <w:pPr>
        <w:autoSpaceDE w:val="0"/>
        <w:autoSpaceDN w:val="0"/>
        <w:adjustRightInd w:val="0"/>
        <w:jc w:val="both"/>
        <w:rPr>
          <w:rFonts w:ascii="Times New Roman" w:hAnsi="Times New Roman" w:cs="Times New Roman"/>
          <w:lang w:val="en-US"/>
        </w:rPr>
      </w:pPr>
      <w:r w:rsidRPr="006510CF">
        <w:rPr>
          <w:rStyle w:val="Refdenotaalpie"/>
          <w:sz w:val="20"/>
          <w:szCs w:val="20"/>
        </w:rPr>
        <w:footnoteRef/>
      </w:r>
      <w:r w:rsidRPr="006510CF">
        <w:rPr>
          <w:rFonts w:ascii="Times New Roman" w:hAnsi="Times New Roman" w:cs="Times New Roman"/>
          <w:lang w:val="en-GB"/>
        </w:rPr>
        <w:t xml:space="preserve"> </w:t>
      </w:r>
      <w:r>
        <w:rPr>
          <w:rFonts w:ascii="Times New Roman" w:hAnsi="Times New Roman" w:cs="Times New Roman"/>
          <w:lang w:val="en-GB"/>
        </w:rPr>
        <w:t xml:space="preserve"> </w:t>
      </w:r>
      <w:r w:rsidRPr="00F659F4">
        <w:rPr>
          <w:rFonts w:ascii="Times New Roman" w:hAnsi="Times New Roman" w:cs="Times New Roman"/>
          <w:sz w:val="20"/>
          <w:szCs w:val="20"/>
          <w:lang w:val="en-GB"/>
        </w:rPr>
        <w:t>Although in our analysis we have used the product by product industry technology assumption, i.e. the so-called Model D, the empirical exercise of the “hybrid” I-O key-sector method was replicated considering alternative methods to obtain the symmetric I-O table using the industry technology assumption, i.e. known as Model B. As expected, the numerical results were slightly different. Nevertheless, the policy implications considered in this analysis remained unaltered.</w:t>
      </w:r>
      <w:r>
        <w:rPr>
          <w:rFonts w:ascii="Times New Roman" w:hAnsi="Times New Roman" w:cs="Times New Roman"/>
          <w:sz w:val="20"/>
          <w:szCs w:val="20"/>
          <w:lang w:val="en-GB"/>
        </w:rPr>
        <w:t xml:space="preserve"> </w:t>
      </w:r>
    </w:p>
  </w:footnote>
  <w:footnote w:id="10">
    <w:p w:rsidR="001A0A7E" w:rsidRPr="001924B7" w:rsidRDefault="001A0A7E" w:rsidP="001A0A7E">
      <w:pPr>
        <w:pStyle w:val="Textonotapie"/>
        <w:jc w:val="both"/>
        <w:rPr>
          <w:lang w:val="en-GB"/>
        </w:rPr>
      </w:pPr>
      <w:r w:rsidRPr="00FA7DF0">
        <w:rPr>
          <w:rStyle w:val="Refdenotaalpie"/>
        </w:rPr>
        <w:footnoteRef/>
      </w:r>
      <w:r>
        <w:rPr>
          <w:lang w:val="en-GB"/>
        </w:rPr>
        <w:t xml:space="preserve"> This</w:t>
      </w:r>
      <w:r w:rsidRPr="00FA7DF0">
        <w:rPr>
          <w:lang w:val="en-GB"/>
        </w:rPr>
        <w:t xml:space="preserve"> author evaluates the economy-wide gross output effects of each production unit taking out fr</w:t>
      </w:r>
      <w:r>
        <w:rPr>
          <w:lang w:val="en-GB"/>
        </w:rPr>
        <w:t>om the economic system both its</w:t>
      </w:r>
      <w:r w:rsidRPr="00FA7DF0">
        <w:rPr>
          <w:lang w:val="en-GB"/>
        </w:rPr>
        <w:t xml:space="preserve"> external and internal linkages in order to quantify</w:t>
      </w:r>
      <w:r>
        <w:rPr>
          <w:lang w:val="en-GB"/>
        </w:rPr>
        <w:t xml:space="preserve"> the sectors’ relevance in the</w:t>
      </w:r>
      <w:r w:rsidRPr="00FA7DF0">
        <w:rPr>
          <w:lang w:val="en-GB"/>
        </w:rPr>
        <w:t xml:space="preserve"> economy. In addition</w:t>
      </w:r>
      <w:r>
        <w:rPr>
          <w:lang w:val="en-GB"/>
        </w:rPr>
        <w:t>,</w:t>
      </w:r>
      <w:r w:rsidRPr="00FA7DF0">
        <w:rPr>
          <w:lang w:val="en-GB"/>
        </w:rPr>
        <w:t xml:space="preserve"> </w:t>
      </w:r>
      <w:r>
        <w:rPr>
          <w:lang w:val="en-GB"/>
        </w:rPr>
        <w:t>he</w:t>
      </w:r>
      <w:r w:rsidRPr="00FA7DF0">
        <w:rPr>
          <w:lang w:val="en-GB"/>
        </w:rPr>
        <w:t xml:space="preserve"> goes a step further when hypothetically extracting a sector nullifying its fina</w:t>
      </w:r>
      <w:r>
        <w:rPr>
          <w:lang w:val="en-GB"/>
        </w:rPr>
        <w:t xml:space="preserve">l demand. Following this severe extraction </w:t>
      </w:r>
      <w:r w:rsidRPr="00FA7DF0">
        <w:rPr>
          <w:lang w:val="en-GB"/>
        </w:rPr>
        <w:t>formulation, backward indicator</w:t>
      </w:r>
      <w:r>
        <w:rPr>
          <w:lang w:val="en-GB"/>
        </w:rPr>
        <w:t xml:space="preserve">s under the HEM and the CMM turn out to be </w:t>
      </w:r>
      <w:r w:rsidRPr="00FA7DF0">
        <w:rPr>
          <w:lang w:val="en-GB"/>
        </w:rPr>
        <w:t>completely identical.</w:t>
      </w:r>
      <w:r>
        <w:rPr>
          <w:lang w:val="en-GB"/>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7D4D"/>
    <w:multiLevelType w:val="hybridMultilevel"/>
    <w:tmpl w:val="DFFA20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7282F45"/>
    <w:multiLevelType w:val="multilevel"/>
    <w:tmpl w:val="428E9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567CFA"/>
    <w:multiLevelType w:val="multilevel"/>
    <w:tmpl w:val="8946C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435223"/>
    <w:multiLevelType w:val="multilevel"/>
    <w:tmpl w:val="7960C4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F0A32DB"/>
    <w:multiLevelType w:val="multilevel"/>
    <w:tmpl w:val="804C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9830D1"/>
    <w:multiLevelType w:val="multilevel"/>
    <w:tmpl w:val="019863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542B4266"/>
    <w:multiLevelType w:val="hybridMultilevel"/>
    <w:tmpl w:val="23284020"/>
    <w:lvl w:ilvl="0" w:tplc="AB52F3FE">
      <w:start w:val="1"/>
      <w:numFmt w:val="lowerLetter"/>
      <w:lvlText w:val="%1)"/>
      <w:lvlJc w:val="left"/>
      <w:pPr>
        <w:tabs>
          <w:tab w:val="num" w:pos="405"/>
        </w:tabs>
        <w:ind w:left="405" w:hanging="360"/>
      </w:pPr>
      <w:rPr>
        <w:rFonts w:cs="Times New Roman" w:hint="default"/>
      </w:rPr>
    </w:lvl>
    <w:lvl w:ilvl="1" w:tplc="0C0A0019" w:tentative="1">
      <w:start w:val="1"/>
      <w:numFmt w:val="lowerLetter"/>
      <w:lvlText w:val="%2."/>
      <w:lvlJc w:val="left"/>
      <w:pPr>
        <w:tabs>
          <w:tab w:val="num" w:pos="1125"/>
        </w:tabs>
        <w:ind w:left="1125" w:hanging="360"/>
      </w:pPr>
      <w:rPr>
        <w:rFonts w:cs="Times New Roman"/>
      </w:rPr>
    </w:lvl>
    <w:lvl w:ilvl="2" w:tplc="0C0A001B" w:tentative="1">
      <w:start w:val="1"/>
      <w:numFmt w:val="lowerRoman"/>
      <w:lvlText w:val="%3."/>
      <w:lvlJc w:val="right"/>
      <w:pPr>
        <w:tabs>
          <w:tab w:val="num" w:pos="1845"/>
        </w:tabs>
        <w:ind w:left="1845" w:hanging="180"/>
      </w:pPr>
      <w:rPr>
        <w:rFonts w:cs="Times New Roman"/>
      </w:rPr>
    </w:lvl>
    <w:lvl w:ilvl="3" w:tplc="0C0A000F" w:tentative="1">
      <w:start w:val="1"/>
      <w:numFmt w:val="decimal"/>
      <w:lvlText w:val="%4."/>
      <w:lvlJc w:val="left"/>
      <w:pPr>
        <w:tabs>
          <w:tab w:val="num" w:pos="2565"/>
        </w:tabs>
        <w:ind w:left="2565" w:hanging="360"/>
      </w:pPr>
      <w:rPr>
        <w:rFonts w:cs="Times New Roman"/>
      </w:rPr>
    </w:lvl>
    <w:lvl w:ilvl="4" w:tplc="0C0A0019" w:tentative="1">
      <w:start w:val="1"/>
      <w:numFmt w:val="lowerLetter"/>
      <w:lvlText w:val="%5."/>
      <w:lvlJc w:val="left"/>
      <w:pPr>
        <w:tabs>
          <w:tab w:val="num" w:pos="3285"/>
        </w:tabs>
        <w:ind w:left="3285" w:hanging="360"/>
      </w:pPr>
      <w:rPr>
        <w:rFonts w:cs="Times New Roman"/>
      </w:rPr>
    </w:lvl>
    <w:lvl w:ilvl="5" w:tplc="0C0A001B" w:tentative="1">
      <w:start w:val="1"/>
      <w:numFmt w:val="lowerRoman"/>
      <w:lvlText w:val="%6."/>
      <w:lvlJc w:val="right"/>
      <w:pPr>
        <w:tabs>
          <w:tab w:val="num" w:pos="4005"/>
        </w:tabs>
        <w:ind w:left="4005" w:hanging="180"/>
      </w:pPr>
      <w:rPr>
        <w:rFonts w:cs="Times New Roman"/>
      </w:rPr>
    </w:lvl>
    <w:lvl w:ilvl="6" w:tplc="0C0A000F" w:tentative="1">
      <w:start w:val="1"/>
      <w:numFmt w:val="decimal"/>
      <w:lvlText w:val="%7."/>
      <w:lvlJc w:val="left"/>
      <w:pPr>
        <w:tabs>
          <w:tab w:val="num" w:pos="4725"/>
        </w:tabs>
        <w:ind w:left="4725" w:hanging="360"/>
      </w:pPr>
      <w:rPr>
        <w:rFonts w:cs="Times New Roman"/>
      </w:rPr>
    </w:lvl>
    <w:lvl w:ilvl="7" w:tplc="0C0A0019" w:tentative="1">
      <w:start w:val="1"/>
      <w:numFmt w:val="lowerLetter"/>
      <w:lvlText w:val="%8."/>
      <w:lvlJc w:val="left"/>
      <w:pPr>
        <w:tabs>
          <w:tab w:val="num" w:pos="5445"/>
        </w:tabs>
        <w:ind w:left="5445" w:hanging="360"/>
      </w:pPr>
      <w:rPr>
        <w:rFonts w:cs="Times New Roman"/>
      </w:rPr>
    </w:lvl>
    <w:lvl w:ilvl="8" w:tplc="0C0A001B" w:tentative="1">
      <w:start w:val="1"/>
      <w:numFmt w:val="lowerRoman"/>
      <w:lvlText w:val="%9."/>
      <w:lvlJc w:val="right"/>
      <w:pPr>
        <w:tabs>
          <w:tab w:val="num" w:pos="6165"/>
        </w:tabs>
        <w:ind w:left="6165" w:hanging="180"/>
      </w:pPr>
      <w:rPr>
        <w:rFonts w:cs="Times New Roman"/>
      </w:rPr>
    </w:lvl>
  </w:abstractNum>
  <w:abstractNum w:abstractNumId="7">
    <w:nsid w:val="627E4179"/>
    <w:multiLevelType w:val="multilevel"/>
    <w:tmpl w:val="0F2A2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0D1B1B"/>
    <w:multiLevelType w:val="multilevel"/>
    <w:tmpl w:val="099C05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6EB264D6"/>
    <w:multiLevelType w:val="multilevel"/>
    <w:tmpl w:val="B628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2"/>
  </w:num>
  <w:num w:numId="4">
    <w:abstractNumId w:val="8"/>
  </w:num>
  <w:num w:numId="5">
    <w:abstractNumId w:val="5"/>
  </w:num>
  <w:num w:numId="6">
    <w:abstractNumId w:val="3"/>
  </w:num>
  <w:num w:numId="7">
    <w:abstractNumId w:val="9"/>
  </w:num>
  <w:num w:numId="8">
    <w:abstractNumId w:val="7"/>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030988"/>
    <w:rsid w:val="00030988"/>
    <w:rsid w:val="00054567"/>
    <w:rsid w:val="000D3434"/>
    <w:rsid w:val="001A0A7E"/>
    <w:rsid w:val="003411EE"/>
    <w:rsid w:val="00395D6F"/>
    <w:rsid w:val="003E1EA0"/>
    <w:rsid w:val="003F2939"/>
    <w:rsid w:val="004058C5"/>
    <w:rsid w:val="004702D5"/>
    <w:rsid w:val="005941AB"/>
    <w:rsid w:val="005D3408"/>
    <w:rsid w:val="006C3131"/>
    <w:rsid w:val="00764648"/>
    <w:rsid w:val="007F6B48"/>
    <w:rsid w:val="009804CC"/>
    <w:rsid w:val="00A836DF"/>
    <w:rsid w:val="00CC16AF"/>
    <w:rsid w:val="00D146D0"/>
    <w:rsid w:val="00D706EF"/>
    <w:rsid w:val="00EB5313"/>
    <w:rsid w:val="00ED299F"/>
    <w:rsid w:val="00F259E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648"/>
  </w:style>
  <w:style w:type="paragraph" w:styleId="Ttulo1">
    <w:name w:val="heading 1"/>
    <w:basedOn w:val="Normal"/>
    <w:link w:val="Ttulo1Car"/>
    <w:uiPriority w:val="99"/>
    <w:qFormat/>
    <w:rsid w:val="000309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9"/>
    <w:qFormat/>
    <w:rsid w:val="001A0A7E"/>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030988"/>
    <w:rPr>
      <w:rFonts w:ascii="Times New Roman" w:eastAsia="Times New Roman" w:hAnsi="Times New Roman" w:cs="Times New Roman"/>
      <w:b/>
      <w:bCs/>
      <w:kern w:val="36"/>
      <w:sz w:val="48"/>
      <w:szCs w:val="48"/>
      <w:lang w:eastAsia="es-ES"/>
    </w:rPr>
  </w:style>
  <w:style w:type="paragraph" w:styleId="Ttulo">
    <w:name w:val="Title"/>
    <w:basedOn w:val="Normal"/>
    <w:link w:val="TtuloCar"/>
    <w:uiPriority w:val="99"/>
    <w:qFormat/>
    <w:rsid w:val="00030988"/>
    <w:pPr>
      <w:spacing w:before="240" w:after="60" w:line="240" w:lineRule="auto"/>
      <w:jc w:val="center"/>
      <w:outlineLvl w:val="0"/>
    </w:pPr>
    <w:rPr>
      <w:rFonts w:ascii="Arial" w:eastAsia="Times New Roman" w:hAnsi="Arial" w:cs="Arial"/>
      <w:b/>
      <w:bCs/>
      <w:kern w:val="28"/>
      <w:sz w:val="32"/>
      <w:szCs w:val="32"/>
      <w:lang w:eastAsia="es-ES"/>
    </w:rPr>
  </w:style>
  <w:style w:type="character" w:customStyle="1" w:styleId="TtuloCar">
    <w:name w:val="Título Car"/>
    <w:basedOn w:val="Fuentedeprrafopredeter"/>
    <w:link w:val="Ttulo"/>
    <w:uiPriority w:val="99"/>
    <w:rsid w:val="00030988"/>
    <w:rPr>
      <w:rFonts w:ascii="Arial" w:eastAsia="Times New Roman" w:hAnsi="Arial" w:cs="Arial"/>
      <w:b/>
      <w:bCs/>
      <w:kern w:val="28"/>
      <w:sz w:val="32"/>
      <w:szCs w:val="32"/>
      <w:lang w:eastAsia="es-ES"/>
    </w:rPr>
  </w:style>
  <w:style w:type="paragraph" w:styleId="Textoindependiente">
    <w:name w:val="Body Text"/>
    <w:basedOn w:val="Normal"/>
    <w:link w:val="TextoindependienteCar"/>
    <w:uiPriority w:val="99"/>
    <w:rsid w:val="00030988"/>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sid w:val="00030988"/>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0D3434"/>
    <w:rPr>
      <w:color w:val="0000FF" w:themeColor="hyperlink"/>
      <w:u w:val="single"/>
    </w:rPr>
  </w:style>
  <w:style w:type="paragraph" w:styleId="Textoindependienteprimerasangra">
    <w:name w:val="Body Text First Indent"/>
    <w:basedOn w:val="Textoindependiente"/>
    <w:link w:val="TextoindependienteprimerasangraCar"/>
    <w:uiPriority w:val="99"/>
    <w:unhideWhenUsed/>
    <w:rsid w:val="001A0A7E"/>
    <w:pPr>
      <w:spacing w:after="200" w:line="276" w:lineRule="auto"/>
      <w:ind w:firstLine="360"/>
    </w:pPr>
    <w:rPr>
      <w:rFonts w:asciiTheme="minorHAnsi" w:eastAsiaTheme="minorHAnsi" w:hAnsiTheme="minorHAnsi" w:cstheme="minorBidi"/>
      <w:sz w:val="22"/>
      <w:szCs w:val="22"/>
      <w:lang w:eastAsia="en-US"/>
    </w:rPr>
  </w:style>
  <w:style w:type="character" w:customStyle="1" w:styleId="TextoindependienteprimerasangraCar">
    <w:name w:val="Texto independiente primera sangría Car"/>
    <w:basedOn w:val="TextoindependienteCar"/>
    <w:link w:val="Textoindependienteprimerasangra"/>
    <w:uiPriority w:val="99"/>
    <w:rsid w:val="001A0A7E"/>
  </w:style>
  <w:style w:type="character" w:customStyle="1" w:styleId="Ttulo2Car">
    <w:name w:val="Título 2 Car"/>
    <w:basedOn w:val="Fuentedeprrafopredeter"/>
    <w:link w:val="Ttulo2"/>
    <w:uiPriority w:val="99"/>
    <w:rsid w:val="001A0A7E"/>
    <w:rPr>
      <w:rFonts w:ascii="Arial" w:eastAsia="Times New Roman" w:hAnsi="Arial" w:cs="Arial"/>
      <w:b/>
      <w:bCs/>
      <w:i/>
      <w:iCs/>
      <w:sz w:val="28"/>
      <w:szCs w:val="28"/>
      <w:lang w:eastAsia="es-ES"/>
    </w:rPr>
  </w:style>
  <w:style w:type="paragraph" w:styleId="Textonotapie">
    <w:name w:val="footnote text"/>
    <w:aliases w:val="Footnote text"/>
    <w:basedOn w:val="Normal"/>
    <w:link w:val="TextonotapieCar"/>
    <w:uiPriority w:val="99"/>
    <w:semiHidden/>
    <w:rsid w:val="001A0A7E"/>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ar"/>
    <w:basedOn w:val="Fuentedeprrafopredeter"/>
    <w:link w:val="Textonotapie"/>
    <w:uiPriority w:val="99"/>
    <w:semiHidden/>
    <w:rsid w:val="001A0A7E"/>
    <w:rPr>
      <w:rFonts w:ascii="Times New Roman" w:eastAsia="Times New Roman" w:hAnsi="Times New Roman" w:cs="Times New Roman"/>
      <w:sz w:val="20"/>
      <w:szCs w:val="20"/>
      <w:lang w:eastAsia="es-ES"/>
    </w:rPr>
  </w:style>
  <w:style w:type="character" w:styleId="Refdenotaalpie">
    <w:name w:val="footnote reference"/>
    <w:aliases w:val="Footnotereference"/>
    <w:basedOn w:val="Fuentedeprrafopredeter"/>
    <w:uiPriority w:val="99"/>
    <w:semiHidden/>
    <w:rsid w:val="001A0A7E"/>
    <w:rPr>
      <w:rFonts w:cs="Times New Roman"/>
      <w:vertAlign w:val="superscript"/>
    </w:rPr>
  </w:style>
  <w:style w:type="paragraph" w:styleId="NormalWeb">
    <w:name w:val="Normal (Web)"/>
    <w:basedOn w:val="Normal"/>
    <w:uiPriority w:val="99"/>
    <w:rsid w:val="001A0A7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Text">
    <w:name w:val="Default Text"/>
    <w:basedOn w:val="Normal"/>
    <w:uiPriority w:val="99"/>
    <w:rsid w:val="001A0A7E"/>
    <w:pPr>
      <w:autoSpaceDE w:val="0"/>
      <w:autoSpaceDN w:val="0"/>
      <w:adjustRightInd w:val="0"/>
      <w:spacing w:after="0" w:line="240" w:lineRule="auto"/>
      <w:ind w:left="244" w:hanging="244"/>
    </w:pPr>
    <w:rPr>
      <w:rFonts w:ascii="Times New Roman" w:eastAsia="Times New Roman" w:hAnsi="Times New Roman" w:cs="Times New Roman"/>
      <w:sz w:val="24"/>
      <w:szCs w:val="24"/>
      <w:lang w:val="ca-ES" w:eastAsia="ca-ES"/>
    </w:rPr>
  </w:style>
  <w:style w:type="paragraph" w:styleId="Piedepgina">
    <w:name w:val="footer"/>
    <w:basedOn w:val="Normal"/>
    <w:link w:val="PiedepginaCar"/>
    <w:uiPriority w:val="99"/>
    <w:rsid w:val="001A0A7E"/>
    <w:pPr>
      <w:tabs>
        <w:tab w:val="center" w:pos="4252"/>
        <w:tab w:val="right" w:pos="8504"/>
      </w:tabs>
      <w:spacing w:after="0" w:line="240" w:lineRule="auto"/>
    </w:pPr>
    <w:rPr>
      <w:rFonts w:ascii="Times New Roman" w:eastAsia="Times New Roman" w:hAnsi="Times New Roman" w:cs="Times New Roman"/>
      <w:sz w:val="24"/>
      <w:szCs w:val="24"/>
      <w:lang w:val="ca-ES" w:eastAsia="es-ES"/>
    </w:rPr>
  </w:style>
  <w:style w:type="character" w:customStyle="1" w:styleId="PiedepginaCar">
    <w:name w:val="Pie de página Car"/>
    <w:basedOn w:val="Fuentedeprrafopredeter"/>
    <w:link w:val="Piedepgina"/>
    <w:uiPriority w:val="99"/>
    <w:rsid w:val="001A0A7E"/>
    <w:rPr>
      <w:rFonts w:ascii="Times New Roman" w:eastAsia="Times New Roman" w:hAnsi="Times New Roman" w:cs="Times New Roman"/>
      <w:sz w:val="24"/>
      <w:szCs w:val="24"/>
      <w:lang w:val="ca-ES" w:eastAsia="es-ES"/>
    </w:rPr>
  </w:style>
  <w:style w:type="character" w:styleId="Nmerodepgina">
    <w:name w:val="page number"/>
    <w:basedOn w:val="Fuentedeprrafopredeter"/>
    <w:uiPriority w:val="99"/>
    <w:rsid w:val="001A0A7E"/>
    <w:rPr>
      <w:rFonts w:cs="Times New Roman"/>
    </w:rPr>
  </w:style>
  <w:style w:type="character" w:customStyle="1" w:styleId="apple-converted-space">
    <w:name w:val="apple-converted-space"/>
    <w:basedOn w:val="Fuentedeprrafopredeter"/>
    <w:uiPriority w:val="99"/>
    <w:rsid w:val="001A0A7E"/>
    <w:rPr>
      <w:rFonts w:cs="Times New Roman"/>
    </w:rPr>
  </w:style>
  <w:style w:type="paragraph" w:styleId="Textonotaalfinal">
    <w:name w:val="endnote text"/>
    <w:basedOn w:val="Normal"/>
    <w:link w:val="TextonotaalfinalCar"/>
    <w:uiPriority w:val="99"/>
    <w:semiHidden/>
    <w:rsid w:val="001A0A7E"/>
    <w:pPr>
      <w:spacing w:after="0" w:line="240" w:lineRule="auto"/>
    </w:pPr>
    <w:rPr>
      <w:rFonts w:ascii="Times New Roman" w:eastAsia="Times New Roman" w:hAnsi="Times New Roman" w:cs="Times New Roman"/>
      <w:sz w:val="24"/>
      <w:szCs w:val="24"/>
      <w:lang w:val="ca-ES" w:eastAsia="es-ES"/>
    </w:rPr>
  </w:style>
  <w:style w:type="character" w:customStyle="1" w:styleId="TextonotaalfinalCar">
    <w:name w:val="Texto nota al final Car"/>
    <w:basedOn w:val="Fuentedeprrafopredeter"/>
    <w:link w:val="Textonotaalfinal"/>
    <w:uiPriority w:val="99"/>
    <w:semiHidden/>
    <w:rsid w:val="001A0A7E"/>
    <w:rPr>
      <w:rFonts w:ascii="Times New Roman" w:eastAsia="Times New Roman" w:hAnsi="Times New Roman" w:cs="Times New Roman"/>
      <w:sz w:val="24"/>
      <w:szCs w:val="24"/>
      <w:lang w:val="ca-ES" w:eastAsia="es-ES"/>
    </w:rPr>
  </w:style>
  <w:style w:type="character" w:styleId="Textoennegrita">
    <w:name w:val="Strong"/>
    <w:basedOn w:val="Fuentedeprrafopredeter"/>
    <w:uiPriority w:val="99"/>
    <w:qFormat/>
    <w:rsid w:val="001A0A7E"/>
    <w:rPr>
      <w:rFonts w:cs="Times New Roman"/>
      <w:b/>
      <w:bCs/>
    </w:rPr>
  </w:style>
  <w:style w:type="paragraph" w:styleId="Encabezado">
    <w:name w:val="header"/>
    <w:basedOn w:val="Normal"/>
    <w:link w:val="EncabezadoCar"/>
    <w:uiPriority w:val="99"/>
    <w:rsid w:val="001A0A7E"/>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1A0A7E"/>
    <w:rPr>
      <w:rFonts w:ascii="Times New Roman" w:eastAsia="Times New Roman" w:hAnsi="Times New Roman" w:cs="Times New Roman"/>
      <w:sz w:val="24"/>
      <w:szCs w:val="24"/>
      <w:lang w:eastAsia="es-ES"/>
    </w:rPr>
  </w:style>
  <w:style w:type="paragraph" w:styleId="Prrafodelista">
    <w:name w:val="List Paragraph"/>
    <w:basedOn w:val="Normal"/>
    <w:uiPriority w:val="99"/>
    <w:qFormat/>
    <w:rsid w:val="001A0A7E"/>
    <w:pPr>
      <w:ind w:left="720"/>
      <w:contextualSpacing/>
    </w:pPr>
    <w:rPr>
      <w:rFonts w:ascii="Calibri" w:eastAsia="Times New Roman" w:hAnsi="Calibri" w:cs="Times New Roman"/>
    </w:rPr>
  </w:style>
  <w:style w:type="paragraph" w:styleId="Epgrafe">
    <w:name w:val="caption"/>
    <w:basedOn w:val="Normal"/>
    <w:next w:val="Normal"/>
    <w:uiPriority w:val="99"/>
    <w:qFormat/>
    <w:rsid w:val="001A0A7E"/>
    <w:pPr>
      <w:spacing w:after="0" w:line="240" w:lineRule="auto"/>
    </w:pPr>
    <w:rPr>
      <w:rFonts w:ascii="Times New Roman" w:eastAsia="Times New Roman" w:hAnsi="Times New Roman" w:cs="Times New Roman"/>
      <w:b/>
      <w:bCs/>
      <w:sz w:val="20"/>
      <w:szCs w:val="20"/>
      <w:lang w:eastAsia="es-ES"/>
    </w:rPr>
  </w:style>
  <w:style w:type="character" w:styleId="Refdenotaalfinal">
    <w:name w:val="endnote reference"/>
    <w:basedOn w:val="Fuentedeprrafopredeter"/>
    <w:uiPriority w:val="99"/>
    <w:semiHidden/>
    <w:unhideWhenUsed/>
    <w:rsid w:val="001A0A7E"/>
    <w:rPr>
      <w:vertAlign w:val="superscript"/>
    </w:rPr>
  </w:style>
  <w:style w:type="character" w:styleId="Textodelmarcadordeposicin">
    <w:name w:val="Placeholder Text"/>
    <w:basedOn w:val="Fuentedeprrafopredeter"/>
    <w:uiPriority w:val="99"/>
    <w:semiHidden/>
    <w:rsid w:val="001A0A7E"/>
    <w:rPr>
      <w:color w:val="808080"/>
    </w:rPr>
  </w:style>
  <w:style w:type="paragraph" w:styleId="Textodeglobo">
    <w:name w:val="Balloon Text"/>
    <w:basedOn w:val="Normal"/>
    <w:link w:val="TextodegloboCar"/>
    <w:uiPriority w:val="99"/>
    <w:semiHidden/>
    <w:unhideWhenUsed/>
    <w:rsid w:val="001A0A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0A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9.bin"/><Relationship Id="rId68" Type="http://schemas.openxmlformats.org/officeDocument/2006/relationships/oleObject" Target="embeddings/oleObject32.bin"/><Relationship Id="rId84" Type="http://schemas.openxmlformats.org/officeDocument/2006/relationships/image" Target="media/image38.wmf"/><Relationship Id="rId89" Type="http://schemas.openxmlformats.org/officeDocument/2006/relationships/oleObject" Target="embeddings/oleObject44.bin"/><Relationship Id="rId7" Type="http://schemas.openxmlformats.org/officeDocument/2006/relationships/hyperlink" Target="mailto:anaisabelguerra@ugr.es" TargetMode="External"/><Relationship Id="rId71" Type="http://schemas.openxmlformats.org/officeDocument/2006/relationships/image" Target="media/image33.wmf"/><Relationship Id="rId92" Type="http://schemas.openxmlformats.org/officeDocument/2006/relationships/image" Target="media/image42.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07" Type="http://schemas.openxmlformats.org/officeDocument/2006/relationships/fontTable" Target="fontTable.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4.wmf"/><Relationship Id="rId79" Type="http://schemas.openxmlformats.org/officeDocument/2006/relationships/oleObject" Target="embeddings/oleObject38.bin"/><Relationship Id="rId87" Type="http://schemas.openxmlformats.org/officeDocument/2006/relationships/oleObject" Target="embeddings/oleObject43.bin"/><Relationship Id="rId102" Type="http://schemas.openxmlformats.org/officeDocument/2006/relationships/oleObject" Target="embeddings/oleObject52.bin"/><Relationship Id="rId5" Type="http://schemas.openxmlformats.org/officeDocument/2006/relationships/footnotes" Target="footnotes.xml"/><Relationship Id="rId61" Type="http://schemas.openxmlformats.org/officeDocument/2006/relationships/oleObject" Target="embeddings/oleObject28.bin"/><Relationship Id="rId82" Type="http://schemas.openxmlformats.org/officeDocument/2006/relationships/image" Target="media/image37.wmf"/><Relationship Id="rId90" Type="http://schemas.openxmlformats.org/officeDocument/2006/relationships/image" Target="media/image41.wmf"/><Relationship Id="rId95" Type="http://schemas.openxmlformats.org/officeDocument/2006/relationships/oleObject" Target="embeddings/oleObject47.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image" Target="media/image32.wmf"/><Relationship Id="rId77" Type="http://schemas.openxmlformats.org/officeDocument/2006/relationships/oleObject" Target="embeddings/oleObject37.bin"/><Relationship Id="rId100" Type="http://schemas.openxmlformats.org/officeDocument/2006/relationships/image" Target="media/image45.wmf"/><Relationship Id="rId105" Type="http://schemas.openxmlformats.org/officeDocument/2006/relationships/hyperlink" Target="http://ideas.repec.org/a/bla/jregsc/v50y2010i4p872-890.html" TargetMode="External"/><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oleObject" Target="embeddings/oleObject34.bin"/><Relationship Id="rId80" Type="http://schemas.openxmlformats.org/officeDocument/2006/relationships/oleObject" Target="embeddings/oleObject39.bin"/><Relationship Id="rId85" Type="http://schemas.openxmlformats.org/officeDocument/2006/relationships/oleObject" Target="embeddings/oleObject42.bin"/><Relationship Id="rId93" Type="http://schemas.openxmlformats.org/officeDocument/2006/relationships/oleObject" Target="embeddings/oleObject46.bin"/><Relationship Id="rId98" Type="http://schemas.openxmlformats.org/officeDocument/2006/relationships/image" Target="media/image44.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46.wmf"/><Relationship Id="rId108"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3.bin"/><Relationship Id="rId75" Type="http://schemas.openxmlformats.org/officeDocument/2006/relationships/oleObject" Target="embeddings/oleObject36.bin"/><Relationship Id="rId83" Type="http://schemas.openxmlformats.org/officeDocument/2006/relationships/oleObject" Target="embeddings/oleObject41.bin"/><Relationship Id="rId88" Type="http://schemas.openxmlformats.org/officeDocument/2006/relationships/image" Target="media/image40.wmf"/><Relationship Id="rId91" Type="http://schemas.openxmlformats.org/officeDocument/2006/relationships/oleObject" Target="embeddings/oleObject45.bin"/><Relationship Id="rId96" Type="http://schemas.openxmlformats.org/officeDocument/2006/relationships/oleObject" Target="embeddings/oleObject48.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hyperlink" Target="http://ideas.repec.org/s/bla/jregsc.html" TargetMode="Externa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5.bin"/><Relationship Id="rId78" Type="http://schemas.openxmlformats.org/officeDocument/2006/relationships/image" Target="media/image36.wmf"/><Relationship Id="rId81" Type="http://schemas.openxmlformats.org/officeDocument/2006/relationships/oleObject" Target="embeddings/oleObject40.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50.bin"/><Relationship Id="rId101" Type="http://schemas.openxmlformats.org/officeDocument/2006/relationships/oleObject" Target="embeddings/oleObject51.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9.bin"/><Relationship Id="rId104" Type="http://schemas.openxmlformats.org/officeDocument/2006/relationships/oleObject" Target="embeddings/oleObject53.bin"/></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21.bin"/><Relationship Id="rId1" Type="http://schemas.openxmlformats.org/officeDocument/2006/relationships/image" Target="media/image2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7205</Words>
  <Characters>39628</Characters>
  <Application>Microsoft Office Word</Application>
  <DocSecurity>0</DocSecurity>
  <Lines>330</Lines>
  <Paragraphs>93</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46740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Renovi</dc:creator>
  <cp:lastModifiedBy>renovi</cp:lastModifiedBy>
  <cp:revision>8</cp:revision>
  <dcterms:created xsi:type="dcterms:W3CDTF">2014-01-11T16:36:00Z</dcterms:created>
  <dcterms:modified xsi:type="dcterms:W3CDTF">2014-01-12T16:06:00Z</dcterms:modified>
</cp:coreProperties>
</file>