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B3EF" w14:textId="3458379A" w:rsidR="00B212C4" w:rsidRPr="00A114EE" w:rsidRDefault="00026040" w:rsidP="008611E5">
      <w:pPr>
        <w:pStyle w:val="Title"/>
        <w:framePr w:w="0" w:hSpace="0" w:vSpace="0" w:wrap="auto" w:vAnchor="margin" w:hAnchor="text" w:xAlign="left" w:yAlign="inline"/>
        <w:spacing w:before="0"/>
      </w:pPr>
      <w:r w:rsidRPr="00026040">
        <w:t>Stochastic Input-Output Analysis and Extensions: A Case Study of the United States</w:t>
      </w:r>
    </w:p>
    <w:p w14:paraId="71A881A2" w14:textId="77777777" w:rsidR="00811A2E" w:rsidRPr="00A114EE" w:rsidRDefault="00811A2E"/>
    <w:p w14:paraId="68820B53" w14:textId="77777777" w:rsidR="00B212C4" w:rsidRPr="00A114EE" w:rsidRDefault="00B212C4" w:rsidP="00B212C4">
      <w:pPr>
        <w:pStyle w:val="Authors"/>
        <w:framePr w:w="0" w:hSpace="0" w:vSpace="0" w:wrap="auto" w:vAnchor="margin" w:hAnchor="text" w:xAlign="left" w:yAlign="inline"/>
        <w:spacing w:after="240"/>
        <w:rPr>
          <w:sz w:val="20"/>
        </w:rPr>
      </w:pPr>
      <w:r w:rsidRPr="00A114EE">
        <w:t xml:space="preserve">Jalal Ali </w:t>
      </w:r>
      <w:r w:rsidRPr="00A114EE">
        <w:rPr>
          <w:sz w:val="20"/>
          <w:vertAlign w:val="superscript"/>
        </w:rPr>
        <w:t>1</w:t>
      </w:r>
      <w:r w:rsidRPr="00A114EE">
        <w:t xml:space="preserve">; Joost R. Santos </w:t>
      </w:r>
      <w:r w:rsidRPr="00A114EE">
        <w:rPr>
          <w:sz w:val="20"/>
          <w:vertAlign w:val="superscript"/>
        </w:rPr>
        <w:t>1,*</w:t>
      </w:r>
    </w:p>
    <w:p w14:paraId="5FF96982" w14:textId="77777777" w:rsidR="00FE0E94" w:rsidRPr="00A114EE" w:rsidRDefault="00FE0E94" w:rsidP="00FE0E94">
      <w:pPr>
        <w:pStyle w:val="Authors"/>
        <w:framePr w:w="0" w:hSpace="0" w:vSpace="0" w:wrap="auto" w:vAnchor="margin" w:hAnchor="text" w:xAlign="left" w:yAlign="inline"/>
        <w:spacing w:after="240"/>
      </w:pPr>
      <w:r w:rsidRPr="00A114EE">
        <w:t xml:space="preserve">*Corresponding author: Phone: 202-994-1429, Email: </w:t>
      </w:r>
      <w:hyperlink w:history="1">
        <w:r w:rsidRPr="00A114EE">
          <w:t>joost@gwu.edu</w:t>
        </w:r>
      </w:hyperlink>
    </w:p>
    <w:p w14:paraId="7E5191D0" w14:textId="77777777" w:rsidR="00FE0E94" w:rsidRPr="00A114EE" w:rsidRDefault="00FE0E94" w:rsidP="00FE0E94">
      <w:pPr>
        <w:pStyle w:val="Authors"/>
        <w:framePr w:w="0" w:hSpace="0" w:vSpace="0" w:wrap="auto" w:vAnchor="margin" w:hAnchor="text" w:xAlign="left" w:yAlign="inline"/>
        <w:numPr>
          <w:ilvl w:val="0"/>
          <w:numId w:val="1"/>
        </w:numPr>
        <w:spacing w:after="240"/>
      </w:pPr>
      <w:r w:rsidRPr="00A114EE">
        <w:t>Department of Engineering Management &amp; Systems Engineering</w:t>
      </w:r>
    </w:p>
    <w:p w14:paraId="1A53E6DB" w14:textId="77777777" w:rsidR="00FE0E94" w:rsidRPr="00A114EE" w:rsidRDefault="00FE0E94" w:rsidP="00FE0E94">
      <w:pPr>
        <w:pStyle w:val="Authors"/>
        <w:framePr w:w="0" w:hSpace="0" w:vSpace="0" w:wrap="auto" w:vAnchor="margin" w:hAnchor="text" w:xAlign="left" w:yAlign="inline"/>
        <w:spacing w:after="240"/>
        <w:ind w:firstLine="720"/>
      </w:pPr>
      <w:r w:rsidRPr="00A114EE">
        <w:t>School of Engineering &amp; Applied Sciences (SEAS)</w:t>
      </w:r>
    </w:p>
    <w:p w14:paraId="1FCC10A4" w14:textId="77777777" w:rsidR="00FE0E94" w:rsidRPr="00A114EE" w:rsidRDefault="00FE0E94" w:rsidP="00FE0E94">
      <w:pPr>
        <w:pStyle w:val="Authors"/>
        <w:framePr w:w="0" w:hSpace="0" w:vSpace="0" w:wrap="auto" w:vAnchor="margin" w:hAnchor="text" w:xAlign="left" w:yAlign="inline"/>
        <w:spacing w:after="240"/>
      </w:pPr>
      <w:r w:rsidRPr="00A114EE">
        <w:t>The George Washington University</w:t>
      </w:r>
    </w:p>
    <w:p w14:paraId="1B206C1C" w14:textId="77777777" w:rsidR="00FE0E94" w:rsidRPr="00A114EE" w:rsidRDefault="00FE0E94" w:rsidP="00FE0E94">
      <w:pPr>
        <w:rPr>
          <w:rFonts w:ascii="Times New Roman" w:hAnsi="Times New Roman" w:cs="Times New Roman"/>
          <w:b/>
          <w:sz w:val="20"/>
        </w:rPr>
      </w:pPr>
      <w:r w:rsidRPr="00A114EE">
        <w:rPr>
          <w:rFonts w:ascii="Times New Roman" w:hAnsi="Times New Roman" w:cs="Times New Roman"/>
          <w:b/>
          <w:sz w:val="20"/>
        </w:rPr>
        <w:t>ABSTRACT</w:t>
      </w:r>
    </w:p>
    <w:p w14:paraId="45E03D39" w14:textId="5D26A67F" w:rsidR="00FE0E94" w:rsidRPr="00A114EE" w:rsidRDefault="00026040" w:rsidP="001E6B40">
      <w:pPr>
        <w:spacing w:line="480" w:lineRule="auto"/>
        <w:ind w:firstLine="720"/>
        <w:jc w:val="both"/>
        <w:rPr>
          <w:rFonts w:ascii="Times New Roman" w:hAnsi="Times New Roman" w:cs="Times New Roman"/>
          <w:lang w:bidi="en-US"/>
        </w:rPr>
      </w:pPr>
      <w:r w:rsidRPr="00026040">
        <w:rPr>
          <w:rFonts w:ascii="Times New Roman" w:hAnsi="Times New Roman" w:cs="Times New Roman"/>
          <w:lang w:bidi="en-US"/>
        </w:rPr>
        <w:t>The input-output (I-O) model’s capability to provide macroeconomic policy insights on interdependent economic systems has recently been extended in the field of quantitative risk analysis. As with any quantitative models, estimates of input data and associated parameters are inevitably prone to some kind of error or bias. The same statement can be said about the susceptibility of the I-O technical coefficients to imprecision originating from various sources of uncertainty. Hence, this paper provides a methodology based on stochastic I-O analysis to address these issues and subsequently measure the uncertainty when using the I-O model. The research uses the supply and use tables from the US Bureau of Economic Analysis for a period of 14 years (1998-2011) to estimate the probability distributions of the technical coefficients. The coefficients are assumed to follow the Dirichlet distribution, and their moments are evaluated by using a Monte-Carlos Simulation of 10,000 iterations. The simulation methodology is implemented in MATLAB and the results are used to generate key sector analysis. Probability distributions can be established to measure the backward and forward linkages for each economic sector. In addition, we used the eigenvalue method to determine the key sectors based on their contribution to the economy and to assess the sensitivity of the sectors to economic disruptions. In sum, this research develops a stochastic model based on historical I-O data and the results are envisioned to contribute positively to strategic economic planning and macroeconomic risk analysis.</w:t>
      </w:r>
    </w:p>
    <w:p w14:paraId="09B8BDFA" w14:textId="3120F763" w:rsidR="00582C47" w:rsidRPr="00A114EE" w:rsidRDefault="00582C47" w:rsidP="00FE0E94">
      <w:pPr>
        <w:rPr>
          <w:rFonts w:ascii="Times New Roman" w:hAnsi="Times New Roman" w:cs="Times New Roman"/>
          <w:lang w:bidi="en-US"/>
        </w:rPr>
      </w:pPr>
      <w:r w:rsidRPr="00A114EE">
        <w:rPr>
          <w:rFonts w:ascii="Times New Roman" w:hAnsi="Times New Roman" w:cs="Times New Roman"/>
          <w:b/>
          <w:sz w:val="20"/>
        </w:rPr>
        <w:t>Keywords</w:t>
      </w:r>
      <w:r w:rsidR="007F5278" w:rsidRPr="00A114EE">
        <w:rPr>
          <w:rFonts w:ascii="Times New Roman" w:hAnsi="Times New Roman" w:cs="Times New Roman"/>
          <w:b/>
          <w:sz w:val="20"/>
        </w:rPr>
        <w:t>:</w:t>
      </w:r>
      <w:r w:rsidR="007F5278" w:rsidRPr="00A114EE">
        <w:rPr>
          <w:rFonts w:ascii="Times New Roman" w:hAnsi="Times New Roman" w:cs="Times New Roman"/>
          <w:lang w:bidi="en-US"/>
        </w:rPr>
        <w:t xml:space="preserve"> </w:t>
      </w:r>
      <w:r w:rsidR="00026040">
        <w:rPr>
          <w:rFonts w:ascii="Times New Roman" w:hAnsi="Times New Roman" w:cs="Times New Roman"/>
          <w:lang w:bidi="en-US"/>
        </w:rPr>
        <w:t>Multipliers, Stochastic I-O analysis</w:t>
      </w:r>
    </w:p>
    <w:p w14:paraId="0F5CDE77" w14:textId="77777777" w:rsidR="00582C47" w:rsidRPr="00A114EE" w:rsidRDefault="00582C47" w:rsidP="00156DCD">
      <w:pPr>
        <w:pStyle w:val="Heading1"/>
        <w:ind w:left="504"/>
        <w:rPr>
          <w:lang w:bidi="en-US"/>
        </w:rPr>
      </w:pPr>
      <w:r w:rsidRPr="00A114EE">
        <w:rPr>
          <w:lang w:bidi="en-US"/>
        </w:rPr>
        <w:lastRenderedPageBreak/>
        <w:t>INTRODUCTION</w:t>
      </w:r>
    </w:p>
    <w:p w14:paraId="0BA5B540" w14:textId="0B5F1514" w:rsidR="00514E71" w:rsidRPr="00514E71" w:rsidRDefault="00514E71" w:rsidP="00514E71">
      <w:pPr>
        <w:spacing w:line="480" w:lineRule="auto"/>
        <w:ind w:firstLine="720"/>
        <w:jc w:val="both"/>
        <w:rPr>
          <w:rFonts w:ascii="Times New Roman" w:hAnsi="Times New Roman" w:cs="Times New Roman"/>
        </w:rPr>
      </w:pPr>
      <w:r>
        <w:rPr>
          <w:rFonts w:ascii="Times New Roman" w:hAnsi="Times New Roman" w:cs="Times New Roman"/>
          <w:lang w:bidi="en-US"/>
        </w:rPr>
        <w:t>Input-output (I-O) analysis involves an estimation of industrial interdependency based on goods, workforce, products and monetary factors. The major component of input and output accounts is the Leontief inverse matrix (</w:t>
      </w:r>
      <w:r>
        <w:rPr>
          <w:rFonts w:ascii="Times New Roman" w:hAnsi="Times New Roman" w:cs="Times New Roman"/>
          <w:i/>
          <w:lang w:bidi="en-US"/>
        </w:rPr>
        <w:t>I – A)</w:t>
      </w:r>
      <w:r>
        <w:rPr>
          <w:rFonts w:ascii="Times New Roman" w:hAnsi="Times New Roman" w:cs="Times New Roman"/>
          <w:i/>
          <w:vertAlign w:val="superscript"/>
          <w:lang w:bidi="en-US"/>
        </w:rPr>
        <w:t xml:space="preserve">-1 </w:t>
      </w:r>
      <w:r>
        <w:rPr>
          <w:rFonts w:ascii="Times New Roman" w:hAnsi="Times New Roman" w:cs="Times New Roman"/>
          <w:lang w:bidi="en-US"/>
        </w:rPr>
        <w:t xml:space="preserve">that consists of input-output coefficients. The coefficients provide an estimate of multiplier effects on industry or economic sector output and final demand. </w:t>
      </w:r>
      <w:r w:rsidRPr="00514E71">
        <w:rPr>
          <w:rFonts w:ascii="Times New Roman" w:hAnsi="Times New Roman" w:cs="Times New Roman"/>
          <w:lang w:bidi="en-US"/>
        </w:rPr>
        <w:t>Leontief</w:t>
      </w:r>
      <w:r w:rsidR="00294FAF">
        <w:rPr>
          <w:rFonts w:ascii="Times New Roman" w:hAnsi="Times New Roman" w:cs="Times New Roman"/>
          <w:lang w:bidi="en-US"/>
        </w:rPr>
        <w:t xml:space="preserve"> </w:t>
      </w:r>
      <w:r w:rsidR="00294FAF">
        <w:rPr>
          <w:rFonts w:ascii="Times New Roman" w:hAnsi="Times New Roman" w:cs="Times New Roman"/>
          <w:lang w:bidi="en-US"/>
        </w:rPr>
        <w:fldChar w:fldCharType="begin"/>
      </w:r>
      <w:r w:rsidR="00294FAF">
        <w:rPr>
          <w:rFonts w:ascii="Times New Roman" w:hAnsi="Times New Roman" w:cs="Times New Roman"/>
          <w:lang w:bidi="en-US"/>
        </w:rPr>
        <w:instrText xml:space="preserve"> ADDIN EN.CITE &lt;EndNote&gt;&lt;Cite ExcludeAuth="1"&gt;&lt;Author&gt;Leontief&lt;/Author&gt;&lt;Year&gt;1951&lt;/Year&gt;&lt;RecNum&gt;37&lt;/RecNum&gt;&lt;DisplayText&gt;[1951]&lt;/DisplayText&gt;&lt;record&gt;&lt;rec-number&gt;37&lt;/rec-number&gt;&lt;foreign-keys&gt;&lt;key app="EN" db-id="rwt9rt2zhzf994errspve9wpa29sfapx0ew0"&gt;37&lt;/key&gt;&lt;/foreign-keys&gt;&lt;ref-type name="Journal Article"&gt;17&lt;/ref-type&gt;&lt;contributors&gt;&lt;authors&gt;&lt;author&gt;Leontief, Wassily W.&lt;/author&gt;&lt;/authors&gt;&lt;/contributors&gt;&lt;titles&gt;&lt;title&gt;Input-Output Economics&lt;/title&gt;&lt;secondary-title&gt;Scientific American&lt;/secondary-title&gt;&lt;/titles&gt;&lt;periodical&gt;&lt;full-title&gt;Scientific American&lt;/full-title&gt;&lt;/periodical&gt;&lt;pages&gt;15-21&lt;/pages&gt;&lt;volume&gt;185&lt;/volume&gt;&lt;number&gt;4&lt;/number&gt;&lt;dates&gt;&lt;year&gt;1951&lt;/year&gt;&lt;/dates&gt;&lt;urls&gt;&lt;/urls&gt;&lt;/record&gt;&lt;/Cite&gt;&lt;/EndNote&gt;</w:instrText>
      </w:r>
      <w:r w:rsidR="00294FAF">
        <w:rPr>
          <w:rFonts w:ascii="Times New Roman" w:hAnsi="Times New Roman" w:cs="Times New Roman"/>
          <w:lang w:bidi="en-US"/>
        </w:rPr>
        <w:fldChar w:fldCharType="separate"/>
      </w:r>
      <w:r w:rsidR="00294FAF">
        <w:rPr>
          <w:rFonts w:ascii="Times New Roman" w:hAnsi="Times New Roman" w:cs="Times New Roman"/>
          <w:noProof/>
          <w:lang w:bidi="en-US"/>
        </w:rPr>
        <w:t>[</w:t>
      </w:r>
      <w:hyperlink w:anchor="_ENREF_11" w:tooltip="Leontief, 1951 #37" w:history="1">
        <w:r w:rsidR="009C41E7">
          <w:rPr>
            <w:rFonts w:ascii="Times New Roman" w:hAnsi="Times New Roman" w:cs="Times New Roman"/>
            <w:noProof/>
            <w:lang w:bidi="en-US"/>
          </w:rPr>
          <w:t>1951</w:t>
        </w:r>
      </w:hyperlink>
      <w:r w:rsidR="00294FAF">
        <w:rPr>
          <w:rFonts w:ascii="Times New Roman" w:hAnsi="Times New Roman" w:cs="Times New Roman"/>
          <w:noProof/>
          <w:lang w:bidi="en-US"/>
        </w:rPr>
        <w:t>]</w:t>
      </w:r>
      <w:r w:rsidR="00294FAF">
        <w:rPr>
          <w:rFonts w:ascii="Times New Roman" w:hAnsi="Times New Roman" w:cs="Times New Roman"/>
          <w:lang w:bidi="en-US"/>
        </w:rPr>
        <w:fldChar w:fldCharType="end"/>
      </w:r>
      <w:r w:rsidR="00294FAF">
        <w:rPr>
          <w:rFonts w:ascii="Times New Roman" w:hAnsi="Times New Roman" w:cs="Times New Roman"/>
          <w:lang w:bidi="en-US"/>
        </w:rPr>
        <w:t xml:space="preserve"> </w:t>
      </w:r>
      <w:r>
        <w:rPr>
          <w:rFonts w:ascii="Times New Roman" w:hAnsi="Times New Roman" w:cs="Times New Roman"/>
          <w:lang w:bidi="en-US"/>
        </w:rPr>
        <w:t xml:space="preserve">explains the I-O economics as; </w:t>
      </w:r>
      <w:r w:rsidRPr="00514E71">
        <w:rPr>
          <w:rFonts w:ascii="Times New Roman" w:hAnsi="Times New Roman" w:cs="Times New Roman"/>
          <w:lang w:bidi="en-US"/>
        </w:rPr>
        <w:t xml:space="preserve"> “individual industry sectors are interconnected with commodity transactions”, essentially infers that total production output equals, commodity flows among interdependent sectors in addition to the output intended to satisfy final demand.</w:t>
      </w:r>
      <w:r w:rsidR="00E47E43">
        <w:rPr>
          <w:rFonts w:ascii="Times New Roman" w:hAnsi="Times New Roman" w:cs="Times New Roman"/>
        </w:rPr>
        <w:t xml:space="preserve"> </w:t>
      </w:r>
      <w:r w:rsidRPr="00514E71">
        <w:rPr>
          <w:rFonts w:ascii="Times New Roman" w:hAnsi="Times New Roman" w:cs="Times New Roman"/>
        </w:rPr>
        <w:t xml:space="preserve">In Leontief’s model, Eq.(1), the total production output of a sector is the total sum of what it propagates as input to other sectors and the sector’s output end-users consume directly. </w:t>
      </w:r>
    </w:p>
    <w:p w14:paraId="6F271E88" w14:textId="77777777" w:rsidR="00514E71" w:rsidRPr="00514E71" w:rsidRDefault="00514E71" w:rsidP="00514E71">
      <w:pPr>
        <w:spacing w:line="480" w:lineRule="auto"/>
        <w:jc w:val="both"/>
        <w:rPr>
          <w:rFonts w:ascii="Times New Roman" w:hAnsi="Times New Roman" w:cs="Times New Roman"/>
        </w:rPr>
      </w:pPr>
      <w:r w:rsidRPr="00514E71">
        <w:rPr>
          <w:rFonts w:ascii="Times New Roman" w:hAnsi="Times New Roman" w:cs="Times New Roman"/>
        </w:rPr>
        <w:tab/>
      </w:r>
      <m:oMath>
        <m:r>
          <w:rPr>
            <w:rFonts w:ascii="Cambria Math" w:hAnsi="Cambria Math" w:cs="Times New Roman"/>
          </w:rPr>
          <m:t>x=Ax+c</m:t>
        </m:r>
      </m:oMath>
      <w:r w:rsidRPr="00514E71">
        <w:rPr>
          <w:rFonts w:ascii="Times New Roman" w:hAnsi="Times New Roman" w:cs="Times New Roman"/>
        </w:rPr>
        <w:tab/>
      </w:r>
      <w:r w:rsidRPr="00514E71">
        <w:rPr>
          <w:rFonts w:ascii="Times New Roman" w:hAnsi="Times New Roman" w:cs="Times New Roman"/>
        </w:rPr>
        <w:tab/>
      </w:r>
      <w:r w:rsidRPr="00514E71">
        <w:rPr>
          <w:rFonts w:ascii="Times New Roman" w:hAnsi="Times New Roman" w:cs="Times New Roman"/>
        </w:rPr>
        <w:tab/>
      </w:r>
      <w:r w:rsidRPr="00514E71">
        <w:rPr>
          <w:rFonts w:ascii="Times New Roman" w:hAnsi="Times New Roman" w:cs="Times New Roman"/>
        </w:rPr>
        <w:tab/>
      </w:r>
      <w:r w:rsidRPr="00514E71">
        <w:rPr>
          <w:rFonts w:ascii="Times New Roman" w:hAnsi="Times New Roman" w:cs="Times New Roman"/>
        </w:rPr>
        <w:tab/>
      </w:r>
      <w:r w:rsidRPr="00514E71">
        <w:rPr>
          <w:rFonts w:ascii="Times New Roman" w:hAnsi="Times New Roman" w:cs="Times New Roman"/>
        </w:rPr>
        <w:tab/>
      </w:r>
      <w:r w:rsidRPr="00514E71">
        <w:rPr>
          <w:rFonts w:ascii="Times New Roman" w:hAnsi="Times New Roman" w:cs="Times New Roman"/>
        </w:rPr>
        <w:tab/>
      </w:r>
      <w:r w:rsidRPr="00514E71">
        <w:rPr>
          <w:rFonts w:ascii="Times New Roman" w:hAnsi="Times New Roman" w:cs="Times New Roman"/>
        </w:rPr>
        <w:tab/>
      </w:r>
      <w:r w:rsidRPr="00514E71">
        <w:rPr>
          <w:rFonts w:ascii="Times New Roman" w:hAnsi="Times New Roman" w:cs="Times New Roman"/>
        </w:rPr>
        <w:tab/>
        <w:t xml:space="preserve">  (1)</w:t>
      </w:r>
    </w:p>
    <w:p w14:paraId="4ACB2FC8" w14:textId="77777777" w:rsidR="00514E71" w:rsidRPr="00514E71" w:rsidRDefault="00514E71" w:rsidP="00514E71">
      <w:pPr>
        <w:spacing w:line="480" w:lineRule="auto"/>
        <w:ind w:firstLine="720"/>
        <w:jc w:val="both"/>
        <w:rPr>
          <w:rFonts w:ascii="Times New Roman" w:hAnsi="Times New Roman" w:cs="Times New Roman"/>
        </w:rPr>
      </w:pPr>
      <w:r w:rsidRPr="00514E71">
        <w:rPr>
          <w:rFonts w:ascii="Times New Roman" w:hAnsi="Times New Roman" w:cs="Times New Roman"/>
        </w:rPr>
        <w:t>Where,</w:t>
      </w:r>
      <w:r w:rsidRPr="00514E71">
        <w:rPr>
          <w:rFonts w:ascii="Times New Roman" w:hAnsi="Times New Roman" w:cs="Times New Roman"/>
        </w:rPr>
        <w:tab/>
        <w:t xml:space="preserve"> </w:t>
      </w:r>
      <w:r w:rsidRPr="00514E71">
        <w:rPr>
          <w:rFonts w:ascii="Times New Roman" w:hAnsi="Times New Roman" w:cs="Times New Roman"/>
          <w:i/>
        </w:rPr>
        <w:t>x</w:t>
      </w:r>
      <w:r w:rsidRPr="00514E71">
        <w:rPr>
          <w:rFonts w:ascii="Times New Roman" w:hAnsi="Times New Roman" w:cs="Times New Roman"/>
        </w:rPr>
        <w:t xml:space="preserve"> = output vector</w:t>
      </w:r>
    </w:p>
    <w:p w14:paraId="6FF4E68B" w14:textId="77777777" w:rsidR="00514E71" w:rsidRPr="00514E71" w:rsidRDefault="00514E71" w:rsidP="00514E71">
      <w:pPr>
        <w:spacing w:line="480" w:lineRule="auto"/>
        <w:ind w:left="720" w:firstLine="720"/>
        <w:jc w:val="both"/>
        <w:rPr>
          <w:rFonts w:ascii="Times New Roman" w:hAnsi="Times New Roman" w:cs="Times New Roman"/>
        </w:rPr>
      </w:pPr>
      <w:r w:rsidRPr="00514E71">
        <w:rPr>
          <w:rFonts w:ascii="Times New Roman" w:hAnsi="Times New Roman" w:cs="Times New Roman"/>
          <w:i/>
        </w:rPr>
        <w:t xml:space="preserve"> c</w:t>
      </w:r>
      <w:r w:rsidRPr="00514E71">
        <w:rPr>
          <w:rFonts w:ascii="Times New Roman" w:hAnsi="Times New Roman" w:cs="Times New Roman"/>
        </w:rPr>
        <w:t xml:space="preserve"> = consumption vector</w:t>
      </w:r>
    </w:p>
    <w:p w14:paraId="213D4900" w14:textId="77777777" w:rsidR="00514E71" w:rsidRPr="00514E71" w:rsidRDefault="00514E71" w:rsidP="00514E71">
      <w:pPr>
        <w:spacing w:line="480" w:lineRule="auto"/>
        <w:ind w:left="720" w:firstLine="720"/>
        <w:jc w:val="both"/>
        <w:rPr>
          <w:rFonts w:ascii="Times New Roman" w:hAnsi="Times New Roman" w:cs="Times New Roman"/>
        </w:rPr>
      </w:pPr>
      <w:r w:rsidRPr="00514E71">
        <w:rPr>
          <w:rFonts w:ascii="Times New Roman" w:hAnsi="Times New Roman" w:cs="Times New Roman"/>
          <w:i/>
        </w:rPr>
        <w:t>A</w:t>
      </w:r>
      <w:r w:rsidRPr="00514E71">
        <w:rPr>
          <w:rFonts w:ascii="Times New Roman" w:hAnsi="Times New Roman" w:cs="Times New Roman"/>
        </w:rPr>
        <w:t xml:space="preserve"> = interdependency matrix</w:t>
      </w:r>
    </w:p>
    <w:p w14:paraId="47264B0F" w14:textId="77777777" w:rsidR="00514E71" w:rsidRPr="00514E71" w:rsidRDefault="00514E71" w:rsidP="00514E71">
      <w:pPr>
        <w:spacing w:line="480" w:lineRule="auto"/>
        <w:ind w:firstLine="720"/>
        <w:jc w:val="both"/>
        <w:rPr>
          <w:rFonts w:ascii="Times New Roman" w:hAnsi="Times New Roman" w:cs="Times New Roman"/>
        </w:rPr>
      </w:pPr>
      <w:r w:rsidRPr="00514E71">
        <w:rPr>
          <w:rFonts w:ascii="Times New Roman" w:hAnsi="Times New Roman" w:cs="Times New Roman"/>
        </w:rPr>
        <w:t xml:space="preserve">If n sectors are given, then x and c are column vectors each with </w:t>
      </w:r>
      <w:r w:rsidRPr="00514E71">
        <w:rPr>
          <w:rFonts w:ascii="Times New Roman" w:hAnsi="Times New Roman" w:cs="Times New Roman"/>
          <w:i/>
        </w:rPr>
        <w:t>n</w:t>
      </w:r>
      <w:r w:rsidRPr="00514E71">
        <w:rPr>
          <w:rFonts w:ascii="Times New Roman" w:hAnsi="Times New Roman" w:cs="Times New Roman"/>
        </w:rPr>
        <w:t xml:space="preserve"> elements and </w:t>
      </w:r>
      <w:r w:rsidRPr="00514E71">
        <w:rPr>
          <w:rFonts w:ascii="Times New Roman" w:hAnsi="Times New Roman" w:cs="Times New Roman"/>
          <w:i/>
        </w:rPr>
        <w:t>A</w:t>
      </w:r>
      <w:r w:rsidRPr="00514E71">
        <w:rPr>
          <w:rFonts w:ascii="Times New Roman" w:hAnsi="Times New Roman" w:cs="Times New Roman"/>
        </w:rPr>
        <w:t xml:space="preserve"> is a </w:t>
      </w:r>
      <m:oMath>
        <m:r>
          <w:rPr>
            <w:rFonts w:ascii="Cambria Math" w:hAnsi="Cambria Math" w:cs="Times New Roman"/>
          </w:rPr>
          <m:t xml:space="preserve">n ×n </m:t>
        </m:r>
      </m:oMath>
      <w:r w:rsidRPr="00514E71">
        <w:rPr>
          <w:rFonts w:ascii="Times New Roman" w:hAnsi="Times New Roman" w:cs="Times New Roman"/>
        </w:rPr>
        <w:t xml:space="preserve"> matrix of technical coefficients. Coefficient, </w:t>
      </w:r>
      <w:r w:rsidRPr="00514E71">
        <w:rPr>
          <w:rFonts w:ascii="Times New Roman" w:hAnsi="Times New Roman" w:cs="Times New Roman"/>
          <w:i/>
        </w:rPr>
        <w:t>a</w:t>
      </w:r>
      <w:r w:rsidRPr="00514E71">
        <w:rPr>
          <w:rFonts w:ascii="Times New Roman" w:hAnsi="Times New Roman" w:cs="Times New Roman"/>
          <w:i/>
          <w:vertAlign w:val="subscript"/>
        </w:rPr>
        <w:t>ij</w:t>
      </w:r>
      <w:r w:rsidRPr="00514E71">
        <w:rPr>
          <w:rFonts w:ascii="Times New Roman" w:hAnsi="Times New Roman" w:cs="Times New Roman"/>
        </w:rPr>
        <w:t xml:space="preserve">, of the interdependency matrix </w:t>
      </w:r>
      <w:r w:rsidRPr="00514E71">
        <w:rPr>
          <w:rFonts w:ascii="Times New Roman" w:hAnsi="Times New Roman" w:cs="Times New Roman"/>
          <w:i/>
        </w:rPr>
        <w:t>A</w:t>
      </w:r>
      <w:r w:rsidRPr="00514E71">
        <w:rPr>
          <w:rFonts w:ascii="Times New Roman" w:hAnsi="Times New Roman" w:cs="Times New Roman"/>
        </w:rPr>
        <w:t xml:space="preserve"> indicates the proportion of the total production requirement of sector </w:t>
      </w:r>
      <w:r w:rsidRPr="00514E71">
        <w:rPr>
          <w:rFonts w:ascii="Times New Roman" w:hAnsi="Times New Roman" w:cs="Times New Roman"/>
          <w:i/>
        </w:rPr>
        <w:t>j</w:t>
      </w:r>
      <w:r w:rsidRPr="00514E71">
        <w:rPr>
          <w:rFonts w:ascii="Times New Roman" w:hAnsi="Times New Roman" w:cs="Times New Roman"/>
        </w:rPr>
        <w:t xml:space="preserve"> that is provided by sector</w:t>
      </w:r>
      <w:r w:rsidRPr="00514E71">
        <w:rPr>
          <w:rFonts w:ascii="Times New Roman" w:hAnsi="Times New Roman" w:cs="Times New Roman"/>
          <w:i/>
        </w:rPr>
        <w:t xml:space="preserve"> i</w:t>
      </w:r>
      <w:r w:rsidRPr="00514E71">
        <w:rPr>
          <w:rFonts w:ascii="Times New Roman" w:hAnsi="Times New Roman" w:cs="Times New Roman"/>
        </w:rPr>
        <w:t xml:space="preserve">. Sum of elements under the column </w:t>
      </w:r>
      <w:r w:rsidRPr="00514E71">
        <w:rPr>
          <w:rFonts w:ascii="Times New Roman" w:hAnsi="Times New Roman" w:cs="Times New Roman"/>
          <w:i/>
        </w:rPr>
        <w:t>j</w:t>
      </w:r>
      <w:r w:rsidRPr="00514E71">
        <w:rPr>
          <w:rFonts w:ascii="Times New Roman" w:hAnsi="Times New Roman" w:cs="Times New Roman"/>
        </w:rPr>
        <w:t xml:space="preserve"> for a sector represents the total input required from the other </w:t>
      </w:r>
      <w:r w:rsidRPr="00514E71">
        <w:rPr>
          <w:rFonts w:ascii="Times New Roman" w:hAnsi="Times New Roman" w:cs="Times New Roman"/>
          <w:i/>
        </w:rPr>
        <w:t xml:space="preserve">n-1 </w:t>
      </w:r>
      <w:r w:rsidRPr="00514E71">
        <w:rPr>
          <w:rFonts w:ascii="Times New Roman" w:hAnsi="Times New Roman" w:cs="Times New Roman"/>
        </w:rPr>
        <w:t xml:space="preserve">sectors. Lastly, element, </w:t>
      </w:r>
      <w:r w:rsidRPr="00514E71">
        <w:rPr>
          <w:rFonts w:ascii="Times New Roman" w:hAnsi="Times New Roman" w:cs="Times New Roman"/>
          <w:i/>
        </w:rPr>
        <w:t>c</w:t>
      </w:r>
      <w:r w:rsidRPr="00514E71">
        <w:rPr>
          <w:rFonts w:ascii="Times New Roman" w:hAnsi="Times New Roman" w:cs="Times New Roman"/>
          <w:i/>
          <w:vertAlign w:val="subscript"/>
        </w:rPr>
        <w:t>i</w:t>
      </w:r>
      <w:r w:rsidRPr="00514E71">
        <w:rPr>
          <w:rFonts w:ascii="Times New Roman" w:hAnsi="Times New Roman" w:cs="Times New Roman"/>
          <w:i/>
        </w:rPr>
        <w:t>,</w:t>
      </w:r>
      <w:r w:rsidRPr="00514E71">
        <w:rPr>
          <w:rFonts w:ascii="Times New Roman" w:hAnsi="Times New Roman" w:cs="Times New Roman"/>
        </w:rPr>
        <w:t xml:space="preserve"> of the column vector </w:t>
      </w:r>
      <w:r w:rsidRPr="00514E71">
        <w:rPr>
          <w:rFonts w:ascii="Times New Roman" w:hAnsi="Times New Roman" w:cs="Times New Roman"/>
          <w:i/>
        </w:rPr>
        <w:t>c</w:t>
      </w:r>
      <w:r w:rsidRPr="00514E71">
        <w:rPr>
          <w:rFonts w:ascii="Times New Roman" w:hAnsi="Times New Roman" w:cs="Times New Roman"/>
        </w:rPr>
        <w:t xml:space="preserve"> is the final demand by the end user from sector </w:t>
      </w:r>
      <w:r w:rsidRPr="00514E71">
        <w:rPr>
          <w:rFonts w:ascii="Times New Roman" w:hAnsi="Times New Roman" w:cs="Times New Roman"/>
          <w:i/>
        </w:rPr>
        <w:t>i</w:t>
      </w:r>
      <w:r w:rsidRPr="00514E71">
        <w:rPr>
          <w:rFonts w:ascii="Times New Roman" w:hAnsi="Times New Roman" w:cs="Times New Roman"/>
        </w:rPr>
        <w:t>.</w:t>
      </w:r>
    </w:p>
    <w:p w14:paraId="42B1F85C" w14:textId="7F29BFC9" w:rsidR="00881C02" w:rsidRDefault="00514E71" w:rsidP="009D614F">
      <w:pPr>
        <w:spacing w:after="0" w:line="480" w:lineRule="auto"/>
        <w:ind w:firstLine="720"/>
        <w:jc w:val="both"/>
        <w:rPr>
          <w:rFonts w:ascii="Times New Roman" w:hAnsi="Times New Roman" w:cs="Times New Roman"/>
          <w:lang w:bidi="en-US"/>
        </w:rPr>
      </w:pPr>
      <w:r>
        <w:rPr>
          <w:rFonts w:ascii="Times New Roman" w:hAnsi="Times New Roman" w:cs="Times New Roman"/>
          <w:lang w:bidi="en-US"/>
        </w:rPr>
        <w:t xml:space="preserve">The commodities values required to produce a particular economic sector’s output are obtained across an aggregate of industries, firms and thus the economic sector itself.   The first step is to determine the commodity value inputs and outputs of the various economic sectors being considered within the </w:t>
      </w:r>
      <w:r>
        <w:rPr>
          <w:rFonts w:ascii="Times New Roman" w:hAnsi="Times New Roman" w:cs="Times New Roman"/>
          <w:lang w:bidi="en-US"/>
        </w:rPr>
        <w:lastRenderedPageBreak/>
        <w:t xml:space="preserve">system. This data is collected and specified as Use ‘U’ and Make ‘V’ tables. The combinations of the two tables are used to calculate the coefficients of matrix </w:t>
      </w:r>
      <w:r w:rsidRPr="00514E71">
        <w:rPr>
          <w:rFonts w:ascii="Times New Roman" w:hAnsi="Times New Roman" w:cs="Times New Roman"/>
          <w:i/>
          <w:lang w:bidi="en-US"/>
        </w:rPr>
        <w:t>A</w:t>
      </w:r>
      <w:r w:rsidR="00294FAF">
        <w:rPr>
          <w:rFonts w:ascii="Times New Roman" w:hAnsi="Times New Roman" w:cs="Times New Roman"/>
          <w:i/>
          <w:lang w:bidi="en-US"/>
        </w:rPr>
        <w:t xml:space="preserve"> </w:t>
      </w:r>
      <w:r w:rsidR="00294FAF">
        <w:rPr>
          <w:rFonts w:ascii="Times New Roman" w:hAnsi="Times New Roman" w:cs="Times New Roman"/>
          <w:lang w:bidi="en-US"/>
        </w:rPr>
        <w:fldChar w:fldCharType="begin"/>
      </w:r>
      <w:r w:rsidR="00294FAF">
        <w:rPr>
          <w:rFonts w:ascii="Times New Roman" w:hAnsi="Times New Roman" w:cs="Times New Roman"/>
          <w:lang w:bidi="en-US"/>
        </w:rPr>
        <w:instrText xml:space="preserve"> ADDIN EN.CITE &lt;EndNote&gt;&lt;Cite&gt;&lt;Author&gt;Miller&lt;/Author&gt;&lt;Year&gt;2009&lt;/Year&gt;&lt;RecNum&gt;2&lt;/RecNum&gt;&lt;DisplayText&gt;[Miller and Blair, 2009]&lt;/DisplayText&gt;&lt;record&gt;&lt;rec-number&gt;2&lt;/rec-number&gt;&lt;foreign-keys&gt;&lt;key app="EN" db-id="taps2fsr45efv7e95fc59tzqxfeezpeaz2ev"&gt;2&lt;/key&gt;&lt;/foreign-keys&gt;&lt;ref-type name="Book Section"&gt;5&lt;/ref-type&gt;&lt;contributors&gt;&lt;authors&gt;&lt;author&gt;Ronald E Miller&lt;/author&gt;&lt;author&gt;Peter D Blair&lt;/author&gt;&lt;/authors&gt;&lt;subsidiary-authors&gt;&lt;author&gt;Michael L. Lahr&lt;/author&gt;&lt;author&gt;Erik Dietzenbacher&lt;/author&gt;&lt;/subsidiary-authors&gt;&lt;/contributors&gt;&lt;titles&gt;&lt;title&gt;The Commodity-by-Industry Approach in Input–Output Models&lt;/title&gt;&lt;secondary-title&gt;Input-output analysis : foundations and extensions&lt;/secondary-title&gt;&lt;/titles&gt;&lt;pages&gt;184-196&lt;/pages&gt;&lt;section&gt;5&lt;/section&gt;&lt;dates&gt;&lt;year&gt;2009&lt;/year&gt;&lt;/dates&gt;&lt;pub-location&gt;New York&lt;/pub-location&gt;&lt;publisher&gt;Cambridge University Press&lt;/publisher&gt;&lt;isbn&gt;0521517133&lt;/isbn&gt;&lt;accession-num&gt;(OCoLC)311310287&lt;/accession-num&gt;&lt;call-num&gt;HB142 .M55 2009 &lt;/call-num&gt;&lt;urls&gt;&lt;/urls&gt;&lt;/record&gt;&lt;/Cite&gt;&lt;/EndNote&gt;</w:instrText>
      </w:r>
      <w:r w:rsidR="00294FAF">
        <w:rPr>
          <w:rFonts w:ascii="Times New Roman" w:hAnsi="Times New Roman" w:cs="Times New Roman"/>
          <w:lang w:bidi="en-US"/>
        </w:rPr>
        <w:fldChar w:fldCharType="separate"/>
      </w:r>
      <w:r w:rsidR="00294FAF">
        <w:rPr>
          <w:rFonts w:ascii="Times New Roman" w:hAnsi="Times New Roman" w:cs="Times New Roman"/>
          <w:noProof/>
          <w:lang w:bidi="en-US"/>
        </w:rPr>
        <w:t>[</w:t>
      </w:r>
      <w:hyperlink w:anchor="_ENREF_12" w:tooltip="Miller, 2009 #2" w:history="1">
        <w:r w:rsidR="009C41E7">
          <w:rPr>
            <w:rFonts w:ascii="Times New Roman" w:hAnsi="Times New Roman" w:cs="Times New Roman"/>
            <w:noProof/>
            <w:lang w:bidi="en-US"/>
          </w:rPr>
          <w:t>Miller and Blair, 2009</w:t>
        </w:r>
      </w:hyperlink>
      <w:r w:rsidR="00294FAF">
        <w:rPr>
          <w:rFonts w:ascii="Times New Roman" w:hAnsi="Times New Roman" w:cs="Times New Roman"/>
          <w:noProof/>
          <w:lang w:bidi="en-US"/>
        </w:rPr>
        <w:t>]</w:t>
      </w:r>
      <w:r w:rsidR="00294FAF">
        <w:rPr>
          <w:rFonts w:ascii="Times New Roman" w:hAnsi="Times New Roman" w:cs="Times New Roman"/>
          <w:lang w:bidi="en-US"/>
        </w:rPr>
        <w:fldChar w:fldCharType="end"/>
      </w:r>
      <w:r>
        <w:rPr>
          <w:rFonts w:ascii="Times New Roman" w:hAnsi="Times New Roman" w:cs="Times New Roman"/>
          <w:lang w:bidi="en-US"/>
        </w:rPr>
        <w:t xml:space="preserve">. </w:t>
      </w:r>
    </w:p>
    <w:p w14:paraId="0E551850" w14:textId="08BA79EC" w:rsidR="005F033F" w:rsidRDefault="00514E71" w:rsidP="00592CA5">
      <w:pPr>
        <w:spacing w:after="0" w:line="480" w:lineRule="auto"/>
        <w:ind w:firstLine="720"/>
        <w:jc w:val="both"/>
        <w:rPr>
          <w:rFonts w:ascii="Times New Roman" w:hAnsi="Times New Roman" w:cs="Times New Roman"/>
          <w:lang w:bidi="en-US"/>
        </w:rPr>
      </w:pPr>
      <w:r>
        <w:rPr>
          <w:rFonts w:ascii="Times New Roman" w:hAnsi="Times New Roman" w:cs="Times New Roman"/>
          <w:lang w:bidi="en-US"/>
        </w:rPr>
        <w:t>The coefficients measure</w:t>
      </w:r>
      <w:r w:rsidR="008C3E94">
        <w:rPr>
          <w:rFonts w:ascii="Times New Roman" w:hAnsi="Times New Roman" w:cs="Times New Roman"/>
          <w:lang w:bidi="en-US"/>
        </w:rPr>
        <w:t>,</w:t>
      </w:r>
      <w:r>
        <w:rPr>
          <w:rFonts w:ascii="Times New Roman" w:hAnsi="Times New Roman" w:cs="Times New Roman"/>
          <w:lang w:bidi="en-US"/>
        </w:rPr>
        <w:t xml:space="preserve"> inputs per units of outputs</w:t>
      </w:r>
      <w:r w:rsidR="008C3E94">
        <w:rPr>
          <w:rFonts w:ascii="Times New Roman" w:hAnsi="Times New Roman" w:cs="Times New Roman"/>
          <w:lang w:bidi="en-US"/>
        </w:rPr>
        <w:t>,</w:t>
      </w:r>
      <w:r>
        <w:rPr>
          <w:rFonts w:ascii="Times New Roman" w:hAnsi="Times New Roman" w:cs="Times New Roman"/>
          <w:lang w:bidi="en-US"/>
        </w:rPr>
        <w:t xml:space="preserve"> and then divided by the </w:t>
      </w:r>
      <w:r w:rsidR="00820B93">
        <w:rPr>
          <w:rFonts w:ascii="Times New Roman" w:hAnsi="Times New Roman" w:cs="Times New Roman"/>
          <w:lang w:bidi="en-US"/>
        </w:rPr>
        <w:t>output;</w:t>
      </w:r>
      <w:r>
        <w:rPr>
          <w:rFonts w:ascii="Times New Roman" w:hAnsi="Times New Roman" w:cs="Times New Roman"/>
          <w:lang w:bidi="en-US"/>
        </w:rPr>
        <w:t xml:space="preserve"> conventionally this is a non-linear process. </w:t>
      </w:r>
      <w:r w:rsidR="00820B93">
        <w:rPr>
          <w:rFonts w:ascii="Times New Roman" w:hAnsi="Times New Roman" w:cs="Times New Roman"/>
          <w:lang w:bidi="en-US"/>
        </w:rPr>
        <w:t>The</w:t>
      </w:r>
      <w:r>
        <w:rPr>
          <w:rFonts w:ascii="Times New Roman" w:hAnsi="Times New Roman" w:cs="Times New Roman"/>
          <w:lang w:bidi="en-US"/>
        </w:rPr>
        <w:t xml:space="preserve"> Leontief inverse </w:t>
      </w:r>
      <w:r w:rsidR="00820B93">
        <w:rPr>
          <w:rFonts w:ascii="Times New Roman" w:hAnsi="Times New Roman" w:cs="Times New Roman"/>
          <w:lang w:bidi="en-US"/>
        </w:rPr>
        <w:t xml:space="preserve">has </w:t>
      </w:r>
      <w:r>
        <w:rPr>
          <w:rFonts w:ascii="Times New Roman" w:hAnsi="Times New Roman" w:cs="Times New Roman"/>
          <w:lang w:bidi="en-US"/>
        </w:rPr>
        <w:t xml:space="preserve">convex functional properties and </w:t>
      </w:r>
      <w:r w:rsidR="00820B93">
        <w:rPr>
          <w:rFonts w:ascii="Times New Roman" w:hAnsi="Times New Roman" w:cs="Times New Roman"/>
          <w:lang w:bidi="en-US"/>
        </w:rPr>
        <w:t xml:space="preserve">in a multi-sector economy the increasing degree of terms in the </w:t>
      </w:r>
      <w:r w:rsidR="008C3E94">
        <w:rPr>
          <w:rFonts w:ascii="Times New Roman" w:hAnsi="Times New Roman" w:cs="Times New Roman"/>
          <w:lang w:bidi="en-US"/>
        </w:rPr>
        <w:t>inverse function is</w:t>
      </w:r>
      <w:r w:rsidR="00820B93">
        <w:rPr>
          <w:rFonts w:ascii="Times New Roman" w:hAnsi="Times New Roman" w:cs="Times New Roman"/>
          <w:lang w:bidi="en-US"/>
        </w:rPr>
        <w:t xml:space="preserve"> attributed indirect requirements.</w:t>
      </w:r>
      <w:r w:rsidR="00881C02">
        <w:rPr>
          <w:rFonts w:ascii="Times New Roman" w:hAnsi="Times New Roman" w:cs="Times New Roman"/>
          <w:lang w:bidi="en-US"/>
        </w:rPr>
        <w:t xml:space="preserve"> Stochastic analysis of the inverse </w:t>
      </w:r>
      <w:r w:rsidR="00592CA5">
        <w:rPr>
          <w:rFonts w:ascii="Times New Roman" w:hAnsi="Times New Roman" w:cs="Times New Roman"/>
          <w:lang w:bidi="en-US"/>
        </w:rPr>
        <w:t>has been explored by</w:t>
      </w:r>
      <w:r w:rsidR="00D95E6A">
        <w:rPr>
          <w:rFonts w:ascii="Times New Roman" w:hAnsi="Times New Roman" w:cs="Times New Roman"/>
          <w:lang w:bidi="en-US"/>
        </w:rPr>
        <w:fldChar w:fldCharType="begin"/>
      </w:r>
      <w:r w:rsidR="00D95E6A">
        <w:rPr>
          <w:rFonts w:ascii="Times New Roman" w:hAnsi="Times New Roman" w:cs="Times New Roman"/>
          <w:lang w:bidi="en-US"/>
        </w:rPr>
        <w:instrText xml:space="preserve"> ADDIN EN.CITE &lt;EndNote&gt;&lt;Cite AuthorYear="1"&gt;&lt;Author&gt;Jansen&lt;/Author&gt;&lt;Year&gt;1994&lt;/Year&gt;&lt;RecNum&gt;3&lt;/RecNum&gt;&lt;DisplayText&gt; Jansen [1994]&lt;/DisplayText&gt;&lt;record&gt;&lt;rec-number&gt;3&lt;/rec-number&gt;&lt;foreign-keys&gt;&lt;key app="EN" db-id="taps2fsr45efv7e95fc59tzqxfeezpeaz2ev"&gt;3&lt;/key&gt;&lt;/foreign-keys&gt;&lt;ref-type name="Journal Article"&gt;17&lt;/ref-type&gt;&lt;contributors&gt;&lt;authors&gt;&lt;author&gt;Jansen, Pieter S. M. Kop&lt;/author&gt;&lt;/authors&gt;&lt;/contributors&gt;&lt;titles&gt;&lt;title&gt;Analysis of multipliers in stochastic input-output models&lt;/title&gt;&lt;secondary-title&gt;Regional Science and Urban Economics&lt;/secondary-title&gt;&lt;/titles&gt;&lt;periodical&gt;&lt;full-title&gt;Regional Science and Urban Economics&lt;/full-title&gt;&lt;/periodical&gt;&lt;pages&gt;55-74&lt;/pages&gt;&lt;volume&gt;24&lt;/volume&gt;&lt;number&gt;1&lt;/number&gt;&lt;keywords&gt;&lt;keyword&gt;Stochastic multipliers&lt;/keyword&gt;&lt;keyword&gt;Over- and under-estimation&lt;/keyword&gt;&lt;/keywords&gt;&lt;dates&gt;&lt;year&gt;1994&lt;/year&gt;&lt;pub-dates&gt;&lt;date&gt;2//&lt;/date&gt;&lt;/pub-dates&gt;&lt;/dates&gt;&lt;isbn&gt;0166-0462&lt;/isbn&gt;&lt;urls&gt;&lt;related-urls&gt;&lt;url&gt;http://www.sciencedirect.com/science/article/pii/0166046294900191&lt;/url&gt;&lt;/related-urls&gt;&lt;/urls&gt;&lt;electronic-resource-num&gt;http://dx.doi.org/10.1016/0166-0462(94)90019-1&lt;/electronic-resource-num&gt;&lt;/record&gt;&lt;/Cite&gt;&lt;/EndNote&gt;</w:instrText>
      </w:r>
      <w:r w:rsidR="00D95E6A">
        <w:rPr>
          <w:rFonts w:ascii="Times New Roman" w:hAnsi="Times New Roman" w:cs="Times New Roman"/>
          <w:lang w:bidi="en-US"/>
        </w:rPr>
        <w:fldChar w:fldCharType="separate"/>
      </w:r>
      <w:hyperlink w:anchor="_ENREF_7" w:tooltip="Jansen, 1994 #3" w:history="1">
        <w:r w:rsidR="009C41E7">
          <w:rPr>
            <w:rFonts w:ascii="Times New Roman" w:hAnsi="Times New Roman" w:cs="Times New Roman"/>
            <w:noProof/>
            <w:lang w:bidi="en-US"/>
          </w:rPr>
          <w:t xml:space="preserve"> Jansen [1994</w:t>
        </w:r>
      </w:hyperlink>
      <w:r w:rsidR="00D95E6A">
        <w:rPr>
          <w:rFonts w:ascii="Times New Roman" w:hAnsi="Times New Roman" w:cs="Times New Roman"/>
          <w:noProof/>
          <w:lang w:bidi="en-US"/>
        </w:rPr>
        <w:t>]</w:t>
      </w:r>
      <w:r w:rsidR="00D95E6A">
        <w:rPr>
          <w:rFonts w:ascii="Times New Roman" w:hAnsi="Times New Roman" w:cs="Times New Roman"/>
          <w:lang w:bidi="en-US"/>
        </w:rPr>
        <w:fldChar w:fldCharType="end"/>
      </w:r>
      <w:r w:rsidR="00592CA5">
        <w:rPr>
          <w:rFonts w:ascii="Times New Roman" w:hAnsi="Times New Roman" w:cs="Times New Roman"/>
          <w:lang w:bidi="en-US"/>
        </w:rPr>
        <w:t>, who</w:t>
      </w:r>
      <w:r w:rsidR="00820B93">
        <w:rPr>
          <w:rFonts w:ascii="Times New Roman" w:hAnsi="Times New Roman" w:cs="Times New Roman"/>
          <w:lang w:bidi="en-US"/>
        </w:rPr>
        <w:t xml:space="preserve"> assumes that the coefficients are independent</w:t>
      </w:r>
      <w:r w:rsidR="008C3E94">
        <w:rPr>
          <w:rFonts w:ascii="Times New Roman" w:hAnsi="Times New Roman" w:cs="Times New Roman"/>
          <w:lang w:bidi="en-US"/>
        </w:rPr>
        <w:t xml:space="preserve">. He </w:t>
      </w:r>
      <w:r w:rsidR="00820B93">
        <w:rPr>
          <w:rFonts w:ascii="Times New Roman" w:hAnsi="Times New Roman" w:cs="Times New Roman"/>
          <w:lang w:bidi="en-US"/>
        </w:rPr>
        <w:t xml:space="preserve">argues that according to the Young’s Theorem the expected value of the Leontief inverse exceeds the expected value of the inverse’s coefficients, and thus in a way it is an under-estimate. </w:t>
      </w:r>
      <w:r w:rsidR="00D95E6A">
        <w:rPr>
          <w:rFonts w:ascii="Times New Roman" w:hAnsi="Times New Roman" w:cs="Times New Roman"/>
          <w:lang w:bidi="en-US"/>
        </w:rPr>
        <w:fldChar w:fldCharType="begin"/>
      </w:r>
      <w:r w:rsidR="00D95E6A">
        <w:rPr>
          <w:rFonts w:ascii="Times New Roman" w:hAnsi="Times New Roman" w:cs="Times New Roman"/>
          <w:lang w:bidi="en-US"/>
        </w:rPr>
        <w:instrText xml:space="preserve"> ADDIN EN.CITE &lt;EndNote&gt;&lt;Cite AuthorYear="1"&gt;&lt;Author&gt;Dietzenbacher&lt;/Author&gt;&lt;Year&gt;1995&lt;/Year&gt;&lt;RecNum&gt;4&lt;/RecNum&gt;&lt;DisplayText&gt; Dietzenbacher [1995]&lt;/DisplayText&gt;&lt;record&gt;&lt;rec-number&gt;4&lt;/rec-number&gt;&lt;foreign-keys&gt;&lt;key app="EN" db-id="taps2fsr45efv7e95fc59tzqxfeezpeaz2ev"&gt;4&lt;/key&gt;&lt;/foreign-keys&gt;&lt;ref-type name="Journal Article"&gt;17&lt;/ref-type&gt;&lt;contributors&gt;&lt;authors&gt;&lt;author&gt;Dietzenbacher, Erik&lt;/author&gt;&lt;/authors&gt;&lt;/contributors&gt;&lt;titles&gt;&lt;title&gt;On the bias of multiplier estimates&lt;/title&gt;&lt;secondary-title&gt;Journal of Regional Science&lt;/secondary-title&gt;&lt;/titles&gt;&lt;periodical&gt;&lt;full-title&gt;Journal of Regional Science&lt;/full-title&gt;&lt;/periodical&gt;&lt;pages&gt;377&lt;/pages&gt;&lt;volume&gt;35&lt;/volume&gt;&lt;number&gt;3&lt;/number&gt;&lt;keywords&gt;&lt;keyword&gt;MULTIPLIERS (Mathematical analysis)&lt;/keyword&gt;&lt;keyword&gt;RANDOM matrices&lt;/keyword&gt;&lt;/keywords&gt;&lt;dates&gt;&lt;year&gt;1995&lt;/year&gt;&lt;/dates&gt;&lt;publisher&gt;Wiley-Blackwell&lt;/publisher&gt;&lt;isbn&gt;00224146&lt;/isbn&gt;&lt;accession-num&gt;9509103732&lt;/accession-num&gt;&lt;work-type&gt;Article&lt;/work-type&gt;&lt;urls&gt;&lt;related-urls&gt;&lt;url&gt;http://proxygw.wrlc.org/login?url=http://search.ebscohost.com/login.aspx?direct=true&amp;amp;db=bth&amp;amp;AN=9509103732&amp;amp;site=ehost-live&lt;/url&gt;&lt;/related-urls&gt;&lt;/urls&gt;&lt;remote-database-name&gt;bth&lt;/remote-database-name&gt;&lt;remote-database-provider&gt;EBSCOhost&lt;/remote-database-provider&gt;&lt;/record&gt;&lt;/Cite&gt;&lt;/EndNote&gt;</w:instrText>
      </w:r>
      <w:r w:rsidR="00D95E6A">
        <w:rPr>
          <w:rFonts w:ascii="Times New Roman" w:hAnsi="Times New Roman" w:cs="Times New Roman"/>
          <w:lang w:bidi="en-US"/>
        </w:rPr>
        <w:fldChar w:fldCharType="separate"/>
      </w:r>
      <w:hyperlink w:anchor="_ENREF_4" w:tooltip="Dietzenbacher, 1995 #4" w:history="1">
        <w:r w:rsidR="009C41E7">
          <w:rPr>
            <w:rFonts w:ascii="Times New Roman" w:hAnsi="Times New Roman" w:cs="Times New Roman"/>
            <w:noProof/>
            <w:lang w:bidi="en-US"/>
          </w:rPr>
          <w:t xml:space="preserve"> Dietzenbacher [1995</w:t>
        </w:r>
      </w:hyperlink>
      <w:r w:rsidR="00D95E6A">
        <w:rPr>
          <w:rFonts w:ascii="Times New Roman" w:hAnsi="Times New Roman" w:cs="Times New Roman"/>
          <w:noProof/>
          <w:lang w:bidi="en-US"/>
        </w:rPr>
        <w:t>]</w:t>
      </w:r>
      <w:r w:rsidR="00D95E6A">
        <w:rPr>
          <w:rFonts w:ascii="Times New Roman" w:hAnsi="Times New Roman" w:cs="Times New Roman"/>
          <w:lang w:bidi="en-US"/>
        </w:rPr>
        <w:fldChar w:fldCharType="end"/>
      </w:r>
      <w:r w:rsidR="00820B93">
        <w:rPr>
          <w:rFonts w:ascii="Times New Roman" w:hAnsi="Times New Roman" w:cs="Times New Roman"/>
          <w:lang w:bidi="en-US"/>
        </w:rPr>
        <w:t xml:space="preserve"> analyses </w:t>
      </w:r>
      <w:r w:rsidR="00881C02">
        <w:rPr>
          <w:rFonts w:ascii="Times New Roman" w:hAnsi="Times New Roman" w:cs="Times New Roman"/>
          <w:lang w:bidi="en-US"/>
        </w:rPr>
        <w:t>aggregation of input-output (I-O) accounts and determines that the expected value is usually over-estimated.  The degree of precision of the I-O coefficients remains arbitrary. Stochastic modeling of I-O accounts was initially used to analyze backward and for</w:t>
      </w:r>
      <w:r w:rsidR="008C3E94">
        <w:rPr>
          <w:rFonts w:ascii="Times New Roman" w:hAnsi="Times New Roman" w:cs="Times New Roman"/>
          <w:lang w:bidi="en-US"/>
        </w:rPr>
        <w:t>ward linkages by Rasmussen</w:t>
      </w:r>
      <w:r w:rsidR="005F033F">
        <w:rPr>
          <w:rFonts w:ascii="Times New Roman" w:hAnsi="Times New Roman" w:cs="Times New Roman"/>
          <w:lang w:bidi="en-US"/>
        </w:rPr>
        <w:t>; his</w:t>
      </w:r>
      <w:r w:rsidR="00592CA5">
        <w:rPr>
          <w:rFonts w:ascii="Times New Roman" w:hAnsi="Times New Roman" w:cs="Times New Roman"/>
          <w:lang w:bidi="en-US"/>
        </w:rPr>
        <w:t xml:space="preserve"> analysis provides a stepping stone within key sector analysis</w:t>
      </w:r>
      <w:r w:rsidR="008C3E94">
        <w:rPr>
          <w:rFonts w:ascii="Times New Roman" w:hAnsi="Times New Roman" w:cs="Times New Roman"/>
          <w:lang w:bidi="en-US"/>
        </w:rPr>
        <w:t xml:space="preserve"> </w:t>
      </w:r>
      <w:r w:rsidR="008C3E94">
        <w:rPr>
          <w:rFonts w:ascii="Times New Roman" w:hAnsi="Times New Roman" w:cs="Times New Roman"/>
          <w:lang w:bidi="en-US"/>
        </w:rPr>
        <w:fldChar w:fldCharType="begin"/>
      </w:r>
      <w:r w:rsidR="008C3E94">
        <w:rPr>
          <w:rFonts w:ascii="Times New Roman" w:hAnsi="Times New Roman" w:cs="Times New Roman"/>
          <w:lang w:bidi="en-US"/>
        </w:rPr>
        <w:instrText xml:space="preserve"> ADDIN EN.CITE &lt;EndNote&gt;&lt;Cite&gt;&lt;Author&gt;Beynon&lt;/Author&gt;&lt;Year&gt;2008&lt;/Year&gt;&lt;RecNum&gt;5&lt;/RecNum&gt;&lt;DisplayText&gt;[Beynon and Munday, 2008]&lt;/DisplayText&gt;&lt;record&gt;&lt;rec-number&gt;5&lt;/rec-number&gt;&lt;foreign-keys&gt;&lt;key app="EN" db-id="taps2fsr45efv7e95fc59tzqxfeezpeaz2ev"&gt;5&lt;/key&gt;&lt;/foreign-keys&gt;&lt;ref-type name="Journal Article"&gt;17&lt;/ref-type&gt;&lt;contributors&gt;&lt;authors&gt;&lt;author&gt;Beynon, MalcolmJ&lt;/author&gt;&lt;author&gt;Munday, Max&lt;/author&gt;&lt;/authors&gt;&lt;/contributors&gt;&lt;titles&gt;&lt;title&gt;Stochastic key sector analysis: an application to a regional input–output framework&lt;/title&gt;&lt;secondary-title&gt;The Annals of Regional Science&lt;/secondary-title&gt;&lt;alt-title&gt;Ann Reg Sci&lt;/alt-title&gt;&lt;/titles&gt;&lt;periodical&gt;&lt;full-title&gt;The Annals of Regional Science&lt;/full-title&gt;&lt;abbr-1&gt;Ann Reg Sci&lt;/abbr-1&gt;&lt;/periodical&gt;&lt;alt-periodical&gt;&lt;full-title&gt;The Annals of Regional Science&lt;/full-title&gt;&lt;abbr-1&gt;Ann Reg Sci&lt;/abbr-1&gt;&lt;/alt-periodical&gt;&lt;pages&gt;863-877&lt;/pages&gt;&lt;volume&gt;42&lt;/volume&gt;&lt;number&gt;4&lt;/number&gt;&lt;keywords&gt;&lt;keyword&gt;R15&lt;/keyword&gt;&lt;keyword&gt;C15&lt;/keyword&gt;&lt;keyword&gt;C67&lt;/keyword&gt;&lt;/keywords&gt;&lt;dates&gt;&lt;year&gt;2008&lt;/year&gt;&lt;pub-dates&gt;&lt;date&gt;2008/12/01&lt;/date&gt;&lt;/pub-dates&gt;&lt;/dates&gt;&lt;publisher&gt;Springer-Verlag&lt;/publisher&gt;&lt;isbn&gt;0570-1864&lt;/isbn&gt;&lt;urls&gt;&lt;related-urls&gt;&lt;url&gt;http://dx.doi.org/10.1007/s00168-007-0172-0&lt;/url&gt;&lt;/related-urls&gt;&lt;/urls&gt;&lt;electronic-resource-num&gt;10.1007/s00168-007-0172-0&lt;/electronic-resource-num&gt;&lt;language&gt;English&lt;/language&gt;&lt;/record&gt;&lt;/Cite&gt;&lt;/EndNote&gt;</w:instrText>
      </w:r>
      <w:r w:rsidR="008C3E94">
        <w:rPr>
          <w:rFonts w:ascii="Times New Roman" w:hAnsi="Times New Roman" w:cs="Times New Roman"/>
          <w:lang w:bidi="en-US"/>
        </w:rPr>
        <w:fldChar w:fldCharType="separate"/>
      </w:r>
      <w:r w:rsidR="008C3E94">
        <w:rPr>
          <w:rFonts w:ascii="Times New Roman" w:hAnsi="Times New Roman" w:cs="Times New Roman"/>
          <w:noProof/>
          <w:lang w:bidi="en-US"/>
        </w:rPr>
        <w:t>[</w:t>
      </w:r>
      <w:hyperlink w:anchor="_ENREF_2" w:tooltip="Beynon, 2008 #5" w:history="1">
        <w:r w:rsidR="009C41E7">
          <w:rPr>
            <w:rFonts w:ascii="Times New Roman" w:hAnsi="Times New Roman" w:cs="Times New Roman"/>
            <w:noProof/>
            <w:lang w:bidi="en-US"/>
          </w:rPr>
          <w:t>Beynon and Munday, 2008</w:t>
        </w:r>
      </w:hyperlink>
      <w:r w:rsidR="008C3E94">
        <w:rPr>
          <w:rFonts w:ascii="Times New Roman" w:hAnsi="Times New Roman" w:cs="Times New Roman"/>
          <w:noProof/>
          <w:lang w:bidi="en-US"/>
        </w:rPr>
        <w:t>]</w:t>
      </w:r>
      <w:r w:rsidR="008C3E94">
        <w:rPr>
          <w:rFonts w:ascii="Times New Roman" w:hAnsi="Times New Roman" w:cs="Times New Roman"/>
          <w:lang w:bidi="en-US"/>
        </w:rPr>
        <w:fldChar w:fldCharType="end"/>
      </w:r>
      <w:r w:rsidR="00592CA5">
        <w:rPr>
          <w:rFonts w:ascii="Times New Roman" w:hAnsi="Times New Roman" w:cs="Times New Roman"/>
          <w:lang w:bidi="en-US"/>
        </w:rPr>
        <w:t xml:space="preserve">. </w:t>
      </w:r>
      <w:r w:rsidR="00880528">
        <w:rPr>
          <w:rFonts w:ascii="Times New Roman" w:hAnsi="Times New Roman" w:cs="Times New Roman"/>
          <w:lang w:bidi="en-US"/>
        </w:rPr>
        <w:fldChar w:fldCharType="begin"/>
      </w:r>
      <w:r w:rsidR="00880528">
        <w:rPr>
          <w:rFonts w:ascii="Times New Roman" w:hAnsi="Times New Roman" w:cs="Times New Roman"/>
          <w:lang w:bidi="en-US"/>
        </w:rPr>
        <w:instrText xml:space="preserve"> ADDIN EN.CITE &lt;EndNote&gt;&lt;Cite AuthorYear="1"&gt;&lt;Author&gt;Beynon&lt;/Author&gt;&lt;Year&gt;2008&lt;/Year&gt;&lt;RecNum&gt;5&lt;/RecNum&gt;&lt;DisplayText&gt; Beynon and Munday [2008]&lt;/DisplayText&gt;&lt;record&gt;&lt;rec-number&gt;5&lt;/rec-number&gt;&lt;foreign-keys&gt;&lt;key app="EN" db-id="taps2fsr45efv7e95fc59tzqxfeezpeaz2ev"&gt;5&lt;/key&gt;&lt;/foreign-keys&gt;&lt;ref-type name="Journal Article"&gt;17&lt;/ref-type&gt;&lt;contributors&gt;&lt;authors&gt;&lt;author&gt;Beynon, MalcolmJ&lt;/author&gt;&lt;author&gt;Munday, Max&lt;/author&gt;&lt;/authors&gt;&lt;/contributors&gt;&lt;titles&gt;&lt;title&gt;Stochastic key sector analysis: an application to a regional input–output framework&lt;/title&gt;&lt;secondary-title&gt;The Annals of Regional Science&lt;/secondary-title&gt;&lt;alt-title&gt;Ann Reg Sci&lt;/alt-title&gt;&lt;/titles&gt;&lt;periodical&gt;&lt;full-title&gt;The Annals of Regional Science&lt;/full-title&gt;&lt;abbr-1&gt;Ann Reg Sci&lt;/abbr-1&gt;&lt;/periodical&gt;&lt;alt-periodical&gt;&lt;full-title&gt;The Annals of Regional Science&lt;/full-title&gt;&lt;abbr-1&gt;Ann Reg Sci&lt;/abbr-1&gt;&lt;/alt-periodical&gt;&lt;pages&gt;863-877&lt;/pages&gt;&lt;volume&gt;42&lt;/volume&gt;&lt;number&gt;4&lt;/number&gt;&lt;keywords&gt;&lt;keyword&gt;R15&lt;/keyword&gt;&lt;keyword&gt;C15&lt;/keyword&gt;&lt;keyword&gt;C67&lt;/keyword&gt;&lt;/keywords&gt;&lt;dates&gt;&lt;year&gt;2008&lt;/year&gt;&lt;pub-dates&gt;&lt;date&gt;2008/12/01&lt;/date&gt;&lt;/pub-dates&gt;&lt;/dates&gt;&lt;publisher&gt;Springer-Verlag&lt;/publisher&gt;&lt;isbn&gt;0570-1864&lt;/isbn&gt;&lt;urls&gt;&lt;related-urls&gt;&lt;url&gt;http://dx.doi.org/10.1007/s00168-007-0172-0&lt;/url&gt;&lt;/related-urls&gt;&lt;/urls&gt;&lt;electronic-resource-num&gt;10.1007/s00168-007-0172-0&lt;/electronic-resource-num&gt;&lt;language&gt;English&lt;/language&gt;&lt;/record&gt;&lt;/Cite&gt;&lt;/EndNote&gt;</w:instrText>
      </w:r>
      <w:r w:rsidR="00880528">
        <w:rPr>
          <w:rFonts w:ascii="Times New Roman" w:hAnsi="Times New Roman" w:cs="Times New Roman"/>
          <w:lang w:bidi="en-US"/>
        </w:rPr>
        <w:fldChar w:fldCharType="separate"/>
      </w:r>
      <w:hyperlink w:anchor="_ENREF_2" w:tooltip="Beynon, 2008 #5" w:history="1">
        <w:r w:rsidR="009C41E7">
          <w:rPr>
            <w:rFonts w:ascii="Times New Roman" w:hAnsi="Times New Roman" w:cs="Times New Roman"/>
            <w:noProof/>
            <w:lang w:bidi="en-US"/>
          </w:rPr>
          <w:t xml:space="preserve"> Beynon and Munday [2008</w:t>
        </w:r>
      </w:hyperlink>
      <w:r w:rsidR="00880528">
        <w:rPr>
          <w:rFonts w:ascii="Times New Roman" w:hAnsi="Times New Roman" w:cs="Times New Roman"/>
          <w:noProof/>
          <w:lang w:bidi="en-US"/>
        </w:rPr>
        <w:t>]</w:t>
      </w:r>
      <w:r w:rsidR="00880528">
        <w:rPr>
          <w:rFonts w:ascii="Times New Roman" w:hAnsi="Times New Roman" w:cs="Times New Roman"/>
          <w:lang w:bidi="en-US"/>
        </w:rPr>
        <w:fldChar w:fldCharType="end"/>
      </w:r>
      <w:r w:rsidR="00880528">
        <w:rPr>
          <w:rFonts w:ascii="Times New Roman" w:hAnsi="Times New Roman" w:cs="Times New Roman"/>
          <w:lang w:bidi="en-US"/>
        </w:rPr>
        <w:t xml:space="preserve"> </w:t>
      </w:r>
      <w:r w:rsidR="005F033F">
        <w:rPr>
          <w:rFonts w:ascii="Times New Roman" w:hAnsi="Times New Roman" w:cs="Times New Roman"/>
          <w:lang w:bidi="en-US"/>
        </w:rPr>
        <w:t xml:space="preserve"> furthers the work of</w:t>
      </w:r>
      <w:r w:rsidR="00880528">
        <w:rPr>
          <w:rFonts w:ascii="Times New Roman" w:hAnsi="Times New Roman" w:cs="Times New Roman"/>
          <w:lang w:bidi="en-US"/>
        </w:rPr>
        <w:fldChar w:fldCharType="begin"/>
      </w:r>
      <w:r w:rsidR="00880528">
        <w:rPr>
          <w:rFonts w:ascii="Times New Roman" w:hAnsi="Times New Roman" w:cs="Times New Roman"/>
          <w:lang w:bidi="en-US"/>
        </w:rPr>
        <w:instrText xml:space="preserve"> ADDIN EN.CITE &lt;EndNote&gt;&lt;Cite AuthorYear="1"&gt;&lt;Author&gt;Dietzenbacher&lt;/Author&gt;&lt;Year&gt;1995&lt;/Year&gt;&lt;RecNum&gt;4&lt;/RecNum&gt;&lt;DisplayText&gt; Dietzenbacher [1995]&lt;/DisplayText&gt;&lt;record&gt;&lt;rec-number&gt;4&lt;/rec-number&gt;&lt;foreign-keys&gt;&lt;key app="EN" db-id="taps2fsr45efv7e95fc59tzqxfeezpeaz2ev"&gt;4&lt;/key&gt;&lt;/foreign-keys&gt;&lt;ref-type name="Journal Article"&gt;17&lt;/ref-type&gt;&lt;contributors&gt;&lt;authors&gt;&lt;author&gt;Dietzenbacher, Erik&lt;/author&gt;&lt;/authors&gt;&lt;/contributors&gt;&lt;titles&gt;&lt;title&gt;On the bias of multiplier estimates&lt;/title&gt;&lt;secondary-title&gt;Journal of Regional Science&lt;/secondary-title&gt;&lt;/titles&gt;&lt;periodical&gt;&lt;full-title&gt;Journal of Regional Science&lt;/full-title&gt;&lt;/periodical&gt;&lt;pages&gt;377&lt;/pages&gt;&lt;volume&gt;35&lt;/volume&gt;&lt;number&gt;3&lt;/number&gt;&lt;keywords&gt;&lt;keyword&gt;MULTIPLIERS (Mathematical analysis)&lt;/keyword&gt;&lt;keyword&gt;RANDOM matrices&lt;/keyword&gt;&lt;/keywords&gt;&lt;dates&gt;&lt;year&gt;1995&lt;/year&gt;&lt;/dates&gt;&lt;publisher&gt;Wiley-Blackwell&lt;/publisher&gt;&lt;isbn&gt;00224146&lt;/isbn&gt;&lt;accession-num&gt;9509103732&lt;/accession-num&gt;&lt;work-type&gt;Article&lt;/work-type&gt;&lt;urls&gt;&lt;related-urls&gt;&lt;url&gt;http://proxygw.wrlc.org/login?url=http://search.ebscohost.com/login.aspx?direct=true&amp;amp;db=bth&amp;amp;AN=9509103732&amp;amp;site=ehost-live&lt;/url&gt;&lt;/related-urls&gt;&lt;/urls&gt;&lt;remote-database-name&gt;bth&lt;/remote-database-name&gt;&lt;remote-database-provider&gt;EBSCOhost&lt;/remote-database-provider&gt;&lt;/record&gt;&lt;/Cite&gt;&lt;/EndNote&gt;</w:instrText>
      </w:r>
      <w:r w:rsidR="00880528">
        <w:rPr>
          <w:rFonts w:ascii="Times New Roman" w:hAnsi="Times New Roman" w:cs="Times New Roman"/>
          <w:lang w:bidi="en-US"/>
        </w:rPr>
        <w:fldChar w:fldCharType="separate"/>
      </w:r>
      <w:hyperlink w:anchor="_ENREF_4" w:tooltip="Dietzenbacher, 1995 #4" w:history="1">
        <w:r w:rsidR="009C41E7">
          <w:rPr>
            <w:rFonts w:ascii="Times New Roman" w:hAnsi="Times New Roman" w:cs="Times New Roman"/>
            <w:noProof/>
            <w:lang w:bidi="en-US"/>
          </w:rPr>
          <w:t xml:space="preserve"> Dietzenbacher [1995</w:t>
        </w:r>
      </w:hyperlink>
      <w:r w:rsidR="00880528">
        <w:rPr>
          <w:rFonts w:ascii="Times New Roman" w:hAnsi="Times New Roman" w:cs="Times New Roman"/>
          <w:noProof/>
          <w:lang w:bidi="en-US"/>
        </w:rPr>
        <w:t>]</w:t>
      </w:r>
      <w:r w:rsidR="00880528">
        <w:rPr>
          <w:rFonts w:ascii="Times New Roman" w:hAnsi="Times New Roman" w:cs="Times New Roman"/>
          <w:lang w:bidi="en-US"/>
        </w:rPr>
        <w:fldChar w:fldCharType="end"/>
      </w:r>
      <w:r w:rsidR="00880528">
        <w:rPr>
          <w:rFonts w:ascii="Times New Roman" w:hAnsi="Times New Roman" w:cs="Times New Roman"/>
          <w:lang w:bidi="en-US"/>
        </w:rPr>
        <w:t xml:space="preserve"> </w:t>
      </w:r>
      <w:r w:rsidR="005F033F">
        <w:rPr>
          <w:rFonts w:ascii="Times New Roman" w:hAnsi="Times New Roman" w:cs="Times New Roman"/>
          <w:lang w:bidi="en-US"/>
        </w:rPr>
        <w:t xml:space="preserve">and </w:t>
      </w:r>
      <w:r w:rsidR="00880528">
        <w:rPr>
          <w:rFonts w:ascii="Times New Roman" w:hAnsi="Times New Roman" w:cs="Times New Roman"/>
          <w:lang w:bidi="en-US"/>
        </w:rPr>
        <w:fldChar w:fldCharType="begin"/>
      </w:r>
      <w:r w:rsidR="007B0011">
        <w:rPr>
          <w:rFonts w:ascii="Times New Roman" w:hAnsi="Times New Roman" w:cs="Times New Roman"/>
          <w:lang w:bidi="en-US"/>
        </w:rPr>
        <w:instrText xml:space="preserve"> ADDIN EN.CITE &lt;EndNote&gt;&lt;Cite AuthorYear="1"&gt;&lt;Author&gt;Lahr&lt;/Author&gt;&lt;Year&gt;2002&lt;/Year&gt;&lt;RecNum&gt;7&lt;/RecNum&gt;&lt;DisplayText&gt; Lahr and Stevens [2002]&lt;/DisplayText&gt;&lt;record&gt;&lt;rec-number&gt;7&lt;/rec-number&gt;&lt;foreign-keys&gt;&lt;key app="EN" db-id="taps2fsr45efv7e95fc59tzqxfeezpeaz2ev"&gt;7&lt;/key&gt;&lt;/foreign-keys&gt;&lt;ref-type name="Journal Article"&gt;17&lt;/ref-type&gt;&lt;contributors&gt;&lt;authors&gt;&lt;author&gt;Lahr, Michael L.&lt;/author&gt;&lt;author&gt;Stevens, Benjamin H.&lt;/author&gt;&lt;/authors&gt;&lt;/contributors&gt;&lt;titles&gt;&lt;title&gt;A Study of the Role of Regionalization in the Generation of Aggregation Error in Regional Input –Output Models&lt;/title&gt;&lt;secondary-title&gt;Journal of Regional Science&lt;/secondary-title&gt;&lt;/titles&gt;&lt;periodical&gt;&lt;full-title&gt;Journal of Regional Science&lt;/full-title&gt;&lt;/periodical&gt;&lt;pages&gt;477-507&lt;/pages&gt;&lt;volume&gt;42&lt;/volume&gt;&lt;number&gt;3&lt;/number&gt;&lt;dates&gt;&lt;year&gt;2002&lt;/year&gt;&lt;/dates&gt;&lt;publisher&gt;Blackwell Publishers Inc.&lt;/publisher&gt;&lt;isbn&gt;1467-9787&lt;/isbn&gt;&lt;urls&gt;&lt;related-urls&gt;&lt;url&gt;http://dx.doi.org/10.1111/1467-9787.00268&lt;/url&gt;&lt;/related-urls&gt;&lt;/urls&gt;&lt;electronic-resource-num&gt;10.1111/1467-9787.00268&lt;/electronic-resource-num&gt;&lt;/record&gt;&lt;/Cite&gt;&lt;/EndNote&gt;</w:instrText>
      </w:r>
      <w:r w:rsidR="00880528">
        <w:rPr>
          <w:rFonts w:ascii="Times New Roman" w:hAnsi="Times New Roman" w:cs="Times New Roman"/>
          <w:lang w:bidi="en-US"/>
        </w:rPr>
        <w:fldChar w:fldCharType="separate"/>
      </w:r>
      <w:hyperlink w:anchor="_ENREF_10" w:tooltip="Lahr, 2002 #7" w:history="1">
        <w:r w:rsidR="009C41E7">
          <w:rPr>
            <w:rFonts w:ascii="Times New Roman" w:hAnsi="Times New Roman" w:cs="Times New Roman"/>
            <w:noProof/>
            <w:lang w:bidi="en-US"/>
          </w:rPr>
          <w:t xml:space="preserve"> Lahr and Stevens [2002</w:t>
        </w:r>
      </w:hyperlink>
      <w:r w:rsidR="007B0011">
        <w:rPr>
          <w:rFonts w:ascii="Times New Roman" w:hAnsi="Times New Roman" w:cs="Times New Roman"/>
          <w:noProof/>
          <w:lang w:bidi="en-US"/>
        </w:rPr>
        <w:t>]</w:t>
      </w:r>
      <w:r w:rsidR="00880528">
        <w:rPr>
          <w:rFonts w:ascii="Times New Roman" w:hAnsi="Times New Roman" w:cs="Times New Roman"/>
          <w:lang w:bidi="en-US"/>
        </w:rPr>
        <w:fldChar w:fldCharType="end"/>
      </w:r>
      <w:r w:rsidR="005F033F">
        <w:rPr>
          <w:rFonts w:ascii="Times New Roman" w:hAnsi="Times New Roman" w:cs="Times New Roman"/>
          <w:lang w:bidi="en-US"/>
        </w:rPr>
        <w:t xml:space="preserve"> to provide a framework for regional stochastic input-output analysis using the support of beta distribution for determining surrogate technical coefficients. </w:t>
      </w:r>
    </w:p>
    <w:p w14:paraId="1E8B91B9" w14:textId="14F92589" w:rsidR="00592CA5" w:rsidRDefault="00592CA5" w:rsidP="00592CA5">
      <w:pPr>
        <w:spacing w:after="0" w:line="480" w:lineRule="auto"/>
        <w:ind w:firstLine="720"/>
        <w:jc w:val="both"/>
        <w:rPr>
          <w:rFonts w:ascii="Times New Roman" w:hAnsi="Times New Roman" w:cs="Times New Roman"/>
          <w:lang w:bidi="en-US"/>
        </w:rPr>
      </w:pPr>
      <w:r>
        <w:rPr>
          <w:rFonts w:ascii="Times New Roman" w:hAnsi="Times New Roman" w:cs="Times New Roman"/>
          <w:lang w:bidi="en-US"/>
        </w:rPr>
        <w:t xml:space="preserve">This paper </w:t>
      </w:r>
      <w:r w:rsidR="005F033F">
        <w:rPr>
          <w:rFonts w:ascii="Times New Roman" w:hAnsi="Times New Roman" w:cs="Times New Roman"/>
          <w:lang w:bidi="en-US"/>
        </w:rPr>
        <w:t>is provides an</w:t>
      </w:r>
      <w:r>
        <w:rPr>
          <w:rFonts w:ascii="Times New Roman" w:hAnsi="Times New Roman" w:cs="Times New Roman"/>
          <w:lang w:bidi="en-US"/>
        </w:rPr>
        <w:t xml:space="preserve"> alternative stochastic approach in determining the coefficients for the </w:t>
      </w:r>
      <w:r w:rsidR="008C3E94">
        <w:rPr>
          <w:rFonts w:ascii="Times New Roman" w:hAnsi="Times New Roman" w:cs="Times New Roman"/>
          <w:lang w:bidi="en-US"/>
        </w:rPr>
        <w:t>Leontief’s Inverse. This</w:t>
      </w:r>
      <w:r w:rsidR="005F033F">
        <w:rPr>
          <w:rFonts w:ascii="Times New Roman" w:hAnsi="Times New Roman" w:cs="Times New Roman"/>
          <w:lang w:bidi="en-US"/>
        </w:rPr>
        <w:t xml:space="preserve"> research</w:t>
      </w:r>
      <w:r w:rsidR="00285D31">
        <w:rPr>
          <w:rFonts w:ascii="Times New Roman" w:hAnsi="Times New Roman" w:cs="Times New Roman"/>
          <w:lang w:bidi="en-US"/>
        </w:rPr>
        <w:t xml:space="preserve"> extends the Beta distribution assumptions to determine surrogate technical coef</w:t>
      </w:r>
      <w:r w:rsidR="008C3E94">
        <w:rPr>
          <w:rFonts w:ascii="Times New Roman" w:hAnsi="Times New Roman" w:cs="Times New Roman"/>
          <w:lang w:bidi="en-US"/>
        </w:rPr>
        <w:t>ficients by using Dirichlet</w:t>
      </w:r>
      <w:r w:rsidR="005F033F">
        <w:rPr>
          <w:rFonts w:ascii="Times New Roman" w:hAnsi="Times New Roman" w:cs="Times New Roman"/>
          <w:lang w:bidi="en-US"/>
        </w:rPr>
        <w:t xml:space="preserve"> distribution </w:t>
      </w:r>
      <w:r w:rsidR="00285D31">
        <w:rPr>
          <w:rFonts w:ascii="Times New Roman" w:hAnsi="Times New Roman" w:cs="Times New Roman"/>
          <w:lang w:bidi="en-US"/>
        </w:rPr>
        <w:t xml:space="preserve">to account for the unity property of the technical coefficient matrix </w:t>
      </w:r>
      <w:r w:rsidR="00285D31">
        <w:rPr>
          <w:rFonts w:ascii="Times New Roman" w:hAnsi="Times New Roman" w:cs="Times New Roman"/>
          <w:i/>
          <w:lang w:bidi="en-US"/>
        </w:rPr>
        <w:t xml:space="preserve">A. </w:t>
      </w:r>
      <w:r w:rsidR="00285D31">
        <w:rPr>
          <w:rFonts w:ascii="Times New Roman" w:hAnsi="Times New Roman" w:cs="Times New Roman"/>
          <w:lang w:bidi="en-US"/>
        </w:rPr>
        <w:t>After determining a set of surrogate technical coefficient</w:t>
      </w:r>
      <w:r w:rsidR="008C3E94">
        <w:rPr>
          <w:rFonts w:ascii="Times New Roman" w:hAnsi="Times New Roman" w:cs="Times New Roman"/>
          <w:lang w:bidi="en-US"/>
        </w:rPr>
        <w:t>,</w:t>
      </w:r>
      <w:r w:rsidR="00285D31">
        <w:rPr>
          <w:rFonts w:ascii="Times New Roman" w:hAnsi="Times New Roman" w:cs="Times New Roman"/>
          <w:lang w:bidi="en-US"/>
        </w:rPr>
        <w:t xml:space="preserve"> key sector analysis is performed based on backward linkages and heightened demand based interdependent sectors. This is primarily done through analyzing the distributions of each sector’s backward linkages, and additionally through an eigenvector analyses determining the ‘power of pull’ and potential growth of the sectors</w:t>
      </w:r>
      <w:r w:rsidR="008C3E94">
        <w:rPr>
          <w:rFonts w:ascii="Times New Roman" w:hAnsi="Times New Roman" w:cs="Times New Roman"/>
          <w:lang w:bidi="en-US"/>
        </w:rPr>
        <w:t xml:space="preserve"> </w:t>
      </w:r>
      <w:r w:rsidR="008C3E94">
        <w:rPr>
          <w:rFonts w:ascii="Times New Roman" w:hAnsi="Times New Roman" w:cs="Times New Roman"/>
          <w:lang w:bidi="en-US"/>
        </w:rPr>
        <w:fldChar w:fldCharType="begin"/>
      </w:r>
      <w:r w:rsidR="008C3E94">
        <w:rPr>
          <w:rFonts w:ascii="Times New Roman" w:hAnsi="Times New Roman" w:cs="Times New Roman"/>
          <w:lang w:bidi="en-US"/>
        </w:rPr>
        <w:instrText xml:space="preserve"> ADDIN EN.CITE &lt;EndNote&gt;&lt;Cite&gt;&lt;Author&gt;Dietzenbacher&lt;/Author&gt;&lt;Year&gt;1992&lt;/Year&gt;&lt;RecNum&gt;8&lt;/RecNum&gt;&lt;DisplayText&gt;[Dietzenbacher, 1992]&lt;/DisplayText&gt;&lt;record&gt;&lt;rec-number&gt;8&lt;/rec-number&gt;&lt;foreign-keys&gt;&lt;key app="EN" db-id="taps2fsr45efv7e95fc59tzqxfeezpeaz2ev"&gt;8&lt;/key&gt;&lt;/foreign-keys&gt;&lt;ref-type name="Journal Article"&gt;17&lt;/ref-type&gt;&lt;contributors&gt;&lt;authors&gt;&lt;author&gt;Dietzenbacher, Erik&lt;/author&gt;&lt;/authors&gt;&lt;/contributors&gt;&lt;titles&gt;&lt;title&gt;The measurement of interindustry linkages: Key sectors in the Netherlands&lt;/title&gt;&lt;secondary-title&gt;Economic Modelling&lt;/secondary-title&gt;&lt;/titles&gt;&lt;periodical&gt;&lt;full-title&gt;Economic Modelling&lt;/full-title&gt;&lt;/periodical&gt;&lt;pages&gt;419-437&lt;/pages&gt;&lt;volume&gt;9&lt;/volume&gt;&lt;number&gt;4&lt;/number&gt;&lt;keywords&gt;&lt;keyword&gt;Interindustry linkages&lt;/keyword&gt;&lt;keyword&gt;Input-output tables&lt;/keyword&gt;&lt;keyword&gt;Matrix analysis&lt;/keyword&gt;&lt;/keywords&gt;&lt;dates&gt;&lt;year&gt;1992&lt;/year&gt;&lt;pub-dates&gt;&lt;date&gt;10//&lt;/date&gt;&lt;/pub-dates&gt;&lt;/dates&gt;&lt;isbn&gt;0264-9993&lt;/isbn&gt;&lt;urls&gt;&lt;related-urls&gt;&lt;url&gt;http://www.sciencedirect.com/science/article/pii/026499939290022T&lt;/url&gt;&lt;/related-urls&gt;&lt;/urls&gt;&lt;electronic-resource-num&gt;http://dx.doi.org/10.1016/0264-9993(92)90022-T&lt;/electronic-resource-num&gt;&lt;/record&gt;&lt;/Cite&gt;&lt;/EndNote&gt;</w:instrText>
      </w:r>
      <w:r w:rsidR="008C3E94">
        <w:rPr>
          <w:rFonts w:ascii="Times New Roman" w:hAnsi="Times New Roman" w:cs="Times New Roman"/>
          <w:lang w:bidi="en-US"/>
        </w:rPr>
        <w:fldChar w:fldCharType="separate"/>
      </w:r>
      <w:r w:rsidR="008C3E94">
        <w:rPr>
          <w:rFonts w:ascii="Times New Roman" w:hAnsi="Times New Roman" w:cs="Times New Roman"/>
          <w:noProof/>
          <w:lang w:bidi="en-US"/>
        </w:rPr>
        <w:t>[</w:t>
      </w:r>
      <w:hyperlink w:anchor="_ENREF_3" w:tooltip="Dietzenbacher, 1992 #8" w:history="1">
        <w:r w:rsidR="009C41E7">
          <w:rPr>
            <w:rFonts w:ascii="Times New Roman" w:hAnsi="Times New Roman" w:cs="Times New Roman"/>
            <w:noProof/>
            <w:lang w:bidi="en-US"/>
          </w:rPr>
          <w:t>Dietzenbacher, 1992</w:t>
        </w:r>
      </w:hyperlink>
      <w:r w:rsidR="008C3E94">
        <w:rPr>
          <w:rFonts w:ascii="Times New Roman" w:hAnsi="Times New Roman" w:cs="Times New Roman"/>
          <w:noProof/>
          <w:lang w:bidi="en-US"/>
        </w:rPr>
        <w:t>]</w:t>
      </w:r>
      <w:r w:rsidR="008C3E94">
        <w:rPr>
          <w:rFonts w:ascii="Times New Roman" w:hAnsi="Times New Roman" w:cs="Times New Roman"/>
          <w:lang w:bidi="en-US"/>
        </w:rPr>
        <w:fldChar w:fldCharType="end"/>
      </w:r>
      <w:r w:rsidR="00285D31">
        <w:rPr>
          <w:rFonts w:ascii="Times New Roman" w:hAnsi="Times New Roman" w:cs="Times New Roman"/>
          <w:lang w:bidi="en-US"/>
        </w:rPr>
        <w:t>.</w:t>
      </w:r>
    </w:p>
    <w:p w14:paraId="558B2953" w14:textId="77777777" w:rsidR="00285D31" w:rsidRPr="00285D31" w:rsidRDefault="00285D31" w:rsidP="00592CA5">
      <w:pPr>
        <w:spacing w:after="0" w:line="480" w:lineRule="auto"/>
        <w:ind w:firstLine="720"/>
        <w:jc w:val="both"/>
      </w:pPr>
    </w:p>
    <w:p w14:paraId="31E9CD6C" w14:textId="77777777" w:rsidR="00592CA5" w:rsidRDefault="00592CA5" w:rsidP="00592CA5">
      <w:pPr>
        <w:spacing w:after="0" w:line="480" w:lineRule="auto"/>
        <w:ind w:firstLine="720"/>
        <w:jc w:val="both"/>
        <w:rPr>
          <w:rFonts w:ascii="Times New Roman" w:hAnsi="Times New Roman" w:cs="Times New Roman"/>
          <w:lang w:bidi="en-US"/>
        </w:rPr>
      </w:pPr>
    </w:p>
    <w:p w14:paraId="5361C434" w14:textId="37C2CBFE" w:rsidR="006B6194" w:rsidRPr="00A114EE" w:rsidRDefault="006B6194" w:rsidP="006B6194">
      <w:pPr>
        <w:pStyle w:val="Heading1"/>
        <w:ind w:left="504"/>
      </w:pPr>
      <w:r>
        <w:lastRenderedPageBreak/>
        <w:t>STOCHASTIC INPUT-OUTPUT ANALYSIS</w:t>
      </w:r>
    </w:p>
    <w:p w14:paraId="35E7FAAB" w14:textId="5D7B7085" w:rsidR="00303359" w:rsidRDefault="00592CA5" w:rsidP="007B0011">
      <w:pPr>
        <w:autoSpaceDE w:val="0"/>
        <w:autoSpaceDN w:val="0"/>
        <w:adjustRightInd w:val="0"/>
        <w:spacing w:line="480" w:lineRule="auto"/>
        <w:ind w:firstLine="504"/>
        <w:jc w:val="both"/>
        <w:rPr>
          <w:rFonts w:ascii="Times New Roman" w:hAnsi="Times New Roman" w:cs="Times New Roman"/>
          <w:lang w:bidi="en-US"/>
        </w:rPr>
      </w:pPr>
      <w:r>
        <w:rPr>
          <w:rFonts w:ascii="Times New Roman" w:hAnsi="Times New Roman" w:cs="Times New Roman"/>
          <w:lang w:bidi="en-US"/>
        </w:rPr>
        <w:t xml:space="preserve">Stochastic </w:t>
      </w:r>
      <w:r w:rsidR="00870335">
        <w:rPr>
          <w:rFonts w:ascii="Times New Roman" w:hAnsi="Times New Roman" w:cs="Times New Roman"/>
          <w:lang w:bidi="en-US"/>
        </w:rPr>
        <w:t>analyses were</w:t>
      </w:r>
      <w:r>
        <w:rPr>
          <w:rFonts w:ascii="Times New Roman" w:hAnsi="Times New Roman" w:cs="Times New Roman"/>
          <w:lang w:bidi="en-US"/>
        </w:rPr>
        <w:t xml:space="preserve"> a key component in key sector analysis, additional critique to Rasmussen’s </w:t>
      </w:r>
      <w:r w:rsidR="002D1706">
        <w:rPr>
          <w:rFonts w:ascii="Times New Roman" w:hAnsi="Times New Roman" w:cs="Times New Roman"/>
          <w:lang w:bidi="en-US"/>
        </w:rPr>
        <w:t>approach</w:t>
      </w:r>
      <w:r w:rsidR="008C3E94">
        <w:rPr>
          <w:rFonts w:ascii="Times New Roman" w:hAnsi="Times New Roman" w:cs="Times New Roman"/>
          <w:lang w:bidi="en-US"/>
        </w:rPr>
        <w:t xml:space="preserve"> (</w:t>
      </w:r>
      <w:r w:rsidR="002D1706">
        <w:rPr>
          <w:rFonts w:ascii="Times New Roman" w:hAnsi="Times New Roman" w:cs="Times New Roman"/>
          <w:lang w:bidi="en-US"/>
        </w:rPr>
        <w:t xml:space="preserve">explained in </w:t>
      </w:r>
      <w:r w:rsidR="002D1706">
        <w:rPr>
          <w:rFonts w:ascii="Times New Roman" w:hAnsi="Times New Roman" w:cs="Times New Roman"/>
          <w:lang w:bidi="en-US"/>
        </w:rPr>
        <w:fldChar w:fldCharType="begin"/>
      </w:r>
      <w:r w:rsidR="002D1706">
        <w:rPr>
          <w:rFonts w:ascii="Times New Roman" w:hAnsi="Times New Roman" w:cs="Times New Roman"/>
          <w:lang w:bidi="en-US"/>
        </w:rPr>
        <w:instrText xml:space="preserve"> ADDIN EN.CITE &lt;EndNote&gt;&lt;Cite AuthorYear="1"&gt;&lt;Author&gt;Beynon&lt;/Author&gt;&lt;Year&gt;2008&lt;/Year&gt;&lt;RecNum&gt;5&lt;/RecNum&gt;&lt;DisplayText&gt; Beynon and Munday [2008]&lt;/DisplayText&gt;&lt;record&gt;&lt;rec-number&gt;5&lt;/rec-number&gt;&lt;foreign-keys&gt;&lt;key app="EN" db-id="taps2fsr45efv7e95fc59tzqxfeezpeaz2ev"&gt;5&lt;/key&gt;&lt;/foreign-keys&gt;&lt;ref-type name="Journal Article"&gt;17&lt;/ref-type&gt;&lt;contributors&gt;&lt;authors&gt;&lt;author&gt;Beynon, MalcolmJ&lt;/author&gt;&lt;author&gt;Munday, Max&lt;/author&gt;&lt;/authors&gt;&lt;/contributors&gt;&lt;titles&gt;&lt;title&gt;Stochastic key sector analysis: an application to a regional input–output framework&lt;/title&gt;&lt;secondary-title&gt;The Annals of Regional Science&lt;/secondary-title&gt;&lt;alt-title&gt;Ann Reg Sci&lt;/alt-title&gt;&lt;/titles&gt;&lt;periodical&gt;&lt;full-title&gt;The Annals of Regional Science&lt;/full-title&gt;&lt;abbr-1&gt;Ann Reg Sci&lt;/abbr-1&gt;&lt;/periodical&gt;&lt;alt-periodical&gt;&lt;full-title&gt;The Annals of Regional Science&lt;/full-title&gt;&lt;abbr-1&gt;Ann Reg Sci&lt;/abbr-1&gt;&lt;/alt-periodical&gt;&lt;pages&gt;863-877&lt;/pages&gt;&lt;volume&gt;42&lt;/volume&gt;&lt;number&gt;4&lt;/number&gt;&lt;keywords&gt;&lt;keyword&gt;R15&lt;/keyword&gt;&lt;keyword&gt;C15&lt;/keyword&gt;&lt;keyword&gt;C67&lt;/keyword&gt;&lt;/keywords&gt;&lt;dates&gt;&lt;year&gt;2008&lt;/year&gt;&lt;pub-dates&gt;&lt;date&gt;2008/12/01&lt;/date&gt;&lt;/pub-dates&gt;&lt;/dates&gt;&lt;publisher&gt;Springer-Verlag&lt;/publisher&gt;&lt;isbn&gt;0570-1864&lt;/isbn&gt;&lt;urls&gt;&lt;related-urls&gt;&lt;url&gt;http://dx.doi.org/10.1007/s00168-007-0172-0&lt;/url&gt;&lt;/related-urls&gt;&lt;/urls&gt;&lt;electronic-resource-num&gt;10.1007/s00168-007-0172-0&lt;/electronic-resource-num&gt;&lt;language&gt;English&lt;/language&gt;&lt;/record&gt;&lt;/Cite&gt;&lt;/EndNote&gt;</w:instrText>
      </w:r>
      <w:r w:rsidR="002D1706">
        <w:rPr>
          <w:rFonts w:ascii="Times New Roman" w:hAnsi="Times New Roman" w:cs="Times New Roman"/>
          <w:lang w:bidi="en-US"/>
        </w:rPr>
        <w:fldChar w:fldCharType="separate"/>
      </w:r>
      <w:hyperlink w:anchor="_ENREF_2" w:tooltip="Beynon, 2008 #5" w:history="1">
        <w:r w:rsidR="009C41E7">
          <w:rPr>
            <w:rFonts w:ascii="Times New Roman" w:hAnsi="Times New Roman" w:cs="Times New Roman"/>
            <w:noProof/>
            <w:lang w:bidi="en-US"/>
          </w:rPr>
          <w:t xml:space="preserve"> Beynon and Munday [2008</w:t>
        </w:r>
      </w:hyperlink>
      <w:r w:rsidR="002D1706">
        <w:rPr>
          <w:rFonts w:ascii="Times New Roman" w:hAnsi="Times New Roman" w:cs="Times New Roman"/>
          <w:noProof/>
          <w:lang w:bidi="en-US"/>
        </w:rPr>
        <w:t>]</w:t>
      </w:r>
      <w:r w:rsidR="002D1706">
        <w:rPr>
          <w:rFonts w:ascii="Times New Roman" w:hAnsi="Times New Roman" w:cs="Times New Roman"/>
          <w:lang w:bidi="en-US"/>
        </w:rPr>
        <w:fldChar w:fldCharType="end"/>
      </w:r>
      <w:r w:rsidR="008C3E94">
        <w:rPr>
          <w:rFonts w:ascii="Times New Roman" w:hAnsi="Times New Roman" w:cs="Times New Roman"/>
          <w:lang w:bidi="en-US"/>
        </w:rPr>
        <w:t>)</w:t>
      </w:r>
      <w:r w:rsidR="00870335">
        <w:rPr>
          <w:rFonts w:ascii="Times New Roman" w:hAnsi="Times New Roman" w:cs="Times New Roman"/>
          <w:lang w:bidi="en-US"/>
        </w:rPr>
        <w:t xml:space="preserve"> </w:t>
      </w:r>
      <w:r w:rsidR="007B0011">
        <w:rPr>
          <w:rFonts w:ascii="Times New Roman" w:hAnsi="Times New Roman" w:cs="Times New Roman"/>
          <w:lang w:bidi="en-US"/>
        </w:rPr>
        <w:t>was performed by</w:t>
      </w:r>
      <w:r w:rsidR="007B0011">
        <w:rPr>
          <w:rFonts w:ascii="Times New Roman" w:hAnsi="Times New Roman" w:cs="Times New Roman"/>
          <w:lang w:bidi="en-US"/>
        </w:rPr>
        <w:fldChar w:fldCharType="begin"/>
      </w:r>
      <w:r w:rsidR="007B0011">
        <w:rPr>
          <w:rFonts w:ascii="Times New Roman" w:hAnsi="Times New Roman" w:cs="Times New Roman"/>
          <w:lang w:bidi="en-US"/>
        </w:rPr>
        <w:instrText xml:space="preserve"> ADDIN EN.CITE &lt;EndNote&gt;&lt;Cite AuthorYear="1"&gt;&lt;Author&gt;Dietzenbacher&lt;/Author&gt;&lt;Year&gt;1992&lt;/Year&gt;&lt;RecNum&gt;8&lt;/RecNum&gt;&lt;DisplayText&gt; Dietzenbacher [1992]&lt;/DisplayText&gt;&lt;record&gt;&lt;rec-number&gt;8&lt;/rec-number&gt;&lt;foreign-keys&gt;&lt;key app="EN" db-id="taps2fsr45efv7e95fc59tzqxfeezpeaz2ev"&gt;8&lt;/key&gt;&lt;/foreign-keys&gt;&lt;ref-type name="Journal Article"&gt;17&lt;/ref-type&gt;&lt;contributors&gt;&lt;authors&gt;&lt;author&gt;Dietzenbacher, Erik&lt;/author&gt;&lt;/authors&gt;&lt;/contributors&gt;&lt;titles&gt;&lt;title&gt;The measurement of interindustry linkages: Key sectors in the Netherlands&lt;/title&gt;&lt;secondary-title&gt;Economic Modelling&lt;/secondary-title&gt;&lt;/titles&gt;&lt;periodical&gt;&lt;full-title&gt;Economic Modelling&lt;/full-title&gt;&lt;/periodical&gt;&lt;pages&gt;419-437&lt;/pages&gt;&lt;volume&gt;9&lt;/volume&gt;&lt;number&gt;4&lt;/number&gt;&lt;keywords&gt;&lt;keyword&gt;Interindustry linkages&lt;/keyword&gt;&lt;keyword&gt;Input-output tables&lt;/keyword&gt;&lt;keyword&gt;Matrix analysis&lt;/keyword&gt;&lt;/keywords&gt;&lt;dates&gt;&lt;year&gt;1992&lt;/year&gt;&lt;pub-dates&gt;&lt;date&gt;10//&lt;/date&gt;&lt;/pub-dates&gt;&lt;/dates&gt;&lt;isbn&gt;0264-9993&lt;/isbn&gt;&lt;urls&gt;&lt;related-urls&gt;&lt;url&gt;http://www.sciencedirect.com/science/article/pii/026499939290022T&lt;/url&gt;&lt;/related-urls&gt;&lt;/urls&gt;&lt;electronic-resource-num&gt;http://dx.doi.org/10.1016/0264-9993(92)90022-T&lt;/electronic-resource-num&gt;&lt;/record&gt;&lt;/Cite&gt;&lt;/EndNote&gt;</w:instrText>
      </w:r>
      <w:r w:rsidR="007B0011">
        <w:rPr>
          <w:rFonts w:ascii="Times New Roman" w:hAnsi="Times New Roman" w:cs="Times New Roman"/>
          <w:lang w:bidi="en-US"/>
        </w:rPr>
        <w:fldChar w:fldCharType="separate"/>
      </w:r>
      <w:hyperlink w:anchor="_ENREF_3" w:tooltip="Dietzenbacher, 1992 #8" w:history="1">
        <w:r w:rsidR="009C41E7">
          <w:rPr>
            <w:rFonts w:ascii="Times New Roman" w:hAnsi="Times New Roman" w:cs="Times New Roman"/>
            <w:noProof/>
            <w:lang w:bidi="en-US"/>
          </w:rPr>
          <w:t xml:space="preserve"> Dietzenbacher [1992</w:t>
        </w:r>
      </w:hyperlink>
      <w:r w:rsidR="007B0011">
        <w:rPr>
          <w:rFonts w:ascii="Times New Roman" w:hAnsi="Times New Roman" w:cs="Times New Roman"/>
          <w:noProof/>
          <w:lang w:bidi="en-US"/>
        </w:rPr>
        <w:t>]</w:t>
      </w:r>
      <w:r w:rsidR="007B0011">
        <w:rPr>
          <w:rFonts w:ascii="Times New Roman" w:hAnsi="Times New Roman" w:cs="Times New Roman"/>
          <w:lang w:bidi="en-US"/>
        </w:rPr>
        <w:fldChar w:fldCharType="end"/>
      </w:r>
      <w:r w:rsidR="00870335">
        <w:rPr>
          <w:rFonts w:ascii="Times New Roman" w:hAnsi="Times New Roman" w:cs="Times New Roman"/>
          <w:lang w:bidi="en-US"/>
        </w:rPr>
        <w:t xml:space="preserve">, and </w:t>
      </w:r>
      <w:r w:rsidR="002D1706">
        <w:rPr>
          <w:rFonts w:ascii="Times New Roman" w:hAnsi="Times New Roman" w:cs="Times New Roman"/>
          <w:lang w:bidi="en-US"/>
        </w:rPr>
        <w:fldChar w:fldCharType="begin"/>
      </w:r>
      <w:r w:rsidR="002D1706">
        <w:rPr>
          <w:rFonts w:ascii="Times New Roman" w:hAnsi="Times New Roman" w:cs="Times New Roman"/>
          <w:lang w:bidi="en-US"/>
        </w:rPr>
        <w:instrText xml:space="preserve"> ADDIN EN.CITE &lt;EndNote&gt;&lt;Cite AuthorYear="1"&gt;&lt;Author&gt;Lahr&lt;/Author&gt;&lt;Year&gt;2001&lt;/Year&gt;&lt;RecNum&gt;9&lt;/RecNum&gt;&lt;DisplayText&gt; Lahr and Miller [2001]&lt;/DisplayText&gt;&lt;record&gt;&lt;rec-number&gt;9&lt;/rec-number&gt;&lt;foreign-keys&gt;&lt;key app="EN" db-id="taps2fsr45efv7e95fc59tzqxfeezpeaz2ev"&gt;9&lt;/key&gt;&lt;/foreign-keys&gt;&lt;ref-type name="Book"&gt;6&lt;/ref-type&gt;&lt;contributors&gt;&lt;authors&gt;&lt;author&gt;Lahr, Michael L. &lt;/author&gt;&lt;author&gt;Miller, Ronald E. &lt;/author&gt;&lt;/authors&gt;&lt;/contributors&gt;&lt;titles&gt;&lt;title&gt;Regional science perspectives in economic analysis : a festschrift in memory of Benjamin H. Stevens&lt;/title&gt;&lt;/titles&gt;&lt;edition&gt;1st&lt;/edition&gt;&lt;section&gt;407-441&lt;/section&gt;&lt;dates&gt;&lt;year&gt;2001&lt;/year&gt;&lt;/dates&gt;&lt;pub-location&gt;Amsterdam: New York&lt;/pub-location&gt;&lt;publisher&gt;Elsevier&lt;/publisher&gt;&lt;isbn&gt; 0444505741 &lt;/isbn&gt;&lt;urls&gt;&lt;/urls&gt;&lt;/record&gt;&lt;/Cite&gt;&lt;/EndNote&gt;</w:instrText>
      </w:r>
      <w:r w:rsidR="002D1706">
        <w:rPr>
          <w:rFonts w:ascii="Times New Roman" w:hAnsi="Times New Roman" w:cs="Times New Roman"/>
          <w:lang w:bidi="en-US"/>
        </w:rPr>
        <w:fldChar w:fldCharType="separate"/>
      </w:r>
      <w:hyperlink w:anchor="_ENREF_9" w:tooltip="Lahr, 2001 #9" w:history="1">
        <w:r w:rsidR="009C41E7">
          <w:rPr>
            <w:rFonts w:ascii="Times New Roman" w:hAnsi="Times New Roman" w:cs="Times New Roman"/>
            <w:noProof/>
            <w:lang w:bidi="en-US"/>
          </w:rPr>
          <w:t xml:space="preserve"> Lahr and Miller [2001</w:t>
        </w:r>
      </w:hyperlink>
      <w:r w:rsidR="002D1706">
        <w:rPr>
          <w:rFonts w:ascii="Times New Roman" w:hAnsi="Times New Roman" w:cs="Times New Roman"/>
          <w:noProof/>
          <w:lang w:bidi="en-US"/>
        </w:rPr>
        <w:t>]</w:t>
      </w:r>
      <w:r w:rsidR="002D1706">
        <w:rPr>
          <w:rFonts w:ascii="Times New Roman" w:hAnsi="Times New Roman" w:cs="Times New Roman"/>
          <w:lang w:bidi="en-US"/>
        </w:rPr>
        <w:fldChar w:fldCharType="end"/>
      </w:r>
      <w:r w:rsidR="00870335">
        <w:rPr>
          <w:rFonts w:ascii="Times New Roman" w:hAnsi="Times New Roman" w:cs="Times New Roman"/>
          <w:lang w:bidi="en-US"/>
        </w:rPr>
        <w:t xml:space="preserve">. Rasmussen’s key sector analysis took into </w:t>
      </w:r>
      <w:r w:rsidR="002C5FB1">
        <w:rPr>
          <w:rFonts w:ascii="Times New Roman" w:hAnsi="Times New Roman" w:cs="Times New Roman"/>
          <w:lang w:bidi="en-US"/>
        </w:rPr>
        <w:t>account</w:t>
      </w:r>
      <w:r w:rsidR="00870335">
        <w:rPr>
          <w:rFonts w:ascii="Times New Roman" w:hAnsi="Times New Roman" w:cs="Times New Roman"/>
          <w:lang w:bidi="en-US"/>
        </w:rPr>
        <w:t xml:space="preserve"> the increases in final demand</w:t>
      </w:r>
      <w:r w:rsidR="002C5FB1">
        <w:rPr>
          <w:rFonts w:ascii="Times New Roman" w:hAnsi="Times New Roman" w:cs="Times New Roman"/>
          <w:lang w:bidi="en-US"/>
        </w:rPr>
        <w:t xml:space="preserve"> and its effec</w:t>
      </w:r>
      <w:r w:rsidR="00A74249">
        <w:rPr>
          <w:rFonts w:ascii="Times New Roman" w:hAnsi="Times New Roman" w:cs="Times New Roman"/>
          <w:lang w:bidi="en-US"/>
        </w:rPr>
        <w:t>t on the regional multipliers.</w:t>
      </w:r>
      <w:r w:rsidR="00A74249">
        <w:rPr>
          <w:rFonts w:ascii="Times New Roman" w:hAnsi="Times New Roman" w:cs="Times New Roman"/>
          <w:lang w:bidi="en-US"/>
        </w:rPr>
        <w:fldChar w:fldCharType="begin"/>
      </w:r>
      <w:r w:rsidR="00A74249">
        <w:rPr>
          <w:rFonts w:ascii="Times New Roman" w:hAnsi="Times New Roman" w:cs="Times New Roman"/>
          <w:lang w:bidi="en-US"/>
        </w:rPr>
        <w:instrText xml:space="preserve"> ADDIN EN.CITE &lt;EndNote&gt;&lt;Cite AuthorYear="1"&gt;&lt;Author&gt;Dietzenbacher&lt;/Author&gt;&lt;Year&gt;1992&lt;/Year&gt;&lt;RecNum&gt;8&lt;/RecNum&gt;&lt;DisplayText&gt; Dietzenbacher [1992]&lt;/DisplayText&gt;&lt;record&gt;&lt;rec-number&gt;8&lt;/rec-number&gt;&lt;foreign-keys&gt;&lt;key app="EN" db-id="taps2fsr45efv7e95fc59tzqxfeezpeaz2ev"&gt;8&lt;/key&gt;&lt;/foreign-keys&gt;&lt;ref-type name="Journal Article"&gt;17&lt;/ref-type&gt;&lt;contributors&gt;&lt;authors&gt;&lt;author&gt;Dietzenbacher, Erik&lt;/author&gt;&lt;/authors&gt;&lt;/contributors&gt;&lt;titles&gt;&lt;title&gt;The measurement of interindustry linkages: Key sectors in the Netherlands&lt;/title&gt;&lt;secondary-title&gt;Economic Modelling&lt;/secondary-title&gt;&lt;/titles&gt;&lt;periodical&gt;&lt;full-title&gt;Economic Modelling&lt;/full-title&gt;&lt;/periodical&gt;&lt;pages&gt;419-437&lt;/pages&gt;&lt;volume&gt;9&lt;/volume&gt;&lt;number&gt;4&lt;/number&gt;&lt;keywords&gt;&lt;keyword&gt;Interindustry linkages&lt;/keyword&gt;&lt;keyword&gt;Input-output tables&lt;/keyword&gt;&lt;keyword&gt;Matrix analysis&lt;/keyword&gt;&lt;/keywords&gt;&lt;dates&gt;&lt;year&gt;1992&lt;/year&gt;&lt;pub-dates&gt;&lt;date&gt;10//&lt;/date&gt;&lt;/pub-dates&gt;&lt;/dates&gt;&lt;isbn&gt;0264-9993&lt;/isbn&gt;&lt;urls&gt;&lt;related-urls&gt;&lt;url&gt;http://www.sciencedirect.com/science/article/pii/026499939290022T&lt;/url&gt;&lt;/related-urls&gt;&lt;/urls&gt;&lt;electronic-resource-num&gt;http://dx.doi.org/10.1016/0264-9993(92)90022-T&lt;/electronic-resource-num&gt;&lt;/record&gt;&lt;/Cite&gt;&lt;/EndNote&gt;</w:instrText>
      </w:r>
      <w:r w:rsidR="00A74249">
        <w:rPr>
          <w:rFonts w:ascii="Times New Roman" w:hAnsi="Times New Roman" w:cs="Times New Roman"/>
          <w:lang w:bidi="en-US"/>
        </w:rPr>
        <w:fldChar w:fldCharType="separate"/>
      </w:r>
      <w:hyperlink w:anchor="_ENREF_3" w:tooltip="Dietzenbacher, 1992 #8" w:history="1">
        <w:r w:rsidR="009C41E7">
          <w:rPr>
            <w:rFonts w:ascii="Times New Roman" w:hAnsi="Times New Roman" w:cs="Times New Roman"/>
            <w:noProof/>
            <w:lang w:bidi="en-US"/>
          </w:rPr>
          <w:t xml:space="preserve"> Dietzenbacher [1992</w:t>
        </w:r>
      </w:hyperlink>
      <w:r w:rsidR="00A74249">
        <w:rPr>
          <w:rFonts w:ascii="Times New Roman" w:hAnsi="Times New Roman" w:cs="Times New Roman"/>
          <w:noProof/>
          <w:lang w:bidi="en-US"/>
        </w:rPr>
        <w:t>]</w:t>
      </w:r>
      <w:r w:rsidR="00A74249">
        <w:rPr>
          <w:rFonts w:ascii="Times New Roman" w:hAnsi="Times New Roman" w:cs="Times New Roman"/>
          <w:lang w:bidi="en-US"/>
        </w:rPr>
        <w:fldChar w:fldCharType="end"/>
      </w:r>
      <w:r w:rsidR="002C5FB1">
        <w:rPr>
          <w:rFonts w:ascii="Times New Roman" w:hAnsi="Times New Roman" w:cs="Times New Roman"/>
          <w:lang w:bidi="en-US"/>
        </w:rPr>
        <w:t xml:space="preserve"> argues that the Rasmussen’s approach over-estimates the scale of linkages; on the other hand his approach provides a linkage measure based on estimating the Gross Domestic Product (GDP) through the use of I-O accounts. For backward linkage measure, the analysis encapsulates all the supplying industries </w:t>
      </w:r>
      <w:r w:rsidR="002D1706">
        <w:rPr>
          <w:rFonts w:ascii="Times New Roman" w:hAnsi="Times New Roman" w:cs="Times New Roman"/>
          <w:lang w:bidi="en-US"/>
        </w:rPr>
        <w:t xml:space="preserve">expressed by Rasmussen </w:t>
      </w:r>
      <w:r w:rsidR="002D1706">
        <w:rPr>
          <w:rFonts w:ascii="Times New Roman" w:hAnsi="Times New Roman" w:cs="Times New Roman"/>
          <w:lang w:bidi="en-US"/>
        </w:rPr>
        <w:fldChar w:fldCharType="begin"/>
      </w:r>
      <w:r w:rsidR="002D1706">
        <w:rPr>
          <w:rFonts w:ascii="Times New Roman" w:hAnsi="Times New Roman" w:cs="Times New Roman"/>
          <w:lang w:bidi="en-US"/>
        </w:rPr>
        <w:instrText xml:space="preserve"> ADDIN EN.CITE &lt;EndNote&gt;&lt;Cite&gt;&lt;Author&gt;Beynon&lt;/Author&gt;&lt;Year&gt;2008&lt;/Year&gt;&lt;RecNum&gt;5&lt;/RecNum&gt;&lt;DisplayText&gt;[Beynon and Munday, 2008]&lt;/DisplayText&gt;&lt;record&gt;&lt;rec-number&gt;5&lt;/rec-number&gt;&lt;foreign-keys&gt;&lt;key app="EN" db-id="taps2fsr45efv7e95fc59tzqxfeezpeaz2ev"&gt;5&lt;/key&gt;&lt;/foreign-keys&gt;&lt;ref-type name="Journal Article"&gt;17&lt;/ref-type&gt;&lt;contributors&gt;&lt;authors&gt;&lt;author&gt;Beynon, MalcolmJ&lt;/author&gt;&lt;author&gt;Munday, Max&lt;/author&gt;&lt;/authors&gt;&lt;/contributors&gt;&lt;titles&gt;&lt;title&gt;Stochastic key sector analysis: an application to a regional input–output framework&lt;/title&gt;&lt;secondary-title&gt;The Annals of Regional Science&lt;/secondary-title&gt;&lt;alt-title&gt;Ann Reg Sci&lt;/alt-title&gt;&lt;/titles&gt;&lt;periodical&gt;&lt;full-title&gt;The Annals of Regional Science&lt;/full-title&gt;&lt;abbr-1&gt;Ann Reg Sci&lt;/abbr-1&gt;&lt;/periodical&gt;&lt;alt-periodical&gt;&lt;full-title&gt;The Annals of Regional Science&lt;/full-title&gt;&lt;abbr-1&gt;Ann Reg Sci&lt;/abbr-1&gt;&lt;/alt-periodical&gt;&lt;pages&gt;863-877&lt;/pages&gt;&lt;volume&gt;42&lt;/volume&gt;&lt;number&gt;4&lt;/number&gt;&lt;keywords&gt;&lt;keyword&gt;R15&lt;/keyword&gt;&lt;keyword&gt;C15&lt;/keyword&gt;&lt;keyword&gt;C67&lt;/keyword&gt;&lt;/keywords&gt;&lt;dates&gt;&lt;year&gt;2008&lt;/year&gt;&lt;pub-dates&gt;&lt;date&gt;2008/12/01&lt;/date&gt;&lt;/pub-dates&gt;&lt;/dates&gt;&lt;publisher&gt;Springer-Verlag&lt;/publisher&gt;&lt;isbn&gt;0570-1864&lt;/isbn&gt;&lt;urls&gt;&lt;related-urls&gt;&lt;url&gt;http://dx.doi.org/10.1007/s00168-007-0172-0&lt;/url&gt;&lt;/related-urls&gt;&lt;/urls&gt;&lt;electronic-resource-num&gt;10.1007/s00168-007-0172-0&lt;/electronic-resource-num&gt;&lt;language&gt;English&lt;/language&gt;&lt;/record&gt;&lt;/Cite&gt;&lt;/EndNote&gt;</w:instrText>
      </w:r>
      <w:r w:rsidR="002D1706">
        <w:rPr>
          <w:rFonts w:ascii="Times New Roman" w:hAnsi="Times New Roman" w:cs="Times New Roman"/>
          <w:lang w:bidi="en-US"/>
        </w:rPr>
        <w:fldChar w:fldCharType="separate"/>
      </w:r>
      <w:r w:rsidR="002D1706">
        <w:rPr>
          <w:rFonts w:ascii="Times New Roman" w:hAnsi="Times New Roman" w:cs="Times New Roman"/>
          <w:noProof/>
          <w:lang w:bidi="en-US"/>
        </w:rPr>
        <w:t>[</w:t>
      </w:r>
      <w:hyperlink w:anchor="_ENREF_2" w:tooltip="Beynon, 2008 #5" w:history="1">
        <w:r w:rsidR="009C41E7">
          <w:rPr>
            <w:rFonts w:ascii="Times New Roman" w:hAnsi="Times New Roman" w:cs="Times New Roman"/>
            <w:noProof/>
            <w:lang w:bidi="en-US"/>
          </w:rPr>
          <w:t>Beynon and Munday, 2008</w:t>
        </w:r>
      </w:hyperlink>
      <w:r w:rsidR="002D1706">
        <w:rPr>
          <w:rFonts w:ascii="Times New Roman" w:hAnsi="Times New Roman" w:cs="Times New Roman"/>
          <w:noProof/>
          <w:lang w:bidi="en-US"/>
        </w:rPr>
        <w:t>]</w:t>
      </w:r>
      <w:r w:rsidR="002D1706">
        <w:rPr>
          <w:rFonts w:ascii="Times New Roman" w:hAnsi="Times New Roman" w:cs="Times New Roman"/>
          <w:lang w:bidi="en-US"/>
        </w:rPr>
        <w:fldChar w:fldCharType="end"/>
      </w:r>
      <w:r w:rsidR="002D1706">
        <w:rPr>
          <w:rFonts w:ascii="Times New Roman" w:hAnsi="Times New Roman" w:cs="Times New Roman"/>
          <w:lang w:bidi="en-US"/>
        </w:rPr>
        <w:t>.</w:t>
      </w:r>
      <w:r w:rsidR="002C5FB1">
        <w:rPr>
          <w:rFonts w:ascii="Times New Roman" w:hAnsi="Times New Roman" w:cs="Times New Roman"/>
          <w:lang w:bidi="en-US"/>
        </w:rPr>
        <w:t xml:space="preserve"> </w:t>
      </w:r>
    </w:p>
    <w:p w14:paraId="10B61604" w14:textId="740FE7E2" w:rsidR="00514E71" w:rsidRDefault="002C5FB1" w:rsidP="00303359">
      <w:pPr>
        <w:autoSpaceDE w:val="0"/>
        <w:autoSpaceDN w:val="0"/>
        <w:adjustRightInd w:val="0"/>
        <w:spacing w:line="480" w:lineRule="auto"/>
        <w:ind w:firstLine="720"/>
        <w:jc w:val="both"/>
        <w:rPr>
          <w:rFonts w:ascii="Times New Roman" w:hAnsi="Times New Roman" w:cs="Times New Roman"/>
          <w:lang w:bidi="en-US"/>
        </w:rPr>
      </w:pPr>
      <w:r>
        <w:rPr>
          <w:rFonts w:ascii="Times New Roman" w:hAnsi="Times New Roman" w:cs="Times New Roman"/>
          <w:lang w:bidi="en-US"/>
        </w:rPr>
        <w:t xml:space="preserve">The stochastic foundations used in </w:t>
      </w:r>
      <w:r w:rsidR="00AB5973">
        <w:rPr>
          <w:rFonts w:ascii="Times New Roman" w:hAnsi="Times New Roman" w:cs="Times New Roman"/>
          <w:lang w:bidi="en-US"/>
        </w:rPr>
        <w:t>these studies</w:t>
      </w:r>
      <w:r>
        <w:rPr>
          <w:rFonts w:ascii="Times New Roman" w:hAnsi="Times New Roman" w:cs="Times New Roman"/>
          <w:lang w:bidi="en-US"/>
        </w:rPr>
        <w:t xml:space="preserve"> </w:t>
      </w:r>
      <w:r w:rsidR="00AB5973">
        <w:rPr>
          <w:rFonts w:ascii="Times New Roman" w:hAnsi="Times New Roman" w:cs="Times New Roman"/>
          <w:lang w:bidi="en-US"/>
        </w:rPr>
        <w:t>further encourage, exploration and</w:t>
      </w:r>
      <w:r>
        <w:rPr>
          <w:rFonts w:ascii="Times New Roman" w:hAnsi="Times New Roman" w:cs="Times New Roman"/>
          <w:lang w:bidi="en-US"/>
        </w:rPr>
        <w:t xml:space="preserve"> </w:t>
      </w:r>
      <w:r w:rsidR="00AB5973">
        <w:rPr>
          <w:rFonts w:ascii="Times New Roman" w:hAnsi="Times New Roman" w:cs="Times New Roman"/>
          <w:lang w:bidi="en-US"/>
        </w:rPr>
        <w:t xml:space="preserve">analysis of surrogate technical coefficients using Monte Carlo simulation. By surrogacy it is implied that a distribution of possible values is determined using the mean and standard deviation of existing I-O accounts. In our analysis we consider I-O accounts of 14 years from 1998 to year 2011. </w:t>
      </w:r>
      <w:r w:rsidR="00894513">
        <w:rPr>
          <w:rFonts w:ascii="Times New Roman" w:hAnsi="Times New Roman" w:cs="Times New Roman"/>
          <w:lang w:bidi="en-US"/>
        </w:rPr>
        <w:fldChar w:fldCharType="begin"/>
      </w:r>
      <w:r w:rsidR="00894513">
        <w:rPr>
          <w:rFonts w:ascii="Times New Roman" w:hAnsi="Times New Roman" w:cs="Times New Roman"/>
          <w:lang w:bidi="en-US"/>
        </w:rPr>
        <w:instrText xml:space="preserve"> ADDIN EN.CITE &lt;EndNote&gt;&lt;Cite AuthorYear="1"&gt;&lt;Author&gt;Jansen&lt;/Author&gt;&lt;Year&gt;1994&lt;/Year&gt;&lt;RecNum&gt;3&lt;/RecNum&gt;&lt;DisplayText&gt; Jansen [1994]&lt;/DisplayText&gt;&lt;record&gt;&lt;rec-number&gt;3&lt;/rec-number&gt;&lt;foreign-keys&gt;&lt;key app="EN" db-id="taps2fsr45efv7e95fc59tzqxfeezpeaz2ev"&gt;3&lt;/key&gt;&lt;/foreign-keys&gt;&lt;ref-type name="Journal Article"&gt;17&lt;/ref-type&gt;&lt;contributors&gt;&lt;authors&gt;&lt;author&gt;Jansen, Pieter S. M. Kop&lt;/author&gt;&lt;/authors&gt;&lt;/contributors&gt;&lt;titles&gt;&lt;title&gt;Analysis of multipliers in stochastic input-output models&lt;/title&gt;&lt;secondary-title&gt;Regional Science and Urban Economics&lt;/secondary-title&gt;&lt;/titles&gt;&lt;periodical&gt;&lt;full-title&gt;Regional Science and Urban Economics&lt;/full-title&gt;&lt;/periodical&gt;&lt;pages&gt;55-74&lt;/pages&gt;&lt;volume&gt;24&lt;/volume&gt;&lt;number&gt;1&lt;/number&gt;&lt;keywords&gt;&lt;keyword&gt;Stochastic multipliers&lt;/keyword&gt;&lt;keyword&gt;Over- and under-estimation&lt;/keyword&gt;&lt;/keywords&gt;&lt;dates&gt;&lt;year&gt;1994&lt;/year&gt;&lt;pub-dates&gt;&lt;date&gt;2//&lt;/date&gt;&lt;/pub-dates&gt;&lt;/dates&gt;&lt;isbn&gt;0166-0462&lt;/isbn&gt;&lt;urls&gt;&lt;related-urls&gt;&lt;url&gt;http://www.sciencedirect.com/science/article/pii/0166046294900191&lt;/url&gt;&lt;/related-urls&gt;&lt;/urls&gt;&lt;electronic-resource-num&gt;http://dx.doi.org/10.1016/0166-0462(94)90019-1&lt;/electronic-resource-num&gt;&lt;/record&gt;&lt;/Cite&gt;&lt;/EndNote&gt;</w:instrText>
      </w:r>
      <w:r w:rsidR="00894513">
        <w:rPr>
          <w:rFonts w:ascii="Times New Roman" w:hAnsi="Times New Roman" w:cs="Times New Roman"/>
          <w:lang w:bidi="en-US"/>
        </w:rPr>
        <w:fldChar w:fldCharType="separate"/>
      </w:r>
      <w:hyperlink w:anchor="_ENREF_7" w:tooltip="Jansen, 1994 #3" w:history="1">
        <w:r w:rsidR="009C41E7">
          <w:rPr>
            <w:rFonts w:ascii="Times New Roman" w:hAnsi="Times New Roman" w:cs="Times New Roman"/>
            <w:noProof/>
            <w:lang w:bidi="en-US"/>
          </w:rPr>
          <w:t xml:space="preserve"> Jansen [1994</w:t>
        </w:r>
      </w:hyperlink>
      <w:r w:rsidR="00894513">
        <w:rPr>
          <w:rFonts w:ascii="Times New Roman" w:hAnsi="Times New Roman" w:cs="Times New Roman"/>
          <w:noProof/>
          <w:lang w:bidi="en-US"/>
        </w:rPr>
        <w:t>]</w:t>
      </w:r>
      <w:r w:rsidR="00894513">
        <w:rPr>
          <w:rFonts w:ascii="Times New Roman" w:hAnsi="Times New Roman" w:cs="Times New Roman"/>
          <w:lang w:bidi="en-US"/>
        </w:rPr>
        <w:fldChar w:fldCharType="end"/>
      </w:r>
      <w:r w:rsidR="00894513">
        <w:rPr>
          <w:rFonts w:ascii="Times New Roman" w:hAnsi="Times New Roman" w:cs="Times New Roman"/>
          <w:lang w:bidi="en-US"/>
        </w:rPr>
        <w:t>,</w:t>
      </w:r>
      <w:r w:rsidR="00894513">
        <w:rPr>
          <w:rFonts w:ascii="Times New Roman" w:hAnsi="Times New Roman" w:cs="Times New Roman"/>
          <w:lang w:bidi="en-US"/>
        </w:rPr>
        <w:fldChar w:fldCharType="begin"/>
      </w:r>
      <w:r w:rsidR="00894513">
        <w:rPr>
          <w:rFonts w:ascii="Times New Roman" w:hAnsi="Times New Roman" w:cs="Times New Roman"/>
          <w:lang w:bidi="en-US"/>
        </w:rPr>
        <w:instrText xml:space="preserve"> ADDIN EN.CITE &lt;EndNote&gt;&lt;Cite AuthorYear="1"&gt;&lt;Author&gt;ten Raa&lt;/Author&gt;&lt;Year&gt;1994&lt;/Year&gt;&lt;RecNum&gt;10&lt;/RecNum&gt;&lt;DisplayText&gt; ten Raa and Steel [1994]&lt;/DisplayText&gt;&lt;record&gt;&lt;rec-number&gt;10&lt;/rec-number&gt;&lt;foreign-keys&gt;&lt;key app="EN" db-id="taps2fsr45efv7e95fc59tzqxfeezpeaz2ev"&gt;10&lt;/key&gt;&lt;/foreign-keys&gt;&lt;ref-type name="Journal Article"&gt;17&lt;/ref-type&gt;&lt;contributors&gt;&lt;authors&gt;&lt;author&gt;ten Raa, Thijs&lt;/author&gt;&lt;author&gt;Steel, Mark F. J.&lt;/author&gt;&lt;/authors&gt;&lt;/contributors&gt;&lt;titles&gt;&lt;title&gt;Revised stochastic analysis of an input-output model&lt;/title&gt;&lt;secondary-title&gt;Regional Science and Urban Economics&lt;/secondary-title&gt;&lt;/titles&gt;&lt;periodical&gt;&lt;full-title&gt;Regional Science and Urban Economics&lt;/full-title&gt;&lt;/periodical&gt;&lt;pages&gt;361-371&lt;/pages&gt;&lt;volume&gt;24&lt;/volume&gt;&lt;number&gt;3&lt;/number&gt;&lt;keywords&gt;&lt;keyword&gt;Stochastic input-output analysis&lt;/keyword&gt;&lt;/keywords&gt;&lt;dates&gt;&lt;year&gt;1994&lt;/year&gt;&lt;pub-dates&gt;&lt;date&gt;6//&lt;/date&gt;&lt;/pub-dates&gt;&lt;/dates&gt;&lt;isbn&gt;0166-0462&lt;/isbn&gt;&lt;urls&gt;&lt;related-urls&gt;&lt;url&gt;http://www.sciencedirect.com/science/article/pii/0166046293020396&lt;/url&gt;&lt;/related-urls&gt;&lt;/urls&gt;&lt;electronic-resource-num&gt;http://dx.doi.org/10.1016/0166-0462(93)02039-6&lt;/electronic-resource-num&gt;&lt;/record&gt;&lt;/Cite&gt;&lt;/EndNote&gt;</w:instrText>
      </w:r>
      <w:r w:rsidR="00894513">
        <w:rPr>
          <w:rFonts w:ascii="Times New Roman" w:hAnsi="Times New Roman" w:cs="Times New Roman"/>
          <w:lang w:bidi="en-US"/>
        </w:rPr>
        <w:fldChar w:fldCharType="separate"/>
      </w:r>
      <w:hyperlink w:anchor="_ENREF_15" w:tooltip="ten Raa, 1994 #10" w:history="1">
        <w:r w:rsidR="009C41E7">
          <w:rPr>
            <w:rFonts w:ascii="Times New Roman" w:hAnsi="Times New Roman" w:cs="Times New Roman"/>
            <w:noProof/>
            <w:lang w:bidi="en-US"/>
          </w:rPr>
          <w:t xml:space="preserve"> ten Raa and Steel [1994</w:t>
        </w:r>
      </w:hyperlink>
      <w:r w:rsidR="00894513">
        <w:rPr>
          <w:rFonts w:ascii="Times New Roman" w:hAnsi="Times New Roman" w:cs="Times New Roman"/>
          <w:noProof/>
          <w:lang w:bidi="en-US"/>
        </w:rPr>
        <w:t>]</w:t>
      </w:r>
      <w:r w:rsidR="00894513">
        <w:rPr>
          <w:rFonts w:ascii="Times New Roman" w:hAnsi="Times New Roman" w:cs="Times New Roman"/>
          <w:lang w:bidi="en-US"/>
        </w:rPr>
        <w:fldChar w:fldCharType="end"/>
      </w:r>
      <w:r w:rsidR="00AB5973">
        <w:rPr>
          <w:rFonts w:ascii="Times New Roman" w:hAnsi="Times New Roman" w:cs="Times New Roman"/>
          <w:lang w:bidi="en-US"/>
        </w:rPr>
        <w:t xml:space="preserve"> and </w:t>
      </w:r>
      <w:r w:rsidR="00894513">
        <w:rPr>
          <w:rFonts w:ascii="Times New Roman" w:hAnsi="Times New Roman" w:cs="Times New Roman"/>
          <w:lang w:bidi="en-US"/>
        </w:rPr>
        <w:fldChar w:fldCharType="begin"/>
      </w:r>
      <w:r w:rsidR="00894513">
        <w:rPr>
          <w:rFonts w:ascii="Times New Roman" w:hAnsi="Times New Roman" w:cs="Times New Roman"/>
          <w:lang w:bidi="en-US"/>
        </w:rPr>
        <w:instrText xml:space="preserve"> ADDIN EN.CITE &lt;EndNote&gt;&lt;Cite AuthorYear="1"&gt;&lt;Author&gt;Dietzenbacher&lt;/Author&gt;&lt;Year&gt;2006&lt;/Year&gt;&lt;RecNum&gt;11&lt;/RecNum&gt;&lt;DisplayText&gt; Dietzenbacher [2006]&lt;/DisplayText&gt;&lt;record&gt;&lt;rec-number&gt;11&lt;/rec-number&gt;&lt;foreign-keys&gt;&lt;key app="EN" db-id="taps2fsr45efv7e95fc59tzqxfeezpeaz2ev"&gt;11&lt;/key&gt;&lt;/foreign-keys&gt;&lt;ref-type name="Journal Article"&gt;17&lt;/ref-type&gt;&lt;contributors&gt;&lt;authors&gt;&lt;author&gt;Dietzenbacher, Erik&lt;/author&gt;&lt;/authors&gt;&lt;/contributors&gt;&lt;titles&gt;&lt;title&gt;MULTIPLIER ESTIMATES: TO BIAS OR NOT TO BIAS?*&lt;/title&gt;&lt;secondary-title&gt;Journal of Regional Science&lt;/secondary-title&gt;&lt;/titles&gt;&lt;periodical&gt;&lt;full-title&gt;Journal of Regional Science&lt;/full-title&gt;&lt;/periodical&gt;&lt;pages&gt;773-786&lt;/pages&gt;&lt;volume&gt;46&lt;/volume&gt;&lt;number&gt;4&lt;/number&gt;&lt;dates&gt;&lt;year&gt;2006&lt;/year&gt;&lt;/dates&gt;&lt;publisher&gt;Blackwell Publishing Inc&lt;/publisher&gt;&lt;isbn&gt;1467-9787&lt;/isbn&gt;&lt;urls&gt;&lt;related-urls&gt;&lt;url&gt;http://dx.doi.org/10.1111/j.1467-9787.2006.00477.x&lt;/url&gt;&lt;/related-urls&gt;&lt;/urls&gt;&lt;electronic-resource-num&gt;10.1111/j.1467-9787.2006.00477.x&lt;/electronic-resource-num&gt;&lt;/record&gt;&lt;/Cite&gt;&lt;/EndNote&gt;</w:instrText>
      </w:r>
      <w:r w:rsidR="00894513">
        <w:rPr>
          <w:rFonts w:ascii="Times New Roman" w:hAnsi="Times New Roman" w:cs="Times New Roman"/>
          <w:lang w:bidi="en-US"/>
        </w:rPr>
        <w:fldChar w:fldCharType="separate"/>
      </w:r>
      <w:hyperlink w:anchor="_ENREF_5" w:tooltip="Dietzenbacher, 2006 #11" w:history="1">
        <w:r w:rsidR="009C41E7">
          <w:rPr>
            <w:rFonts w:ascii="Times New Roman" w:hAnsi="Times New Roman" w:cs="Times New Roman"/>
            <w:noProof/>
            <w:lang w:bidi="en-US"/>
          </w:rPr>
          <w:t xml:space="preserve"> Dietzenbacher [2006</w:t>
        </w:r>
      </w:hyperlink>
      <w:r w:rsidR="00894513">
        <w:rPr>
          <w:rFonts w:ascii="Times New Roman" w:hAnsi="Times New Roman" w:cs="Times New Roman"/>
          <w:noProof/>
          <w:lang w:bidi="en-US"/>
        </w:rPr>
        <w:t>]</w:t>
      </w:r>
      <w:r w:rsidR="00894513">
        <w:rPr>
          <w:rFonts w:ascii="Times New Roman" w:hAnsi="Times New Roman" w:cs="Times New Roman"/>
          <w:lang w:bidi="en-US"/>
        </w:rPr>
        <w:fldChar w:fldCharType="end"/>
      </w:r>
      <w:r w:rsidR="00AB5973">
        <w:rPr>
          <w:rFonts w:ascii="Times New Roman" w:hAnsi="Times New Roman" w:cs="Times New Roman"/>
          <w:lang w:bidi="en-US"/>
        </w:rPr>
        <w:t xml:space="preserve"> all supported the issue and use of such distributions, including the use of beta distributions and  other constructed distributions determined from the coefficients of the aggregated sectors being considered within the I-O accounts.</w:t>
      </w:r>
    </w:p>
    <w:p w14:paraId="598D742A" w14:textId="3ED254F9" w:rsidR="00AB5973" w:rsidRDefault="00AB5973" w:rsidP="00592CA5">
      <w:pPr>
        <w:spacing w:after="0" w:line="480" w:lineRule="auto"/>
        <w:ind w:firstLine="720"/>
        <w:jc w:val="both"/>
        <w:rPr>
          <w:rFonts w:ascii="Times New Roman" w:hAnsi="Times New Roman" w:cs="Times New Roman"/>
          <w:lang w:bidi="en-US"/>
        </w:rPr>
      </w:pPr>
      <w:bookmarkStart w:id="0" w:name="_GoBack"/>
      <w:r>
        <w:rPr>
          <w:rFonts w:ascii="Times New Roman" w:hAnsi="Times New Roman" w:cs="Times New Roman"/>
          <w:lang w:bidi="en-US"/>
        </w:rPr>
        <w:t xml:space="preserve">This research extends the use of such distributions and posits the use of </w:t>
      </w:r>
      <w:r w:rsidR="00CF58FD">
        <w:rPr>
          <w:rFonts w:ascii="Times New Roman" w:hAnsi="Times New Roman" w:cs="Times New Roman"/>
          <w:lang w:bidi="en-US"/>
        </w:rPr>
        <w:t>Dirichlet</w:t>
      </w:r>
      <w:r>
        <w:rPr>
          <w:rFonts w:ascii="Times New Roman" w:hAnsi="Times New Roman" w:cs="Times New Roman"/>
          <w:lang w:bidi="en-US"/>
        </w:rPr>
        <w:t xml:space="preserve"> distribution to </w:t>
      </w:r>
      <w:bookmarkEnd w:id="0"/>
      <w:r>
        <w:rPr>
          <w:rFonts w:ascii="Times New Roman" w:hAnsi="Times New Roman" w:cs="Times New Roman"/>
          <w:lang w:bidi="en-US"/>
        </w:rPr>
        <w:t>account for</w:t>
      </w:r>
      <w:r w:rsidR="006D3F31">
        <w:rPr>
          <w:rFonts w:ascii="Times New Roman" w:hAnsi="Times New Roman" w:cs="Times New Roman"/>
          <w:lang w:bidi="en-US"/>
        </w:rPr>
        <w:t xml:space="preserve"> coefficients of the </w:t>
      </w:r>
      <w:r w:rsidR="006D3F31">
        <w:rPr>
          <w:rFonts w:ascii="Times New Roman" w:hAnsi="Times New Roman" w:cs="Times New Roman"/>
          <w:i/>
          <w:lang w:bidi="en-US"/>
        </w:rPr>
        <w:t xml:space="preserve">A </w:t>
      </w:r>
      <w:r w:rsidR="006D3F31">
        <w:rPr>
          <w:rFonts w:ascii="Times New Roman" w:hAnsi="Times New Roman" w:cs="Times New Roman"/>
          <w:lang w:bidi="en-US"/>
        </w:rPr>
        <w:t xml:space="preserve">matrix. The proposed distribution functions on the principle of unity which can be broken down to </w:t>
      </w:r>
      <w:r w:rsidR="006D3F31">
        <w:rPr>
          <w:rFonts w:ascii="Times New Roman" w:hAnsi="Times New Roman" w:cs="Times New Roman"/>
          <w:i/>
          <w:lang w:bidi="en-US"/>
        </w:rPr>
        <w:t xml:space="preserve">n </w:t>
      </w:r>
      <w:r w:rsidR="006D3F31">
        <w:rPr>
          <w:rFonts w:ascii="Times New Roman" w:hAnsi="Times New Roman" w:cs="Times New Roman"/>
          <w:lang w:bidi="en-US"/>
        </w:rPr>
        <w:t>number of pieces</w:t>
      </w:r>
      <w:r w:rsidR="00894513">
        <w:rPr>
          <w:rFonts w:ascii="Times New Roman" w:hAnsi="Times New Roman" w:cs="Times New Roman"/>
          <w:lang w:bidi="en-US"/>
        </w:rPr>
        <w:t xml:space="preserve"> </w:t>
      </w:r>
      <w:r w:rsidR="00894513">
        <w:rPr>
          <w:rFonts w:ascii="Times New Roman" w:hAnsi="Times New Roman" w:cs="Times New Roman"/>
          <w:lang w:bidi="en-US"/>
        </w:rPr>
        <w:fldChar w:fldCharType="begin"/>
      </w:r>
      <w:r w:rsidR="00894513">
        <w:rPr>
          <w:rFonts w:ascii="Times New Roman" w:hAnsi="Times New Roman" w:cs="Times New Roman"/>
          <w:lang w:bidi="en-US"/>
        </w:rPr>
        <w:instrText xml:space="preserve"> ADDIN EN.CITE &lt;EndNote&gt;&lt;Cite&gt;&lt;Author&gt;Frigyik&lt;/Author&gt;&lt;Year&gt;2010&lt;/Year&gt;&lt;RecNum&gt;1&lt;/RecNum&gt;&lt;DisplayText&gt;[Frigyik, Kapila and Gupta, 2010]&lt;/DisplayText&gt;&lt;record&gt;&lt;rec-number&gt;1&lt;/rec-number&gt;&lt;foreign-keys&gt;&lt;key app="EN" db-id="taps2fsr45efv7e95fc59tzqxfeezpeaz2ev"&gt;1&lt;/key&gt;&lt;/foreign-keys&gt;&lt;ref-type name="Report"&gt;27&lt;/ref-type&gt;&lt;contributors&gt;&lt;authors&gt;&lt;author&gt;Bela A. Frigyik&lt;/author&gt;&lt;author&gt;Amol Kapila&lt;/author&gt;&lt;author&gt;Maya R. Gupta&lt;/author&gt;&lt;/authors&gt;&lt;subsidiary-authors&gt;&lt;author&gt;Department of Electrical Engineering&lt;/author&gt;&lt;/subsidiary-authors&gt;&lt;/contributors&gt;&lt;titles&gt;&lt;title&gt;Introduction to the Dirichlet Distribution and Related Processes&lt;/title&gt;&lt;secondary-title&gt;UWEE Technical Report Number UWEETER-2010-0006&lt;/secondary-title&gt;&lt;/titles&gt;&lt;dates&gt;&lt;year&gt;2010&lt;/year&gt;&lt;/dates&gt;&lt;pub-location&gt;Seattle, Washington&lt;/pub-location&gt;&lt;publisher&gt;University of Washington&lt;/publisher&gt;&lt;urls&gt;&lt;related-urls&gt;&lt;url&gt;http://www.ee.washington.edu&lt;/url&gt;&lt;/related-urls&gt;&lt;/urls&gt;&lt;/record&gt;&lt;/Cite&gt;&lt;/EndNote&gt;</w:instrText>
      </w:r>
      <w:r w:rsidR="00894513">
        <w:rPr>
          <w:rFonts w:ascii="Times New Roman" w:hAnsi="Times New Roman" w:cs="Times New Roman"/>
          <w:lang w:bidi="en-US"/>
        </w:rPr>
        <w:fldChar w:fldCharType="separate"/>
      </w:r>
      <w:r w:rsidR="00894513">
        <w:rPr>
          <w:rFonts w:ascii="Times New Roman" w:hAnsi="Times New Roman" w:cs="Times New Roman"/>
          <w:noProof/>
          <w:lang w:bidi="en-US"/>
        </w:rPr>
        <w:t>[</w:t>
      </w:r>
      <w:hyperlink w:anchor="_ENREF_6" w:tooltip="Frigyik, 2010 #1" w:history="1">
        <w:r w:rsidR="009C41E7">
          <w:rPr>
            <w:rFonts w:ascii="Times New Roman" w:hAnsi="Times New Roman" w:cs="Times New Roman"/>
            <w:noProof/>
            <w:lang w:bidi="en-US"/>
          </w:rPr>
          <w:t>Frigyik, Kapila and Gupta, 2010</w:t>
        </w:r>
      </w:hyperlink>
      <w:r w:rsidR="00894513">
        <w:rPr>
          <w:rFonts w:ascii="Times New Roman" w:hAnsi="Times New Roman" w:cs="Times New Roman"/>
          <w:noProof/>
          <w:lang w:bidi="en-US"/>
        </w:rPr>
        <w:t>]</w:t>
      </w:r>
      <w:r w:rsidR="00894513">
        <w:rPr>
          <w:rFonts w:ascii="Times New Roman" w:hAnsi="Times New Roman" w:cs="Times New Roman"/>
          <w:lang w:bidi="en-US"/>
        </w:rPr>
        <w:fldChar w:fldCharType="end"/>
      </w:r>
      <w:r w:rsidR="006D3F31">
        <w:rPr>
          <w:rFonts w:ascii="Times New Roman" w:hAnsi="Times New Roman" w:cs="Times New Roman"/>
          <w:lang w:bidi="en-US"/>
        </w:rPr>
        <w:t xml:space="preserve">. This aggregation property of the </w:t>
      </w:r>
      <w:r w:rsidR="00CF58FD">
        <w:rPr>
          <w:rFonts w:ascii="Times New Roman" w:hAnsi="Times New Roman" w:cs="Times New Roman"/>
          <w:lang w:bidi="en-US"/>
        </w:rPr>
        <w:t>Dirichlet</w:t>
      </w:r>
      <w:r w:rsidR="006D3F31">
        <w:rPr>
          <w:rFonts w:ascii="Times New Roman" w:hAnsi="Times New Roman" w:cs="Times New Roman"/>
          <w:lang w:bidi="en-US"/>
        </w:rPr>
        <w:t xml:space="preserve"> distribution applies </w:t>
      </w:r>
      <w:r w:rsidR="00CF58FD">
        <w:rPr>
          <w:rFonts w:ascii="Times New Roman" w:hAnsi="Times New Roman" w:cs="Times New Roman"/>
          <w:lang w:bidi="en-US"/>
        </w:rPr>
        <w:t>to the</w:t>
      </w:r>
      <w:r w:rsidR="006D3F31">
        <w:rPr>
          <w:rFonts w:ascii="Times New Roman" w:hAnsi="Times New Roman" w:cs="Times New Roman"/>
          <w:lang w:bidi="en-US"/>
        </w:rPr>
        <w:t xml:space="preserve"> row element of a matrix </w:t>
      </w:r>
      <w:r w:rsidR="006D3F31">
        <w:rPr>
          <w:rFonts w:ascii="Times New Roman" w:hAnsi="Times New Roman" w:cs="Times New Roman"/>
          <w:i/>
          <w:lang w:bidi="en-US"/>
        </w:rPr>
        <w:t>A</w:t>
      </w:r>
      <w:r w:rsidR="006D3F31">
        <w:rPr>
          <w:rFonts w:ascii="Times New Roman" w:hAnsi="Times New Roman" w:cs="Times New Roman"/>
          <w:lang w:bidi="en-US"/>
        </w:rPr>
        <w:t xml:space="preserve">; coefficients determine the normalized input of each industry </w:t>
      </w:r>
      <w:r w:rsidR="006D3F31">
        <w:rPr>
          <w:rFonts w:ascii="Times New Roman" w:hAnsi="Times New Roman" w:cs="Times New Roman"/>
          <w:i/>
          <w:lang w:bidi="en-US"/>
        </w:rPr>
        <w:t xml:space="preserve">j </w:t>
      </w:r>
      <w:r w:rsidR="006D3F31">
        <w:rPr>
          <w:rFonts w:ascii="Times New Roman" w:hAnsi="Times New Roman" w:cs="Times New Roman"/>
          <w:lang w:bidi="en-US"/>
        </w:rPr>
        <w:t xml:space="preserve">to that particular sector, and thus sum to unity. Literature identifies that individual coefficients or elements of matrix </w:t>
      </w:r>
      <w:r w:rsidR="006D3F31">
        <w:rPr>
          <w:rFonts w:ascii="Times New Roman" w:hAnsi="Times New Roman" w:cs="Times New Roman"/>
          <w:i/>
          <w:lang w:bidi="en-US"/>
        </w:rPr>
        <w:t>A</w:t>
      </w:r>
      <w:r w:rsidR="006D3F31">
        <w:rPr>
          <w:rFonts w:ascii="Times New Roman" w:hAnsi="Times New Roman" w:cs="Times New Roman"/>
          <w:lang w:bidi="en-US"/>
        </w:rPr>
        <w:t xml:space="preserve"> could still be beta distributed</w:t>
      </w:r>
      <w:r w:rsidR="00894513">
        <w:rPr>
          <w:rFonts w:ascii="Times New Roman" w:hAnsi="Times New Roman" w:cs="Times New Roman"/>
          <w:lang w:bidi="en-US"/>
        </w:rPr>
        <w:t xml:space="preserve"> </w:t>
      </w:r>
      <w:r w:rsidR="00894513">
        <w:rPr>
          <w:rFonts w:ascii="Times New Roman" w:hAnsi="Times New Roman" w:cs="Times New Roman"/>
          <w:lang w:bidi="en-US"/>
        </w:rPr>
        <w:fldChar w:fldCharType="begin"/>
      </w:r>
      <w:r w:rsidR="00894513">
        <w:rPr>
          <w:rFonts w:ascii="Times New Roman" w:hAnsi="Times New Roman" w:cs="Times New Roman"/>
          <w:lang w:bidi="en-US"/>
        </w:rPr>
        <w:instrText xml:space="preserve"> ADDIN EN.CITE &lt;EndNote&gt;&lt;Cite&gt;&lt;Author&gt;Beynon&lt;/Author&gt;&lt;Year&gt;2008&lt;/Year&gt;&lt;RecNum&gt;5&lt;/RecNum&gt;&lt;DisplayText&gt;[Beynon and Munday, 2008]&lt;/DisplayText&gt;&lt;record&gt;&lt;rec-number&gt;5&lt;/rec-number&gt;&lt;foreign-keys&gt;&lt;key app="EN" db-id="taps2fsr45efv7e95fc59tzqxfeezpeaz2ev"&gt;5&lt;/key&gt;&lt;/foreign-keys&gt;&lt;ref-type name="Journal Article"&gt;17&lt;/ref-type&gt;&lt;contributors&gt;&lt;authors&gt;&lt;author&gt;Beynon, MalcolmJ&lt;/author&gt;&lt;author&gt;Munday, Max&lt;/author&gt;&lt;/authors&gt;&lt;/contributors&gt;&lt;titles&gt;&lt;title&gt;Stochastic key sector analysis: an application to a regional input–output framework&lt;/title&gt;&lt;secondary-title&gt;The Annals of Regional Science&lt;/secondary-title&gt;&lt;alt-title&gt;Ann Reg Sci&lt;/alt-title&gt;&lt;/titles&gt;&lt;periodical&gt;&lt;full-title&gt;The Annals of Regional Science&lt;/full-title&gt;&lt;abbr-1&gt;Ann Reg Sci&lt;/abbr-1&gt;&lt;/periodical&gt;&lt;alt-periodical&gt;&lt;full-title&gt;The Annals of Regional Science&lt;/full-title&gt;&lt;abbr-1&gt;Ann Reg Sci&lt;/abbr-1&gt;&lt;/alt-periodical&gt;&lt;pages&gt;863-877&lt;/pages&gt;&lt;volume&gt;42&lt;/volume&gt;&lt;number&gt;4&lt;/number&gt;&lt;keywords&gt;&lt;keyword&gt;R15&lt;/keyword&gt;&lt;keyword&gt;C15&lt;/keyword&gt;&lt;keyword&gt;C67&lt;/keyword&gt;&lt;/keywords&gt;&lt;dates&gt;&lt;year&gt;2008&lt;/year&gt;&lt;pub-dates&gt;&lt;date&gt;2008/12/01&lt;/date&gt;&lt;/pub-dates&gt;&lt;/dates&gt;&lt;publisher&gt;Springer-Verlag&lt;/publisher&gt;&lt;isbn&gt;0570-1864&lt;/isbn&gt;&lt;urls&gt;&lt;related-urls&gt;&lt;url&gt;http://dx.doi.org/10.1007/s00168-007-0172-0&lt;/url&gt;&lt;/related-urls&gt;&lt;/urls&gt;&lt;electronic-resource-num&gt;10.1007/s00168-007-0172-0&lt;/electronic-resource-num&gt;&lt;language&gt;English&lt;/language&gt;&lt;/record&gt;&lt;/Cite&gt;&lt;/EndNote&gt;</w:instrText>
      </w:r>
      <w:r w:rsidR="00894513">
        <w:rPr>
          <w:rFonts w:ascii="Times New Roman" w:hAnsi="Times New Roman" w:cs="Times New Roman"/>
          <w:lang w:bidi="en-US"/>
        </w:rPr>
        <w:fldChar w:fldCharType="separate"/>
      </w:r>
      <w:r w:rsidR="00894513">
        <w:rPr>
          <w:rFonts w:ascii="Times New Roman" w:hAnsi="Times New Roman" w:cs="Times New Roman"/>
          <w:noProof/>
          <w:lang w:bidi="en-US"/>
        </w:rPr>
        <w:t>[</w:t>
      </w:r>
      <w:hyperlink w:anchor="_ENREF_2" w:tooltip="Beynon, 2008 #5" w:history="1">
        <w:r w:rsidR="009C41E7">
          <w:rPr>
            <w:rFonts w:ascii="Times New Roman" w:hAnsi="Times New Roman" w:cs="Times New Roman"/>
            <w:noProof/>
            <w:lang w:bidi="en-US"/>
          </w:rPr>
          <w:t>Beynon and Munday, 2008</w:t>
        </w:r>
      </w:hyperlink>
      <w:r w:rsidR="00894513">
        <w:rPr>
          <w:rFonts w:ascii="Times New Roman" w:hAnsi="Times New Roman" w:cs="Times New Roman"/>
          <w:noProof/>
          <w:lang w:bidi="en-US"/>
        </w:rPr>
        <w:t>]</w:t>
      </w:r>
      <w:r w:rsidR="00894513">
        <w:rPr>
          <w:rFonts w:ascii="Times New Roman" w:hAnsi="Times New Roman" w:cs="Times New Roman"/>
          <w:lang w:bidi="en-US"/>
        </w:rPr>
        <w:fldChar w:fldCharType="end"/>
      </w:r>
      <w:r w:rsidR="00CF58FD">
        <w:rPr>
          <w:rFonts w:ascii="Times New Roman" w:hAnsi="Times New Roman" w:cs="Times New Roman"/>
          <w:lang w:bidi="en-US"/>
        </w:rPr>
        <w:t>, since Dirichlet process provides a random distribution over distributions, over infinite sample space</w:t>
      </w:r>
      <w:r w:rsidR="00894513">
        <w:rPr>
          <w:rFonts w:ascii="Times New Roman" w:hAnsi="Times New Roman" w:cs="Times New Roman"/>
          <w:lang w:bidi="en-US"/>
        </w:rPr>
        <w:t xml:space="preserve"> </w:t>
      </w:r>
      <w:r w:rsidR="00894513">
        <w:rPr>
          <w:rFonts w:ascii="Times New Roman" w:hAnsi="Times New Roman" w:cs="Times New Roman"/>
          <w:lang w:bidi="en-US"/>
        </w:rPr>
        <w:fldChar w:fldCharType="begin"/>
      </w:r>
      <w:r w:rsidR="00894513">
        <w:rPr>
          <w:rFonts w:ascii="Times New Roman" w:hAnsi="Times New Roman" w:cs="Times New Roman"/>
          <w:lang w:bidi="en-US"/>
        </w:rPr>
        <w:instrText xml:space="preserve"> ADDIN EN.CITE &lt;EndNote&gt;&lt;Cite&gt;&lt;Author&gt;Frigyik&lt;/Author&gt;&lt;Year&gt;2010&lt;/Year&gt;&lt;RecNum&gt;1&lt;/RecNum&gt;&lt;DisplayText&gt;[Frigyik, Kapila and Gupta, 2010]&lt;/DisplayText&gt;&lt;record&gt;&lt;rec-number&gt;1&lt;/rec-number&gt;&lt;foreign-keys&gt;&lt;key app="EN" db-id="taps2fsr45efv7e95fc59tzqxfeezpeaz2ev"&gt;1&lt;/key&gt;&lt;/foreign-keys&gt;&lt;ref-type name="Report"&gt;27&lt;/ref-type&gt;&lt;contributors&gt;&lt;authors&gt;&lt;author&gt;Bela A. Frigyik&lt;/author&gt;&lt;author&gt;Amol Kapila&lt;/author&gt;&lt;author&gt;Maya R. Gupta&lt;/author&gt;&lt;/authors&gt;&lt;subsidiary-authors&gt;&lt;author&gt;Department of Electrical Engineering&lt;/author&gt;&lt;/subsidiary-authors&gt;&lt;/contributors&gt;&lt;titles&gt;&lt;title&gt;Introduction to the Dirichlet Distribution and Related Processes&lt;/title&gt;&lt;secondary-title&gt;UWEE Technical Report Number UWEETER-2010-0006&lt;/secondary-title&gt;&lt;/titles&gt;&lt;dates&gt;&lt;year&gt;2010&lt;/year&gt;&lt;/dates&gt;&lt;pub-location&gt;Seattle, Washington&lt;/pub-location&gt;&lt;publisher&gt;University of Washington&lt;/publisher&gt;&lt;urls&gt;&lt;related-urls&gt;&lt;url&gt;http://www.ee.washington.edu&lt;/url&gt;&lt;/related-urls&gt;&lt;/urls&gt;&lt;/record&gt;&lt;/Cite&gt;&lt;/EndNote&gt;</w:instrText>
      </w:r>
      <w:r w:rsidR="00894513">
        <w:rPr>
          <w:rFonts w:ascii="Times New Roman" w:hAnsi="Times New Roman" w:cs="Times New Roman"/>
          <w:lang w:bidi="en-US"/>
        </w:rPr>
        <w:fldChar w:fldCharType="separate"/>
      </w:r>
      <w:r w:rsidR="00894513">
        <w:rPr>
          <w:rFonts w:ascii="Times New Roman" w:hAnsi="Times New Roman" w:cs="Times New Roman"/>
          <w:noProof/>
          <w:lang w:bidi="en-US"/>
        </w:rPr>
        <w:t>[</w:t>
      </w:r>
      <w:hyperlink w:anchor="_ENREF_6" w:tooltip="Frigyik, 2010 #1" w:history="1">
        <w:r w:rsidR="009C41E7">
          <w:rPr>
            <w:rFonts w:ascii="Times New Roman" w:hAnsi="Times New Roman" w:cs="Times New Roman"/>
            <w:noProof/>
            <w:lang w:bidi="en-US"/>
          </w:rPr>
          <w:t>Frigyik, Kapila and Gupta, 2010</w:t>
        </w:r>
      </w:hyperlink>
      <w:r w:rsidR="00894513">
        <w:rPr>
          <w:rFonts w:ascii="Times New Roman" w:hAnsi="Times New Roman" w:cs="Times New Roman"/>
          <w:noProof/>
          <w:lang w:bidi="en-US"/>
        </w:rPr>
        <w:t>]</w:t>
      </w:r>
      <w:r w:rsidR="00894513">
        <w:rPr>
          <w:rFonts w:ascii="Times New Roman" w:hAnsi="Times New Roman" w:cs="Times New Roman"/>
          <w:lang w:bidi="en-US"/>
        </w:rPr>
        <w:fldChar w:fldCharType="end"/>
      </w:r>
      <w:r w:rsidR="006D3F31">
        <w:rPr>
          <w:rFonts w:ascii="Times New Roman" w:hAnsi="Times New Roman" w:cs="Times New Roman"/>
          <w:lang w:bidi="en-US"/>
        </w:rPr>
        <w:t>. To further explore</w:t>
      </w:r>
      <w:r w:rsidR="00CF58FD">
        <w:rPr>
          <w:rFonts w:ascii="Times New Roman" w:hAnsi="Times New Roman" w:cs="Times New Roman"/>
          <w:lang w:bidi="en-US"/>
        </w:rPr>
        <w:t xml:space="preserve"> the flexibility provided by the distribution’s constraints we decided </w:t>
      </w:r>
      <w:r w:rsidR="006D3F31">
        <w:rPr>
          <w:rFonts w:ascii="Times New Roman" w:hAnsi="Times New Roman" w:cs="Times New Roman"/>
          <w:lang w:bidi="en-US"/>
        </w:rPr>
        <w:t xml:space="preserve">to generate </w:t>
      </w:r>
      <w:r w:rsidR="00CF58FD">
        <w:rPr>
          <w:rFonts w:ascii="Times New Roman" w:hAnsi="Times New Roman" w:cs="Times New Roman"/>
          <w:lang w:bidi="en-US"/>
        </w:rPr>
        <w:t xml:space="preserve">samples from Dirichlet distribution using Gamma random variables. </w:t>
      </w:r>
      <w:r w:rsidR="00CF58FD">
        <w:rPr>
          <w:rFonts w:ascii="Times New Roman" w:hAnsi="Times New Roman" w:cs="Times New Roman"/>
          <w:lang w:bidi="en-US"/>
        </w:rPr>
        <w:lastRenderedPageBreak/>
        <w:t>This process is computationally efficient compared to generating random variables from Beta Distribution</w:t>
      </w:r>
      <w:r w:rsidR="00894513">
        <w:rPr>
          <w:rFonts w:ascii="Times New Roman" w:hAnsi="Times New Roman" w:cs="Times New Roman"/>
          <w:lang w:bidi="en-US"/>
        </w:rPr>
        <w:t xml:space="preserve"> </w:t>
      </w:r>
      <w:r w:rsidR="00894513">
        <w:rPr>
          <w:rFonts w:ascii="Times New Roman" w:hAnsi="Times New Roman" w:cs="Times New Roman"/>
          <w:lang w:bidi="en-US"/>
        </w:rPr>
        <w:fldChar w:fldCharType="begin"/>
      </w:r>
      <w:r w:rsidR="00894513">
        <w:rPr>
          <w:rFonts w:ascii="Times New Roman" w:hAnsi="Times New Roman" w:cs="Times New Roman"/>
          <w:lang w:bidi="en-US"/>
        </w:rPr>
        <w:instrText xml:space="preserve"> ADDIN EN.CITE &lt;EndNote&gt;&lt;Cite&gt;&lt;Author&gt;Frigyik&lt;/Author&gt;&lt;Year&gt;2010&lt;/Year&gt;&lt;RecNum&gt;1&lt;/RecNum&gt;&lt;DisplayText&gt;[Frigyik, Kapila and Gupta, 2010]&lt;/DisplayText&gt;&lt;record&gt;&lt;rec-number&gt;1&lt;/rec-number&gt;&lt;foreign-keys&gt;&lt;key app="EN" db-id="taps2fsr45efv7e95fc59tzqxfeezpeaz2ev"&gt;1&lt;/key&gt;&lt;/foreign-keys&gt;&lt;ref-type name="Report"&gt;27&lt;/ref-type&gt;&lt;contributors&gt;&lt;authors&gt;&lt;author&gt;Bela A. Frigyik&lt;/author&gt;&lt;author&gt;Amol Kapila&lt;/author&gt;&lt;author&gt;Maya R. Gupta&lt;/author&gt;&lt;/authors&gt;&lt;subsidiary-authors&gt;&lt;author&gt;Department of Electrical Engineering&lt;/author&gt;&lt;/subsidiary-authors&gt;&lt;/contributors&gt;&lt;titles&gt;&lt;title&gt;Introduction to the Dirichlet Distribution and Related Processes&lt;/title&gt;&lt;secondary-title&gt;UWEE Technical Report Number UWEETER-2010-0006&lt;/secondary-title&gt;&lt;/titles&gt;&lt;dates&gt;&lt;year&gt;2010&lt;/year&gt;&lt;/dates&gt;&lt;pub-location&gt;Seattle, Washington&lt;/pub-location&gt;&lt;publisher&gt;University of Washington&lt;/publisher&gt;&lt;urls&gt;&lt;related-urls&gt;&lt;url&gt;http://www.ee.washington.edu&lt;/url&gt;&lt;/related-urls&gt;&lt;/urls&gt;&lt;/record&gt;&lt;/Cite&gt;&lt;/EndNote&gt;</w:instrText>
      </w:r>
      <w:r w:rsidR="00894513">
        <w:rPr>
          <w:rFonts w:ascii="Times New Roman" w:hAnsi="Times New Roman" w:cs="Times New Roman"/>
          <w:lang w:bidi="en-US"/>
        </w:rPr>
        <w:fldChar w:fldCharType="separate"/>
      </w:r>
      <w:r w:rsidR="00894513">
        <w:rPr>
          <w:rFonts w:ascii="Times New Roman" w:hAnsi="Times New Roman" w:cs="Times New Roman"/>
          <w:noProof/>
          <w:lang w:bidi="en-US"/>
        </w:rPr>
        <w:t>[</w:t>
      </w:r>
      <w:hyperlink w:anchor="_ENREF_6" w:tooltip="Frigyik, 2010 #1" w:history="1">
        <w:r w:rsidR="009C41E7">
          <w:rPr>
            <w:rFonts w:ascii="Times New Roman" w:hAnsi="Times New Roman" w:cs="Times New Roman"/>
            <w:noProof/>
            <w:lang w:bidi="en-US"/>
          </w:rPr>
          <w:t>Frigyik, Kapila and Gupta, 2010</w:t>
        </w:r>
      </w:hyperlink>
      <w:r w:rsidR="00894513">
        <w:rPr>
          <w:rFonts w:ascii="Times New Roman" w:hAnsi="Times New Roman" w:cs="Times New Roman"/>
          <w:noProof/>
          <w:lang w:bidi="en-US"/>
        </w:rPr>
        <w:t>]</w:t>
      </w:r>
      <w:r w:rsidR="00894513">
        <w:rPr>
          <w:rFonts w:ascii="Times New Roman" w:hAnsi="Times New Roman" w:cs="Times New Roman"/>
          <w:lang w:bidi="en-US"/>
        </w:rPr>
        <w:fldChar w:fldCharType="end"/>
      </w:r>
      <w:r w:rsidR="00CF58FD">
        <w:rPr>
          <w:rFonts w:ascii="Times New Roman" w:hAnsi="Times New Roman" w:cs="Times New Roman"/>
          <w:lang w:bidi="en-US"/>
        </w:rPr>
        <w:t>. This method entails three steps.</w:t>
      </w:r>
    </w:p>
    <w:p w14:paraId="668CE617" w14:textId="224B72EE" w:rsidR="00CF58FD" w:rsidRDefault="00CF58FD" w:rsidP="00CF58FD">
      <w:pPr>
        <w:pStyle w:val="Heading2"/>
        <w:rPr>
          <w:lang w:bidi="en-US"/>
        </w:rPr>
      </w:pPr>
      <w:r>
        <w:rPr>
          <w:lang w:bidi="en-US"/>
        </w:rPr>
        <w:t>Step 1: Data Analysis</w:t>
      </w:r>
    </w:p>
    <w:p w14:paraId="58D2DE6B" w14:textId="1358D149" w:rsidR="008C3E94" w:rsidRDefault="00E47E43" w:rsidP="008C3E94">
      <w:pPr>
        <w:spacing w:line="480" w:lineRule="auto"/>
        <w:ind w:left="360" w:firstLine="360"/>
        <w:jc w:val="both"/>
        <w:rPr>
          <w:rFonts w:ascii="Times New Roman" w:hAnsi="Times New Roman" w:cs="Times New Roman"/>
          <w:lang w:bidi="en-US"/>
        </w:rPr>
      </w:pPr>
      <w:r w:rsidRPr="00A114EE">
        <w:rPr>
          <w:rFonts w:ascii="Times New Roman" w:hAnsi="Times New Roman" w:cs="Times New Roman"/>
          <w:lang w:bidi="en-US"/>
        </w:rPr>
        <w:t xml:space="preserve">The </w:t>
      </w:r>
      <w:r>
        <w:rPr>
          <w:rFonts w:ascii="Times New Roman" w:hAnsi="Times New Roman" w:cs="Times New Roman"/>
          <w:lang w:bidi="en-US"/>
        </w:rPr>
        <w:t xml:space="preserve">Leontief I-O </w:t>
      </w:r>
      <w:r w:rsidRPr="00A114EE">
        <w:rPr>
          <w:rFonts w:ascii="Times New Roman" w:hAnsi="Times New Roman" w:cs="Times New Roman"/>
          <w:lang w:bidi="en-US"/>
        </w:rPr>
        <w:t xml:space="preserve">model describes how these system interdependencies within economic sectors and regions affect the overall economic system </w:t>
      </w:r>
      <w:r w:rsidRPr="00A114EE">
        <w:rPr>
          <w:rFonts w:ascii="Times New Roman" w:hAnsi="Times New Roman" w:cs="Times New Roman"/>
          <w:lang w:bidi="en-US"/>
        </w:rPr>
        <w:fldChar w:fldCharType="begin"/>
      </w:r>
      <w:r w:rsidR="002D1706">
        <w:rPr>
          <w:rFonts w:ascii="Times New Roman" w:hAnsi="Times New Roman" w:cs="Times New Roman"/>
          <w:lang w:bidi="en-US"/>
        </w:rPr>
        <w:instrText xml:space="preserve"> ADDIN EN.CITE &lt;EndNote&gt;&lt;Cite&gt;&lt;Author&gt;Lahr&lt;/Author&gt;&lt;Year&gt;2001&lt;/Year&gt;&lt;RecNum&gt;34&lt;/RecNum&gt;&lt;DisplayText&gt;[Lahr and Dietzenbacher, 2001]&lt;/DisplayText&gt;&lt;record&gt;&lt;rec-number&gt;34&lt;/rec-number&gt;&lt;foreign-keys&gt;&lt;key app="EN" db-id="rwt9rt2zhzf994errspve9wpa29sfapx0ew0"&gt;34&lt;/key&gt;&lt;/foreign-keys&gt;&lt;ref-type name="Book"&gt;6&lt;/ref-type&gt;&lt;contributors&gt;&lt;authors&gt;&lt;author&gt;Michael L. Lahr&lt;/author&gt;&lt;author&gt;Erik Dietzenbacher&lt;/author&gt;&lt;/authors&gt;&lt;subsidiary-authors&gt;&lt;author&gt;Michael L. Lahr&lt;/author&gt;&lt;author&gt;Erik Dietzenbacher&lt;/author&gt;&lt;/subsidiary-authors&gt;&lt;/contributors&gt;&lt;titles&gt;&lt;title&gt;Input-output analysis : frontiers and extensions&lt;/title&gt;&lt;/titles&gt;&lt;pages&gt;xx, 509 p.&lt;/pages&gt;&lt;dates&gt;&lt;year&gt;2001&lt;/year&gt;&lt;/dates&gt;&lt;pub-location&gt;Basingstoke, Hampshire, England, New York&lt;/pub-location&gt;&lt;publisher&gt;Palgrave&lt;/publisher&gt;&lt;isbn&gt;0333917855&lt;/isbn&gt;&lt;accession-num&gt;(OCoLC)ocm45799565&lt;/accession-num&gt;&lt;call-num&gt;HB142 .I527 2001&lt;/call-num&gt;&lt;urls&gt;&lt;/urls&gt;&lt;/record&gt;&lt;/Cite&gt;&lt;/EndNote&gt;</w:instrText>
      </w:r>
      <w:r w:rsidRPr="00A114EE">
        <w:rPr>
          <w:rFonts w:ascii="Times New Roman" w:hAnsi="Times New Roman" w:cs="Times New Roman"/>
          <w:lang w:bidi="en-US"/>
        </w:rPr>
        <w:fldChar w:fldCharType="separate"/>
      </w:r>
      <w:r w:rsidR="002D1706">
        <w:rPr>
          <w:rFonts w:ascii="Times New Roman" w:hAnsi="Times New Roman" w:cs="Times New Roman"/>
          <w:noProof/>
          <w:lang w:bidi="en-US"/>
        </w:rPr>
        <w:t>[</w:t>
      </w:r>
      <w:hyperlink w:anchor="_ENREF_8" w:tooltip="Lahr, 2001 #34" w:history="1">
        <w:r w:rsidR="009C41E7">
          <w:rPr>
            <w:rFonts w:ascii="Times New Roman" w:hAnsi="Times New Roman" w:cs="Times New Roman"/>
            <w:noProof/>
            <w:lang w:bidi="en-US"/>
          </w:rPr>
          <w:t>Lahr and Dietzenbacher, 2001</w:t>
        </w:r>
      </w:hyperlink>
      <w:r w:rsidR="002D1706">
        <w:rPr>
          <w:rFonts w:ascii="Times New Roman" w:hAnsi="Times New Roman" w:cs="Times New Roman"/>
          <w:noProof/>
          <w:lang w:bidi="en-US"/>
        </w:rPr>
        <w:t>]</w:t>
      </w:r>
      <w:r w:rsidRPr="00A114EE">
        <w:rPr>
          <w:rFonts w:ascii="Times New Roman" w:hAnsi="Times New Roman" w:cs="Times New Roman"/>
          <w:lang w:bidi="en-US"/>
        </w:rPr>
        <w:fldChar w:fldCharType="end"/>
      </w:r>
      <w:r w:rsidRPr="00A114EE">
        <w:rPr>
          <w:rFonts w:ascii="Times New Roman" w:hAnsi="Times New Roman" w:cs="Times New Roman"/>
          <w:lang w:bidi="en-US"/>
        </w:rPr>
        <w:t xml:space="preserve">. In the US, the Bureau of Economic Analysis </w:t>
      </w:r>
      <w:r w:rsidR="0025233E">
        <w:rPr>
          <w:rFonts w:ascii="Times New Roman" w:hAnsi="Times New Roman" w:cs="Times New Roman"/>
          <w:lang w:bidi="en-US"/>
        </w:rPr>
        <w:fldChar w:fldCharType="begin"/>
      </w:r>
      <w:r w:rsidR="0025233E">
        <w:rPr>
          <w:rFonts w:ascii="Times New Roman" w:hAnsi="Times New Roman" w:cs="Times New Roman"/>
          <w:lang w:bidi="en-US"/>
        </w:rPr>
        <w:instrText xml:space="preserve"> ADDIN EN.CITE &lt;EndNote&gt;&lt;Cite&gt;&lt;Author&gt;BEA&lt;/Author&gt;&lt;Year&gt;2013&lt;/Year&gt;&lt;RecNum&gt;13&lt;/RecNum&gt;&lt;DisplayText&gt;[BEA, 2013]&lt;/DisplayText&gt;&lt;record&gt;&lt;rec-number&gt;13&lt;/rec-number&gt;&lt;foreign-keys&gt;&lt;key app="EN" db-id="taps2fsr45efv7e95fc59tzqxfeezpeaz2ev"&gt;13&lt;/key&gt;&lt;/foreign-keys&gt;&lt;ref-type name="Dataset"&gt;59&lt;/ref-type&gt;&lt;contributors&gt;&lt;authors&gt;&lt;author&gt;BEA&lt;/author&gt;&lt;/authors&gt;&lt;secondary-authors&gt;&lt;author&gt;Bureau of Economic Analysis&lt;/author&gt;&lt;/secondary-authors&gt;&lt;/contributors&gt;&lt;titles&gt;&lt;title&gt;Interactive Access to Industry Economic Accounts Data: Input-Output&lt;/title&gt;&lt;/titles&gt;&lt;dates&gt;&lt;year&gt;2013&lt;/year&gt;&lt;/dates&gt;&lt;urls&gt;&lt;related-urls&gt;&lt;url&gt;http://bea.gov/iTable/index_industry_io.cfm&lt;/url&gt;&lt;/related-urls&gt;&lt;/urls&gt;&lt;remote-database-name&gt;Interactive I-O accounts&lt;/remote-database-name&gt;&lt;remote-database-provider&gt;Bureau of Economic Analysis&lt;/remote-database-provider&gt;&lt;access-date&gt;03/11/2013&lt;/access-date&gt;&lt;/record&gt;&lt;/Cite&gt;&lt;/EndNote&gt;</w:instrText>
      </w:r>
      <w:r w:rsidR="0025233E">
        <w:rPr>
          <w:rFonts w:ascii="Times New Roman" w:hAnsi="Times New Roman" w:cs="Times New Roman"/>
          <w:lang w:bidi="en-US"/>
        </w:rPr>
        <w:fldChar w:fldCharType="separate"/>
      </w:r>
      <w:r w:rsidR="0025233E">
        <w:rPr>
          <w:rFonts w:ascii="Times New Roman" w:hAnsi="Times New Roman" w:cs="Times New Roman"/>
          <w:noProof/>
          <w:lang w:bidi="en-US"/>
        </w:rPr>
        <w:t>[</w:t>
      </w:r>
      <w:hyperlink w:anchor="_ENREF_1" w:tooltip="BEA, 2013 #13" w:history="1">
        <w:r w:rsidR="009C41E7">
          <w:rPr>
            <w:rFonts w:ascii="Times New Roman" w:hAnsi="Times New Roman" w:cs="Times New Roman"/>
            <w:noProof/>
            <w:lang w:bidi="en-US"/>
          </w:rPr>
          <w:t>BEA, 2013</w:t>
        </w:r>
      </w:hyperlink>
      <w:r w:rsidR="0025233E">
        <w:rPr>
          <w:rFonts w:ascii="Times New Roman" w:hAnsi="Times New Roman" w:cs="Times New Roman"/>
          <w:noProof/>
          <w:lang w:bidi="en-US"/>
        </w:rPr>
        <w:t>]</w:t>
      </w:r>
      <w:r w:rsidR="0025233E">
        <w:rPr>
          <w:rFonts w:ascii="Times New Roman" w:hAnsi="Times New Roman" w:cs="Times New Roman"/>
          <w:lang w:bidi="en-US"/>
        </w:rPr>
        <w:fldChar w:fldCharType="end"/>
      </w:r>
      <w:r w:rsidR="0025233E">
        <w:rPr>
          <w:rFonts w:ascii="Times New Roman" w:hAnsi="Times New Roman" w:cs="Times New Roman"/>
          <w:lang w:bidi="en-US"/>
        </w:rPr>
        <w:t xml:space="preserve"> </w:t>
      </w:r>
      <w:r w:rsidRPr="00A114EE">
        <w:rPr>
          <w:rFonts w:ascii="Times New Roman" w:hAnsi="Times New Roman" w:cs="Times New Roman"/>
          <w:lang w:bidi="en-US"/>
        </w:rPr>
        <w:t xml:space="preserve">is the agency responsible for publishing the I-O accounts for national or regional analysis. BEA </w:t>
      </w:r>
      <w:r>
        <w:rPr>
          <w:rFonts w:ascii="Times New Roman" w:hAnsi="Times New Roman" w:cs="Times New Roman"/>
          <w:lang w:bidi="en-US"/>
        </w:rPr>
        <w:t>devotes</w:t>
      </w:r>
      <w:r w:rsidRPr="00A114EE">
        <w:rPr>
          <w:rFonts w:ascii="Times New Roman" w:hAnsi="Times New Roman" w:cs="Times New Roman"/>
          <w:lang w:bidi="en-US"/>
        </w:rPr>
        <w:t xml:space="preserve"> significant effort</w:t>
      </w:r>
      <w:r>
        <w:rPr>
          <w:rFonts w:ascii="Times New Roman" w:hAnsi="Times New Roman" w:cs="Times New Roman"/>
          <w:lang w:bidi="en-US"/>
        </w:rPr>
        <w:t>s</w:t>
      </w:r>
      <w:r w:rsidRPr="00A114EE">
        <w:rPr>
          <w:rFonts w:ascii="Times New Roman" w:hAnsi="Times New Roman" w:cs="Times New Roman"/>
          <w:lang w:bidi="en-US"/>
        </w:rPr>
        <w:t xml:space="preserve"> in compil</w:t>
      </w:r>
      <w:r>
        <w:rPr>
          <w:rFonts w:ascii="Times New Roman" w:hAnsi="Times New Roman" w:cs="Times New Roman"/>
          <w:lang w:bidi="en-US"/>
        </w:rPr>
        <w:t>ing and collecti</w:t>
      </w:r>
      <w:r w:rsidRPr="00A114EE">
        <w:rPr>
          <w:rFonts w:ascii="Times New Roman" w:hAnsi="Times New Roman" w:cs="Times New Roman"/>
          <w:lang w:bidi="en-US"/>
        </w:rPr>
        <w:t>n</w:t>
      </w:r>
      <w:r>
        <w:rPr>
          <w:rFonts w:ascii="Times New Roman" w:hAnsi="Times New Roman" w:cs="Times New Roman"/>
          <w:lang w:bidi="en-US"/>
        </w:rPr>
        <w:t>g</w:t>
      </w:r>
      <w:r w:rsidRPr="00A114EE">
        <w:rPr>
          <w:rFonts w:ascii="Times New Roman" w:hAnsi="Times New Roman" w:cs="Times New Roman"/>
          <w:lang w:bidi="en-US"/>
        </w:rPr>
        <w:t xml:space="preserve"> annual industrial data using the North American Industry Classification System (NAICS)</w:t>
      </w:r>
      <w:r>
        <w:rPr>
          <w:rFonts w:ascii="Times New Roman" w:hAnsi="Times New Roman" w:cs="Times New Roman"/>
          <w:lang w:bidi="en-US"/>
        </w:rPr>
        <w:t xml:space="preserve">. We use the aggregated 15 sector accounts in this research from the year 1998-2011. The analysis utilizes the Use ‘U’ and Make ‘V’ tables from these accounts to determine surrogate coefficients of matrix </w:t>
      </w:r>
      <w:r>
        <w:rPr>
          <w:rFonts w:ascii="Times New Roman" w:hAnsi="Times New Roman" w:cs="Times New Roman"/>
          <w:i/>
          <w:lang w:bidi="en-US"/>
        </w:rPr>
        <w:t xml:space="preserve">A. </w:t>
      </w:r>
      <w:r w:rsidR="00431F00">
        <w:rPr>
          <w:rFonts w:ascii="Times New Roman" w:hAnsi="Times New Roman" w:cs="Times New Roman"/>
          <w:lang w:bidi="en-US"/>
        </w:rPr>
        <w:t xml:space="preserve">During matrix manipulation U and V are normalized. Also an extra element (row) needs to be added, the number of rows will now increase from 15 to 16, </w:t>
      </w:r>
      <w:r w:rsidR="003F0199">
        <w:rPr>
          <w:rFonts w:ascii="Times New Roman" w:hAnsi="Times New Roman" w:cs="Times New Roman"/>
          <w:lang w:bidi="en-US"/>
        </w:rPr>
        <w:t>and this</w:t>
      </w:r>
      <w:r w:rsidR="00431F00">
        <w:rPr>
          <w:rFonts w:ascii="Times New Roman" w:hAnsi="Times New Roman" w:cs="Times New Roman"/>
          <w:lang w:bidi="en-US"/>
        </w:rPr>
        <w:t xml:space="preserve"> is required to satisfy the aggregation property of the Dirichlet distribution, that </w:t>
      </w:r>
      <w:r w:rsidR="008C3E94">
        <w:rPr>
          <w:rFonts w:ascii="Times New Roman" w:hAnsi="Times New Roman" w:cs="Times New Roman"/>
          <w:lang w:bidi="en-US"/>
        </w:rPr>
        <w:t xml:space="preserve">row of </w:t>
      </w:r>
      <w:r w:rsidR="00431F00">
        <w:rPr>
          <w:rFonts w:ascii="Times New Roman" w:hAnsi="Times New Roman" w:cs="Times New Roman"/>
          <w:lang w:bidi="en-US"/>
        </w:rPr>
        <w:t xml:space="preserve">coefficient is represented by: </w:t>
      </w:r>
    </w:p>
    <w:p w14:paraId="3E0C63A0" w14:textId="5B65ADCA" w:rsidR="00D21780" w:rsidRPr="00E33076" w:rsidRDefault="008C3E94" w:rsidP="008C3E94">
      <w:pPr>
        <w:spacing w:line="480" w:lineRule="auto"/>
        <w:ind w:left="360" w:firstLine="360"/>
        <w:jc w:val="both"/>
        <w:rPr>
          <w:rFonts w:ascii="Times New Roman" w:eastAsiaTheme="minorEastAsia" w:hAnsi="Times New Roman" w:cs="Times New Roman"/>
          <w:lang w:bidi="en-US"/>
        </w:rPr>
      </w:pPr>
      <w:r>
        <w:rPr>
          <w:rFonts w:ascii="Times New Roman" w:hAnsi="Times New Roman" w:cs="Times New Roman"/>
          <w:lang w:bidi="en-US"/>
        </w:rPr>
        <w:t>For</w:t>
      </w:r>
      <w:r w:rsidR="00431F00">
        <w:rPr>
          <w:rFonts w:ascii="Times New Roman" w:hAnsi="Times New Roman" w:cs="Times New Roman"/>
          <w:lang w:bidi="en-US"/>
        </w:rPr>
        <w:t xml:space="preserve"> j = 1 to 15,  </w:t>
      </w:r>
      <m:oMath>
        <m:sSub>
          <m:sSubPr>
            <m:ctrlPr>
              <w:rPr>
                <w:rFonts w:ascii="Cambria Math" w:hAnsi="Cambria Math" w:cs="Times New Roman"/>
                <w:i/>
                <w:lang w:bidi="en-US"/>
              </w:rPr>
            </m:ctrlPr>
          </m:sSubPr>
          <m:e>
            <m:r>
              <w:rPr>
                <w:rFonts w:ascii="Cambria Math" w:hAnsi="Cambria Math" w:cs="Times New Roman"/>
                <w:lang w:bidi="en-US"/>
              </w:rPr>
              <m:t>a</m:t>
            </m:r>
          </m:e>
          <m:sub>
            <m:r>
              <w:rPr>
                <w:rFonts w:ascii="Cambria Math" w:hAnsi="Cambria Math" w:cs="Times New Roman"/>
                <w:lang w:bidi="en-US"/>
              </w:rPr>
              <m:t>16,j</m:t>
            </m:r>
          </m:sub>
        </m:sSub>
        <m:r>
          <m:rPr>
            <m:sty m:val="p"/>
          </m:rPr>
          <w:rPr>
            <w:rFonts w:ascii="Cambria Math" w:hAnsi="Cambria Math" w:cs="Cambria Math"/>
            <w:lang w:bidi="en-US"/>
          </w:rPr>
          <m:t xml:space="preserve">= 1- </m:t>
        </m:r>
        <m:nary>
          <m:naryPr>
            <m:chr m:val="∑"/>
            <m:limLoc m:val="undOvr"/>
            <m:ctrlPr>
              <w:rPr>
                <w:rFonts w:ascii="Cambria Math" w:hAnsi="Cambria Math" w:cs="Cambria Math"/>
                <w:lang w:bidi="en-US"/>
              </w:rPr>
            </m:ctrlPr>
          </m:naryPr>
          <m:sub>
            <m:r>
              <w:rPr>
                <w:rFonts w:ascii="Cambria Math" w:hAnsi="Cambria Math" w:cs="Cambria Math"/>
                <w:lang w:bidi="en-US"/>
              </w:rPr>
              <m:t>i=1</m:t>
            </m:r>
          </m:sub>
          <m:sup>
            <m:r>
              <w:rPr>
                <w:rFonts w:ascii="Cambria Math" w:hAnsi="Cambria Math" w:cs="Cambria Math"/>
                <w:lang w:bidi="en-US"/>
              </w:rPr>
              <m:t>15</m:t>
            </m:r>
          </m:sup>
          <m:e>
            <m:sSub>
              <m:sSubPr>
                <m:ctrlPr>
                  <w:rPr>
                    <w:rFonts w:ascii="Cambria Math" w:hAnsi="Cambria Math" w:cs="Cambria Math"/>
                    <w:i/>
                    <w:lang w:bidi="en-US"/>
                  </w:rPr>
                </m:ctrlPr>
              </m:sSubPr>
              <m:e>
                <m:r>
                  <w:rPr>
                    <w:rFonts w:ascii="Cambria Math" w:hAnsi="Cambria Math" w:cs="Cambria Math"/>
                    <w:lang w:bidi="en-US"/>
                  </w:rPr>
                  <m:t>a</m:t>
                </m:r>
              </m:e>
              <m:sub>
                <m:r>
                  <w:rPr>
                    <w:rFonts w:ascii="Cambria Math" w:hAnsi="Cambria Math" w:cs="Cambria Math"/>
                    <w:lang w:bidi="en-US"/>
                  </w:rPr>
                  <m:t>i,j</m:t>
                </m:r>
              </m:sub>
            </m:sSub>
          </m:e>
        </m:nary>
      </m:oMath>
      <w:r w:rsidR="00431F00">
        <w:rPr>
          <w:rFonts w:ascii="Times New Roman" w:eastAsiaTheme="minorEastAsia" w:hAnsi="Times New Roman" w:cs="Times New Roman"/>
          <w:lang w:bidi="en-US"/>
        </w:rPr>
        <w:t xml:space="preserve"> </w:t>
      </w:r>
      <w:r>
        <w:rPr>
          <w:rFonts w:ascii="Times New Roman" w:eastAsiaTheme="minorEastAsia" w:hAnsi="Times New Roman" w:cs="Times New Roman"/>
          <w:lang w:bidi="en-US"/>
        </w:rPr>
        <w:t xml:space="preserve"> </w:t>
      </w:r>
      <w:r>
        <w:rPr>
          <w:rFonts w:ascii="Times New Roman" w:eastAsiaTheme="minorEastAsia" w:hAnsi="Times New Roman" w:cs="Times New Roman"/>
          <w:lang w:bidi="en-US"/>
        </w:rPr>
        <w:tab/>
      </w:r>
      <w:r>
        <w:rPr>
          <w:rFonts w:ascii="Times New Roman" w:eastAsiaTheme="minorEastAsia" w:hAnsi="Times New Roman" w:cs="Times New Roman"/>
          <w:lang w:bidi="en-US"/>
        </w:rPr>
        <w:tab/>
      </w:r>
      <w:r>
        <w:rPr>
          <w:rFonts w:ascii="Times New Roman" w:eastAsiaTheme="minorEastAsia" w:hAnsi="Times New Roman" w:cs="Times New Roman"/>
          <w:lang w:bidi="en-US"/>
        </w:rPr>
        <w:tab/>
      </w:r>
      <w:r>
        <w:rPr>
          <w:rFonts w:ascii="Times New Roman" w:eastAsiaTheme="minorEastAsia" w:hAnsi="Times New Roman" w:cs="Times New Roman"/>
          <w:lang w:bidi="en-US"/>
        </w:rPr>
        <w:tab/>
      </w:r>
      <w:r>
        <w:rPr>
          <w:rFonts w:ascii="Times New Roman" w:eastAsiaTheme="minorEastAsia" w:hAnsi="Times New Roman" w:cs="Times New Roman"/>
          <w:lang w:bidi="en-US"/>
        </w:rPr>
        <w:tab/>
      </w:r>
      <w:r>
        <w:rPr>
          <w:rFonts w:ascii="Times New Roman" w:eastAsiaTheme="minorEastAsia" w:hAnsi="Times New Roman" w:cs="Times New Roman"/>
          <w:lang w:bidi="en-US"/>
        </w:rPr>
        <w:tab/>
      </w:r>
      <w:r>
        <w:rPr>
          <w:rFonts w:ascii="Times New Roman" w:eastAsiaTheme="minorEastAsia" w:hAnsi="Times New Roman" w:cs="Times New Roman"/>
          <w:lang w:bidi="en-US"/>
        </w:rPr>
        <w:tab/>
        <w:t xml:space="preserve">        </w:t>
      </w:r>
      <w:r w:rsidR="00431F00">
        <w:rPr>
          <w:rFonts w:ascii="Times New Roman" w:eastAsiaTheme="minorEastAsia" w:hAnsi="Times New Roman" w:cs="Times New Roman"/>
          <w:lang w:bidi="en-US"/>
        </w:rPr>
        <w:t>(1)</w:t>
      </w:r>
      <w:r w:rsidR="00E33076">
        <w:rPr>
          <w:rFonts w:ascii="Times New Roman" w:eastAsiaTheme="minorEastAsia" w:hAnsi="Times New Roman" w:cs="Times New Roman"/>
          <w:lang w:bidi="en-US"/>
        </w:rPr>
        <w:t xml:space="preserve">    </w:t>
      </w:r>
    </w:p>
    <w:p w14:paraId="38594092" w14:textId="188006E6" w:rsidR="007732A1" w:rsidRDefault="007732A1" w:rsidP="007732A1">
      <w:pPr>
        <w:pStyle w:val="Heading2"/>
        <w:rPr>
          <w:lang w:bidi="en-US"/>
        </w:rPr>
      </w:pPr>
      <w:r>
        <w:rPr>
          <w:lang w:bidi="en-US"/>
        </w:rPr>
        <w:t xml:space="preserve">Step 2: Determining </w:t>
      </w:r>
      <w:r>
        <w:rPr>
          <w:rFonts w:cs="Times New Roman"/>
          <w:lang w:bidi="en-US"/>
        </w:rPr>
        <w:t xml:space="preserve">Gamma Realization </w:t>
      </w:r>
    </w:p>
    <w:p w14:paraId="3D25128A" w14:textId="755E2909" w:rsidR="00E47E43" w:rsidRDefault="00E47E43" w:rsidP="007732A1">
      <w:pPr>
        <w:spacing w:line="480" w:lineRule="auto"/>
        <w:ind w:left="360" w:firstLine="360"/>
        <w:rPr>
          <w:rFonts w:ascii="Times New Roman" w:hAnsi="Times New Roman" w:cs="Times New Roman"/>
          <w:lang w:bidi="en-US"/>
        </w:rPr>
      </w:pPr>
      <w:r>
        <w:rPr>
          <w:rFonts w:ascii="Times New Roman" w:hAnsi="Times New Roman" w:cs="Times New Roman"/>
          <w:lang w:bidi="en-US"/>
        </w:rPr>
        <w:t>Mean and Standard deviation for each</w:t>
      </w:r>
      <w:r w:rsidR="00CB5F46">
        <w:rPr>
          <w:rFonts w:ascii="Times New Roman" w:hAnsi="Times New Roman" w:cs="Times New Roman"/>
          <w:lang w:bidi="en-US"/>
        </w:rPr>
        <w:t xml:space="preserve"> coefficient within the</w:t>
      </w:r>
      <w:r>
        <w:rPr>
          <w:rFonts w:ascii="Times New Roman" w:hAnsi="Times New Roman" w:cs="Times New Roman"/>
          <w:lang w:bidi="en-US"/>
        </w:rPr>
        <w:t xml:space="preserve"> ‘U’ and ‘V’ matrix is calculated</w:t>
      </w:r>
      <w:r w:rsidR="00CB5F46">
        <w:rPr>
          <w:rFonts w:ascii="Times New Roman" w:hAnsi="Times New Roman" w:cs="Times New Roman"/>
          <w:lang w:bidi="en-US"/>
        </w:rPr>
        <w:t xml:space="preserve"> based on all 14 years</w:t>
      </w:r>
      <w:r>
        <w:rPr>
          <w:rFonts w:ascii="Times New Roman" w:hAnsi="Times New Roman" w:cs="Times New Roman"/>
          <w:lang w:bidi="en-US"/>
        </w:rPr>
        <w:t xml:space="preserve">. </w:t>
      </w:r>
      <w:r w:rsidR="00CB5F46">
        <w:rPr>
          <w:rFonts w:ascii="Times New Roman" w:hAnsi="Times New Roman" w:cs="Times New Roman"/>
          <w:lang w:bidi="en-US"/>
        </w:rPr>
        <w:t xml:space="preserve">These parameters would be utilized in determining the </w:t>
      </w:r>
      <w:r w:rsidR="00CB5F46" w:rsidRPr="00CB5F46">
        <w:rPr>
          <w:rFonts w:ascii="Times New Roman" w:hAnsi="Times New Roman" w:cs="Times New Roman"/>
          <w:i/>
          <w:lang w:bidi="en-US"/>
        </w:rPr>
        <w:t>α</w:t>
      </w:r>
      <w:r w:rsidR="00CB5F46">
        <w:rPr>
          <w:rFonts w:ascii="Times New Roman" w:hAnsi="Times New Roman" w:cs="Times New Roman"/>
          <w:lang w:bidi="en-US"/>
        </w:rPr>
        <w:t xml:space="preserve"> parameter for Gamma random variable generation. The </w:t>
      </w:r>
      <w:r w:rsidR="00CB5F46" w:rsidRPr="00CB5F46">
        <w:rPr>
          <w:rFonts w:ascii="Times New Roman" w:hAnsi="Times New Roman" w:cs="Times New Roman"/>
          <w:i/>
          <w:lang w:bidi="en-US"/>
        </w:rPr>
        <w:t>α</w:t>
      </w:r>
      <w:r w:rsidR="00CB5F46">
        <w:rPr>
          <w:rFonts w:ascii="Times New Roman" w:hAnsi="Times New Roman" w:cs="Times New Roman"/>
          <w:i/>
          <w:lang w:bidi="en-US"/>
        </w:rPr>
        <w:t xml:space="preserve"> </w:t>
      </w:r>
      <w:r w:rsidR="00CB5F46">
        <w:rPr>
          <w:rFonts w:ascii="Times New Roman" w:hAnsi="Times New Roman" w:cs="Times New Roman"/>
          <w:lang w:bidi="en-US"/>
        </w:rPr>
        <w:t>and adj-</w:t>
      </w:r>
      <w:r w:rsidR="00CB5F46" w:rsidRPr="00CB5F46">
        <w:rPr>
          <w:rFonts w:ascii="Times New Roman" w:hAnsi="Times New Roman" w:cs="Times New Roman"/>
          <w:i/>
          <w:lang w:bidi="en-US"/>
        </w:rPr>
        <w:t>α</w:t>
      </w:r>
      <w:r w:rsidR="00CB5F46">
        <w:rPr>
          <w:rFonts w:ascii="Times New Roman" w:hAnsi="Times New Roman" w:cs="Times New Roman"/>
          <w:i/>
          <w:lang w:bidi="en-US"/>
        </w:rPr>
        <w:t xml:space="preserve"> </w:t>
      </w:r>
      <w:r w:rsidR="00CB5F46">
        <w:rPr>
          <w:rFonts w:ascii="Times New Roman" w:hAnsi="Times New Roman" w:cs="Times New Roman"/>
          <w:lang w:bidi="en-US"/>
        </w:rPr>
        <w:t>is calculated using the following equations:</w:t>
      </w:r>
    </w:p>
    <w:p w14:paraId="77A637CA" w14:textId="663A6E22" w:rsidR="00CB5F46" w:rsidRPr="00CB5F46" w:rsidRDefault="00BE3998" w:rsidP="00CB5F46">
      <w:pPr>
        <w:spacing w:line="480" w:lineRule="auto"/>
        <w:ind w:left="360" w:firstLine="360"/>
        <w:rPr>
          <w:rFonts w:ascii="Times New Roman" w:hAnsi="Times New Roman" w:cs="Times New Roman"/>
          <w:lang w:bidi="en-US"/>
        </w:rPr>
      </w:pPr>
      <m:oMath>
        <m:sSub>
          <m:sSubPr>
            <m:ctrlPr>
              <w:rPr>
                <w:rFonts w:ascii="Cambria Math" w:hAnsi="Cambria Math" w:cs="Times New Roman"/>
                <w:i/>
                <w:lang w:bidi="en-US"/>
              </w:rPr>
            </m:ctrlPr>
          </m:sSubPr>
          <m:e>
            <m:r>
              <w:rPr>
                <w:rFonts w:ascii="Cambria Math" w:hAnsi="Cambria Math" w:cs="Times New Roman"/>
                <w:lang w:bidi="en-US"/>
              </w:rPr>
              <m:t>α</m:t>
            </m:r>
          </m:e>
          <m:sub>
            <m:r>
              <w:rPr>
                <w:rFonts w:ascii="Cambria Math" w:hAnsi="Cambria Math" w:cs="Times New Roman"/>
                <w:lang w:bidi="en-US"/>
              </w:rPr>
              <m:t>i,j</m:t>
            </m:r>
          </m:sub>
        </m:sSub>
        <m:r>
          <m:rPr>
            <m:sty m:val="p"/>
          </m:rPr>
          <w:rPr>
            <w:rFonts w:ascii="Cambria Math" w:hAnsi="Cambria Math" w:cs="Cambria Math"/>
            <w:lang w:bidi="en-US"/>
          </w:rPr>
          <m:t xml:space="preserve">= </m:t>
        </m:r>
        <m:sSub>
          <m:sSubPr>
            <m:ctrlPr>
              <w:rPr>
                <w:rFonts w:ascii="Cambria Math" w:hAnsi="Cambria Math" w:cs="Cambria Math"/>
                <w:lang w:bidi="en-US"/>
              </w:rPr>
            </m:ctrlPr>
          </m:sSubPr>
          <m:e>
            <m:r>
              <w:rPr>
                <w:rFonts w:ascii="Cambria Math" w:hAnsi="Cambria Math" w:cs="Cambria Math"/>
                <w:lang w:bidi="en-US"/>
              </w:rPr>
              <m:t>μ</m:t>
            </m:r>
          </m:e>
          <m:sub>
            <m:r>
              <w:rPr>
                <w:rFonts w:ascii="Cambria Math" w:hAnsi="Cambria Math" w:cs="Cambria Math"/>
                <w:lang w:bidi="en-US"/>
              </w:rPr>
              <m:t>i,j</m:t>
            </m:r>
          </m:sub>
        </m:sSub>
        <m:r>
          <w:rPr>
            <w:rFonts w:ascii="Cambria Math" w:hAnsi="Cambria Math" w:cs="Cambria Math"/>
            <w:lang w:bidi="en-US"/>
          </w:rPr>
          <m:t>*</m:t>
        </m:r>
        <m:f>
          <m:fPr>
            <m:ctrlPr>
              <w:rPr>
                <w:rFonts w:ascii="Cambria Math" w:hAnsi="Cambria Math" w:cs="Cambria Math"/>
                <w:i/>
                <w:lang w:bidi="en-US"/>
              </w:rPr>
            </m:ctrlPr>
          </m:fPr>
          <m:num>
            <m:sSub>
              <m:sSubPr>
                <m:ctrlPr>
                  <w:rPr>
                    <w:rFonts w:ascii="Cambria Math" w:hAnsi="Cambria Math" w:cs="Cambria Math"/>
                    <w:lang w:bidi="en-US"/>
                  </w:rPr>
                </m:ctrlPr>
              </m:sSubPr>
              <m:e>
                <m:r>
                  <w:rPr>
                    <w:rFonts w:ascii="Cambria Math" w:hAnsi="Cambria Math" w:cs="Cambria Math"/>
                    <w:lang w:bidi="en-US"/>
                  </w:rPr>
                  <m:t>μ</m:t>
                </m:r>
              </m:e>
              <m:sub>
                <m:r>
                  <w:rPr>
                    <w:rFonts w:ascii="Cambria Math" w:hAnsi="Cambria Math" w:cs="Cambria Math"/>
                    <w:lang w:bidi="en-US"/>
                  </w:rPr>
                  <m:t>i,j</m:t>
                </m:r>
              </m:sub>
            </m:sSub>
            <m:r>
              <w:rPr>
                <w:rFonts w:ascii="Cambria Math" w:hAnsi="Cambria Math" w:cs="Cambria Math"/>
                <w:lang w:bidi="en-US"/>
              </w:rPr>
              <m:t xml:space="preserve">-  </m:t>
            </m:r>
            <m:sSubSup>
              <m:sSubSupPr>
                <m:ctrlPr>
                  <w:rPr>
                    <w:rFonts w:ascii="Cambria Math" w:hAnsi="Cambria Math" w:cs="Cambria Math"/>
                    <w:i/>
                    <w:lang w:bidi="en-US"/>
                  </w:rPr>
                </m:ctrlPr>
              </m:sSubSupPr>
              <m:e>
                <m:r>
                  <m:rPr>
                    <m:sty m:val="p"/>
                  </m:rPr>
                  <w:rPr>
                    <w:rFonts w:ascii="Cambria Math" w:hAnsi="Cambria Math" w:cs="Cambria Math"/>
                    <w:lang w:bidi="en-US"/>
                  </w:rPr>
                  <m:t>μ</m:t>
                </m:r>
              </m:e>
              <m:sub>
                <m:r>
                  <w:rPr>
                    <w:rFonts w:ascii="Cambria Math" w:hAnsi="Cambria Math" w:cs="Cambria Math"/>
                    <w:lang w:bidi="en-US"/>
                  </w:rPr>
                  <m:t>i,j</m:t>
                </m:r>
              </m:sub>
              <m:sup>
                <m:r>
                  <w:rPr>
                    <w:rFonts w:ascii="Cambria Math" w:hAnsi="Cambria Math" w:cs="Cambria Math"/>
                    <w:lang w:bidi="en-US"/>
                  </w:rPr>
                  <m:t>2</m:t>
                </m:r>
              </m:sup>
            </m:sSubSup>
          </m:num>
          <m:den>
            <m:sSubSup>
              <m:sSubSupPr>
                <m:ctrlPr>
                  <w:rPr>
                    <w:rFonts w:ascii="Cambria Math" w:hAnsi="Cambria Math" w:cs="Cambria Math"/>
                    <w:i/>
                    <w:lang w:bidi="en-US"/>
                  </w:rPr>
                </m:ctrlPr>
              </m:sSubSupPr>
              <m:e>
                <m:r>
                  <w:rPr>
                    <w:rFonts w:ascii="Cambria Math" w:hAnsi="Cambria Math" w:cs="Cambria Math"/>
                    <w:lang w:bidi="en-US"/>
                  </w:rPr>
                  <m:t>σ</m:t>
                </m:r>
              </m:e>
              <m:sub>
                <m:r>
                  <w:rPr>
                    <w:rFonts w:ascii="Cambria Math" w:hAnsi="Cambria Math" w:cs="Cambria Math"/>
                    <w:lang w:bidi="en-US"/>
                  </w:rPr>
                  <m:t>i,j</m:t>
                </m:r>
              </m:sub>
              <m:sup>
                <m:r>
                  <w:rPr>
                    <w:rFonts w:ascii="Cambria Math" w:hAnsi="Cambria Math" w:cs="Cambria Math"/>
                    <w:lang w:bidi="en-US"/>
                  </w:rPr>
                  <m:t>2</m:t>
                </m:r>
              </m:sup>
            </m:sSubSup>
            <m:r>
              <w:rPr>
                <w:rFonts w:ascii="Cambria Math" w:hAnsi="Cambria Math" w:cs="Cambria Math"/>
                <w:lang w:bidi="en-US"/>
              </w:rPr>
              <m:t>-1</m:t>
            </m:r>
          </m:den>
        </m:f>
      </m:oMath>
      <w:r w:rsidR="00CB5F46" w:rsidRPr="00A114EE">
        <w:rPr>
          <w:rFonts w:ascii="Times New Roman" w:hAnsi="Times New Roman" w:cs="Times New Roman"/>
          <w:szCs w:val="24"/>
        </w:rPr>
        <w:tab/>
      </w:r>
      <w:r w:rsidR="00CB5F46" w:rsidRPr="00A114EE">
        <w:rPr>
          <w:rFonts w:ascii="Times New Roman" w:hAnsi="Times New Roman" w:cs="Times New Roman"/>
          <w:szCs w:val="24"/>
        </w:rPr>
        <w:tab/>
      </w:r>
      <w:r w:rsidR="00CB5F46" w:rsidRPr="00A114EE">
        <w:rPr>
          <w:rFonts w:ascii="Times New Roman" w:hAnsi="Times New Roman" w:cs="Times New Roman"/>
          <w:szCs w:val="24"/>
        </w:rPr>
        <w:tab/>
      </w:r>
      <w:r w:rsidR="00CB5F46" w:rsidRPr="00A114EE">
        <w:rPr>
          <w:rFonts w:ascii="Times New Roman" w:hAnsi="Times New Roman" w:cs="Times New Roman"/>
          <w:szCs w:val="24"/>
        </w:rPr>
        <w:tab/>
      </w:r>
      <w:r w:rsidR="00CB5F46" w:rsidRPr="00A114EE">
        <w:rPr>
          <w:rFonts w:ascii="Times New Roman" w:hAnsi="Times New Roman" w:cs="Times New Roman"/>
          <w:szCs w:val="24"/>
        </w:rPr>
        <w:tab/>
        <w:t xml:space="preserve">               </w:t>
      </w:r>
      <w:r w:rsidR="00CB5F46" w:rsidRPr="00A114EE">
        <w:rPr>
          <w:rFonts w:ascii="Times New Roman" w:hAnsi="Times New Roman" w:cs="Times New Roman"/>
          <w:szCs w:val="24"/>
        </w:rPr>
        <w:tab/>
        <w:t xml:space="preserve">    </w:t>
      </w:r>
      <w:r w:rsidR="00CB5F46">
        <w:rPr>
          <w:rFonts w:ascii="Times New Roman" w:hAnsi="Times New Roman" w:cs="Times New Roman"/>
          <w:szCs w:val="24"/>
        </w:rPr>
        <w:tab/>
      </w:r>
      <w:r w:rsidR="00CB5F46">
        <w:rPr>
          <w:rFonts w:ascii="Times New Roman" w:hAnsi="Times New Roman" w:cs="Times New Roman"/>
          <w:szCs w:val="24"/>
        </w:rPr>
        <w:tab/>
        <w:t xml:space="preserve">    </w:t>
      </w:r>
      <w:r w:rsidR="00CB5F46" w:rsidRPr="00A114EE">
        <w:rPr>
          <w:rFonts w:ascii="Times New Roman" w:hAnsi="Times New Roman" w:cs="Times New Roman"/>
          <w:szCs w:val="24"/>
        </w:rPr>
        <w:t xml:space="preserve">   (</w:t>
      </w:r>
      <w:r w:rsidR="00431F00">
        <w:rPr>
          <w:rFonts w:ascii="Times New Roman" w:hAnsi="Times New Roman" w:cs="Times New Roman"/>
          <w:szCs w:val="24"/>
        </w:rPr>
        <w:t>2</w:t>
      </w:r>
      <w:r w:rsidR="00CB5F46" w:rsidRPr="00A114EE">
        <w:rPr>
          <w:rFonts w:ascii="Times New Roman" w:hAnsi="Times New Roman" w:cs="Times New Roman"/>
          <w:szCs w:val="24"/>
        </w:rPr>
        <w:t>)</w:t>
      </w:r>
    </w:p>
    <w:p w14:paraId="000B4B7F" w14:textId="15225FE3" w:rsidR="00514E71" w:rsidRDefault="00BE3998" w:rsidP="009D614F">
      <w:pPr>
        <w:spacing w:after="0" w:line="480" w:lineRule="auto"/>
        <w:ind w:firstLine="720"/>
        <w:jc w:val="both"/>
        <w:rPr>
          <w:rFonts w:ascii="Times New Roman" w:hAnsi="Times New Roman" w:cs="Times New Roman"/>
          <w:szCs w:val="24"/>
        </w:rPr>
      </w:pPr>
      <m:oMath>
        <m:sSub>
          <m:sSubPr>
            <m:ctrlPr>
              <w:rPr>
                <w:rFonts w:ascii="Cambria Math" w:hAnsi="Cambria Math" w:cs="Times New Roman"/>
                <w:i/>
                <w:lang w:bidi="en-US"/>
              </w:rPr>
            </m:ctrlPr>
          </m:sSubPr>
          <m:e>
            <m:r>
              <w:rPr>
                <w:rFonts w:ascii="Cambria Math" w:hAnsi="Cambria Math" w:cs="Times New Roman"/>
                <w:lang w:bidi="en-US"/>
              </w:rPr>
              <m:t>β</m:t>
            </m:r>
          </m:e>
          <m:sub>
            <m:r>
              <w:rPr>
                <w:rFonts w:ascii="Cambria Math" w:hAnsi="Cambria Math" w:cs="Times New Roman"/>
                <w:lang w:bidi="en-US"/>
              </w:rPr>
              <m:t>i,j</m:t>
            </m:r>
          </m:sub>
        </m:sSub>
        <m:r>
          <m:rPr>
            <m:sty m:val="p"/>
          </m:rPr>
          <w:rPr>
            <w:rFonts w:ascii="Cambria Math" w:hAnsi="Cambria Math" w:cs="Cambria Math"/>
            <w:lang w:bidi="en-US"/>
          </w:rPr>
          <m:t xml:space="preserve">= </m:t>
        </m:r>
        <m:sSub>
          <m:sSubPr>
            <m:ctrlPr>
              <w:rPr>
                <w:rFonts w:ascii="Cambria Math" w:hAnsi="Cambria Math" w:cs="Cambria Math"/>
                <w:lang w:bidi="en-US"/>
              </w:rPr>
            </m:ctrlPr>
          </m:sSubPr>
          <m:e>
            <m:r>
              <w:rPr>
                <w:rFonts w:ascii="Cambria Math" w:hAnsi="Cambria Math" w:cs="Cambria Math"/>
                <w:lang w:bidi="en-US"/>
              </w:rPr>
              <m:t>1-μ</m:t>
            </m:r>
          </m:e>
          <m:sub>
            <m:r>
              <w:rPr>
                <w:rFonts w:ascii="Cambria Math" w:hAnsi="Cambria Math" w:cs="Cambria Math"/>
                <w:lang w:bidi="en-US"/>
              </w:rPr>
              <m:t>i,j</m:t>
            </m:r>
          </m:sub>
        </m:sSub>
        <m:r>
          <w:rPr>
            <w:rFonts w:ascii="Cambria Math" w:hAnsi="Cambria Math" w:cs="Cambria Math"/>
            <w:lang w:bidi="en-US"/>
          </w:rPr>
          <m:t>*</m:t>
        </m:r>
        <m:f>
          <m:fPr>
            <m:ctrlPr>
              <w:rPr>
                <w:rFonts w:ascii="Cambria Math" w:hAnsi="Cambria Math" w:cs="Cambria Math"/>
                <w:i/>
                <w:lang w:bidi="en-US"/>
              </w:rPr>
            </m:ctrlPr>
          </m:fPr>
          <m:num>
            <m:sSub>
              <m:sSubPr>
                <m:ctrlPr>
                  <w:rPr>
                    <w:rFonts w:ascii="Cambria Math" w:hAnsi="Cambria Math" w:cs="Cambria Math"/>
                    <w:lang w:bidi="en-US"/>
                  </w:rPr>
                </m:ctrlPr>
              </m:sSubPr>
              <m:e>
                <m:r>
                  <w:rPr>
                    <w:rFonts w:ascii="Cambria Math" w:hAnsi="Cambria Math" w:cs="Cambria Math"/>
                    <w:lang w:bidi="en-US"/>
                  </w:rPr>
                  <m:t>μ</m:t>
                </m:r>
              </m:e>
              <m:sub>
                <m:r>
                  <w:rPr>
                    <w:rFonts w:ascii="Cambria Math" w:hAnsi="Cambria Math" w:cs="Cambria Math"/>
                    <w:lang w:bidi="en-US"/>
                  </w:rPr>
                  <m:t>i,j</m:t>
                </m:r>
              </m:sub>
            </m:sSub>
            <m:r>
              <w:rPr>
                <w:rFonts w:ascii="Cambria Math" w:hAnsi="Cambria Math" w:cs="Cambria Math"/>
                <w:lang w:bidi="en-US"/>
              </w:rPr>
              <m:t xml:space="preserve">-  </m:t>
            </m:r>
            <m:sSubSup>
              <m:sSubSupPr>
                <m:ctrlPr>
                  <w:rPr>
                    <w:rFonts w:ascii="Cambria Math" w:hAnsi="Cambria Math" w:cs="Cambria Math"/>
                    <w:i/>
                    <w:lang w:bidi="en-US"/>
                  </w:rPr>
                </m:ctrlPr>
              </m:sSubSupPr>
              <m:e>
                <m:r>
                  <m:rPr>
                    <m:sty m:val="p"/>
                  </m:rPr>
                  <w:rPr>
                    <w:rFonts w:ascii="Cambria Math" w:hAnsi="Cambria Math" w:cs="Cambria Math"/>
                    <w:lang w:bidi="en-US"/>
                  </w:rPr>
                  <m:t>μ</m:t>
                </m:r>
              </m:e>
              <m:sub>
                <m:r>
                  <w:rPr>
                    <w:rFonts w:ascii="Cambria Math" w:hAnsi="Cambria Math" w:cs="Cambria Math"/>
                    <w:lang w:bidi="en-US"/>
                  </w:rPr>
                  <m:t>i,j</m:t>
                </m:r>
              </m:sub>
              <m:sup>
                <m:r>
                  <w:rPr>
                    <w:rFonts w:ascii="Cambria Math" w:hAnsi="Cambria Math" w:cs="Cambria Math"/>
                    <w:lang w:bidi="en-US"/>
                  </w:rPr>
                  <m:t>2</m:t>
                </m:r>
              </m:sup>
            </m:sSubSup>
          </m:num>
          <m:den>
            <m:sSubSup>
              <m:sSubSupPr>
                <m:ctrlPr>
                  <w:rPr>
                    <w:rFonts w:ascii="Cambria Math" w:hAnsi="Cambria Math" w:cs="Cambria Math"/>
                    <w:i/>
                    <w:lang w:bidi="en-US"/>
                  </w:rPr>
                </m:ctrlPr>
              </m:sSubSupPr>
              <m:e>
                <m:r>
                  <w:rPr>
                    <w:rFonts w:ascii="Cambria Math" w:hAnsi="Cambria Math" w:cs="Cambria Math"/>
                    <w:lang w:bidi="en-US"/>
                  </w:rPr>
                  <m:t>σ</m:t>
                </m:r>
              </m:e>
              <m:sub>
                <m:r>
                  <w:rPr>
                    <w:rFonts w:ascii="Cambria Math" w:hAnsi="Cambria Math" w:cs="Cambria Math"/>
                    <w:lang w:bidi="en-US"/>
                  </w:rPr>
                  <m:t>i,j</m:t>
                </m:r>
              </m:sub>
              <m:sup>
                <m:r>
                  <w:rPr>
                    <w:rFonts w:ascii="Cambria Math" w:hAnsi="Cambria Math" w:cs="Cambria Math"/>
                    <w:lang w:bidi="en-US"/>
                  </w:rPr>
                  <m:t>2</m:t>
                </m:r>
              </m:sup>
            </m:sSubSup>
            <m:r>
              <w:rPr>
                <w:rFonts w:ascii="Cambria Math" w:hAnsi="Cambria Math" w:cs="Cambria Math"/>
                <w:lang w:bidi="en-US"/>
              </w:rPr>
              <m:t>-1</m:t>
            </m:r>
          </m:den>
        </m:f>
      </m:oMath>
      <w:r w:rsidR="00431F00" w:rsidRPr="00A114EE">
        <w:rPr>
          <w:rFonts w:ascii="Times New Roman" w:hAnsi="Times New Roman" w:cs="Times New Roman"/>
          <w:szCs w:val="24"/>
        </w:rPr>
        <w:tab/>
      </w:r>
      <w:r w:rsidR="00431F00" w:rsidRPr="00A114EE">
        <w:rPr>
          <w:rFonts w:ascii="Times New Roman" w:hAnsi="Times New Roman" w:cs="Times New Roman"/>
          <w:szCs w:val="24"/>
        </w:rPr>
        <w:tab/>
      </w:r>
      <w:r w:rsidR="00431F00" w:rsidRPr="00A114EE">
        <w:rPr>
          <w:rFonts w:ascii="Times New Roman" w:hAnsi="Times New Roman" w:cs="Times New Roman"/>
          <w:szCs w:val="24"/>
        </w:rPr>
        <w:tab/>
      </w:r>
      <w:r w:rsidR="00431F00" w:rsidRPr="00A114EE">
        <w:rPr>
          <w:rFonts w:ascii="Times New Roman" w:hAnsi="Times New Roman" w:cs="Times New Roman"/>
          <w:szCs w:val="24"/>
        </w:rPr>
        <w:tab/>
        <w:t xml:space="preserve">               </w:t>
      </w:r>
      <w:r w:rsidR="00431F00" w:rsidRPr="00A114EE">
        <w:rPr>
          <w:rFonts w:ascii="Times New Roman" w:hAnsi="Times New Roman" w:cs="Times New Roman"/>
          <w:szCs w:val="24"/>
        </w:rPr>
        <w:tab/>
        <w:t xml:space="preserve">    </w:t>
      </w:r>
      <w:r w:rsidR="00431F00">
        <w:rPr>
          <w:rFonts w:ascii="Times New Roman" w:hAnsi="Times New Roman" w:cs="Times New Roman"/>
          <w:szCs w:val="24"/>
        </w:rPr>
        <w:tab/>
      </w:r>
      <w:r w:rsidR="00431F00">
        <w:rPr>
          <w:rFonts w:ascii="Times New Roman" w:hAnsi="Times New Roman" w:cs="Times New Roman"/>
          <w:szCs w:val="24"/>
        </w:rPr>
        <w:tab/>
        <w:t xml:space="preserve">    </w:t>
      </w:r>
      <w:r w:rsidR="00431F00" w:rsidRPr="00A114EE">
        <w:rPr>
          <w:rFonts w:ascii="Times New Roman" w:hAnsi="Times New Roman" w:cs="Times New Roman"/>
          <w:szCs w:val="24"/>
        </w:rPr>
        <w:t xml:space="preserve">   (</w:t>
      </w:r>
      <w:r w:rsidR="00431F00">
        <w:rPr>
          <w:rFonts w:ascii="Times New Roman" w:hAnsi="Times New Roman" w:cs="Times New Roman"/>
          <w:szCs w:val="24"/>
        </w:rPr>
        <w:t>3</w:t>
      </w:r>
      <w:r w:rsidR="00431F00" w:rsidRPr="00A114EE">
        <w:rPr>
          <w:rFonts w:ascii="Times New Roman" w:hAnsi="Times New Roman" w:cs="Times New Roman"/>
          <w:szCs w:val="24"/>
        </w:rPr>
        <w:t>)</w:t>
      </w:r>
    </w:p>
    <w:p w14:paraId="25D9F1AA" w14:textId="77777777" w:rsidR="00910B47" w:rsidRDefault="00910B47" w:rsidP="009D614F">
      <w:pPr>
        <w:spacing w:after="0" w:line="480" w:lineRule="auto"/>
        <w:ind w:firstLine="720"/>
        <w:jc w:val="both"/>
        <w:rPr>
          <w:rFonts w:ascii="Times New Roman" w:hAnsi="Times New Roman" w:cs="Times New Roman"/>
          <w:szCs w:val="24"/>
        </w:rPr>
      </w:pPr>
    </w:p>
    <w:p w14:paraId="7F957D8C" w14:textId="75B0AAA1" w:rsidR="00431F00" w:rsidRDefault="00BE3998" w:rsidP="009D614F">
      <w:pPr>
        <w:spacing w:after="0" w:line="480" w:lineRule="auto"/>
        <w:ind w:firstLine="720"/>
        <w:jc w:val="both"/>
        <w:rPr>
          <w:rFonts w:ascii="Times New Roman" w:hAnsi="Times New Roman" w:cs="Times New Roman"/>
          <w:lang w:bidi="en-US"/>
        </w:rPr>
      </w:pPr>
      <m:oMath>
        <m:sSub>
          <m:sSubPr>
            <m:ctrlPr>
              <w:rPr>
                <w:rFonts w:ascii="Cambria Math" w:hAnsi="Cambria Math" w:cs="Times New Roman"/>
                <w:i/>
                <w:lang w:bidi="en-US"/>
              </w:rPr>
            </m:ctrlPr>
          </m:sSubPr>
          <m:e>
            <m:r>
              <m:rPr>
                <m:sty m:val="p"/>
              </m:rPr>
              <w:rPr>
                <w:rFonts w:ascii="Cambria Math" w:hAnsi="Cambria Math" w:cs="Times New Roman"/>
                <w:lang w:bidi="en-US"/>
              </w:rPr>
              <m:t>adj</m:t>
            </m:r>
            <m:r>
              <w:rPr>
                <w:rFonts w:ascii="Cambria Math" w:hAnsi="Cambria Math" w:cs="Times New Roman"/>
                <w:lang w:bidi="en-US"/>
              </w:rPr>
              <m:t>α</m:t>
            </m:r>
          </m:e>
          <m:sub>
            <m:r>
              <w:rPr>
                <w:rFonts w:ascii="Cambria Math" w:hAnsi="Cambria Math" w:cs="Times New Roman"/>
                <w:lang w:bidi="en-US"/>
              </w:rPr>
              <m:t>i,j</m:t>
            </m:r>
          </m:sub>
        </m:sSub>
        <m:r>
          <m:rPr>
            <m:sty m:val="p"/>
          </m:rPr>
          <w:rPr>
            <w:rFonts w:ascii="Cambria Math" w:hAnsi="Cambria Math" w:cs="Cambria Math"/>
            <w:lang w:bidi="en-US"/>
          </w:rPr>
          <m:t xml:space="preserve">= </m:t>
        </m:r>
        <m:sSub>
          <m:sSubPr>
            <m:ctrlPr>
              <w:rPr>
                <w:rFonts w:ascii="Cambria Math" w:hAnsi="Cambria Math" w:cs="Cambria Math"/>
                <w:lang w:bidi="en-US"/>
              </w:rPr>
            </m:ctrlPr>
          </m:sSubPr>
          <m:e>
            <m:r>
              <w:rPr>
                <w:rFonts w:ascii="Cambria Math" w:hAnsi="Cambria Math" w:cs="Cambria Math"/>
                <w:lang w:bidi="en-US"/>
              </w:rPr>
              <m:t>μ</m:t>
            </m:r>
          </m:e>
          <m:sub>
            <m:r>
              <w:rPr>
                <w:rFonts w:ascii="Cambria Math" w:hAnsi="Cambria Math" w:cs="Cambria Math"/>
                <w:lang w:bidi="en-US"/>
              </w:rPr>
              <m:t>i,j</m:t>
            </m:r>
          </m:sub>
        </m:sSub>
        <m:r>
          <w:rPr>
            <w:rFonts w:ascii="Cambria Math" w:hAnsi="Cambria Math" w:cs="Cambria Math"/>
            <w:lang w:bidi="en-US"/>
          </w:rPr>
          <m:t>*</m:t>
        </m:r>
        <m:nary>
          <m:naryPr>
            <m:chr m:val="∑"/>
            <m:limLoc m:val="undOvr"/>
            <m:ctrlPr>
              <w:rPr>
                <w:rFonts w:ascii="Cambria Math" w:hAnsi="Cambria Math" w:cs="Cambria Math"/>
                <w:i/>
                <w:lang w:bidi="en-US"/>
              </w:rPr>
            </m:ctrlPr>
          </m:naryPr>
          <m:sub>
            <m:r>
              <w:rPr>
                <w:rFonts w:ascii="Cambria Math" w:hAnsi="Cambria Math" w:cs="Cambria Math"/>
                <w:lang w:bidi="en-US"/>
              </w:rPr>
              <m:t>j=1</m:t>
            </m:r>
          </m:sub>
          <m:sup>
            <m:r>
              <w:rPr>
                <w:rFonts w:ascii="Cambria Math" w:hAnsi="Cambria Math" w:cs="Cambria Math"/>
                <w:lang w:bidi="en-US"/>
              </w:rPr>
              <m:t>15</m:t>
            </m:r>
          </m:sup>
          <m:e>
            <m:sSub>
              <m:sSubPr>
                <m:ctrlPr>
                  <w:rPr>
                    <w:rFonts w:ascii="Cambria Math" w:hAnsi="Cambria Math" w:cs="Cambria Math"/>
                    <w:lang w:bidi="en-US"/>
                  </w:rPr>
                </m:ctrlPr>
              </m:sSubPr>
              <m:e>
                <m:r>
                  <w:rPr>
                    <w:rFonts w:ascii="Cambria Math" w:hAnsi="Cambria Math" w:cs="Cambria Math"/>
                    <w:lang w:bidi="en-US"/>
                  </w:rPr>
                  <m:t>(α</m:t>
                </m:r>
              </m:e>
              <m:sub>
                <m:r>
                  <w:rPr>
                    <w:rFonts w:ascii="Cambria Math" w:hAnsi="Cambria Math" w:cs="Cambria Math"/>
                    <w:lang w:bidi="en-US"/>
                  </w:rPr>
                  <m:t>i,j</m:t>
                </m:r>
              </m:sub>
            </m:sSub>
            <m:r>
              <w:rPr>
                <w:rFonts w:ascii="Cambria Math" w:hAnsi="Cambria Math" w:cs="Cambria Math"/>
                <w:lang w:bidi="en-US"/>
              </w:rPr>
              <m:t>+</m:t>
            </m:r>
            <m:sSub>
              <m:sSubPr>
                <m:ctrlPr>
                  <w:rPr>
                    <w:rFonts w:ascii="Cambria Math" w:hAnsi="Cambria Math" w:cs="Times New Roman"/>
                    <w:i/>
                    <w:lang w:bidi="en-US"/>
                  </w:rPr>
                </m:ctrlPr>
              </m:sSubPr>
              <m:e>
                <m:r>
                  <w:rPr>
                    <w:rFonts w:ascii="Cambria Math" w:hAnsi="Cambria Math" w:cs="Times New Roman"/>
                    <w:lang w:bidi="en-US"/>
                  </w:rPr>
                  <m:t>β</m:t>
                </m:r>
              </m:e>
              <m:sub>
                <m:r>
                  <w:rPr>
                    <w:rFonts w:ascii="Cambria Math" w:hAnsi="Cambria Math" w:cs="Times New Roman"/>
                    <w:lang w:bidi="en-US"/>
                  </w:rPr>
                  <m:t>i,j</m:t>
                </m:r>
              </m:sub>
            </m:sSub>
            <m:r>
              <w:rPr>
                <w:rFonts w:ascii="Cambria Math" w:hAnsi="Cambria Math" w:cs="Cambria Math"/>
                <w:lang w:bidi="en-US"/>
              </w:rPr>
              <m:t>)</m:t>
            </m:r>
          </m:e>
        </m:nary>
        <m:r>
          <w:rPr>
            <w:rFonts w:ascii="Cambria Math" w:hAnsi="Cambria Math" w:cs="Cambria Math"/>
            <w:lang w:bidi="en-US"/>
          </w:rPr>
          <m:t xml:space="preserve">  </m:t>
        </m:r>
      </m:oMath>
      <w:r w:rsidR="001D2B9F" w:rsidRPr="00A114EE">
        <w:rPr>
          <w:rFonts w:ascii="Times New Roman" w:hAnsi="Times New Roman" w:cs="Times New Roman"/>
          <w:szCs w:val="24"/>
        </w:rPr>
        <w:tab/>
      </w:r>
      <w:r w:rsidR="001D2B9F" w:rsidRPr="00A114EE">
        <w:rPr>
          <w:rFonts w:ascii="Times New Roman" w:hAnsi="Times New Roman" w:cs="Times New Roman"/>
          <w:szCs w:val="24"/>
        </w:rPr>
        <w:tab/>
      </w:r>
      <w:r w:rsidR="001D2B9F">
        <w:rPr>
          <w:rFonts w:ascii="Times New Roman" w:hAnsi="Times New Roman" w:cs="Times New Roman"/>
          <w:szCs w:val="24"/>
        </w:rPr>
        <w:tab/>
      </w:r>
      <w:r w:rsidR="001D2B9F" w:rsidRPr="00A114EE">
        <w:rPr>
          <w:rFonts w:ascii="Times New Roman" w:hAnsi="Times New Roman" w:cs="Times New Roman"/>
          <w:szCs w:val="24"/>
        </w:rPr>
        <w:t xml:space="preserve">               </w:t>
      </w:r>
      <w:r w:rsidR="001D2B9F" w:rsidRPr="00A114EE">
        <w:rPr>
          <w:rFonts w:ascii="Times New Roman" w:hAnsi="Times New Roman" w:cs="Times New Roman"/>
          <w:szCs w:val="24"/>
        </w:rPr>
        <w:tab/>
        <w:t xml:space="preserve">    </w:t>
      </w:r>
      <w:r w:rsidR="001D2B9F">
        <w:rPr>
          <w:rFonts w:ascii="Times New Roman" w:hAnsi="Times New Roman" w:cs="Times New Roman"/>
          <w:szCs w:val="24"/>
        </w:rPr>
        <w:tab/>
      </w:r>
      <w:r w:rsidR="001D2B9F">
        <w:rPr>
          <w:rFonts w:ascii="Times New Roman" w:hAnsi="Times New Roman" w:cs="Times New Roman"/>
          <w:szCs w:val="24"/>
        </w:rPr>
        <w:tab/>
        <w:t xml:space="preserve">    </w:t>
      </w:r>
      <w:r w:rsidR="001D2B9F" w:rsidRPr="00A114EE">
        <w:rPr>
          <w:rFonts w:ascii="Times New Roman" w:hAnsi="Times New Roman" w:cs="Times New Roman"/>
          <w:szCs w:val="24"/>
        </w:rPr>
        <w:t xml:space="preserve">   (</w:t>
      </w:r>
      <w:r w:rsidR="001D2B9F">
        <w:rPr>
          <w:rFonts w:ascii="Times New Roman" w:hAnsi="Times New Roman" w:cs="Times New Roman"/>
          <w:szCs w:val="24"/>
        </w:rPr>
        <w:t>4</w:t>
      </w:r>
      <w:r w:rsidR="001D2B9F" w:rsidRPr="00A114EE">
        <w:rPr>
          <w:rFonts w:ascii="Times New Roman" w:hAnsi="Times New Roman" w:cs="Times New Roman"/>
          <w:szCs w:val="24"/>
        </w:rPr>
        <w:t>)</w:t>
      </w:r>
    </w:p>
    <w:p w14:paraId="5B389C88" w14:textId="77777777" w:rsidR="00910B47" w:rsidRDefault="00910B47" w:rsidP="009D614F">
      <w:pPr>
        <w:spacing w:after="0" w:line="480" w:lineRule="auto"/>
        <w:ind w:firstLine="720"/>
        <w:jc w:val="both"/>
        <w:rPr>
          <w:rFonts w:ascii="Times New Roman" w:hAnsi="Times New Roman" w:cs="Times New Roman"/>
          <w:lang w:bidi="en-US"/>
        </w:rPr>
      </w:pPr>
    </w:p>
    <w:p w14:paraId="5952CC99" w14:textId="77777777" w:rsidR="008C3E94" w:rsidRDefault="001D2B9F" w:rsidP="008C3E94">
      <w:pPr>
        <w:spacing w:after="0" w:line="480" w:lineRule="auto"/>
        <w:ind w:firstLine="720"/>
        <w:jc w:val="both"/>
        <w:rPr>
          <w:rFonts w:ascii="Times New Roman" w:eastAsiaTheme="minorEastAsia" w:hAnsi="Times New Roman" w:cs="Times New Roman"/>
          <w:lang w:bidi="en-US"/>
        </w:rPr>
      </w:pPr>
      <w:r>
        <w:rPr>
          <w:rFonts w:ascii="Times New Roman" w:hAnsi="Times New Roman" w:cs="Times New Roman"/>
          <w:lang w:bidi="en-US"/>
        </w:rPr>
        <w:t xml:space="preserve">Where </w:t>
      </w:r>
      <m:oMath>
        <m:sSub>
          <m:sSubPr>
            <m:ctrlPr>
              <w:rPr>
                <w:rFonts w:ascii="Cambria Math" w:hAnsi="Cambria Math" w:cs="Times New Roman"/>
                <w:i/>
                <w:lang w:bidi="en-US"/>
              </w:rPr>
            </m:ctrlPr>
          </m:sSubPr>
          <m:e>
            <m:r>
              <w:rPr>
                <w:rFonts w:ascii="Cambria Math" w:hAnsi="Cambria Math" w:cs="Times New Roman"/>
                <w:lang w:bidi="en-US"/>
              </w:rPr>
              <m:t>α</m:t>
            </m:r>
          </m:e>
          <m:sub>
            <m:r>
              <w:rPr>
                <w:rFonts w:ascii="Cambria Math" w:hAnsi="Cambria Math" w:cs="Times New Roman"/>
                <w:lang w:bidi="en-US"/>
              </w:rPr>
              <m:t>i,j</m:t>
            </m:r>
          </m:sub>
        </m:sSub>
      </m:oMath>
      <w:r>
        <w:rPr>
          <w:rFonts w:ascii="Times New Roman" w:eastAsiaTheme="minorEastAsia" w:hAnsi="Times New Roman" w:cs="Times New Roman"/>
          <w:lang w:bidi="en-US"/>
        </w:rPr>
        <w:t xml:space="preserve">,  </w:t>
      </w:r>
      <m:oMath>
        <m:sSub>
          <m:sSubPr>
            <m:ctrlPr>
              <w:rPr>
                <w:rFonts w:ascii="Cambria Math" w:hAnsi="Cambria Math" w:cs="Times New Roman"/>
                <w:i/>
                <w:lang w:bidi="en-US"/>
              </w:rPr>
            </m:ctrlPr>
          </m:sSubPr>
          <m:e>
            <m:r>
              <w:rPr>
                <w:rFonts w:ascii="Cambria Math" w:hAnsi="Cambria Math" w:cs="Times New Roman"/>
                <w:lang w:bidi="en-US"/>
              </w:rPr>
              <m:t>β</m:t>
            </m:r>
          </m:e>
          <m:sub>
            <m:r>
              <w:rPr>
                <w:rFonts w:ascii="Cambria Math" w:hAnsi="Cambria Math" w:cs="Times New Roman"/>
                <w:lang w:bidi="en-US"/>
              </w:rPr>
              <m:t>i,j</m:t>
            </m:r>
          </m:sub>
        </m:sSub>
      </m:oMath>
      <w:r>
        <w:rPr>
          <w:rFonts w:ascii="Times New Roman" w:eastAsiaTheme="minorEastAsia" w:hAnsi="Times New Roman" w:cs="Times New Roman"/>
          <w:lang w:bidi="en-US"/>
        </w:rPr>
        <w:t xml:space="preserve"> are the parameters for a Gamma or Beta distribution, and </w:t>
      </w:r>
      <m:oMath>
        <m:sSub>
          <m:sSubPr>
            <m:ctrlPr>
              <w:rPr>
                <w:rFonts w:ascii="Cambria Math" w:hAnsi="Cambria Math" w:cs="Times New Roman"/>
                <w:i/>
                <w:lang w:bidi="en-US"/>
              </w:rPr>
            </m:ctrlPr>
          </m:sSubPr>
          <m:e>
            <m:r>
              <m:rPr>
                <m:sty m:val="p"/>
              </m:rPr>
              <w:rPr>
                <w:rFonts w:ascii="Cambria Math" w:hAnsi="Cambria Math" w:cs="Times New Roman"/>
                <w:lang w:bidi="en-US"/>
              </w:rPr>
              <m:t>adj</m:t>
            </m:r>
            <m:r>
              <w:rPr>
                <w:rFonts w:ascii="Cambria Math" w:hAnsi="Cambria Math" w:cs="Times New Roman"/>
                <w:lang w:bidi="en-US"/>
              </w:rPr>
              <m:t>α</m:t>
            </m:r>
          </m:e>
          <m:sub>
            <m:r>
              <w:rPr>
                <w:rFonts w:ascii="Cambria Math" w:hAnsi="Cambria Math" w:cs="Times New Roman"/>
                <w:lang w:bidi="en-US"/>
              </w:rPr>
              <m:t>i,j</m:t>
            </m:r>
          </m:sub>
        </m:sSub>
      </m:oMath>
      <w:r>
        <w:rPr>
          <w:rFonts w:ascii="Times New Roman" w:eastAsiaTheme="minorEastAsia" w:hAnsi="Times New Roman" w:cs="Times New Roman"/>
          <w:lang w:bidi="en-US"/>
        </w:rPr>
        <w:t xml:space="preserve"> is the parameter for Gamma random variable generator, for each element </w:t>
      </w:r>
      <w:r>
        <w:rPr>
          <w:rFonts w:ascii="Times New Roman" w:eastAsiaTheme="minorEastAsia" w:hAnsi="Times New Roman" w:cs="Times New Roman"/>
          <w:i/>
          <w:lang w:bidi="en-US"/>
        </w:rPr>
        <w:t xml:space="preserve">i </w:t>
      </w:r>
      <w:r>
        <w:rPr>
          <w:rFonts w:ascii="Times New Roman" w:eastAsiaTheme="minorEastAsia" w:hAnsi="Times New Roman" w:cs="Times New Roman"/>
          <w:lang w:bidi="en-US"/>
        </w:rPr>
        <w:t xml:space="preserve">and </w:t>
      </w:r>
      <w:r>
        <w:rPr>
          <w:rFonts w:ascii="Times New Roman" w:eastAsiaTheme="minorEastAsia" w:hAnsi="Times New Roman" w:cs="Times New Roman"/>
          <w:i/>
          <w:lang w:bidi="en-US"/>
        </w:rPr>
        <w:t xml:space="preserve">j </w:t>
      </w:r>
      <w:r w:rsidR="00910B47">
        <w:rPr>
          <w:rFonts w:ascii="Times New Roman" w:eastAsiaTheme="minorEastAsia" w:hAnsi="Times New Roman" w:cs="Times New Roman"/>
          <w:lang w:bidi="en-US"/>
        </w:rPr>
        <w:t xml:space="preserve">in the matrix. </w:t>
      </w:r>
    </w:p>
    <w:p w14:paraId="0C9154FA" w14:textId="1EF919A1" w:rsidR="008C3735" w:rsidRPr="008C3E94" w:rsidRDefault="00910B47" w:rsidP="008C3E94">
      <w:pPr>
        <w:spacing w:after="0" w:line="480" w:lineRule="auto"/>
        <w:ind w:firstLine="720"/>
        <w:jc w:val="both"/>
        <w:rPr>
          <w:rFonts w:ascii="Times New Roman" w:eastAsiaTheme="minorEastAsia" w:hAnsi="Times New Roman" w:cs="Times New Roman"/>
          <w:lang w:bidi="en-US"/>
        </w:rPr>
      </w:pPr>
      <w:r w:rsidRPr="008C3E94">
        <w:rPr>
          <w:rFonts w:ascii="Times New Roman" w:eastAsiaTheme="minorEastAsia" w:hAnsi="Times New Roman" w:cs="Times New Roman"/>
          <w:lang w:bidi="en-US"/>
        </w:rPr>
        <w:t xml:space="preserve">A Gamma realization can be generated for each </w:t>
      </w:r>
      <w:r w:rsidRPr="008C3E94">
        <w:rPr>
          <w:rFonts w:ascii="Times New Roman" w:eastAsiaTheme="minorEastAsia" w:hAnsi="Times New Roman" w:cs="Times New Roman"/>
          <w:i/>
          <w:lang w:bidi="en-US"/>
        </w:rPr>
        <w:t>Y</w:t>
      </w:r>
      <w:r w:rsidRPr="008C3E94">
        <w:rPr>
          <w:rFonts w:ascii="Times New Roman" w:eastAsiaTheme="minorEastAsia" w:hAnsi="Times New Roman" w:cs="Times New Roman"/>
          <w:i/>
          <w:vertAlign w:val="subscript"/>
          <w:lang w:bidi="en-US"/>
        </w:rPr>
        <w:t>i,j</w:t>
      </w:r>
      <w:r w:rsidRPr="008C3E94">
        <w:rPr>
          <w:rFonts w:ascii="Times New Roman" w:eastAsiaTheme="minorEastAsia" w:hAnsi="Times New Roman" w:cs="Times New Roman"/>
          <w:i/>
          <w:lang w:bidi="en-US"/>
        </w:rPr>
        <w:t xml:space="preserve"> </w:t>
      </w:r>
      <w:r w:rsidR="008C3735" w:rsidRPr="008C3E94">
        <w:rPr>
          <w:rFonts w:ascii="Times New Roman" w:eastAsiaTheme="minorEastAsia" w:hAnsi="Times New Roman" w:cs="Times New Roman"/>
          <w:lang w:bidi="en-US"/>
        </w:rPr>
        <w:t xml:space="preserve">from the Gamma function </w:t>
      </w:r>
      <m:oMath>
        <m:r>
          <m:rPr>
            <m:sty m:val="p"/>
          </m:rPr>
          <w:rPr>
            <w:rFonts w:ascii="Cambria Math" w:eastAsiaTheme="minorEastAsia" w:hAnsi="Cambria Math" w:cs="Times New Roman"/>
            <w:lang w:bidi="en-US"/>
          </w:rPr>
          <m:t>Γ</m:t>
        </m:r>
        <m:r>
          <w:rPr>
            <w:rFonts w:ascii="Cambria Math" w:eastAsiaTheme="minorEastAsia" w:hAnsi="Cambria Math" w:cs="Times New Roman"/>
            <w:lang w:bidi="en-US"/>
          </w:rPr>
          <m:t>(</m:t>
        </m:r>
        <m:sSub>
          <m:sSubPr>
            <m:ctrlPr>
              <w:rPr>
                <w:rFonts w:ascii="Cambria Math" w:hAnsi="Cambria Math" w:cs="Times New Roman"/>
                <w:i/>
                <w:lang w:bidi="en-US"/>
              </w:rPr>
            </m:ctrlPr>
          </m:sSubPr>
          <m:e>
            <m:r>
              <w:rPr>
                <w:rFonts w:ascii="Cambria Math" w:hAnsi="Cambria Math" w:cs="Times New Roman"/>
                <w:lang w:bidi="en-US"/>
              </w:rPr>
              <m:t>α</m:t>
            </m:r>
          </m:e>
          <m:sub>
            <m:r>
              <w:rPr>
                <w:rFonts w:ascii="Cambria Math" w:hAnsi="Cambria Math" w:cs="Times New Roman"/>
                <w:lang w:bidi="en-US"/>
              </w:rPr>
              <m:t>i,j</m:t>
            </m:r>
          </m:sub>
        </m:sSub>
        <m:r>
          <w:rPr>
            <w:rFonts w:ascii="Cambria Math" w:hAnsi="Cambria Math" w:cs="Times New Roman"/>
            <w:lang w:bidi="en-US"/>
          </w:rPr>
          <m:t>, 1)</m:t>
        </m:r>
      </m:oMath>
      <w:r w:rsidR="007732A1" w:rsidRPr="008C3E94">
        <w:rPr>
          <w:rFonts w:ascii="Times New Roman" w:eastAsiaTheme="minorEastAsia" w:hAnsi="Times New Roman" w:cs="Times New Roman"/>
          <w:lang w:bidi="en-US"/>
        </w:rPr>
        <w:t xml:space="preserve">     </w:t>
      </w:r>
      <w:r w:rsidR="008C3E94">
        <w:rPr>
          <w:rFonts w:ascii="Times New Roman" w:eastAsiaTheme="minorEastAsia" w:hAnsi="Times New Roman" w:cs="Times New Roman"/>
          <w:lang w:bidi="en-US"/>
        </w:rPr>
        <w:t xml:space="preserve">       </w:t>
      </w:r>
      <w:r w:rsidR="007732A1" w:rsidRPr="008C3E94">
        <w:rPr>
          <w:rFonts w:ascii="Times New Roman" w:hAnsi="Times New Roman" w:cs="Times New Roman"/>
          <w:szCs w:val="24"/>
        </w:rPr>
        <w:t>(5)</w:t>
      </w:r>
    </w:p>
    <w:p w14:paraId="6D3CE35C" w14:textId="24DB8A19" w:rsidR="005B2D82" w:rsidRDefault="005B2D82" w:rsidP="005B2D82">
      <w:pPr>
        <w:pStyle w:val="Heading2"/>
        <w:rPr>
          <w:lang w:bidi="en-US"/>
        </w:rPr>
      </w:pPr>
      <w:r>
        <w:rPr>
          <w:lang w:bidi="en-US"/>
        </w:rPr>
        <w:t xml:space="preserve">Step </w:t>
      </w:r>
      <w:r w:rsidR="008C3E94">
        <w:rPr>
          <w:lang w:bidi="en-US"/>
        </w:rPr>
        <w:t>3</w:t>
      </w:r>
      <w:r>
        <w:rPr>
          <w:lang w:bidi="en-US"/>
        </w:rPr>
        <w:t xml:space="preserve">: Determining </w:t>
      </w:r>
      <w:r>
        <w:rPr>
          <w:rFonts w:cs="Times New Roman"/>
          <w:lang w:bidi="en-US"/>
        </w:rPr>
        <w:t xml:space="preserve">Dirichlet realizations and I-O coefficients </w:t>
      </w:r>
    </w:p>
    <w:p w14:paraId="30DC8DC7" w14:textId="77777777" w:rsidR="005B2D82" w:rsidRDefault="005B2D82" w:rsidP="005B2D82">
      <w:pPr>
        <w:spacing w:after="0" w:line="480" w:lineRule="auto"/>
        <w:ind w:left="720"/>
        <w:jc w:val="both"/>
        <w:rPr>
          <w:rFonts w:ascii="Times New Roman" w:eastAsiaTheme="minorEastAsia" w:hAnsi="Times New Roman" w:cs="Times New Roman"/>
          <w:lang w:bidi="en-US"/>
        </w:rPr>
      </w:pPr>
      <w:r>
        <w:rPr>
          <w:rFonts w:ascii="Times New Roman" w:eastAsiaTheme="minorEastAsia" w:hAnsi="Times New Roman" w:cs="Times New Roman"/>
          <w:lang w:bidi="en-US"/>
        </w:rPr>
        <w:t>Once all the Gamma realizations are obtained we</w:t>
      </w:r>
      <w:r w:rsidR="008C3735" w:rsidRPr="005B2D82">
        <w:rPr>
          <w:rFonts w:ascii="Times New Roman" w:eastAsiaTheme="minorEastAsia" w:hAnsi="Times New Roman" w:cs="Times New Roman"/>
          <w:lang w:bidi="en-US"/>
        </w:rPr>
        <w:t xml:space="preserve"> normalize them to form a pmf:  </w:t>
      </w:r>
    </w:p>
    <w:p w14:paraId="5597F9FB" w14:textId="4CCA943C" w:rsidR="00431F00" w:rsidRPr="005B2D82" w:rsidRDefault="008C3735" w:rsidP="005B2D82">
      <w:pPr>
        <w:spacing w:after="0" w:line="480" w:lineRule="auto"/>
        <w:ind w:left="720"/>
        <w:jc w:val="both"/>
        <w:rPr>
          <w:rFonts w:ascii="Times New Roman" w:eastAsiaTheme="minorEastAsia" w:hAnsi="Times New Roman" w:cs="Times New Roman"/>
        </w:rPr>
      </w:pPr>
      <w:r w:rsidRPr="005B2D82">
        <w:rPr>
          <w:rFonts w:ascii="Times New Roman" w:eastAsiaTheme="minorEastAsia" w:hAnsi="Times New Roman" w:cs="Times New Roman"/>
          <w:lang w:bidi="en-US"/>
        </w:rPr>
        <w:t xml:space="preserve">for </w:t>
      </w:r>
      <m:oMath>
        <m:r>
          <w:rPr>
            <w:rFonts w:ascii="Cambria Math" w:eastAsiaTheme="minorEastAsia" w:hAnsi="Cambria Math" w:cs="Times New Roman"/>
            <w:lang w:bidi="en-US"/>
          </w:rPr>
          <m:t xml:space="preserve">∀ i,j,  </m:t>
        </m:r>
        <m:sSub>
          <m:sSubPr>
            <m:ctrlPr>
              <w:rPr>
                <w:rFonts w:ascii="Cambria Math" w:hAnsi="Cambria Math" w:cs="Times New Roman"/>
                <w:i/>
                <w:lang w:bidi="en-US"/>
              </w:rPr>
            </m:ctrlPr>
          </m:sSubPr>
          <m:e>
            <m:r>
              <w:rPr>
                <w:rFonts w:ascii="Cambria Math" w:hAnsi="Cambria Math" w:cs="Times New Roman"/>
                <w:lang w:bidi="en-US"/>
              </w:rPr>
              <m:t>m</m:t>
            </m:r>
          </m:e>
          <m:sub>
            <m:r>
              <w:rPr>
                <w:rFonts w:ascii="Cambria Math" w:hAnsi="Cambria Math" w:cs="Times New Roman"/>
                <w:lang w:bidi="en-US"/>
              </w:rPr>
              <m:t>i,j</m:t>
            </m:r>
          </m:sub>
        </m:sSub>
        <m:r>
          <w:rPr>
            <w:rFonts w:ascii="Cambria Math" w:hAnsi="Cambria Math" w:cs="Times New Roman"/>
            <w:lang w:bidi="en-US"/>
          </w:rPr>
          <m:t>=</m:t>
        </m:r>
        <m:f>
          <m:fPr>
            <m:ctrlPr>
              <w:rPr>
                <w:rFonts w:ascii="Cambria Math" w:hAnsi="Cambria Math" w:cs="Times New Roman"/>
                <w:i/>
                <w:lang w:bidi="en-US"/>
              </w:rPr>
            </m:ctrlPr>
          </m:fPr>
          <m:num>
            <m:sSub>
              <m:sSubPr>
                <m:ctrlPr>
                  <w:rPr>
                    <w:rFonts w:ascii="Cambria Math" w:hAnsi="Cambria Math" w:cs="Times New Roman"/>
                    <w:i/>
                    <w:lang w:bidi="en-US"/>
                  </w:rPr>
                </m:ctrlPr>
              </m:sSubPr>
              <m:e>
                <m:r>
                  <w:rPr>
                    <w:rFonts w:ascii="Cambria Math" w:hAnsi="Cambria Math" w:cs="Times New Roman"/>
                    <w:lang w:bidi="en-US"/>
                  </w:rPr>
                  <m:t>Y</m:t>
                </m:r>
              </m:e>
              <m:sub>
                <m:r>
                  <w:rPr>
                    <w:rFonts w:ascii="Cambria Math" w:hAnsi="Cambria Math" w:cs="Times New Roman"/>
                    <w:lang w:bidi="en-US"/>
                  </w:rPr>
                  <m:t>i,j</m:t>
                </m:r>
              </m:sub>
            </m:sSub>
          </m:num>
          <m:den>
            <m:nary>
              <m:naryPr>
                <m:chr m:val="∑"/>
                <m:limLoc m:val="undOvr"/>
                <m:supHide m:val="1"/>
                <m:ctrlPr>
                  <w:rPr>
                    <w:rFonts w:ascii="Cambria Math" w:hAnsi="Cambria Math" w:cs="Times New Roman"/>
                    <w:i/>
                    <w:lang w:bidi="en-US"/>
                  </w:rPr>
                </m:ctrlPr>
              </m:naryPr>
              <m:sub>
                <m:r>
                  <w:rPr>
                    <w:rFonts w:ascii="Cambria Math" w:hAnsi="Cambria Math" w:cs="Times New Roman"/>
                    <w:lang w:bidi="en-US"/>
                  </w:rPr>
                  <m:t>i</m:t>
                </m:r>
              </m:sub>
              <m:sup/>
              <m:e>
                <m:sSub>
                  <m:sSubPr>
                    <m:ctrlPr>
                      <w:rPr>
                        <w:rFonts w:ascii="Cambria Math" w:hAnsi="Cambria Math" w:cs="Times New Roman"/>
                        <w:i/>
                        <w:lang w:bidi="en-US"/>
                      </w:rPr>
                    </m:ctrlPr>
                  </m:sSubPr>
                  <m:e>
                    <m:r>
                      <w:rPr>
                        <w:rFonts w:ascii="Cambria Math" w:hAnsi="Cambria Math" w:cs="Times New Roman"/>
                        <w:lang w:bidi="en-US"/>
                      </w:rPr>
                      <m:t>Y</m:t>
                    </m:r>
                  </m:e>
                  <m:sub>
                    <m:r>
                      <w:rPr>
                        <w:rFonts w:ascii="Cambria Math" w:hAnsi="Cambria Math" w:cs="Times New Roman"/>
                        <w:lang w:bidi="en-US"/>
                      </w:rPr>
                      <m:t>i,j</m:t>
                    </m:r>
                  </m:sub>
                </m:sSub>
              </m:e>
            </m:nary>
          </m:den>
        </m:f>
      </m:oMath>
      <w:r w:rsidR="007732A1" w:rsidRPr="005B2D82">
        <w:rPr>
          <w:rFonts w:ascii="Times New Roman" w:eastAsiaTheme="minorEastAsia" w:hAnsi="Times New Roman" w:cs="Times New Roman"/>
          <w:lang w:bidi="en-US"/>
        </w:rPr>
        <w:tab/>
      </w:r>
      <w:r w:rsidR="007732A1" w:rsidRPr="005B2D82">
        <w:rPr>
          <w:rFonts w:ascii="Times New Roman" w:eastAsiaTheme="minorEastAsia" w:hAnsi="Times New Roman" w:cs="Times New Roman"/>
          <w:lang w:bidi="en-US"/>
        </w:rPr>
        <w:tab/>
      </w:r>
      <w:r w:rsidR="007732A1" w:rsidRPr="005B2D82">
        <w:rPr>
          <w:rFonts w:ascii="Times New Roman" w:eastAsiaTheme="minorEastAsia" w:hAnsi="Times New Roman" w:cs="Times New Roman"/>
          <w:lang w:bidi="en-US"/>
        </w:rPr>
        <w:tab/>
      </w:r>
      <w:r w:rsidR="007732A1" w:rsidRPr="005B2D82">
        <w:rPr>
          <w:rFonts w:ascii="Times New Roman" w:eastAsiaTheme="minorEastAsia" w:hAnsi="Times New Roman" w:cs="Times New Roman"/>
          <w:lang w:bidi="en-US"/>
        </w:rPr>
        <w:tab/>
        <w:t xml:space="preserve">        </w:t>
      </w:r>
      <w:r w:rsidR="005B2D82">
        <w:rPr>
          <w:rFonts w:ascii="Times New Roman" w:eastAsiaTheme="minorEastAsia" w:hAnsi="Times New Roman" w:cs="Times New Roman"/>
          <w:lang w:bidi="en-US"/>
        </w:rPr>
        <w:tab/>
      </w:r>
      <w:r w:rsidR="005B2D82">
        <w:rPr>
          <w:rFonts w:ascii="Times New Roman" w:eastAsiaTheme="minorEastAsia" w:hAnsi="Times New Roman" w:cs="Times New Roman"/>
          <w:lang w:bidi="en-US"/>
        </w:rPr>
        <w:tab/>
      </w:r>
      <w:r w:rsidR="005B2D82">
        <w:rPr>
          <w:rFonts w:ascii="Times New Roman" w:eastAsiaTheme="minorEastAsia" w:hAnsi="Times New Roman" w:cs="Times New Roman"/>
          <w:lang w:bidi="en-US"/>
        </w:rPr>
        <w:tab/>
      </w:r>
      <w:r w:rsidR="005B2D82">
        <w:rPr>
          <w:rFonts w:ascii="Times New Roman" w:eastAsiaTheme="minorEastAsia" w:hAnsi="Times New Roman" w:cs="Times New Roman"/>
          <w:lang w:bidi="en-US"/>
        </w:rPr>
        <w:tab/>
      </w:r>
      <w:r w:rsidR="005B2D82">
        <w:rPr>
          <w:rFonts w:ascii="Times New Roman" w:eastAsiaTheme="minorEastAsia" w:hAnsi="Times New Roman" w:cs="Times New Roman"/>
          <w:lang w:bidi="en-US"/>
        </w:rPr>
        <w:tab/>
        <w:t xml:space="preserve">        </w:t>
      </w:r>
      <w:r w:rsidR="007732A1" w:rsidRPr="005B2D82">
        <w:rPr>
          <w:rFonts w:ascii="Times New Roman" w:hAnsi="Times New Roman" w:cs="Times New Roman"/>
          <w:szCs w:val="24"/>
        </w:rPr>
        <w:t>(6)</w:t>
      </w:r>
    </w:p>
    <w:p w14:paraId="4E278769" w14:textId="1E81B183" w:rsidR="00E620E1" w:rsidRDefault="007732A1" w:rsidP="007732A1">
      <w:pPr>
        <w:spacing w:after="0" w:line="480" w:lineRule="auto"/>
        <w:ind w:firstLine="720"/>
        <w:jc w:val="both"/>
        <w:rPr>
          <w:rFonts w:ascii="Times New Roman" w:eastAsiaTheme="minorEastAsia" w:hAnsi="Times New Roman" w:cs="Times New Roman"/>
          <w:lang w:bidi="en-US"/>
        </w:rPr>
      </w:pPr>
      <w:r>
        <w:rPr>
          <w:rFonts w:ascii="Times New Roman" w:eastAsiaTheme="minorEastAsia" w:hAnsi="Times New Roman" w:cs="Times New Roman"/>
        </w:rPr>
        <w:t xml:space="preserve">Thus  </w:t>
      </w:r>
      <m:oMath>
        <m:sSub>
          <m:sSubPr>
            <m:ctrlPr>
              <w:rPr>
                <w:rFonts w:ascii="Cambria Math" w:hAnsi="Cambria Math" w:cs="Times New Roman"/>
                <w:i/>
                <w:lang w:bidi="en-US"/>
              </w:rPr>
            </m:ctrlPr>
          </m:sSubPr>
          <m:e>
            <m:r>
              <w:rPr>
                <w:rFonts w:ascii="Cambria Math" w:hAnsi="Cambria Math" w:cs="Times New Roman"/>
                <w:lang w:bidi="en-US"/>
              </w:rPr>
              <m:t>m</m:t>
            </m:r>
          </m:e>
          <m:sub>
            <m:r>
              <w:rPr>
                <w:rFonts w:ascii="Cambria Math" w:hAnsi="Cambria Math" w:cs="Times New Roman"/>
                <w:lang w:bidi="en-US"/>
              </w:rPr>
              <m:t>i,j</m:t>
            </m:r>
          </m:sub>
        </m:sSub>
      </m:oMath>
      <w:r>
        <w:rPr>
          <w:rFonts w:ascii="Times New Roman" w:eastAsiaTheme="minorEastAsia" w:hAnsi="Times New Roman" w:cs="Times New Roman"/>
          <w:lang w:bidi="en-US"/>
        </w:rPr>
        <w:t xml:space="preserve">  is a realization of Dir (</w:t>
      </w:r>
      <m:oMath>
        <m:sSub>
          <m:sSubPr>
            <m:ctrlPr>
              <w:rPr>
                <w:rFonts w:ascii="Cambria Math" w:hAnsi="Cambria Math" w:cs="Times New Roman"/>
                <w:i/>
                <w:lang w:bidi="en-US"/>
              </w:rPr>
            </m:ctrlPr>
          </m:sSubPr>
          <m:e>
            <m:r>
              <m:rPr>
                <m:sty m:val="p"/>
              </m:rPr>
              <w:rPr>
                <w:rFonts w:ascii="Cambria Math" w:hAnsi="Cambria Math" w:cs="Times New Roman"/>
                <w:lang w:bidi="en-US"/>
              </w:rPr>
              <m:t>adj</m:t>
            </m:r>
            <m:r>
              <w:rPr>
                <w:rFonts w:ascii="Cambria Math" w:hAnsi="Cambria Math" w:cs="Times New Roman"/>
                <w:lang w:bidi="en-US"/>
              </w:rPr>
              <m:t>α</m:t>
            </m:r>
          </m:e>
          <m:sub>
            <m:r>
              <w:rPr>
                <w:rFonts w:ascii="Cambria Math" w:hAnsi="Cambria Math" w:cs="Times New Roman"/>
                <w:lang w:bidi="en-US"/>
              </w:rPr>
              <m:t>i,j</m:t>
            </m:r>
          </m:sub>
        </m:sSub>
        <m:r>
          <w:rPr>
            <w:rFonts w:ascii="Cambria Math" w:hAnsi="Cambria Math" w:cs="Times New Roman"/>
            <w:lang w:bidi="en-US"/>
          </w:rPr>
          <m:t>)</m:t>
        </m:r>
      </m:oMath>
      <w:r>
        <w:rPr>
          <w:rFonts w:ascii="Times New Roman" w:eastAsiaTheme="minorEastAsia" w:hAnsi="Times New Roman" w:cs="Times New Roman"/>
          <w:lang w:bidi="en-US"/>
        </w:rPr>
        <w:t xml:space="preserve"> the theorem has been extensively proven </w:t>
      </w:r>
      <w:r w:rsidR="0025233E">
        <w:rPr>
          <w:rFonts w:ascii="Times New Roman" w:eastAsiaTheme="minorEastAsia" w:hAnsi="Times New Roman" w:cs="Times New Roman"/>
          <w:lang w:bidi="en-US"/>
        </w:rPr>
        <w:t xml:space="preserve">by </w:t>
      </w:r>
      <w:r w:rsidR="0025233E">
        <w:rPr>
          <w:rFonts w:ascii="Times New Roman" w:eastAsiaTheme="minorEastAsia" w:hAnsi="Times New Roman" w:cs="Times New Roman"/>
          <w:lang w:bidi="en-US"/>
        </w:rPr>
        <w:fldChar w:fldCharType="begin"/>
      </w:r>
      <w:r w:rsidR="0025233E">
        <w:rPr>
          <w:rFonts w:ascii="Times New Roman" w:eastAsiaTheme="minorEastAsia" w:hAnsi="Times New Roman" w:cs="Times New Roman"/>
          <w:lang w:bidi="en-US"/>
        </w:rPr>
        <w:instrText xml:space="preserve"> ADDIN EN.CITE &lt;EndNote&gt;&lt;Cite AuthorYear="1"&gt;&lt;Author&gt;Frigyik&lt;/Author&gt;&lt;Year&gt;2010&lt;/Year&gt;&lt;RecNum&gt;1&lt;/RecNum&gt;&lt;DisplayText&gt; Frigyik, Kapila and Gupta [2010]&lt;/DisplayText&gt;&lt;record&gt;&lt;rec-number&gt;1&lt;/rec-number&gt;&lt;foreign-keys&gt;&lt;key app="EN" db-id="taps2fsr45efv7e95fc59tzqxfeezpeaz2ev"&gt;1&lt;/key&gt;&lt;/foreign-keys&gt;&lt;ref-type name="Report"&gt;27&lt;/ref-type&gt;&lt;contributors&gt;&lt;authors&gt;&lt;author&gt;Bela A. Frigyik&lt;/author&gt;&lt;author&gt;Amol Kapila&lt;/author&gt;&lt;author&gt;Maya R. Gupta&lt;/author&gt;&lt;/authors&gt;&lt;subsidiary-authors&gt;&lt;author&gt;Department of Electrical Engineering&lt;/author&gt;&lt;/subsidiary-authors&gt;&lt;/contributors&gt;&lt;titles&gt;&lt;title&gt;Introduction to the Dirichlet Distribution and Related Processes&lt;/title&gt;&lt;secondary-title&gt;UWEE Technical Report Number UWEETER-2010-0006&lt;/secondary-title&gt;&lt;/titles&gt;&lt;dates&gt;&lt;year&gt;2010&lt;/year&gt;&lt;/dates&gt;&lt;pub-location&gt;Seattle, Washington&lt;/pub-location&gt;&lt;publisher&gt;University of Washington&lt;/publisher&gt;&lt;urls&gt;&lt;related-urls&gt;&lt;url&gt;http://www.ee.washington.edu&lt;/url&gt;&lt;/related-urls&gt;&lt;/urls&gt;&lt;/record&gt;&lt;/Cite&gt;&lt;/EndNote&gt;</w:instrText>
      </w:r>
      <w:r w:rsidR="0025233E">
        <w:rPr>
          <w:rFonts w:ascii="Times New Roman" w:eastAsiaTheme="minorEastAsia" w:hAnsi="Times New Roman" w:cs="Times New Roman"/>
          <w:lang w:bidi="en-US"/>
        </w:rPr>
        <w:fldChar w:fldCharType="separate"/>
      </w:r>
      <w:hyperlink w:anchor="_ENREF_6" w:tooltip="Frigyik, 2010 #1" w:history="1">
        <w:r w:rsidR="009C41E7">
          <w:rPr>
            <w:rFonts w:ascii="Times New Roman" w:eastAsiaTheme="minorEastAsia" w:hAnsi="Times New Roman" w:cs="Times New Roman"/>
            <w:noProof/>
            <w:lang w:bidi="en-US"/>
          </w:rPr>
          <w:t xml:space="preserve"> Frigyik, Kapila and Gupta [2010</w:t>
        </w:r>
      </w:hyperlink>
      <w:r w:rsidR="0025233E">
        <w:rPr>
          <w:rFonts w:ascii="Times New Roman" w:eastAsiaTheme="minorEastAsia" w:hAnsi="Times New Roman" w:cs="Times New Roman"/>
          <w:noProof/>
          <w:lang w:bidi="en-US"/>
        </w:rPr>
        <w:t>]</w:t>
      </w:r>
      <w:r w:rsidR="0025233E">
        <w:rPr>
          <w:rFonts w:ascii="Times New Roman" w:eastAsiaTheme="minorEastAsia" w:hAnsi="Times New Roman" w:cs="Times New Roman"/>
          <w:lang w:bidi="en-US"/>
        </w:rPr>
        <w:fldChar w:fldCharType="end"/>
      </w:r>
      <w:r>
        <w:rPr>
          <w:rFonts w:ascii="Times New Roman" w:eastAsiaTheme="minorEastAsia" w:hAnsi="Times New Roman" w:cs="Times New Roman"/>
          <w:lang w:bidi="en-US"/>
        </w:rPr>
        <w:t>. A Monte Carlo simulation of 1000 iterations was performed to determine 1000 sample realizations for the Make matrix. The exact aforementioned process is then implied to calculate the normalized realizations for the Use matrix by calculating</w:t>
      </w:r>
      <m:oMath>
        <m:r>
          <w:rPr>
            <w:rFonts w:ascii="Cambria Math" w:eastAsiaTheme="minorEastAsia" w:hAnsi="Cambria Math" w:cs="Times New Roman"/>
            <w:lang w:bidi="en-US"/>
          </w:rPr>
          <m:t xml:space="preserve"> </m:t>
        </m:r>
        <m:sSub>
          <m:sSubPr>
            <m:ctrlPr>
              <w:rPr>
                <w:rFonts w:ascii="Cambria Math" w:hAnsi="Cambria Math" w:cs="Times New Roman"/>
                <w:i/>
                <w:lang w:bidi="en-US"/>
              </w:rPr>
            </m:ctrlPr>
          </m:sSubPr>
          <m:e>
            <m:r>
              <m:rPr>
                <m:sty m:val="p"/>
              </m:rPr>
              <w:rPr>
                <w:rFonts w:ascii="Cambria Math" w:hAnsi="Cambria Math" w:cs="Times New Roman"/>
                <w:lang w:bidi="en-US"/>
              </w:rPr>
              <m:t>u</m:t>
            </m:r>
          </m:e>
          <m:sub>
            <m:r>
              <w:rPr>
                <w:rFonts w:ascii="Cambria Math" w:hAnsi="Cambria Math" w:cs="Times New Roman"/>
                <w:lang w:bidi="en-US"/>
              </w:rPr>
              <m:t>i,j</m:t>
            </m:r>
          </m:sub>
        </m:sSub>
      </m:oMath>
      <w:r>
        <w:rPr>
          <w:rFonts w:ascii="Times New Roman" w:eastAsiaTheme="minorEastAsia" w:hAnsi="Times New Roman" w:cs="Times New Roman"/>
          <w:lang w:bidi="en-US"/>
        </w:rPr>
        <w:t xml:space="preserve">.  Once sample realizations for both Use and Make matrices were determined we can calculate the </w:t>
      </w:r>
      <w:r>
        <w:rPr>
          <w:rFonts w:ascii="Times New Roman" w:eastAsiaTheme="minorEastAsia" w:hAnsi="Times New Roman" w:cs="Times New Roman"/>
          <w:i/>
          <w:lang w:bidi="en-US"/>
        </w:rPr>
        <w:t xml:space="preserve">A </w:t>
      </w:r>
      <w:r>
        <w:rPr>
          <w:rFonts w:ascii="Times New Roman" w:eastAsiaTheme="minorEastAsia" w:hAnsi="Times New Roman" w:cs="Times New Roman"/>
          <w:lang w:bidi="en-US"/>
        </w:rPr>
        <w:t xml:space="preserve">matrix, since </w:t>
      </w:r>
      <w:r>
        <w:rPr>
          <w:rFonts w:ascii="Times New Roman" w:eastAsiaTheme="minorEastAsia" w:hAnsi="Times New Roman" w:cs="Times New Roman"/>
          <w:i/>
          <w:lang w:bidi="en-US"/>
        </w:rPr>
        <w:t xml:space="preserve">A = </w:t>
      </w:r>
      <w:r w:rsidRPr="00E620E1">
        <w:rPr>
          <w:rFonts w:ascii="Times New Roman" w:eastAsiaTheme="minorEastAsia" w:hAnsi="Times New Roman" w:cs="Times New Roman"/>
          <w:i/>
          <w:lang w:bidi="en-US"/>
        </w:rPr>
        <w:t>VU</w:t>
      </w:r>
      <w:r w:rsidR="00E620E1">
        <w:rPr>
          <w:rFonts w:ascii="Times New Roman" w:eastAsiaTheme="minorEastAsia" w:hAnsi="Times New Roman" w:cs="Times New Roman"/>
          <w:i/>
          <w:lang w:bidi="en-US"/>
        </w:rPr>
        <w:tab/>
      </w:r>
      <w:r w:rsidR="00E620E1">
        <w:rPr>
          <w:rFonts w:ascii="Times New Roman" w:eastAsiaTheme="minorEastAsia" w:hAnsi="Times New Roman" w:cs="Times New Roman"/>
          <w:i/>
          <w:lang w:bidi="en-US"/>
        </w:rPr>
        <w:tab/>
        <w:t xml:space="preserve">       </w:t>
      </w:r>
      <w:r w:rsidR="00E620E1">
        <w:rPr>
          <w:rFonts w:ascii="Times New Roman" w:eastAsiaTheme="minorEastAsia" w:hAnsi="Times New Roman" w:cs="Times New Roman"/>
          <w:i/>
          <w:lang w:bidi="en-US"/>
        </w:rPr>
        <w:tab/>
        <w:t xml:space="preserve">        </w:t>
      </w:r>
      <w:r w:rsidR="00E620E1">
        <w:rPr>
          <w:rFonts w:ascii="Times New Roman" w:eastAsiaTheme="minorEastAsia" w:hAnsi="Times New Roman" w:cs="Times New Roman"/>
          <w:lang w:bidi="en-US"/>
        </w:rPr>
        <w:t>(7)</w:t>
      </w:r>
    </w:p>
    <w:p w14:paraId="6D708682" w14:textId="2569B602" w:rsidR="008C3E94" w:rsidRDefault="00E620E1" w:rsidP="00E620E1">
      <w:pPr>
        <w:spacing w:after="0" w:line="480" w:lineRule="auto"/>
        <w:jc w:val="both"/>
        <w:rPr>
          <w:rFonts w:ascii="Times New Roman" w:eastAsiaTheme="minorEastAsia" w:hAnsi="Times New Roman" w:cs="Times New Roman"/>
          <w:i/>
          <w:lang w:bidi="en-US"/>
        </w:rPr>
      </w:pPr>
      <w:r w:rsidRPr="00E620E1">
        <w:rPr>
          <w:rFonts w:ascii="Times New Roman" w:eastAsiaTheme="minorEastAsia" w:hAnsi="Times New Roman" w:cs="Times New Roman"/>
          <w:lang w:bidi="en-US"/>
        </w:rPr>
        <w:t xml:space="preserve"> </w:t>
      </w:r>
      <w:r w:rsidRPr="00E620E1">
        <w:rPr>
          <w:rFonts w:ascii="Times New Roman" w:eastAsiaTheme="minorEastAsia" w:hAnsi="Times New Roman" w:cs="Times New Roman"/>
          <w:lang w:bidi="en-US"/>
        </w:rPr>
        <w:fldChar w:fldCharType="begin"/>
      </w:r>
      <w:r w:rsidRPr="00E620E1">
        <w:rPr>
          <w:rFonts w:ascii="Times New Roman" w:eastAsiaTheme="minorEastAsia" w:hAnsi="Times New Roman" w:cs="Times New Roman"/>
          <w:lang w:bidi="en-US"/>
        </w:rPr>
        <w:instrText xml:space="preserve"> ADDIN EN.CITE &lt;EndNote&gt;&lt;Cite&gt;&lt;Author&gt;Miller&lt;/Author&gt;&lt;Year&gt;2009&lt;/Year&gt;&lt;RecNum&gt;2&lt;/RecNum&gt;&lt;DisplayText&gt;[Miller and Blair, 2009]&lt;/DisplayText&gt;&lt;record&gt;&lt;rec-number&gt;2&lt;/rec-number&gt;&lt;foreign-keys&gt;&lt;key app="EN" db-id="taps2fsr45efv7e95fc59tzqxfeezpeaz2ev"&gt;2&lt;/key&gt;&lt;/foreign-keys&gt;&lt;ref-type name="Book Section"&gt;5&lt;/ref-type&gt;&lt;contributors&gt;&lt;authors&gt;&lt;author&gt;Ronald E Miller&lt;/author&gt;&lt;author&gt;Peter D Blair&lt;/author&gt;&lt;/authors&gt;&lt;subsidiary-authors&gt;&lt;author&gt;Michael L. Lahr&lt;/author&gt;&lt;author&gt;Erik Dietzenbacher&lt;/author&gt;&lt;/subsidiary-authors&gt;&lt;/contributors&gt;&lt;titles&gt;&lt;title&gt;The Commodity-by-Industry Approach in Input–Output Models&lt;/title&gt;&lt;secondary-title&gt;Input-output analysis : foundations and extensions&lt;/secondary-title&gt;&lt;/titles&gt;&lt;pages&gt;184-196&lt;/pages&gt;&lt;section&gt;5&lt;/section&gt;&lt;dates&gt;&lt;year&gt;2009&lt;/year&gt;&lt;/dates&gt;&lt;pub-location&gt;New York&lt;/pub-location&gt;&lt;publisher&gt;Cambridge University Press&lt;/publisher&gt;&lt;isbn&gt;0521517133&lt;/isbn&gt;&lt;accession-num&gt;(OCoLC)311310287&lt;/accession-num&gt;&lt;call-num&gt;HB142 .M55 2009 &lt;/call-num&gt;&lt;urls&gt;&lt;/urls&gt;&lt;/record&gt;&lt;/Cite&gt;&lt;/EndNote&gt;</w:instrText>
      </w:r>
      <w:r w:rsidRPr="00E620E1">
        <w:rPr>
          <w:rFonts w:ascii="Times New Roman" w:eastAsiaTheme="minorEastAsia" w:hAnsi="Times New Roman" w:cs="Times New Roman"/>
          <w:lang w:bidi="en-US"/>
        </w:rPr>
        <w:fldChar w:fldCharType="separate"/>
      </w:r>
      <w:r w:rsidRPr="00E620E1">
        <w:rPr>
          <w:rFonts w:ascii="Times New Roman" w:eastAsiaTheme="minorEastAsia" w:hAnsi="Times New Roman" w:cs="Times New Roman"/>
          <w:noProof/>
          <w:lang w:bidi="en-US"/>
        </w:rPr>
        <w:t>[</w:t>
      </w:r>
      <w:hyperlink w:anchor="_ENREF_12" w:tooltip="Miller, 2009 #2" w:history="1">
        <w:r w:rsidR="009C41E7" w:rsidRPr="00E620E1">
          <w:rPr>
            <w:rFonts w:ascii="Times New Roman" w:eastAsiaTheme="minorEastAsia" w:hAnsi="Times New Roman" w:cs="Times New Roman"/>
            <w:noProof/>
            <w:lang w:bidi="en-US"/>
          </w:rPr>
          <w:t>Miller and Blair, 2009</w:t>
        </w:r>
      </w:hyperlink>
      <w:r w:rsidRPr="00E620E1">
        <w:rPr>
          <w:rFonts w:ascii="Times New Roman" w:eastAsiaTheme="minorEastAsia" w:hAnsi="Times New Roman" w:cs="Times New Roman"/>
          <w:noProof/>
          <w:lang w:bidi="en-US"/>
        </w:rPr>
        <w:t>]</w:t>
      </w:r>
      <w:r w:rsidRPr="00E620E1">
        <w:rPr>
          <w:rFonts w:ascii="Times New Roman" w:eastAsiaTheme="minorEastAsia" w:hAnsi="Times New Roman" w:cs="Times New Roman"/>
          <w:lang w:bidi="en-US"/>
        </w:rPr>
        <w:fldChar w:fldCharType="end"/>
      </w:r>
      <w:r w:rsidR="007732A1">
        <w:rPr>
          <w:rFonts w:ascii="Times New Roman" w:eastAsiaTheme="minorEastAsia" w:hAnsi="Times New Roman" w:cs="Times New Roman"/>
          <w:i/>
          <w:lang w:bidi="en-US"/>
        </w:rPr>
        <w:t xml:space="preserve">. </w:t>
      </w:r>
    </w:p>
    <w:p w14:paraId="479EDD0D" w14:textId="3A05763D" w:rsidR="007732A1" w:rsidRPr="00707A0C" w:rsidRDefault="008C3E94" w:rsidP="008C3E94">
      <w:pPr>
        <w:spacing w:after="0" w:line="480" w:lineRule="auto"/>
        <w:ind w:firstLine="720"/>
        <w:jc w:val="both"/>
        <w:rPr>
          <w:rFonts w:ascii="Times New Roman" w:eastAsiaTheme="minorEastAsia" w:hAnsi="Times New Roman" w:cs="Times New Roman"/>
          <w:lang w:bidi="en-US"/>
        </w:rPr>
      </w:pPr>
      <w:r>
        <w:rPr>
          <w:rFonts w:ascii="Times New Roman" w:eastAsiaTheme="minorEastAsia" w:hAnsi="Times New Roman" w:cs="Times New Roman"/>
          <w:lang w:bidi="en-US"/>
        </w:rPr>
        <w:t xml:space="preserve">Similarly the three steps above </w:t>
      </w:r>
      <w:r w:rsidR="00707A0C">
        <w:rPr>
          <w:rFonts w:ascii="Times New Roman" w:eastAsiaTheme="minorEastAsia" w:hAnsi="Times New Roman" w:cs="Times New Roman"/>
          <w:lang w:bidi="en-US"/>
        </w:rPr>
        <w:t xml:space="preserve">could be repeated </w:t>
      </w:r>
      <w:r w:rsidR="0076133D">
        <w:rPr>
          <w:rFonts w:ascii="Times New Roman" w:eastAsiaTheme="minorEastAsia" w:hAnsi="Times New Roman" w:cs="Times New Roman"/>
          <w:lang w:bidi="en-US"/>
        </w:rPr>
        <w:t xml:space="preserve">as an alternate methodology </w:t>
      </w:r>
      <w:r w:rsidR="00707A0C">
        <w:rPr>
          <w:rFonts w:ascii="Times New Roman" w:eastAsiaTheme="minorEastAsia" w:hAnsi="Times New Roman" w:cs="Times New Roman"/>
          <w:lang w:bidi="en-US"/>
        </w:rPr>
        <w:t xml:space="preserve">to produce matrix </w:t>
      </w:r>
      <w:r w:rsidR="00707A0C">
        <w:rPr>
          <w:rFonts w:ascii="Times New Roman" w:eastAsiaTheme="minorEastAsia" w:hAnsi="Times New Roman" w:cs="Times New Roman"/>
          <w:i/>
          <w:lang w:bidi="en-US"/>
        </w:rPr>
        <w:t>A</w:t>
      </w:r>
      <w:r w:rsidR="0076133D">
        <w:t xml:space="preserve"> </w:t>
      </w:r>
      <w:r w:rsidR="0076133D">
        <w:rPr>
          <w:rFonts w:ascii="Times New Roman" w:eastAsiaTheme="minorEastAsia" w:hAnsi="Times New Roman" w:cs="Times New Roman"/>
          <w:lang w:bidi="en-US"/>
        </w:rPr>
        <w:t>d</w:t>
      </w:r>
      <w:r w:rsidR="00707A0C">
        <w:rPr>
          <w:rFonts w:ascii="Times New Roman" w:eastAsiaTheme="minorEastAsia" w:hAnsi="Times New Roman" w:cs="Times New Roman"/>
          <w:lang w:bidi="en-US"/>
        </w:rPr>
        <w:t>irectly by using total requirement matrices from I-O accounts of 1998-2011. Once the moments are determined using the data, sampling can be performed to determine surrogate coefficients a</w:t>
      </w:r>
      <w:r w:rsidR="00707A0C">
        <w:rPr>
          <w:rFonts w:ascii="Times New Roman" w:eastAsiaTheme="minorEastAsia" w:hAnsi="Times New Roman" w:cs="Times New Roman"/>
          <w:vertAlign w:val="subscript"/>
          <w:lang w:bidi="en-US"/>
        </w:rPr>
        <w:t xml:space="preserve">i,j </w:t>
      </w:r>
      <w:r w:rsidR="00707A0C">
        <w:rPr>
          <w:rFonts w:ascii="Times New Roman" w:eastAsiaTheme="minorEastAsia" w:hAnsi="Times New Roman" w:cs="Times New Roman"/>
          <w:lang w:bidi="en-US"/>
        </w:rPr>
        <w:t xml:space="preserve">for matrix </w:t>
      </w:r>
      <w:r w:rsidR="00707A0C">
        <w:rPr>
          <w:rFonts w:ascii="Times New Roman" w:eastAsiaTheme="minorEastAsia" w:hAnsi="Times New Roman" w:cs="Times New Roman"/>
          <w:i/>
          <w:lang w:bidi="en-US"/>
        </w:rPr>
        <w:t xml:space="preserve">A </w:t>
      </w:r>
      <w:r w:rsidR="00707A0C">
        <w:rPr>
          <w:rFonts w:ascii="Times New Roman" w:eastAsiaTheme="minorEastAsia" w:hAnsi="Times New Roman" w:cs="Times New Roman"/>
          <w:lang w:bidi="en-US"/>
        </w:rPr>
        <w:t>from a Dirichlet distribution.</w:t>
      </w:r>
    </w:p>
    <w:p w14:paraId="46A21DFD" w14:textId="5C405A4B" w:rsidR="00E33076" w:rsidRDefault="005B2D82" w:rsidP="007732A1">
      <w:pPr>
        <w:spacing w:after="0" w:line="480" w:lineRule="auto"/>
        <w:ind w:firstLine="720"/>
        <w:jc w:val="both"/>
        <w:rPr>
          <w:rFonts w:ascii="Times New Roman" w:eastAsiaTheme="minorEastAsia" w:hAnsi="Times New Roman" w:cs="Times New Roman"/>
          <w:lang w:bidi="en-US"/>
        </w:rPr>
      </w:pPr>
      <w:r>
        <w:rPr>
          <w:rFonts w:ascii="Times New Roman" w:eastAsiaTheme="minorEastAsia" w:hAnsi="Times New Roman" w:cs="Times New Roman"/>
          <w:lang w:bidi="en-US"/>
        </w:rPr>
        <w:t>The matrix a can then be transformed into Leontief’s inverse as (I – A)</w:t>
      </w:r>
      <w:r>
        <w:rPr>
          <w:rFonts w:ascii="Times New Roman" w:eastAsiaTheme="minorEastAsia" w:hAnsi="Times New Roman" w:cs="Times New Roman"/>
          <w:vertAlign w:val="superscript"/>
          <w:lang w:bidi="en-US"/>
        </w:rPr>
        <w:t>-1</w:t>
      </w:r>
      <w:r>
        <w:rPr>
          <w:rFonts w:ascii="Times New Roman" w:eastAsiaTheme="minorEastAsia" w:hAnsi="Times New Roman" w:cs="Times New Roman"/>
          <w:lang w:bidi="en-US"/>
        </w:rPr>
        <w:t xml:space="preserve"> and various key sector analysis can be performed on the surrogate I-O coefficients determined. Throughout the simulation process we ascertained that the standard deviation and mean of the various mechanics remained insignificantly different</w:t>
      </w:r>
      <w:r w:rsidR="00762599">
        <w:rPr>
          <w:rFonts w:ascii="Times New Roman" w:eastAsiaTheme="minorEastAsia" w:hAnsi="Times New Roman" w:cs="Times New Roman"/>
          <w:lang w:bidi="en-US"/>
        </w:rPr>
        <w:t>. T</w:t>
      </w:r>
      <w:r>
        <w:rPr>
          <w:rFonts w:ascii="Times New Roman" w:eastAsiaTheme="minorEastAsia" w:hAnsi="Times New Roman" w:cs="Times New Roman"/>
          <w:lang w:bidi="en-US"/>
        </w:rPr>
        <w:t>his include</w:t>
      </w:r>
      <w:r w:rsidR="00762599">
        <w:rPr>
          <w:rFonts w:ascii="Times New Roman" w:eastAsiaTheme="minorEastAsia" w:hAnsi="Times New Roman" w:cs="Times New Roman"/>
          <w:lang w:bidi="en-US"/>
        </w:rPr>
        <w:t>s</w:t>
      </w:r>
      <w:r>
        <w:rPr>
          <w:rFonts w:ascii="Times New Roman" w:eastAsiaTheme="minorEastAsia" w:hAnsi="Times New Roman" w:cs="Times New Roman"/>
          <w:lang w:bidi="en-US"/>
        </w:rPr>
        <w:t xml:space="preserve"> the comparison of parameter determined from the actual I-O accounts </w:t>
      </w:r>
      <w:r w:rsidR="00762599">
        <w:rPr>
          <w:rFonts w:ascii="Times New Roman" w:eastAsiaTheme="minorEastAsia" w:hAnsi="Times New Roman" w:cs="Times New Roman"/>
          <w:lang w:bidi="en-US"/>
        </w:rPr>
        <w:t xml:space="preserve">to the simulated ones. To ascertain process efficacy an alternate methodology was implied, which simulated surrogate I-O coefficients directly for the </w:t>
      </w:r>
      <w:r w:rsidR="00762599">
        <w:rPr>
          <w:rFonts w:ascii="Times New Roman" w:eastAsiaTheme="minorEastAsia" w:hAnsi="Times New Roman" w:cs="Times New Roman"/>
          <w:i/>
          <w:lang w:bidi="en-US"/>
        </w:rPr>
        <w:t xml:space="preserve">A </w:t>
      </w:r>
      <w:r w:rsidR="00762599">
        <w:rPr>
          <w:rFonts w:ascii="Times New Roman" w:eastAsiaTheme="minorEastAsia" w:hAnsi="Times New Roman" w:cs="Times New Roman"/>
          <w:lang w:bidi="en-US"/>
        </w:rPr>
        <w:t>matrix</w:t>
      </w:r>
      <w:r w:rsidR="0076133D">
        <w:rPr>
          <w:rFonts w:ascii="Times New Roman" w:eastAsiaTheme="minorEastAsia" w:hAnsi="Times New Roman" w:cs="Times New Roman"/>
          <w:lang w:bidi="en-US"/>
        </w:rPr>
        <w:t xml:space="preserve"> as mentioned above</w:t>
      </w:r>
      <w:r w:rsidR="00762599">
        <w:rPr>
          <w:rFonts w:ascii="Times New Roman" w:eastAsiaTheme="minorEastAsia" w:hAnsi="Times New Roman" w:cs="Times New Roman"/>
          <w:lang w:bidi="en-US"/>
        </w:rPr>
        <w:t xml:space="preserve">. The moments of both methodologies had minute difference, which proved to be very promising as a robust methodology. </w:t>
      </w:r>
      <w:r w:rsidR="00E33076">
        <w:rPr>
          <w:rFonts w:ascii="Times New Roman" w:eastAsiaTheme="minorEastAsia" w:hAnsi="Times New Roman" w:cs="Times New Roman"/>
          <w:lang w:bidi="en-US"/>
        </w:rPr>
        <w:lastRenderedPageBreak/>
        <w:t xml:space="preserve">In our case study we will utilize the realizations of matrix </w:t>
      </w:r>
      <w:r w:rsidR="00E33076">
        <w:rPr>
          <w:rFonts w:ascii="Times New Roman" w:eastAsiaTheme="minorEastAsia" w:hAnsi="Times New Roman" w:cs="Times New Roman"/>
          <w:i/>
          <w:lang w:bidi="en-US"/>
        </w:rPr>
        <w:t xml:space="preserve">A </w:t>
      </w:r>
      <w:r w:rsidR="00E33076">
        <w:rPr>
          <w:rFonts w:ascii="Times New Roman" w:eastAsiaTheme="minorEastAsia" w:hAnsi="Times New Roman" w:cs="Times New Roman"/>
          <w:lang w:bidi="en-US"/>
        </w:rPr>
        <w:t>that were determined using the moments of I-O tables directly from BEA for the year 1998-2011</w:t>
      </w:r>
      <w:r w:rsidR="0025233E">
        <w:rPr>
          <w:rFonts w:ascii="Times New Roman" w:eastAsiaTheme="minorEastAsia" w:hAnsi="Times New Roman" w:cs="Times New Roman"/>
          <w:lang w:bidi="en-US"/>
        </w:rPr>
        <w:t xml:space="preserve"> </w:t>
      </w:r>
      <w:r w:rsidR="0025233E">
        <w:rPr>
          <w:rFonts w:ascii="Times New Roman" w:eastAsiaTheme="minorEastAsia" w:hAnsi="Times New Roman" w:cs="Times New Roman"/>
          <w:lang w:bidi="en-US"/>
        </w:rPr>
        <w:fldChar w:fldCharType="begin"/>
      </w:r>
      <w:r w:rsidR="0025233E">
        <w:rPr>
          <w:rFonts w:ascii="Times New Roman" w:eastAsiaTheme="minorEastAsia" w:hAnsi="Times New Roman" w:cs="Times New Roman"/>
          <w:lang w:bidi="en-US"/>
        </w:rPr>
        <w:instrText xml:space="preserve"> ADDIN EN.CITE &lt;EndNote&gt;&lt;Cite&gt;&lt;Author&gt;BEA&lt;/Author&gt;&lt;Year&gt;2013&lt;/Year&gt;&lt;RecNum&gt;13&lt;/RecNum&gt;&lt;DisplayText&gt;[BEA, 2013]&lt;/DisplayText&gt;&lt;record&gt;&lt;rec-number&gt;13&lt;/rec-number&gt;&lt;foreign-keys&gt;&lt;key app="EN" db-id="taps2fsr45efv7e95fc59tzqxfeezpeaz2ev"&gt;13&lt;/key&gt;&lt;/foreign-keys&gt;&lt;ref-type name="Dataset"&gt;59&lt;/ref-type&gt;&lt;contributors&gt;&lt;authors&gt;&lt;author&gt;BEA&lt;/author&gt;&lt;/authors&gt;&lt;secondary-authors&gt;&lt;author&gt;Bureau of Economic Analysis&lt;/author&gt;&lt;/secondary-authors&gt;&lt;/contributors&gt;&lt;titles&gt;&lt;title&gt;Interactive Access to Industry Economic Accounts Data: Input-Output&lt;/title&gt;&lt;/titles&gt;&lt;dates&gt;&lt;year&gt;2013&lt;/year&gt;&lt;/dates&gt;&lt;urls&gt;&lt;related-urls&gt;&lt;url&gt;http://bea.gov/iTable/index_industry_io.cfm&lt;/url&gt;&lt;/related-urls&gt;&lt;/urls&gt;&lt;remote-database-name&gt;Interactive I-O accounts&lt;/remote-database-name&gt;&lt;remote-database-provider&gt;Bureau of Economic Analysis&lt;/remote-database-provider&gt;&lt;access-date&gt;03/11/2013&lt;/access-date&gt;&lt;/record&gt;&lt;/Cite&gt;&lt;/EndNote&gt;</w:instrText>
      </w:r>
      <w:r w:rsidR="0025233E">
        <w:rPr>
          <w:rFonts w:ascii="Times New Roman" w:eastAsiaTheme="minorEastAsia" w:hAnsi="Times New Roman" w:cs="Times New Roman"/>
          <w:lang w:bidi="en-US"/>
        </w:rPr>
        <w:fldChar w:fldCharType="separate"/>
      </w:r>
      <w:r w:rsidR="0025233E">
        <w:rPr>
          <w:rFonts w:ascii="Times New Roman" w:eastAsiaTheme="minorEastAsia" w:hAnsi="Times New Roman" w:cs="Times New Roman"/>
          <w:noProof/>
          <w:lang w:bidi="en-US"/>
        </w:rPr>
        <w:t>[</w:t>
      </w:r>
      <w:hyperlink w:anchor="_ENREF_1" w:tooltip="BEA, 2013 #13" w:history="1">
        <w:r w:rsidR="009C41E7">
          <w:rPr>
            <w:rFonts w:ascii="Times New Roman" w:eastAsiaTheme="minorEastAsia" w:hAnsi="Times New Roman" w:cs="Times New Roman"/>
            <w:noProof/>
            <w:lang w:bidi="en-US"/>
          </w:rPr>
          <w:t>BEA, 2013</w:t>
        </w:r>
      </w:hyperlink>
      <w:r w:rsidR="0025233E">
        <w:rPr>
          <w:rFonts w:ascii="Times New Roman" w:eastAsiaTheme="minorEastAsia" w:hAnsi="Times New Roman" w:cs="Times New Roman"/>
          <w:noProof/>
          <w:lang w:bidi="en-US"/>
        </w:rPr>
        <w:t>]</w:t>
      </w:r>
      <w:r w:rsidR="0025233E">
        <w:rPr>
          <w:rFonts w:ascii="Times New Roman" w:eastAsiaTheme="minorEastAsia" w:hAnsi="Times New Roman" w:cs="Times New Roman"/>
          <w:lang w:bidi="en-US"/>
        </w:rPr>
        <w:fldChar w:fldCharType="end"/>
      </w:r>
      <w:r w:rsidR="00E33076">
        <w:rPr>
          <w:rFonts w:ascii="Times New Roman" w:eastAsiaTheme="minorEastAsia" w:hAnsi="Times New Roman" w:cs="Times New Roman"/>
          <w:lang w:bidi="en-US"/>
        </w:rPr>
        <w:t>.</w:t>
      </w:r>
    </w:p>
    <w:p w14:paraId="5F882CB6" w14:textId="78E0FD2B" w:rsidR="00762599" w:rsidRDefault="003A3964" w:rsidP="00762599">
      <w:pPr>
        <w:pStyle w:val="Heading1"/>
        <w:ind w:left="504"/>
      </w:pPr>
      <w:r>
        <w:t>CASE STUDY OF UNITED STATES</w:t>
      </w:r>
    </w:p>
    <w:p w14:paraId="488F684B" w14:textId="2BD4ECE3" w:rsidR="00303359" w:rsidRPr="00E13C86" w:rsidRDefault="00762599" w:rsidP="002A30E6">
      <w:pPr>
        <w:autoSpaceDE w:val="0"/>
        <w:autoSpaceDN w:val="0"/>
        <w:adjustRightInd w:val="0"/>
        <w:spacing w:line="480" w:lineRule="auto"/>
        <w:ind w:firstLine="504"/>
        <w:jc w:val="both"/>
        <w:rPr>
          <w:rFonts w:ascii="Times New Roman" w:eastAsiaTheme="minorEastAsia" w:hAnsi="Times New Roman" w:cs="Times New Roman"/>
          <w:lang w:bidi="en-US"/>
        </w:rPr>
      </w:pPr>
      <w:r>
        <w:rPr>
          <w:rFonts w:ascii="Times New Roman" w:eastAsiaTheme="minorEastAsia" w:hAnsi="Times New Roman" w:cs="Times New Roman"/>
          <w:lang w:bidi="en-US"/>
        </w:rPr>
        <w:t xml:space="preserve">This research focused on using BEA data which provided I-O accounts for 15 aggregated sectors of the US economy. Policy makers require extensive information to incorporate decisions whose affects reverb on a macro-economic scale. Thus key sector analysis becomes a critical part of that process. </w:t>
      </w:r>
      <w:r w:rsidR="00303359" w:rsidRPr="00303359">
        <w:rPr>
          <w:rFonts w:ascii="Times New Roman" w:eastAsiaTheme="minorEastAsia" w:hAnsi="Times New Roman" w:cs="Times New Roman"/>
          <w:lang w:bidi="en-US"/>
        </w:rPr>
        <w:t>Many accounts have been found in the literature which deals with ‘Key sector analyses’ based on the input-output model. Key sectors analysis identifies and quantifies the economic impact of a particular sector in a given economy. A sector is either an industry or a region, or even a cluster of them</w:t>
      </w:r>
      <w:r w:rsidR="0025233E">
        <w:rPr>
          <w:rFonts w:ascii="Times New Roman" w:eastAsiaTheme="minorEastAsia" w:hAnsi="Times New Roman" w:cs="Times New Roman"/>
          <w:lang w:bidi="en-US"/>
        </w:rPr>
        <w:t xml:space="preserve"> </w:t>
      </w:r>
      <w:r w:rsidR="0025233E">
        <w:rPr>
          <w:rFonts w:ascii="Times New Roman" w:eastAsiaTheme="minorEastAsia" w:hAnsi="Times New Roman" w:cs="Times New Roman"/>
          <w:lang w:bidi="en-US"/>
        </w:rPr>
        <w:fldChar w:fldCharType="begin"/>
      </w:r>
      <w:r w:rsidR="0025233E">
        <w:rPr>
          <w:rFonts w:ascii="Times New Roman" w:eastAsiaTheme="minorEastAsia" w:hAnsi="Times New Roman" w:cs="Times New Roman"/>
          <w:lang w:bidi="en-US"/>
        </w:rPr>
        <w:instrText xml:space="preserve"> ADDIN EN.CITE &lt;EndNote&gt;&lt;Cite&gt;&lt;Author&gt;Beynon&lt;/Author&gt;&lt;Year&gt;2008&lt;/Year&gt;&lt;RecNum&gt;5&lt;/RecNum&gt;&lt;DisplayText&gt;[Beynon and Munday, 2008]&lt;/DisplayText&gt;&lt;record&gt;&lt;rec-number&gt;5&lt;/rec-number&gt;&lt;foreign-keys&gt;&lt;key app="EN" db-id="taps2fsr45efv7e95fc59tzqxfeezpeaz2ev"&gt;5&lt;/key&gt;&lt;/foreign-keys&gt;&lt;ref-type name="Journal Article"&gt;17&lt;/ref-type&gt;&lt;contributors&gt;&lt;authors&gt;&lt;author&gt;Beynon, MalcolmJ&lt;/author&gt;&lt;author&gt;Munday, Max&lt;/author&gt;&lt;/authors&gt;&lt;/contributors&gt;&lt;titles&gt;&lt;title&gt;Stochastic key sector analysis: an application to a regional input–output framework&lt;/title&gt;&lt;secondary-title&gt;The Annals of Regional Science&lt;/secondary-title&gt;&lt;alt-title&gt;Ann Reg Sci&lt;/alt-title&gt;&lt;/titles&gt;&lt;periodical&gt;&lt;full-title&gt;The Annals of Regional Science&lt;/full-title&gt;&lt;abbr-1&gt;Ann Reg Sci&lt;/abbr-1&gt;&lt;/periodical&gt;&lt;alt-periodical&gt;&lt;full-title&gt;The Annals of Regional Science&lt;/full-title&gt;&lt;abbr-1&gt;Ann Reg Sci&lt;/abbr-1&gt;&lt;/alt-periodical&gt;&lt;pages&gt;863-877&lt;/pages&gt;&lt;volume&gt;42&lt;/volume&gt;&lt;number&gt;4&lt;/number&gt;&lt;keywords&gt;&lt;keyword&gt;R15&lt;/keyword&gt;&lt;keyword&gt;C15&lt;/keyword&gt;&lt;keyword&gt;C67&lt;/keyword&gt;&lt;/keywords&gt;&lt;dates&gt;&lt;year&gt;2008&lt;/year&gt;&lt;pub-dates&gt;&lt;date&gt;2008/12/01&lt;/date&gt;&lt;/pub-dates&gt;&lt;/dates&gt;&lt;publisher&gt;Springer-Verlag&lt;/publisher&gt;&lt;isbn&gt;0570-1864&lt;/isbn&gt;&lt;urls&gt;&lt;related-urls&gt;&lt;url&gt;http://dx.doi.org/10.1007/s00168-007-0172-0&lt;/url&gt;&lt;/related-urls&gt;&lt;/urls&gt;&lt;electronic-resource-num&gt;10.1007/s00168-007-0172-0&lt;/electronic-resource-num&gt;&lt;language&gt;English&lt;/language&gt;&lt;/record&gt;&lt;/Cite&gt;&lt;/EndNote&gt;</w:instrText>
      </w:r>
      <w:r w:rsidR="0025233E">
        <w:rPr>
          <w:rFonts w:ascii="Times New Roman" w:eastAsiaTheme="minorEastAsia" w:hAnsi="Times New Roman" w:cs="Times New Roman"/>
          <w:lang w:bidi="en-US"/>
        </w:rPr>
        <w:fldChar w:fldCharType="separate"/>
      </w:r>
      <w:r w:rsidR="0025233E">
        <w:rPr>
          <w:rFonts w:ascii="Times New Roman" w:eastAsiaTheme="minorEastAsia" w:hAnsi="Times New Roman" w:cs="Times New Roman"/>
          <w:noProof/>
          <w:lang w:bidi="en-US"/>
        </w:rPr>
        <w:t>[</w:t>
      </w:r>
      <w:hyperlink w:anchor="_ENREF_2" w:tooltip="Beynon, 2008 #5" w:history="1">
        <w:r w:rsidR="009C41E7">
          <w:rPr>
            <w:rFonts w:ascii="Times New Roman" w:eastAsiaTheme="minorEastAsia" w:hAnsi="Times New Roman" w:cs="Times New Roman"/>
            <w:noProof/>
            <w:lang w:bidi="en-US"/>
          </w:rPr>
          <w:t>Beynon and Munday, 2008</w:t>
        </w:r>
      </w:hyperlink>
      <w:r w:rsidR="0025233E">
        <w:rPr>
          <w:rFonts w:ascii="Times New Roman" w:eastAsiaTheme="minorEastAsia" w:hAnsi="Times New Roman" w:cs="Times New Roman"/>
          <w:noProof/>
          <w:lang w:bidi="en-US"/>
        </w:rPr>
        <w:t>]</w:t>
      </w:r>
      <w:r w:rsidR="0025233E">
        <w:rPr>
          <w:rFonts w:ascii="Times New Roman" w:eastAsiaTheme="minorEastAsia" w:hAnsi="Times New Roman" w:cs="Times New Roman"/>
          <w:lang w:bidi="en-US"/>
        </w:rPr>
        <w:fldChar w:fldCharType="end"/>
      </w:r>
      <w:r w:rsidR="00303359" w:rsidRPr="00303359">
        <w:rPr>
          <w:rFonts w:ascii="Times New Roman" w:eastAsiaTheme="minorEastAsia" w:hAnsi="Times New Roman" w:cs="Times New Roman"/>
          <w:lang w:bidi="en-US"/>
        </w:rPr>
        <w:t xml:space="preserve">. Methodologies for key sector analysis such as ‘multiplier sums’ and ‘extraction methods’ focus solely on the interdependency affects that result from an input–output structure of the economy. </w:t>
      </w:r>
      <w:r w:rsidR="002A30E6">
        <w:rPr>
          <w:rFonts w:ascii="Times New Roman" w:eastAsiaTheme="minorEastAsia" w:hAnsi="Times New Roman" w:cs="Times New Roman"/>
          <w:lang w:bidi="en-US"/>
        </w:rPr>
        <w:t xml:space="preserve">As mentioned earlier </w:t>
      </w:r>
      <w:r w:rsidR="00303359" w:rsidRPr="00303359">
        <w:rPr>
          <w:rFonts w:ascii="Times New Roman" w:eastAsiaTheme="minorEastAsia" w:hAnsi="Times New Roman" w:cs="Times New Roman"/>
          <w:lang w:bidi="en-US"/>
        </w:rPr>
        <w:t xml:space="preserve">inter-industrial </w:t>
      </w:r>
      <w:r w:rsidR="002A30E6" w:rsidRPr="00303359">
        <w:rPr>
          <w:rFonts w:ascii="Times New Roman" w:eastAsiaTheme="minorEastAsia" w:hAnsi="Times New Roman" w:cs="Times New Roman"/>
          <w:lang w:bidi="en-US"/>
        </w:rPr>
        <w:t>backward</w:t>
      </w:r>
      <w:r w:rsidR="00303359" w:rsidRPr="00303359">
        <w:rPr>
          <w:rFonts w:ascii="Times New Roman" w:eastAsiaTheme="minorEastAsia" w:hAnsi="Times New Roman" w:cs="Times New Roman"/>
          <w:lang w:bidi="en-US"/>
        </w:rPr>
        <w:t xml:space="preserve"> and forward linkages </w:t>
      </w:r>
      <w:r w:rsidR="002A30E6">
        <w:rPr>
          <w:rFonts w:ascii="Times New Roman" w:eastAsiaTheme="minorEastAsia" w:hAnsi="Times New Roman" w:cs="Times New Roman"/>
          <w:lang w:bidi="en-US"/>
        </w:rPr>
        <w:t xml:space="preserve">are considered </w:t>
      </w:r>
      <w:r w:rsidR="00303359" w:rsidRPr="00303359">
        <w:rPr>
          <w:rFonts w:ascii="Times New Roman" w:eastAsiaTheme="minorEastAsia" w:hAnsi="Times New Roman" w:cs="Times New Roman"/>
          <w:lang w:bidi="en-US"/>
        </w:rPr>
        <w:t>to analyze the sector’s ability to grow in its econ</w:t>
      </w:r>
      <w:r w:rsidR="0025233E">
        <w:rPr>
          <w:rFonts w:ascii="Times New Roman" w:eastAsiaTheme="minorEastAsia" w:hAnsi="Times New Roman" w:cs="Times New Roman"/>
          <w:lang w:bidi="en-US"/>
        </w:rPr>
        <w:t>omic environment</w:t>
      </w:r>
      <w:r w:rsidR="00CF4DF7">
        <w:rPr>
          <w:rFonts w:ascii="Times New Roman" w:eastAsiaTheme="minorEastAsia" w:hAnsi="Times New Roman" w:cs="Times New Roman"/>
          <w:lang w:bidi="en-US"/>
        </w:rPr>
        <w:t xml:space="preserve"> </w:t>
      </w:r>
      <w:r w:rsidR="00CF4DF7">
        <w:rPr>
          <w:rFonts w:ascii="Times New Roman" w:eastAsiaTheme="minorEastAsia" w:hAnsi="Times New Roman" w:cs="Times New Roman"/>
          <w:lang w:bidi="en-US"/>
        </w:rPr>
        <w:fldChar w:fldCharType="begin"/>
      </w:r>
      <w:r w:rsidR="00CF4DF7">
        <w:rPr>
          <w:rFonts w:ascii="Times New Roman" w:eastAsiaTheme="minorEastAsia" w:hAnsi="Times New Roman" w:cs="Times New Roman"/>
          <w:lang w:bidi="en-US"/>
        </w:rPr>
        <w:instrText xml:space="preserve"> ADDIN EN.CITE &lt;EndNote&gt;&lt;Cite&gt;&lt;Author&gt;Schultz&lt;/Author&gt;&lt;Year&gt;1977&lt;/Year&gt;&lt;RecNum&gt;15&lt;/RecNum&gt;&lt;DisplayText&gt;[Schultz, 1977]&lt;/DisplayText&gt;&lt;record&gt;&lt;rec-number&gt;15&lt;/rec-number&gt;&lt;foreign-keys&gt;&lt;key app="EN" db-id="taps2fsr45efv7e95fc59tzqxfeezpeaz2ev"&gt;15&lt;/key&gt;&lt;/foreign-keys&gt;&lt;ref-type name="Journal Article"&gt;17&lt;/ref-type&gt;&lt;contributors&gt;&lt;authors&gt;&lt;author&gt;Schultz, Siegfried&lt;/author&gt;&lt;/authors&gt;&lt;/contributors&gt;&lt;titles&gt;&lt;title&gt;Approaches to Identifying Key Sectors Empirically by Means of Input-Output Analysis&lt;/title&gt;&lt;secondary-title&gt;Journal of Development Studies&lt;/secondary-title&gt;&lt;/titles&gt;&lt;periodical&gt;&lt;full-title&gt;Journal of Development Studies&lt;/full-title&gt;&lt;/periodical&gt;&lt;pages&gt;77&lt;/pages&gt;&lt;volume&gt;14&lt;/volume&gt;&lt;number&gt;1&lt;/number&gt;&lt;keywords&gt;&lt;keyword&gt;INPUT-output analysis&lt;/keyword&gt;&lt;keyword&gt;BUSINESS enterprises&lt;/keyword&gt;&lt;keyword&gt;ECONOMIC development&lt;/keyword&gt;&lt;/keywords&gt;&lt;dates&gt;&lt;year&gt;1977&lt;/year&gt;&lt;/dates&gt;&lt;publisher&gt;Routledge&lt;/publisher&gt;&lt;isbn&gt;00220388&lt;/isbn&gt;&lt;accession-num&gt;7128707&lt;/accession-num&gt;&lt;work-type&gt;Article&lt;/work-type&gt;&lt;urls&gt;&lt;related-urls&gt;&lt;url&gt;http://proxygw.wrlc.org/login?url=http://search.ebscohost.com/login.aspx?direct=true&amp;amp;db=bth&amp;amp;AN=7128707&amp;amp;site=ehost-live&lt;/url&gt;&lt;/related-urls&gt;&lt;/urls&gt;&lt;remote-database-name&gt;bth&lt;/remote-database-name&gt;&lt;remote-database-provider&gt;EBSCOhost&lt;/remote-database-provider&gt;&lt;/record&gt;&lt;/Cite&gt;&lt;/EndNote&gt;</w:instrText>
      </w:r>
      <w:r w:rsidR="00CF4DF7">
        <w:rPr>
          <w:rFonts w:ascii="Times New Roman" w:eastAsiaTheme="minorEastAsia" w:hAnsi="Times New Roman" w:cs="Times New Roman"/>
          <w:lang w:bidi="en-US"/>
        </w:rPr>
        <w:fldChar w:fldCharType="separate"/>
      </w:r>
      <w:r w:rsidR="00CF4DF7">
        <w:rPr>
          <w:rFonts w:ascii="Times New Roman" w:eastAsiaTheme="minorEastAsia" w:hAnsi="Times New Roman" w:cs="Times New Roman"/>
          <w:noProof/>
          <w:lang w:bidi="en-US"/>
        </w:rPr>
        <w:t>[</w:t>
      </w:r>
      <w:hyperlink w:anchor="_ENREF_14" w:tooltip="Schultz, 1977 #15" w:history="1">
        <w:r w:rsidR="009C41E7">
          <w:rPr>
            <w:rFonts w:ascii="Times New Roman" w:eastAsiaTheme="minorEastAsia" w:hAnsi="Times New Roman" w:cs="Times New Roman"/>
            <w:noProof/>
            <w:lang w:bidi="en-US"/>
          </w:rPr>
          <w:t>Schultz, 1977</w:t>
        </w:r>
      </w:hyperlink>
      <w:r w:rsidR="00CF4DF7">
        <w:rPr>
          <w:rFonts w:ascii="Times New Roman" w:eastAsiaTheme="minorEastAsia" w:hAnsi="Times New Roman" w:cs="Times New Roman"/>
          <w:noProof/>
          <w:lang w:bidi="en-US"/>
        </w:rPr>
        <w:t>]</w:t>
      </w:r>
      <w:r w:rsidR="00CF4DF7">
        <w:rPr>
          <w:rFonts w:ascii="Times New Roman" w:eastAsiaTheme="minorEastAsia" w:hAnsi="Times New Roman" w:cs="Times New Roman"/>
          <w:lang w:bidi="en-US"/>
        </w:rPr>
        <w:fldChar w:fldCharType="end"/>
      </w:r>
      <w:r w:rsidR="0025233E">
        <w:rPr>
          <w:rFonts w:ascii="Times New Roman" w:eastAsiaTheme="minorEastAsia" w:hAnsi="Times New Roman" w:cs="Times New Roman"/>
          <w:lang w:bidi="en-US"/>
        </w:rPr>
        <w:t>.</w:t>
      </w:r>
      <w:r w:rsidR="0025233E">
        <w:rPr>
          <w:rFonts w:ascii="Times New Roman" w:eastAsiaTheme="minorEastAsia" w:hAnsi="Times New Roman" w:cs="Times New Roman"/>
          <w:lang w:bidi="en-US"/>
        </w:rPr>
        <w:fldChar w:fldCharType="begin"/>
      </w:r>
      <w:r w:rsidR="0025233E">
        <w:rPr>
          <w:rFonts w:ascii="Times New Roman" w:eastAsiaTheme="minorEastAsia" w:hAnsi="Times New Roman" w:cs="Times New Roman"/>
          <w:lang w:bidi="en-US"/>
        </w:rPr>
        <w:instrText xml:space="preserve"> ADDIN EN.CITE &lt;EndNote&gt;&lt;Cite AuthorYear="1"&gt;&lt;Author&gt;Beynon&lt;/Author&gt;&lt;Year&gt;2008&lt;/Year&gt;&lt;RecNum&gt;5&lt;/RecNum&gt;&lt;DisplayText&gt; Beynon and Munday [2008]&lt;/DisplayText&gt;&lt;record&gt;&lt;rec-number&gt;5&lt;/rec-number&gt;&lt;foreign-keys&gt;&lt;key app="EN" db-id="taps2fsr45efv7e95fc59tzqxfeezpeaz2ev"&gt;5&lt;/key&gt;&lt;/foreign-keys&gt;&lt;ref-type name="Journal Article"&gt;17&lt;/ref-type&gt;&lt;contributors&gt;&lt;authors&gt;&lt;author&gt;Beynon, MalcolmJ&lt;/author&gt;&lt;author&gt;Munday, Max&lt;/author&gt;&lt;/authors&gt;&lt;/contributors&gt;&lt;titles&gt;&lt;title&gt;Stochastic key sector analysis: an application to a regional input–output framework&lt;/title&gt;&lt;secondary-title&gt;The Annals of Regional Science&lt;/secondary-title&gt;&lt;alt-title&gt;Ann Reg Sci&lt;/alt-title&gt;&lt;/titles&gt;&lt;periodical&gt;&lt;full-title&gt;The Annals of Regional Science&lt;/full-title&gt;&lt;abbr-1&gt;Ann Reg Sci&lt;/abbr-1&gt;&lt;/periodical&gt;&lt;alt-periodical&gt;&lt;full-title&gt;The Annals of Regional Science&lt;/full-title&gt;&lt;abbr-1&gt;Ann Reg Sci&lt;/abbr-1&gt;&lt;/alt-periodical&gt;&lt;pages&gt;863-877&lt;/pages&gt;&lt;volume&gt;42&lt;/volume&gt;&lt;number&gt;4&lt;/number&gt;&lt;keywords&gt;&lt;keyword&gt;R15&lt;/keyword&gt;&lt;keyword&gt;C15&lt;/keyword&gt;&lt;keyword&gt;C67&lt;/keyword&gt;&lt;/keywords&gt;&lt;dates&gt;&lt;year&gt;2008&lt;/year&gt;&lt;pub-dates&gt;&lt;date&gt;2008/12/01&lt;/date&gt;&lt;/pub-dates&gt;&lt;/dates&gt;&lt;publisher&gt;Springer-Verlag&lt;/publisher&gt;&lt;isbn&gt;0570-1864&lt;/isbn&gt;&lt;urls&gt;&lt;related-urls&gt;&lt;url&gt;http://dx.doi.org/10.1007/s00168-007-0172-0&lt;/url&gt;&lt;/related-urls&gt;&lt;/urls&gt;&lt;electronic-resource-num&gt;10.1007/s00168-007-0172-0&lt;/electronic-resource-num&gt;&lt;language&gt;English&lt;/language&gt;&lt;/record&gt;&lt;/Cite&gt;&lt;/EndNote&gt;</w:instrText>
      </w:r>
      <w:r w:rsidR="0025233E">
        <w:rPr>
          <w:rFonts w:ascii="Times New Roman" w:eastAsiaTheme="minorEastAsia" w:hAnsi="Times New Roman" w:cs="Times New Roman"/>
          <w:lang w:bidi="en-US"/>
        </w:rPr>
        <w:fldChar w:fldCharType="separate"/>
      </w:r>
      <w:hyperlink w:anchor="_ENREF_2" w:tooltip="Beynon, 2008 #5" w:history="1">
        <w:r w:rsidR="009C41E7">
          <w:rPr>
            <w:rFonts w:ascii="Times New Roman" w:eastAsiaTheme="minorEastAsia" w:hAnsi="Times New Roman" w:cs="Times New Roman"/>
            <w:noProof/>
            <w:lang w:bidi="en-US"/>
          </w:rPr>
          <w:t xml:space="preserve"> Beynon and Munday [2008</w:t>
        </w:r>
      </w:hyperlink>
      <w:r w:rsidR="0025233E">
        <w:rPr>
          <w:rFonts w:ascii="Times New Roman" w:eastAsiaTheme="minorEastAsia" w:hAnsi="Times New Roman" w:cs="Times New Roman"/>
          <w:noProof/>
          <w:lang w:bidi="en-US"/>
        </w:rPr>
        <w:t>]</w:t>
      </w:r>
      <w:r w:rsidR="0025233E">
        <w:rPr>
          <w:rFonts w:ascii="Times New Roman" w:eastAsiaTheme="minorEastAsia" w:hAnsi="Times New Roman" w:cs="Times New Roman"/>
          <w:lang w:bidi="en-US"/>
        </w:rPr>
        <w:fldChar w:fldCharType="end"/>
      </w:r>
      <w:r w:rsidR="0025233E">
        <w:rPr>
          <w:rFonts w:ascii="Times New Roman" w:eastAsiaTheme="minorEastAsia" w:hAnsi="Times New Roman" w:cs="Times New Roman"/>
          <w:lang w:bidi="en-US"/>
        </w:rPr>
        <w:t xml:space="preserve"> </w:t>
      </w:r>
      <w:r w:rsidR="00303359" w:rsidRPr="00303359">
        <w:rPr>
          <w:rFonts w:ascii="Times New Roman" w:eastAsiaTheme="minorEastAsia" w:hAnsi="Times New Roman" w:cs="Times New Roman"/>
          <w:lang w:bidi="en-US"/>
        </w:rPr>
        <w:t>developed stochastic analytical methods to analyze aggregation of regional sector based input-output data</w:t>
      </w:r>
      <w:r w:rsidR="0025233E">
        <w:rPr>
          <w:rFonts w:ascii="Times New Roman" w:eastAsiaTheme="minorEastAsia" w:hAnsi="Times New Roman" w:cs="Times New Roman"/>
          <w:lang w:bidi="en-US"/>
        </w:rPr>
        <w:t>; and how it</w:t>
      </w:r>
      <w:r w:rsidR="00303359" w:rsidRPr="00303359">
        <w:rPr>
          <w:rFonts w:ascii="Times New Roman" w:eastAsiaTheme="minorEastAsia" w:hAnsi="Times New Roman" w:cs="Times New Roman"/>
          <w:lang w:bidi="en-US"/>
        </w:rPr>
        <w:t xml:space="preserve"> does not provide an accurate identification of sector prioritization.</w:t>
      </w:r>
      <w:r w:rsidR="00CF4DF7">
        <w:rPr>
          <w:rFonts w:ascii="Times New Roman" w:eastAsiaTheme="minorEastAsia" w:hAnsi="Times New Roman" w:cs="Times New Roman"/>
          <w:lang w:bidi="en-US"/>
        </w:rPr>
        <w:fldChar w:fldCharType="begin"/>
      </w:r>
      <w:r w:rsidR="00CF4DF7">
        <w:rPr>
          <w:rFonts w:ascii="Times New Roman" w:eastAsiaTheme="minorEastAsia" w:hAnsi="Times New Roman" w:cs="Times New Roman"/>
          <w:lang w:bidi="en-US"/>
        </w:rPr>
        <w:instrText xml:space="preserve"> ADDIN EN.CITE &lt;EndNote&gt;&lt;Cite AuthorYear="1"&gt;&lt;Author&gt;West&lt;/Author&gt;&lt;Year&gt;1982&lt;/Year&gt;&lt;RecNum&gt;16&lt;/RecNum&gt;&lt;DisplayText&gt; West [1982]&lt;/DisplayText&gt;&lt;record&gt;&lt;rec-number&gt;16&lt;/rec-number&gt;&lt;foreign-keys&gt;&lt;key app="EN" db-id="taps2fsr45efv7e95fc59tzqxfeezpeaz2ev"&gt;16&lt;/key&gt;&lt;/foreign-keys&gt;&lt;ref-type name="Journal Article"&gt;17&lt;/ref-type&gt;&lt;contributors&gt;&lt;authors&gt;&lt;author&gt;West, G. R.&lt;/author&gt;&lt;/authors&gt;&lt;/contributors&gt;&lt;titles&gt;&lt;title&gt;SENSITIVITY AND KEY SECTOR ANALYSIS IN INPUT-OUTPUT MODELS&lt;/title&gt;&lt;secondary-title&gt;Australian Economic Papers&lt;/secondary-title&gt;&lt;/titles&gt;&lt;periodical&gt;&lt;full-title&gt;Australian Economic Papers&lt;/full-title&gt;&lt;/periodical&gt;&lt;pages&gt;365&lt;/pages&gt;&lt;volume&gt;21&lt;/volume&gt;&lt;number&gt;39&lt;/number&gt;&lt;keywords&gt;&lt;keyword&gt;INPUT-output analysis&lt;/keyword&gt;&lt;keyword&gt;AUSTRALIA -- Economic conditions&lt;/keyword&gt;&lt;keyword&gt;SENSITIVITY theory (Mathematics)&lt;/keyword&gt;&lt;keyword&gt;AUSTRALIA&lt;/keyword&gt;&lt;/keywords&gt;&lt;dates&gt;&lt;year&gt;1982&lt;/year&gt;&lt;/dates&gt;&lt;publisher&gt;Wiley-Blackwell&lt;/publisher&gt;&lt;isbn&gt;0004900X&lt;/isbn&gt;&lt;accession-num&gt;6476939&lt;/accession-num&gt;&lt;work-type&gt;Article&lt;/work-type&gt;&lt;urls&gt;&lt;related-urls&gt;&lt;url&gt;http://proxygw.wrlc.org/login?url=http://search.ebscohost.com/login.aspx?direct=true&amp;amp;db=bth&amp;amp;AN=6476939&amp;amp;site=ehost-live&lt;/url&gt;&lt;/related-urls&gt;&lt;/urls&gt;&lt;remote-database-name&gt;bth&lt;/remote-database-name&gt;&lt;remote-database-provider&gt;EBSCOhost&lt;/remote-database-provider&gt;&lt;/record&gt;&lt;/Cite&gt;&lt;/EndNote&gt;</w:instrText>
      </w:r>
      <w:r w:rsidR="00CF4DF7">
        <w:rPr>
          <w:rFonts w:ascii="Times New Roman" w:eastAsiaTheme="minorEastAsia" w:hAnsi="Times New Roman" w:cs="Times New Roman"/>
          <w:lang w:bidi="en-US"/>
        </w:rPr>
        <w:fldChar w:fldCharType="separate"/>
      </w:r>
      <w:hyperlink w:anchor="_ENREF_16" w:tooltip="West, 1982 #16" w:history="1">
        <w:r w:rsidR="009C41E7">
          <w:rPr>
            <w:rFonts w:ascii="Times New Roman" w:eastAsiaTheme="minorEastAsia" w:hAnsi="Times New Roman" w:cs="Times New Roman"/>
            <w:noProof/>
            <w:lang w:bidi="en-US"/>
          </w:rPr>
          <w:t xml:space="preserve"> West [1982</w:t>
        </w:r>
      </w:hyperlink>
      <w:r w:rsidR="00CF4DF7">
        <w:rPr>
          <w:rFonts w:ascii="Times New Roman" w:eastAsiaTheme="minorEastAsia" w:hAnsi="Times New Roman" w:cs="Times New Roman"/>
          <w:noProof/>
          <w:lang w:bidi="en-US"/>
        </w:rPr>
        <w:t>]</w:t>
      </w:r>
      <w:r w:rsidR="00CF4DF7">
        <w:rPr>
          <w:rFonts w:ascii="Times New Roman" w:eastAsiaTheme="minorEastAsia" w:hAnsi="Times New Roman" w:cs="Times New Roman"/>
          <w:lang w:bidi="en-US"/>
        </w:rPr>
        <w:fldChar w:fldCharType="end"/>
      </w:r>
      <w:r w:rsidR="00CF4DF7">
        <w:rPr>
          <w:rFonts w:ascii="Times New Roman" w:eastAsiaTheme="minorEastAsia" w:hAnsi="Times New Roman" w:cs="Times New Roman"/>
          <w:lang w:bidi="en-US"/>
        </w:rPr>
        <w:t xml:space="preserve"> </w:t>
      </w:r>
      <w:r w:rsidR="00303359" w:rsidRPr="00303359">
        <w:rPr>
          <w:rFonts w:ascii="Times New Roman" w:eastAsiaTheme="minorEastAsia" w:hAnsi="Times New Roman" w:cs="Times New Roman"/>
          <w:lang w:bidi="en-US"/>
        </w:rPr>
        <w:t>also argues that while conducting such an analysis, care should be taken about regional trade coefficients, and  identifies through his formulation the impact of such sensitive data to ‘multiplier sums’.</w:t>
      </w:r>
      <w:r w:rsidR="002A30E6">
        <w:rPr>
          <w:rFonts w:ascii="Times New Roman" w:eastAsiaTheme="minorEastAsia" w:hAnsi="Times New Roman" w:cs="Times New Roman"/>
          <w:lang w:bidi="en-US"/>
        </w:rPr>
        <w:t xml:space="preserve"> In our analysis we do not deal with regional coefficients and rely on the already simulated the macro-economic multipliers in the previous section. This research will utilize the concept of multiplier sums to determine the strength of backward linkages of each sector and thus identify key sectors based on those observations. </w:t>
      </w:r>
    </w:p>
    <w:p w14:paraId="26BF7192" w14:textId="250290B6" w:rsidR="00E13C86" w:rsidRPr="00990AF7" w:rsidRDefault="00E13C86" w:rsidP="00E13C86">
      <w:pPr>
        <w:autoSpaceDE w:val="0"/>
        <w:autoSpaceDN w:val="0"/>
        <w:adjustRightInd w:val="0"/>
        <w:spacing w:line="480" w:lineRule="auto"/>
        <w:ind w:firstLine="504"/>
        <w:jc w:val="both"/>
        <w:rPr>
          <w:rFonts w:ascii="Times New Roman" w:eastAsiaTheme="minorEastAsia" w:hAnsi="Times New Roman" w:cs="Times New Roman"/>
          <w:lang w:bidi="en-US"/>
        </w:rPr>
      </w:pPr>
      <w:r>
        <w:rPr>
          <w:rFonts w:ascii="Times New Roman" w:eastAsiaTheme="minorEastAsia" w:hAnsi="Times New Roman" w:cs="Times New Roman"/>
          <w:lang w:bidi="en-US"/>
        </w:rPr>
        <w:t>The Leontief inverse captures both direct and indirect linkages, and is represented as L = (</w:t>
      </w:r>
      <w:r>
        <w:rPr>
          <w:rFonts w:ascii="Times New Roman" w:eastAsiaTheme="minorEastAsia" w:hAnsi="Times New Roman" w:cs="Times New Roman"/>
          <w:i/>
          <w:lang w:bidi="en-US"/>
        </w:rPr>
        <w:t>I-</w:t>
      </w:r>
      <w:r w:rsidRPr="00E13C86">
        <w:rPr>
          <w:rFonts w:ascii="Times New Roman" w:eastAsiaTheme="minorEastAsia" w:hAnsi="Times New Roman" w:cs="Times New Roman"/>
          <w:lang w:bidi="en-US"/>
        </w:rPr>
        <w:t>A</w:t>
      </w:r>
      <w:r>
        <w:rPr>
          <w:rFonts w:ascii="Times New Roman" w:eastAsiaTheme="minorEastAsia" w:hAnsi="Times New Roman" w:cs="Times New Roman"/>
          <w:lang w:bidi="en-US"/>
        </w:rPr>
        <w:t>)</w:t>
      </w:r>
      <w:r>
        <w:rPr>
          <w:rFonts w:ascii="Times New Roman" w:eastAsiaTheme="minorEastAsia" w:hAnsi="Times New Roman" w:cs="Times New Roman"/>
          <w:vertAlign w:val="superscript"/>
          <w:lang w:bidi="en-US"/>
        </w:rPr>
        <w:t xml:space="preserve">-1 </w:t>
      </w:r>
      <w:r>
        <w:rPr>
          <w:rFonts w:ascii="Times New Roman" w:eastAsiaTheme="minorEastAsia" w:hAnsi="Times New Roman" w:cs="Times New Roman"/>
          <w:lang w:bidi="en-US"/>
        </w:rPr>
        <w:t>,</w:t>
      </w:r>
      <w:r>
        <w:rPr>
          <w:rFonts w:ascii="Times New Roman" w:eastAsiaTheme="minorEastAsia" w:hAnsi="Times New Roman" w:cs="Times New Roman"/>
          <w:vertAlign w:val="superscript"/>
          <w:lang w:bidi="en-US"/>
        </w:rPr>
        <w:t xml:space="preserve"> </w:t>
      </w:r>
      <w:r w:rsidR="003F0199">
        <w:rPr>
          <w:rFonts w:ascii="Times New Roman" w:eastAsiaTheme="minorEastAsia" w:hAnsi="Times New Roman" w:cs="Times New Roman"/>
          <w:lang w:bidi="en-US"/>
        </w:rPr>
        <w:t>the</w:t>
      </w:r>
      <w:r>
        <w:rPr>
          <w:rFonts w:ascii="Times New Roman" w:eastAsiaTheme="minorEastAsia" w:hAnsi="Times New Roman" w:cs="Times New Roman"/>
          <w:lang w:bidi="en-US"/>
        </w:rPr>
        <w:t xml:space="preserve"> multiplier sums for sector </w:t>
      </w:r>
      <w:r>
        <w:rPr>
          <w:rFonts w:ascii="Times New Roman" w:eastAsiaTheme="minorEastAsia" w:hAnsi="Times New Roman" w:cs="Times New Roman"/>
          <w:i/>
          <w:lang w:bidi="en-US"/>
        </w:rPr>
        <w:t xml:space="preserve">j </w:t>
      </w:r>
      <w:r>
        <w:rPr>
          <w:rFonts w:ascii="Times New Roman" w:eastAsiaTheme="minorEastAsia" w:hAnsi="Times New Roman" w:cs="Times New Roman"/>
          <w:lang w:bidi="en-US"/>
        </w:rPr>
        <w:t xml:space="preserve">is the column sum of the Leontief inverse for that sector. Similarly the forward linkage is determined by the row sum of the Leontief inverse of the Sector </w:t>
      </w:r>
      <w:r>
        <w:rPr>
          <w:rFonts w:ascii="Times New Roman" w:eastAsiaTheme="minorEastAsia" w:hAnsi="Times New Roman" w:cs="Times New Roman"/>
          <w:i/>
          <w:lang w:bidi="en-US"/>
        </w:rPr>
        <w:t>i</w:t>
      </w:r>
      <w:r>
        <w:rPr>
          <w:rFonts w:ascii="Times New Roman" w:eastAsiaTheme="minorEastAsia" w:hAnsi="Times New Roman" w:cs="Times New Roman"/>
          <w:lang w:bidi="en-US"/>
        </w:rPr>
        <w:t xml:space="preserve">. </w:t>
      </w:r>
      <w:r w:rsidR="00ED5A61">
        <w:rPr>
          <w:rFonts w:ascii="Times New Roman" w:eastAsiaTheme="minorEastAsia" w:hAnsi="Times New Roman" w:cs="Times New Roman"/>
          <w:lang w:bidi="en-US"/>
        </w:rPr>
        <w:t xml:space="preserve">In our analysis we </w:t>
      </w:r>
      <w:r w:rsidR="00ED5A61">
        <w:rPr>
          <w:rFonts w:ascii="Times New Roman" w:eastAsiaTheme="minorEastAsia" w:hAnsi="Times New Roman" w:cs="Times New Roman"/>
          <w:lang w:bidi="en-US"/>
        </w:rPr>
        <w:lastRenderedPageBreak/>
        <w:t>calculated these column and row sums for each sector for the surrogate technical coefficients determined in the earlier section.</w:t>
      </w:r>
      <w:r w:rsidR="00CF4DF7">
        <w:rPr>
          <w:rFonts w:ascii="Times New Roman" w:eastAsiaTheme="minorEastAsia" w:hAnsi="Times New Roman" w:cs="Times New Roman"/>
          <w:lang w:bidi="en-US"/>
        </w:rPr>
        <w:t xml:space="preserve"> </w:t>
      </w:r>
      <w:proofErr w:type="spellStart"/>
      <w:r w:rsidR="00CF4DF7">
        <w:rPr>
          <w:rFonts w:ascii="Times New Roman" w:eastAsiaTheme="minorEastAsia" w:hAnsi="Times New Roman" w:cs="Times New Roman"/>
          <w:lang w:bidi="en-US"/>
        </w:rPr>
        <w:t>L</w:t>
      </w:r>
      <w:r w:rsidR="00CF4DF7">
        <w:rPr>
          <w:rFonts w:ascii="Times New Roman" w:eastAsiaTheme="minorEastAsia" w:hAnsi="Times New Roman" w:cs="Times New Roman"/>
          <w:vertAlign w:val="subscript"/>
          <w:lang w:bidi="en-US"/>
        </w:rPr>
        <w:t>i,j</w:t>
      </w:r>
      <w:proofErr w:type="spellEnd"/>
      <w:r w:rsidR="00CF4DF7">
        <w:rPr>
          <w:rFonts w:ascii="Times New Roman" w:eastAsiaTheme="minorEastAsia" w:hAnsi="Times New Roman" w:cs="Times New Roman"/>
          <w:vertAlign w:val="subscript"/>
          <w:lang w:bidi="en-US"/>
        </w:rPr>
        <w:t xml:space="preserve"> </w:t>
      </w:r>
      <w:r w:rsidR="003F0199">
        <w:rPr>
          <w:rFonts w:ascii="Times New Roman" w:eastAsiaTheme="minorEastAsia" w:hAnsi="Times New Roman" w:cs="Times New Roman"/>
          <w:lang w:bidi="en-US"/>
        </w:rPr>
        <w:t>is</w:t>
      </w:r>
      <w:r w:rsidR="00CF4DF7">
        <w:rPr>
          <w:rFonts w:ascii="Times New Roman" w:eastAsiaTheme="minorEastAsia" w:hAnsi="Times New Roman" w:cs="Times New Roman"/>
          <w:lang w:bidi="en-US"/>
        </w:rPr>
        <w:t xml:space="preserve"> the </w:t>
      </w:r>
      <w:r w:rsidR="00990AF7">
        <w:rPr>
          <w:rFonts w:ascii="Times New Roman" w:eastAsiaTheme="minorEastAsia" w:hAnsi="Times New Roman" w:cs="Times New Roman"/>
          <w:lang w:bidi="en-US"/>
        </w:rPr>
        <w:t>coefficients of the inverse matrix for</w:t>
      </w:r>
      <w:r w:rsidR="00CF4DF7">
        <w:rPr>
          <w:rFonts w:ascii="Times New Roman" w:eastAsiaTheme="minorEastAsia" w:hAnsi="Times New Roman" w:cs="Times New Roman"/>
          <w:lang w:bidi="en-US"/>
        </w:rPr>
        <w:t xml:space="preserve"> sectors </w:t>
      </w:r>
      <w:r w:rsidR="00990AF7">
        <w:rPr>
          <w:rFonts w:ascii="Times New Roman" w:eastAsiaTheme="minorEastAsia" w:hAnsi="Times New Roman" w:cs="Times New Roman"/>
          <w:i/>
          <w:lang w:bidi="en-US"/>
        </w:rPr>
        <w:t xml:space="preserve">i </w:t>
      </w:r>
      <w:r w:rsidR="00990AF7">
        <w:rPr>
          <w:rFonts w:ascii="Times New Roman" w:eastAsiaTheme="minorEastAsia" w:hAnsi="Times New Roman" w:cs="Times New Roman"/>
          <w:lang w:bidi="en-US"/>
        </w:rPr>
        <w:t xml:space="preserve">and </w:t>
      </w:r>
      <w:r w:rsidR="00990AF7">
        <w:rPr>
          <w:rFonts w:ascii="Times New Roman" w:eastAsiaTheme="minorEastAsia" w:hAnsi="Times New Roman" w:cs="Times New Roman"/>
          <w:i/>
          <w:lang w:bidi="en-US"/>
        </w:rPr>
        <w:t>j</w:t>
      </w:r>
      <w:r w:rsidR="00990AF7">
        <w:rPr>
          <w:rFonts w:ascii="Times New Roman" w:eastAsiaTheme="minorEastAsia" w:hAnsi="Times New Roman" w:cs="Times New Roman"/>
          <w:lang w:bidi="en-US"/>
        </w:rPr>
        <w:t>.</w:t>
      </w:r>
    </w:p>
    <w:p w14:paraId="472CB9BF" w14:textId="392DE5C9" w:rsidR="00E13C86" w:rsidRDefault="00E13C86" w:rsidP="00E13C86">
      <w:pPr>
        <w:autoSpaceDE w:val="0"/>
        <w:autoSpaceDN w:val="0"/>
        <w:adjustRightInd w:val="0"/>
        <w:spacing w:line="480" w:lineRule="auto"/>
        <w:ind w:firstLine="504"/>
        <w:jc w:val="both"/>
        <w:rPr>
          <w:rFonts w:ascii="Times New Roman" w:eastAsiaTheme="minorEastAsia" w:hAnsi="Times New Roman" w:cs="Times New Roman"/>
          <w:lang w:bidi="en-US"/>
        </w:rPr>
      </w:pPr>
      <w:r w:rsidRPr="00E13C86">
        <w:rPr>
          <w:rFonts w:ascii="Times New Roman" w:eastAsiaTheme="minorEastAsia" w:hAnsi="Times New Roman" w:cs="Times New Roman"/>
          <w:lang w:bidi="en-US"/>
        </w:rPr>
        <w:t>The</w:t>
      </w:r>
      <w:r>
        <w:rPr>
          <w:rFonts w:ascii="Times New Roman" w:eastAsiaTheme="minorEastAsia" w:hAnsi="Times New Roman" w:cs="Times New Roman"/>
          <w:lang w:bidi="en-US"/>
        </w:rPr>
        <w:t xml:space="preserve"> backward </w:t>
      </w:r>
      <w:r w:rsidR="003F0199">
        <w:rPr>
          <w:rFonts w:ascii="Times New Roman" w:eastAsiaTheme="minorEastAsia" w:hAnsi="Times New Roman" w:cs="Times New Roman"/>
          <w:lang w:bidi="en-US"/>
        </w:rPr>
        <w:t xml:space="preserve">linkages, </w:t>
      </w:r>
      <w:proofErr w:type="spellStart"/>
      <w:r w:rsidR="003F0199">
        <w:rPr>
          <w:rFonts w:ascii="Times New Roman" w:eastAsiaTheme="minorEastAsia" w:hAnsi="Times New Roman" w:cs="Times New Roman"/>
          <w:lang w:bidi="en-US"/>
        </w:rPr>
        <w:t>BL</w:t>
      </w:r>
      <w:r w:rsidR="003F0199">
        <w:rPr>
          <w:rFonts w:ascii="Times New Roman" w:eastAsiaTheme="minorEastAsia" w:hAnsi="Times New Roman" w:cs="Times New Roman"/>
          <w:vertAlign w:val="subscript"/>
          <w:lang w:bidi="en-US"/>
        </w:rPr>
        <w:t>j</w:t>
      </w:r>
      <w:proofErr w:type="spellEnd"/>
      <w:r w:rsidR="003F0199">
        <w:rPr>
          <w:rFonts w:ascii="Times New Roman" w:eastAsiaTheme="minorEastAsia" w:hAnsi="Times New Roman" w:cs="Times New Roman"/>
          <w:vertAlign w:val="subscript"/>
          <w:lang w:bidi="en-US"/>
        </w:rPr>
        <w:t xml:space="preserve"> </w:t>
      </w:r>
      <w:r w:rsidR="003F0199">
        <w:rPr>
          <w:rFonts w:ascii="Times New Roman" w:eastAsiaTheme="minorEastAsia" w:hAnsi="Times New Roman" w:cs="Times New Roman"/>
          <w:lang w:bidi="en-US"/>
        </w:rPr>
        <w:t>are</w:t>
      </w:r>
      <w:r>
        <w:rPr>
          <w:rFonts w:ascii="Times New Roman" w:eastAsiaTheme="minorEastAsia" w:hAnsi="Times New Roman" w:cs="Times New Roman"/>
          <w:lang w:bidi="en-US"/>
        </w:rPr>
        <w:t xml:space="preserve"> determined by the following equation: </w:t>
      </w:r>
    </w:p>
    <w:p w14:paraId="528EB986" w14:textId="318114C9" w:rsidR="00E13C86" w:rsidRPr="00E13C86" w:rsidRDefault="00BE3998" w:rsidP="00E13C86">
      <w:pPr>
        <w:autoSpaceDE w:val="0"/>
        <w:autoSpaceDN w:val="0"/>
        <w:adjustRightInd w:val="0"/>
        <w:spacing w:line="480" w:lineRule="auto"/>
        <w:ind w:firstLine="504"/>
        <w:jc w:val="both"/>
        <w:rPr>
          <w:rFonts w:ascii="Times New Roman" w:eastAsiaTheme="minorEastAsia" w:hAnsi="Times New Roman" w:cs="Times New Roman"/>
          <w:vertAlign w:val="superscript"/>
          <w:lang w:bidi="en-US"/>
        </w:rPr>
      </w:pPr>
      <m:oMath>
        <m:sSub>
          <m:sSubPr>
            <m:ctrlPr>
              <w:rPr>
                <w:rFonts w:ascii="Cambria Math" w:eastAsiaTheme="minorEastAsia" w:hAnsi="Cambria Math" w:cs="Times New Roman"/>
                <w:i/>
                <w:vertAlign w:val="superscript"/>
                <w:lang w:bidi="en-US"/>
              </w:rPr>
            </m:ctrlPr>
          </m:sSubPr>
          <m:e>
            <m:r>
              <w:rPr>
                <w:rFonts w:ascii="Cambria Math" w:eastAsiaTheme="minorEastAsia" w:hAnsi="Cambria Math" w:cs="Times New Roman"/>
                <w:vertAlign w:val="superscript"/>
                <w:lang w:bidi="en-US"/>
              </w:rPr>
              <m:t>BL</m:t>
            </m:r>
          </m:e>
          <m:sub>
            <m:r>
              <w:rPr>
                <w:rFonts w:ascii="Cambria Math" w:eastAsiaTheme="minorEastAsia" w:hAnsi="Cambria Math" w:cs="Times New Roman"/>
                <w:vertAlign w:val="superscript"/>
                <w:lang w:bidi="en-US"/>
              </w:rPr>
              <m:t>j</m:t>
            </m:r>
          </m:sub>
        </m:sSub>
        <m:r>
          <w:rPr>
            <w:rFonts w:ascii="Cambria Math" w:eastAsiaTheme="minorEastAsia" w:hAnsi="Cambria Math" w:cs="Times New Roman"/>
            <w:vertAlign w:val="superscript"/>
            <w:lang w:bidi="en-US"/>
          </w:rPr>
          <m:t>= n*</m:t>
        </m:r>
        <m:f>
          <m:fPr>
            <m:ctrlPr>
              <w:rPr>
                <w:rFonts w:ascii="Cambria Math" w:eastAsiaTheme="minorEastAsia" w:hAnsi="Cambria Math" w:cs="Times New Roman"/>
                <w:i/>
                <w:vertAlign w:val="superscript"/>
                <w:lang w:bidi="en-US"/>
              </w:rPr>
            </m:ctrlPr>
          </m:fPr>
          <m:num>
            <m:nary>
              <m:naryPr>
                <m:chr m:val="∑"/>
                <m:limLoc m:val="undOvr"/>
                <m:ctrlPr>
                  <w:rPr>
                    <w:rFonts w:ascii="Cambria Math" w:eastAsiaTheme="minorEastAsia" w:hAnsi="Cambria Math" w:cs="Times New Roman"/>
                    <w:i/>
                    <w:vertAlign w:val="superscript"/>
                    <w:lang w:bidi="en-US"/>
                  </w:rPr>
                </m:ctrlPr>
              </m:naryPr>
              <m:sub>
                <m:r>
                  <w:rPr>
                    <w:rFonts w:ascii="Cambria Math" w:eastAsiaTheme="minorEastAsia" w:hAnsi="Cambria Math" w:cs="Times New Roman"/>
                    <w:vertAlign w:val="superscript"/>
                    <w:lang w:bidi="en-US"/>
                  </w:rPr>
                  <m:t>i=1</m:t>
                </m:r>
              </m:sub>
              <m:sup>
                <m:r>
                  <w:rPr>
                    <w:rFonts w:ascii="Cambria Math" w:eastAsiaTheme="minorEastAsia" w:hAnsi="Cambria Math" w:cs="Times New Roman"/>
                    <w:vertAlign w:val="superscript"/>
                    <w:lang w:bidi="en-US"/>
                  </w:rPr>
                  <m:t>15</m:t>
                </m:r>
              </m:sup>
              <m:e>
                <m:sSub>
                  <m:sSubPr>
                    <m:ctrlPr>
                      <w:rPr>
                        <w:rFonts w:ascii="Cambria Math" w:eastAsiaTheme="minorEastAsia" w:hAnsi="Cambria Math" w:cs="Times New Roman"/>
                        <w:i/>
                        <w:vertAlign w:val="superscript"/>
                        <w:lang w:bidi="en-US"/>
                      </w:rPr>
                    </m:ctrlPr>
                  </m:sSubPr>
                  <m:e>
                    <m:r>
                      <w:rPr>
                        <w:rFonts w:ascii="Cambria Math" w:eastAsiaTheme="minorEastAsia" w:hAnsi="Cambria Math" w:cs="Times New Roman"/>
                        <w:vertAlign w:val="superscript"/>
                        <w:lang w:bidi="en-US"/>
                      </w:rPr>
                      <m:t>L</m:t>
                    </m:r>
                  </m:e>
                  <m:sub>
                    <m:r>
                      <w:rPr>
                        <w:rFonts w:ascii="Cambria Math" w:eastAsiaTheme="minorEastAsia" w:hAnsi="Cambria Math" w:cs="Times New Roman"/>
                        <w:vertAlign w:val="superscript"/>
                        <w:lang w:bidi="en-US"/>
                      </w:rPr>
                      <m:t>i,j</m:t>
                    </m:r>
                  </m:sub>
                </m:sSub>
              </m:e>
            </m:nary>
          </m:num>
          <m:den>
            <m:nary>
              <m:naryPr>
                <m:chr m:val="∑"/>
                <m:limLoc m:val="undOvr"/>
                <m:ctrlPr>
                  <w:rPr>
                    <w:rFonts w:ascii="Cambria Math" w:eastAsiaTheme="minorEastAsia" w:hAnsi="Cambria Math" w:cs="Times New Roman"/>
                    <w:i/>
                    <w:vertAlign w:val="superscript"/>
                    <w:lang w:bidi="en-US"/>
                  </w:rPr>
                </m:ctrlPr>
              </m:naryPr>
              <m:sub>
                <m:r>
                  <w:rPr>
                    <w:rFonts w:ascii="Cambria Math" w:eastAsiaTheme="minorEastAsia" w:hAnsi="Cambria Math" w:cs="Times New Roman"/>
                    <w:vertAlign w:val="superscript"/>
                    <w:lang w:bidi="en-US"/>
                  </w:rPr>
                  <m:t>i=1</m:t>
                </m:r>
              </m:sub>
              <m:sup>
                <m:r>
                  <w:rPr>
                    <w:rFonts w:ascii="Cambria Math" w:eastAsiaTheme="minorEastAsia" w:hAnsi="Cambria Math" w:cs="Times New Roman"/>
                    <w:vertAlign w:val="superscript"/>
                    <w:lang w:bidi="en-US"/>
                  </w:rPr>
                  <m:t>15</m:t>
                </m:r>
              </m:sup>
              <m:e>
                <m:nary>
                  <m:naryPr>
                    <m:chr m:val="∑"/>
                    <m:limLoc m:val="undOvr"/>
                    <m:ctrlPr>
                      <w:rPr>
                        <w:rFonts w:ascii="Cambria Math" w:eastAsiaTheme="minorEastAsia" w:hAnsi="Cambria Math" w:cs="Times New Roman"/>
                        <w:i/>
                        <w:vertAlign w:val="superscript"/>
                        <w:lang w:bidi="en-US"/>
                      </w:rPr>
                    </m:ctrlPr>
                  </m:naryPr>
                  <m:sub>
                    <m:r>
                      <w:rPr>
                        <w:rFonts w:ascii="Cambria Math" w:eastAsiaTheme="minorEastAsia" w:hAnsi="Cambria Math" w:cs="Times New Roman"/>
                        <w:vertAlign w:val="superscript"/>
                        <w:lang w:bidi="en-US"/>
                      </w:rPr>
                      <m:t>j=1</m:t>
                    </m:r>
                  </m:sub>
                  <m:sup>
                    <m:r>
                      <w:rPr>
                        <w:rFonts w:ascii="Cambria Math" w:eastAsiaTheme="minorEastAsia" w:hAnsi="Cambria Math" w:cs="Times New Roman"/>
                        <w:vertAlign w:val="superscript"/>
                        <w:lang w:bidi="en-US"/>
                      </w:rPr>
                      <m:t>15</m:t>
                    </m:r>
                  </m:sup>
                  <m:e>
                    <m:sSub>
                      <m:sSubPr>
                        <m:ctrlPr>
                          <w:rPr>
                            <w:rFonts w:ascii="Cambria Math" w:eastAsiaTheme="minorEastAsia" w:hAnsi="Cambria Math" w:cs="Times New Roman"/>
                            <w:i/>
                            <w:vertAlign w:val="superscript"/>
                            <w:lang w:bidi="en-US"/>
                          </w:rPr>
                        </m:ctrlPr>
                      </m:sSubPr>
                      <m:e>
                        <m:r>
                          <w:rPr>
                            <w:rFonts w:ascii="Cambria Math" w:eastAsiaTheme="minorEastAsia" w:hAnsi="Cambria Math" w:cs="Times New Roman"/>
                            <w:vertAlign w:val="superscript"/>
                            <w:lang w:bidi="en-US"/>
                          </w:rPr>
                          <m:t>L</m:t>
                        </m:r>
                      </m:e>
                      <m:sub>
                        <m:r>
                          <w:rPr>
                            <w:rFonts w:ascii="Cambria Math" w:eastAsiaTheme="minorEastAsia" w:hAnsi="Cambria Math" w:cs="Times New Roman"/>
                            <w:vertAlign w:val="superscript"/>
                            <w:lang w:bidi="en-US"/>
                          </w:rPr>
                          <m:t>i,j</m:t>
                        </m:r>
                      </m:sub>
                    </m:sSub>
                  </m:e>
                </m:nary>
              </m:e>
            </m:nary>
          </m:den>
        </m:f>
      </m:oMath>
      <w:r w:rsidR="00E13C86">
        <w:rPr>
          <w:rFonts w:ascii="Times New Roman" w:eastAsiaTheme="minorEastAsia" w:hAnsi="Times New Roman" w:cs="Times New Roman"/>
          <w:i/>
          <w:lang w:bidi="en-US"/>
        </w:rPr>
        <w:t xml:space="preserve">            </w:t>
      </w:r>
      <w:r w:rsidR="00E13C86">
        <w:rPr>
          <w:rFonts w:ascii="Times New Roman" w:eastAsiaTheme="minorEastAsia" w:hAnsi="Times New Roman" w:cs="Times New Roman"/>
          <w:i/>
          <w:lang w:bidi="en-US"/>
        </w:rPr>
        <w:tab/>
      </w:r>
      <w:r w:rsidR="00E13C86">
        <w:rPr>
          <w:rFonts w:ascii="Times New Roman" w:eastAsiaTheme="minorEastAsia" w:hAnsi="Times New Roman" w:cs="Times New Roman"/>
          <w:i/>
          <w:lang w:bidi="en-US"/>
        </w:rPr>
        <w:tab/>
        <w:t xml:space="preserve">      </w:t>
      </w:r>
      <w:r w:rsidR="00E13C86">
        <w:rPr>
          <w:rFonts w:ascii="Times New Roman" w:eastAsiaTheme="minorEastAsia" w:hAnsi="Times New Roman" w:cs="Times New Roman"/>
          <w:i/>
          <w:lang w:bidi="en-US"/>
        </w:rPr>
        <w:tab/>
      </w:r>
      <w:r w:rsidR="00E13C86">
        <w:rPr>
          <w:rFonts w:ascii="Times New Roman" w:eastAsiaTheme="minorEastAsia" w:hAnsi="Times New Roman" w:cs="Times New Roman"/>
          <w:i/>
          <w:lang w:bidi="en-US"/>
        </w:rPr>
        <w:tab/>
      </w:r>
      <w:r w:rsidR="00E13C86">
        <w:rPr>
          <w:rFonts w:ascii="Times New Roman" w:eastAsiaTheme="minorEastAsia" w:hAnsi="Times New Roman" w:cs="Times New Roman"/>
          <w:i/>
          <w:lang w:bidi="en-US"/>
        </w:rPr>
        <w:tab/>
      </w:r>
      <w:r w:rsidR="00E13C86">
        <w:rPr>
          <w:rFonts w:ascii="Times New Roman" w:eastAsiaTheme="minorEastAsia" w:hAnsi="Times New Roman" w:cs="Times New Roman"/>
          <w:i/>
          <w:lang w:bidi="en-US"/>
        </w:rPr>
        <w:tab/>
      </w:r>
      <w:r w:rsidR="00E13C86">
        <w:rPr>
          <w:rFonts w:ascii="Times New Roman" w:eastAsiaTheme="minorEastAsia" w:hAnsi="Times New Roman" w:cs="Times New Roman"/>
          <w:i/>
          <w:lang w:bidi="en-US"/>
        </w:rPr>
        <w:tab/>
      </w:r>
      <w:r w:rsidR="00E13C86">
        <w:rPr>
          <w:rFonts w:ascii="Times New Roman" w:eastAsiaTheme="minorEastAsia" w:hAnsi="Times New Roman" w:cs="Times New Roman"/>
          <w:i/>
          <w:lang w:bidi="en-US"/>
        </w:rPr>
        <w:tab/>
        <w:t xml:space="preserve">        </w:t>
      </w:r>
      <w:r w:rsidR="00E13C86">
        <w:rPr>
          <w:rFonts w:ascii="Times New Roman" w:eastAsiaTheme="minorEastAsia" w:hAnsi="Times New Roman" w:cs="Times New Roman"/>
          <w:lang w:bidi="en-US"/>
        </w:rPr>
        <w:t>(8)</w:t>
      </w:r>
    </w:p>
    <w:p w14:paraId="4BC324E6" w14:textId="186B68EB" w:rsidR="00437A42" w:rsidRDefault="00ED5A61" w:rsidP="00437A42">
      <w:pPr>
        <w:autoSpaceDE w:val="0"/>
        <w:autoSpaceDN w:val="0"/>
        <w:adjustRightInd w:val="0"/>
        <w:spacing w:line="480" w:lineRule="auto"/>
        <w:ind w:firstLine="504"/>
        <w:jc w:val="both"/>
        <w:rPr>
          <w:rFonts w:ascii="Times New Roman" w:eastAsiaTheme="minorEastAsia" w:hAnsi="Times New Roman" w:cs="Times New Roman"/>
          <w:lang w:bidi="en-US"/>
        </w:rPr>
      </w:pPr>
      <w:r>
        <w:rPr>
          <w:rFonts w:ascii="Times New Roman" w:eastAsiaTheme="minorEastAsia" w:hAnsi="Times New Roman" w:cs="Times New Roman"/>
          <w:lang w:bidi="en-US"/>
        </w:rPr>
        <w:t xml:space="preserve">Using the equations above backward linkages for each of the 1000 realizations was calculated. On that basis, we can also determine the average backward linkages for each sector, and thus rank all the sectors based on their strength of backward linkage; implying how extensively the output of that sector is dependent on inter-industry input </w:t>
      </w:r>
      <w:r w:rsidR="00437A42">
        <w:rPr>
          <w:rFonts w:ascii="Times New Roman" w:eastAsiaTheme="minorEastAsia" w:hAnsi="Times New Roman" w:cs="Times New Roman"/>
          <w:lang w:bidi="en-US"/>
        </w:rPr>
        <w:t>(or</w:t>
      </w:r>
      <w:r>
        <w:rPr>
          <w:rFonts w:ascii="Times New Roman" w:eastAsiaTheme="minorEastAsia" w:hAnsi="Times New Roman" w:cs="Times New Roman"/>
          <w:lang w:bidi="en-US"/>
        </w:rPr>
        <w:t xml:space="preserve"> demand of output</w:t>
      </w:r>
      <w:r w:rsidR="00437A42">
        <w:rPr>
          <w:rFonts w:ascii="Times New Roman" w:eastAsiaTheme="minorEastAsia" w:hAnsi="Times New Roman" w:cs="Times New Roman"/>
          <w:lang w:bidi="en-US"/>
        </w:rPr>
        <w:t xml:space="preserve"> of other sector</w:t>
      </w:r>
      <w:r>
        <w:rPr>
          <w:rFonts w:ascii="Times New Roman" w:eastAsiaTheme="minorEastAsia" w:hAnsi="Times New Roman" w:cs="Times New Roman"/>
          <w:lang w:bidi="en-US"/>
        </w:rPr>
        <w:t>s</w:t>
      </w:r>
      <w:r w:rsidR="00437A42">
        <w:rPr>
          <w:rFonts w:ascii="Times New Roman" w:eastAsiaTheme="minorEastAsia" w:hAnsi="Times New Roman" w:cs="Times New Roman"/>
          <w:lang w:bidi="en-US"/>
        </w:rPr>
        <w:t>)</w:t>
      </w:r>
      <w:r>
        <w:rPr>
          <w:rFonts w:ascii="Times New Roman" w:eastAsiaTheme="minorEastAsia" w:hAnsi="Times New Roman" w:cs="Times New Roman"/>
          <w:lang w:bidi="en-US"/>
        </w:rPr>
        <w:t>.</w:t>
      </w:r>
    </w:p>
    <w:p w14:paraId="770A3BF5" w14:textId="77777777" w:rsidR="00990AF7" w:rsidRDefault="00990AF7" w:rsidP="00990AF7">
      <w:pPr>
        <w:autoSpaceDE w:val="0"/>
        <w:autoSpaceDN w:val="0"/>
        <w:adjustRightInd w:val="0"/>
        <w:spacing w:line="480" w:lineRule="auto"/>
        <w:ind w:firstLine="504"/>
        <w:jc w:val="both"/>
        <w:rPr>
          <w:rFonts w:ascii="Times New Roman" w:eastAsiaTheme="minorEastAsia" w:hAnsi="Times New Roman" w:cs="Times New Roman"/>
          <w:lang w:bidi="en-US"/>
        </w:rPr>
      </w:pPr>
      <w:r>
        <w:rPr>
          <w:rFonts w:ascii="Times New Roman" w:eastAsiaTheme="minorEastAsia" w:hAnsi="Times New Roman" w:cs="Times New Roman"/>
          <w:lang w:bidi="en-US"/>
        </w:rPr>
        <w:tab/>
        <w:t xml:space="preserve">Table 1 provides a ranking of sectors based on the strength of backward linkage for each sector. The analysis identifies 5 key sectors: Manufacturing (S5), </w:t>
      </w:r>
      <w:r w:rsidRPr="0055594B">
        <w:rPr>
          <w:rFonts w:ascii="Times New Roman" w:eastAsiaTheme="minorEastAsia" w:hAnsi="Times New Roman" w:cs="Times New Roman"/>
          <w:lang w:bidi="en-US"/>
        </w:rPr>
        <w:t>Agriculture, Forestry, Fishing and Hunting</w:t>
      </w:r>
      <w:r>
        <w:rPr>
          <w:rFonts w:ascii="Times New Roman" w:eastAsiaTheme="minorEastAsia" w:hAnsi="Times New Roman" w:cs="Times New Roman"/>
          <w:lang w:bidi="en-US"/>
        </w:rPr>
        <w:t xml:space="preserve"> (S1), Construction (S4), Transportation and warehousing (S8) and Information (S9). The output production of these key sectors is heavily dependent on other sectors. Thus if growth in these sectors is pursued it would cause a ripple effect and would boost demand of products from other sectors these key sectors are dependent on. The boost in demand would motivate other sectors to grow as well and thus enable the entire economy to grow. </w:t>
      </w:r>
    </w:p>
    <w:p w14:paraId="12138518" w14:textId="77777777" w:rsidR="00990AF7" w:rsidRDefault="00990AF7" w:rsidP="00990AF7">
      <w:pPr>
        <w:autoSpaceDE w:val="0"/>
        <w:autoSpaceDN w:val="0"/>
        <w:adjustRightInd w:val="0"/>
        <w:spacing w:line="480" w:lineRule="auto"/>
        <w:ind w:firstLine="504"/>
        <w:jc w:val="both"/>
        <w:rPr>
          <w:rFonts w:ascii="Times New Roman" w:eastAsiaTheme="minorEastAsia" w:hAnsi="Times New Roman" w:cs="Times New Roman"/>
          <w:lang w:bidi="en-US"/>
        </w:rPr>
      </w:pPr>
      <w:r>
        <w:rPr>
          <w:rFonts w:ascii="Times New Roman" w:eastAsiaTheme="minorEastAsia" w:hAnsi="Times New Roman" w:cs="Times New Roman"/>
          <w:lang w:bidi="en-US"/>
        </w:rPr>
        <w:t>Figures 1 and 2 illustrate distributions associated with the multiplier sum of each sector based on its backward linkage. We observe that all the sectors have a fairly similar spread within their distributions; the exception which holds out is the Utilities (S3) sector which has a fair spread across all other sectors. This is fairly intuitive since a measure of this sector, Utilities, is fairly spread across all other sectors, and contributions from other sectors could fairly fluctuate depending on various circumstances.</w:t>
      </w:r>
    </w:p>
    <w:p w14:paraId="715582D8" w14:textId="07D02D44" w:rsidR="009C41E7" w:rsidRDefault="009C41E7" w:rsidP="00990AF7">
      <w:pPr>
        <w:autoSpaceDE w:val="0"/>
        <w:autoSpaceDN w:val="0"/>
        <w:adjustRightInd w:val="0"/>
        <w:spacing w:line="480" w:lineRule="auto"/>
        <w:ind w:firstLine="504"/>
        <w:jc w:val="both"/>
        <w:rPr>
          <w:rFonts w:ascii="Times New Roman" w:eastAsiaTheme="minorEastAsia" w:hAnsi="Times New Roman" w:cs="Times New Roman"/>
          <w:lang w:bidi="en-US"/>
        </w:rPr>
      </w:pPr>
      <w:r>
        <w:rPr>
          <w:rFonts w:ascii="Times New Roman" w:eastAsiaTheme="minorEastAsia" w:hAnsi="Times New Roman" w:cs="Times New Roman"/>
          <w:lang w:bidi="en-US"/>
        </w:rPr>
        <w:t xml:space="preserve">A complimentary approach to assessing backward and forward linkages is given by </w:t>
      </w:r>
      <w:r>
        <w:rPr>
          <w:rFonts w:ascii="Times New Roman" w:eastAsiaTheme="minorEastAsia" w:hAnsi="Times New Roman" w:cs="Times New Roman"/>
          <w:lang w:bidi="en-US"/>
        </w:rPr>
        <w:fldChar w:fldCharType="begin"/>
      </w:r>
      <w:r>
        <w:rPr>
          <w:rFonts w:ascii="Times New Roman" w:eastAsiaTheme="minorEastAsia" w:hAnsi="Times New Roman" w:cs="Times New Roman"/>
          <w:lang w:bidi="en-US"/>
        </w:rPr>
        <w:instrText xml:space="preserve"> ADDIN EN.CITE &lt;EndNote&gt;&lt;Cite AuthorYear="1"&gt;&lt;Author&gt;Dietzenbacher&lt;/Author&gt;&lt;Year&gt;1992&lt;/Year&gt;&lt;RecNum&gt;8&lt;/RecNum&gt;&lt;DisplayText&gt; Dietzenbacher [1992]&lt;/DisplayText&gt;&lt;record&gt;&lt;rec-number&gt;8&lt;/rec-number&gt;&lt;foreign-keys&gt;&lt;key app="EN" db-id="taps2fsr45efv7e95fc59tzqxfeezpeaz2ev"&gt;8&lt;/key&gt;&lt;/foreign-keys&gt;&lt;ref-type name="Journal Article"&gt;17&lt;/ref-type&gt;&lt;contributors&gt;&lt;authors&gt;&lt;author&gt;Dietzenbacher, Erik&lt;/author&gt;&lt;/authors&gt;&lt;/contributors&gt;&lt;titles&gt;&lt;title&gt;The measurement of interindustry linkages: Key sectors in the Netherlands&lt;/title&gt;&lt;secondary-title&gt;Economic Modelling&lt;/secondary-title&gt;&lt;/titles&gt;&lt;periodical&gt;&lt;full-title&gt;Economic Modelling&lt;/full-title&gt;&lt;/periodical&gt;&lt;pages&gt;419-437&lt;/pages&gt;&lt;volume&gt;9&lt;/volume&gt;&lt;number&gt;4&lt;/number&gt;&lt;keywords&gt;&lt;keyword&gt;Interindustry linkages&lt;/keyword&gt;&lt;keyword&gt;Input-output tables&lt;/keyword&gt;&lt;keyword&gt;Matrix analysis&lt;/keyword&gt;&lt;/keywords&gt;&lt;dates&gt;&lt;year&gt;1992&lt;/year&gt;&lt;pub-dates&gt;&lt;date&gt;10//&lt;/date&gt;&lt;/pub-dates&gt;&lt;/dates&gt;&lt;isbn&gt;0264-9993&lt;/isbn&gt;&lt;urls&gt;&lt;related-urls&gt;&lt;url&gt;http://www.sciencedirect.com/science/article/pii/026499939290022T&lt;/url&gt;&lt;/related-urls&gt;&lt;/urls&gt;&lt;electronic-resource-num&gt;http://dx.doi.org/10.1016/0264-9993(92)90022-T&lt;/electronic-resource-num&gt;&lt;/record&gt;&lt;/Cite&gt;&lt;/EndNote&gt;</w:instrText>
      </w:r>
      <w:r>
        <w:rPr>
          <w:rFonts w:ascii="Times New Roman" w:eastAsiaTheme="minorEastAsia" w:hAnsi="Times New Roman" w:cs="Times New Roman"/>
          <w:lang w:bidi="en-US"/>
        </w:rPr>
        <w:fldChar w:fldCharType="separate"/>
      </w:r>
      <w:hyperlink w:anchor="_ENREF_3" w:tooltip="Dietzenbacher, 1992 #8" w:history="1">
        <w:r>
          <w:rPr>
            <w:rFonts w:ascii="Times New Roman" w:eastAsiaTheme="minorEastAsia" w:hAnsi="Times New Roman" w:cs="Times New Roman"/>
            <w:noProof/>
            <w:lang w:bidi="en-US"/>
          </w:rPr>
          <w:t xml:space="preserve"> Dietzenbacher [1992</w:t>
        </w:r>
      </w:hyperlink>
      <w:r>
        <w:rPr>
          <w:rFonts w:ascii="Times New Roman" w:eastAsiaTheme="minorEastAsia" w:hAnsi="Times New Roman" w:cs="Times New Roman"/>
          <w:noProof/>
          <w:lang w:bidi="en-US"/>
        </w:rPr>
        <w:t>]</w:t>
      </w:r>
      <w:r>
        <w:rPr>
          <w:rFonts w:ascii="Times New Roman" w:eastAsiaTheme="minorEastAsia" w:hAnsi="Times New Roman" w:cs="Times New Roman"/>
          <w:lang w:bidi="en-US"/>
        </w:rPr>
        <w:fldChar w:fldCharType="end"/>
      </w:r>
      <w:r>
        <w:rPr>
          <w:rFonts w:ascii="Times New Roman" w:eastAsiaTheme="minorEastAsia" w:hAnsi="Times New Roman" w:cs="Times New Roman"/>
          <w:lang w:bidi="en-US"/>
        </w:rPr>
        <w:t xml:space="preserve">, which further elaborates the concept of ‘Power of Pull’ within the overall network influences. The idea presented is that a sector would be more powerful if it’s interconnected to other powerful sectors, and </w:t>
      </w:r>
    </w:p>
    <w:p w14:paraId="5D956FDE" w14:textId="77777777" w:rsidR="00990AF7" w:rsidRDefault="00990AF7" w:rsidP="00437A42">
      <w:pPr>
        <w:autoSpaceDE w:val="0"/>
        <w:autoSpaceDN w:val="0"/>
        <w:adjustRightInd w:val="0"/>
        <w:spacing w:line="480" w:lineRule="auto"/>
        <w:ind w:firstLine="504"/>
        <w:jc w:val="both"/>
        <w:rPr>
          <w:rFonts w:ascii="Times New Roman" w:eastAsiaTheme="minorEastAsia" w:hAnsi="Times New Roman" w:cs="Times New Roman"/>
          <w:lang w:bidi="en-US"/>
        </w:rPr>
      </w:pPr>
    </w:p>
    <w:p w14:paraId="3DEF0570" w14:textId="51C71664" w:rsidR="00D21780" w:rsidRDefault="00D21780" w:rsidP="00D21780">
      <w:pPr>
        <w:pStyle w:val="Caption"/>
        <w:keepNext/>
        <w:spacing w:line="480" w:lineRule="auto"/>
        <w:jc w:val="center"/>
      </w:pPr>
      <w:r>
        <w:t xml:space="preserve">Table </w:t>
      </w:r>
      <w:fldSimple w:instr=" SEQ Table \* ARABIC ">
        <w:r>
          <w:rPr>
            <w:noProof/>
          </w:rPr>
          <w:t>1</w:t>
        </w:r>
      </w:fldSimple>
      <w:r>
        <w:t xml:space="preserve"> - </w:t>
      </w:r>
      <w:r w:rsidRPr="00AA5F01">
        <w:t>Sector Ranking based on Backward Linkages</w:t>
      </w:r>
    </w:p>
    <w:tbl>
      <w:tblPr>
        <w:tblW w:w="7668" w:type="dxa"/>
        <w:jc w:val="center"/>
        <w:tblBorders>
          <w:top w:val="double" w:sz="4" w:space="0" w:color="auto"/>
          <w:bottom w:val="single" w:sz="4" w:space="0" w:color="auto"/>
        </w:tblBorders>
        <w:tblLook w:val="04A0" w:firstRow="1" w:lastRow="0" w:firstColumn="1" w:lastColumn="0" w:noHBand="0" w:noVBand="1"/>
      </w:tblPr>
      <w:tblGrid>
        <w:gridCol w:w="859"/>
        <w:gridCol w:w="683"/>
        <w:gridCol w:w="4866"/>
        <w:gridCol w:w="1260"/>
      </w:tblGrid>
      <w:tr w:rsidR="00437A42" w:rsidRPr="00704EE9" w14:paraId="6E24B85C" w14:textId="77777777" w:rsidTr="00D21780">
        <w:trPr>
          <w:trHeight w:val="292"/>
          <w:jc w:val="center"/>
        </w:trPr>
        <w:tc>
          <w:tcPr>
            <w:tcW w:w="859" w:type="dxa"/>
            <w:tcBorders>
              <w:top w:val="double" w:sz="4" w:space="0" w:color="auto"/>
              <w:bottom w:val="single" w:sz="4" w:space="0" w:color="auto"/>
            </w:tcBorders>
            <w:shd w:val="clear" w:color="auto" w:fill="auto"/>
            <w:noWrap/>
            <w:vAlign w:val="bottom"/>
            <w:hideMark/>
          </w:tcPr>
          <w:p w14:paraId="5DA83B3A" w14:textId="6DBF8F39" w:rsidR="00437A42" w:rsidRPr="00704EE9" w:rsidRDefault="00437A42" w:rsidP="00894513">
            <w:pPr>
              <w:rPr>
                <w:rFonts w:ascii="Calibri" w:hAnsi="Calibri"/>
                <w:color w:val="000000"/>
                <w:sz w:val="18"/>
              </w:rPr>
            </w:pPr>
            <w:r>
              <w:rPr>
                <w:rFonts w:ascii="Calibri" w:hAnsi="Calibri"/>
                <w:color w:val="000000"/>
                <w:sz w:val="18"/>
              </w:rPr>
              <w:t>Rank</w:t>
            </w:r>
          </w:p>
        </w:tc>
        <w:tc>
          <w:tcPr>
            <w:tcW w:w="683" w:type="dxa"/>
            <w:tcBorders>
              <w:top w:val="double" w:sz="4" w:space="0" w:color="auto"/>
              <w:bottom w:val="single" w:sz="4" w:space="0" w:color="auto"/>
            </w:tcBorders>
          </w:tcPr>
          <w:p w14:paraId="479BB6B2" w14:textId="10ED072C" w:rsidR="00437A42" w:rsidRPr="00704EE9" w:rsidRDefault="00437A42" w:rsidP="00894513">
            <w:pPr>
              <w:jc w:val="center"/>
              <w:rPr>
                <w:rFonts w:ascii="Calibri" w:hAnsi="Calibri"/>
                <w:color w:val="000000"/>
                <w:sz w:val="18"/>
              </w:rPr>
            </w:pPr>
            <w:r>
              <w:rPr>
                <w:rFonts w:ascii="Calibri" w:hAnsi="Calibri"/>
                <w:color w:val="000000"/>
                <w:sz w:val="18"/>
              </w:rPr>
              <w:t>Sector</w:t>
            </w:r>
          </w:p>
        </w:tc>
        <w:tc>
          <w:tcPr>
            <w:tcW w:w="4866" w:type="dxa"/>
            <w:tcBorders>
              <w:top w:val="double" w:sz="4" w:space="0" w:color="auto"/>
              <w:bottom w:val="single" w:sz="4" w:space="0" w:color="auto"/>
            </w:tcBorders>
            <w:shd w:val="clear" w:color="auto" w:fill="auto"/>
            <w:noWrap/>
            <w:vAlign w:val="bottom"/>
            <w:hideMark/>
          </w:tcPr>
          <w:p w14:paraId="19F4F98A" w14:textId="75DA9A64" w:rsidR="00437A42" w:rsidRPr="00704EE9" w:rsidRDefault="00437A42" w:rsidP="00D21780">
            <w:pPr>
              <w:jc w:val="center"/>
              <w:rPr>
                <w:rFonts w:ascii="Calibri" w:hAnsi="Calibri"/>
                <w:color w:val="000000"/>
                <w:sz w:val="18"/>
              </w:rPr>
            </w:pPr>
            <w:r>
              <w:rPr>
                <w:rFonts w:ascii="Calibri" w:hAnsi="Calibri"/>
                <w:color w:val="000000"/>
                <w:sz w:val="18"/>
              </w:rPr>
              <w:t>Sector Name</w:t>
            </w:r>
          </w:p>
        </w:tc>
        <w:tc>
          <w:tcPr>
            <w:tcW w:w="1260" w:type="dxa"/>
            <w:tcBorders>
              <w:top w:val="double" w:sz="4" w:space="0" w:color="auto"/>
              <w:bottom w:val="single" w:sz="4" w:space="0" w:color="auto"/>
            </w:tcBorders>
            <w:shd w:val="clear" w:color="auto" w:fill="auto"/>
            <w:noWrap/>
            <w:vAlign w:val="bottom"/>
            <w:hideMark/>
          </w:tcPr>
          <w:p w14:paraId="6615D1F6" w14:textId="7F9E029B" w:rsidR="00437A42" w:rsidRPr="00D21780" w:rsidRDefault="00437A42" w:rsidP="00D21780">
            <w:pPr>
              <w:jc w:val="center"/>
              <w:rPr>
                <w:rFonts w:ascii="Calibri" w:hAnsi="Calibri"/>
                <w:color w:val="000000"/>
                <w:sz w:val="18"/>
                <w:vertAlign w:val="subscript"/>
              </w:rPr>
            </w:pPr>
            <w:r w:rsidRPr="00704EE9">
              <w:rPr>
                <w:rFonts w:ascii="Calibri" w:hAnsi="Calibri"/>
                <w:color w:val="000000"/>
                <w:sz w:val="18"/>
              </w:rPr>
              <w:t xml:space="preserve">Average </w:t>
            </w:r>
            <w:r w:rsidR="00D21780">
              <w:rPr>
                <w:rFonts w:ascii="Calibri" w:hAnsi="Calibri"/>
                <w:color w:val="000000"/>
                <w:sz w:val="18"/>
              </w:rPr>
              <w:t>BL</w:t>
            </w:r>
            <w:r w:rsidR="00D21780">
              <w:rPr>
                <w:rFonts w:ascii="Calibri" w:hAnsi="Calibri"/>
                <w:color w:val="000000"/>
                <w:sz w:val="18"/>
                <w:vertAlign w:val="subscript"/>
              </w:rPr>
              <w:t>j</w:t>
            </w:r>
          </w:p>
        </w:tc>
      </w:tr>
      <w:tr w:rsidR="00D21780" w:rsidRPr="00704EE9" w14:paraId="48B8691E" w14:textId="77777777" w:rsidTr="00D21780">
        <w:trPr>
          <w:trHeight w:val="292"/>
          <w:jc w:val="center"/>
        </w:trPr>
        <w:tc>
          <w:tcPr>
            <w:tcW w:w="859" w:type="dxa"/>
            <w:tcBorders>
              <w:top w:val="single" w:sz="4" w:space="0" w:color="auto"/>
            </w:tcBorders>
            <w:shd w:val="clear" w:color="auto" w:fill="auto"/>
            <w:noWrap/>
            <w:vAlign w:val="bottom"/>
            <w:hideMark/>
          </w:tcPr>
          <w:p w14:paraId="11C19424" w14:textId="098F2EEB" w:rsidR="00D21780" w:rsidRPr="00704EE9" w:rsidRDefault="00D21780" w:rsidP="00894513">
            <w:pPr>
              <w:rPr>
                <w:rFonts w:ascii="Calibri" w:hAnsi="Calibri"/>
                <w:color w:val="000000"/>
              </w:rPr>
            </w:pPr>
            <w:r>
              <w:rPr>
                <w:rFonts w:ascii="Calibri" w:hAnsi="Calibri"/>
                <w:color w:val="000000"/>
              </w:rPr>
              <w:t>1</w:t>
            </w:r>
          </w:p>
        </w:tc>
        <w:tc>
          <w:tcPr>
            <w:tcW w:w="683" w:type="dxa"/>
            <w:tcBorders>
              <w:top w:val="single" w:sz="4" w:space="0" w:color="auto"/>
            </w:tcBorders>
            <w:vAlign w:val="bottom"/>
          </w:tcPr>
          <w:p w14:paraId="4F3EF7B0" w14:textId="113466FE" w:rsidR="00D21780" w:rsidRDefault="00D21780" w:rsidP="00894513">
            <w:pPr>
              <w:jc w:val="center"/>
              <w:rPr>
                <w:rFonts w:ascii="Calibri" w:hAnsi="Calibri"/>
                <w:color w:val="000000"/>
              </w:rPr>
            </w:pPr>
            <w:r>
              <w:rPr>
                <w:rFonts w:ascii="Calibri" w:hAnsi="Calibri"/>
                <w:color w:val="000000"/>
              </w:rPr>
              <w:t>S5</w:t>
            </w:r>
          </w:p>
        </w:tc>
        <w:tc>
          <w:tcPr>
            <w:tcW w:w="4866" w:type="dxa"/>
            <w:tcBorders>
              <w:top w:val="single" w:sz="4" w:space="0" w:color="auto"/>
            </w:tcBorders>
            <w:shd w:val="clear" w:color="auto" w:fill="auto"/>
            <w:noWrap/>
            <w:vAlign w:val="bottom"/>
            <w:hideMark/>
          </w:tcPr>
          <w:p w14:paraId="4A5CE026" w14:textId="4D6E783F" w:rsidR="00D21780" w:rsidRPr="00704EE9" w:rsidRDefault="00D21780" w:rsidP="00D21780">
            <w:pPr>
              <w:jc w:val="center"/>
              <w:rPr>
                <w:rFonts w:ascii="Calibri" w:hAnsi="Calibri"/>
                <w:color w:val="000000"/>
              </w:rPr>
            </w:pPr>
            <w:r>
              <w:rPr>
                <w:rFonts w:ascii="Calibri" w:hAnsi="Calibri"/>
                <w:color w:val="000000"/>
              </w:rPr>
              <w:t>Manufacturing</w:t>
            </w:r>
          </w:p>
        </w:tc>
        <w:tc>
          <w:tcPr>
            <w:tcW w:w="1260" w:type="dxa"/>
            <w:tcBorders>
              <w:top w:val="single" w:sz="4" w:space="0" w:color="auto"/>
            </w:tcBorders>
            <w:shd w:val="clear" w:color="auto" w:fill="auto"/>
            <w:noWrap/>
            <w:vAlign w:val="bottom"/>
            <w:hideMark/>
          </w:tcPr>
          <w:p w14:paraId="680FFF0C" w14:textId="54DA5364" w:rsidR="00D21780" w:rsidRPr="00704EE9" w:rsidRDefault="00D21780" w:rsidP="00894513">
            <w:pPr>
              <w:jc w:val="center"/>
              <w:rPr>
                <w:rFonts w:ascii="Calibri" w:hAnsi="Calibri"/>
                <w:color w:val="000000"/>
              </w:rPr>
            </w:pPr>
            <w:r>
              <w:rPr>
                <w:rFonts w:ascii="Calibri" w:hAnsi="Calibri"/>
                <w:color w:val="000000"/>
              </w:rPr>
              <w:t>1.326304</w:t>
            </w:r>
          </w:p>
        </w:tc>
      </w:tr>
      <w:tr w:rsidR="00D21780" w:rsidRPr="00704EE9" w14:paraId="33C1F987" w14:textId="77777777" w:rsidTr="00D21780">
        <w:trPr>
          <w:trHeight w:val="292"/>
          <w:jc w:val="center"/>
        </w:trPr>
        <w:tc>
          <w:tcPr>
            <w:tcW w:w="859" w:type="dxa"/>
            <w:shd w:val="clear" w:color="auto" w:fill="auto"/>
            <w:noWrap/>
            <w:vAlign w:val="bottom"/>
            <w:hideMark/>
          </w:tcPr>
          <w:p w14:paraId="65A5841B" w14:textId="1E8A8F56" w:rsidR="00D21780" w:rsidRPr="00704EE9" w:rsidRDefault="00D21780" w:rsidP="00894513">
            <w:pPr>
              <w:rPr>
                <w:rFonts w:ascii="Calibri" w:hAnsi="Calibri"/>
                <w:color w:val="000000"/>
              </w:rPr>
            </w:pPr>
            <w:r>
              <w:rPr>
                <w:rFonts w:ascii="Calibri" w:hAnsi="Calibri"/>
                <w:color w:val="000000"/>
              </w:rPr>
              <w:t>2</w:t>
            </w:r>
          </w:p>
        </w:tc>
        <w:tc>
          <w:tcPr>
            <w:tcW w:w="683" w:type="dxa"/>
            <w:vAlign w:val="bottom"/>
          </w:tcPr>
          <w:p w14:paraId="4C431E95" w14:textId="225FCB9B" w:rsidR="00D21780" w:rsidRDefault="00D21780" w:rsidP="00894513">
            <w:pPr>
              <w:jc w:val="center"/>
              <w:rPr>
                <w:rFonts w:ascii="Calibri" w:hAnsi="Calibri"/>
                <w:color w:val="000000"/>
              </w:rPr>
            </w:pPr>
            <w:r>
              <w:rPr>
                <w:rFonts w:ascii="Calibri" w:hAnsi="Calibri"/>
                <w:color w:val="000000"/>
              </w:rPr>
              <w:t>S1</w:t>
            </w:r>
          </w:p>
        </w:tc>
        <w:tc>
          <w:tcPr>
            <w:tcW w:w="4866" w:type="dxa"/>
            <w:shd w:val="clear" w:color="auto" w:fill="auto"/>
            <w:noWrap/>
            <w:vAlign w:val="bottom"/>
            <w:hideMark/>
          </w:tcPr>
          <w:p w14:paraId="19C9E258" w14:textId="143EC053" w:rsidR="00D21780" w:rsidRPr="00704EE9" w:rsidRDefault="00D21780" w:rsidP="00D21780">
            <w:pPr>
              <w:jc w:val="center"/>
              <w:rPr>
                <w:rFonts w:ascii="Calibri" w:hAnsi="Calibri"/>
                <w:color w:val="000000"/>
              </w:rPr>
            </w:pPr>
            <w:r>
              <w:rPr>
                <w:rFonts w:ascii="Calibri" w:hAnsi="Calibri"/>
                <w:color w:val="000000"/>
              </w:rPr>
              <w:t>Agriculture, Forestry, Fishing and Hunting</w:t>
            </w:r>
          </w:p>
        </w:tc>
        <w:tc>
          <w:tcPr>
            <w:tcW w:w="1260" w:type="dxa"/>
            <w:shd w:val="clear" w:color="auto" w:fill="auto"/>
            <w:noWrap/>
            <w:vAlign w:val="bottom"/>
            <w:hideMark/>
          </w:tcPr>
          <w:p w14:paraId="70FCF7F9" w14:textId="52ABC086" w:rsidR="00D21780" w:rsidRPr="00704EE9" w:rsidRDefault="00D21780" w:rsidP="00894513">
            <w:pPr>
              <w:jc w:val="center"/>
              <w:rPr>
                <w:rFonts w:ascii="Calibri" w:hAnsi="Calibri"/>
                <w:color w:val="000000"/>
              </w:rPr>
            </w:pPr>
            <w:r>
              <w:rPr>
                <w:rFonts w:ascii="Calibri" w:hAnsi="Calibri"/>
                <w:color w:val="000000"/>
              </w:rPr>
              <w:t>1.224062</w:t>
            </w:r>
          </w:p>
        </w:tc>
      </w:tr>
      <w:tr w:rsidR="00D21780" w:rsidRPr="00704EE9" w14:paraId="55518BA6" w14:textId="77777777" w:rsidTr="00D21780">
        <w:trPr>
          <w:trHeight w:val="292"/>
          <w:jc w:val="center"/>
        </w:trPr>
        <w:tc>
          <w:tcPr>
            <w:tcW w:w="859" w:type="dxa"/>
            <w:shd w:val="clear" w:color="auto" w:fill="auto"/>
            <w:noWrap/>
            <w:vAlign w:val="bottom"/>
            <w:hideMark/>
          </w:tcPr>
          <w:p w14:paraId="338E8370" w14:textId="3A9BC0E8" w:rsidR="00D21780" w:rsidRPr="00704EE9" w:rsidRDefault="00D21780" w:rsidP="00894513">
            <w:pPr>
              <w:rPr>
                <w:rFonts w:ascii="Calibri" w:hAnsi="Calibri"/>
                <w:color w:val="000000"/>
              </w:rPr>
            </w:pPr>
            <w:r>
              <w:rPr>
                <w:rFonts w:ascii="Calibri" w:hAnsi="Calibri"/>
                <w:color w:val="000000"/>
              </w:rPr>
              <w:t>3</w:t>
            </w:r>
          </w:p>
        </w:tc>
        <w:tc>
          <w:tcPr>
            <w:tcW w:w="683" w:type="dxa"/>
            <w:vAlign w:val="bottom"/>
          </w:tcPr>
          <w:p w14:paraId="7D46BC5E" w14:textId="5012CF07" w:rsidR="00D21780" w:rsidRDefault="00D21780" w:rsidP="00894513">
            <w:pPr>
              <w:jc w:val="center"/>
              <w:rPr>
                <w:rFonts w:ascii="Calibri" w:hAnsi="Calibri"/>
                <w:color w:val="000000"/>
              </w:rPr>
            </w:pPr>
            <w:r>
              <w:rPr>
                <w:rFonts w:ascii="Calibri" w:hAnsi="Calibri"/>
                <w:color w:val="000000"/>
              </w:rPr>
              <w:t>S4</w:t>
            </w:r>
          </w:p>
        </w:tc>
        <w:tc>
          <w:tcPr>
            <w:tcW w:w="4866" w:type="dxa"/>
            <w:shd w:val="clear" w:color="auto" w:fill="auto"/>
            <w:noWrap/>
            <w:vAlign w:val="bottom"/>
            <w:hideMark/>
          </w:tcPr>
          <w:p w14:paraId="7D553FE4" w14:textId="7D3A51C9" w:rsidR="00D21780" w:rsidRPr="00704EE9" w:rsidRDefault="00D21780" w:rsidP="00D21780">
            <w:pPr>
              <w:jc w:val="center"/>
              <w:rPr>
                <w:rFonts w:ascii="Calibri" w:hAnsi="Calibri"/>
                <w:color w:val="000000"/>
              </w:rPr>
            </w:pPr>
            <w:r>
              <w:rPr>
                <w:rFonts w:ascii="Calibri" w:hAnsi="Calibri"/>
                <w:color w:val="000000"/>
              </w:rPr>
              <w:t>Construction</w:t>
            </w:r>
          </w:p>
        </w:tc>
        <w:tc>
          <w:tcPr>
            <w:tcW w:w="1260" w:type="dxa"/>
            <w:shd w:val="clear" w:color="auto" w:fill="auto"/>
            <w:noWrap/>
            <w:vAlign w:val="bottom"/>
            <w:hideMark/>
          </w:tcPr>
          <w:p w14:paraId="4A8116B9" w14:textId="503E47E4" w:rsidR="00D21780" w:rsidRPr="00704EE9" w:rsidRDefault="00D21780" w:rsidP="00894513">
            <w:pPr>
              <w:jc w:val="center"/>
              <w:rPr>
                <w:rFonts w:ascii="Calibri" w:hAnsi="Calibri"/>
                <w:color w:val="000000"/>
              </w:rPr>
            </w:pPr>
            <w:r>
              <w:rPr>
                <w:rFonts w:ascii="Calibri" w:hAnsi="Calibri"/>
                <w:color w:val="000000"/>
              </w:rPr>
              <w:t>1.114771</w:t>
            </w:r>
          </w:p>
        </w:tc>
      </w:tr>
      <w:tr w:rsidR="00D21780" w:rsidRPr="00704EE9" w14:paraId="038AFAEE" w14:textId="77777777" w:rsidTr="00D21780">
        <w:trPr>
          <w:trHeight w:val="292"/>
          <w:jc w:val="center"/>
        </w:trPr>
        <w:tc>
          <w:tcPr>
            <w:tcW w:w="859" w:type="dxa"/>
            <w:shd w:val="clear" w:color="auto" w:fill="auto"/>
            <w:noWrap/>
            <w:vAlign w:val="bottom"/>
            <w:hideMark/>
          </w:tcPr>
          <w:p w14:paraId="34675458" w14:textId="4F570BDD" w:rsidR="00D21780" w:rsidRPr="00704EE9" w:rsidRDefault="00D21780" w:rsidP="00894513">
            <w:pPr>
              <w:rPr>
                <w:rFonts w:ascii="Calibri" w:hAnsi="Calibri"/>
                <w:color w:val="000000"/>
              </w:rPr>
            </w:pPr>
            <w:r>
              <w:rPr>
                <w:rFonts w:ascii="Calibri" w:hAnsi="Calibri"/>
                <w:color w:val="000000"/>
              </w:rPr>
              <w:t>4</w:t>
            </w:r>
          </w:p>
        </w:tc>
        <w:tc>
          <w:tcPr>
            <w:tcW w:w="683" w:type="dxa"/>
            <w:vAlign w:val="bottom"/>
          </w:tcPr>
          <w:p w14:paraId="5406575F" w14:textId="7C9D1196" w:rsidR="00D21780" w:rsidRDefault="00D21780" w:rsidP="00894513">
            <w:pPr>
              <w:jc w:val="center"/>
              <w:rPr>
                <w:rFonts w:ascii="Calibri" w:hAnsi="Calibri"/>
                <w:color w:val="000000"/>
              </w:rPr>
            </w:pPr>
            <w:r>
              <w:rPr>
                <w:rFonts w:ascii="Calibri" w:hAnsi="Calibri"/>
                <w:color w:val="000000"/>
              </w:rPr>
              <w:t>S8</w:t>
            </w:r>
          </w:p>
        </w:tc>
        <w:tc>
          <w:tcPr>
            <w:tcW w:w="4866" w:type="dxa"/>
            <w:shd w:val="clear" w:color="auto" w:fill="auto"/>
            <w:noWrap/>
            <w:vAlign w:val="bottom"/>
            <w:hideMark/>
          </w:tcPr>
          <w:p w14:paraId="7B1B832A" w14:textId="003D2BB0" w:rsidR="00D21780" w:rsidRPr="00704EE9" w:rsidRDefault="00D21780" w:rsidP="00D21780">
            <w:pPr>
              <w:jc w:val="center"/>
              <w:rPr>
                <w:rFonts w:ascii="Calibri" w:hAnsi="Calibri"/>
                <w:color w:val="000000"/>
              </w:rPr>
            </w:pPr>
            <w:r>
              <w:rPr>
                <w:rFonts w:ascii="Calibri" w:hAnsi="Calibri"/>
                <w:color w:val="000000"/>
              </w:rPr>
              <w:t>Transportation and Warehousing</w:t>
            </w:r>
          </w:p>
        </w:tc>
        <w:tc>
          <w:tcPr>
            <w:tcW w:w="1260" w:type="dxa"/>
            <w:shd w:val="clear" w:color="auto" w:fill="auto"/>
            <w:noWrap/>
            <w:vAlign w:val="bottom"/>
            <w:hideMark/>
          </w:tcPr>
          <w:p w14:paraId="6983E23C" w14:textId="6BBEB24C" w:rsidR="00D21780" w:rsidRPr="00704EE9" w:rsidRDefault="00D21780" w:rsidP="00894513">
            <w:pPr>
              <w:jc w:val="center"/>
              <w:rPr>
                <w:rFonts w:ascii="Calibri" w:hAnsi="Calibri"/>
                <w:color w:val="000000"/>
              </w:rPr>
            </w:pPr>
            <w:r>
              <w:rPr>
                <w:rFonts w:ascii="Calibri" w:hAnsi="Calibri"/>
                <w:color w:val="000000"/>
              </w:rPr>
              <w:t>1.060625</w:t>
            </w:r>
          </w:p>
        </w:tc>
      </w:tr>
      <w:tr w:rsidR="00D21780" w:rsidRPr="00704EE9" w14:paraId="6FC47B86" w14:textId="77777777" w:rsidTr="00D21780">
        <w:trPr>
          <w:trHeight w:val="292"/>
          <w:jc w:val="center"/>
        </w:trPr>
        <w:tc>
          <w:tcPr>
            <w:tcW w:w="859" w:type="dxa"/>
            <w:shd w:val="clear" w:color="auto" w:fill="auto"/>
            <w:noWrap/>
            <w:vAlign w:val="bottom"/>
            <w:hideMark/>
          </w:tcPr>
          <w:p w14:paraId="05C93BDB" w14:textId="0FF1A4F9" w:rsidR="00D21780" w:rsidRPr="00704EE9" w:rsidRDefault="00D21780" w:rsidP="00894513">
            <w:pPr>
              <w:rPr>
                <w:rFonts w:ascii="Calibri" w:hAnsi="Calibri"/>
                <w:color w:val="000000"/>
              </w:rPr>
            </w:pPr>
            <w:r>
              <w:rPr>
                <w:rFonts w:ascii="Calibri" w:hAnsi="Calibri"/>
                <w:color w:val="000000"/>
              </w:rPr>
              <w:t>5</w:t>
            </w:r>
          </w:p>
        </w:tc>
        <w:tc>
          <w:tcPr>
            <w:tcW w:w="683" w:type="dxa"/>
            <w:vAlign w:val="bottom"/>
          </w:tcPr>
          <w:p w14:paraId="095C3C04" w14:textId="30B8A3B9" w:rsidR="00D21780" w:rsidRDefault="00D21780" w:rsidP="00894513">
            <w:pPr>
              <w:jc w:val="center"/>
              <w:rPr>
                <w:rFonts w:ascii="Calibri" w:hAnsi="Calibri"/>
                <w:color w:val="000000"/>
              </w:rPr>
            </w:pPr>
            <w:r>
              <w:rPr>
                <w:rFonts w:ascii="Calibri" w:hAnsi="Calibri"/>
                <w:color w:val="000000"/>
              </w:rPr>
              <w:t>S9</w:t>
            </w:r>
          </w:p>
        </w:tc>
        <w:tc>
          <w:tcPr>
            <w:tcW w:w="4866" w:type="dxa"/>
            <w:shd w:val="clear" w:color="auto" w:fill="auto"/>
            <w:noWrap/>
            <w:vAlign w:val="bottom"/>
            <w:hideMark/>
          </w:tcPr>
          <w:p w14:paraId="1409E74D" w14:textId="25DA56A2" w:rsidR="00D21780" w:rsidRPr="00704EE9" w:rsidRDefault="00D21780" w:rsidP="00D21780">
            <w:pPr>
              <w:jc w:val="center"/>
              <w:rPr>
                <w:rFonts w:ascii="Calibri" w:hAnsi="Calibri"/>
                <w:color w:val="000000"/>
              </w:rPr>
            </w:pPr>
            <w:r>
              <w:rPr>
                <w:rFonts w:ascii="Calibri" w:hAnsi="Calibri"/>
                <w:color w:val="000000"/>
              </w:rPr>
              <w:t>Information</w:t>
            </w:r>
          </w:p>
        </w:tc>
        <w:tc>
          <w:tcPr>
            <w:tcW w:w="1260" w:type="dxa"/>
            <w:shd w:val="clear" w:color="auto" w:fill="auto"/>
            <w:noWrap/>
            <w:vAlign w:val="bottom"/>
            <w:hideMark/>
          </w:tcPr>
          <w:p w14:paraId="5AFB24ED" w14:textId="3FB8BD52" w:rsidR="00D21780" w:rsidRPr="00704EE9" w:rsidRDefault="00D21780" w:rsidP="00894513">
            <w:pPr>
              <w:jc w:val="center"/>
              <w:rPr>
                <w:rFonts w:ascii="Calibri" w:hAnsi="Calibri"/>
                <w:color w:val="000000"/>
              </w:rPr>
            </w:pPr>
            <w:r>
              <w:rPr>
                <w:rFonts w:ascii="Calibri" w:hAnsi="Calibri"/>
                <w:color w:val="000000"/>
              </w:rPr>
              <w:t>1.041928</w:t>
            </w:r>
          </w:p>
        </w:tc>
      </w:tr>
      <w:tr w:rsidR="00D21780" w:rsidRPr="00704EE9" w14:paraId="6FF892DD" w14:textId="77777777" w:rsidTr="00D21780">
        <w:trPr>
          <w:trHeight w:val="292"/>
          <w:jc w:val="center"/>
        </w:trPr>
        <w:tc>
          <w:tcPr>
            <w:tcW w:w="859" w:type="dxa"/>
            <w:shd w:val="clear" w:color="auto" w:fill="auto"/>
            <w:noWrap/>
            <w:vAlign w:val="bottom"/>
            <w:hideMark/>
          </w:tcPr>
          <w:p w14:paraId="5FC3C54E" w14:textId="32925B5B" w:rsidR="00D21780" w:rsidRPr="00704EE9" w:rsidRDefault="00D21780" w:rsidP="00894513">
            <w:pPr>
              <w:rPr>
                <w:rFonts w:ascii="Calibri" w:hAnsi="Calibri"/>
                <w:color w:val="000000"/>
              </w:rPr>
            </w:pPr>
            <w:r>
              <w:rPr>
                <w:rFonts w:ascii="Calibri" w:hAnsi="Calibri"/>
                <w:color w:val="000000"/>
              </w:rPr>
              <w:t>6</w:t>
            </w:r>
          </w:p>
        </w:tc>
        <w:tc>
          <w:tcPr>
            <w:tcW w:w="683" w:type="dxa"/>
            <w:vAlign w:val="bottom"/>
          </w:tcPr>
          <w:p w14:paraId="21097159" w14:textId="366DD031" w:rsidR="00D21780" w:rsidRDefault="00D21780" w:rsidP="00894513">
            <w:pPr>
              <w:jc w:val="center"/>
              <w:rPr>
                <w:rFonts w:ascii="Calibri" w:hAnsi="Calibri"/>
                <w:color w:val="000000"/>
              </w:rPr>
            </w:pPr>
            <w:r>
              <w:rPr>
                <w:rFonts w:ascii="Calibri" w:hAnsi="Calibri"/>
                <w:color w:val="000000"/>
              </w:rPr>
              <w:t>S2</w:t>
            </w:r>
          </w:p>
        </w:tc>
        <w:tc>
          <w:tcPr>
            <w:tcW w:w="4866" w:type="dxa"/>
            <w:shd w:val="clear" w:color="auto" w:fill="auto"/>
            <w:noWrap/>
            <w:vAlign w:val="bottom"/>
            <w:hideMark/>
          </w:tcPr>
          <w:p w14:paraId="74752450" w14:textId="328B4993" w:rsidR="00D21780" w:rsidRPr="00704EE9" w:rsidRDefault="00D21780" w:rsidP="00D21780">
            <w:pPr>
              <w:jc w:val="center"/>
              <w:rPr>
                <w:rFonts w:ascii="Calibri" w:hAnsi="Calibri"/>
                <w:color w:val="000000"/>
              </w:rPr>
            </w:pPr>
            <w:r>
              <w:rPr>
                <w:rFonts w:ascii="Calibri" w:hAnsi="Calibri"/>
                <w:color w:val="000000"/>
              </w:rPr>
              <w:t>Mining</w:t>
            </w:r>
          </w:p>
        </w:tc>
        <w:tc>
          <w:tcPr>
            <w:tcW w:w="1260" w:type="dxa"/>
            <w:shd w:val="clear" w:color="auto" w:fill="auto"/>
            <w:noWrap/>
            <w:vAlign w:val="bottom"/>
            <w:hideMark/>
          </w:tcPr>
          <w:p w14:paraId="4CFF0F3E" w14:textId="1F3E94F2" w:rsidR="00D21780" w:rsidRPr="00704EE9" w:rsidRDefault="00D21780" w:rsidP="00894513">
            <w:pPr>
              <w:jc w:val="center"/>
              <w:rPr>
                <w:rFonts w:ascii="Calibri" w:hAnsi="Calibri"/>
                <w:color w:val="000000"/>
              </w:rPr>
            </w:pPr>
            <w:r>
              <w:rPr>
                <w:rFonts w:ascii="Calibri" w:hAnsi="Calibri"/>
                <w:color w:val="000000"/>
              </w:rPr>
              <w:t>1.010095</w:t>
            </w:r>
          </w:p>
        </w:tc>
      </w:tr>
      <w:tr w:rsidR="00D21780" w:rsidRPr="00704EE9" w14:paraId="539BD27C" w14:textId="77777777" w:rsidTr="00D21780">
        <w:trPr>
          <w:trHeight w:val="292"/>
          <w:jc w:val="center"/>
        </w:trPr>
        <w:tc>
          <w:tcPr>
            <w:tcW w:w="859" w:type="dxa"/>
            <w:shd w:val="clear" w:color="auto" w:fill="auto"/>
            <w:noWrap/>
            <w:vAlign w:val="bottom"/>
            <w:hideMark/>
          </w:tcPr>
          <w:p w14:paraId="2E272438" w14:textId="072CA0CD" w:rsidR="00D21780" w:rsidRPr="00704EE9" w:rsidRDefault="00D21780" w:rsidP="00894513">
            <w:pPr>
              <w:rPr>
                <w:rFonts w:ascii="Calibri" w:hAnsi="Calibri"/>
                <w:color w:val="000000"/>
              </w:rPr>
            </w:pPr>
            <w:r>
              <w:rPr>
                <w:rFonts w:ascii="Calibri" w:hAnsi="Calibri"/>
                <w:color w:val="000000"/>
              </w:rPr>
              <w:t>7</w:t>
            </w:r>
          </w:p>
        </w:tc>
        <w:tc>
          <w:tcPr>
            <w:tcW w:w="683" w:type="dxa"/>
            <w:vAlign w:val="bottom"/>
          </w:tcPr>
          <w:p w14:paraId="0954EECC" w14:textId="2DD8B56E" w:rsidR="00D21780" w:rsidRDefault="00D21780" w:rsidP="00894513">
            <w:pPr>
              <w:jc w:val="center"/>
              <w:rPr>
                <w:rFonts w:ascii="Calibri" w:hAnsi="Calibri"/>
                <w:color w:val="000000"/>
              </w:rPr>
            </w:pPr>
            <w:r>
              <w:rPr>
                <w:rFonts w:ascii="Calibri" w:hAnsi="Calibri"/>
                <w:color w:val="000000"/>
              </w:rPr>
              <w:t>S13</w:t>
            </w:r>
          </w:p>
        </w:tc>
        <w:tc>
          <w:tcPr>
            <w:tcW w:w="4866" w:type="dxa"/>
            <w:shd w:val="clear" w:color="auto" w:fill="auto"/>
            <w:noWrap/>
            <w:vAlign w:val="bottom"/>
            <w:hideMark/>
          </w:tcPr>
          <w:p w14:paraId="2EA53C74" w14:textId="37D8543C" w:rsidR="00D21780" w:rsidRPr="00704EE9" w:rsidRDefault="00D21780" w:rsidP="00D21780">
            <w:pPr>
              <w:jc w:val="center"/>
              <w:rPr>
                <w:rFonts w:ascii="Calibri" w:hAnsi="Calibri"/>
                <w:color w:val="000000"/>
              </w:rPr>
            </w:pPr>
            <w:r>
              <w:rPr>
                <w:rFonts w:ascii="Calibri" w:hAnsi="Calibri"/>
                <w:color w:val="000000"/>
              </w:rPr>
              <w:t>Arts, Entertainment, Recreation, Accommodation and Food Services</w:t>
            </w:r>
          </w:p>
        </w:tc>
        <w:tc>
          <w:tcPr>
            <w:tcW w:w="1260" w:type="dxa"/>
            <w:shd w:val="clear" w:color="auto" w:fill="auto"/>
            <w:noWrap/>
            <w:vAlign w:val="bottom"/>
            <w:hideMark/>
          </w:tcPr>
          <w:p w14:paraId="140D0C41" w14:textId="68321A48" w:rsidR="00D21780" w:rsidRPr="00704EE9" w:rsidRDefault="00D21780" w:rsidP="00894513">
            <w:pPr>
              <w:jc w:val="center"/>
              <w:rPr>
                <w:rFonts w:ascii="Calibri" w:hAnsi="Calibri"/>
                <w:color w:val="000000"/>
              </w:rPr>
            </w:pPr>
            <w:r>
              <w:rPr>
                <w:rFonts w:ascii="Calibri" w:hAnsi="Calibri"/>
                <w:color w:val="000000"/>
              </w:rPr>
              <w:t>1.008763</w:t>
            </w:r>
          </w:p>
        </w:tc>
      </w:tr>
      <w:tr w:rsidR="00D21780" w:rsidRPr="00704EE9" w14:paraId="45A7920B" w14:textId="77777777" w:rsidTr="00D21780">
        <w:trPr>
          <w:trHeight w:val="292"/>
          <w:jc w:val="center"/>
        </w:trPr>
        <w:tc>
          <w:tcPr>
            <w:tcW w:w="859" w:type="dxa"/>
            <w:shd w:val="clear" w:color="auto" w:fill="auto"/>
            <w:noWrap/>
            <w:vAlign w:val="bottom"/>
            <w:hideMark/>
          </w:tcPr>
          <w:p w14:paraId="1BE6B3B8" w14:textId="624D2091" w:rsidR="00D21780" w:rsidRPr="00704EE9" w:rsidRDefault="00D21780" w:rsidP="00894513">
            <w:pPr>
              <w:rPr>
                <w:rFonts w:ascii="Calibri" w:hAnsi="Calibri"/>
                <w:color w:val="000000"/>
              </w:rPr>
            </w:pPr>
            <w:r>
              <w:rPr>
                <w:rFonts w:ascii="Calibri" w:hAnsi="Calibri"/>
                <w:color w:val="000000"/>
              </w:rPr>
              <w:t>8</w:t>
            </w:r>
          </w:p>
        </w:tc>
        <w:tc>
          <w:tcPr>
            <w:tcW w:w="683" w:type="dxa"/>
            <w:vAlign w:val="bottom"/>
          </w:tcPr>
          <w:p w14:paraId="7F25362A" w14:textId="6DB4F754" w:rsidR="00D21780" w:rsidRDefault="00D21780" w:rsidP="00894513">
            <w:pPr>
              <w:jc w:val="center"/>
              <w:rPr>
                <w:rFonts w:ascii="Calibri" w:hAnsi="Calibri"/>
                <w:color w:val="000000"/>
              </w:rPr>
            </w:pPr>
            <w:r>
              <w:rPr>
                <w:rFonts w:ascii="Calibri" w:hAnsi="Calibri"/>
                <w:color w:val="000000"/>
              </w:rPr>
              <w:t>S3</w:t>
            </w:r>
          </w:p>
        </w:tc>
        <w:tc>
          <w:tcPr>
            <w:tcW w:w="4866" w:type="dxa"/>
            <w:shd w:val="clear" w:color="auto" w:fill="auto"/>
            <w:noWrap/>
            <w:vAlign w:val="bottom"/>
            <w:hideMark/>
          </w:tcPr>
          <w:p w14:paraId="7C89570F" w14:textId="6F64F9C2" w:rsidR="00D21780" w:rsidRPr="00704EE9" w:rsidRDefault="00D21780" w:rsidP="00D21780">
            <w:pPr>
              <w:jc w:val="center"/>
              <w:rPr>
                <w:rFonts w:ascii="Calibri" w:hAnsi="Calibri"/>
                <w:color w:val="000000"/>
              </w:rPr>
            </w:pPr>
            <w:r>
              <w:rPr>
                <w:rFonts w:ascii="Calibri" w:hAnsi="Calibri"/>
                <w:color w:val="000000"/>
              </w:rPr>
              <w:t>Utilities</w:t>
            </w:r>
          </w:p>
        </w:tc>
        <w:tc>
          <w:tcPr>
            <w:tcW w:w="1260" w:type="dxa"/>
            <w:shd w:val="clear" w:color="auto" w:fill="auto"/>
            <w:noWrap/>
            <w:vAlign w:val="bottom"/>
            <w:hideMark/>
          </w:tcPr>
          <w:p w14:paraId="3BDDC3A6" w14:textId="2BB998D0" w:rsidR="00D21780" w:rsidRPr="00704EE9" w:rsidRDefault="00D21780" w:rsidP="00894513">
            <w:pPr>
              <w:jc w:val="center"/>
              <w:rPr>
                <w:rFonts w:ascii="Calibri" w:hAnsi="Calibri"/>
                <w:color w:val="000000"/>
              </w:rPr>
            </w:pPr>
            <w:r>
              <w:rPr>
                <w:rFonts w:ascii="Calibri" w:hAnsi="Calibri"/>
                <w:color w:val="000000"/>
              </w:rPr>
              <w:t>0.952784</w:t>
            </w:r>
          </w:p>
        </w:tc>
      </w:tr>
      <w:tr w:rsidR="00D21780" w:rsidRPr="00704EE9" w14:paraId="6831C955" w14:textId="77777777" w:rsidTr="00D21780">
        <w:trPr>
          <w:trHeight w:val="292"/>
          <w:jc w:val="center"/>
        </w:trPr>
        <w:tc>
          <w:tcPr>
            <w:tcW w:w="859" w:type="dxa"/>
            <w:shd w:val="clear" w:color="auto" w:fill="auto"/>
            <w:noWrap/>
            <w:vAlign w:val="bottom"/>
            <w:hideMark/>
          </w:tcPr>
          <w:p w14:paraId="489A8890" w14:textId="1843B8B7" w:rsidR="00D21780" w:rsidRPr="00704EE9" w:rsidRDefault="00D21780" w:rsidP="00894513">
            <w:pPr>
              <w:rPr>
                <w:rFonts w:ascii="Calibri" w:hAnsi="Calibri"/>
                <w:color w:val="000000"/>
              </w:rPr>
            </w:pPr>
            <w:r>
              <w:rPr>
                <w:rFonts w:ascii="Calibri" w:hAnsi="Calibri"/>
                <w:color w:val="000000"/>
              </w:rPr>
              <w:t>9</w:t>
            </w:r>
          </w:p>
        </w:tc>
        <w:tc>
          <w:tcPr>
            <w:tcW w:w="683" w:type="dxa"/>
            <w:vAlign w:val="bottom"/>
          </w:tcPr>
          <w:p w14:paraId="6387EA76" w14:textId="52813E76" w:rsidR="00D21780" w:rsidRDefault="00D21780" w:rsidP="00894513">
            <w:pPr>
              <w:jc w:val="center"/>
              <w:rPr>
                <w:rFonts w:ascii="Calibri" w:hAnsi="Calibri"/>
                <w:color w:val="000000"/>
              </w:rPr>
            </w:pPr>
            <w:r>
              <w:rPr>
                <w:rFonts w:ascii="Calibri" w:hAnsi="Calibri"/>
                <w:color w:val="000000"/>
              </w:rPr>
              <w:t>S15</w:t>
            </w:r>
          </w:p>
        </w:tc>
        <w:tc>
          <w:tcPr>
            <w:tcW w:w="4866" w:type="dxa"/>
            <w:shd w:val="clear" w:color="auto" w:fill="auto"/>
            <w:noWrap/>
            <w:vAlign w:val="bottom"/>
            <w:hideMark/>
          </w:tcPr>
          <w:p w14:paraId="6B75CA9C" w14:textId="0731451E" w:rsidR="00D21780" w:rsidRPr="00704EE9" w:rsidRDefault="00D21780" w:rsidP="00D21780">
            <w:pPr>
              <w:jc w:val="center"/>
              <w:rPr>
                <w:rFonts w:ascii="Calibri" w:hAnsi="Calibri"/>
                <w:color w:val="000000"/>
              </w:rPr>
            </w:pPr>
            <w:r>
              <w:rPr>
                <w:rFonts w:ascii="Calibri" w:hAnsi="Calibri"/>
                <w:color w:val="000000"/>
              </w:rPr>
              <w:t>Government</w:t>
            </w:r>
          </w:p>
        </w:tc>
        <w:tc>
          <w:tcPr>
            <w:tcW w:w="1260" w:type="dxa"/>
            <w:shd w:val="clear" w:color="auto" w:fill="auto"/>
            <w:noWrap/>
            <w:vAlign w:val="bottom"/>
            <w:hideMark/>
          </w:tcPr>
          <w:p w14:paraId="20EABBC2" w14:textId="43165D9E" w:rsidR="00D21780" w:rsidRPr="00704EE9" w:rsidRDefault="00D21780" w:rsidP="00894513">
            <w:pPr>
              <w:jc w:val="center"/>
              <w:rPr>
                <w:rFonts w:ascii="Calibri" w:hAnsi="Calibri"/>
                <w:color w:val="000000"/>
              </w:rPr>
            </w:pPr>
            <w:r>
              <w:rPr>
                <w:rFonts w:ascii="Calibri" w:hAnsi="Calibri"/>
                <w:color w:val="000000"/>
              </w:rPr>
              <w:t>0.951998</w:t>
            </w:r>
          </w:p>
        </w:tc>
      </w:tr>
      <w:tr w:rsidR="00D21780" w:rsidRPr="00704EE9" w14:paraId="341C0A45" w14:textId="77777777" w:rsidTr="00D21780">
        <w:trPr>
          <w:trHeight w:val="292"/>
          <w:jc w:val="center"/>
        </w:trPr>
        <w:tc>
          <w:tcPr>
            <w:tcW w:w="859" w:type="dxa"/>
            <w:shd w:val="clear" w:color="auto" w:fill="auto"/>
            <w:noWrap/>
            <w:vAlign w:val="bottom"/>
            <w:hideMark/>
          </w:tcPr>
          <w:p w14:paraId="5905A322" w14:textId="40D849E2" w:rsidR="00D21780" w:rsidRPr="00704EE9" w:rsidRDefault="00D21780" w:rsidP="00894513">
            <w:pPr>
              <w:rPr>
                <w:rFonts w:ascii="Calibri" w:hAnsi="Calibri"/>
                <w:color w:val="000000"/>
              </w:rPr>
            </w:pPr>
            <w:r>
              <w:rPr>
                <w:rFonts w:ascii="Calibri" w:hAnsi="Calibri"/>
                <w:color w:val="000000"/>
              </w:rPr>
              <w:t>10</w:t>
            </w:r>
          </w:p>
        </w:tc>
        <w:tc>
          <w:tcPr>
            <w:tcW w:w="683" w:type="dxa"/>
            <w:vAlign w:val="bottom"/>
          </w:tcPr>
          <w:p w14:paraId="135D971B" w14:textId="434612C1" w:rsidR="00D21780" w:rsidRDefault="00D21780" w:rsidP="00894513">
            <w:pPr>
              <w:jc w:val="center"/>
              <w:rPr>
                <w:rFonts w:ascii="Calibri" w:hAnsi="Calibri"/>
                <w:color w:val="000000"/>
              </w:rPr>
            </w:pPr>
            <w:r>
              <w:rPr>
                <w:rFonts w:ascii="Calibri" w:hAnsi="Calibri"/>
                <w:color w:val="000000"/>
              </w:rPr>
              <w:t>S14</w:t>
            </w:r>
          </w:p>
        </w:tc>
        <w:tc>
          <w:tcPr>
            <w:tcW w:w="4866" w:type="dxa"/>
            <w:shd w:val="clear" w:color="auto" w:fill="auto"/>
            <w:noWrap/>
            <w:vAlign w:val="bottom"/>
            <w:hideMark/>
          </w:tcPr>
          <w:p w14:paraId="485046B6" w14:textId="2EB6D849" w:rsidR="00D21780" w:rsidRPr="00704EE9" w:rsidRDefault="00D21780" w:rsidP="00D21780">
            <w:pPr>
              <w:jc w:val="center"/>
              <w:rPr>
                <w:rFonts w:ascii="Calibri" w:hAnsi="Calibri"/>
                <w:color w:val="000000"/>
              </w:rPr>
            </w:pPr>
            <w:r>
              <w:rPr>
                <w:rFonts w:ascii="Calibri" w:hAnsi="Calibri"/>
                <w:color w:val="000000"/>
              </w:rPr>
              <w:t>Other Services, Except Government</w:t>
            </w:r>
          </w:p>
        </w:tc>
        <w:tc>
          <w:tcPr>
            <w:tcW w:w="1260" w:type="dxa"/>
            <w:shd w:val="clear" w:color="auto" w:fill="auto"/>
            <w:noWrap/>
            <w:vAlign w:val="bottom"/>
            <w:hideMark/>
          </w:tcPr>
          <w:p w14:paraId="4AB59B85" w14:textId="76D097FE" w:rsidR="00D21780" w:rsidRPr="00704EE9" w:rsidRDefault="00D21780" w:rsidP="00894513">
            <w:pPr>
              <w:jc w:val="center"/>
              <w:rPr>
                <w:rFonts w:ascii="Calibri" w:hAnsi="Calibri"/>
                <w:color w:val="000000"/>
              </w:rPr>
            </w:pPr>
            <w:r>
              <w:rPr>
                <w:rFonts w:ascii="Calibri" w:hAnsi="Calibri"/>
                <w:color w:val="000000"/>
              </w:rPr>
              <w:t>0.946515</w:t>
            </w:r>
          </w:p>
        </w:tc>
      </w:tr>
      <w:tr w:rsidR="00D21780" w:rsidRPr="00704EE9" w14:paraId="3D839AE3" w14:textId="77777777" w:rsidTr="00D21780">
        <w:trPr>
          <w:trHeight w:val="292"/>
          <w:jc w:val="center"/>
        </w:trPr>
        <w:tc>
          <w:tcPr>
            <w:tcW w:w="859" w:type="dxa"/>
            <w:shd w:val="clear" w:color="auto" w:fill="auto"/>
            <w:noWrap/>
            <w:vAlign w:val="bottom"/>
            <w:hideMark/>
          </w:tcPr>
          <w:p w14:paraId="32C2C173" w14:textId="79DE71A6" w:rsidR="00D21780" w:rsidRPr="00704EE9" w:rsidRDefault="00D21780" w:rsidP="00894513">
            <w:pPr>
              <w:rPr>
                <w:rFonts w:ascii="Calibri" w:hAnsi="Calibri"/>
                <w:color w:val="000000"/>
              </w:rPr>
            </w:pPr>
            <w:r>
              <w:rPr>
                <w:rFonts w:ascii="Calibri" w:hAnsi="Calibri"/>
                <w:color w:val="000000"/>
              </w:rPr>
              <w:t>11</w:t>
            </w:r>
          </w:p>
        </w:tc>
        <w:tc>
          <w:tcPr>
            <w:tcW w:w="683" w:type="dxa"/>
            <w:vAlign w:val="bottom"/>
          </w:tcPr>
          <w:p w14:paraId="6529D569" w14:textId="724A4070" w:rsidR="00D21780" w:rsidRDefault="00D21780" w:rsidP="00894513">
            <w:pPr>
              <w:jc w:val="center"/>
              <w:rPr>
                <w:rFonts w:ascii="Calibri" w:hAnsi="Calibri"/>
                <w:color w:val="000000"/>
              </w:rPr>
            </w:pPr>
            <w:r>
              <w:rPr>
                <w:rFonts w:ascii="Calibri" w:hAnsi="Calibri"/>
                <w:color w:val="000000"/>
              </w:rPr>
              <w:t>S12</w:t>
            </w:r>
          </w:p>
        </w:tc>
        <w:tc>
          <w:tcPr>
            <w:tcW w:w="4866" w:type="dxa"/>
            <w:shd w:val="clear" w:color="auto" w:fill="auto"/>
            <w:noWrap/>
            <w:vAlign w:val="bottom"/>
            <w:hideMark/>
          </w:tcPr>
          <w:p w14:paraId="74841E15" w14:textId="6CF23AC7" w:rsidR="00D21780" w:rsidRPr="00704EE9" w:rsidRDefault="00D21780" w:rsidP="00D21780">
            <w:pPr>
              <w:jc w:val="center"/>
              <w:rPr>
                <w:rFonts w:ascii="Calibri" w:hAnsi="Calibri"/>
                <w:color w:val="000000"/>
              </w:rPr>
            </w:pPr>
            <w:r>
              <w:rPr>
                <w:rFonts w:ascii="Calibri" w:hAnsi="Calibri"/>
                <w:color w:val="000000"/>
              </w:rPr>
              <w:t>Education services, Health Care, and Social assistance</w:t>
            </w:r>
          </w:p>
        </w:tc>
        <w:tc>
          <w:tcPr>
            <w:tcW w:w="1260" w:type="dxa"/>
            <w:shd w:val="clear" w:color="auto" w:fill="auto"/>
            <w:noWrap/>
            <w:vAlign w:val="bottom"/>
            <w:hideMark/>
          </w:tcPr>
          <w:p w14:paraId="0B830C82" w14:textId="0064FA7E" w:rsidR="00D21780" w:rsidRPr="00704EE9" w:rsidRDefault="00D21780" w:rsidP="00894513">
            <w:pPr>
              <w:keepNext/>
              <w:jc w:val="center"/>
              <w:rPr>
                <w:rFonts w:ascii="Calibri" w:hAnsi="Calibri"/>
                <w:color w:val="000000"/>
              </w:rPr>
            </w:pPr>
            <w:r>
              <w:rPr>
                <w:rFonts w:ascii="Calibri" w:hAnsi="Calibri"/>
                <w:color w:val="000000"/>
              </w:rPr>
              <w:t>0.938831</w:t>
            </w:r>
          </w:p>
        </w:tc>
      </w:tr>
      <w:tr w:rsidR="00D21780" w:rsidRPr="00704EE9" w14:paraId="26B744A4" w14:textId="77777777" w:rsidTr="00D21780">
        <w:trPr>
          <w:trHeight w:val="292"/>
          <w:jc w:val="center"/>
        </w:trPr>
        <w:tc>
          <w:tcPr>
            <w:tcW w:w="859" w:type="dxa"/>
            <w:shd w:val="clear" w:color="auto" w:fill="auto"/>
            <w:noWrap/>
            <w:vAlign w:val="bottom"/>
          </w:tcPr>
          <w:p w14:paraId="6B561D88" w14:textId="4F6FE363" w:rsidR="00D21780" w:rsidRDefault="00D21780" w:rsidP="00894513">
            <w:pPr>
              <w:rPr>
                <w:rFonts w:ascii="Calibri" w:hAnsi="Calibri"/>
                <w:color w:val="000000"/>
              </w:rPr>
            </w:pPr>
            <w:r>
              <w:rPr>
                <w:rFonts w:ascii="Calibri" w:hAnsi="Calibri"/>
                <w:color w:val="000000"/>
              </w:rPr>
              <w:t>12</w:t>
            </w:r>
          </w:p>
        </w:tc>
        <w:tc>
          <w:tcPr>
            <w:tcW w:w="683" w:type="dxa"/>
            <w:vAlign w:val="bottom"/>
          </w:tcPr>
          <w:p w14:paraId="61B7E284" w14:textId="25971016" w:rsidR="00D21780" w:rsidRDefault="00D21780" w:rsidP="00894513">
            <w:pPr>
              <w:jc w:val="center"/>
              <w:rPr>
                <w:rFonts w:ascii="Calibri" w:hAnsi="Calibri"/>
                <w:color w:val="000000"/>
              </w:rPr>
            </w:pPr>
            <w:r>
              <w:rPr>
                <w:rFonts w:ascii="Calibri" w:hAnsi="Calibri"/>
                <w:color w:val="000000"/>
              </w:rPr>
              <w:t>S10</w:t>
            </w:r>
          </w:p>
        </w:tc>
        <w:tc>
          <w:tcPr>
            <w:tcW w:w="4866" w:type="dxa"/>
            <w:shd w:val="clear" w:color="auto" w:fill="auto"/>
            <w:noWrap/>
            <w:vAlign w:val="bottom"/>
          </w:tcPr>
          <w:p w14:paraId="6679C262" w14:textId="23C5CEFE" w:rsidR="00D21780" w:rsidRDefault="00D21780" w:rsidP="00D21780">
            <w:pPr>
              <w:jc w:val="center"/>
              <w:rPr>
                <w:rFonts w:ascii="Calibri" w:hAnsi="Calibri"/>
                <w:color w:val="000000"/>
              </w:rPr>
            </w:pPr>
            <w:r>
              <w:rPr>
                <w:rFonts w:ascii="Calibri" w:hAnsi="Calibri"/>
                <w:color w:val="000000"/>
              </w:rPr>
              <w:t>Finance, Insurance, Real Estate, Rental and Leasing</w:t>
            </w:r>
          </w:p>
        </w:tc>
        <w:tc>
          <w:tcPr>
            <w:tcW w:w="1260" w:type="dxa"/>
            <w:shd w:val="clear" w:color="auto" w:fill="auto"/>
            <w:noWrap/>
            <w:vAlign w:val="bottom"/>
          </w:tcPr>
          <w:p w14:paraId="68232109" w14:textId="3CEA5FFB" w:rsidR="00D21780" w:rsidRDefault="00D21780" w:rsidP="00894513">
            <w:pPr>
              <w:keepNext/>
              <w:jc w:val="center"/>
              <w:rPr>
                <w:rFonts w:ascii="Calibri" w:hAnsi="Calibri"/>
                <w:color w:val="000000"/>
              </w:rPr>
            </w:pPr>
            <w:r>
              <w:rPr>
                <w:rFonts w:ascii="Calibri" w:hAnsi="Calibri"/>
                <w:color w:val="000000"/>
              </w:rPr>
              <w:t>0.901624</w:t>
            </w:r>
          </w:p>
        </w:tc>
      </w:tr>
      <w:tr w:rsidR="00D21780" w:rsidRPr="00704EE9" w14:paraId="1D964CB0" w14:textId="77777777" w:rsidTr="00D21780">
        <w:trPr>
          <w:trHeight w:val="292"/>
          <w:jc w:val="center"/>
        </w:trPr>
        <w:tc>
          <w:tcPr>
            <w:tcW w:w="859" w:type="dxa"/>
            <w:shd w:val="clear" w:color="auto" w:fill="auto"/>
            <w:noWrap/>
            <w:vAlign w:val="bottom"/>
          </w:tcPr>
          <w:p w14:paraId="08C3AB4C" w14:textId="127327A2" w:rsidR="00D21780" w:rsidRDefault="00D21780" w:rsidP="00894513">
            <w:pPr>
              <w:rPr>
                <w:rFonts w:ascii="Calibri" w:hAnsi="Calibri"/>
                <w:color w:val="000000"/>
              </w:rPr>
            </w:pPr>
            <w:r>
              <w:rPr>
                <w:rFonts w:ascii="Calibri" w:hAnsi="Calibri"/>
                <w:color w:val="000000"/>
              </w:rPr>
              <w:t>13</w:t>
            </w:r>
          </w:p>
        </w:tc>
        <w:tc>
          <w:tcPr>
            <w:tcW w:w="683" w:type="dxa"/>
            <w:vAlign w:val="bottom"/>
          </w:tcPr>
          <w:p w14:paraId="558F254D" w14:textId="2F50D829" w:rsidR="00D21780" w:rsidRDefault="00D21780" w:rsidP="00894513">
            <w:pPr>
              <w:jc w:val="center"/>
              <w:rPr>
                <w:rFonts w:ascii="Calibri" w:hAnsi="Calibri"/>
                <w:color w:val="000000"/>
              </w:rPr>
            </w:pPr>
            <w:r>
              <w:rPr>
                <w:rFonts w:ascii="Calibri" w:hAnsi="Calibri"/>
                <w:color w:val="000000"/>
              </w:rPr>
              <w:t>S11</w:t>
            </w:r>
          </w:p>
        </w:tc>
        <w:tc>
          <w:tcPr>
            <w:tcW w:w="4866" w:type="dxa"/>
            <w:shd w:val="clear" w:color="auto" w:fill="auto"/>
            <w:noWrap/>
            <w:vAlign w:val="bottom"/>
          </w:tcPr>
          <w:p w14:paraId="6F96D8A1" w14:textId="76A2B2EC" w:rsidR="00D21780" w:rsidRDefault="00D21780" w:rsidP="00D21780">
            <w:pPr>
              <w:jc w:val="center"/>
              <w:rPr>
                <w:rFonts w:ascii="Calibri" w:hAnsi="Calibri"/>
                <w:color w:val="000000"/>
              </w:rPr>
            </w:pPr>
            <w:r>
              <w:rPr>
                <w:rFonts w:ascii="Calibri" w:hAnsi="Calibri"/>
                <w:color w:val="000000"/>
              </w:rPr>
              <w:t>Professional and Business Services</w:t>
            </w:r>
          </w:p>
        </w:tc>
        <w:tc>
          <w:tcPr>
            <w:tcW w:w="1260" w:type="dxa"/>
            <w:shd w:val="clear" w:color="auto" w:fill="auto"/>
            <w:noWrap/>
            <w:vAlign w:val="bottom"/>
          </w:tcPr>
          <w:p w14:paraId="09019AA4" w14:textId="06710079" w:rsidR="00D21780" w:rsidRDefault="00D21780" w:rsidP="00894513">
            <w:pPr>
              <w:keepNext/>
              <w:jc w:val="center"/>
              <w:rPr>
                <w:rFonts w:ascii="Calibri" w:hAnsi="Calibri"/>
                <w:color w:val="000000"/>
              </w:rPr>
            </w:pPr>
            <w:r>
              <w:rPr>
                <w:rFonts w:ascii="Calibri" w:hAnsi="Calibri"/>
                <w:color w:val="000000"/>
              </w:rPr>
              <w:t>0.873864</w:t>
            </w:r>
          </w:p>
        </w:tc>
      </w:tr>
      <w:tr w:rsidR="00D21780" w:rsidRPr="00704EE9" w14:paraId="01818875" w14:textId="77777777" w:rsidTr="00D21780">
        <w:trPr>
          <w:trHeight w:val="292"/>
          <w:jc w:val="center"/>
        </w:trPr>
        <w:tc>
          <w:tcPr>
            <w:tcW w:w="859" w:type="dxa"/>
            <w:shd w:val="clear" w:color="auto" w:fill="auto"/>
            <w:noWrap/>
            <w:vAlign w:val="bottom"/>
          </w:tcPr>
          <w:p w14:paraId="2A08BDE0" w14:textId="66C41D15" w:rsidR="00D21780" w:rsidRDefault="00D21780" w:rsidP="00894513">
            <w:pPr>
              <w:rPr>
                <w:rFonts w:ascii="Calibri" w:hAnsi="Calibri"/>
                <w:color w:val="000000"/>
              </w:rPr>
            </w:pPr>
            <w:r>
              <w:rPr>
                <w:rFonts w:ascii="Calibri" w:hAnsi="Calibri"/>
                <w:color w:val="000000"/>
              </w:rPr>
              <w:t>14</w:t>
            </w:r>
          </w:p>
        </w:tc>
        <w:tc>
          <w:tcPr>
            <w:tcW w:w="683" w:type="dxa"/>
            <w:vAlign w:val="bottom"/>
          </w:tcPr>
          <w:p w14:paraId="2C690E39" w14:textId="4B817143" w:rsidR="00D21780" w:rsidRDefault="00D21780" w:rsidP="00894513">
            <w:pPr>
              <w:jc w:val="center"/>
              <w:rPr>
                <w:rFonts w:ascii="Calibri" w:hAnsi="Calibri"/>
                <w:color w:val="000000"/>
              </w:rPr>
            </w:pPr>
            <w:r>
              <w:rPr>
                <w:rFonts w:ascii="Calibri" w:hAnsi="Calibri"/>
                <w:color w:val="000000"/>
              </w:rPr>
              <w:t>S6</w:t>
            </w:r>
          </w:p>
        </w:tc>
        <w:tc>
          <w:tcPr>
            <w:tcW w:w="4866" w:type="dxa"/>
            <w:shd w:val="clear" w:color="auto" w:fill="auto"/>
            <w:noWrap/>
            <w:vAlign w:val="bottom"/>
          </w:tcPr>
          <w:p w14:paraId="55535DFF" w14:textId="5AB700F8" w:rsidR="00D21780" w:rsidRDefault="00D21780" w:rsidP="00D21780">
            <w:pPr>
              <w:jc w:val="center"/>
              <w:rPr>
                <w:rFonts w:ascii="Calibri" w:hAnsi="Calibri"/>
                <w:color w:val="000000"/>
              </w:rPr>
            </w:pPr>
            <w:r>
              <w:rPr>
                <w:rFonts w:ascii="Calibri" w:hAnsi="Calibri"/>
                <w:color w:val="000000"/>
              </w:rPr>
              <w:t>Wholesale Trade</w:t>
            </w:r>
          </w:p>
        </w:tc>
        <w:tc>
          <w:tcPr>
            <w:tcW w:w="1260" w:type="dxa"/>
            <w:shd w:val="clear" w:color="auto" w:fill="auto"/>
            <w:noWrap/>
            <w:vAlign w:val="bottom"/>
          </w:tcPr>
          <w:p w14:paraId="7A49EFCD" w14:textId="382BCD1E" w:rsidR="00D21780" w:rsidRDefault="00D21780" w:rsidP="00894513">
            <w:pPr>
              <w:keepNext/>
              <w:jc w:val="center"/>
              <w:rPr>
                <w:rFonts w:ascii="Calibri" w:hAnsi="Calibri"/>
                <w:color w:val="000000"/>
              </w:rPr>
            </w:pPr>
            <w:r>
              <w:rPr>
                <w:rFonts w:ascii="Calibri" w:hAnsi="Calibri"/>
                <w:color w:val="000000"/>
              </w:rPr>
              <w:t>0.824414</w:t>
            </w:r>
          </w:p>
        </w:tc>
      </w:tr>
      <w:tr w:rsidR="00D21780" w:rsidRPr="00704EE9" w14:paraId="2820A682" w14:textId="77777777" w:rsidTr="00D21780">
        <w:trPr>
          <w:trHeight w:val="292"/>
          <w:jc w:val="center"/>
        </w:trPr>
        <w:tc>
          <w:tcPr>
            <w:tcW w:w="859" w:type="dxa"/>
            <w:shd w:val="clear" w:color="auto" w:fill="auto"/>
            <w:noWrap/>
            <w:vAlign w:val="bottom"/>
          </w:tcPr>
          <w:p w14:paraId="005B5C77" w14:textId="0C9CA76B" w:rsidR="00D21780" w:rsidRDefault="00D21780" w:rsidP="00894513">
            <w:pPr>
              <w:rPr>
                <w:rFonts w:ascii="Calibri" w:hAnsi="Calibri"/>
                <w:color w:val="000000"/>
              </w:rPr>
            </w:pPr>
            <w:r>
              <w:rPr>
                <w:rFonts w:ascii="Calibri" w:hAnsi="Calibri"/>
                <w:color w:val="000000"/>
              </w:rPr>
              <w:t>15</w:t>
            </w:r>
          </w:p>
        </w:tc>
        <w:tc>
          <w:tcPr>
            <w:tcW w:w="683" w:type="dxa"/>
            <w:vAlign w:val="bottom"/>
          </w:tcPr>
          <w:p w14:paraId="4BF6E485" w14:textId="3FE30569" w:rsidR="00D21780" w:rsidRDefault="00D21780" w:rsidP="00894513">
            <w:pPr>
              <w:jc w:val="center"/>
              <w:rPr>
                <w:rFonts w:ascii="Calibri" w:hAnsi="Calibri"/>
                <w:color w:val="000000"/>
              </w:rPr>
            </w:pPr>
            <w:r>
              <w:rPr>
                <w:rFonts w:ascii="Calibri" w:hAnsi="Calibri"/>
                <w:color w:val="000000"/>
              </w:rPr>
              <w:t>S7</w:t>
            </w:r>
          </w:p>
        </w:tc>
        <w:tc>
          <w:tcPr>
            <w:tcW w:w="4866" w:type="dxa"/>
            <w:shd w:val="clear" w:color="auto" w:fill="auto"/>
            <w:noWrap/>
            <w:vAlign w:val="bottom"/>
          </w:tcPr>
          <w:p w14:paraId="59A9B15C" w14:textId="39ACFFE3" w:rsidR="00D21780" w:rsidRDefault="00D21780" w:rsidP="00D21780">
            <w:pPr>
              <w:jc w:val="center"/>
              <w:rPr>
                <w:rFonts w:ascii="Calibri" w:hAnsi="Calibri"/>
                <w:color w:val="000000"/>
              </w:rPr>
            </w:pPr>
            <w:r>
              <w:rPr>
                <w:rFonts w:ascii="Calibri" w:hAnsi="Calibri"/>
                <w:color w:val="000000"/>
              </w:rPr>
              <w:t>Retail Trade</w:t>
            </w:r>
          </w:p>
        </w:tc>
        <w:tc>
          <w:tcPr>
            <w:tcW w:w="1260" w:type="dxa"/>
            <w:shd w:val="clear" w:color="auto" w:fill="auto"/>
            <w:noWrap/>
            <w:vAlign w:val="bottom"/>
          </w:tcPr>
          <w:p w14:paraId="5E0605FD" w14:textId="0368C35B" w:rsidR="00D21780" w:rsidRDefault="00D21780" w:rsidP="00894513">
            <w:pPr>
              <w:keepNext/>
              <w:jc w:val="center"/>
              <w:rPr>
                <w:rFonts w:ascii="Calibri" w:hAnsi="Calibri"/>
                <w:color w:val="000000"/>
              </w:rPr>
            </w:pPr>
            <w:r>
              <w:rPr>
                <w:rFonts w:ascii="Calibri" w:hAnsi="Calibri"/>
                <w:color w:val="000000"/>
              </w:rPr>
              <w:t>0.823421</w:t>
            </w:r>
          </w:p>
        </w:tc>
      </w:tr>
    </w:tbl>
    <w:p w14:paraId="29DC63AA" w14:textId="77777777" w:rsidR="00437A42" w:rsidRDefault="00437A42" w:rsidP="00437A42">
      <w:pPr>
        <w:autoSpaceDE w:val="0"/>
        <w:autoSpaceDN w:val="0"/>
        <w:adjustRightInd w:val="0"/>
        <w:spacing w:line="480" w:lineRule="auto"/>
        <w:ind w:firstLine="504"/>
        <w:jc w:val="both"/>
        <w:rPr>
          <w:rFonts w:ascii="Times New Roman" w:eastAsiaTheme="minorEastAsia" w:hAnsi="Times New Roman" w:cs="Times New Roman"/>
          <w:lang w:bidi="en-US"/>
        </w:rPr>
      </w:pPr>
    </w:p>
    <w:p w14:paraId="69E111C9" w14:textId="77777777" w:rsidR="00E44FC1" w:rsidRDefault="0055594B" w:rsidP="00E44FC1">
      <w:pPr>
        <w:pStyle w:val="Caption"/>
        <w:keepNext/>
        <w:jc w:val="center"/>
      </w:pPr>
      <w:r>
        <w:rPr>
          <w:noProof/>
        </w:rPr>
        <w:lastRenderedPageBreak/>
        <w:drawing>
          <wp:inline distT="0" distB="0" distL="0" distR="0" wp14:anchorId="2EA8EDD8" wp14:editId="54CEE752">
            <wp:extent cx="4503420" cy="3528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3420" cy="3528060"/>
                    </a:xfrm>
                    <a:prstGeom prst="rect">
                      <a:avLst/>
                    </a:prstGeom>
                    <a:noFill/>
                    <a:ln>
                      <a:noFill/>
                    </a:ln>
                  </pic:spPr>
                </pic:pic>
              </a:graphicData>
            </a:graphic>
          </wp:inline>
        </w:drawing>
      </w:r>
    </w:p>
    <w:p w14:paraId="053EE80C" w14:textId="5560B430" w:rsidR="0055594B" w:rsidRDefault="00E44FC1" w:rsidP="00E44FC1">
      <w:pPr>
        <w:pStyle w:val="Caption"/>
        <w:jc w:val="center"/>
      </w:pPr>
      <w:r>
        <w:t xml:space="preserve">Figure </w:t>
      </w:r>
      <w:fldSimple w:instr=" SEQ Figure \* ARABIC ">
        <w:r w:rsidR="00B25E61">
          <w:rPr>
            <w:noProof/>
          </w:rPr>
          <w:t>1</w:t>
        </w:r>
      </w:fldSimple>
      <w:r>
        <w:t xml:space="preserve"> - </w:t>
      </w:r>
      <w:r w:rsidRPr="00BA7DC2">
        <w:t>Box Plot illustrating backward linkage spread</w:t>
      </w:r>
    </w:p>
    <w:p w14:paraId="607D9759" w14:textId="77777777" w:rsidR="00990AF7" w:rsidRDefault="00990AF7" w:rsidP="00990AF7"/>
    <w:p w14:paraId="4D242924" w14:textId="77777777" w:rsidR="00990AF7" w:rsidRPr="00990AF7" w:rsidRDefault="00990AF7" w:rsidP="00990AF7"/>
    <w:p w14:paraId="23800309" w14:textId="77777777" w:rsidR="00E44FC1" w:rsidRPr="00E44FC1" w:rsidRDefault="00E44FC1" w:rsidP="00E44FC1"/>
    <w:p w14:paraId="5A2BC447" w14:textId="77777777" w:rsidR="00E44FC1" w:rsidRDefault="00E44FC1" w:rsidP="00E44FC1">
      <w:pPr>
        <w:keepNext/>
        <w:autoSpaceDE w:val="0"/>
        <w:autoSpaceDN w:val="0"/>
        <w:adjustRightInd w:val="0"/>
        <w:spacing w:line="240" w:lineRule="auto"/>
        <w:jc w:val="both"/>
      </w:pPr>
      <w:r>
        <w:rPr>
          <w:rFonts w:ascii="Times New Roman" w:eastAsiaTheme="minorEastAsia" w:hAnsi="Times New Roman" w:cs="Times New Roman"/>
          <w:noProof/>
        </w:rPr>
        <w:drawing>
          <wp:inline distT="0" distB="0" distL="0" distR="0" wp14:anchorId="62E03EBE" wp14:editId="4FD3F795">
            <wp:extent cx="5935980" cy="26822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2682240"/>
                    </a:xfrm>
                    <a:prstGeom prst="rect">
                      <a:avLst/>
                    </a:prstGeom>
                    <a:noFill/>
                    <a:ln>
                      <a:noFill/>
                    </a:ln>
                  </pic:spPr>
                </pic:pic>
              </a:graphicData>
            </a:graphic>
          </wp:inline>
        </w:drawing>
      </w:r>
    </w:p>
    <w:p w14:paraId="505F626B" w14:textId="3188ED16" w:rsidR="00E44FC1" w:rsidRDefault="00E44FC1" w:rsidP="00E44FC1">
      <w:pPr>
        <w:pStyle w:val="Caption"/>
        <w:jc w:val="center"/>
      </w:pPr>
      <w:r>
        <w:t xml:space="preserve">Figure </w:t>
      </w:r>
      <w:fldSimple w:instr=" SEQ Figure \* ARABIC ">
        <w:r w:rsidR="00B25E61">
          <w:rPr>
            <w:noProof/>
          </w:rPr>
          <w:t>2</w:t>
        </w:r>
      </w:fldSimple>
      <w:r>
        <w:t xml:space="preserve"> - Ranked distribution of Column Sum for each Sector</w:t>
      </w:r>
    </w:p>
    <w:p w14:paraId="01012D31" w14:textId="77777777" w:rsidR="00E44FC1" w:rsidRPr="00E44FC1" w:rsidRDefault="00E44FC1" w:rsidP="00E44FC1"/>
    <w:p w14:paraId="5EAB2E86" w14:textId="77777777" w:rsidR="00990AF7" w:rsidRDefault="00990AF7" w:rsidP="0055594B">
      <w:pPr>
        <w:autoSpaceDE w:val="0"/>
        <w:autoSpaceDN w:val="0"/>
        <w:adjustRightInd w:val="0"/>
        <w:spacing w:line="480" w:lineRule="auto"/>
        <w:ind w:firstLine="504"/>
        <w:jc w:val="both"/>
        <w:rPr>
          <w:rFonts w:ascii="Times New Roman" w:eastAsiaTheme="minorEastAsia" w:hAnsi="Times New Roman" w:cs="Times New Roman"/>
          <w:lang w:bidi="en-US"/>
        </w:rPr>
      </w:pPr>
    </w:p>
    <w:p w14:paraId="5B277D12" w14:textId="14F60544" w:rsidR="009C41E7" w:rsidRDefault="009C41E7" w:rsidP="009C41E7">
      <w:pPr>
        <w:autoSpaceDE w:val="0"/>
        <w:autoSpaceDN w:val="0"/>
        <w:adjustRightInd w:val="0"/>
        <w:spacing w:line="480" w:lineRule="auto"/>
        <w:jc w:val="both"/>
        <w:rPr>
          <w:rFonts w:ascii="Times New Roman" w:eastAsiaTheme="minorEastAsia" w:hAnsi="Times New Roman" w:cs="Times New Roman"/>
          <w:lang w:bidi="en-US"/>
        </w:rPr>
      </w:pPr>
      <w:r>
        <w:rPr>
          <w:rFonts w:ascii="Times New Roman" w:eastAsiaTheme="minorEastAsia" w:hAnsi="Times New Roman" w:cs="Times New Roman"/>
          <w:lang w:bidi="en-US"/>
        </w:rPr>
        <w:lastRenderedPageBreak/>
        <w:t>thus its influence is aggregated as a result of such interdependence. In this analysis the Leontief Inverse matrix is used input for the Eigen analysis, since the Power of Pull concept is more closely associated with a demand model and the backward linkages method.</w:t>
      </w:r>
    </w:p>
    <w:p w14:paraId="14FE1B01" w14:textId="16B43434" w:rsidR="003A3964" w:rsidRDefault="0010225C" w:rsidP="003A3964">
      <w:pPr>
        <w:autoSpaceDE w:val="0"/>
        <w:autoSpaceDN w:val="0"/>
        <w:adjustRightInd w:val="0"/>
        <w:spacing w:line="480" w:lineRule="auto"/>
        <w:ind w:firstLine="504"/>
        <w:jc w:val="both"/>
        <w:rPr>
          <w:rFonts w:ascii="Times New Roman" w:eastAsiaTheme="minorEastAsia" w:hAnsi="Times New Roman" w:cs="Times New Roman"/>
          <w:lang w:bidi="en-US"/>
        </w:rPr>
      </w:pPr>
      <w:r>
        <w:rPr>
          <w:rFonts w:ascii="Times New Roman" w:eastAsiaTheme="minorEastAsia" w:hAnsi="Times New Roman" w:cs="Times New Roman"/>
          <w:lang w:bidi="en-US"/>
        </w:rPr>
        <w:t xml:space="preserve">In our analysis we determine un-weighted average of coefficients to produce a single L matrix from our 1000 sample realizations. Once that is achieved the Frobenius dominant eigenvalue is calculated for the matrix, and the corresponding eigenvector is observed to determine the ‘power of pull’ of all 15 sectors.  This concept </w:t>
      </w:r>
      <w:r w:rsidR="00E44FC1">
        <w:rPr>
          <w:rFonts w:ascii="Times New Roman" w:eastAsiaTheme="minorEastAsia" w:hAnsi="Times New Roman" w:cs="Times New Roman"/>
          <w:lang w:bidi="en-US"/>
        </w:rPr>
        <w:t xml:space="preserve">asserts that key sectors would have a greater power of pull, and thus be more influential in </w:t>
      </w:r>
      <w:r>
        <w:rPr>
          <w:rFonts w:ascii="Times New Roman" w:eastAsiaTheme="minorEastAsia" w:hAnsi="Times New Roman" w:cs="Times New Roman"/>
          <w:lang w:bidi="en-US"/>
        </w:rPr>
        <w:t xml:space="preserve">determining growth gradients within the economy. Figure 3 illustrates the eigenvectors associated with the Frobenius dominant eigenvalue. </w:t>
      </w:r>
      <w:r w:rsidR="00AA5D36">
        <w:rPr>
          <w:rFonts w:ascii="Times New Roman" w:eastAsiaTheme="minorEastAsia" w:hAnsi="Times New Roman" w:cs="Times New Roman"/>
          <w:lang w:bidi="en-US"/>
        </w:rPr>
        <w:t xml:space="preserve">We observe that Manufacturing (S5) has the highest power of pull confirming the findings of the previous analysis. Other sectors </w:t>
      </w:r>
      <w:r w:rsidR="00AA5D36" w:rsidRPr="00AA5D36">
        <w:rPr>
          <w:rFonts w:ascii="Times New Roman" w:eastAsiaTheme="minorEastAsia" w:hAnsi="Times New Roman" w:cs="Times New Roman"/>
          <w:lang w:bidi="en-US"/>
        </w:rPr>
        <w:t>Agriculture, Forestry, Fishing and Hunting</w:t>
      </w:r>
      <w:r w:rsidR="00AA5D36">
        <w:rPr>
          <w:rFonts w:ascii="Times New Roman" w:eastAsiaTheme="minorEastAsia" w:hAnsi="Times New Roman" w:cs="Times New Roman"/>
          <w:lang w:bidi="en-US"/>
        </w:rPr>
        <w:t xml:space="preserve"> (S1), Mining (S2), Transportation and Warehousing (S8) and Information (S9) also show significant power of pull compared to other sectors. On the contrary the second and third highest sectors showing the power of pull are </w:t>
      </w:r>
      <w:r w:rsidR="00AA5D36" w:rsidRPr="00AA5D36">
        <w:rPr>
          <w:rFonts w:ascii="Times New Roman" w:eastAsiaTheme="minorEastAsia" w:hAnsi="Times New Roman" w:cs="Times New Roman"/>
          <w:lang w:bidi="en-US"/>
        </w:rPr>
        <w:t>Finance, Insurance, Real Estate, Rental and Leasing</w:t>
      </w:r>
      <w:r w:rsidR="00AA5D36">
        <w:rPr>
          <w:rFonts w:ascii="Times New Roman" w:eastAsiaTheme="minorEastAsia" w:hAnsi="Times New Roman" w:cs="Times New Roman"/>
          <w:lang w:bidi="en-US"/>
        </w:rPr>
        <w:t xml:space="preserve"> (S10), and Professional and Business Services (S11), but they show one of the lowest backward linkages in the previous analysis. Both sectors are potential giants when it comes to comparing sector GDPs and promise economic growth in this day and age. Although</w:t>
      </w:r>
      <w:r w:rsidR="003A3964">
        <w:rPr>
          <w:rFonts w:ascii="Times New Roman" w:eastAsiaTheme="minorEastAsia" w:hAnsi="Times New Roman" w:cs="Times New Roman"/>
          <w:lang w:bidi="en-US"/>
        </w:rPr>
        <w:t xml:space="preserve"> intuitively</w:t>
      </w:r>
      <w:r w:rsidR="00AA5D36">
        <w:rPr>
          <w:rFonts w:ascii="Times New Roman" w:eastAsiaTheme="minorEastAsia" w:hAnsi="Times New Roman" w:cs="Times New Roman"/>
          <w:lang w:bidi="en-US"/>
        </w:rPr>
        <w:t xml:space="preserve"> they do not demand outputs extensively from other sectors</w:t>
      </w:r>
      <w:r w:rsidR="003A3964">
        <w:rPr>
          <w:rFonts w:ascii="Times New Roman" w:eastAsiaTheme="minorEastAsia" w:hAnsi="Times New Roman" w:cs="Times New Roman"/>
          <w:lang w:bidi="en-US"/>
        </w:rPr>
        <w:t xml:space="preserve"> since they</w:t>
      </w:r>
      <w:r w:rsidR="00AA5D36">
        <w:rPr>
          <w:rFonts w:ascii="Times New Roman" w:eastAsiaTheme="minorEastAsia" w:hAnsi="Times New Roman" w:cs="Times New Roman"/>
          <w:lang w:bidi="en-US"/>
        </w:rPr>
        <w:t xml:space="preserve"> belong to the service industry</w:t>
      </w:r>
      <w:r w:rsidR="003A3964">
        <w:rPr>
          <w:rFonts w:ascii="Times New Roman" w:eastAsiaTheme="minorEastAsia" w:hAnsi="Times New Roman" w:cs="Times New Roman"/>
          <w:lang w:bidi="en-US"/>
        </w:rPr>
        <w:t>.</w:t>
      </w:r>
    </w:p>
    <w:p w14:paraId="154E1099" w14:textId="77777777" w:rsidR="00B25E61" w:rsidRDefault="00B25E61" w:rsidP="00B25E61">
      <w:pPr>
        <w:keepNext/>
        <w:autoSpaceDE w:val="0"/>
        <w:autoSpaceDN w:val="0"/>
        <w:adjustRightInd w:val="0"/>
        <w:spacing w:line="240" w:lineRule="auto"/>
        <w:ind w:firstLine="504"/>
        <w:jc w:val="center"/>
      </w:pPr>
      <w:r>
        <w:rPr>
          <w:rFonts w:ascii="Times New Roman" w:eastAsiaTheme="minorEastAsia" w:hAnsi="Times New Roman" w:cs="Times New Roman"/>
          <w:noProof/>
        </w:rPr>
        <w:drawing>
          <wp:inline distT="0" distB="0" distL="0" distR="0" wp14:anchorId="24E11B71" wp14:editId="7FC304AC">
            <wp:extent cx="3665220" cy="2202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5220" cy="2202180"/>
                    </a:xfrm>
                    <a:prstGeom prst="rect">
                      <a:avLst/>
                    </a:prstGeom>
                    <a:noFill/>
                    <a:ln>
                      <a:noFill/>
                    </a:ln>
                  </pic:spPr>
                </pic:pic>
              </a:graphicData>
            </a:graphic>
          </wp:inline>
        </w:drawing>
      </w:r>
    </w:p>
    <w:p w14:paraId="6FE2FAF7" w14:textId="022164B2" w:rsidR="00B25E61" w:rsidRDefault="00B25E61" w:rsidP="00B25E61">
      <w:pPr>
        <w:pStyle w:val="Caption"/>
        <w:jc w:val="center"/>
        <w:rPr>
          <w:rFonts w:eastAsiaTheme="minorEastAsia"/>
        </w:rPr>
      </w:pPr>
      <w:r>
        <w:t xml:space="preserve">Figure </w:t>
      </w:r>
      <w:fldSimple w:instr=" SEQ Figure \* ARABIC ">
        <w:r>
          <w:rPr>
            <w:noProof/>
          </w:rPr>
          <w:t>3</w:t>
        </w:r>
      </w:fldSimple>
      <w:r>
        <w:t xml:space="preserve"> - </w:t>
      </w:r>
      <w:r w:rsidRPr="009C58BE">
        <w:t>Dominant Eigenvector illustrating Power of Pull</w:t>
      </w:r>
    </w:p>
    <w:p w14:paraId="0E625F83" w14:textId="6A5D4C5C" w:rsidR="00514E71" w:rsidRDefault="003A3964" w:rsidP="003A3964">
      <w:pPr>
        <w:pStyle w:val="Heading1"/>
        <w:rPr>
          <w:lang w:bidi="en-US"/>
        </w:rPr>
      </w:pPr>
      <w:r>
        <w:rPr>
          <w:lang w:bidi="en-US"/>
        </w:rPr>
        <w:lastRenderedPageBreak/>
        <w:t>CONCLUSION</w:t>
      </w:r>
    </w:p>
    <w:p w14:paraId="34775B44" w14:textId="735FB00E" w:rsidR="00514E71" w:rsidRDefault="003A3964" w:rsidP="009D614F">
      <w:pPr>
        <w:spacing w:after="0" w:line="480" w:lineRule="auto"/>
        <w:ind w:firstLine="720"/>
        <w:jc w:val="both"/>
        <w:rPr>
          <w:rFonts w:ascii="Times New Roman" w:hAnsi="Times New Roman" w:cs="Times New Roman"/>
          <w:lang w:bidi="en-US"/>
        </w:rPr>
      </w:pPr>
      <w:r>
        <w:rPr>
          <w:rFonts w:ascii="Times New Roman" w:hAnsi="Times New Roman" w:cs="Times New Roman"/>
          <w:lang w:bidi="en-US"/>
        </w:rPr>
        <w:t xml:space="preserve">In this research we performed stochastic analysis to determine sample realizations of technical input-output coefficients. BEA I-O accounts, Use and Make tables for </w:t>
      </w:r>
      <w:r w:rsidR="009228BD">
        <w:rPr>
          <w:rFonts w:ascii="Times New Roman" w:hAnsi="Times New Roman" w:cs="Times New Roman"/>
          <w:lang w:bidi="en-US"/>
        </w:rPr>
        <w:t xml:space="preserve">a period of </w:t>
      </w:r>
      <w:r>
        <w:rPr>
          <w:rFonts w:ascii="Times New Roman" w:hAnsi="Times New Roman" w:cs="Times New Roman"/>
          <w:lang w:bidi="en-US"/>
        </w:rPr>
        <w:t xml:space="preserve">14 years </w:t>
      </w:r>
      <w:r w:rsidR="009228BD">
        <w:rPr>
          <w:rFonts w:ascii="Times New Roman" w:hAnsi="Times New Roman" w:cs="Times New Roman"/>
          <w:lang w:bidi="en-US"/>
        </w:rPr>
        <w:t xml:space="preserve">(1998-2011) </w:t>
      </w:r>
      <w:r>
        <w:rPr>
          <w:rFonts w:ascii="Times New Roman" w:hAnsi="Times New Roman" w:cs="Times New Roman"/>
          <w:lang w:bidi="en-US"/>
        </w:rPr>
        <w:t>were used</w:t>
      </w:r>
      <w:r w:rsidR="009228BD">
        <w:rPr>
          <w:rFonts w:ascii="Times New Roman" w:hAnsi="Times New Roman" w:cs="Times New Roman"/>
          <w:lang w:bidi="en-US"/>
        </w:rPr>
        <w:t xml:space="preserve"> in our analysis and data’s moments calculated.</w:t>
      </w:r>
      <w:r>
        <w:rPr>
          <w:rFonts w:ascii="Times New Roman" w:hAnsi="Times New Roman" w:cs="Times New Roman"/>
          <w:lang w:bidi="en-US"/>
        </w:rPr>
        <w:t xml:space="preserve"> Each coefficient was assumed to be a random variable of a Dirichlet distribution</w:t>
      </w:r>
      <w:r w:rsidR="009228BD">
        <w:rPr>
          <w:rFonts w:ascii="Times New Roman" w:hAnsi="Times New Roman" w:cs="Times New Roman"/>
          <w:lang w:bidi="en-US"/>
        </w:rPr>
        <w:t>, and each realization was calculated using the moments calculated from the data</w:t>
      </w:r>
      <w:r w:rsidR="00E620E1">
        <w:rPr>
          <w:rFonts w:ascii="Times New Roman" w:hAnsi="Times New Roman" w:cs="Times New Roman"/>
          <w:lang w:bidi="en-US"/>
        </w:rPr>
        <w:t xml:space="preserve"> </w:t>
      </w:r>
      <w:r w:rsidR="00E620E1">
        <w:rPr>
          <w:rFonts w:ascii="Times New Roman" w:hAnsi="Times New Roman" w:cs="Times New Roman"/>
          <w:lang w:bidi="en-US"/>
        </w:rPr>
        <w:fldChar w:fldCharType="begin"/>
      </w:r>
      <w:r w:rsidR="00E620E1">
        <w:rPr>
          <w:rFonts w:ascii="Times New Roman" w:hAnsi="Times New Roman" w:cs="Times New Roman"/>
          <w:lang w:bidi="en-US"/>
        </w:rPr>
        <w:instrText xml:space="preserve"> ADDIN EN.CITE &lt;EndNote&gt;&lt;Cite&gt;&lt;Author&gt;Frigyik&lt;/Author&gt;&lt;Year&gt;2010&lt;/Year&gt;&lt;RecNum&gt;1&lt;/RecNum&gt;&lt;DisplayText&gt;[Frigyik, Kapila and Gupta, 2010]&lt;/DisplayText&gt;&lt;record&gt;&lt;rec-number&gt;1&lt;/rec-number&gt;&lt;foreign-keys&gt;&lt;key app="EN" db-id="taps2fsr45efv7e95fc59tzqxfeezpeaz2ev"&gt;1&lt;/key&gt;&lt;/foreign-keys&gt;&lt;ref-type name="Report"&gt;27&lt;/ref-type&gt;&lt;contributors&gt;&lt;authors&gt;&lt;author&gt;Bela A. Frigyik&lt;/author&gt;&lt;author&gt;Amol Kapila&lt;/author&gt;&lt;author&gt;Maya R. Gupta&lt;/author&gt;&lt;/authors&gt;&lt;subsidiary-authors&gt;&lt;author&gt;Department of Electrical Engineering&lt;/author&gt;&lt;/subsidiary-authors&gt;&lt;/contributors&gt;&lt;titles&gt;&lt;title&gt;Introduction to the Dirichlet Distribution and Related Processes&lt;/title&gt;&lt;secondary-title&gt;UWEE Technical Report Number UWEETER-2010-0006&lt;/secondary-title&gt;&lt;/titles&gt;&lt;dates&gt;&lt;year&gt;2010&lt;/year&gt;&lt;/dates&gt;&lt;pub-location&gt;Seattle, Washington&lt;/pub-location&gt;&lt;publisher&gt;University of Washington&lt;/publisher&gt;&lt;urls&gt;&lt;related-urls&gt;&lt;url&gt;http://www.ee.washington.edu&lt;/url&gt;&lt;/related-urls&gt;&lt;/urls&gt;&lt;/record&gt;&lt;/Cite&gt;&lt;/EndNote&gt;</w:instrText>
      </w:r>
      <w:r w:rsidR="00E620E1">
        <w:rPr>
          <w:rFonts w:ascii="Times New Roman" w:hAnsi="Times New Roman" w:cs="Times New Roman"/>
          <w:lang w:bidi="en-US"/>
        </w:rPr>
        <w:fldChar w:fldCharType="separate"/>
      </w:r>
      <w:r w:rsidR="00E620E1">
        <w:rPr>
          <w:rFonts w:ascii="Times New Roman" w:hAnsi="Times New Roman" w:cs="Times New Roman"/>
          <w:noProof/>
          <w:lang w:bidi="en-US"/>
        </w:rPr>
        <w:t>[</w:t>
      </w:r>
      <w:hyperlink w:anchor="_ENREF_6" w:tooltip="Frigyik, 2010 #1" w:history="1">
        <w:r w:rsidR="009C41E7">
          <w:rPr>
            <w:rFonts w:ascii="Times New Roman" w:hAnsi="Times New Roman" w:cs="Times New Roman"/>
            <w:noProof/>
            <w:lang w:bidi="en-US"/>
          </w:rPr>
          <w:t>Frigyik, Kapila and Gupta, 2010</w:t>
        </w:r>
      </w:hyperlink>
      <w:r w:rsidR="00E620E1">
        <w:rPr>
          <w:rFonts w:ascii="Times New Roman" w:hAnsi="Times New Roman" w:cs="Times New Roman"/>
          <w:noProof/>
          <w:lang w:bidi="en-US"/>
        </w:rPr>
        <w:t>]</w:t>
      </w:r>
      <w:r w:rsidR="00E620E1">
        <w:rPr>
          <w:rFonts w:ascii="Times New Roman" w:hAnsi="Times New Roman" w:cs="Times New Roman"/>
          <w:lang w:bidi="en-US"/>
        </w:rPr>
        <w:fldChar w:fldCharType="end"/>
      </w:r>
      <w:r w:rsidR="009228BD">
        <w:rPr>
          <w:rFonts w:ascii="Times New Roman" w:hAnsi="Times New Roman" w:cs="Times New Roman"/>
          <w:lang w:bidi="en-US"/>
        </w:rPr>
        <w:t xml:space="preserve">. </w:t>
      </w:r>
      <w:r>
        <w:rPr>
          <w:rFonts w:ascii="Times New Roman" w:hAnsi="Times New Roman" w:cs="Times New Roman"/>
          <w:lang w:bidi="en-US"/>
        </w:rPr>
        <w:t xml:space="preserve">1000 Realizations of coefficients were simulated using a Monte Carlo simulation to produce the </w:t>
      </w:r>
      <w:r>
        <w:rPr>
          <w:rFonts w:ascii="Times New Roman" w:hAnsi="Times New Roman" w:cs="Times New Roman"/>
          <w:i/>
          <w:lang w:bidi="en-US"/>
        </w:rPr>
        <w:t>A</w:t>
      </w:r>
      <w:r>
        <w:rPr>
          <w:rFonts w:ascii="Times New Roman" w:hAnsi="Times New Roman" w:cs="Times New Roman"/>
          <w:lang w:bidi="en-US"/>
        </w:rPr>
        <w:t xml:space="preserve"> matrix. </w:t>
      </w:r>
    </w:p>
    <w:p w14:paraId="597DA1B5" w14:textId="394D791E" w:rsidR="003A3964" w:rsidRDefault="003A3964" w:rsidP="009D614F">
      <w:pPr>
        <w:spacing w:after="0" w:line="480" w:lineRule="auto"/>
        <w:ind w:firstLine="720"/>
        <w:jc w:val="both"/>
        <w:rPr>
          <w:rFonts w:ascii="Times New Roman" w:hAnsi="Times New Roman" w:cs="Times New Roman"/>
          <w:lang w:bidi="en-US"/>
        </w:rPr>
      </w:pPr>
      <w:r>
        <w:rPr>
          <w:rFonts w:ascii="Times New Roman" w:hAnsi="Times New Roman" w:cs="Times New Roman"/>
          <w:lang w:bidi="en-US"/>
        </w:rPr>
        <w:t xml:space="preserve">Two alternate methodologies were utilized; the first using </w:t>
      </w:r>
      <w:r w:rsidR="009228BD">
        <w:rPr>
          <w:rFonts w:ascii="Times New Roman" w:hAnsi="Times New Roman" w:cs="Times New Roman"/>
          <w:lang w:bidi="en-US"/>
        </w:rPr>
        <w:t xml:space="preserve">moments of the </w:t>
      </w:r>
      <w:r>
        <w:rPr>
          <w:rFonts w:ascii="Times New Roman" w:hAnsi="Times New Roman" w:cs="Times New Roman"/>
          <w:lang w:bidi="en-US"/>
        </w:rPr>
        <w:t xml:space="preserve">Use and Make tables from BEA and simulating sample realizations for </w:t>
      </w:r>
      <w:r w:rsidR="009228BD">
        <w:rPr>
          <w:rFonts w:ascii="Times New Roman" w:hAnsi="Times New Roman" w:cs="Times New Roman"/>
          <w:lang w:bidi="en-US"/>
        </w:rPr>
        <w:t xml:space="preserve">each type to produce sample normalized Use and Make tables. The Use and Make matrices were then used to calculate the </w:t>
      </w:r>
      <w:r w:rsidR="009228BD">
        <w:rPr>
          <w:rFonts w:ascii="Times New Roman" w:hAnsi="Times New Roman" w:cs="Times New Roman"/>
          <w:i/>
          <w:lang w:bidi="en-US"/>
        </w:rPr>
        <w:t xml:space="preserve">A </w:t>
      </w:r>
      <w:r w:rsidR="009228BD">
        <w:rPr>
          <w:rFonts w:ascii="Times New Roman" w:hAnsi="Times New Roman" w:cs="Times New Roman"/>
          <w:lang w:bidi="en-US"/>
        </w:rPr>
        <w:t>matrix</w:t>
      </w:r>
      <w:r w:rsidR="00E620E1">
        <w:rPr>
          <w:rFonts w:ascii="Times New Roman" w:hAnsi="Times New Roman" w:cs="Times New Roman"/>
          <w:lang w:bidi="en-US"/>
        </w:rPr>
        <w:t xml:space="preserve"> </w:t>
      </w:r>
      <w:r w:rsidR="00E620E1">
        <w:rPr>
          <w:rFonts w:ascii="Times New Roman" w:hAnsi="Times New Roman" w:cs="Times New Roman"/>
          <w:lang w:bidi="en-US"/>
        </w:rPr>
        <w:fldChar w:fldCharType="begin"/>
      </w:r>
      <w:r w:rsidR="00E620E1">
        <w:rPr>
          <w:rFonts w:ascii="Times New Roman" w:hAnsi="Times New Roman" w:cs="Times New Roman"/>
          <w:lang w:bidi="en-US"/>
        </w:rPr>
        <w:instrText xml:space="preserve"> ADDIN EN.CITE &lt;EndNote&gt;&lt;Cite&gt;&lt;Author&gt;Raa&lt;/Author&gt;&lt;Year&gt;2007&lt;/Year&gt;&lt;RecNum&gt;14&lt;/RecNum&gt;&lt;DisplayText&gt;[Raa and Rueda-Cantuche, 2007]&lt;/DisplayText&gt;&lt;record&gt;&lt;rec-number&gt;14&lt;/rec-number&gt;&lt;foreign-keys&gt;&lt;key app="EN" db-id="taps2fsr45efv7e95fc59tzqxfeezpeaz2ev"&gt;14&lt;/key&gt;&lt;/foreign-keys&gt;&lt;ref-type name="Journal Article"&gt;17&lt;/ref-type&gt;&lt;contributors&gt;&lt;authors&gt;&lt;author&gt;Raa, Thijs Ten&lt;/author&gt;&lt;author&gt;Rueda-Cantuche, José Manuel&lt;/author&gt;&lt;/authors&gt;&lt;/contributors&gt;&lt;titles&gt;&lt;title&gt;STOCHASTIC ANALYSIS OF INPUT–OUTPUT MULTIPLIERS ON THE BASIS OF USE AND MAKE TABLES&lt;/title&gt;&lt;secondary-title&gt;Review of Income and Wealth&lt;/secondary-title&gt;&lt;/titles&gt;&lt;periodical&gt;&lt;full-title&gt;Review of Income and Wealth&lt;/full-title&gt;&lt;/periodical&gt;&lt;pages&gt;318-334&lt;/pages&gt;&lt;volume&gt;53&lt;/volume&gt;&lt;number&gt;2&lt;/number&gt;&lt;dates&gt;&lt;year&gt;2007&lt;/year&gt;&lt;/dates&gt;&lt;publisher&gt;Blackwell Publishing Ltd&lt;/publisher&gt;&lt;isbn&gt;1475-4991&lt;/isbn&gt;&lt;urls&gt;&lt;related-urls&gt;&lt;url&gt;http://dx.doi.org/10.1111/j.1475-4991.2007.00227.x&lt;/url&gt;&lt;/related-urls&gt;&lt;/urls&gt;&lt;electronic-resource-num&gt;10.1111/j.1475-4991.2007.00227.x&lt;/electronic-resource-num&gt;&lt;/record&gt;&lt;/Cite&gt;&lt;/EndNote&gt;</w:instrText>
      </w:r>
      <w:r w:rsidR="00E620E1">
        <w:rPr>
          <w:rFonts w:ascii="Times New Roman" w:hAnsi="Times New Roman" w:cs="Times New Roman"/>
          <w:lang w:bidi="en-US"/>
        </w:rPr>
        <w:fldChar w:fldCharType="separate"/>
      </w:r>
      <w:r w:rsidR="00E620E1">
        <w:rPr>
          <w:rFonts w:ascii="Times New Roman" w:hAnsi="Times New Roman" w:cs="Times New Roman"/>
          <w:noProof/>
          <w:lang w:bidi="en-US"/>
        </w:rPr>
        <w:t>[</w:t>
      </w:r>
      <w:hyperlink w:anchor="_ENREF_13" w:tooltip="Raa, 2007 #14" w:history="1">
        <w:r w:rsidR="009C41E7">
          <w:rPr>
            <w:rFonts w:ascii="Times New Roman" w:hAnsi="Times New Roman" w:cs="Times New Roman"/>
            <w:noProof/>
            <w:lang w:bidi="en-US"/>
          </w:rPr>
          <w:t>Raa and Rueda-Cantuche, 2007</w:t>
        </w:r>
      </w:hyperlink>
      <w:r w:rsidR="00E620E1">
        <w:rPr>
          <w:rFonts w:ascii="Times New Roman" w:hAnsi="Times New Roman" w:cs="Times New Roman"/>
          <w:noProof/>
          <w:lang w:bidi="en-US"/>
        </w:rPr>
        <w:t>]</w:t>
      </w:r>
      <w:r w:rsidR="00E620E1">
        <w:rPr>
          <w:rFonts w:ascii="Times New Roman" w:hAnsi="Times New Roman" w:cs="Times New Roman"/>
          <w:lang w:bidi="en-US"/>
        </w:rPr>
        <w:fldChar w:fldCharType="end"/>
      </w:r>
      <w:r w:rsidR="009228BD">
        <w:rPr>
          <w:rFonts w:ascii="Times New Roman" w:hAnsi="Times New Roman" w:cs="Times New Roman"/>
          <w:lang w:bidi="en-US"/>
        </w:rPr>
        <w:t xml:space="preserve">. The second methodology involved calculating moments directly from the I-O accounts provided by BEA and simulating realizations for matrix </w:t>
      </w:r>
      <w:r w:rsidR="009228BD">
        <w:rPr>
          <w:rFonts w:ascii="Times New Roman" w:hAnsi="Times New Roman" w:cs="Times New Roman"/>
          <w:i/>
          <w:lang w:bidi="en-US"/>
        </w:rPr>
        <w:t>A</w:t>
      </w:r>
      <w:r w:rsidR="009228BD">
        <w:rPr>
          <w:rFonts w:ascii="Times New Roman" w:hAnsi="Times New Roman" w:cs="Times New Roman"/>
          <w:lang w:bidi="en-US"/>
        </w:rPr>
        <w:t xml:space="preserve">. </w:t>
      </w:r>
      <w:r w:rsidR="00A3310D">
        <w:rPr>
          <w:rFonts w:ascii="Times New Roman" w:hAnsi="Times New Roman" w:cs="Times New Roman"/>
          <w:lang w:bidi="en-US"/>
        </w:rPr>
        <w:t>Both methodologies produced similar results, validating the process.</w:t>
      </w:r>
    </w:p>
    <w:p w14:paraId="4204E5E2" w14:textId="0628BBE5" w:rsidR="00A3310D" w:rsidRDefault="009228BD" w:rsidP="009D614F">
      <w:pPr>
        <w:spacing w:after="0" w:line="480" w:lineRule="auto"/>
        <w:ind w:firstLine="720"/>
        <w:jc w:val="both"/>
        <w:rPr>
          <w:rFonts w:ascii="Times New Roman" w:hAnsi="Times New Roman" w:cs="Times New Roman"/>
          <w:lang w:bidi="en-US"/>
        </w:rPr>
      </w:pPr>
      <w:r>
        <w:rPr>
          <w:rFonts w:ascii="Times New Roman" w:hAnsi="Times New Roman" w:cs="Times New Roman"/>
          <w:lang w:bidi="en-US"/>
        </w:rPr>
        <w:t xml:space="preserve">Matrix </w:t>
      </w:r>
      <w:r>
        <w:rPr>
          <w:rFonts w:ascii="Times New Roman" w:hAnsi="Times New Roman" w:cs="Times New Roman"/>
          <w:i/>
          <w:lang w:bidi="en-US"/>
        </w:rPr>
        <w:t xml:space="preserve">A </w:t>
      </w:r>
      <w:r>
        <w:rPr>
          <w:rFonts w:ascii="Times New Roman" w:hAnsi="Times New Roman" w:cs="Times New Roman"/>
          <w:lang w:bidi="en-US"/>
        </w:rPr>
        <w:t>was then converted to the Leontief inverse to estimate the direct and indirect strength of backward linkages of each sector, key sectors were determined based on that approach. An additional complementary Eigen analysis was conducted to determine the potential of growth within the economy based on the influence of each sectors. The an</w:t>
      </w:r>
      <w:r w:rsidR="00A3310D">
        <w:rPr>
          <w:rFonts w:ascii="Times New Roman" w:hAnsi="Times New Roman" w:cs="Times New Roman"/>
          <w:lang w:bidi="en-US"/>
        </w:rPr>
        <w:t>alysis determined the M</w:t>
      </w:r>
      <w:r>
        <w:rPr>
          <w:rFonts w:ascii="Times New Roman" w:hAnsi="Times New Roman" w:cs="Times New Roman"/>
          <w:lang w:bidi="en-US"/>
        </w:rPr>
        <w:t>anufacturing sector</w:t>
      </w:r>
      <w:r w:rsidR="00A3310D">
        <w:rPr>
          <w:rFonts w:ascii="Times New Roman" w:hAnsi="Times New Roman" w:cs="Times New Roman"/>
          <w:lang w:bidi="en-US"/>
        </w:rPr>
        <w:t xml:space="preserve"> (S5)</w:t>
      </w:r>
      <w:r>
        <w:rPr>
          <w:rFonts w:ascii="Times New Roman" w:hAnsi="Times New Roman" w:cs="Times New Roman"/>
          <w:lang w:bidi="en-US"/>
        </w:rPr>
        <w:t xml:space="preserve"> to be the most influential and interdependent sector along with few others. </w:t>
      </w:r>
      <w:r w:rsidR="00A3310D">
        <w:rPr>
          <w:rFonts w:ascii="Times New Roman" w:hAnsi="Times New Roman" w:cs="Times New Roman"/>
          <w:lang w:bidi="en-US"/>
        </w:rPr>
        <w:t>Further analysis could be made to observe Forward linkages and determine a multi-objective criterion of determining key sectors.</w:t>
      </w:r>
    </w:p>
    <w:p w14:paraId="76632336" w14:textId="1C8B129F" w:rsidR="00A3310D" w:rsidRDefault="009228BD" w:rsidP="00A3310D">
      <w:pPr>
        <w:spacing w:after="0" w:line="480" w:lineRule="auto"/>
        <w:ind w:firstLine="720"/>
        <w:jc w:val="both"/>
        <w:rPr>
          <w:rFonts w:ascii="Times New Roman" w:hAnsi="Times New Roman" w:cs="Times New Roman"/>
          <w:lang w:bidi="en-US"/>
        </w:rPr>
      </w:pPr>
      <w:r>
        <w:rPr>
          <w:rFonts w:ascii="Times New Roman" w:hAnsi="Times New Roman" w:cs="Times New Roman"/>
          <w:lang w:bidi="en-US"/>
        </w:rPr>
        <w:t>Policy maker can focus their eff</w:t>
      </w:r>
      <w:r w:rsidR="00A3310D">
        <w:rPr>
          <w:rFonts w:ascii="Times New Roman" w:hAnsi="Times New Roman" w:cs="Times New Roman"/>
          <w:lang w:bidi="en-US"/>
        </w:rPr>
        <w:t xml:space="preserve">orts on key sectors to stimulate growth in the economy and also be vary that potential inoperability to these sector could hamper growth due to decreased demand within the economic system. This research produced a unique framework for stochastic input-output analysis which can be used in conjunction with improved key sector analysis techniques found in the literature. </w:t>
      </w:r>
    </w:p>
    <w:p w14:paraId="36B9B267" w14:textId="395D9655" w:rsidR="009228BD" w:rsidRPr="009228BD" w:rsidRDefault="009228BD" w:rsidP="009D614F">
      <w:pPr>
        <w:spacing w:after="0" w:line="480" w:lineRule="auto"/>
        <w:ind w:firstLine="720"/>
        <w:jc w:val="both"/>
        <w:rPr>
          <w:rFonts w:ascii="Times New Roman" w:hAnsi="Times New Roman" w:cs="Times New Roman"/>
          <w:lang w:bidi="en-US"/>
        </w:rPr>
      </w:pPr>
    </w:p>
    <w:p w14:paraId="61F501F0" w14:textId="77777777" w:rsidR="00514E71" w:rsidRDefault="00514E71" w:rsidP="009D614F">
      <w:pPr>
        <w:spacing w:after="0" w:line="480" w:lineRule="auto"/>
        <w:ind w:firstLine="720"/>
        <w:jc w:val="both"/>
        <w:rPr>
          <w:rFonts w:ascii="Times New Roman" w:hAnsi="Times New Roman" w:cs="Times New Roman"/>
          <w:lang w:bidi="en-US"/>
        </w:rPr>
      </w:pPr>
    </w:p>
    <w:p w14:paraId="0F5843E9" w14:textId="77777777" w:rsidR="00514E71" w:rsidRDefault="00514E71" w:rsidP="009D614F">
      <w:pPr>
        <w:spacing w:after="0" w:line="480" w:lineRule="auto"/>
        <w:ind w:firstLine="720"/>
        <w:jc w:val="both"/>
        <w:rPr>
          <w:rFonts w:ascii="Times New Roman" w:hAnsi="Times New Roman" w:cs="Times New Roman"/>
          <w:lang w:bidi="en-US"/>
        </w:rPr>
      </w:pPr>
    </w:p>
    <w:p w14:paraId="22EFB3EF" w14:textId="4DB22588" w:rsidR="00866CBB" w:rsidRPr="00A114EE" w:rsidRDefault="00FE3B1F" w:rsidP="009D1AFD">
      <w:pPr>
        <w:pStyle w:val="Heading1"/>
        <w:ind w:left="810"/>
      </w:pPr>
      <w:r w:rsidRPr="00A114EE">
        <w:lastRenderedPageBreak/>
        <w:t>REFERENCES</w:t>
      </w:r>
    </w:p>
    <w:p w14:paraId="79FC7719" w14:textId="625405A3" w:rsidR="009C41E7" w:rsidRDefault="00E05CEF" w:rsidP="009C41E7">
      <w:pPr>
        <w:spacing w:after="0" w:line="240" w:lineRule="auto"/>
        <w:ind w:left="720" w:hanging="720"/>
        <w:rPr>
          <w:rFonts w:ascii="Times New Roman" w:hAnsi="Times New Roman" w:cs="Times New Roman"/>
          <w:noProof/>
          <w:lang w:bidi="en-US"/>
        </w:rPr>
      </w:pPr>
      <w:r w:rsidRPr="00A114EE">
        <w:rPr>
          <w:rFonts w:ascii="Times New Roman" w:hAnsi="Times New Roman" w:cs="Times New Roman"/>
          <w:lang w:bidi="en-US"/>
        </w:rPr>
        <w:fldChar w:fldCharType="begin"/>
      </w:r>
      <w:r w:rsidRPr="00A114EE">
        <w:rPr>
          <w:rFonts w:ascii="Times New Roman" w:hAnsi="Times New Roman" w:cs="Times New Roman"/>
          <w:lang w:bidi="en-US"/>
        </w:rPr>
        <w:instrText xml:space="preserve"> ADDIN EN.REFLIST </w:instrText>
      </w:r>
      <w:r w:rsidRPr="00A114EE">
        <w:rPr>
          <w:rFonts w:ascii="Times New Roman" w:hAnsi="Times New Roman" w:cs="Times New Roman"/>
          <w:lang w:bidi="en-US"/>
        </w:rPr>
        <w:fldChar w:fldCharType="separate"/>
      </w:r>
      <w:bookmarkStart w:id="1" w:name="_ENREF_1"/>
      <w:r w:rsidR="009C41E7" w:rsidRPr="009C41E7">
        <w:rPr>
          <w:rFonts w:ascii="Times New Roman" w:hAnsi="Times New Roman" w:cs="Times New Roman"/>
          <w:noProof/>
          <w:lang w:bidi="en-US"/>
        </w:rPr>
        <w:t>1.</w:t>
      </w:r>
      <w:r w:rsidR="009C41E7" w:rsidRPr="009C41E7">
        <w:rPr>
          <w:rFonts w:ascii="Times New Roman" w:hAnsi="Times New Roman" w:cs="Times New Roman"/>
          <w:noProof/>
          <w:lang w:bidi="en-US"/>
        </w:rPr>
        <w:tab/>
        <w:t xml:space="preserve">BEA, </w:t>
      </w:r>
      <w:r w:rsidR="009C41E7" w:rsidRPr="009C41E7">
        <w:rPr>
          <w:rFonts w:ascii="Times New Roman" w:hAnsi="Times New Roman" w:cs="Times New Roman"/>
          <w:i/>
          <w:noProof/>
          <w:lang w:bidi="en-US"/>
        </w:rPr>
        <w:t>Interactive access to industry economic accounts data: Input-output</w:t>
      </w:r>
      <w:r w:rsidR="009C41E7" w:rsidRPr="009C41E7">
        <w:rPr>
          <w:rFonts w:ascii="Times New Roman" w:hAnsi="Times New Roman" w:cs="Times New Roman"/>
          <w:noProof/>
          <w:lang w:bidi="en-US"/>
        </w:rPr>
        <w:t xml:space="preserve">,  (2013),B. o. E. Analysis.Available at: </w:t>
      </w:r>
      <w:hyperlink r:id="rId11" w:history="1">
        <w:r w:rsidR="009C41E7" w:rsidRPr="009C41E7">
          <w:rPr>
            <w:rStyle w:val="Hyperlink"/>
            <w:rFonts w:ascii="Times New Roman" w:hAnsi="Times New Roman" w:cs="Times New Roman"/>
            <w:noProof/>
            <w:lang w:bidi="en-US"/>
          </w:rPr>
          <w:t>http://bea.gov/iTable/index_industry_io.cfm</w:t>
        </w:r>
        <w:bookmarkEnd w:id="1"/>
      </w:hyperlink>
    </w:p>
    <w:p w14:paraId="491546FF"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5F6FA993" w14:textId="77777777" w:rsidR="009C41E7" w:rsidRDefault="009C41E7" w:rsidP="009C41E7">
      <w:pPr>
        <w:spacing w:after="0" w:line="240" w:lineRule="auto"/>
        <w:ind w:left="720" w:hanging="720"/>
        <w:rPr>
          <w:rFonts w:ascii="Times New Roman" w:hAnsi="Times New Roman" w:cs="Times New Roman"/>
          <w:noProof/>
          <w:lang w:bidi="en-US"/>
        </w:rPr>
      </w:pPr>
      <w:bookmarkStart w:id="2" w:name="_ENREF_2"/>
      <w:r w:rsidRPr="009C41E7">
        <w:rPr>
          <w:rFonts w:ascii="Times New Roman" w:hAnsi="Times New Roman" w:cs="Times New Roman"/>
          <w:noProof/>
          <w:lang w:bidi="en-US"/>
        </w:rPr>
        <w:t>2.</w:t>
      </w:r>
      <w:r w:rsidRPr="009C41E7">
        <w:rPr>
          <w:rFonts w:ascii="Times New Roman" w:hAnsi="Times New Roman" w:cs="Times New Roman"/>
          <w:noProof/>
          <w:lang w:bidi="en-US"/>
        </w:rPr>
        <w:tab/>
        <w:t xml:space="preserve">M. Beynon and M. Munday, </w:t>
      </w:r>
      <w:r w:rsidRPr="009C41E7">
        <w:rPr>
          <w:rFonts w:ascii="Times New Roman" w:hAnsi="Times New Roman" w:cs="Times New Roman"/>
          <w:i/>
          <w:noProof/>
          <w:lang w:bidi="en-US"/>
        </w:rPr>
        <w:t>Stochastic key sector analysis: An application to a regional input–output framework</w:t>
      </w:r>
      <w:r w:rsidRPr="009C41E7">
        <w:rPr>
          <w:rFonts w:ascii="Times New Roman" w:hAnsi="Times New Roman" w:cs="Times New Roman"/>
          <w:noProof/>
          <w:lang w:bidi="en-US"/>
        </w:rPr>
        <w:t>, Ann Reg Sci 42 (2008), no. 4, 863-877.</w:t>
      </w:r>
      <w:bookmarkEnd w:id="2"/>
    </w:p>
    <w:p w14:paraId="0B2DE460"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1E05173E" w14:textId="77777777" w:rsidR="009C41E7" w:rsidRDefault="009C41E7" w:rsidP="009C41E7">
      <w:pPr>
        <w:spacing w:after="0" w:line="240" w:lineRule="auto"/>
        <w:ind w:left="720" w:hanging="720"/>
        <w:rPr>
          <w:rFonts w:ascii="Times New Roman" w:hAnsi="Times New Roman" w:cs="Times New Roman"/>
          <w:noProof/>
          <w:lang w:bidi="en-US"/>
        </w:rPr>
      </w:pPr>
      <w:bookmarkStart w:id="3" w:name="_ENREF_3"/>
      <w:r w:rsidRPr="009C41E7">
        <w:rPr>
          <w:rFonts w:ascii="Times New Roman" w:hAnsi="Times New Roman" w:cs="Times New Roman"/>
          <w:noProof/>
          <w:lang w:bidi="en-US"/>
        </w:rPr>
        <w:t>3.</w:t>
      </w:r>
      <w:r w:rsidRPr="009C41E7">
        <w:rPr>
          <w:rFonts w:ascii="Times New Roman" w:hAnsi="Times New Roman" w:cs="Times New Roman"/>
          <w:noProof/>
          <w:lang w:bidi="en-US"/>
        </w:rPr>
        <w:tab/>
        <w:t xml:space="preserve">E. Dietzenbacher, </w:t>
      </w:r>
      <w:r w:rsidRPr="009C41E7">
        <w:rPr>
          <w:rFonts w:ascii="Times New Roman" w:hAnsi="Times New Roman" w:cs="Times New Roman"/>
          <w:i/>
          <w:noProof/>
          <w:lang w:bidi="en-US"/>
        </w:rPr>
        <w:t>The measurement of interindustry linkages: Key sectors in the netherlands</w:t>
      </w:r>
      <w:r w:rsidRPr="009C41E7">
        <w:rPr>
          <w:rFonts w:ascii="Times New Roman" w:hAnsi="Times New Roman" w:cs="Times New Roman"/>
          <w:noProof/>
          <w:lang w:bidi="en-US"/>
        </w:rPr>
        <w:t>, Economic Modelling 9 (1992), no. 4, 419-437.</w:t>
      </w:r>
      <w:bookmarkEnd w:id="3"/>
    </w:p>
    <w:p w14:paraId="7A9EDEE2"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533510B3" w14:textId="5C555B74" w:rsidR="009C41E7" w:rsidRDefault="009C41E7" w:rsidP="009C41E7">
      <w:pPr>
        <w:spacing w:after="0" w:line="240" w:lineRule="auto"/>
        <w:ind w:left="720" w:hanging="720"/>
        <w:rPr>
          <w:rFonts w:ascii="Times New Roman" w:hAnsi="Times New Roman" w:cs="Times New Roman"/>
          <w:noProof/>
          <w:lang w:bidi="en-US"/>
        </w:rPr>
      </w:pPr>
      <w:bookmarkStart w:id="4" w:name="_ENREF_4"/>
      <w:r w:rsidRPr="009C41E7">
        <w:rPr>
          <w:rFonts w:ascii="Times New Roman" w:hAnsi="Times New Roman" w:cs="Times New Roman"/>
          <w:noProof/>
          <w:lang w:bidi="en-US"/>
        </w:rPr>
        <w:t>4.</w:t>
      </w:r>
      <w:r w:rsidRPr="009C41E7">
        <w:rPr>
          <w:rFonts w:ascii="Times New Roman" w:hAnsi="Times New Roman" w:cs="Times New Roman"/>
          <w:noProof/>
          <w:lang w:bidi="en-US"/>
        </w:rPr>
        <w:tab/>
      </w:r>
      <w:r w:rsidR="00151E02" w:rsidRPr="009C41E7">
        <w:rPr>
          <w:rFonts w:ascii="Times New Roman" w:hAnsi="Times New Roman" w:cs="Times New Roman"/>
          <w:noProof/>
          <w:lang w:bidi="en-US"/>
        </w:rPr>
        <w:t>E. Dietzenbacher</w:t>
      </w:r>
      <w:r w:rsidRPr="009C41E7">
        <w:rPr>
          <w:rFonts w:ascii="Times New Roman" w:hAnsi="Times New Roman" w:cs="Times New Roman"/>
          <w:noProof/>
          <w:lang w:bidi="en-US"/>
        </w:rPr>
        <w:t xml:space="preserve">, </w:t>
      </w:r>
      <w:r w:rsidRPr="009C41E7">
        <w:rPr>
          <w:rFonts w:ascii="Times New Roman" w:hAnsi="Times New Roman" w:cs="Times New Roman"/>
          <w:i/>
          <w:noProof/>
          <w:lang w:bidi="en-US"/>
        </w:rPr>
        <w:t>On the bias of multiplier estimates</w:t>
      </w:r>
      <w:r w:rsidRPr="009C41E7">
        <w:rPr>
          <w:rFonts w:ascii="Times New Roman" w:hAnsi="Times New Roman" w:cs="Times New Roman"/>
          <w:noProof/>
          <w:lang w:bidi="en-US"/>
        </w:rPr>
        <w:t>, Journal of Regional Science 35 (1995), no. 3, 377.</w:t>
      </w:r>
      <w:bookmarkEnd w:id="4"/>
    </w:p>
    <w:p w14:paraId="3BD98428"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4DB30128" w14:textId="5C9314CA" w:rsidR="009C41E7" w:rsidRDefault="009C41E7" w:rsidP="009C41E7">
      <w:pPr>
        <w:spacing w:after="0" w:line="240" w:lineRule="auto"/>
        <w:ind w:left="720" w:hanging="720"/>
        <w:rPr>
          <w:rFonts w:ascii="Times New Roman" w:hAnsi="Times New Roman" w:cs="Times New Roman"/>
          <w:noProof/>
          <w:lang w:bidi="en-US"/>
        </w:rPr>
      </w:pPr>
      <w:bookmarkStart w:id="5" w:name="_ENREF_5"/>
      <w:r w:rsidRPr="009C41E7">
        <w:rPr>
          <w:rFonts w:ascii="Times New Roman" w:hAnsi="Times New Roman" w:cs="Times New Roman"/>
          <w:noProof/>
          <w:lang w:bidi="en-US"/>
        </w:rPr>
        <w:t>5.</w:t>
      </w:r>
      <w:r w:rsidRPr="009C41E7">
        <w:rPr>
          <w:rFonts w:ascii="Times New Roman" w:hAnsi="Times New Roman" w:cs="Times New Roman"/>
          <w:noProof/>
          <w:lang w:bidi="en-US"/>
        </w:rPr>
        <w:tab/>
      </w:r>
      <w:r w:rsidR="00151E02" w:rsidRPr="009C41E7">
        <w:rPr>
          <w:rFonts w:ascii="Times New Roman" w:hAnsi="Times New Roman" w:cs="Times New Roman"/>
          <w:noProof/>
          <w:lang w:bidi="en-US"/>
        </w:rPr>
        <w:t>E. Dietzenbacher</w:t>
      </w:r>
      <w:r w:rsidRPr="009C41E7">
        <w:rPr>
          <w:rFonts w:ascii="Times New Roman" w:hAnsi="Times New Roman" w:cs="Times New Roman"/>
          <w:noProof/>
          <w:lang w:bidi="en-US"/>
        </w:rPr>
        <w:t xml:space="preserve">, </w:t>
      </w:r>
      <w:r w:rsidRPr="009C41E7">
        <w:rPr>
          <w:rFonts w:ascii="Times New Roman" w:hAnsi="Times New Roman" w:cs="Times New Roman"/>
          <w:i/>
          <w:noProof/>
          <w:lang w:bidi="en-US"/>
        </w:rPr>
        <w:t>Multiplier estimates: To bias or not to bias?*</w:t>
      </w:r>
      <w:r w:rsidRPr="009C41E7">
        <w:rPr>
          <w:rFonts w:ascii="Times New Roman" w:hAnsi="Times New Roman" w:cs="Times New Roman"/>
          <w:noProof/>
          <w:lang w:bidi="en-US"/>
        </w:rPr>
        <w:t>, Journal of Regional Science 46 (2006), no. 4, 773-786.</w:t>
      </w:r>
      <w:bookmarkEnd w:id="5"/>
    </w:p>
    <w:p w14:paraId="22AFB658"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388D2443" w14:textId="52489A20" w:rsidR="009C41E7" w:rsidRDefault="009C41E7" w:rsidP="009C41E7">
      <w:pPr>
        <w:spacing w:after="0" w:line="240" w:lineRule="auto"/>
        <w:ind w:left="720" w:hanging="720"/>
        <w:rPr>
          <w:rFonts w:ascii="Times New Roman" w:hAnsi="Times New Roman" w:cs="Times New Roman"/>
          <w:noProof/>
          <w:lang w:bidi="en-US"/>
        </w:rPr>
      </w:pPr>
      <w:bookmarkStart w:id="6" w:name="_ENREF_6"/>
      <w:r w:rsidRPr="009C41E7">
        <w:rPr>
          <w:rFonts w:ascii="Times New Roman" w:hAnsi="Times New Roman" w:cs="Times New Roman"/>
          <w:noProof/>
          <w:lang w:bidi="en-US"/>
        </w:rPr>
        <w:t>6.</w:t>
      </w:r>
      <w:r w:rsidRPr="009C41E7">
        <w:rPr>
          <w:rFonts w:ascii="Times New Roman" w:hAnsi="Times New Roman" w:cs="Times New Roman"/>
          <w:noProof/>
          <w:lang w:bidi="en-US"/>
        </w:rPr>
        <w:tab/>
        <w:t xml:space="preserve">B. A. Frigyik, A. Kapila and M. R. Gupta, </w:t>
      </w:r>
      <w:r w:rsidRPr="009C41E7">
        <w:rPr>
          <w:rFonts w:ascii="Times New Roman" w:hAnsi="Times New Roman" w:cs="Times New Roman"/>
          <w:i/>
          <w:noProof/>
          <w:lang w:bidi="en-US"/>
        </w:rPr>
        <w:t>Introduction to the dirichlet distribution and related processes</w:t>
      </w:r>
      <w:r w:rsidRPr="009C41E7">
        <w:rPr>
          <w:rFonts w:ascii="Times New Roman" w:hAnsi="Times New Roman" w:cs="Times New Roman"/>
          <w:noProof/>
          <w:lang w:bidi="en-US"/>
        </w:rPr>
        <w:t xml:space="preserve">, UWEE Technical Report Number UWEETER-2010-0006 (2010), University of Washington. Available at: </w:t>
      </w:r>
      <w:hyperlink r:id="rId12" w:history="1">
        <w:r w:rsidRPr="009C41E7">
          <w:rPr>
            <w:rStyle w:val="Hyperlink"/>
            <w:rFonts w:ascii="Times New Roman" w:hAnsi="Times New Roman" w:cs="Times New Roman"/>
            <w:noProof/>
            <w:lang w:bidi="en-US"/>
          </w:rPr>
          <w:t>http://www.ee.washington.edu</w:t>
        </w:r>
        <w:bookmarkEnd w:id="6"/>
      </w:hyperlink>
    </w:p>
    <w:p w14:paraId="49F31035"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1CF601ED" w14:textId="77777777" w:rsidR="009C41E7" w:rsidRDefault="009C41E7" w:rsidP="009C41E7">
      <w:pPr>
        <w:spacing w:after="0" w:line="240" w:lineRule="auto"/>
        <w:ind w:left="720" w:hanging="720"/>
        <w:rPr>
          <w:rFonts w:ascii="Times New Roman" w:hAnsi="Times New Roman" w:cs="Times New Roman"/>
          <w:noProof/>
          <w:lang w:bidi="en-US"/>
        </w:rPr>
      </w:pPr>
      <w:bookmarkStart w:id="7" w:name="_ENREF_7"/>
      <w:r w:rsidRPr="009C41E7">
        <w:rPr>
          <w:rFonts w:ascii="Times New Roman" w:hAnsi="Times New Roman" w:cs="Times New Roman"/>
          <w:noProof/>
          <w:lang w:bidi="en-US"/>
        </w:rPr>
        <w:t>7.</w:t>
      </w:r>
      <w:r w:rsidRPr="009C41E7">
        <w:rPr>
          <w:rFonts w:ascii="Times New Roman" w:hAnsi="Times New Roman" w:cs="Times New Roman"/>
          <w:noProof/>
          <w:lang w:bidi="en-US"/>
        </w:rPr>
        <w:tab/>
        <w:t xml:space="preserve">P. S. M. K. Jansen, </w:t>
      </w:r>
      <w:r w:rsidRPr="009C41E7">
        <w:rPr>
          <w:rFonts w:ascii="Times New Roman" w:hAnsi="Times New Roman" w:cs="Times New Roman"/>
          <w:i/>
          <w:noProof/>
          <w:lang w:bidi="en-US"/>
        </w:rPr>
        <w:t>Analysis of multipliers in stochastic input-output models</w:t>
      </w:r>
      <w:r w:rsidRPr="009C41E7">
        <w:rPr>
          <w:rFonts w:ascii="Times New Roman" w:hAnsi="Times New Roman" w:cs="Times New Roman"/>
          <w:noProof/>
          <w:lang w:bidi="en-US"/>
        </w:rPr>
        <w:t>, Regional Science and Urban Economics 24 (1994), no. 1, 55-74.</w:t>
      </w:r>
      <w:bookmarkEnd w:id="7"/>
    </w:p>
    <w:p w14:paraId="0CC18A9D"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42D94D5A" w14:textId="77777777" w:rsidR="009C41E7" w:rsidRDefault="009C41E7" w:rsidP="009C41E7">
      <w:pPr>
        <w:spacing w:after="0" w:line="240" w:lineRule="auto"/>
        <w:ind w:left="720" w:hanging="720"/>
        <w:rPr>
          <w:rFonts w:ascii="Times New Roman" w:hAnsi="Times New Roman" w:cs="Times New Roman"/>
          <w:noProof/>
          <w:lang w:bidi="en-US"/>
        </w:rPr>
      </w:pPr>
      <w:bookmarkStart w:id="8" w:name="_ENREF_8"/>
      <w:r w:rsidRPr="009C41E7">
        <w:rPr>
          <w:rFonts w:ascii="Times New Roman" w:hAnsi="Times New Roman" w:cs="Times New Roman"/>
          <w:noProof/>
          <w:lang w:bidi="en-US"/>
        </w:rPr>
        <w:t>8.</w:t>
      </w:r>
      <w:r w:rsidRPr="009C41E7">
        <w:rPr>
          <w:rFonts w:ascii="Times New Roman" w:hAnsi="Times New Roman" w:cs="Times New Roman"/>
          <w:noProof/>
          <w:lang w:bidi="en-US"/>
        </w:rPr>
        <w:tab/>
        <w:t xml:space="preserve">M. L. Lahr and E. Dietzenbacher, </w:t>
      </w:r>
      <w:r w:rsidRPr="009C41E7">
        <w:rPr>
          <w:rFonts w:ascii="Times New Roman" w:hAnsi="Times New Roman" w:cs="Times New Roman"/>
          <w:i/>
          <w:noProof/>
          <w:lang w:bidi="en-US"/>
        </w:rPr>
        <w:t>Input-output analysis : Frontiers and extensions</w:t>
      </w:r>
      <w:r w:rsidRPr="009C41E7">
        <w:rPr>
          <w:rFonts w:ascii="Times New Roman" w:hAnsi="Times New Roman" w:cs="Times New Roman"/>
          <w:noProof/>
          <w:lang w:bidi="en-US"/>
        </w:rPr>
        <w:t>, Palgrave, Basingstoke, Hampshire, England, New York, 2001.</w:t>
      </w:r>
      <w:bookmarkEnd w:id="8"/>
    </w:p>
    <w:p w14:paraId="77EF55D7"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713F2EDE" w14:textId="77777777" w:rsidR="009C41E7" w:rsidRDefault="009C41E7" w:rsidP="009C41E7">
      <w:pPr>
        <w:spacing w:after="0" w:line="240" w:lineRule="auto"/>
        <w:ind w:left="720" w:hanging="720"/>
        <w:rPr>
          <w:rFonts w:ascii="Times New Roman" w:hAnsi="Times New Roman" w:cs="Times New Roman"/>
          <w:noProof/>
          <w:lang w:bidi="en-US"/>
        </w:rPr>
      </w:pPr>
      <w:bookmarkStart w:id="9" w:name="_ENREF_9"/>
      <w:r w:rsidRPr="009C41E7">
        <w:rPr>
          <w:rFonts w:ascii="Times New Roman" w:hAnsi="Times New Roman" w:cs="Times New Roman"/>
          <w:noProof/>
          <w:lang w:bidi="en-US"/>
        </w:rPr>
        <w:t>9.</w:t>
      </w:r>
      <w:r w:rsidRPr="009C41E7">
        <w:rPr>
          <w:rFonts w:ascii="Times New Roman" w:hAnsi="Times New Roman" w:cs="Times New Roman"/>
          <w:noProof/>
          <w:lang w:bidi="en-US"/>
        </w:rPr>
        <w:tab/>
        <w:t xml:space="preserve">M. L. Lahr and R. E. Miller, </w:t>
      </w:r>
      <w:r w:rsidRPr="009C41E7">
        <w:rPr>
          <w:rFonts w:ascii="Times New Roman" w:hAnsi="Times New Roman" w:cs="Times New Roman"/>
          <w:i/>
          <w:noProof/>
          <w:lang w:bidi="en-US"/>
        </w:rPr>
        <w:t>Regional science perspectives in economic analysis : A festschrift in memory of benjamin h. Stevens</w:t>
      </w:r>
      <w:r w:rsidRPr="009C41E7">
        <w:rPr>
          <w:rFonts w:ascii="Times New Roman" w:hAnsi="Times New Roman" w:cs="Times New Roman"/>
          <w:noProof/>
          <w:lang w:bidi="en-US"/>
        </w:rPr>
        <w:t>, Elsevier, Amsterdam: New York, 2001.</w:t>
      </w:r>
      <w:bookmarkEnd w:id="9"/>
    </w:p>
    <w:p w14:paraId="33BD0AC6"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1CB4DAF6" w14:textId="77777777" w:rsidR="009C41E7" w:rsidRDefault="009C41E7" w:rsidP="009C41E7">
      <w:pPr>
        <w:spacing w:after="0" w:line="240" w:lineRule="auto"/>
        <w:ind w:left="720" w:hanging="720"/>
        <w:rPr>
          <w:rFonts w:ascii="Times New Roman" w:hAnsi="Times New Roman" w:cs="Times New Roman"/>
          <w:noProof/>
          <w:lang w:bidi="en-US"/>
        </w:rPr>
      </w:pPr>
      <w:bookmarkStart w:id="10" w:name="_ENREF_10"/>
      <w:r w:rsidRPr="009C41E7">
        <w:rPr>
          <w:rFonts w:ascii="Times New Roman" w:hAnsi="Times New Roman" w:cs="Times New Roman"/>
          <w:noProof/>
          <w:lang w:bidi="en-US"/>
        </w:rPr>
        <w:t>10.</w:t>
      </w:r>
      <w:r w:rsidRPr="009C41E7">
        <w:rPr>
          <w:rFonts w:ascii="Times New Roman" w:hAnsi="Times New Roman" w:cs="Times New Roman"/>
          <w:noProof/>
          <w:lang w:bidi="en-US"/>
        </w:rPr>
        <w:tab/>
        <w:t xml:space="preserve">M. L. Lahr and B. H. Stevens, </w:t>
      </w:r>
      <w:r w:rsidRPr="009C41E7">
        <w:rPr>
          <w:rFonts w:ascii="Times New Roman" w:hAnsi="Times New Roman" w:cs="Times New Roman"/>
          <w:i/>
          <w:noProof/>
          <w:lang w:bidi="en-US"/>
        </w:rPr>
        <w:t>A study of the role of regionalization in the generation of aggregation error in regional input –output models</w:t>
      </w:r>
      <w:r w:rsidRPr="009C41E7">
        <w:rPr>
          <w:rFonts w:ascii="Times New Roman" w:hAnsi="Times New Roman" w:cs="Times New Roman"/>
          <w:noProof/>
          <w:lang w:bidi="en-US"/>
        </w:rPr>
        <w:t>, Journal of Regional Science 42 (2002), no. 3, 477-507.</w:t>
      </w:r>
      <w:bookmarkEnd w:id="10"/>
    </w:p>
    <w:p w14:paraId="76531688"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11313416" w14:textId="77777777" w:rsidR="009C41E7" w:rsidRPr="009C41E7" w:rsidRDefault="009C41E7" w:rsidP="009C41E7">
      <w:pPr>
        <w:spacing w:after="0" w:line="240" w:lineRule="auto"/>
        <w:ind w:left="720" w:hanging="720"/>
        <w:rPr>
          <w:rFonts w:ascii="Times New Roman" w:hAnsi="Times New Roman" w:cs="Times New Roman"/>
          <w:noProof/>
          <w:lang w:bidi="en-US"/>
        </w:rPr>
      </w:pPr>
      <w:bookmarkStart w:id="11" w:name="_ENREF_11"/>
      <w:r w:rsidRPr="009C41E7">
        <w:rPr>
          <w:rFonts w:ascii="Times New Roman" w:hAnsi="Times New Roman" w:cs="Times New Roman"/>
          <w:noProof/>
          <w:lang w:bidi="en-US"/>
        </w:rPr>
        <w:t>11.</w:t>
      </w:r>
      <w:r w:rsidRPr="009C41E7">
        <w:rPr>
          <w:rFonts w:ascii="Times New Roman" w:hAnsi="Times New Roman" w:cs="Times New Roman"/>
          <w:noProof/>
          <w:lang w:bidi="en-US"/>
        </w:rPr>
        <w:tab/>
        <w:t xml:space="preserve">W. W. Leontief, </w:t>
      </w:r>
      <w:r w:rsidRPr="009C41E7">
        <w:rPr>
          <w:rFonts w:ascii="Times New Roman" w:hAnsi="Times New Roman" w:cs="Times New Roman"/>
          <w:i/>
          <w:noProof/>
          <w:lang w:bidi="en-US"/>
        </w:rPr>
        <w:t>Input-output economics</w:t>
      </w:r>
      <w:r w:rsidRPr="009C41E7">
        <w:rPr>
          <w:rFonts w:ascii="Times New Roman" w:hAnsi="Times New Roman" w:cs="Times New Roman"/>
          <w:noProof/>
          <w:lang w:bidi="en-US"/>
        </w:rPr>
        <w:t>, Scientific American 185 (1951), no. 4, 15-21.</w:t>
      </w:r>
      <w:bookmarkEnd w:id="11"/>
    </w:p>
    <w:p w14:paraId="6E37F147" w14:textId="77777777" w:rsidR="009C41E7" w:rsidRDefault="009C41E7" w:rsidP="009C41E7">
      <w:pPr>
        <w:spacing w:after="0" w:line="240" w:lineRule="auto"/>
        <w:ind w:left="720" w:hanging="720"/>
        <w:rPr>
          <w:rFonts w:ascii="Times New Roman" w:hAnsi="Times New Roman" w:cs="Times New Roman"/>
          <w:noProof/>
          <w:lang w:bidi="en-US"/>
        </w:rPr>
      </w:pPr>
      <w:bookmarkStart w:id="12" w:name="_ENREF_12"/>
      <w:r w:rsidRPr="009C41E7">
        <w:rPr>
          <w:rFonts w:ascii="Times New Roman" w:hAnsi="Times New Roman" w:cs="Times New Roman"/>
          <w:noProof/>
          <w:lang w:bidi="en-US"/>
        </w:rPr>
        <w:t>12.</w:t>
      </w:r>
      <w:r w:rsidRPr="009C41E7">
        <w:rPr>
          <w:rFonts w:ascii="Times New Roman" w:hAnsi="Times New Roman" w:cs="Times New Roman"/>
          <w:noProof/>
          <w:lang w:bidi="en-US"/>
        </w:rPr>
        <w:tab/>
        <w:t xml:space="preserve">R. E. Miller and P. D. Blair, "The commodity-by-industry approach in input–output models," </w:t>
      </w:r>
      <w:r w:rsidRPr="009C41E7">
        <w:rPr>
          <w:rFonts w:ascii="Times New Roman" w:hAnsi="Times New Roman" w:cs="Times New Roman"/>
          <w:i/>
          <w:noProof/>
          <w:lang w:bidi="en-US"/>
        </w:rPr>
        <w:t>Input-output analysis : Foundations and extensions</w:t>
      </w:r>
      <w:r w:rsidRPr="009C41E7">
        <w:rPr>
          <w:rFonts w:ascii="Times New Roman" w:hAnsi="Times New Roman" w:cs="Times New Roman"/>
          <w:noProof/>
          <w:lang w:bidi="en-US"/>
        </w:rPr>
        <w:t>, Cambridge University Press, New York, 2009, pp. 184-196.</w:t>
      </w:r>
      <w:bookmarkEnd w:id="12"/>
    </w:p>
    <w:p w14:paraId="6C945FFB"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1B922FDA" w14:textId="77777777" w:rsidR="009C41E7" w:rsidRDefault="009C41E7" w:rsidP="009C41E7">
      <w:pPr>
        <w:spacing w:after="0" w:line="240" w:lineRule="auto"/>
        <w:ind w:left="720" w:hanging="720"/>
        <w:rPr>
          <w:rFonts w:ascii="Times New Roman" w:hAnsi="Times New Roman" w:cs="Times New Roman"/>
          <w:noProof/>
          <w:lang w:bidi="en-US"/>
        </w:rPr>
      </w:pPr>
      <w:bookmarkStart w:id="13" w:name="_ENREF_13"/>
      <w:r w:rsidRPr="009C41E7">
        <w:rPr>
          <w:rFonts w:ascii="Times New Roman" w:hAnsi="Times New Roman" w:cs="Times New Roman"/>
          <w:noProof/>
          <w:lang w:bidi="en-US"/>
        </w:rPr>
        <w:t>13.</w:t>
      </w:r>
      <w:r w:rsidRPr="009C41E7">
        <w:rPr>
          <w:rFonts w:ascii="Times New Roman" w:hAnsi="Times New Roman" w:cs="Times New Roman"/>
          <w:noProof/>
          <w:lang w:bidi="en-US"/>
        </w:rPr>
        <w:tab/>
        <w:t xml:space="preserve">T. T. Raa and J. M. Rueda-Cantuche, </w:t>
      </w:r>
      <w:r w:rsidRPr="009C41E7">
        <w:rPr>
          <w:rFonts w:ascii="Times New Roman" w:hAnsi="Times New Roman" w:cs="Times New Roman"/>
          <w:i/>
          <w:noProof/>
          <w:lang w:bidi="en-US"/>
        </w:rPr>
        <w:t>Stochastic analysis of input–output multipliers on the basis of use and make tables</w:t>
      </w:r>
      <w:r w:rsidRPr="009C41E7">
        <w:rPr>
          <w:rFonts w:ascii="Times New Roman" w:hAnsi="Times New Roman" w:cs="Times New Roman"/>
          <w:noProof/>
          <w:lang w:bidi="en-US"/>
        </w:rPr>
        <w:t>, Review of Income and Wealth 53 (2007), no. 2, 318-334.</w:t>
      </w:r>
      <w:bookmarkEnd w:id="13"/>
    </w:p>
    <w:p w14:paraId="133314B3"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3CCD2854" w14:textId="77777777" w:rsidR="009C41E7" w:rsidRDefault="009C41E7" w:rsidP="009C41E7">
      <w:pPr>
        <w:spacing w:after="0" w:line="240" w:lineRule="auto"/>
        <w:ind w:left="720" w:hanging="720"/>
        <w:rPr>
          <w:rFonts w:ascii="Times New Roman" w:hAnsi="Times New Roman" w:cs="Times New Roman"/>
          <w:noProof/>
          <w:lang w:bidi="en-US"/>
        </w:rPr>
      </w:pPr>
      <w:bookmarkStart w:id="14" w:name="_ENREF_14"/>
      <w:r w:rsidRPr="009C41E7">
        <w:rPr>
          <w:rFonts w:ascii="Times New Roman" w:hAnsi="Times New Roman" w:cs="Times New Roman"/>
          <w:noProof/>
          <w:lang w:bidi="en-US"/>
        </w:rPr>
        <w:t>14.</w:t>
      </w:r>
      <w:r w:rsidRPr="009C41E7">
        <w:rPr>
          <w:rFonts w:ascii="Times New Roman" w:hAnsi="Times New Roman" w:cs="Times New Roman"/>
          <w:noProof/>
          <w:lang w:bidi="en-US"/>
        </w:rPr>
        <w:tab/>
        <w:t xml:space="preserve">S. Schultz, </w:t>
      </w:r>
      <w:r w:rsidRPr="009C41E7">
        <w:rPr>
          <w:rFonts w:ascii="Times New Roman" w:hAnsi="Times New Roman" w:cs="Times New Roman"/>
          <w:i/>
          <w:noProof/>
          <w:lang w:bidi="en-US"/>
        </w:rPr>
        <w:t>Approaches to identifying key sectors empirically by means of input-output analysis</w:t>
      </w:r>
      <w:r w:rsidRPr="009C41E7">
        <w:rPr>
          <w:rFonts w:ascii="Times New Roman" w:hAnsi="Times New Roman" w:cs="Times New Roman"/>
          <w:noProof/>
          <w:lang w:bidi="en-US"/>
        </w:rPr>
        <w:t>, Journal of Development Studies 14 (1977), no. 1, 77.</w:t>
      </w:r>
      <w:bookmarkEnd w:id="14"/>
    </w:p>
    <w:p w14:paraId="29ADDBE3"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20087B50" w14:textId="77777777" w:rsidR="009C41E7" w:rsidRDefault="009C41E7" w:rsidP="009C41E7">
      <w:pPr>
        <w:spacing w:after="0" w:line="240" w:lineRule="auto"/>
        <w:ind w:left="720" w:hanging="720"/>
        <w:rPr>
          <w:rFonts w:ascii="Times New Roman" w:hAnsi="Times New Roman" w:cs="Times New Roman"/>
          <w:noProof/>
          <w:lang w:bidi="en-US"/>
        </w:rPr>
      </w:pPr>
      <w:bookmarkStart w:id="15" w:name="_ENREF_15"/>
      <w:r w:rsidRPr="009C41E7">
        <w:rPr>
          <w:rFonts w:ascii="Times New Roman" w:hAnsi="Times New Roman" w:cs="Times New Roman"/>
          <w:noProof/>
          <w:lang w:bidi="en-US"/>
        </w:rPr>
        <w:t>15.</w:t>
      </w:r>
      <w:r w:rsidRPr="009C41E7">
        <w:rPr>
          <w:rFonts w:ascii="Times New Roman" w:hAnsi="Times New Roman" w:cs="Times New Roman"/>
          <w:noProof/>
          <w:lang w:bidi="en-US"/>
        </w:rPr>
        <w:tab/>
        <w:t xml:space="preserve">T. ten Raa and M. F. J. Steel, </w:t>
      </w:r>
      <w:r w:rsidRPr="009C41E7">
        <w:rPr>
          <w:rFonts w:ascii="Times New Roman" w:hAnsi="Times New Roman" w:cs="Times New Roman"/>
          <w:i/>
          <w:noProof/>
          <w:lang w:bidi="en-US"/>
        </w:rPr>
        <w:t>Revised stochastic analysis of an input-output model</w:t>
      </w:r>
      <w:r w:rsidRPr="009C41E7">
        <w:rPr>
          <w:rFonts w:ascii="Times New Roman" w:hAnsi="Times New Roman" w:cs="Times New Roman"/>
          <w:noProof/>
          <w:lang w:bidi="en-US"/>
        </w:rPr>
        <w:t>, Regional Science and Urban Economics 24 (1994), no. 3, 361-371.</w:t>
      </w:r>
      <w:bookmarkEnd w:id="15"/>
    </w:p>
    <w:p w14:paraId="0DD96A89" w14:textId="77777777" w:rsidR="009C41E7" w:rsidRPr="009C41E7" w:rsidRDefault="009C41E7" w:rsidP="009C41E7">
      <w:pPr>
        <w:spacing w:after="0" w:line="240" w:lineRule="auto"/>
        <w:ind w:left="720" w:hanging="720"/>
        <w:rPr>
          <w:rFonts w:ascii="Times New Roman" w:hAnsi="Times New Roman" w:cs="Times New Roman"/>
          <w:noProof/>
          <w:lang w:bidi="en-US"/>
        </w:rPr>
      </w:pPr>
    </w:p>
    <w:p w14:paraId="4797D703" w14:textId="11917D3A" w:rsidR="008D3AC6" w:rsidRPr="00A114EE" w:rsidRDefault="009C41E7" w:rsidP="00151E02">
      <w:pPr>
        <w:spacing w:line="240" w:lineRule="auto"/>
        <w:ind w:left="720" w:hanging="720"/>
        <w:rPr>
          <w:noProof/>
        </w:rPr>
      </w:pPr>
      <w:bookmarkStart w:id="16" w:name="_ENREF_16"/>
      <w:r w:rsidRPr="009C41E7">
        <w:rPr>
          <w:rFonts w:ascii="Times New Roman" w:hAnsi="Times New Roman" w:cs="Times New Roman"/>
          <w:noProof/>
          <w:lang w:bidi="en-US"/>
        </w:rPr>
        <w:t>16.</w:t>
      </w:r>
      <w:r w:rsidRPr="009C41E7">
        <w:rPr>
          <w:rFonts w:ascii="Times New Roman" w:hAnsi="Times New Roman" w:cs="Times New Roman"/>
          <w:noProof/>
          <w:lang w:bidi="en-US"/>
        </w:rPr>
        <w:tab/>
        <w:t xml:space="preserve">G. R. West, </w:t>
      </w:r>
      <w:r w:rsidRPr="009C41E7">
        <w:rPr>
          <w:rFonts w:ascii="Times New Roman" w:hAnsi="Times New Roman" w:cs="Times New Roman"/>
          <w:i/>
          <w:noProof/>
          <w:lang w:bidi="en-US"/>
        </w:rPr>
        <w:t>Sensitivity and key sector analysis in input-output models</w:t>
      </w:r>
      <w:r w:rsidRPr="009C41E7">
        <w:rPr>
          <w:rFonts w:ascii="Times New Roman" w:hAnsi="Times New Roman" w:cs="Times New Roman"/>
          <w:noProof/>
          <w:lang w:bidi="en-US"/>
        </w:rPr>
        <w:t>, Australian Economic Papers 21 (1982), no. 39, 365.</w:t>
      </w:r>
      <w:bookmarkEnd w:id="16"/>
      <w:r w:rsidR="00E05CEF" w:rsidRPr="00A114EE">
        <w:rPr>
          <w:rFonts w:ascii="Times New Roman" w:hAnsi="Times New Roman" w:cs="Times New Roman"/>
          <w:lang w:bidi="en-US"/>
        </w:rPr>
        <w:fldChar w:fldCharType="end"/>
      </w:r>
    </w:p>
    <w:sectPr w:rsidR="008D3AC6" w:rsidRPr="00A114EE" w:rsidSect="00B5071E">
      <w:footerReference w:type="even"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3315E" w14:textId="77777777" w:rsidR="00BE3998" w:rsidRDefault="00BE3998" w:rsidP="001B2F4D">
      <w:pPr>
        <w:spacing w:after="0" w:line="240" w:lineRule="auto"/>
      </w:pPr>
      <w:r>
        <w:separator/>
      </w:r>
    </w:p>
  </w:endnote>
  <w:endnote w:type="continuationSeparator" w:id="0">
    <w:p w14:paraId="7177DA0E" w14:textId="77777777" w:rsidR="00BE3998" w:rsidRDefault="00BE3998" w:rsidP="001B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ED6A9" w14:textId="77777777" w:rsidR="00894513" w:rsidRDefault="00894513" w:rsidP="001B2F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D5B28" w14:textId="77777777" w:rsidR="00894513" w:rsidRDefault="00894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D1B3D" w14:textId="77777777" w:rsidR="00894513" w:rsidRPr="001B2F4D" w:rsidRDefault="00894513" w:rsidP="001B2F4D">
    <w:pPr>
      <w:pStyle w:val="Footer"/>
      <w:framePr w:wrap="around" w:vAnchor="text" w:hAnchor="margin" w:xAlign="center" w:y="1"/>
      <w:rPr>
        <w:rStyle w:val="PageNumber"/>
        <w:rFonts w:ascii="Times New Roman" w:hAnsi="Times New Roman" w:cs="Times New Roman"/>
      </w:rPr>
    </w:pPr>
    <w:r w:rsidRPr="001B2F4D">
      <w:rPr>
        <w:rStyle w:val="PageNumber"/>
        <w:rFonts w:ascii="Times New Roman" w:hAnsi="Times New Roman" w:cs="Times New Roman"/>
      </w:rPr>
      <w:fldChar w:fldCharType="begin"/>
    </w:r>
    <w:r w:rsidRPr="001B2F4D">
      <w:rPr>
        <w:rStyle w:val="PageNumber"/>
        <w:rFonts w:ascii="Times New Roman" w:hAnsi="Times New Roman" w:cs="Times New Roman"/>
      </w:rPr>
      <w:instrText xml:space="preserve">PAGE  </w:instrText>
    </w:r>
    <w:r w:rsidRPr="001B2F4D">
      <w:rPr>
        <w:rStyle w:val="PageNumber"/>
        <w:rFonts w:ascii="Times New Roman" w:hAnsi="Times New Roman" w:cs="Times New Roman"/>
      </w:rPr>
      <w:fldChar w:fldCharType="separate"/>
    </w:r>
    <w:r w:rsidR="00B25E61">
      <w:rPr>
        <w:rStyle w:val="PageNumber"/>
        <w:rFonts w:ascii="Times New Roman" w:hAnsi="Times New Roman" w:cs="Times New Roman"/>
        <w:noProof/>
      </w:rPr>
      <w:t>4</w:t>
    </w:r>
    <w:r w:rsidRPr="001B2F4D">
      <w:rPr>
        <w:rStyle w:val="PageNumber"/>
        <w:rFonts w:ascii="Times New Roman" w:hAnsi="Times New Roman" w:cs="Times New Roman"/>
      </w:rPr>
      <w:fldChar w:fldCharType="end"/>
    </w:r>
  </w:p>
  <w:p w14:paraId="24441BD9" w14:textId="77777777" w:rsidR="00894513" w:rsidRDefault="00894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27863" w14:textId="77777777" w:rsidR="00BE3998" w:rsidRDefault="00BE3998" w:rsidP="001B2F4D">
      <w:pPr>
        <w:spacing w:after="0" w:line="240" w:lineRule="auto"/>
      </w:pPr>
      <w:r>
        <w:separator/>
      </w:r>
    </w:p>
  </w:footnote>
  <w:footnote w:type="continuationSeparator" w:id="0">
    <w:p w14:paraId="530510B7" w14:textId="77777777" w:rsidR="00BE3998" w:rsidRDefault="00BE3998" w:rsidP="001B2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B65"/>
    <w:multiLevelType w:val="hybridMultilevel"/>
    <w:tmpl w:val="C352AE36"/>
    <w:lvl w:ilvl="0" w:tplc="3CD082C4">
      <w:start w:val="1"/>
      <w:numFmt w:val="lowerLetter"/>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1617CD"/>
    <w:multiLevelType w:val="hybridMultilevel"/>
    <w:tmpl w:val="6D12CB74"/>
    <w:lvl w:ilvl="0" w:tplc="C566612C">
      <w:start w:val="1"/>
      <w:numFmt w:val="bullet"/>
      <w:lvlText w:val="•"/>
      <w:lvlJc w:val="left"/>
      <w:pPr>
        <w:tabs>
          <w:tab w:val="num" w:pos="720"/>
        </w:tabs>
        <w:ind w:left="720" w:hanging="360"/>
      </w:pPr>
      <w:rPr>
        <w:rFonts w:ascii="Arial" w:hAnsi="Arial" w:hint="default"/>
      </w:rPr>
    </w:lvl>
    <w:lvl w:ilvl="1" w:tplc="31EEFD8A" w:tentative="1">
      <w:start w:val="1"/>
      <w:numFmt w:val="bullet"/>
      <w:lvlText w:val="•"/>
      <w:lvlJc w:val="left"/>
      <w:pPr>
        <w:tabs>
          <w:tab w:val="num" w:pos="1440"/>
        </w:tabs>
        <w:ind w:left="1440" w:hanging="360"/>
      </w:pPr>
      <w:rPr>
        <w:rFonts w:ascii="Arial" w:hAnsi="Arial" w:hint="default"/>
      </w:rPr>
    </w:lvl>
    <w:lvl w:ilvl="2" w:tplc="269C7522" w:tentative="1">
      <w:start w:val="1"/>
      <w:numFmt w:val="bullet"/>
      <w:lvlText w:val="•"/>
      <w:lvlJc w:val="left"/>
      <w:pPr>
        <w:tabs>
          <w:tab w:val="num" w:pos="2160"/>
        </w:tabs>
        <w:ind w:left="2160" w:hanging="360"/>
      </w:pPr>
      <w:rPr>
        <w:rFonts w:ascii="Arial" w:hAnsi="Arial" w:hint="default"/>
      </w:rPr>
    </w:lvl>
    <w:lvl w:ilvl="3" w:tplc="FE245A42" w:tentative="1">
      <w:start w:val="1"/>
      <w:numFmt w:val="bullet"/>
      <w:lvlText w:val="•"/>
      <w:lvlJc w:val="left"/>
      <w:pPr>
        <w:tabs>
          <w:tab w:val="num" w:pos="2880"/>
        </w:tabs>
        <w:ind w:left="2880" w:hanging="360"/>
      </w:pPr>
      <w:rPr>
        <w:rFonts w:ascii="Arial" w:hAnsi="Arial" w:hint="default"/>
      </w:rPr>
    </w:lvl>
    <w:lvl w:ilvl="4" w:tplc="295E80F6" w:tentative="1">
      <w:start w:val="1"/>
      <w:numFmt w:val="bullet"/>
      <w:lvlText w:val="•"/>
      <w:lvlJc w:val="left"/>
      <w:pPr>
        <w:tabs>
          <w:tab w:val="num" w:pos="3600"/>
        </w:tabs>
        <w:ind w:left="3600" w:hanging="360"/>
      </w:pPr>
      <w:rPr>
        <w:rFonts w:ascii="Arial" w:hAnsi="Arial" w:hint="default"/>
      </w:rPr>
    </w:lvl>
    <w:lvl w:ilvl="5" w:tplc="F042AF5C" w:tentative="1">
      <w:start w:val="1"/>
      <w:numFmt w:val="bullet"/>
      <w:lvlText w:val="•"/>
      <w:lvlJc w:val="left"/>
      <w:pPr>
        <w:tabs>
          <w:tab w:val="num" w:pos="4320"/>
        </w:tabs>
        <w:ind w:left="4320" w:hanging="360"/>
      </w:pPr>
      <w:rPr>
        <w:rFonts w:ascii="Arial" w:hAnsi="Arial" w:hint="default"/>
      </w:rPr>
    </w:lvl>
    <w:lvl w:ilvl="6" w:tplc="DA7C4EE8" w:tentative="1">
      <w:start w:val="1"/>
      <w:numFmt w:val="bullet"/>
      <w:lvlText w:val="•"/>
      <w:lvlJc w:val="left"/>
      <w:pPr>
        <w:tabs>
          <w:tab w:val="num" w:pos="5040"/>
        </w:tabs>
        <w:ind w:left="5040" w:hanging="360"/>
      </w:pPr>
      <w:rPr>
        <w:rFonts w:ascii="Arial" w:hAnsi="Arial" w:hint="default"/>
      </w:rPr>
    </w:lvl>
    <w:lvl w:ilvl="7" w:tplc="80C690B0" w:tentative="1">
      <w:start w:val="1"/>
      <w:numFmt w:val="bullet"/>
      <w:lvlText w:val="•"/>
      <w:lvlJc w:val="left"/>
      <w:pPr>
        <w:tabs>
          <w:tab w:val="num" w:pos="5760"/>
        </w:tabs>
        <w:ind w:left="5760" w:hanging="360"/>
      </w:pPr>
      <w:rPr>
        <w:rFonts w:ascii="Arial" w:hAnsi="Arial" w:hint="default"/>
      </w:rPr>
    </w:lvl>
    <w:lvl w:ilvl="8" w:tplc="58FADF16" w:tentative="1">
      <w:start w:val="1"/>
      <w:numFmt w:val="bullet"/>
      <w:lvlText w:val="•"/>
      <w:lvlJc w:val="left"/>
      <w:pPr>
        <w:tabs>
          <w:tab w:val="num" w:pos="6480"/>
        </w:tabs>
        <w:ind w:left="6480" w:hanging="360"/>
      </w:pPr>
      <w:rPr>
        <w:rFonts w:ascii="Arial" w:hAnsi="Arial" w:hint="default"/>
      </w:rPr>
    </w:lvl>
  </w:abstractNum>
  <w:abstractNum w:abstractNumId="2">
    <w:nsid w:val="176F245E"/>
    <w:multiLevelType w:val="hybridMultilevel"/>
    <w:tmpl w:val="3C30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F1BCA"/>
    <w:multiLevelType w:val="hybridMultilevel"/>
    <w:tmpl w:val="9212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91BF1"/>
    <w:multiLevelType w:val="hybridMultilevel"/>
    <w:tmpl w:val="5AC0FB42"/>
    <w:lvl w:ilvl="0" w:tplc="7A9C43B2">
      <w:start w:val="1"/>
      <w:numFmt w:val="upperRoman"/>
      <w:pStyle w:val="Heading1"/>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B23F8"/>
    <w:multiLevelType w:val="singleLevel"/>
    <w:tmpl w:val="12CEED98"/>
    <w:lvl w:ilvl="0">
      <w:start w:val="1"/>
      <w:numFmt w:val="decimal"/>
      <w:lvlText w:val="%1."/>
      <w:legacy w:legacy="1" w:legacySpace="0" w:legacyIndent="360"/>
      <w:lvlJc w:val="left"/>
      <w:pPr>
        <w:ind w:left="360" w:hanging="360"/>
      </w:pPr>
    </w:lvl>
  </w:abstractNum>
  <w:abstractNum w:abstractNumId="6">
    <w:nsid w:val="41A22D95"/>
    <w:multiLevelType w:val="hybridMultilevel"/>
    <w:tmpl w:val="BF9C65A0"/>
    <w:lvl w:ilvl="0" w:tplc="06F8BFF0">
      <w:start w:val="1"/>
      <w:numFmt w:val="bullet"/>
      <w:lvlText w:val="•"/>
      <w:lvlJc w:val="left"/>
      <w:pPr>
        <w:tabs>
          <w:tab w:val="num" w:pos="720"/>
        </w:tabs>
        <w:ind w:left="720" w:hanging="360"/>
      </w:pPr>
      <w:rPr>
        <w:rFonts w:ascii="Arial" w:hAnsi="Arial" w:hint="default"/>
      </w:rPr>
    </w:lvl>
    <w:lvl w:ilvl="1" w:tplc="E38E5A86" w:tentative="1">
      <w:start w:val="1"/>
      <w:numFmt w:val="bullet"/>
      <w:lvlText w:val="•"/>
      <w:lvlJc w:val="left"/>
      <w:pPr>
        <w:tabs>
          <w:tab w:val="num" w:pos="1440"/>
        </w:tabs>
        <w:ind w:left="1440" w:hanging="360"/>
      </w:pPr>
      <w:rPr>
        <w:rFonts w:ascii="Arial" w:hAnsi="Arial" w:hint="default"/>
      </w:rPr>
    </w:lvl>
    <w:lvl w:ilvl="2" w:tplc="5FA822BC" w:tentative="1">
      <w:start w:val="1"/>
      <w:numFmt w:val="bullet"/>
      <w:lvlText w:val="•"/>
      <w:lvlJc w:val="left"/>
      <w:pPr>
        <w:tabs>
          <w:tab w:val="num" w:pos="2160"/>
        </w:tabs>
        <w:ind w:left="2160" w:hanging="360"/>
      </w:pPr>
      <w:rPr>
        <w:rFonts w:ascii="Arial" w:hAnsi="Arial" w:hint="default"/>
      </w:rPr>
    </w:lvl>
    <w:lvl w:ilvl="3" w:tplc="D3A04422" w:tentative="1">
      <w:start w:val="1"/>
      <w:numFmt w:val="bullet"/>
      <w:lvlText w:val="•"/>
      <w:lvlJc w:val="left"/>
      <w:pPr>
        <w:tabs>
          <w:tab w:val="num" w:pos="2880"/>
        </w:tabs>
        <w:ind w:left="2880" w:hanging="360"/>
      </w:pPr>
      <w:rPr>
        <w:rFonts w:ascii="Arial" w:hAnsi="Arial" w:hint="default"/>
      </w:rPr>
    </w:lvl>
    <w:lvl w:ilvl="4" w:tplc="3E34AECE" w:tentative="1">
      <w:start w:val="1"/>
      <w:numFmt w:val="bullet"/>
      <w:lvlText w:val="•"/>
      <w:lvlJc w:val="left"/>
      <w:pPr>
        <w:tabs>
          <w:tab w:val="num" w:pos="3600"/>
        </w:tabs>
        <w:ind w:left="3600" w:hanging="360"/>
      </w:pPr>
      <w:rPr>
        <w:rFonts w:ascii="Arial" w:hAnsi="Arial" w:hint="default"/>
      </w:rPr>
    </w:lvl>
    <w:lvl w:ilvl="5" w:tplc="9BDE3C72" w:tentative="1">
      <w:start w:val="1"/>
      <w:numFmt w:val="bullet"/>
      <w:lvlText w:val="•"/>
      <w:lvlJc w:val="left"/>
      <w:pPr>
        <w:tabs>
          <w:tab w:val="num" w:pos="4320"/>
        </w:tabs>
        <w:ind w:left="4320" w:hanging="360"/>
      </w:pPr>
      <w:rPr>
        <w:rFonts w:ascii="Arial" w:hAnsi="Arial" w:hint="default"/>
      </w:rPr>
    </w:lvl>
    <w:lvl w:ilvl="6" w:tplc="602E3592" w:tentative="1">
      <w:start w:val="1"/>
      <w:numFmt w:val="bullet"/>
      <w:lvlText w:val="•"/>
      <w:lvlJc w:val="left"/>
      <w:pPr>
        <w:tabs>
          <w:tab w:val="num" w:pos="5040"/>
        </w:tabs>
        <w:ind w:left="5040" w:hanging="360"/>
      </w:pPr>
      <w:rPr>
        <w:rFonts w:ascii="Arial" w:hAnsi="Arial" w:hint="default"/>
      </w:rPr>
    </w:lvl>
    <w:lvl w:ilvl="7" w:tplc="A9583A54" w:tentative="1">
      <w:start w:val="1"/>
      <w:numFmt w:val="bullet"/>
      <w:lvlText w:val="•"/>
      <w:lvlJc w:val="left"/>
      <w:pPr>
        <w:tabs>
          <w:tab w:val="num" w:pos="5760"/>
        </w:tabs>
        <w:ind w:left="5760" w:hanging="360"/>
      </w:pPr>
      <w:rPr>
        <w:rFonts w:ascii="Arial" w:hAnsi="Arial" w:hint="default"/>
      </w:rPr>
    </w:lvl>
    <w:lvl w:ilvl="8" w:tplc="34225246" w:tentative="1">
      <w:start w:val="1"/>
      <w:numFmt w:val="bullet"/>
      <w:lvlText w:val="•"/>
      <w:lvlJc w:val="left"/>
      <w:pPr>
        <w:tabs>
          <w:tab w:val="num" w:pos="6480"/>
        </w:tabs>
        <w:ind w:left="6480" w:hanging="360"/>
      </w:pPr>
      <w:rPr>
        <w:rFonts w:ascii="Arial" w:hAnsi="Arial" w:hint="default"/>
      </w:rPr>
    </w:lvl>
  </w:abstractNum>
  <w:abstractNum w:abstractNumId="7">
    <w:nsid w:val="41DF5B33"/>
    <w:multiLevelType w:val="hybridMultilevel"/>
    <w:tmpl w:val="0E0075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6E744A"/>
    <w:multiLevelType w:val="hybridMultilevel"/>
    <w:tmpl w:val="0BAE8AAA"/>
    <w:lvl w:ilvl="0" w:tplc="29365A94">
      <w:start w:val="1"/>
      <w:numFmt w:val="bullet"/>
      <w:lvlText w:val="•"/>
      <w:lvlJc w:val="left"/>
      <w:pPr>
        <w:tabs>
          <w:tab w:val="num" w:pos="720"/>
        </w:tabs>
        <w:ind w:left="720" w:hanging="360"/>
      </w:pPr>
      <w:rPr>
        <w:rFonts w:ascii="Arial" w:hAnsi="Arial" w:hint="default"/>
      </w:rPr>
    </w:lvl>
    <w:lvl w:ilvl="1" w:tplc="4E72DFCC">
      <w:start w:val="633"/>
      <w:numFmt w:val="bullet"/>
      <w:lvlText w:val="•"/>
      <w:lvlJc w:val="left"/>
      <w:pPr>
        <w:tabs>
          <w:tab w:val="num" w:pos="1440"/>
        </w:tabs>
        <w:ind w:left="1440" w:hanging="360"/>
      </w:pPr>
      <w:rPr>
        <w:rFonts w:ascii="Arial" w:hAnsi="Arial" w:hint="default"/>
      </w:rPr>
    </w:lvl>
    <w:lvl w:ilvl="2" w:tplc="4BFE9EC6" w:tentative="1">
      <w:start w:val="1"/>
      <w:numFmt w:val="bullet"/>
      <w:lvlText w:val="•"/>
      <w:lvlJc w:val="left"/>
      <w:pPr>
        <w:tabs>
          <w:tab w:val="num" w:pos="2160"/>
        </w:tabs>
        <w:ind w:left="2160" w:hanging="360"/>
      </w:pPr>
      <w:rPr>
        <w:rFonts w:ascii="Arial" w:hAnsi="Arial" w:hint="default"/>
      </w:rPr>
    </w:lvl>
    <w:lvl w:ilvl="3" w:tplc="C38204F2" w:tentative="1">
      <w:start w:val="1"/>
      <w:numFmt w:val="bullet"/>
      <w:lvlText w:val="•"/>
      <w:lvlJc w:val="left"/>
      <w:pPr>
        <w:tabs>
          <w:tab w:val="num" w:pos="2880"/>
        </w:tabs>
        <w:ind w:left="2880" w:hanging="360"/>
      </w:pPr>
      <w:rPr>
        <w:rFonts w:ascii="Arial" w:hAnsi="Arial" w:hint="default"/>
      </w:rPr>
    </w:lvl>
    <w:lvl w:ilvl="4" w:tplc="F4089CF0" w:tentative="1">
      <w:start w:val="1"/>
      <w:numFmt w:val="bullet"/>
      <w:lvlText w:val="•"/>
      <w:lvlJc w:val="left"/>
      <w:pPr>
        <w:tabs>
          <w:tab w:val="num" w:pos="3600"/>
        </w:tabs>
        <w:ind w:left="3600" w:hanging="360"/>
      </w:pPr>
      <w:rPr>
        <w:rFonts w:ascii="Arial" w:hAnsi="Arial" w:hint="default"/>
      </w:rPr>
    </w:lvl>
    <w:lvl w:ilvl="5" w:tplc="11928B18" w:tentative="1">
      <w:start w:val="1"/>
      <w:numFmt w:val="bullet"/>
      <w:lvlText w:val="•"/>
      <w:lvlJc w:val="left"/>
      <w:pPr>
        <w:tabs>
          <w:tab w:val="num" w:pos="4320"/>
        </w:tabs>
        <w:ind w:left="4320" w:hanging="360"/>
      </w:pPr>
      <w:rPr>
        <w:rFonts w:ascii="Arial" w:hAnsi="Arial" w:hint="default"/>
      </w:rPr>
    </w:lvl>
    <w:lvl w:ilvl="6" w:tplc="833E7B18" w:tentative="1">
      <w:start w:val="1"/>
      <w:numFmt w:val="bullet"/>
      <w:lvlText w:val="•"/>
      <w:lvlJc w:val="left"/>
      <w:pPr>
        <w:tabs>
          <w:tab w:val="num" w:pos="5040"/>
        </w:tabs>
        <w:ind w:left="5040" w:hanging="360"/>
      </w:pPr>
      <w:rPr>
        <w:rFonts w:ascii="Arial" w:hAnsi="Arial" w:hint="default"/>
      </w:rPr>
    </w:lvl>
    <w:lvl w:ilvl="7" w:tplc="A5A67822" w:tentative="1">
      <w:start w:val="1"/>
      <w:numFmt w:val="bullet"/>
      <w:lvlText w:val="•"/>
      <w:lvlJc w:val="left"/>
      <w:pPr>
        <w:tabs>
          <w:tab w:val="num" w:pos="5760"/>
        </w:tabs>
        <w:ind w:left="5760" w:hanging="360"/>
      </w:pPr>
      <w:rPr>
        <w:rFonts w:ascii="Arial" w:hAnsi="Arial" w:hint="default"/>
      </w:rPr>
    </w:lvl>
    <w:lvl w:ilvl="8" w:tplc="42BA5E5A" w:tentative="1">
      <w:start w:val="1"/>
      <w:numFmt w:val="bullet"/>
      <w:lvlText w:val="•"/>
      <w:lvlJc w:val="left"/>
      <w:pPr>
        <w:tabs>
          <w:tab w:val="num" w:pos="6480"/>
        </w:tabs>
        <w:ind w:left="6480" w:hanging="360"/>
      </w:pPr>
      <w:rPr>
        <w:rFonts w:ascii="Arial" w:hAnsi="Arial" w:hint="default"/>
      </w:rPr>
    </w:lvl>
  </w:abstractNum>
  <w:abstractNum w:abstractNumId="9">
    <w:nsid w:val="4B4D17EE"/>
    <w:multiLevelType w:val="hybridMultilevel"/>
    <w:tmpl w:val="60B68C1A"/>
    <w:lvl w:ilvl="0" w:tplc="59408548">
      <w:start w:val="1"/>
      <w:numFmt w:val="bullet"/>
      <w:lvlText w:val="•"/>
      <w:lvlJc w:val="left"/>
      <w:pPr>
        <w:tabs>
          <w:tab w:val="num" w:pos="720"/>
        </w:tabs>
        <w:ind w:left="720" w:hanging="360"/>
      </w:pPr>
      <w:rPr>
        <w:rFonts w:ascii="Arial" w:hAnsi="Arial" w:hint="default"/>
      </w:rPr>
    </w:lvl>
    <w:lvl w:ilvl="1" w:tplc="AE74405E" w:tentative="1">
      <w:start w:val="1"/>
      <w:numFmt w:val="bullet"/>
      <w:lvlText w:val="•"/>
      <w:lvlJc w:val="left"/>
      <w:pPr>
        <w:tabs>
          <w:tab w:val="num" w:pos="1440"/>
        </w:tabs>
        <w:ind w:left="1440" w:hanging="360"/>
      </w:pPr>
      <w:rPr>
        <w:rFonts w:ascii="Arial" w:hAnsi="Arial" w:hint="default"/>
      </w:rPr>
    </w:lvl>
    <w:lvl w:ilvl="2" w:tplc="B4524D20" w:tentative="1">
      <w:start w:val="1"/>
      <w:numFmt w:val="bullet"/>
      <w:lvlText w:val="•"/>
      <w:lvlJc w:val="left"/>
      <w:pPr>
        <w:tabs>
          <w:tab w:val="num" w:pos="2160"/>
        </w:tabs>
        <w:ind w:left="2160" w:hanging="360"/>
      </w:pPr>
      <w:rPr>
        <w:rFonts w:ascii="Arial" w:hAnsi="Arial" w:hint="default"/>
      </w:rPr>
    </w:lvl>
    <w:lvl w:ilvl="3" w:tplc="59E407A4" w:tentative="1">
      <w:start w:val="1"/>
      <w:numFmt w:val="bullet"/>
      <w:lvlText w:val="•"/>
      <w:lvlJc w:val="left"/>
      <w:pPr>
        <w:tabs>
          <w:tab w:val="num" w:pos="2880"/>
        </w:tabs>
        <w:ind w:left="2880" w:hanging="360"/>
      </w:pPr>
      <w:rPr>
        <w:rFonts w:ascii="Arial" w:hAnsi="Arial" w:hint="default"/>
      </w:rPr>
    </w:lvl>
    <w:lvl w:ilvl="4" w:tplc="921A9C26" w:tentative="1">
      <w:start w:val="1"/>
      <w:numFmt w:val="bullet"/>
      <w:lvlText w:val="•"/>
      <w:lvlJc w:val="left"/>
      <w:pPr>
        <w:tabs>
          <w:tab w:val="num" w:pos="3600"/>
        </w:tabs>
        <w:ind w:left="3600" w:hanging="360"/>
      </w:pPr>
      <w:rPr>
        <w:rFonts w:ascii="Arial" w:hAnsi="Arial" w:hint="default"/>
      </w:rPr>
    </w:lvl>
    <w:lvl w:ilvl="5" w:tplc="F738B8B2" w:tentative="1">
      <w:start w:val="1"/>
      <w:numFmt w:val="bullet"/>
      <w:lvlText w:val="•"/>
      <w:lvlJc w:val="left"/>
      <w:pPr>
        <w:tabs>
          <w:tab w:val="num" w:pos="4320"/>
        </w:tabs>
        <w:ind w:left="4320" w:hanging="360"/>
      </w:pPr>
      <w:rPr>
        <w:rFonts w:ascii="Arial" w:hAnsi="Arial" w:hint="default"/>
      </w:rPr>
    </w:lvl>
    <w:lvl w:ilvl="6" w:tplc="265E7252" w:tentative="1">
      <w:start w:val="1"/>
      <w:numFmt w:val="bullet"/>
      <w:lvlText w:val="•"/>
      <w:lvlJc w:val="left"/>
      <w:pPr>
        <w:tabs>
          <w:tab w:val="num" w:pos="5040"/>
        </w:tabs>
        <w:ind w:left="5040" w:hanging="360"/>
      </w:pPr>
      <w:rPr>
        <w:rFonts w:ascii="Arial" w:hAnsi="Arial" w:hint="default"/>
      </w:rPr>
    </w:lvl>
    <w:lvl w:ilvl="7" w:tplc="3676C5B8" w:tentative="1">
      <w:start w:val="1"/>
      <w:numFmt w:val="bullet"/>
      <w:lvlText w:val="•"/>
      <w:lvlJc w:val="left"/>
      <w:pPr>
        <w:tabs>
          <w:tab w:val="num" w:pos="5760"/>
        </w:tabs>
        <w:ind w:left="5760" w:hanging="360"/>
      </w:pPr>
      <w:rPr>
        <w:rFonts w:ascii="Arial" w:hAnsi="Arial" w:hint="default"/>
      </w:rPr>
    </w:lvl>
    <w:lvl w:ilvl="8" w:tplc="9D8A3ECE" w:tentative="1">
      <w:start w:val="1"/>
      <w:numFmt w:val="bullet"/>
      <w:lvlText w:val="•"/>
      <w:lvlJc w:val="left"/>
      <w:pPr>
        <w:tabs>
          <w:tab w:val="num" w:pos="6480"/>
        </w:tabs>
        <w:ind w:left="6480" w:hanging="360"/>
      </w:pPr>
      <w:rPr>
        <w:rFonts w:ascii="Arial" w:hAnsi="Arial" w:hint="default"/>
      </w:rPr>
    </w:lvl>
  </w:abstractNum>
  <w:abstractNum w:abstractNumId="10">
    <w:nsid w:val="4CB50383"/>
    <w:multiLevelType w:val="hybridMultilevel"/>
    <w:tmpl w:val="E1063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C42480"/>
    <w:multiLevelType w:val="hybridMultilevel"/>
    <w:tmpl w:val="1D4AF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643D65"/>
    <w:multiLevelType w:val="hybridMultilevel"/>
    <w:tmpl w:val="85EC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0"/>
  </w:num>
  <w:num w:numId="5">
    <w:abstractNumId w:val="5"/>
    <w:lvlOverride w:ilvl="0">
      <w:lvl w:ilvl="0">
        <w:start w:val="1"/>
        <w:numFmt w:val="decimal"/>
        <w:lvlText w:val="%1."/>
        <w:legacy w:legacy="1" w:legacySpace="0" w:legacyIndent="360"/>
        <w:lvlJc w:val="left"/>
        <w:pPr>
          <w:ind w:left="360" w:hanging="360"/>
        </w:pPr>
      </w:lvl>
    </w:lvlOverride>
  </w:num>
  <w:num w:numId="6">
    <w:abstractNumId w:val="0"/>
    <w:lvlOverride w:ilvl="0">
      <w:startOverride w:val="1"/>
    </w:lvlOverride>
  </w:num>
  <w:num w:numId="7">
    <w:abstractNumId w:val="0"/>
    <w:lvlOverride w:ilvl="0">
      <w:startOverride w:val="1"/>
    </w:lvlOverride>
  </w:num>
  <w:num w:numId="8">
    <w:abstractNumId w:val="4"/>
  </w:num>
  <w:num w:numId="9">
    <w:abstractNumId w:val="4"/>
  </w:num>
  <w:num w:numId="10">
    <w:abstractNumId w:val="4"/>
  </w:num>
  <w:num w:numId="11">
    <w:abstractNumId w:val="0"/>
  </w:num>
  <w:num w:numId="12">
    <w:abstractNumId w:val="0"/>
  </w:num>
  <w:num w:numId="13">
    <w:abstractNumId w:val="0"/>
  </w:num>
  <w:num w:numId="14">
    <w:abstractNumId w:val="2"/>
  </w:num>
  <w:num w:numId="15">
    <w:abstractNumId w:val="3"/>
  </w:num>
  <w:num w:numId="16">
    <w:abstractNumId w:val="7"/>
  </w:num>
  <w:num w:numId="17">
    <w:abstractNumId w:val="9"/>
  </w:num>
  <w:num w:numId="18">
    <w:abstractNumId w:val="6"/>
  </w:num>
  <w:num w:numId="19">
    <w:abstractNumId w:val="1"/>
  </w:num>
  <w:num w:numId="20">
    <w:abstractNumId w:val="8"/>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ystems_Engineering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aps2fsr45efv7e95fc59tzqxfeezpeaz2ev&quot;&gt;Stochastic&lt;record-ids&gt;&lt;item&gt;1&lt;/item&gt;&lt;item&gt;2&lt;/item&gt;&lt;item&gt;3&lt;/item&gt;&lt;item&gt;4&lt;/item&gt;&lt;item&gt;5&lt;/item&gt;&lt;item&gt;7&lt;/item&gt;&lt;item&gt;8&lt;/item&gt;&lt;item&gt;9&lt;/item&gt;&lt;item&gt;10&lt;/item&gt;&lt;item&gt;11&lt;/item&gt;&lt;item&gt;13&lt;/item&gt;&lt;item&gt;14&lt;/item&gt;&lt;item&gt;15&lt;/item&gt;&lt;item&gt;16&lt;/item&gt;&lt;/record-ids&gt;&lt;/item&gt;&lt;/Libraries&gt;"/>
  </w:docVars>
  <w:rsids>
    <w:rsidRoot w:val="00B212C4"/>
    <w:rsid w:val="0000483C"/>
    <w:rsid w:val="00005108"/>
    <w:rsid w:val="000071D3"/>
    <w:rsid w:val="00011DCB"/>
    <w:rsid w:val="00013AFE"/>
    <w:rsid w:val="00014C91"/>
    <w:rsid w:val="00022B18"/>
    <w:rsid w:val="0002380D"/>
    <w:rsid w:val="000248DE"/>
    <w:rsid w:val="00025AEB"/>
    <w:rsid w:val="00025D2F"/>
    <w:rsid w:val="00026040"/>
    <w:rsid w:val="00026BBF"/>
    <w:rsid w:val="000309EA"/>
    <w:rsid w:val="000335FD"/>
    <w:rsid w:val="00034513"/>
    <w:rsid w:val="0003583F"/>
    <w:rsid w:val="000373C5"/>
    <w:rsid w:val="0004053A"/>
    <w:rsid w:val="00043A0D"/>
    <w:rsid w:val="00046193"/>
    <w:rsid w:val="000519A7"/>
    <w:rsid w:val="000606C9"/>
    <w:rsid w:val="00062ACE"/>
    <w:rsid w:val="000632D3"/>
    <w:rsid w:val="00065A35"/>
    <w:rsid w:val="000667CE"/>
    <w:rsid w:val="00067177"/>
    <w:rsid w:val="00070114"/>
    <w:rsid w:val="00072E23"/>
    <w:rsid w:val="000740B2"/>
    <w:rsid w:val="00075AAA"/>
    <w:rsid w:val="00080788"/>
    <w:rsid w:val="00083676"/>
    <w:rsid w:val="00083912"/>
    <w:rsid w:val="00086657"/>
    <w:rsid w:val="000A2511"/>
    <w:rsid w:val="000A7920"/>
    <w:rsid w:val="000B3E72"/>
    <w:rsid w:val="000C0269"/>
    <w:rsid w:val="000C553E"/>
    <w:rsid w:val="000C5EB4"/>
    <w:rsid w:val="000C5F4E"/>
    <w:rsid w:val="000C7325"/>
    <w:rsid w:val="000D4FAC"/>
    <w:rsid w:val="000D740E"/>
    <w:rsid w:val="000E7FF9"/>
    <w:rsid w:val="000F172D"/>
    <w:rsid w:val="000F443D"/>
    <w:rsid w:val="000F49B2"/>
    <w:rsid w:val="000F5F2F"/>
    <w:rsid w:val="0010225C"/>
    <w:rsid w:val="00104305"/>
    <w:rsid w:val="00107843"/>
    <w:rsid w:val="00107DD1"/>
    <w:rsid w:val="00113F38"/>
    <w:rsid w:val="00121162"/>
    <w:rsid w:val="00124592"/>
    <w:rsid w:val="00126A46"/>
    <w:rsid w:val="00140C1E"/>
    <w:rsid w:val="00142874"/>
    <w:rsid w:val="00143D73"/>
    <w:rsid w:val="00144B0B"/>
    <w:rsid w:val="0014541B"/>
    <w:rsid w:val="0014546A"/>
    <w:rsid w:val="00146F43"/>
    <w:rsid w:val="00151E02"/>
    <w:rsid w:val="00156DCD"/>
    <w:rsid w:val="0015710F"/>
    <w:rsid w:val="00160861"/>
    <w:rsid w:val="0016120D"/>
    <w:rsid w:val="001618AE"/>
    <w:rsid w:val="0016316C"/>
    <w:rsid w:val="001651E1"/>
    <w:rsid w:val="001765BB"/>
    <w:rsid w:val="0017688F"/>
    <w:rsid w:val="00176CF9"/>
    <w:rsid w:val="00181C7F"/>
    <w:rsid w:val="001844C2"/>
    <w:rsid w:val="001851F7"/>
    <w:rsid w:val="001925B3"/>
    <w:rsid w:val="001973EF"/>
    <w:rsid w:val="001A2D8D"/>
    <w:rsid w:val="001A4A05"/>
    <w:rsid w:val="001A4ACD"/>
    <w:rsid w:val="001A6A17"/>
    <w:rsid w:val="001A77FB"/>
    <w:rsid w:val="001B2F4D"/>
    <w:rsid w:val="001B3EF5"/>
    <w:rsid w:val="001B665B"/>
    <w:rsid w:val="001C0F1A"/>
    <w:rsid w:val="001C0F49"/>
    <w:rsid w:val="001C37FB"/>
    <w:rsid w:val="001C65D5"/>
    <w:rsid w:val="001C75BB"/>
    <w:rsid w:val="001D0471"/>
    <w:rsid w:val="001D2B9F"/>
    <w:rsid w:val="001D46B9"/>
    <w:rsid w:val="001D4A47"/>
    <w:rsid w:val="001D6CE2"/>
    <w:rsid w:val="001D72B7"/>
    <w:rsid w:val="001E0E5E"/>
    <w:rsid w:val="001E24D1"/>
    <w:rsid w:val="001E435E"/>
    <w:rsid w:val="001E5D92"/>
    <w:rsid w:val="001E6B40"/>
    <w:rsid w:val="001E719C"/>
    <w:rsid w:val="001F13F1"/>
    <w:rsid w:val="001F56F0"/>
    <w:rsid w:val="001F60C3"/>
    <w:rsid w:val="001F6A4E"/>
    <w:rsid w:val="0020002B"/>
    <w:rsid w:val="00200BBE"/>
    <w:rsid w:val="00202DE0"/>
    <w:rsid w:val="0020328A"/>
    <w:rsid w:val="002037AE"/>
    <w:rsid w:val="00205164"/>
    <w:rsid w:val="002103D8"/>
    <w:rsid w:val="00221621"/>
    <w:rsid w:val="0022344B"/>
    <w:rsid w:val="002254F1"/>
    <w:rsid w:val="00226E38"/>
    <w:rsid w:val="00231189"/>
    <w:rsid w:val="002334E4"/>
    <w:rsid w:val="002350DB"/>
    <w:rsid w:val="002360AD"/>
    <w:rsid w:val="00247399"/>
    <w:rsid w:val="0025233E"/>
    <w:rsid w:val="00256CF6"/>
    <w:rsid w:val="00264AB1"/>
    <w:rsid w:val="00267F96"/>
    <w:rsid w:val="00274D60"/>
    <w:rsid w:val="00281E3A"/>
    <w:rsid w:val="0028595D"/>
    <w:rsid w:val="00285D31"/>
    <w:rsid w:val="002878FF"/>
    <w:rsid w:val="00290A3B"/>
    <w:rsid w:val="0029382A"/>
    <w:rsid w:val="00293878"/>
    <w:rsid w:val="00294FAF"/>
    <w:rsid w:val="00296102"/>
    <w:rsid w:val="002A20FB"/>
    <w:rsid w:val="002A30E6"/>
    <w:rsid w:val="002A3FF3"/>
    <w:rsid w:val="002A4F93"/>
    <w:rsid w:val="002A53F2"/>
    <w:rsid w:val="002B03F9"/>
    <w:rsid w:val="002B30C3"/>
    <w:rsid w:val="002B376C"/>
    <w:rsid w:val="002B3E02"/>
    <w:rsid w:val="002B559C"/>
    <w:rsid w:val="002B57E7"/>
    <w:rsid w:val="002B6004"/>
    <w:rsid w:val="002C21C7"/>
    <w:rsid w:val="002C5FB1"/>
    <w:rsid w:val="002D0FC4"/>
    <w:rsid w:val="002D1706"/>
    <w:rsid w:val="002D2233"/>
    <w:rsid w:val="002D3C32"/>
    <w:rsid w:val="002D44D4"/>
    <w:rsid w:val="002D4BA8"/>
    <w:rsid w:val="002D6A34"/>
    <w:rsid w:val="002D74ED"/>
    <w:rsid w:val="002E1821"/>
    <w:rsid w:val="002E1C4F"/>
    <w:rsid w:val="002E2844"/>
    <w:rsid w:val="002E299F"/>
    <w:rsid w:val="002E2A72"/>
    <w:rsid w:val="002E3795"/>
    <w:rsid w:val="002E4353"/>
    <w:rsid w:val="002E498B"/>
    <w:rsid w:val="002F057E"/>
    <w:rsid w:val="002F0A5E"/>
    <w:rsid w:val="002F2A49"/>
    <w:rsid w:val="002F3121"/>
    <w:rsid w:val="002F353B"/>
    <w:rsid w:val="00300E6D"/>
    <w:rsid w:val="00303359"/>
    <w:rsid w:val="003035EF"/>
    <w:rsid w:val="0031037C"/>
    <w:rsid w:val="00310EFC"/>
    <w:rsid w:val="003142EC"/>
    <w:rsid w:val="00314978"/>
    <w:rsid w:val="0031549E"/>
    <w:rsid w:val="003161FA"/>
    <w:rsid w:val="00317903"/>
    <w:rsid w:val="003206BD"/>
    <w:rsid w:val="0032164B"/>
    <w:rsid w:val="00322A90"/>
    <w:rsid w:val="00325D8B"/>
    <w:rsid w:val="00327CAD"/>
    <w:rsid w:val="003300B1"/>
    <w:rsid w:val="003315F1"/>
    <w:rsid w:val="0033419E"/>
    <w:rsid w:val="00334DA3"/>
    <w:rsid w:val="00335B16"/>
    <w:rsid w:val="003364C2"/>
    <w:rsid w:val="00337235"/>
    <w:rsid w:val="00344341"/>
    <w:rsid w:val="003469D2"/>
    <w:rsid w:val="003477E5"/>
    <w:rsid w:val="00350B30"/>
    <w:rsid w:val="00353759"/>
    <w:rsid w:val="00354948"/>
    <w:rsid w:val="003554E5"/>
    <w:rsid w:val="00361A0E"/>
    <w:rsid w:val="00361C61"/>
    <w:rsid w:val="003666C4"/>
    <w:rsid w:val="00366B2C"/>
    <w:rsid w:val="003670EE"/>
    <w:rsid w:val="003715A6"/>
    <w:rsid w:val="00371666"/>
    <w:rsid w:val="0037452D"/>
    <w:rsid w:val="00377A03"/>
    <w:rsid w:val="00380E05"/>
    <w:rsid w:val="003820C2"/>
    <w:rsid w:val="00382389"/>
    <w:rsid w:val="00384D6F"/>
    <w:rsid w:val="00393218"/>
    <w:rsid w:val="00394E32"/>
    <w:rsid w:val="00394E3B"/>
    <w:rsid w:val="0039726B"/>
    <w:rsid w:val="00397BDC"/>
    <w:rsid w:val="003A2DE1"/>
    <w:rsid w:val="003A3964"/>
    <w:rsid w:val="003A63EC"/>
    <w:rsid w:val="003B0C43"/>
    <w:rsid w:val="003B1BA8"/>
    <w:rsid w:val="003C5462"/>
    <w:rsid w:val="003D303E"/>
    <w:rsid w:val="003D4E3C"/>
    <w:rsid w:val="003D5AAA"/>
    <w:rsid w:val="003D68E1"/>
    <w:rsid w:val="003E2276"/>
    <w:rsid w:val="003E7F69"/>
    <w:rsid w:val="003F0199"/>
    <w:rsid w:val="003F11BB"/>
    <w:rsid w:val="003F2FA2"/>
    <w:rsid w:val="003F676B"/>
    <w:rsid w:val="00400FFA"/>
    <w:rsid w:val="00402748"/>
    <w:rsid w:val="004032EF"/>
    <w:rsid w:val="00404E20"/>
    <w:rsid w:val="00404EF5"/>
    <w:rsid w:val="00405484"/>
    <w:rsid w:val="00405D97"/>
    <w:rsid w:val="00407004"/>
    <w:rsid w:val="004102C2"/>
    <w:rsid w:val="00411A5E"/>
    <w:rsid w:val="00413A51"/>
    <w:rsid w:val="00416B2C"/>
    <w:rsid w:val="00421B51"/>
    <w:rsid w:val="004232CE"/>
    <w:rsid w:val="00424656"/>
    <w:rsid w:val="00425202"/>
    <w:rsid w:val="004269C1"/>
    <w:rsid w:val="00426E4B"/>
    <w:rsid w:val="0042731F"/>
    <w:rsid w:val="00431F00"/>
    <w:rsid w:val="00433F43"/>
    <w:rsid w:val="00435881"/>
    <w:rsid w:val="00437A42"/>
    <w:rsid w:val="00437D4B"/>
    <w:rsid w:val="00441F96"/>
    <w:rsid w:val="004444C5"/>
    <w:rsid w:val="00445A5C"/>
    <w:rsid w:val="0044688E"/>
    <w:rsid w:val="00446CF2"/>
    <w:rsid w:val="004515F1"/>
    <w:rsid w:val="00451628"/>
    <w:rsid w:val="00452303"/>
    <w:rsid w:val="00457FAB"/>
    <w:rsid w:val="004603BC"/>
    <w:rsid w:val="00461335"/>
    <w:rsid w:val="004631A1"/>
    <w:rsid w:val="00466773"/>
    <w:rsid w:val="004751FC"/>
    <w:rsid w:val="0048084C"/>
    <w:rsid w:val="00482EB8"/>
    <w:rsid w:val="004848B4"/>
    <w:rsid w:val="00485CB3"/>
    <w:rsid w:val="004902EF"/>
    <w:rsid w:val="00494C8B"/>
    <w:rsid w:val="004969A8"/>
    <w:rsid w:val="00497E92"/>
    <w:rsid w:val="004A167F"/>
    <w:rsid w:val="004A2000"/>
    <w:rsid w:val="004A423A"/>
    <w:rsid w:val="004A5265"/>
    <w:rsid w:val="004A538C"/>
    <w:rsid w:val="004B22A1"/>
    <w:rsid w:val="004B479A"/>
    <w:rsid w:val="004C05C9"/>
    <w:rsid w:val="004C069D"/>
    <w:rsid w:val="004C42D2"/>
    <w:rsid w:val="004C4309"/>
    <w:rsid w:val="004C735E"/>
    <w:rsid w:val="004E20F3"/>
    <w:rsid w:val="004E564C"/>
    <w:rsid w:val="004E5FFA"/>
    <w:rsid w:val="004F1159"/>
    <w:rsid w:val="004F4A8F"/>
    <w:rsid w:val="004F4DF0"/>
    <w:rsid w:val="004F5939"/>
    <w:rsid w:val="004F5CC5"/>
    <w:rsid w:val="004F6589"/>
    <w:rsid w:val="004F6FA4"/>
    <w:rsid w:val="00501437"/>
    <w:rsid w:val="005017A0"/>
    <w:rsid w:val="0050272C"/>
    <w:rsid w:val="005040F8"/>
    <w:rsid w:val="005054E3"/>
    <w:rsid w:val="0050770D"/>
    <w:rsid w:val="00510F9E"/>
    <w:rsid w:val="00514E71"/>
    <w:rsid w:val="00522A28"/>
    <w:rsid w:val="00523E3F"/>
    <w:rsid w:val="00524318"/>
    <w:rsid w:val="005262E5"/>
    <w:rsid w:val="00531C98"/>
    <w:rsid w:val="00532B75"/>
    <w:rsid w:val="005348D0"/>
    <w:rsid w:val="00537254"/>
    <w:rsid w:val="00537F68"/>
    <w:rsid w:val="00540C3E"/>
    <w:rsid w:val="005460B4"/>
    <w:rsid w:val="00546207"/>
    <w:rsid w:val="00551634"/>
    <w:rsid w:val="005541C9"/>
    <w:rsid w:val="0055594B"/>
    <w:rsid w:val="00555B0C"/>
    <w:rsid w:val="00564E5E"/>
    <w:rsid w:val="00571A39"/>
    <w:rsid w:val="00574B9D"/>
    <w:rsid w:val="00582C47"/>
    <w:rsid w:val="0058373C"/>
    <w:rsid w:val="00590C7C"/>
    <w:rsid w:val="00592CA5"/>
    <w:rsid w:val="005A5034"/>
    <w:rsid w:val="005A593F"/>
    <w:rsid w:val="005B1D93"/>
    <w:rsid w:val="005B1EFD"/>
    <w:rsid w:val="005B2D82"/>
    <w:rsid w:val="005B3FBD"/>
    <w:rsid w:val="005B4C10"/>
    <w:rsid w:val="005B5FDF"/>
    <w:rsid w:val="005B7570"/>
    <w:rsid w:val="005C0A33"/>
    <w:rsid w:val="005C14CF"/>
    <w:rsid w:val="005C1BF4"/>
    <w:rsid w:val="005C200D"/>
    <w:rsid w:val="005C4BC9"/>
    <w:rsid w:val="005C7A57"/>
    <w:rsid w:val="005D0AD4"/>
    <w:rsid w:val="005D1BFA"/>
    <w:rsid w:val="005D2D1B"/>
    <w:rsid w:val="005D370B"/>
    <w:rsid w:val="005D6216"/>
    <w:rsid w:val="005D6958"/>
    <w:rsid w:val="005D7226"/>
    <w:rsid w:val="005E0579"/>
    <w:rsid w:val="005F033F"/>
    <w:rsid w:val="005F14EC"/>
    <w:rsid w:val="005F25C8"/>
    <w:rsid w:val="005F32C9"/>
    <w:rsid w:val="006002C8"/>
    <w:rsid w:val="006038FB"/>
    <w:rsid w:val="00603C18"/>
    <w:rsid w:val="0060638F"/>
    <w:rsid w:val="006102DE"/>
    <w:rsid w:val="00612767"/>
    <w:rsid w:val="006222FA"/>
    <w:rsid w:val="00623DDC"/>
    <w:rsid w:val="006247FA"/>
    <w:rsid w:val="00630B06"/>
    <w:rsid w:val="00630FD7"/>
    <w:rsid w:val="00632BBA"/>
    <w:rsid w:val="00633099"/>
    <w:rsid w:val="00633BC0"/>
    <w:rsid w:val="006361E5"/>
    <w:rsid w:val="006416D7"/>
    <w:rsid w:val="0064206F"/>
    <w:rsid w:val="0064424A"/>
    <w:rsid w:val="00644372"/>
    <w:rsid w:val="00644B65"/>
    <w:rsid w:val="0064557D"/>
    <w:rsid w:val="00651BAC"/>
    <w:rsid w:val="00651EA6"/>
    <w:rsid w:val="0065247C"/>
    <w:rsid w:val="0065275A"/>
    <w:rsid w:val="006528EF"/>
    <w:rsid w:val="00654F6E"/>
    <w:rsid w:val="006570FE"/>
    <w:rsid w:val="00665717"/>
    <w:rsid w:val="00667669"/>
    <w:rsid w:val="00667FDA"/>
    <w:rsid w:val="0067082C"/>
    <w:rsid w:val="00675079"/>
    <w:rsid w:val="006753B7"/>
    <w:rsid w:val="00677307"/>
    <w:rsid w:val="006835BF"/>
    <w:rsid w:val="006878EA"/>
    <w:rsid w:val="00687D9B"/>
    <w:rsid w:val="00693ECC"/>
    <w:rsid w:val="00695A07"/>
    <w:rsid w:val="006A2BD8"/>
    <w:rsid w:val="006A30A5"/>
    <w:rsid w:val="006A7485"/>
    <w:rsid w:val="006A7A2F"/>
    <w:rsid w:val="006B0362"/>
    <w:rsid w:val="006B0791"/>
    <w:rsid w:val="006B0AD4"/>
    <w:rsid w:val="006B1E33"/>
    <w:rsid w:val="006B5B16"/>
    <w:rsid w:val="006B6045"/>
    <w:rsid w:val="006B6194"/>
    <w:rsid w:val="006B7D44"/>
    <w:rsid w:val="006C0A89"/>
    <w:rsid w:val="006C3ECE"/>
    <w:rsid w:val="006C513A"/>
    <w:rsid w:val="006C51FF"/>
    <w:rsid w:val="006D0270"/>
    <w:rsid w:val="006D209B"/>
    <w:rsid w:val="006D3F31"/>
    <w:rsid w:val="006D6628"/>
    <w:rsid w:val="006E1F47"/>
    <w:rsid w:val="006E4AC2"/>
    <w:rsid w:val="006E511D"/>
    <w:rsid w:val="006E6F4A"/>
    <w:rsid w:val="006E76D5"/>
    <w:rsid w:val="006F1222"/>
    <w:rsid w:val="006F2B58"/>
    <w:rsid w:val="006F6BC3"/>
    <w:rsid w:val="006F7A00"/>
    <w:rsid w:val="00701A8B"/>
    <w:rsid w:val="007027DB"/>
    <w:rsid w:val="00707A0C"/>
    <w:rsid w:val="00707C67"/>
    <w:rsid w:val="00711806"/>
    <w:rsid w:val="00711ED3"/>
    <w:rsid w:val="00715667"/>
    <w:rsid w:val="00724929"/>
    <w:rsid w:val="00727583"/>
    <w:rsid w:val="00731849"/>
    <w:rsid w:val="00735130"/>
    <w:rsid w:val="007368A3"/>
    <w:rsid w:val="00737910"/>
    <w:rsid w:val="00740222"/>
    <w:rsid w:val="00742765"/>
    <w:rsid w:val="00742ABA"/>
    <w:rsid w:val="007529D0"/>
    <w:rsid w:val="007534B2"/>
    <w:rsid w:val="007558BD"/>
    <w:rsid w:val="00756344"/>
    <w:rsid w:val="00757591"/>
    <w:rsid w:val="00757889"/>
    <w:rsid w:val="00760BC9"/>
    <w:rsid w:val="0076133D"/>
    <w:rsid w:val="00762599"/>
    <w:rsid w:val="00762CFA"/>
    <w:rsid w:val="007631DF"/>
    <w:rsid w:val="00763C5F"/>
    <w:rsid w:val="00767242"/>
    <w:rsid w:val="00767A7F"/>
    <w:rsid w:val="00771E98"/>
    <w:rsid w:val="007732A1"/>
    <w:rsid w:val="00773766"/>
    <w:rsid w:val="007761B8"/>
    <w:rsid w:val="00781ACA"/>
    <w:rsid w:val="007828BF"/>
    <w:rsid w:val="007853BF"/>
    <w:rsid w:val="0079355B"/>
    <w:rsid w:val="00794406"/>
    <w:rsid w:val="00794C13"/>
    <w:rsid w:val="00794E41"/>
    <w:rsid w:val="007951B0"/>
    <w:rsid w:val="00795B3E"/>
    <w:rsid w:val="00797532"/>
    <w:rsid w:val="007A259F"/>
    <w:rsid w:val="007A6C06"/>
    <w:rsid w:val="007B0011"/>
    <w:rsid w:val="007B29AE"/>
    <w:rsid w:val="007B642E"/>
    <w:rsid w:val="007B658F"/>
    <w:rsid w:val="007B6CBA"/>
    <w:rsid w:val="007B7E29"/>
    <w:rsid w:val="007C1C6F"/>
    <w:rsid w:val="007C4221"/>
    <w:rsid w:val="007C67CE"/>
    <w:rsid w:val="007C6DDA"/>
    <w:rsid w:val="007D0BB5"/>
    <w:rsid w:val="007D1264"/>
    <w:rsid w:val="007D161A"/>
    <w:rsid w:val="007D311A"/>
    <w:rsid w:val="007D3B31"/>
    <w:rsid w:val="007D5368"/>
    <w:rsid w:val="007D5731"/>
    <w:rsid w:val="007D6461"/>
    <w:rsid w:val="007D7953"/>
    <w:rsid w:val="007E5AE1"/>
    <w:rsid w:val="007F173B"/>
    <w:rsid w:val="007F1919"/>
    <w:rsid w:val="007F5278"/>
    <w:rsid w:val="007F6AA7"/>
    <w:rsid w:val="00800BF4"/>
    <w:rsid w:val="0080196A"/>
    <w:rsid w:val="00801EF7"/>
    <w:rsid w:val="00811A2E"/>
    <w:rsid w:val="00812752"/>
    <w:rsid w:val="008132AE"/>
    <w:rsid w:val="00813EA4"/>
    <w:rsid w:val="00815F38"/>
    <w:rsid w:val="00820B93"/>
    <w:rsid w:val="008218EB"/>
    <w:rsid w:val="00821AA4"/>
    <w:rsid w:val="0082261E"/>
    <w:rsid w:val="00823FCA"/>
    <w:rsid w:val="008314A6"/>
    <w:rsid w:val="0083342D"/>
    <w:rsid w:val="00833C27"/>
    <w:rsid w:val="008342BA"/>
    <w:rsid w:val="008352F4"/>
    <w:rsid w:val="008444A7"/>
    <w:rsid w:val="0084515E"/>
    <w:rsid w:val="00846914"/>
    <w:rsid w:val="008479CE"/>
    <w:rsid w:val="00847BC6"/>
    <w:rsid w:val="0085041A"/>
    <w:rsid w:val="00850514"/>
    <w:rsid w:val="0085422B"/>
    <w:rsid w:val="0085423E"/>
    <w:rsid w:val="008575AA"/>
    <w:rsid w:val="008600F5"/>
    <w:rsid w:val="008611E5"/>
    <w:rsid w:val="00866CBB"/>
    <w:rsid w:val="00870335"/>
    <w:rsid w:val="00872EC7"/>
    <w:rsid w:val="00876FC7"/>
    <w:rsid w:val="00880528"/>
    <w:rsid w:val="00881C02"/>
    <w:rsid w:val="00882E9F"/>
    <w:rsid w:val="00884467"/>
    <w:rsid w:val="00884C3E"/>
    <w:rsid w:val="0089086E"/>
    <w:rsid w:val="00892A62"/>
    <w:rsid w:val="00894513"/>
    <w:rsid w:val="008A1C94"/>
    <w:rsid w:val="008B1A5C"/>
    <w:rsid w:val="008B4E8F"/>
    <w:rsid w:val="008B6168"/>
    <w:rsid w:val="008C32EF"/>
    <w:rsid w:val="008C3735"/>
    <w:rsid w:val="008C3E94"/>
    <w:rsid w:val="008C429B"/>
    <w:rsid w:val="008D0BB3"/>
    <w:rsid w:val="008D3149"/>
    <w:rsid w:val="008D3AC6"/>
    <w:rsid w:val="008D5CD6"/>
    <w:rsid w:val="008F0EDF"/>
    <w:rsid w:val="008F5C79"/>
    <w:rsid w:val="008F60D7"/>
    <w:rsid w:val="008F69C9"/>
    <w:rsid w:val="008F7D8F"/>
    <w:rsid w:val="00901018"/>
    <w:rsid w:val="009050CC"/>
    <w:rsid w:val="00910B47"/>
    <w:rsid w:val="0091179D"/>
    <w:rsid w:val="00911C5B"/>
    <w:rsid w:val="00912A1F"/>
    <w:rsid w:val="00914652"/>
    <w:rsid w:val="00915657"/>
    <w:rsid w:val="009167D0"/>
    <w:rsid w:val="009228BD"/>
    <w:rsid w:val="00925A25"/>
    <w:rsid w:val="00925D85"/>
    <w:rsid w:val="0092781B"/>
    <w:rsid w:val="00930A1F"/>
    <w:rsid w:val="00931BDC"/>
    <w:rsid w:val="009326D2"/>
    <w:rsid w:val="00933E05"/>
    <w:rsid w:val="0093439E"/>
    <w:rsid w:val="0094214A"/>
    <w:rsid w:val="00943162"/>
    <w:rsid w:val="00944151"/>
    <w:rsid w:val="00944420"/>
    <w:rsid w:val="00951158"/>
    <w:rsid w:val="00956336"/>
    <w:rsid w:val="00966D47"/>
    <w:rsid w:val="00967A71"/>
    <w:rsid w:val="0097197C"/>
    <w:rsid w:val="009728F6"/>
    <w:rsid w:val="00974116"/>
    <w:rsid w:val="00976400"/>
    <w:rsid w:val="00977A8C"/>
    <w:rsid w:val="00980A11"/>
    <w:rsid w:val="00981237"/>
    <w:rsid w:val="00986E92"/>
    <w:rsid w:val="00990815"/>
    <w:rsid w:val="00990AE8"/>
    <w:rsid w:val="00990AF7"/>
    <w:rsid w:val="00993D27"/>
    <w:rsid w:val="009959D2"/>
    <w:rsid w:val="009A7B6C"/>
    <w:rsid w:val="009A7F3A"/>
    <w:rsid w:val="009B0F0E"/>
    <w:rsid w:val="009B13F2"/>
    <w:rsid w:val="009B2401"/>
    <w:rsid w:val="009B303A"/>
    <w:rsid w:val="009B79B6"/>
    <w:rsid w:val="009C2EE2"/>
    <w:rsid w:val="009C3F5C"/>
    <w:rsid w:val="009C41E7"/>
    <w:rsid w:val="009C5905"/>
    <w:rsid w:val="009C64E8"/>
    <w:rsid w:val="009D1AFD"/>
    <w:rsid w:val="009D501C"/>
    <w:rsid w:val="009D614F"/>
    <w:rsid w:val="009D7211"/>
    <w:rsid w:val="009E22B9"/>
    <w:rsid w:val="009E40F1"/>
    <w:rsid w:val="009F14C3"/>
    <w:rsid w:val="009F4A9F"/>
    <w:rsid w:val="009F5CD1"/>
    <w:rsid w:val="009F5FC1"/>
    <w:rsid w:val="00A003D7"/>
    <w:rsid w:val="00A01325"/>
    <w:rsid w:val="00A04E7F"/>
    <w:rsid w:val="00A0514F"/>
    <w:rsid w:val="00A066A5"/>
    <w:rsid w:val="00A114EE"/>
    <w:rsid w:val="00A134D8"/>
    <w:rsid w:val="00A15622"/>
    <w:rsid w:val="00A16A84"/>
    <w:rsid w:val="00A20E97"/>
    <w:rsid w:val="00A21BA3"/>
    <w:rsid w:val="00A22CBC"/>
    <w:rsid w:val="00A26AA6"/>
    <w:rsid w:val="00A27365"/>
    <w:rsid w:val="00A30057"/>
    <w:rsid w:val="00A304D1"/>
    <w:rsid w:val="00A32B48"/>
    <w:rsid w:val="00A3310D"/>
    <w:rsid w:val="00A43493"/>
    <w:rsid w:val="00A43A5F"/>
    <w:rsid w:val="00A447AF"/>
    <w:rsid w:val="00A45256"/>
    <w:rsid w:val="00A453B5"/>
    <w:rsid w:val="00A50163"/>
    <w:rsid w:val="00A517E7"/>
    <w:rsid w:val="00A54441"/>
    <w:rsid w:val="00A56DAB"/>
    <w:rsid w:val="00A6018E"/>
    <w:rsid w:val="00A61035"/>
    <w:rsid w:val="00A63822"/>
    <w:rsid w:val="00A64119"/>
    <w:rsid w:val="00A64C55"/>
    <w:rsid w:val="00A64EA3"/>
    <w:rsid w:val="00A65785"/>
    <w:rsid w:val="00A66DA4"/>
    <w:rsid w:val="00A66EDD"/>
    <w:rsid w:val="00A74249"/>
    <w:rsid w:val="00A76594"/>
    <w:rsid w:val="00A7692B"/>
    <w:rsid w:val="00A7710B"/>
    <w:rsid w:val="00A77EE8"/>
    <w:rsid w:val="00A80313"/>
    <w:rsid w:val="00A83FE7"/>
    <w:rsid w:val="00A84ECC"/>
    <w:rsid w:val="00A86448"/>
    <w:rsid w:val="00A866D0"/>
    <w:rsid w:val="00A90EDE"/>
    <w:rsid w:val="00A951DA"/>
    <w:rsid w:val="00A958B3"/>
    <w:rsid w:val="00A96654"/>
    <w:rsid w:val="00A977F0"/>
    <w:rsid w:val="00AA02D8"/>
    <w:rsid w:val="00AA24A6"/>
    <w:rsid w:val="00AA3364"/>
    <w:rsid w:val="00AA5D36"/>
    <w:rsid w:val="00AA621E"/>
    <w:rsid w:val="00AA6BF0"/>
    <w:rsid w:val="00AB0D4A"/>
    <w:rsid w:val="00AB1237"/>
    <w:rsid w:val="00AB4A2D"/>
    <w:rsid w:val="00AB5973"/>
    <w:rsid w:val="00AB73F6"/>
    <w:rsid w:val="00AB7682"/>
    <w:rsid w:val="00AC09F0"/>
    <w:rsid w:val="00AC0DDB"/>
    <w:rsid w:val="00AC3127"/>
    <w:rsid w:val="00AC377F"/>
    <w:rsid w:val="00AC4668"/>
    <w:rsid w:val="00AD3031"/>
    <w:rsid w:val="00AD7B32"/>
    <w:rsid w:val="00AE173A"/>
    <w:rsid w:val="00AE6E7A"/>
    <w:rsid w:val="00AF4A66"/>
    <w:rsid w:val="00AF4D5F"/>
    <w:rsid w:val="00AF578B"/>
    <w:rsid w:val="00AF6555"/>
    <w:rsid w:val="00B048C1"/>
    <w:rsid w:val="00B126B3"/>
    <w:rsid w:val="00B148CC"/>
    <w:rsid w:val="00B212C4"/>
    <w:rsid w:val="00B22060"/>
    <w:rsid w:val="00B25E61"/>
    <w:rsid w:val="00B26342"/>
    <w:rsid w:val="00B26D42"/>
    <w:rsid w:val="00B27571"/>
    <w:rsid w:val="00B30B47"/>
    <w:rsid w:val="00B3437F"/>
    <w:rsid w:val="00B35961"/>
    <w:rsid w:val="00B35A1B"/>
    <w:rsid w:val="00B377D4"/>
    <w:rsid w:val="00B37831"/>
    <w:rsid w:val="00B405E4"/>
    <w:rsid w:val="00B41187"/>
    <w:rsid w:val="00B423FE"/>
    <w:rsid w:val="00B45E9D"/>
    <w:rsid w:val="00B46082"/>
    <w:rsid w:val="00B46B6D"/>
    <w:rsid w:val="00B46FAA"/>
    <w:rsid w:val="00B5071E"/>
    <w:rsid w:val="00B623E0"/>
    <w:rsid w:val="00B71A7C"/>
    <w:rsid w:val="00B75557"/>
    <w:rsid w:val="00B7586E"/>
    <w:rsid w:val="00B75C87"/>
    <w:rsid w:val="00B7792C"/>
    <w:rsid w:val="00B77DA9"/>
    <w:rsid w:val="00B803C9"/>
    <w:rsid w:val="00B82B01"/>
    <w:rsid w:val="00B85A5E"/>
    <w:rsid w:val="00B90444"/>
    <w:rsid w:val="00B96714"/>
    <w:rsid w:val="00BA2DBC"/>
    <w:rsid w:val="00BA2F95"/>
    <w:rsid w:val="00BA3D44"/>
    <w:rsid w:val="00BA510A"/>
    <w:rsid w:val="00BA7163"/>
    <w:rsid w:val="00BB02C2"/>
    <w:rsid w:val="00BB157E"/>
    <w:rsid w:val="00BB5B1F"/>
    <w:rsid w:val="00BB5E5F"/>
    <w:rsid w:val="00BC0771"/>
    <w:rsid w:val="00BC081C"/>
    <w:rsid w:val="00BC15CE"/>
    <w:rsid w:val="00BC200B"/>
    <w:rsid w:val="00BC230E"/>
    <w:rsid w:val="00BC3552"/>
    <w:rsid w:val="00BC47B2"/>
    <w:rsid w:val="00BC5FDE"/>
    <w:rsid w:val="00BC741B"/>
    <w:rsid w:val="00BD11F9"/>
    <w:rsid w:val="00BD36B4"/>
    <w:rsid w:val="00BD5637"/>
    <w:rsid w:val="00BD5D21"/>
    <w:rsid w:val="00BD6723"/>
    <w:rsid w:val="00BD7474"/>
    <w:rsid w:val="00BE0798"/>
    <w:rsid w:val="00BE3200"/>
    <w:rsid w:val="00BE3998"/>
    <w:rsid w:val="00BE3EDE"/>
    <w:rsid w:val="00BE7D1C"/>
    <w:rsid w:val="00BF096C"/>
    <w:rsid w:val="00BF0B22"/>
    <w:rsid w:val="00BF1E7E"/>
    <w:rsid w:val="00BF37A7"/>
    <w:rsid w:val="00BF4B39"/>
    <w:rsid w:val="00BF581A"/>
    <w:rsid w:val="00C0013F"/>
    <w:rsid w:val="00C01B87"/>
    <w:rsid w:val="00C0547E"/>
    <w:rsid w:val="00C11B25"/>
    <w:rsid w:val="00C13FCE"/>
    <w:rsid w:val="00C21149"/>
    <w:rsid w:val="00C239CA"/>
    <w:rsid w:val="00C33293"/>
    <w:rsid w:val="00C3570E"/>
    <w:rsid w:val="00C3590D"/>
    <w:rsid w:val="00C36280"/>
    <w:rsid w:val="00C36B8B"/>
    <w:rsid w:val="00C42BBD"/>
    <w:rsid w:val="00C44499"/>
    <w:rsid w:val="00C44E0E"/>
    <w:rsid w:val="00C46EE9"/>
    <w:rsid w:val="00C50E61"/>
    <w:rsid w:val="00C51776"/>
    <w:rsid w:val="00C518F4"/>
    <w:rsid w:val="00C5292C"/>
    <w:rsid w:val="00C52FD4"/>
    <w:rsid w:val="00C55177"/>
    <w:rsid w:val="00C56FEB"/>
    <w:rsid w:val="00C62E6D"/>
    <w:rsid w:val="00C6302E"/>
    <w:rsid w:val="00C643DE"/>
    <w:rsid w:val="00C65934"/>
    <w:rsid w:val="00C7070D"/>
    <w:rsid w:val="00C75097"/>
    <w:rsid w:val="00C7595A"/>
    <w:rsid w:val="00C75C1D"/>
    <w:rsid w:val="00C765E1"/>
    <w:rsid w:val="00C802AE"/>
    <w:rsid w:val="00C8302A"/>
    <w:rsid w:val="00C864F6"/>
    <w:rsid w:val="00C86736"/>
    <w:rsid w:val="00C8678A"/>
    <w:rsid w:val="00C868B2"/>
    <w:rsid w:val="00C900F0"/>
    <w:rsid w:val="00C91014"/>
    <w:rsid w:val="00C9697B"/>
    <w:rsid w:val="00C974A8"/>
    <w:rsid w:val="00C9790C"/>
    <w:rsid w:val="00C97C06"/>
    <w:rsid w:val="00CA2CF4"/>
    <w:rsid w:val="00CA4B8A"/>
    <w:rsid w:val="00CA5DB5"/>
    <w:rsid w:val="00CA5E51"/>
    <w:rsid w:val="00CB1089"/>
    <w:rsid w:val="00CB3217"/>
    <w:rsid w:val="00CB3D0F"/>
    <w:rsid w:val="00CB5811"/>
    <w:rsid w:val="00CB5F46"/>
    <w:rsid w:val="00CB7651"/>
    <w:rsid w:val="00CB7889"/>
    <w:rsid w:val="00CC0654"/>
    <w:rsid w:val="00CC2625"/>
    <w:rsid w:val="00CC3730"/>
    <w:rsid w:val="00CC3F66"/>
    <w:rsid w:val="00CD02B4"/>
    <w:rsid w:val="00CD5361"/>
    <w:rsid w:val="00CE00F9"/>
    <w:rsid w:val="00CE1665"/>
    <w:rsid w:val="00CE3F33"/>
    <w:rsid w:val="00CE5853"/>
    <w:rsid w:val="00CE5D24"/>
    <w:rsid w:val="00CE7402"/>
    <w:rsid w:val="00CF263A"/>
    <w:rsid w:val="00CF4A7C"/>
    <w:rsid w:val="00CF4DF7"/>
    <w:rsid w:val="00CF5102"/>
    <w:rsid w:val="00CF58FD"/>
    <w:rsid w:val="00D0215A"/>
    <w:rsid w:val="00D051D4"/>
    <w:rsid w:val="00D06F2A"/>
    <w:rsid w:val="00D10249"/>
    <w:rsid w:val="00D12DE4"/>
    <w:rsid w:val="00D172E6"/>
    <w:rsid w:val="00D20C7A"/>
    <w:rsid w:val="00D21780"/>
    <w:rsid w:val="00D25C8A"/>
    <w:rsid w:val="00D2797F"/>
    <w:rsid w:val="00D31913"/>
    <w:rsid w:val="00D340F0"/>
    <w:rsid w:val="00D376E9"/>
    <w:rsid w:val="00D37F05"/>
    <w:rsid w:val="00D403B9"/>
    <w:rsid w:val="00D44E4A"/>
    <w:rsid w:val="00D60D01"/>
    <w:rsid w:val="00D638B9"/>
    <w:rsid w:val="00D64CF3"/>
    <w:rsid w:val="00D7353D"/>
    <w:rsid w:val="00D74819"/>
    <w:rsid w:val="00D74DFA"/>
    <w:rsid w:val="00D763E4"/>
    <w:rsid w:val="00D77144"/>
    <w:rsid w:val="00D8013F"/>
    <w:rsid w:val="00D83E89"/>
    <w:rsid w:val="00D84E60"/>
    <w:rsid w:val="00D8710E"/>
    <w:rsid w:val="00D9332C"/>
    <w:rsid w:val="00D95E6A"/>
    <w:rsid w:val="00D965B2"/>
    <w:rsid w:val="00DA2EDF"/>
    <w:rsid w:val="00DA2FD9"/>
    <w:rsid w:val="00DA3D50"/>
    <w:rsid w:val="00DA447E"/>
    <w:rsid w:val="00DA4A1D"/>
    <w:rsid w:val="00DA6B58"/>
    <w:rsid w:val="00DB065B"/>
    <w:rsid w:val="00DB3F50"/>
    <w:rsid w:val="00DB5147"/>
    <w:rsid w:val="00DB6F68"/>
    <w:rsid w:val="00DB7E07"/>
    <w:rsid w:val="00DC16A8"/>
    <w:rsid w:val="00DC3197"/>
    <w:rsid w:val="00DC3ED4"/>
    <w:rsid w:val="00DC48D9"/>
    <w:rsid w:val="00DD5D44"/>
    <w:rsid w:val="00DE0F59"/>
    <w:rsid w:val="00DE1165"/>
    <w:rsid w:val="00DE1815"/>
    <w:rsid w:val="00DE2F49"/>
    <w:rsid w:val="00DE75AE"/>
    <w:rsid w:val="00DF094C"/>
    <w:rsid w:val="00DF2A5E"/>
    <w:rsid w:val="00DF60CC"/>
    <w:rsid w:val="00DF76B7"/>
    <w:rsid w:val="00DF7B2E"/>
    <w:rsid w:val="00E027D4"/>
    <w:rsid w:val="00E02BBD"/>
    <w:rsid w:val="00E05CEF"/>
    <w:rsid w:val="00E05E57"/>
    <w:rsid w:val="00E060E6"/>
    <w:rsid w:val="00E10A0B"/>
    <w:rsid w:val="00E10E31"/>
    <w:rsid w:val="00E13434"/>
    <w:rsid w:val="00E13C86"/>
    <w:rsid w:val="00E15915"/>
    <w:rsid w:val="00E15DE9"/>
    <w:rsid w:val="00E16824"/>
    <w:rsid w:val="00E17A7C"/>
    <w:rsid w:val="00E31792"/>
    <w:rsid w:val="00E3234B"/>
    <w:rsid w:val="00E326D4"/>
    <w:rsid w:val="00E33076"/>
    <w:rsid w:val="00E3350A"/>
    <w:rsid w:val="00E33BC7"/>
    <w:rsid w:val="00E3430F"/>
    <w:rsid w:val="00E34414"/>
    <w:rsid w:val="00E34DC7"/>
    <w:rsid w:val="00E35495"/>
    <w:rsid w:val="00E40149"/>
    <w:rsid w:val="00E431A0"/>
    <w:rsid w:val="00E43503"/>
    <w:rsid w:val="00E4429D"/>
    <w:rsid w:val="00E44FC1"/>
    <w:rsid w:val="00E47E43"/>
    <w:rsid w:val="00E5185E"/>
    <w:rsid w:val="00E51CD3"/>
    <w:rsid w:val="00E530D6"/>
    <w:rsid w:val="00E5677C"/>
    <w:rsid w:val="00E573DC"/>
    <w:rsid w:val="00E613EE"/>
    <w:rsid w:val="00E620E1"/>
    <w:rsid w:val="00E622A7"/>
    <w:rsid w:val="00E6468B"/>
    <w:rsid w:val="00E66E5A"/>
    <w:rsid w:val="00E711D7"/>
    <w:rsid w:val="00E7335E"/>
    <w:rsid w:val="00E76064"/>
    <w:rsid w:val="00E77361"/>
    <w:rsid w:val="00E84F90"/>
    <w:rsid w:val="00E86356"/>
    <w:rsid w:val="00E8762E"/>
    <w:rsid w:val="00E9243C"/>
    <w:rsid w:val="00E92680"/>
    <w:rsid w:val="00EA4A3F"/>
    <w:rsid w:val="00EA6528"/>
    <w:rsid w:val="00EB257F"/>
    <w:rsid w:val="00EB354C"/>
    <w:rsid w:val="00EB4FF1"/>
    <w:rsid w:val="00EC1B88"/>
    <w:rsid w:val="00EC2749"/>
    <w:rsid w:val="00EC4834"/>
    <w:rsid w:val="00ED1657"/>
    <w:rsid w:val="00ED4DC1"/>
    <w:rsid w:val="00ED520A"/>
    <w:rsid w:val="00ED5A61"/>
    <w:rsid w:val="00EE0F26"/>
    <w:rsid w:val="00EE1AF6"/>
    <w:rsid w:val="00EF30DC"/>
    <w:rsid w:val="00EF5CF2"/>
    <w:rsid w:val="00EF63CE"/>
    <w:rsid w:val="00F00569"/>
    <w:rsid w:val="00F015E5"/>
    <w:rsid w:val="00F01858"/>
    <w:rsid w:val="00F02927"/>
    <w:rsid w:val="00F05401"/>
    <w:rsid w:val="00F07EC1"/>
    <w:rsid w:val="00F10440"/>
    <w:rsid w:val="00F11AE9"/>
    <w:rsid w:val="00F132C7"/>
    <w:rsid w:val="00F17F1F"/>
    <w:rsid w:val="00F21D2E"/>
    <w:rsid w:val="00F26BF9"/>
    <w:rsid w:val="00F27218"/>
    <w:rsid w:val="00F336A7"/>
    <w:rsid w:val="00F36833"/>
    <w:rsid w:val="00F43B66"/>
    <w:rsid w:val="00F43F03"/>
    <w:rsid w:val="00F55A69"/>
    <w:rsid w:val="00F565AA"/>
    <w:rsid w:val="00F56CD2"/>
    <w:rsid w:val="00F570F6"/>
    <w:rsid w:val="00F57B40"/>
    <w:rsid w:val="00F604F6"/>
    <w:rsid w:val="00F612FE"/>
    <w:rsid w:val="00F66070"/>
    <w:rsid w:val="00F673C1"/>
    <w:rsid w:val="00F73EB8"/>
    <w:rsid w:val="00F74ACB"/>
    <w:rsid w:val="00F82DB2"/>
    <w:rsid w:val="00F842E8"/>
    <w:rsid w:val="00F90641"/>
    <w:rsid w:val="00F932CE"/>
    <w:rsid w:val="00F9422D"/>
    <w:rsid w:val="00FA07D8"/>
    <w:rsid w:val="00FA154B"/>
    <w:rsid w:val="00FA5284"/>
    <w:rsid w:val="00FA644F"/>
    <w:rsid w:val="00FB496F"/>
    <w:rsid w:val="00FB60F4"/>
    <w:rsid w:val="00FC0E40"/>
    <w:rsid w:val="00FC46BA"/>
    <w:rsid w:val="00FC4F42"/>
    <w:rsid w:val="00FD2020"/>
    <w:rsid w:val="00FD2A52"/>
    <w:rsid w:val="00FD5248"/>
    <w:rsid w:val="00FD652A"/>
    <w:rsid w:val="00FD739C"/>
    <w:rsid w:val="00FD77EF"/>
    <w:rsid w:val="00FE0443"/>
    <w:rsid w:val="00FE0E94"/>
    <w:rsid w:val="00FE3B1F"/>
    <w:rsid w:val="00FE5D8B"/>
    <w:rsid w:val="00FE79BE"/>
    <w:rsid w:val="00FF075B"/>
    <w:rsid w:val="00FF44EE"/>
    <w:rsid w:val="00FF48AD"/>
    <w:rsid w:val="00FF62CE"/>
    <w:rsid w:val="00FF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5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4467"/>
    <w:pPr>
      <w:keepNext/>
      <w:keepLines/>
      <w:numPr>
        <w:numId w:val="2"/>
      </w:numPr>
      <w:spacing w:before="720" w:after="24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218EB"/>
    <w:pPr>
      <w:keepNext/>
      <w:keepLines/>
      <w:numPr>
        <w:numId w:val="4"/>
      </w:numPr>
      <w:spacing w:before="320" w:after="120" w:line="480" w:lineRule="auto"/>
      <w:outlineLvl w:val="1"/>
    </w:pPr>
    <w:rPr>
      <w:rFonts w:ascii="Times New Roman" w:eastAsiaTheme="majorEastAsia" w:hAnsi="Times New Roman" w:cstheme="majorBidi"/>
      <w:b/>
      <w:bCs/>
      <w:sz w:val="20"/>
      <w:szCs w:val="26"/>
    </w:rPr>
  </w:style>
  <w:style w:type="paragraph" w:styleId="Heading3">
    <w:name w:val="heading 3"/>
    <w:basedOn w:val="Normal"/>
    <w:next w:val="Normal"/>
    <w:link w:val="Heading3Char"/>
    <w:uiPriority w:val="9"/>
    <w:semiHidden/>
    <w:unhideWhenUsed/>
    <w:qFormat/>
    <w:rsid w:val="00066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212C4"/>
    <w:pPr>
      <w:framePr w:w="9360" w:hSpace="187" w:vSpace="187" w:wrap="notBeside" w:vAnchor="text" w:hAnchor="page" w:xAlign="center" w:y="1" w:anchorLock="1"/>
      <w:autoSpaceDE w:val="0"/>
      <w:autoSpaceDN w:val="0"/>
      <w:spacing w:before="360" w:after="0" w:line="240" w:lineRule="auto"/>
      <w:jc w:val="center"/>
    </w:pPr>
    <w:rPr>
      <w:rFonts w:ascii="Times New Roman" w:eastAsia="Times New Roman" w:hAnsi="Times New Roman" w:cs="Times New Roman"/>
      <w:b/>
      <w:kern w:val="28"/>
      <w:sz w:val="32"/>
      <w:szCs w:val="48"/>
    </w:rPr>
  </w:style>
  <w:style w:type="character" w:customStyle="1" w:styleId="TitleChar">
    <w:name w:val="Title Char"/>
    <w:basedOn w:val="DefaultParagraphFont"/>
    <w:link w:val="Title"/>
    <w:rsid w:val="00B212C4"/>
    <w:rPr>
      <w:rFonts w:ascii="Times New Roman" w:eastAsia="Times New Roman" w:hAnsi="Times New Roman" w:cs="Times New Roman"/>
      <w:b/>
      <w:kern w:val="28"/>
      <w:sz w:val="32"/>
      <w:szCs w:val="48"/>
    </w:rPr>
  </w:style>
  <w:style w:type="paragraph" w:customStyle="1" w:styleId="Authors">
    <w:name w:val="Authors"/>
    <w:basedOn w:val="Normal"/>
    <w:next w:val="Normal"/>
    <w:rsid w:val="00B212C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rsid w:val="00B212C4"/>
    <w:rPr>
      <w:rFonts w:ascii="Times New Roman" w:hAnsi="Times New Roman" w:cs="Times New Roman"/>
      <w:i/>
      <w:iCs/>
      <w:sz w:val="22"/>
      <w:szCs w:val="22"/>
    </w:rPr>
  </w:style>
  <w:style w:type="paragraph" w:styleId="CommentText">
    <w:name w:val="annotation text"/>
    <w:basedOn w:val="Normal"/>
    <w:link w:val="CommentTextChar"/>
    <w:uiPriority w:val="99"/>
    <w:rsid w:val="00B212C4"/>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212C4"/>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B212C4"/>
    <w:rPr>
      <w:sz w:val="18"/>
      <w:szCs w:val="18"/>
    </w:rPr>
  </w:style>
  <w:style w:type="paragraph" w:styleId="BalloonText">
    <w:name w:val="Balloon Text"/>
    <w:basedOn w:val="Normal"/>
    <w:link w:val="BalloonTextChar"/>
    <w:uiPriority w:val="99"/>
    <w:semiHidden/>
    <w:unhideWhenUsed/>
    <w:rsid w:val="00B21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C4"/>
    <w:rPr>
      <w:rFonts w:ascii="Tahoma" w:hAnsi="Tahoma" w:cs="Tahoma"/>
      <w:sz w:val="16"/>
      <w:szCs w:val="16"/>
    </w:rPr>
  </w:style>
  <w:style w:type="paragraph" w:styleId="FootnoteText">
    <w:name w:val="footnote text"/>
    <w:basedOn w:val="Normal"/>
    <w:link w:val="FootnoteTextChar"/>
    <w:semiHidden/>
    <w:rsid w:val="00FE0E94"/>
    <w:pPr>
      <w:autoSpaceDE w:val="0"/>
      <w:autoSpaceDN w:val="0"/>
      <w:spacing w:after="0" w:line="240" w:lineRule="auto"/>
      <w:ind w:firstLine="202"/>
      <w:jc w:val="both"/>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semiHidden/>
    <w:rsid w:val="00FE0E94"/>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88446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218EB"/>
    <w:rPr>
      <w:rFonts w:ascii="Times New Roman" w:eastAsiaTheme="majorEastAsia" w:hAnsi="Times New Roman" w:cstheme="majorBidi"/>
      <w:b/>
      <w:bCs/>
      <w:sz w:val="20"/>
      <w:szCs w:val="26"/>
    </w:rPr>
  </w:style>
  <w:style w:type="paragraph" w:customStyle="1" w:styleId="Text">
    <w:name w:val="Text"/>
    <w:basedOn w:val="Normal"/>
    <w:rsid w:val="00582C47"/>
    <w:pPr>
      <w:autoSpaceDE w:val="0"/>
      <w:autoSpaceDN w:val="0"/>
      <w:spacing w:after="0" w:line="252" w:lineRule="auto"/>
      <w:ind w:firstLine="202"/>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82C47"/>
    <w:rPr>
      <w:color w:val="0000FF" w:themeColor="hyperlink"/>
      <w:u w:val="single"/>
    </w:rPr>
  </w:style>
  <w:style w:type="character" w:customStyle="1" w:styleId="Heading3Char">
    <w:name w:val="Heading 3 Char"/>
    <w:basedOn w:val="DefaultParagraphFont"/>
    <w:link w:val="Heading3"/>
    <w:uiPriority w:val="9"/>
    <w:semiHidden/>
    <w:rsid w:val="000667CE"/>
    <w:rPr>
      <w:rFonts w:asciiTheme="majorHAnsi" w:eastAsiaTheme="majorEastAsia" w:hAnsiTheme="majorHAnsi" w:cstheme="majorBidi"/>
      <w:b/>
      <w:bCs/>
      <w:color w:val="4F81BD" w:themeColor="accent1"/>
    </w:rPr>
  </w:style>
  <w:style w:type="paragraph" w:customStyle="1" w:styleId="ReferenceHead">
    <w:name w:val="Reference Head"/>
    <w:basedOn w:val="Heading1"/>
    <w:rsid w:val="00FE3B1F"/>
    <w:pPr>
      <w:keepLines w:val="0"/>
      <w:numPr>
        <w:numId w:val="0"/>
      </w:numPr>
      <w:autoSpaceDE w:val="0"/>
      <w:autoSpaceDN w:val="0"/>
      <w:spacing w:before="240" w:after="80" w:line="240" w:lineRule="auto"/>
    </w:pPr>
    <w:rPr>
      <w:rFonts w:eastAsia="Times New Roman" w:cs="Times New Roman"/>
      <w:bCs w:val="0"/>
      <w:smallCaps/>
      <w:kern w:val="28"/>
      <w:sz w:val="20"/>
      <w:szCs w:val="20"/>
    </w:rPr>
  </w:style>
  <w:style w:type="paragraph" w:styleId="Caption">
    <w:name w:val="caption"/>
    <w:basedOn w:val="Normal"/>
    <w:next w:val="Normal"/>
    <w:qFormat/>
    <w:rsid w:val="00FE3B1F"/>
    <w:pPr>
      <w:autoSpaceDE w:val="0"/>
      <w:autoSpaceDN w:val="0"/>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E057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2401"/>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B240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050CC"/>
    <w:rPr>
      <w:color w:val="808080"/>
    </w:rPr>
  </w:style>
  <w:style w:type="paragraph" w:styleId="Footer">
    <w:name w:val="footer"/>
    <w:basedOn w:val="Normal"/>
    <w:link w:val="FooterChar"/>
    <w:uiPriority w:val="99"/>
    <w:unhideWhenUsed/>
    <w:rsid w:val="001B2F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2F4D"/>
  </w:style>
  <w:style w:type="character" w:styleId="PageNumber">
    <w:name w:val="page number"/>
    <w:basedOn w:val="DefaultParagraphFont"/>
    <w:uiPriority w:val="99"/>
    <w:semiHidden/>
    <w:unhideWhenUsed/>
    <w:rsid w:val="001B2F4D"/>
  </w:style>
  <w:style w:type="paragraph" w:styleId="Header">
    <w:name w:val="header"/>
    <w:basedOn w:val="Normal"/>
    <w:link w:val="HeaderChar"/>
    <w:uiPriority w:val="99"/>
    <w:unhideWhenUsed/>
    <w:rsid w:val="001B2F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2F4D"/>
  </w:style>
  <w:style w:type="paragraph" w:styleId="ListParagraph">
    <w:name w:val="List Paragraph"/>
    <w:basedOn w:val="Normal"/>
    <w:uiPriority w:val="34"/>
    <w:qFormat/>
    <w:rsid w:val="00485CB3"/>
    <w:pPr>
      <w:ind w:left="720"/>
      <w:contextualSpacing/>
    </w:pPr>
  </w:style>
  <w:style w:type="paragraph" w:styleId="NormalWeb">
    <w:name w:val="Normal (Web)"/>
    <w:basedOn w:val="Normal"/>
    <w:uiPriority w:val="99"/>
    <w:semiHidden/>
    <w:unhideWhenUsed/>
    <w:rsid w:val="00325D8B"/>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4467"/>
    <w:pPr>
      <w:keepNext/>
      <w:keepLines/>
      <w:numPr>
        <w:numId w:val="2"/>
      </w:numPr>
      <w:spacing w:before="720" w:after="24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218EB"/>
    <w:pPr>
      <w:keepNext/>
      <w:keepLines/>
      <w:numPr>
        <w:numId w:val="4"/>
      </w:numPr>
      <w:spacing w:before="320" w:after="120" w:line="480" w:lineRule="auto"/>
      <w:outlineLvl w:val="1"/>
    </w:pPr>
    <w:rPr>
      <w:rFonts w:ascii="Times New Roman" w:eastAsiaTheme="majorEastAsia" w:hAnsi="Times New Roman" w:cstheme="majorBidi"/>
      <w:b/>
      <w:bCs/>
      <w:sz w:val="20"/>
      <w:szCs w:val="26"/>
    </w:rPr>
  </w:style>
  <w:style w:type="paragraph" w:styleId="Heading3">
    <w:name w:val="heading 3"/>
    <w:basedOn w:val="Normal"/>
    <w:next w:val="Normal"/>
    <w:link w:val="Heading3Char"/>
    <w:uiPriority w:val="9"/>
    <w:semiHidden/>
    <w:unhideWhenUsed/>
    <w:qFormat/>
    <w:rsid w:val="000667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212C4"/>
    <w:pPr>
      <w:framePr w:w="9360" w:hSpace="187" w:vSpace="187" w:wrap="notBeside" w:vAnchor="text" w:hAnchor="page" w:xAlign="center" w:y="1" w:anchorLock="1"/>
      <w:autoSpaceDE w:val="0"/>
      <w:autoSpaceDN w:val="0"/>
      <w:spacing w:before="360" w:after="0" w:line="240" w:lineRule="auto"/>
      <w:jc w:val="center"/>
    </w:pPr>
    <w:rPr>
      <w:rFonts w:ascii="Times New Roman" w:eastAsia="Times New Roman" w:hAnsi="Times New Roman" w:cs="Times New Roman"/>
      <w:b/>
      <w:kern w:val="28"/>
      <w:sz w:val="32"/>
      <w:szCs w:val="48"/>
    </w:rPr>
  </w:style>
  <w:style w:type="character" w:customStyle="1" w:styleId="TitleChar">
    <w:name w:val="Title Char"/>
    <w:basedOn w:val="DefaultParagraphFont"/>
    <w:link w:val="Title"/>
    <w:rsid w:val="00B212C4"/>
    <w:rPr>
      <w:rFonts w:ascii="Times New Roman" w:eastAsia="Times New Roman" w:hAnsi="Times New Roman" w:cs="Times New Roman"/>
      <w:b/>
      <w:kern w:val="28"/>
      <w:sz w:val="32"/>
      <w:szCs w:val="48"/>
    </w:rPr>
  </w:style>
  <w:style w:type="paragraph" w:customStyle="1" w:styleId="Authors">
    <w:name w:val="Authors"/>
    <w:basedOn w:val="Normal"/>
    <w:next w:val="Normal"/>
    <w:rsid w:val="00B212C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rsid w:val="00B212C4"/>
    <w:rPr>
      <w:rFonts w:ascii="Times New Roman" w:hAnsi="Times New Roman" w:cs="Times New Roman"/>
      <w:i/>
      <w:iCs/>
      <w:sz w:val="22"/>
      <w:szCs w:val="22"/>
    </w:rPr>
  </w:style>
  <w:style w:type="paragraph" w:styleId="CommentText">
    <w:name w:val="annotation text"/>
    <w:basedOn w:val="Normal"/>
    <w:link w:val="CommentTextChar"/>
    <w:uiPriority w:val="99"/>
    <w:rsid w:val="00B212C4"/>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212C4"/>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B212C4"/>
    <w:rPr>
      <w:sz w:val="18"/>
      <w:szCs w:val="18"/>
    </w:rPr>
  </w:style>
  <w:style w:type="paragraph" w:styleId="BalloonText">
    <w:name w:val="Balloon Text"/>
    <w:basedOn w:val="Normal"/>
    <w:link w:val="BalloonTextChar"/>
    <w:uiPriority w:val="99"/>
    <w:semiHidden/>
    <w:unhideWhenUsed/>
    <w:rsid w:val="00B21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C4"/>
    <w:rPr>
      <w:rFonts w:ascii="Tahoma" w:hAnsi="Tahoma" w:cs="Tahoma"/>
      <w:sz w:val="16"/>
      <w:szCs w:val="16"/>
    </w:rPr>
  </w:style>
  <w:style w:type="paragraph" w:styleId="FootnoteText">
    <w:name w:val="footnote text"/>
    <w:basedOn w:val="Normal"/>
    <w:link w:val="FootnoteTextChar"/>
    <w:semiHidden/>
    <w:rsid w:val="00FE0E94"/>
    <w:pPr>
      <w:autoSpaceDE w:val="0"/>
      <w:autoSpaceDN w:val="0"/>
      <w:spacing w:after="0" w:line="240" w:lineRule="auto"/>
      <w:ind w:firstLine="202"/>
      <w:jc w:val="both"/>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semiHidden/>
    <w:rsid w:val="00FE0E94"/>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88446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218EB"/>
    <w:rPr>
      <w:rFonts w:ascii="Times New Roman" w:eastAsiaTheme="majorEastAsia" w:hAnsi="Times New Roman" w:cstheme="majorBidi"/>
      <w:b/>
      <w:bCs/>
      <w:sz w:val="20"/>
      <w:szCs w:val="26"/>
    </w:rPr>
  </w:style>
  <w:style w:type="paragraph" w:customStyle="1" w:styleId="Text">
    <w:name w:val="Text"/>
    <w:basedOn w:val="Normal"/>
    <w:rsid w:val="00582C47"/>
    <w:pPr>
      <w:autoSpaceDE w:val="0"/>
      <w:autoSpaceDN w:val="0"/>
      <w:spacing w:after="0" w:line="252" w:lineRule="auto"/>
      <w:ind w:firstLine="202"/>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82C47"/>
    <w:rPr>
      <w:color w:val="0000FF" w:themeColor="hyperlink"/>
      <w:u w:val="single"/>
    </w:rPr>
  </w:style>
  <w:style w:type="character" w:customStyle="1" w:styleId="Heading3Char">
    <w:name w:val="Heading 3 Char"/>
    <w:basedOn w:val="DefaultParagraphFont"/>
    <w:link w:val="Heading3"/>
    <w:uiPriority w:val="9"/>
    <w:semiHidden/>
    <w:rsid w:val="000667CE"/>
    <w:rPr>
      <w:rFonts w:asciiTheme="majorHAnsi" w:eastAsiaTheme="majorEastAsia" w:hAnsiTheme="majorHAnsi" w:cstheme="majorBidi"/>
      <w:b/>
      <w:bCs/>
      <w:color w:val="4F81BD" w:themeColor="accent1"/>
    </w:rPr>
  </w:style>
  <w:style w:type="paragraph" w:customStyle="1" w:styleId="ReferenceHead">
    <w:name w:val="Reference Head"/>
    <w:basedOn w:val="Heading1"/>
    <w:rsid w:val="00FE3B1F"/>
    <w:pPr>
      <w:keepLines w:val="0"/>
      <w:numPr>
        <w:numId w:val="0"/>
      </w:numPr>
      <w:autoSpaceDE w:val="0"/>
      <w:autoSpaceDN w:val="0"/>
      <w:spacing w:before="240" w:after="80" w:line="240" w:lineRule="auto"/>
    </w:pPr>
    <w:rPr>
      <w:rFonts w:eastAsia="Times New Roman" w:cs="Times New Roman"/>
      <w:bCs w:val="0"/>
      <w:smallCaps/>
      <w:kern w:val="28"/>
      <w:sz w:val="20"/>
      <w:szCs w:val="20"/>
    </w:rPr>
  </w:style>
  <w:style w:type="paragraph" w:styleId="Caption">
    <w:name w:val="caption"/>
    <w:basedOn w:val="Normal"/>
    <w:next w:val="Normal"/>
    <w:qFormat/>
    <w:rsid w:val="00FE3B1F"/>
    <w:pPr>
      <w:autoSpaceDE w:val="0"/>
      <w:autoSpaceDN w:val="0"/>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E057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2401"/>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B240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050CC"/>
    <w:rPr>
      <w:color w:val="808080"/>
    </w:rPr>
  </w:style>
  <w:style w:type="paragraph" w:styleId="Footer">
    <w:name w:val="footer"/>
    <w:basedOn w:val="Normal"/>
    <w:link w:val="FooterChar"/>
    <w:uiPriority w:val="99"/>
    <w:unhideWhenUsed/>
    <w:rsid w:val="001B2F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2F4D"/>
  </w:style>
  <w:style w:type="character" w:styleId="PageNumber">
    <w:name w:val="page number"/>
    <w:basedOn w:val="DefaultParagraphFont"/>
    <w:uiPriority w:val="99"/>
    <w:semiHidden/>
    <w:unhideWhenUsed/>
    <w:rsid w:val="001B2F4D"/>
  </w:style>
  <w:style w:type="paragraph" w:styleId="Header">
    <w:name w:val="header"/>
    <w:basedOn w:val="Normal"/>
    <w:link w:val="HeaderChar"/>
    <w:uiPriority w:val="99"/>
    <w:unhideWhenUsed/>
    <w:rsid w:val="001B2F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2F4D"/>
  </w:style>
  <w:style w:type="paragraph" w:styleId="ListParagraph">
    <w:name w:val="List Paragraph"/>
    <w:basedOn w:val="Normal"/>
    <w:uiPriority w:val="34"/>
    <w:qFormat/>
    <w:rsid w:val="00485CB3"/>
    <w:pPr>
      <w:ind w:left="720"/>
      <w:contextualSpacing/>
    </w:pPr>
  </w:style>
  <w:style w:type="paragraph" w:styleId="NormalWeb">
    <w:name w:val="Normal (Web)"/>
    <w:basedOn w:val="Normal"/>
    <w:uiPriority w:val="99"/>
    <w:semiHidden/>
    <w:unhideWhenUsed/>
    <w:rsid w:val="00325D8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14046">
      <w:bodyDiv w:val="1"/>
      <w:marLeft w:val="0"/>
      <w:marRight w:val="0"/>
      <w:marTop w:val="0"/>
      <w:marBottom w:val="0"/>
      <w:divBdr>
        <w:top w:val="none" w:sz="0" w:space="0" w:color="auto"/>
        <w:left w:val="none" w:sz="0" w:space="0" w:color="auto"/>
        <w:bottom w:val="none" w:sz="0" w:space="0" w:color="auto"/>
        <w:right w:val="none" w:sz="0" w:space="0" w:color="auto"/>
      </w:divBdr>
      <w:divsChild>
        <w:div w:id="474301996">
          <w:marLeft w:val="0"/>
          <w:marRight w:val="0"/>
          <w:marTop w:val="0"/>
          <w:marBottom w:val="0"/>
          <w:divBdr>
            <w:top w:val="none" w:sz="0" w:space="0" w:color="auto"/>
            <w:left w:val="none" w:sz="0" w:space="0" w:color="auto"/>
            <w:bottom w:val="none" w:sz="0" w:space="0" w:color="auto"/>
            <w:right w:val="none" w:sz="0" w:space="0" w:color="auto"/>
          </w:divBdr>
        </w:div>
        <w:div w:id="1445272844">
          <w:marLeft w:val="0"/>
          <w:marRight w:val="0"/>
          <w:marTop w:val="0"/>
          <w:marBottom w:val="0"/>
          <w:divBdr>
            <w:top w:val="none" w:sz="0" w:space="0" w:color="auto"/>
            <w:left w:val="none" w:sz="0" w:space="0" w:color="auto"/>
            <w:bottom w:val="none" w:sz="0" w:space="0" w:color="auto"/>
            <w:right w:val="none" w:sz="0" w:space="0" w:color="auto"/>
          </w:divBdr>
        </w:div>
        <w:div w:id="1495801765">
          <w:marLeft w:val="0"/>
          <w:marRight w:val="0"/>
          <w:marTop w:val="0"/>
          <w:marBottom w:val="0"/>
          <w:divBdr>
            <w:top w:val="none" w:sz="0" w:space="0" w:color="auto"/>
            <w:left w:val="none" w:sz="0" w:space="0" w:color="auto"/>
            <w:bottom w:val="none" w:sz="0" w:space="0" w:color="auto"/>
            <w:right w:val="none" w:sz="0" w:space="0" w:color="auto"/>
          </w:divBdr>
        </w:div>
        <w:div w:id="1764110181">
          <w:marLeft w:val="0"/>
          <w:marRight w:val="0"/>
          <w:marTop w:val="0"/>
          <w:marBottom w:val="0"/>
          <w:divBdr>
            <w:top w:val="none" w:sz="0" w:space="0" w:color="auto"/>
            <w:left w:val="none" w:sz="0" w:space="0" w:color="auto"/>
            <w:bottom w:val="none" w:sz="0" w:space="0" w:color="auto"/>
            <w:right w:val="none" w:sz="0" w:space="0" w:color="auto"/>
          </w:divBdr>
        </w:div>
      </w:divsChild>
    </w:div>
    <w:div w:id="2106417433">
      <w:bodyDiv w:val="1"/>
      <w:marLeft w:val="0"/>
      <w:marRight w:val="0"/>
      <w:marTop w:val="0"/>
      <w:marBottom w:val="0"/>
      <w:divBdr>
        <w:top w:val="none" w:sz="0" w:space="0" w:color="auto"/>
        <w:left w:val="none" w:sz="0" w:space="0" w:color="auto"/>
        <w:bottom w:val="none" w:sz="0" w:space="0" w:color="auto"/>
        <w:right w:val="none" w:sz="0" w:space="0" w:color="auto"/>
      </w:divBdr>
      <w:divsChild>
        <w:div w:id="91514172">
          <w:marLeft w:val="0"/>
          <w:marRight w:val="0"/>
          <w:marTop w:val="0"/>
          <w:marBottom w:val="0"/>
          <w:divBdr>
            <w:top w:val="none" w:sz="0" w:space="0" w:color="auto"/>
            <w:left w:val="none" w:sz="0" w:space="0" w:color="auto"/>
            <w:bottom w:val="none" w:sz="0" w:space="0" w:color="auto"/>
            <w:right w:val="none" w:sz="0" w:space="0" w:color="auto"/>
          </w:divBdr>
        </w:div>
        <w:div w:id="224530793">
          <w:marLeft w:val="0"/>
          <w:marRight w:val="0"/>
          <w:marTop w:val="0"/>
          <w:marBottom w:val="0"/>
          <w:divBdr>
            <w:top w:val="none" w:sz="0" w:space="0" w:color="auto"/>
            <w:left w:val="none" w:sz="0" w:space="0" w:color="auto"/>
            <w:bottom w:val="none" w:sz="0" w:space="0" w:color="auto"/>
            <w:right w:val="none" w:sz="0" w:space="0" w:color="auto"/>
          </w:divBdr>
        </w:div>
        <w:div w:id="1516069421">
          <w:marLeft w:val="0"/>
          <w:marRight w:val="0"/>
          <w:marTop w:val="0"/>
          <w:marBottom w:val="0"/>
          <w:divBdr>
            <w:top w:val="none" w:sz="0" w:space="0" w:color="auto"/>
            <w:left w:val="none" w:sz="0" w:space="0" w:color="auto"/>
            <w:bottom w:val="none" w:sz="0" w:space="0" w:color="auto"/>
            <w:right w:val="none" w:sz="0" w:space="0" w:color="auto"/>
          </w:divBdr>
        </w:div>
        <w:div w:id="1807089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e.washingto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ea.gov/iTable/index_industry_io.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13</Pages>
  <Words>9417</Words>
  <Characters>53677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jalalali</dc:creator>
  <cp:lastModifiedBy>jalal ali</cp:lastModifiedBy>
  <cp:revision>15</cp:revision>
  <cp:lastPrinted>2013-10-03T15:18:00Z</cp:lastPrinted>
  <dcterms:created xsi:type="dcterms:W3CDTF">2014-05-08T23:14:00Z</dcterms:created>
  <dcterms:modified xsi:type="dcterms:W3CDTF">2014-05-09T15:06:00Z</dcterms:modified>
</cp:coreProperties>
</file>