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4E357" w14:textId="1B4E8D0C" w:rsidR="001C6F45" w:rsidRDefault="0096300D" w:rsidP="001C6F45">
      <w:pPr>
        <w:pStyle w:val="Els-Author"/>
        <w:rPr>
          <w:noProof w:val="0"/>
          <w:sz w:val="34"/>
          <w:lang w:val="en-GB"/>
        </w:rPr>
      </w:pPr>
      <w:r>
        <w:rPr>
          <w:noProof w:val="0"/>
          <w:sz w:val="34"/>
          <w:lang w:val="en-GB"/>
        </w:rPr>
        <w:t>Fuzzy Linear Programming Approach to Updating Input-Output Technical Coefficients</w:t>
      </w:r>
    </w:p>
    <w:p w14:paraId="1D527978" w14:textId="785F69C8" w:rsidR="001C6F45" w:rsidRDefault="001C6F45" w:rsidP="001C6F45">
      <w:pPr>
        <w:pStyle w:val="Els-Author"/>
      </w:pPr>
      <w:r>
        <w:t>K. B. Aviso</w:t>
      </w:r>
      <w:r w:rsidRPr="004F7152">
        <w:rPr>
          <w:vertAlign w:val="superscript"/>
        </w:rPr>
        <w:t>a</w:t>
      </w:r>
      <w:r>
        <w:t>, M. A. B. Promentilla</w:t>
      </w:r>
      <w:r>
        <w:rPr>
          <w:vertAlign w:val="superscript"/>
        </w:rPr>
        <w:t>a</w:t>
      </w:r>
      <w:r>
        <w:t xml:space="preserve"> , K. D. S. </w:t>
      </w:r>
      <w:r w:rsidR="004A254B" w:rsidRPr="00D21226">
        <w:t>Yu</w:t>
      </w:r>
      <w:r w:rsidR="00B752C7">
        <w:rPr>
          <w:vertAlign w:val="superscript"/>
        </w:rPr>
        <w:t>b</w:t>
      </w:r>
      <w:r>
        <w:t xml:space="preserve">, J. R. </w:t>
      </w:r>
      <w:r w:rsidR="004A254B">
        <w:t>Santos</w:t>
      </w:r>
      <w:r w:rsidR="006D7A1D">
        <w:rPr>
          <w:vertAlign w:val="superscript"/>
        </w:rPr>
        <w:t>c</w:t>
      </w:r>
      <w:r w:rsidR="004A254B">
        <w:t xml:space="preserve"> </w:t>
      </w:r>
      <w:r>
        <w:t>and R. R. Tan</w:t>
      </w:r>
      <w:r w:rsidRPr="004F7152">
        <w:rPr>
          <w:vertAlign w:val="superscript"/>
        </w:rPr>
        <w:t>a</w:t>
      </w:r>
    </w:p>
    <w:p w14:paraId="068D9BA5" w14:textId="77777777" w:rsidR="001C6F45" w:rsidRPr="004A254B" w:rsidRDefault="001C6F45" w:rsidP="001C6F45">
      <w:pPr>
        <w:pStyle w:val="Els-Affiliation"/>
      </w:pPr>
      <w:r w:rsidRPr="004A254B">
        <w:rPr>
          <w:vertAlign w:val="superscript"/>
        </w:rPr>
        <w:t xml:space="preserve">a </w:t>
      </w:r>
      <w:r w:rsidRPr="004A254B">
        <w:t>Chemical Engineering Department, De La Salle University, 2401 Taft Avenue, Malate, Manila, 1004, Philippines</w:t>
      </w:r>
    </w:p>
    <w:p w14:paraId="0198C856" w14:textId="5F73BBF3" w:rsidR="001C6F45" w:rsidRPr="004A254B" w:rsidRDefault="00B752C7" w:rsidP="0096300D">
      <w:pPr>
        <w:pStyle w:val="Els-Affiliation"/>
        <w:spacing w:line="240" w:lineRule="auto"/>
      </w:pPr>
      <w:r>
        <w:rPr>
          <w:vertAlign w:val="superscript"/>
        </w:rPr>
        <w:t>b</w:t>
      </w:r>
      <w:r w:rsidR="001C6F45" w:rsidRPr="004A254B">
        <w:t>School of Economics, De La Salle University, 2401 Taft Avenue, Malate, Manila, 1004, Philippines</w:t>
      </w:r>
    </w:p>
    <w:p w14:paraId="5D4A31FB" w14:textId="23FA1ED4" w:rsidR="001C6F45" w:rsidRPr="008A6331" w:rsidRDefault="006D7A1D" w:rsidP="001C6F45">
      <w:pPr>
        <w:pStyle w:val="Els-Affiliation"/>
        <w:rPr>
          <w:vertAlign w:val="superscript"/>
        </w:rPr>
      </w:pPr>
      <w:r>
        <w:rPr>
          <w:vertAlign w:val="superscript"/>
        </w:rPr>
        <w:t>c</w:t>
      </w:r>
      <w:r w:rsidR="004A254B" w:rsidRPr="008A6331">
        <w:t xml:space="preserve"> </w:t>
      </w:r>
      <w:r w:rsidR="001C6F45" w:rsidRPr="008A6331">
        <w:t>Department of Systems Engineering, The George Washington University</w:t>
      </w:r>
    </w:p>
    <w:p w14:paraId="026C4082" w14:textId="77777777" w:rsidR="001C6F45" w:rsidRPr="0096300D" w:rsidRDefault="001C6F45">
      <w:pPr>
        <w:rPr>
          <w:rFonts w:ascii="Times New Roman" w:hAnsi="Times New Roman" w:cs="Times New Roman"/>
          <w:b/>
        </w:rPr>
      </w:pPr>
    </w:p>
    <w:p w14:paraId="0DF35D66" w14:textId="77777777" w:rsidR="001C6F45" w:rsidRDefault="001C6F45">
      <w:pPr>
        <w:rPr>
          <w:b/>
        </w:rPr>
      </w:pPr>
    </w:p>
    <w:p w14:paraId="4C52BEF0" w14:textId="77777777" w:rsidR="00D331EA" w:rsidRDefault="00D331EA">
      <w:pPr>
        <w:rPr>
          <w:b/>
        </w:rPr>
      </w:pPr>
    </w:p>
    <w:p w14:paraId="1D73E677" w14:textId="77777777" w:rsidR="00D331EA" w:rsidRPr="007D2C46" w:rsidRDefault="00D331EA" w:rsidP="007D2C46">
      <w:pPr>
        <w:spacing w:after="0" w:line="360" w:lineRule="auto"/>
        <w:rPr>
          <w:rFonts w:ascii="Times New Roman" w:hAnsi="Times New Roman" w:cs="Times New Roman"/>
          <w:b/>
        </w:rPr>
      </w:pPr>
      <w:r w:rsidRPr="007D2C46">
        <w:rPr>
          <w:rFonts w:ascii="Times New Roman" w:hAnsi="Times New Roman" w:cs="Times New Roman"/>
          <w:b/>
        </w:rPr>
        <w:t>Abstract</w:t>
      </w:r>
    </w:p>
    <w:p w14:paraId="025D1E94" w14:textId="77777777" w:rsidR="00E64EAF" w:rsidRPr="007D2C46" w:rsidRDefault="00E64EAF" w:rsidP="007D2C46">
      <w:pPr>
        <w:spacing w:after="0" w:line="360" w:lineRule="auto"/>
        <w:jc w:val="both"/>
        <w:rPr>
          <w:rFonts w:ascii="Times New Roman" w:hAnsi="Times New Roman" w:cs="Times New Roman"/>
        </w:rPr>
      </w:pPr>
    </w:p>
    <w:p w14:paraId="2938116E" w14:textId="6EBE3FE2" w:rsidR="00F345CB" w:rsidRPr="00E220D8" w:rsidRDefault="006036D9" w:rsidP="007D2C46">
      <w:pPr>
        <w:spacing w:after="0" w:line="360" w:lineRule="auto"/>
        <w:jc w:val="both"/>
        <w:rPr>
          <w:rFonts w:ascii="Times New Roman" w:hAnsi="Times New Roman" w:cs="Times New Roman"/>
        </w:rPr>
      </w:pPr>
      <w:r>
        <w:rPr>
          <w:rFonts w:ascii="Times New Roman" w:hAnsi="Times New Roman" w:cs="Times New Roman"/>
        </w:rPr>
        <w:t xml:space="preserve">The technical </w:t>
      </w:r>
      <w:r w:rsidR="00661F83">
        <w:rPr>
          <w:rFonts w:ascii="Times New Roman" w:hAnsi="Times New Roman" w:cs="Times New Roman"/>
        </w:rPr>
        <w:t xml:space="preserve">coefficient matrices in input-output (IO) models are empirical and thus inherently historical in nature. Numerous methods have been proposed to update these matrices to enable IO models to be more accurate </w:t>
      </w:r>
      <w:r w:rsidR="007C5943">
        <w:rPr>
          <w:rFonts w:ascii="Times New Roman" w:hAnsi="Times New Roman" w:cs="Times New Roman"/>
        </w:rPr>
        <w:t xml:space="preserve">for </w:t>
      </w:r>
      <w:r w:rsidR="00661F83">
        <w:rPr>
          <w:rFonts w:ascii="Times New Roman" w:hAnsi="Times New Roman" w:cs="Times New Roman"/>
        </w:rPr>
        <w:t>forecasting</w:t>
      </w:r>
      <w:r w:rsidR="007C5943">
        <w:rPr>
          <w:rFonts w:ascii="Times New Roman" w:hAnsi="Times New Roman" w:cs="Times New Roman"/>
        </w:rPr>
        <w:t xml:space="preserve"> applications</w:t>
      </w:r>
      <w:r w:rsidR="00661F83">
        <w:rPr>
          <w:rFonts w:ascii="Times New Roman" w:hAnsi="Times New Roman" w:cs="Times New Roman"/>
        </w:rPr>
        <w:t>. In this work</w:t>
      </w:r>
      <w:r w:rsidR="007C5943">
        <w:rPr>
          <w:rFonts w:ascii="Times New Roman" w:hAnsi="Times New Roman" w:cs="Times New Roman"/>
        </w:rPr>
        <w:t>,</w:t>
      </w:r>
      <w:r w:rsidR="00661F83">
        <w:rPr>
          <w:rFonts w:ascii="Times New Roman" w:hAnsi="Times New Roman" w:cs="Times New Roman"/>
        </w:rPr>
        <w:t xml:space="preserve"> we propose a fuzzy linear programming</w:t>
      </w:r>
      <w:r w:rsidR="007C5943">
        <w:rPr>
          <w:rFonts w:ascii="Times New Roman" w:hAnsi="Times New Roman" w:cs="Times New Roman"/>
        </w:rPr>
        <w:t xml:space="preserve"> (FLP)</w:t>
      </w:r>
      <w:r w:rsidR="00661F83">
        <w:rPr>
          <w:rFonts w:ascii="Times New Roman" w:hAnsi="Times New Roman" w:cs="Times New Roman"/>
        </w:rPr>
        <w:t xml:space="preserve"> approach to updating the technical coefficients of IO tables. </w:t>
      </w:r>
      <w:r w:rsidR="0096300D">
        <w:rPr>
          <w:rFonts w:ascii="Times New Roman" w:hAnsi="Times New Roman" w:cs="Times New Roman"/>
        </w:rPr>
        <w:t xml:space="preserve">This method determines the updated set of coefficients by finding the smallest deviation from the previous set of technical coefficients necessary to satisfy updated final demand and total output data. </w:t>
      </w:r>
      <w:r w:rsidR="0096300D" w:rsidRPr="00E220D8">
        <w:rPr>
          <w:rFonts w:ascii="Times New Roman" w:hAnsi="Times New Roman" w:cs="Times New Roman"/>
        </w:rPr>
        <w:t>Tr</w:t>
      </w:r>
      <w:r w:rsidR="00D1722D" w:rsidRPr="00E220D8">
        <w:rPr>
          <w:rFonts w:ascii="Times New Roman" w:hAnsi="Times New Roman" w:cs="Times New Roman"/>
        </w:rPr>
        <w:t>iangular</w:t>
      </w:r>
      <w:r w:rsidR="0096300D" w:rsidRPr="00E220D8">
        <w:rPr>
          <w:rFonts w:ascii="Times New Roman" w:hAnsi="Times New Roman" w:cs="Times New Roman"/>
        </w:rPr>
        <w:t xml:space="preserve"> fuzzy </w:t>
      </w:r>
      <w:r w:rsidR="0096300D">
        <w:rPr>
          <w:rFonts w:ascii="Times New Roman" w:hAnsi="Times New Roman" w:cs="Times New Roman"/>
        </w:rPr>
        <w:t xml:space="preserve">numbers </w:t>
      </w:r>
      <w:r w:rsidR="007C5943">
        <w:rPr>
          <w:rFonts w:ascii="Times New Roman" w:hAnsi="Times New Roman" w:cs="Times New Roman"/>
        </w:rPr>
        <w:t xml:space="preserve">(TFNs) </w:t>
      </w:r>
      <w:r w:rsidR="0096300D">
        <w:rPr>
          <w:rFonts w:ascii="Times New Roman" w:hAnsi="Times New Roman" w:cs="Times New Roman"/>
        </w:rPr>
        <w:t xml:space="preserve">are assumed to define </w:t>
      </w:r>
      <w:r w:rsidR="00B752C7">
        <w:rPr>
          <w:rFonts w:ascii="Times New Roman" w:hAnsi="Times New Roman" w:cs="Times New Roman"/>
        </w:rPr>
        <w:t>the allowable bounds</w:t>
      </w:r>
      <w:r w:rsidR="00661F83">
        <w:rPr>
          <w:rFonts w:ascii="Times New Roman" w:hAnsi="Times New Roman" w:cs="Times New Roman"/>
        </w:rPr>
        <w:t xml:space="preserve"> for updating the coefficients</w:t>
      </w:r>
      <w:r w:rsidR="007C5943">
        <w:rPr>
          <w:rFonts w:ascii="Times New Roman" w:hAnsi="Times New Roman" w:cs="Times New Roman"/>
        </w:rPr>
        <w:t>,</w:t>
      </w:r>
      <w:r w:rsidR="00661F83">
        <w:rPr>
          <w:rFonts w:ascii="Times New Roman" w:hAnsi="Times New Roman" w:cs="Times New Roman"/>
        </w:rPr>
        <w:t xml:space="preserve"> and max-min aggregation is utilized to identify the optimal set of </w:t>
      </w:r>
      <w:r w:rsidR="007C5943">
        <w:rPr>
          <w:rFonts w:ascii="Times New Roman" w:hAnsi="Times New Roman" w:cs="Times New Roman"/>
        </w:rPr>
        <w:t xml:space="preserve">updated technical </w:t>
      </w:r>
      <w:r w:rsidR="00661F83">
        <w:rPr>
          <w:rFonts w:ascii="Times New Roman" w:hAnsi="Times New Roman" w:cs="Times New Roman"/>
        </w:rPr>
        <w:t xml:space="preserve">coefficients. </w:t>
      </w:r>
      <w:r w:rsidR="00B752C7">
        <w:rPr>
          <w:rFonts w:ascii="Times New Roman" w:hAnsi="Times New Roman" w:cs="Times New Roman"/>
        </w:rPr>
        <w:t xml:space="preserve">We demonstrate this methodology </w:t>
      </w:r>
      <w:r w:rsidR="00482D14" w:rsidRPr="00E220D8">
        <w:rPr>
          <w:rFonts w:ascii="Times New Roman" w:hAnsi="Times New Roman" w:cs="Times New Roman"/>
        </w:rPr>
        <w:t xml:space="preserve">on a case study using the Philippine IO data. </w:t>
      </w:r>
    </w:p>
    <w:p w14:paraId="67017982" w14:textId="77777777" w:rsidR="00F345CB" w:rsidRDefault="00F345CB" w:rsidP="007D2C46">
      <w:pPr>
        <w:spacing w:after="0" w:line="360" w:lineRule="auto"/>
        <w:jc w:val="both"/>
        <w:rPr>
          <w:rFonts w:ascii="Times New Roman" w:hAnsi="Times New Roman" w:cs="Times New Roman"/>
        </w:rPr>
      </w:pPr>
    </w:p>
    <w:p w14:paraId="3E9F542E" w14:textId="54FEECCF" w:rsidR="00E64EAF" w:rsidRPr="007D2C46" w:rsidRDefault="00F345CB" w:rsidP="007D2C46">
      <w:pPr>
        <w:spacing w:after="0" w:line="360" w:lineRule="auto"/>
        <w:jc w:val="both"/>
        <w:rPr>
          <w:rFonts w:ascii="Times New Roman" w:hAnsi="Times New Roman" w:cs="Times New Roman"/>
        </w:rPr>
      </w:pPr>
      <w:r>
        <w:rPr>
          <w:rFonts w:ascii="Times New Roman" w:hAnsi="Times New Roman" w:cs="Times New Roman"/>
        </w:rPr>
        <w:t>Keywords: input-output</w:t>
      </w:r>
      <w:r w:rsidR="007C5943">
        <w:rPr>
          <w:rFonts w:ascii="Times New Roman" w:hAnsi="Times New Roman" w:cs="Times New Roman"/>
        </w:rPr>
        <w:t xml:space="preserve"> tables;</w:t>
      </w:r>
      <w:r w:rsidR="00766E07">
        <w:rPr>
          <w:rFonts w:ascii="Times New Roman" w:hAnsi="Times New Roman" w:cs="Times New Roman"/>
        </w:rPr>
        <w:t xml:space="preserve"> </w:t>
      </w:r>
      <w:r w:rsidR="007C5943">
        <w:rPr>
          <w:rFonts w:ascii="Times New Roman" w:hAnsi="Times New Roman" w:cs="Times New Roman"/>
        </w:rPr>
        <w:t xml:space="preserve">technical coefficient </w:t>
      </w:r>
      <w:r w:rsidR="00766E07">
        <w:rPr>
          <w:rFonts w:ascii="Times New Roman" w:hAnsi="Times New Roman" w:cs="Times New Roman"/>
        </w:rPr>
        <w:t>updating</w:t>
      </w:r>
      <w:r w:rsidR="007C5943">
        <w:rPr>
          <w:rFonts w:ascii="Times New Roman" w:hAnsi="Times New Roman" w:cs="Times New Roman"/>
        </w:rPr>
        <w:t>;</w:t>
      </w:r>
      <w:r>
        <w:rPr>
          <w:rFonts w:ascii="Times New Roman" w:hAnsi="Times New Roman" w:cs="Times New Roman"/>
        </w:rPr>
        <w:t xml:space="preserve"> </w:t>
      </w:r>
      <w:r w:rsidR="00766E07">
        <w:rPr>
          <w:rFonts w:ascii="Times New Roman" w:hAnsi="Times New Roman" w:cs="Times New Roman"/>
        </w:rPr>
        <w:t xml:space="preserve">fuzzy linear programming, </w:t>
      </w:r>
    </w:p>
    <w:p w14:paraId="016D4E65" w14:textId="77777777" w:rsidR="00D331EA" w:rsidRPr="007D2C46" w:rsidRDefault="00D331EA" w:rsidP="007D2C46">
      <w:pPr>
        <w:spacing w:after="0" w:line="360" w:lineRule="auto"/>
        <w:rPr>
          <w:rFonts w:ascii="Times New Roman" w:hAnsi="Times New Roman" w:cs="Times New Roman"/>
          <w:b/>
        </w:rPr>
      </w:pPr>
    </w:p>
    <w:p w14:paraId="59651876" w14:textId="77777777" w:rsidR="0046513C" w:rsidRDefault="00D331EA">
      <w:pPr>
        <w:rPr>
          <w:b/>
        </w:rPr>
      </w:pPr>
      <w:r>
        <w:rPr>
          <w:b/>
        </w:rPr>
        <w:t xml:space="preserve"> </w:t>
      </w:r>
    </w:p>
    <w:p w14:paraId="7E6F219C" w14:textId="77777777" w:rsidR="000B3AC6" w:rsidRDefault="000B3AC6">
      <w:pPr>
        <w:rPr>
          <w:b/>
        </w:rPr>
      </w:pPr>
    </w:p>
    <w:p w14:paraId="08694B12" w14:textId="77777777" w:rsidR="000B3AC6" w:rsidRDefault="000B3AC6">
      <w:pPr>
        <w:rPr>
          <w:b/>
        </w:rPr>
      </w:pPr>
    </w:p>
    <w:p w14:paraId="4A71AC82" w14:textId="77777777" w:rsidR="000B3AC6" w:rsidRDefault="000B3AC6">
      <w:pPr>
        <w:rPr>
          <w:b/>
        </w:rPr>
      </w:pPr>
    </w:p>
    <w:p w14:paraId="05F3CF32" w14:textId="77777777" w:rsidR="000B3AC6" w:rsidRDefault="000B3AC6">
      <w:pPr>
        <w:rPr>
          <w:b/>
        </w:rPr>
      </w:pPr>
    </w:p>
    <w:p w14:paraId="75606E14" w14:textId="326ACC5A" w:rsidR="000B3AC6" w:rsidRDefault="000B3AC6">
      <w:pPr>
        <w:rPr>
          <w:b/>
        </w:rPr>
      </w:pPr>
      <w:r>
        <w:rPr>
          <w:b/>
        </w:rPr>
        <w:br w:type="page"/>
      </w:r>
    </w:p>
    <w:p w14:paraId="462E7515" w14:textId="4515250F" w:rsidR="000B3AC6" w:rsidRDefault="000B3AC6" w:rsidP="000B3AC6">
      <w:pPr>
        <w:pStyle w:val="ListParagraph"/>
        <w:numPr>
          <w:ilvl w:val="0"/>
          <w:numId w:val="2"/>
        </w:numPr>
        <w:rPr>
          <w:rFonts w:ascii="Times New Roman" w:hAnsi="Times New Roman" w:cs="Times New Roman"/>
          <w:b/>
        </w:rPr>
      </w:pPr>
      <w:r>
        <w:rPr>
          <w:rFonts w:ascii="Times New Roman" w:hAnsi="Times New Roman" w:cs="Times New Roman"/>
          <w:b/>
        </w:rPr>
        <w:lastRenderedPageBreak/>
        <w:t>Introduction</w:t>
      </w:r>
    </w:p>
    <w:p w14:paraId="2D70916A" w14:textId="77777777" w:rsidR="00383003" w:rsidRDefault="00383003" w:rsidP="00383003">
      <w:pPr>
        <w:pStyle w:val="ListParagraph"/>
        <w:ind w:left="1080"/>
        <w:rPr>
          <w:rFonts w:ascii="Times New Roman" w:hAnsi="Times New Roman" w:cs="Times New Roman"/>
          <w:b/>
        </w:rPr>
      </w:pPr>
    </w:p>
    <w:p w14:paraId="7576EAE3" w14:textId="58109B90" w:rsidR="00503EE0" w:rsidRDefault="00383003" w:rsidP="00D579F9">
      <w:pPr>
        <w:pStyle w:val="ListParagraph"/>
        <w:spacing w:after="0" w:line="360" w:lineRule="auto"/>
        <w:ind w:left="360"/>
        <w:jc w:val="both"/>
        <w:rPr>
          <w:rFonts w:ascii="Times New Roman" w:hAnsi="Times New Roman" w:cs="Times New Roman"/>
        </w:rPr>
      </w:pPr>
      <w:r>
        <w:rPr>
          <w:rFonts w:ascii="Times New Roman" w:hAnsi="Times New Roman" w:cs="Times New Roman"/>
        </w:rPr>
        <w:t xml:space="preserve">The </w:t>
      </w:r>
      <w:r w:rsidR="007C5943">
        <w:rPr>
          <w:rFonts w:ascii="Times New Roman" w:hAnsi="Times New Roman" w:cs="Times New Roman"/>
        </w:rPr>
        <w:t xml:space="preserve">structure </w:t>
      </w:r>
      <w:r>
        <w:rPr>
          <w:rFonts w:ascii="Times New Roman" w:hAnsi="Times New Roman" w:cs="Times New Roman"/>
        </w:rPr>
        <w:t xml:space="preserve">of an economy </w:t>
      </w:r>
      <w:r w:rsidR="007C5943">
        <w:rPr>
          <w:rFonts w:ascii="Times New Roman" w:hAnsi="Times New Roman" w:cs="Times New Roman"/>
        </w:rPr>
        <w:t>is reflected in</w:t>
      </w:r>
      <w:r>
        <w:rPr>
          <w:rFonts w:ascii="Times New Roman" w:hAnsi="Times New Roman" w:cs="Times New Roman"/>
        </w:rPr>
        <w:t xml:space="preserve"> economic transactions </w:t>
      </w:r>
      <w:r w:rsidR="007C5943">
        <w:rPr>
          <w:rFonts w:ascii="Times New Roman" w:hAnsi="Times New Roman" w:cs="Times New Roman"/>
        </w:rPr>
        <w:t>which can be summarized in an</w:t>
      </w:r>
      <w:r>
        <w:rPr>
          <w:rFonts w:ascii="Times New Roman" w:hAnsi="Times New Roman" w:cs="Times New Roman"/>
        </w:rPr>
        <w:t xml:space="preserve"> </w:t>
      </w:r>
      <w:r w:rsidR="007C5943">
        <w:rPr>
          <w:rFonts w:ascii="Times New Roman" w:hAnsi="Times New Roman" w:cs="Times New Roman"/>
        </w:rPr>
        <w:t>i</w:t>
      </w:r>
      <w:r>
        <w:rPr>
          <w:rFonts w:ascii="Times New Roman" w:hAnsi="Times New Roman" w:cs="Times New Roman"/>
        </w:rPr>
        <w:t>nput-</w:t>
      </w:r>
      <w:r w:rsidR="007C5943">
        <w:rPr>
          <w:rFonts w:ascii="Times New Roman" w:hAnsi="Times New Roman" w:cs="Times New Roman"/>
        </w:rPr>
        <w:t>o</w:t>
      </w:r>
      <w:r>
        <w:rPr>
          <w:rFonts w:ascii="Times New Roman" w:hAnsi="Times New Roman" w:cs="Times New Roman"/>
        </w:rPr>
        <w:t xml:space="preserve">utput (IO) </w:t>
      </w:r>
      <w:r w:rsidR="007C5943">
        <w:rPr>
          <w:rFonts w:ascii="Times New Roman" w:hAnsi="Times New Roman" w:cs="Times New Roman"/>
        </w:rPr>
        <w:t>model</w:t>
      </w:r>
      <w:r w:rsidR="00503EE0">
        <w:rPr>
          <w:rFonts w:ascii="Times New Roman" w:hAnsi="Times New Roman" w:cs="Times New Roman"/>
        </w:rPr>
        <w:t xml:space="preserve"> (Leontief, 1936)</w:t>
      </w:r>
      <w:r>
        <w:rPr>
          <w:rFonts w:ascii="Times New Roman" w:hAnsi="Times New Roman" w:cs="Times New Roman"/>
        </w:rPr>
        <w:t xml:space="preserve">. However, completing the IO table of an economy requires </w:t>
      </w:r>
      <w:r w:rsidR="006036D9">
        <w:rPr>
          <w:rFonts w:ascii="Times New Roman" w:hAnsi="Times New Roman" w:cs="Times New Roman"/>
        </w:rPr>
        <w:t xml:space="preserve">significant data collection </w:t>
      </w:r>
      <w:r w:rsidR="007C5943">
        <w:rPr>
          <w:rFonts w:ascii="Times New Roman" w:hAnsi="Times New Roman" w:cs="Times New Roman"/>
        </w:rPr>
        <w:t xml:space="preserve">effort </w:t>
      </w:r>
      <w:r>
        <w:rPr>
          <w:rFonts w:ascii="Times New Roman" w:hAnsi="Times New Roman" w:cs="Times New Roman"/>
        </w:rPr>
        <w:t>and resources</w:t>
      </w:r>
      <w:r w:rsidR="007C5943">
        <w:rPr>
          <w:rFonts w:ascii="Times New Roman" w:hAnsi="Times New Roman" w:cs="Times New Roman"/>
        </w:rPr>
        <w:t>,</w:t>
      </w:r>
      <w:r>
        <w:rPr>
          <w:rFonts w:ascii="Times New Roman" w:hAnsi="Times New Roman" w:cs="Times New Roman"/>
        </w:rPr>
        <w:t xml:space="preserve"> and thus IO tables are often not updated on a yearly basis. </w:t>
      </w:r>
      <w:r w:rsidR="007C5943">
        <w:rPr>
          <w:rFonts w:ascii="Times New Roman" w:hAnsi="Times New Roman" w:cs="Times New Roman"/>
        </w:rPr>
        <w:t xml:space="preserve">This problem is especially pronounced in developing countries, where relatively limited resources are available to government agencies that are tasked with updating </w:t>
      </w:r>
      <w:r w:rsidR="006036D9">
        <w:rPr>
          <w:rFonts w:ascii="Times New Roman" w:hAnsi="Times New Roman" w:cs="Times New Roman"/>
        </w:rPr>
        <w:t>IO</w:t>
      </w:r>
      <w:r w:rsidR="007C5943">
        <w:rPr>
          <w:rFonts w:ascii="Times New Roman" w:hAnsi="Times New Roman" w:cs="Times New Roman"/>
        </w:rPr>
        <w:t xml:space="preserve"> accounts. </w:t>
      </w:r>
      <w:r w:rsidR="00A038A4">
        <w:rPr>
          <w:rFonts w:ascii="Times New Roman" w:hAnsi="Times New Roman" w:cs="Times New Roman"/>
        </w:rPr>
        <w:t>For instance, in the case of the Republic of the Philippines, official 2006 IO tables were only published towards the end of 2013 (</w:t>
      </w:r>
      <w:r w:rsidR="00142589">
        <w:rPr>
          <w:rFonts w:ascii="Times New Roman" w:hAnsi="Times New Roman" w:cs="Times New Roman"/>
        </w:rPr>
        <w:t>PNSCB, 2013</w:t>
      </w:r>
      <w:r w:rsidR="00A038A4">
        <w:rPr>
          <w:rFonts w:ascii="Times New Roman" w:hAnsi="Times New Roman" w:cs="Times New Roman"/>
        </w:rPr>
        <w:t xml:space="preserve">). </w:t>
      </w:r>
      <w:r w:rsidR="006036D9">
        <w:rPr>
          <w:rFonts w:ascii="Times New Roman" w:hAnsi="Times New Roman" w:cs="Times New Roman"/>
        </w:rPr>
        <w:t xml:space="preserve">Furthermore, for countries that publish annual IO data, the year of release is </w:t>
      </w:r>
      <w:r w:rsidR="0048764A">
        <w:rPr>
          <w:rFonts w:ascii="Times New Roman" w:hAnsi="Times New Roman" w:cs="Times New Roman"/>
        </w:rPr>
        <w:t>typically</w:t>
      </w:r>
      <w:r w:rsidR="006036D9">
        <w:rPr>
          <w:rFonts w:ascii="Times New Roman" w:hAnsi="Times New Roman" w:cs="Times New Roman"/>
        </w:rPr>
        <w:t xml:space="preserve"> delayed by about two years</w:t>
      </w:r>
      <w:r w:rsidR="00435625">
        <w:rPr>
          <w:rFonts w:ascii="Times New Roman" w:hAnsi="Times New Roman" w:cs="Times New Roman"/>
        </w:rPr>
        <w:t xml:space="preserve"> (see, for example, BEA 2014)</w:t>
      </w:r>
      <w:r w:rsidR="006036D9">
        <w:rPr>
          <w:rFonts w:ascii="Times New Roman" w:hAnsi="Times New Roman" w:cs="Times New Roman"/>
        </w:rPr>
        <w:t xml:space="preserve">. </w:t>
      </w:r>
      <w:r w:rsidR="00E374CD">
        <w:rPr>
          <w:rFonts w:ascii="Times New Roman" w:hAnsi="Times New Roman" w:cs="Times New Roman"/>
        </w:rPr>
        <w:t xml:space="preserve">However, updated coefficients are essential for more accurate </w:t>
      </w:r>
      <w:r w:rsidR="00503EE0">
        <w:rPr>
          <w:rFonts w:ascii="Times New Roman" w:hAnsi="Times New Roman" w:cs="Times New Roman"/>
        </w:rPr>
        <w:t xml:space="preserve">economic </w:t>
      </w:r>
      <w:r w:rsidR="00E374CD">
        <w:rPr>
          <w:rFonts w:ascii="Times New Roman" w:hAnsi="Times New Roman" w:cs="Times New Roman"/>
        </w:rPr>
        <w:t>forecasting</w:t>
      </w:r>
      <w:r w:rsidR="00503EE0">
        <w:rPr>
          <w:rFonts w:ascii="Times New Roman" w:hAnsi="Times New Roman" w:cs="Times New Roman"/>
        </w:rPr>
        <w:t>, which has led to efforts to develop various updating techniques</w:t>
      </w:r>
      <w:r w:rsidR="00E374CD">
        <w:rPr>
          <w:rFonts w:ascii="Times New Roman" w:hAnsi="Times New Roman" w:cs="Times New Roman"/>
        </w:rPr>
        <w:t xml:space="preserve">. </w:t>
      </w:r>
    </w:p>
    <w:p w14:paraId="10012ABC" w14:textId="77777777" w:rsidR="00503EE0" w:rsidRDefault="00503EE0" w:rsidP="00D579F9">
      <w:pPr>
        <w:pStyle w:val="ListParagraph"/>
        <w:spacing w:after="0" w:line="360" w:lineRule="auto"/>
        <w:ind w:left="360"/>
        <w:jc w:val="both"/>
        <w:rPr>
          <w:rFonts w:ascii="Times New Roman" w:hAnsi="Times New Roman" w:cs="Times New Roman"/>
        </w:rPr>
      </w:pPr>
    </w:p>
    <w:p w14:paraId="27835594" w14:textId="34A66031" w:rsidR="004E01DA" w:rsidRDefault="001164F2" w:rsidP="00D579F9">
      <w:pPr>
        <w:pStyle w:val="ListParagraph"/>
        <w:spacing w:after="0" w:line="360" w:lineRule="auto"/>
        <w:ind w:left="360"/>
        <w:jc w:val="both"/>
        <w:rPr>
          <w:rFonts w:ascii="Times New Roman" w:hAnsi="Times New Roman" w:cs="Times New Roman"/>
        </w:rPr>
      </w:pPr>
      <w:r>
        <w:rPr>
          <w:rFonts w:ascii="Times New Roman" w:hAnsi="Times New Roman" w:cs="Times New Roman"/>
        </w:rPr>
        <w:t xml:space="preserve">Several </w:t>
      </w:r>
      <w:r w:rsidR="00503EE0">
        <w:rPr>
          <w:rFonts w:ascii="Times New Roman" w:hAnsi="Times New Roman" w:cs="Times New Roman"/>
        </w:rPr>
        <w:t xml:space="preserve">quantitative procedures </w:t>
      </w:r>
      <w:r>
        <w:rPr>
          <w:rFonts w:ascii="Times New Roman" w:hAnsi="Times New Roman" w:cs="Times New Roman"/>
        </w:rPr>
        <w:t>for approximating and updating IO table</w:t>
      </w:r>
      <w:r w:rsidR="00503EE0">
        <w:rPr>
          <w:rFonts w:ascii="Times New Roman" w:hAnsi="Times New Roman" w:cs="Times New Roman"/>
        </w:rPr>
        <w:t>s</w:t>
      </w:r>
      <w:r>
        <w:rPr>
          <w:rFonts w:ascii="Times New Roman" w:hAnsi="Times New Roman" w:cs="Times New Roman"/>
        </w:rPr>
        <w:t xml:space="preserve"> have been proposed. </w:t>
      </w:r>
      <w:r w:rsidR="00544F64">
        <w:rPr>
          <w:rFonts w:ascii="Times New Roman" w:hAnsi="Times New Roman" w:cs="Times New Roman"/>
        </w:rPr>
        <w:t>The most popular method i</w:t>
      </w:r>
      <w:r>
        <w:rPr>
          <w:rFonts w:ascii="Times New Roman" w:hAnsi="Times New Roman" w:cs="Times New Roman"/>
        </w:rPr>
        <w:t>s the RAS method (Stone, 1961; Stone and Brown, 1962)</w:t>
      </w:r>
      <w:r w:rsidR="00503EE0">
        <w:rPr>
          <w:rFonts w:ascii="Times New Roman" w:hAnsi="Times New Roman" w:cs="Times New Roman"/>
        </w:rPr>
        <w:t>,</w:t>
      </w:r>
      <w:r>
        <w:rPr>
          <w:rFonts w:ascii="Times New Roman" w:hAnsi="Times New Roman" w:cs="Times New Roman"/>
        </w:rPr>
        <w:t xml:space="preserve"> which identifies absorption (</w:t>
      </w:r>
      <w:r>
        <w:rPr>
          <w:rFonts w:ascii="Times New Roman" w:hAnsi="Times New Roman" w:cs="Times New Roman"/>
          <w:b/>
        </w:rPr>
        <w:t>r</w:t>
      </w:r>
      <w:r w:rsidRPr="001164F2">
        <w:rPr>
          <w:rFonts w:ascii="Times New Roman" w:hAnsi="Times New Roman" w:cs="Times New Roman"/>
        </w:rPr>
        <w:t xml:space="preserve">) </w:t>
      </w:r>
      <w:r>
        <w:rPr>
          <w:rFonts w:ascii="Times New Roman" w:hAnsi="Times New Roman" w:cs="Times New Roman"/>
        </w:rPr>
        <w:t>and fabrication (</w:t>
      </w:r>
      <w:r>
        <w:rPr>
          <w:rFonts w:ascii="Times New Roman" w:hAnsi="Times New Roman" w:cs="Times New Roman"/>
          <w:b/>
        </w:rPr>
        <w:t>s</w:t>
      </w:r>
      <w:r>
        <w:rPr>
          <w:rFonts w:ascii="Times New Roman" w:hAnsi="Times New Roman" w:cs="Times New Roman"/>
        </w:rPr>
        <w:t xml:space="preserve">) factors to adjust the current technical coefficients matrix </w:t>
      </w:r>
      <w:r w:rsidR="00503EE0">
        <w:rPr>
          <w:rFonts w:ascii="Times New Roman" w:hAnsi="Times New Roman" w:cs="Times New Roman"/>
        </w:rPr>
        <w:t xml:space="preserve">and thus </w:t>
      </w:r>
      <w:r w:rsidR="000E5684">
        <w:rPr>
          <w:rFonts w:ascii="Times New Roman" w:hAnsi="Times New Roman" w:cs="Times New Roman"/>
        </w:rPr>
        <w:t xml:space="preserve">make it consistent with known interindustry data </w:t>
      </w:r>
      <w:r w:rsidR="007C1687">
        <w:rPr>
          <w:rFonts w:ascii="Times New Roman" w:hAnsi="Times New Roman" w:cs="Times New Roman"/>
        </w:rPr>
        <w:t>for the year being approximated</w:t>
      </w:r>
      <w:r>
        <w:rPr>
          <w:rFonts w:ascii="Times New Roman" w:hAnsi="Times New Roman" w:cs="Times New Roman"/>
        </w:rPr>
        <w:t>.</w:t>
      </w:r>
      <w:r w:rsidR="00B670AA">
        <w:rPr>
          <w:rFonts w:ascii="Times New Roman" w:hAnsi="Times New Roman" w:cs="Times New Roman"/>
        </w:rPr>
        <w:t xml:space="preserve"> </w:t>
      </w:r>
      <w:r w:rsidR="009056E0">
        <w:rPr>
          <w:rFonts w:ascii="Times New Roman" w:hAnsi="Times New Roman" w:cs="Times New Roman"/>
        </w:rPr>
        <w:t xml:space="preserve">Snower (1990) </w:t>
      </w:r>
      <w:r w:rsidR="00503EE0">
        <w:rPr>
          <w:rFonts w:ascii="Times New Roman" w:hAnsi="Times New Roman" w:cs="Times New Roman"/>
        </w:rPr>
        <w:t xml:space="preserve">on the other hand </w:t>
      </w:r>
      <w:r w:rsidR="009056E0">
        <w:rPr>
          <w:rFonts w:ascii="Times New Roman" w:hAnsi="Times New Roman" w:cs="Times New Roman"/>
        </w:rPr>
        <w:t>propose</w:t>
      </w:r>
      <w:r w:rsidR="00503EE0">
        <w:rPr>
          <w:rFonts w:ascii="Times New Roman" w:hAnsi="Times New Roman" w:cs="Times New Roman"/>
        </w:rPr>
        <w:t>d</w:t>
      </w:r>
      <w:r w:rsidR="009056E0">
        <w:rPr>
          <w:rFonts w:ascii="Times New Roman" w:hAnsi="Times New Roman" w:cs="Times New Roman"/>
        </w:rPr>
        <w:t xml:space="preserve"> the TAU method as an alternative way of updating the IO table</w:t>
      </w:r>
      <w:r w:rsidR="00332AB7">
        <w:rPr>
          <w:rFonts w:ascii="Times New Roman" w:hAnsi="Times New Roman" w:cs="Times New Roman"/>
        </w:rPr>
        <w:t>,</w:t>
      </w:r>
      <w:r w:rsidR="009F2729">
        <w:rPr>
          <w:rFonts w:ascii="Times New Roman" w:hAnsi="Times New Roman" w:cs="Times New Roman"/>
        </w:rPr>
        <w:t xml:space="preserve"> which</w:t>
      </w:r>
      <w:r w:rsidR="009056E0">
        <w:rPr>
          <w:rFonts w:ascii="Times New Roman" w:hAnsi="Times New Roman" w:cs="Times New Roman"/>
        </w:rPr>
        <w:t xml:space="preserve"> </w:t>
      </w:r>
      <w:r w:rsidR="009F2729">
        <w:rPr>
          <w:rFonts w:ascii="Times New Roman" w:hAnsi="Times New Roman" w:cs="Times New Roman"/>
        </w:rPr>
        <w:t>utilizes</w:t>
      </w:r>
      <w:r w:rsidR="00E907F1">
        <w:rPr>
          <w:rFonts w:ascii="Times New Roman" w:hAnsi="Times New Roman" w:cs="Times New Roman"/>
        </w:rPr>
        <w:t xml:space="preserve"> </w:t>
      </w:r>
      <w:r w:rsidR="00472486">
        <w:rPr>
          <w:rFonts w:ascii="Times New Roman" w:hAnsi="Times New Roman" w:cs="Times New Roman"/>
        </w:rPr>
        <w:t xml:space="preserve">equations derived from the static open Leontief models of outputs and prices to </w:t>
      </w:r>
      <w:r w:rsidR="00E907F1">
        <w:rPr>
          <w:rFonts w:ascii="Times New Roman" w:hAnsi="Times New Roman" w:cs="Times New Roman"/>
        </w:rPr>
        <w:t>find better estimates of the technical coefficients.</w:t>
      </w:r>
      <w:r w:rsidR="009056E0">
        <w:rPr>
          <w:rFonts w:ascii="Times New Roman" w:hAnsi="Times New Roman" w:cs="Times New Roman"/>
        </w:rPr>
        <w:t xml:space="preserve">  </w:t>
      </w:r>
      <w:r w:rsidR="00B670AA">
        <w:rPr>
          <w:rFonts w:ascii="Times New Roman" w:hAnsi="Times New Roman" w:cs="Times New Roman"/>
        </w:rPr>
        <w:t xml:space="preserve">More recent developments </w:t>
      </w:r>
      <w:r w:rsidR="00991CDD">
        <w:rPr>
          <w:rFonts w:ascii="Times New Roman" w:hAnsi="Times New Roman" w:cs="Times New Roman"/>
        </w:rPr>
        <w:t>have tried to address the existence of negative entries in the IO table</w:t>
      </w:r>
      <w:r w:rsidR="00503EE0">
        <w:rPr>
          <w:rFonts w:ascii="Times New Roman" w:hAnsi="Times New Roman" w:cs="Times New Roman"/>
        </w:rPr>
        <w:t>,</w:t>
      </w:r>
      <w:r w:rsidR="00991CDD">
        <w:rPr>
          <w:rFonts w:ascii="Times New Roman" w:hAnsi="Times New Roman" w:cs="Times New Roman"/>
        </w:rPr>
        <w:t xml:space="preserve"> such as the </w:t>
      </w:r>
      <w:r w:rsidR="00B670AA">
        <w:rPr>
          <w:rFonts w:ascii="Times New Roman" w:hAnsi="Times New Roman" w:cs="Times New Roman"/>
        </w:rPr>
        <w:t>GRAS model proposed by Junius and Oosterhaven (</w:t>
      </w:r>
      <w:r w:rsidR="00F04A87">
        <w:rPr>
          <w:rFonts w:ascii="Times New Roman" w:hAnsi="Times New Roman" w:cs="Times New Roman"/>
        </w:rPr>
        <w:t xml:space="preserve">2003) </w:t>
      </w:r>
      <w:r w:rsidR="00503EE0">
        <w:rPr>
          <w:rFonts w:ascii="Times New Roman" w:hAnsi="Times New Roman" w:cs="Times New Roman"/>
        </w:rPr>
        <w:t xml:space="preserve">as well as </w:t>
      </w:r>
      <w:r w:rsidR="00F04A87">
        <w:rPr>
          <w:rFonts w:ascii="Times New Roman" w:hAnsi="Times New Roman" w:cs="Times New Roman"/>
        </w:rPr>
        <w:t xml:space="preserve">the </w:t>
      </w:r>
      <w:r w:rsidR="00503EE0">
        <w:rPr>
          <w:rFonts w:ascii="Times New Roman" w:hAnsi="Times New Roman" w:cs="Times New Roman"/>
        </w:rPr>
        <w:t xml:space="preserve">sign preserving absolute differences </w:t>
      </w:r>
      <w:r w:rsidR="00F04A87">
        <w:rPr>
          <w:rFonts w:ascii="Times New Roman" w:hAnsi="Times New Roman" w:cs="Times New Roman"/>
        </w:rPr>
        <w:t xml:space="preserve">(SPAD) </w:t>
      </w:r>
      <w:r w:rsidR="00503EE0">
        <w:rPr>
          <w:rFonts w:ascii="Times New Roman" w:hAnsi="Times New Roman" w:cs="Times New Roman"/>
        </w:rPr>
        <w:t xml:space="preserve">developed </w:t>
      </w:r>
      <w:r w:rsidR="00F04A87">
        <w:rPr>
          <w:rFonts w:ascii="Times New Roman" w:hAnsi="Times New Roman" w:cs="Times New Roman"/>
        </w:rPr>
        <w:t>by Jackson and Murray (2004)</w:t>
      </w:r>
      <w:r w:rsidR="00991CDD">
        <w:rPr>
          <w:rFonts w:ascii="Times New Roman" w:hAnsi="Times New Roman" w:cs="Times New Roman"/>
        </w:rPr>
        <w:t xml:space="preserve">. </w:t>
      </w:r>
      <w:r w:rsidR="00AE58B2">
        <w:rPr>
          <w:rFonts w:ascii="Times New Roman" w:hAnsi="Times New Roman" w:cs="Times New Roman"/>
        </w:rPr>
        <w:t>Strømman (2009) provides an assessment of the tradeoffs between t</w:t>
      </w:r>
      <w:r w:rsidR="00991CDD">
        <w:rPr>
          <w:rFonts w:ascii="Times New Roman" w:hAnsi="Times New Roman" w:cs="Times New Roman"/>
        </w:rPr>
        <w:t>he RAS and the SPAD model</w:t>
      </w:r>
      <w:r w:rsidR="00AE58B2">
        <w:rPr>
          <w:rFonts w:ascii="Times New Roman" w:hAnsi="Times New Roman" w:cs="Times New Roman"/>
        </w:rPr>
        <w:t>.</w:t>
      </w:r>
      <w:r w:rsidR="00503EE0">
        <w:rPr>
          <w:rFonts w:ascii="Times New Roman" w:hAnsi="Times New Roman" w:cs="Times New Roman"/>
        </w:rPr>
        <w:t xml:space="preserve"> Alternatively, linear programming (LP) approaches have been </w:t>
      </w:r>
      <w:r w:rsidR="004D4179">
        <w:rPr>
          <w:rFonts w:ascii="Times New Roman" w:hAnsi="Times New Roman" w:cs="Times New Roman"/>
        </w:rPr>
        <w:t>(Matusz</w:t>
      </w:r>
      <w:r w:rsidR="00503EE0">
        <w:rPr>
          <w:rFonts w:ascii="Times New Roman" w:hAnsi="Times New Roman" w:cs="Times New Roman"/>
        </w:rPr>
        <w:t xml:space="preserve">ewski et al, 1964; </w:t>
      </w:r>
      <w:r w:rsidR="004D4179">
        <w:rPr>
          <w:rFonts w:ascii="Times New Roman" w:hAnsi="Times New Roman" w:cs="Times New Roman"/>
        </w:rPr>
        <w:t>Davis et al., 19</w:t>
      </w:r>
      <w:r w:rsidR="009B549E">
        <w:rPr>
          <w:rFonts w:ascii="Times New Roman" w:hAnsi="Times New Roman" w:cs="Times New Roman"/>
        </w:rPr>
        <w:t>7</w:t>
      </w:r>
      <w:r w:rsidR="004D4179">
        <w:rPr>
          <w:rFonts w:ascii="Times New Roman" w:hAnsi="Times New Roman" w:cs="Times New Roman"/>
        </w:rPr>
        <w:t>7) based on the principle of minimizing total cumulative adjustment of all technical coefficients, relative to the old values, while satisfying the system-wide balance of economic flows.</w:t>
      </w:r>
    </w:p>
    <w:p w14:paraId="0F733A3F" w14:textId="77777777" w:rsidR="004E01DA" w:rsidRDefault="004E01DA" w:rsidP="00D579F9">
      <w:pPr>
        <w:pStyle w:val="ListParagraph"/>
        <w:spacing w:after="0" w:line="360" w:lineRule="auto"/>
        <w:ind w:left="360"/>
        <w:jc w:val="both"/>
        <w:rPr>
          <w:rFonts w:ascii="Times New Roman" w:hAnsi="Times New Roman" w:cs="Times New Roman"/>
        </w:rPr>
      </w:pPr>
    </w:p>
    <w:p w14:paraId="0269D102" w14:textId="7C00F986" w:rsidR="00F27989" w:rsidRDefault="00F27989" w:rsidP="00D579F9">
      <w:pPr>
        <w:pStyle w:val="ListParagraph"/>
        <w:spacing w:after="0" w:line="360" w:lineRule="auto"/>
        <w:ind w:left="360"/>
        <w:jc w:val="both"/>
        <w:rPr>
          <w:rFonts w:ascii="Times New Roman" w:hAnsi="Times New Roman" w:cs="Times New Roman"/>
        </w:rPr>
      </w:pPr>
      <w:r>
        <w:rPr>
          <w:rFonts w:ascii="Times New Roman" w:hAnsi="Times New Roman" w:cs="Times New Roman"/>
        </w:rPr>
        <w:t xml:space="preserve">Other techniques have also been proposed for the subjective estimation of input-output coefficients in the absence of prior data. Saaty and Vargas (1979) demonstrated the use of the analytic hierarchy process (AHP) to estimate the low-resolution input-output data of Sudan. </w:t>
      </w:r>
      <w:r w:rsidR="00490367">
        <w:rPr>
          <w:rFonts w:ascii="Times New Roman" w:hAnsi="Times New Roman" w:cs="Times New Roman"/>
        </w:rPr>
        <w:t>Banai-Kashani (1987) subsequently developed an improved, network-based approach to account for feedback loops. More recently, Landeta et al. (2008) developed a Delphi technique for coefficient estimation.</w:t>
      </w:r>
    </w:p>
    <w:p w14:paraId="39147B96" w14:textId="77777777" w:rsidR="00332AB7" w:rsidRDefault="00332AB7" w:rsidP="00D579F9">
      <w:pPr>
        <w:pStyle w:val="ListParagraph"/>
        <w:spacing w:after="0" w:line="360" w:lineRule="auto"/>
        <w:ind w:left="360"/>
        <w:jc w:val="both"/>
        <w:rPr>
          <w:rFonts w:ascii="Times New Roman" w:hAnsi="Times New Roman" w:cs="Times New Roman"/>
        </w:rPr>
      </w:pPr>
    </w:p>
    <w:p w14:paraId="0B8D0EAD" w14:textId="012E5AF0" w:rsidR="00E42B60" w:rsidRDefault="002264B5" w:rsidP="00E42B60">
      <w:pPr>
        <w:spacing w:after="0" w:line="360" w:lineRule="auto"/>
        <w:ind w:left="360"/>
        <w:jc w:val="both"/>
        <w:rPr>
          <w:rFonts w:ascii="Times New Roman" w:hAnsi="Times New Roman" w:cs="Times New Roman"/>
        </w:rPr>
      </w:pPr>
      <w:r>
        <w:rPr>
          <w:rFonts w:ascii="Times New Roman" w:hAnsi="Times New Roman" w:cs="Times New Roman"/>
        </w:rPr>
        <w:lastRenderedPageBreak/>
        <w:t>The estimation of IO technical coefficients is subject to uncertainties and a methodology which can handle uncertainties in data can be addressed by fuzzy set theory (Zadeh, 1965)</w:t>
      </w:r>
      <w:r w:rsidR="004A49AA">
        <w:rPr>
          <w:rFonts w:ascii="Times New Roman" w:hAnsi="Times New Roman" w:cs="Times New Roman"/>
        </w:rPr>
        <w:t>.</w:t>
      </w:r>
      <w:r w:rsidR="007A1A00">
        <w:rPr>
          <w:rFonts w:ascii="Times New Roman" w:hAnsi="Times New Roman" w:cs="Times New Roman"/>
        </w:rPr>
        <w:t xml:space="preserve"> </w:t>
      </w:r>
      <w:r w:rsidR="004E01DA" w:rsidRPr="004A49AA">
        <w:rPr>
          <w:rFonts w:ascii="Times New Roman" w:hAnsi="Times New Roman" w:cs="Times New Roman"/>
        </w:rPr>
        <w:t>In this paper, a fuzzy linear programming model</w:t>
      </w:r>
      <w:r w:rsidR="00E80149">
        <w:rPr>
          <w:rFonts w:ascii="Times New Roman" w:hAnsi="Times New Roman" w:cs="Times New Roman"/>
        </w:rPr>
        <w:t xml:space="preserve">, which is the fuzzification of the linear model proposed by Davis et al. (1977) and </w:t>
      </w:r>
      <w:r w:rsidR="00E80149" w:rsidRPr="00E80149">
        <w:rPr>
          <w:rFonts w:ascii="Times New Roman" w:hAnsi="Times New Roman" w:cs="Times New Roman"/>
        </w:rPr>
        <w:t>Matuszewski</w:t>
      </w:r>
      <w:r w:rsidR="00E80149">
        <w:rPr>
          <w:rFonts w:ascii="Times New Roman" w:hAnsi="Times New Roman" w:cs="Times New Roman"/>
        </w:rPr>
        <w:t xml:space="preserve"> et al. (1964)</w:t>
      </w:r>
      <w:r w:rsidR="005415AB">
        <w:rPr>
          <w:rFonts w:ascii="Times New Roman" w:hAnsi="Times New Roman" w:cs="Times New Roman"/>
        </w:rPr>
        <w:t>,</w:t>
      </w:r>
      <w:r w:rsidR="004E01DA" w:rsidRPr="00A45955">
        <w:rPr>
          <w:rFonts w:ascii="Times New Roman" w:hAnsi="Times New Roman" w:cs="Times New Roman"/>
        </w:rPr>
        <w:t xml:space="preserve"> is developed </w:t>
      </w:r>
      <w:r w:rsidR="0016075B" w:rsidRPr="00A45955">
        <w:rPr>
          <w:rFonts w:ascii="Times New Roman" w:hAnsi="Times New Roman" w:cs="Times New Roman"/>
        </w:rPr>
        <w:t xml:space="preserve">for updating the IO coefficients taking into consideration expert knowledge on the volatility or consistency of the technical coefficients of economic sectors. </w:t>
      </w:r>
    </w:p>
    <w:p w14:paraId="5E305AB5" w14:textId="77777777" w:rsidR="00E42B60" w:rsidRDefault="00E42B60" w:rsidP="00E42B60">
      <w:pPr>
        <w:spacing w:after="0" w:line="360" w:lineRule="auto"/>
        <w:ind w:left="360"/>
        <w:jc w:val="both"/>
        <w:rPr>
          <w:rFonts w:ascii="Times New Roman" w:hAnsi="Times New Roman" w:cs="Times New Roman"/>
        </w:rPr>
      </w:pPr>
    </w:p>
    <w:p w14:paraId="46FB4FBC" w14:textId="7B089E74" w:rsidR="00217328" w:rsidRDefault="00217328" w:rsidP="00D579F9">
      <w:pPr>
        <w:spacing w:after="0" w:line="360" w:lineRule="auto"/>
        <w:ind w:left="330"/>
        <w:jc w:val="both"/>
        <w:rPr>
          <w:rFonts w:ascii="Times New Roman" w:hAnsi="Times New Roman" w:cs="Times New Roman"/>
        </w:rPr>
      </w:pPr>
      <w:r>
        <w:rPr>
          <w:rFonts w:ascii="Times New Roman" w:hAnsi="Times New Roman" w:cs="Times New Roman"/>
        </w:rPr>
        <w:t>The rest of the paper is organized as follows. The next section provides a formal definition of the problem which is followed by the development of the proposed methodology. It is then followed by a case study to demonstrate the capabilities of the model. Finally, conclusions and recommendations for future work are provided.</w:t>
      </w:r>
    </w:p>
    <w:p w14:paraId="6EE6CF5D" w14:textId="77777777" w:rsidR="00E374CD" w:rsidRPr="00217328" w:rsidRDefault="00E374CD" w:rsidP="00E374CD">
      <w:pPr>
        <w:spacing w:after="0" w:line="240" w:lineRule="auto"/>
        <w:ind w:left="330"/>
        <w:jc w:val="both"/>
        <w:rPr>
          <w:rFonts w:ascii="Times New Roman" w:hAnsi="Times New Roman" w:cs="Times New Roman"/>
        </w:rPr>
      </w:pPr>
    </w:p>
    <w:p w14:paraId="001FE78E" w14:textId="00AE2C16" w:rsidR="00383488" w:rsidRDefault="00383488" w:rsidP="000B3AC6">
      <w:pPr>
        <w:pStyle w:val="ListParagraph"/>
        <w:numPr>
          <w:ilvl w:val="0"/>
          <w:numId w:val="2"/>
        </w:numPr>
        <w:rPr>
          <w:rFonts w:ascii="Times New Roman" w:hAnsi="Times New Roman" w:cs="Times New Roman"/>
          <w:b/>
        </w:rPr>
      </w:pPr>
      <w:r>
        <w:rPr>
          <w:rFonts w:ascii="Times New Roman" w:hAnsi="Times New Roman" w:cs="Times New Roman"/>
          <w:b/>
        </w:rPr>
        <w:t>Problem Statement</w:t>
      </w:r>
    </w:p>
    <w:p w14:paraId="5E6FA686" w14:textId="7F399827" w:rsidR="00383488" w:rsidRDefault="00383488" w:rsidP="00D579F9">
      <w:pPr>
        <w:spacing w:after="0" w:line="360" w:lineRule="auto"/>
        <w:ind w:left="360"/>
        <w:jc w:val="both"/>
        <w:rPr>
          <w:rFonts w:ascii="Times New Roman" w:hAnsi="Times New Roman" w:cs="Times New Roman"/>
        </w:rPr>
      </w:pPr>
      <w:r>
        <w:rPr>
          <w:rFonts w:ascii="Times New Roman" w:hAnsi="Times New Roman" w:cs="Times New Roman"/>
        </w:rPr>
        <w:t xml:space="preserve">Given an economy consisting of </w:t>
      </w:r>
      <w:r>
        <w:rPr>
          <w:rFonts w:ascii="Times New Roman" w:hAnsi="Times New Roman" w:cs="Times New Roman"/>
          <w:i/>
        </w:rPr>
        <w:t>n</w:t>
      </w:r>
      <w:r>
        <w:rPr>
          <w:rFonts w:ascii="Times New Roman" w:hAnsi="Times New Roman" w:cs="Times New Roman"/>
        </w:rPr>
        <w:t xml:space="preserve"> number of sectors, the technical coefficients matrix (</w:t>
      </w:r>
      <w:r w:rsidRPr="00383488">
        <w:rPr>
          <w:rFonts w:ascii="Times New Roman" w:hAnsi="Times New Roman" w:cs="Times New Roman"/>
          <w:b/>
        </w:rPr>
        <w:t>A</w:t>
      </w:r>
      <w:r>
        <w:rPr>
          <w:rFonts w:ascii="Times New Roman" w:hAnsi="Times New Roman" w:cs="Times New Roman"/>
        </w:rPr>
        <w:t xml:space="preserve">) in year </w:t>
      </w:r>
      <w:r>
        <w:rPr>
          <w:rFonts w:ascii="Times New Roman" w:hAnsi="Times New Roman" w:cs="Times New Roman"/>
          <w:i/>
        </w:rPr>
        <w:t>m</w:t>
      </w:r>
      <w:r>
        <w:rPr>
          <w:rFonts w:ascii="Times New Roman" w:hAnsi="Times New Roman" w:cs="Times New Roman"/>
        </w:rPr>
        <w:t xml:space="preserve"> is an </w:t>
      </w:r>
      <w:r>
        <w:rPr>
          <w:rFonts w:ascii="Times New Roman" w:hAnsi="Times New Roman" w:cs="Times New Roman"/>
          <w:i/>
        </w:rPr>
        <w:t>n x n</w:t>
      </w:r>
      <w:r>
        <w:rPr>
          <w:rFonts w:ascii="Times New Roman" w:hAnsi="Times New Roman" w:cs="Times New Roman"/>
        </w:rPr>
        <w:t xml:space="preserve"> matrix where each element is defined by the parameter </w:t>
      </w:r>
      <w:r>
        <w:rPr>
          <w:rFonts w:ascii="Times New Roman" w:hAnsi="Times New Roman" w:cs="Times New Roman"/>
          <w:i/>
        </w:rPr>
        <w:t>a</w:t>
      </w:r>
      <w:r>
        <w:rPr>
          <w:rFonts w:ascii="Times New Roman" w:hAnsi="Times New Roman" w:cs="Times New Roman"/>
          <w:i/>
          <w:vertAlign w:val="subscript"/>
        </w:rPr>
        <w:t>ij</w:t>
      </w:r>
      <w:r w:rsidR="00C869C1">
        <w:rPr>
          <w:rFonts w:ascii="Times New Roman" w:hAnsi="Times New Roman" w:cs="Times New Roman"/>
          <w:i/>
          <w:vertAlign w:val="superscript"/>
        </w:rPr>
        <w:t xml:space="preserve"> </w:t>
      </w:r>
      <w:r w:rsidR="00174928">
        <w:rPr>
          <w:rFonts w:ascii="Times New Roman" w:hAnsi="Times New Roman" w:cs="Times New Roman"/>
        </w:rPr>
        <w:t xml:space="preserve">indicating the contribution of Sector </w:t>
      </w:r>
      <w:r w:rsidR="00174928">
        <w:rPr>
          <w:rFonts w:ascii="Times New Roman" w:hAnsi="Times New Roman" w:cs="Times New Roman"/>
          <w:i/>
        </w:rPr>
        <w:t>i</w:t>
      </w:r>
      <w:r w:rsidR="00174928">
        <w:rPr>
          <w:rFonts w:ascii="Times New Roman" w:hAnsi="Times New Roman" w:cs="Times New Roman"/>
        </w:rPr>
        <w:t xml:space="preserve"> per unit output of Sector </w:t>
      </w:r>
      <w:r w:rsidR="00174928">
        <w:rPr>
          <w:rFonts w:ascii="Times New Roman" w:hAnsi="Times New Roman" w:cs="Times New Roman"/>
          <w:i/>
        </w:rPr>
        <w:t>j</w:t>
      </w:r>
      <w:r>
        <w:rPr>
          <w:rFonts w:ascii="Times New Roman" w:hAnsi="Times New Roman" w:cs="Times New Roman"/>
          <w:i/>
        </w:rPr>
        <w:t xml:space="preserve">. </w:t>
      </w:r>
      <w:r>
        <w:rPr>
          <w:rFonts w:ascii="Times New Roman" w:hAnsi="Times New Roman" w:cs="Times New Roman"/>
        </w:rPr>
        <w:t>The formal problem statement then is to find the updated technical coefficients (</w:t>
      </w:r>
      <w:r w:rsidR="00BC1DC5">
        <w:rPr>
          <w:rFonts w:ascii="Times New Roman" w:hAnsi="Times New Roman" w:cs="Times New Roman"/>
          <w:i/>
        </w:rPr>
        <w:t>a’</w:t>
      </w:r>
      <w:r w:rsidR="00BC1DC5">
        <w:rPr>
          <w:rFonts w:ascii="Times New Roman" w:hAnsi="Times New Roman" w:cs="Times New Roman"/>
          <w:i/>
          <w:vertAlign w:val="subscript"/>
        </w:rPr>
        <w:t>ij</w:t>
      </w:r>
      <w:r>
        <w:rPr>
          <w:rFonts w:ascii="Times New Roman" w:hAnsi="Times New Roman" w:cs="Times New Roman"/>
        </w:rPr>
        <w:t xml:space="preserve">) </w:t>
      </w:r>
      <w:r w:rsidR="00CA12DD">
        <w:rPr>
          <w:rFonts w:ascii="Times New Roman" w:hAnsi="Times New Roman" w:cs="Times New Roman"/>
        </w:rPr>
        <w:t xml:space="preserve">based on </w:t>
      </w:r>
      <w:r w:rsidR="00FF55D8">
        <w:rPr>
          <w:rFonts w:ascii="Times New Roman" w:hAnsi="Times New Roman" w:cs="Times New Roman"/>
        </w:rPr>
        <w:t xml:space="preserve">fuzzy numbers. It is common practice for stylized fuzzy distributions (e.g. triangular or trapezoidal) to facilitate both calibration and subsequent calculations. In this work, triangular fuzzy numbers, which </w:t>
      </w:r>
      <w:r w:rsidR="00FF55D8" w:rsidRPr="00955EB6">
        <w:rPr>
          <w:rFonts w:ascii="Times New Roman" w:hAnsi="Times New Roman" w:cs="Times New Roman"/>
        </w:rPr>
        <w:t>a</w:t>
      </w:r>
      <w:r w:rsidR="00FF55D8">
        <w:rPr>
          <w:rFonts w:ascii="Times New Roman" w:hAnsi="Times New Roman" w:cs="Times New Roman"/>
        </w:rPr>
        <w:t>re defined exogenously through an expert</w:t>
      </w:r>
      <w:r w:rsidR="00B7284E">
        <w:rPr>
          <w:rFonts w:ascii="Times New Roman" w:hAnsi="Times New Roman" w:cs="Times New Roman"/>
        </w:rPr>
        <w:t>’s</w:t>
      </w:r>
      <w:r w:rsidR="00FF55D8">
        <w:rPr>
          <w:rFonts w:ascii="Times New Roman" w:hAnsi="Times New Roman" w:cs="Times New Roman"/>
        </w:rPr>
        <w:t xml:space="preserve"> judgment of an economic sector’s volatility or tendency to change, are utilized to define the membership functions.</w:t>
      </w:r>
    </w:p>
    <w:p w14:paraId="2D2C874A" w14:textId="77777777" w:rsidR="00F944B6" w:rsidRDefault="00F944B6" w:rsidP="00D579F9">
      <w:pPr>
        <w:spacing w:after="0" w:line="360" w:lineRule="auto"/>
        <w:ind w:left="360"/>
        <w:jc w:val="both"/>
        <w:rPr>
          <w:rFonts w:ascii="Times New Roman" w:hAnsi="Times New Roman" w:cs="Times New Roman"/>
        </w:rPr>
      </w:pPr>
    </w:p>
    <w:p w14:paraId="204EF5A8" w14:textId="77777777" w:rsidR="00F944B6" w:rsidRPr="00CA12DD" w:rsidRDefault="00F944B6" w:rsidP="00D579F9">
      <w:pPr>
        <w:spacing w:after="0" w:line="360" w:lineRule="auto"/>
        <w:ind w:left="360"/>
        <w:jc w:val="both"/>
        <w:rPr>
          <w:rFonts w:ascii="Times New Roman" w:hAnsi="Times New Roman" w:cs="Times New Roman"/>
        </w:rPr>
      </w:pPr>
    </w:p>
    <w:p w14:paraId="573B7D06" w14:textId="41FE9080" w:rsidR="000B3AC6" w:rsidRDefault="001D3C63" w:rsidP="000B3AC6">
      <w:pPr>
        <w:pStyle w:val="ListParagraph"/>
        <w:numPr>
          <w:ilvl w:val="0"/>
          <w:numId w:val="2"/>
        </w:numPr>
        <w:rPr>
          <w:rFonts w:ascii="Times New Roman" w:hAnsi="Times New Roman" w:cs="Times New Roman"/>
          <w:b/>
        </w:rPr>
      </w:pPr>
      <w:r>
        <w:rPr>
          <w:rFonts w:ascii="Times New Roman" w:hAnsi="Times New Roman" w:cs="Times New Roman"/>
          <w:b/>
        </w:rPr>
        <w:t>Methodology</w:t>
      </w:r>
    </w:p>
    <w:p w14:paraId="65E94B67" w14:textId="06F2E3B2" w:rsidR="001D3C63" w:rsidRDefault="001D3C63" w:rsidP="00D579F9">
      <w:pPr>
        <w:ind w:left="360"/>
        <w:rPr>
          <w:rFonts w:ascii="Times New Roman" w:hAnsi="Times New Roman" w:cs="Times New Roman"/>
          <w:b/>
        </w:rPr>
      </w:pPr>
      <w:r>
        <w:rPr>
          <w:rFonts w:ascii="Times New Roman" w:hAnsi="Times New Roman" w:cs="Times New Roman"/>
          <w:b/>
        </w:rPr>
        <w:t>Nomenclature</w:t>
      </w:r>
    </w:p>
    <w:p w14:paraId="439A065D" w14:textId="76A01294" w:rsidR="001D3C63" w:rsidRDefault="001D3C63" w:rsidP="00E873E1">
      <w:pPr>
        <w:ind w:firstLine="720"/>
        <w:rPr>
          <w:rFonts w:ascii="Times New Roman" w:hAnsi="Times New Roman" w:cs="Times New Roman"/>
        </w:rPr>
      </w:pPr>
      <w:r>
        <w:rPr>
          <w:rFonts w:ascii="Times New Roman" w:hAnsi="Times New Roman" w:cs="Times New Roman"/>
        </w:rPr>
        <w:t>Sets</w:t>
      </w:r>
    </w:p>
    <w:p w14:paraId="0FB7127D" w14:textId="113FDAE8" w:rsidR="00E873E1" w:rsidRDefault="00D579F9" w:rsidP="00D579F9">
      <w:pPr>
        <w:ind w:left="1440" w:firstLine="72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001D3C63">
        <w:rPr>
          <w:rFonts w:ascii="Times New Roman" w:hAnsi="Times New Roman" w:cs="Times New Roman"/>
        </w:rPr>
        <w:t>set of economic sectors {i|i = 1, 2,… , N}</w:t>
      </w:r>
      <w:r w:rsidR="001D3C63">
        <w:rPr>
          <w:rFonts w:ascii="Times New Roman" w:hAnsi="Times New Roman" w:cs="Times New Roman"/>
        </w:rPr>
        <w:tab/>
      </w:r>
      <w:r w:rsidR="001D3C63">
        <w:rPr>
          <w:rFonts w:ascii="Times New Roman" w:hAnsi="Times New Roman" w:cs="Times New Roman"/>
        </w:rPr>
        <w:tab/>
      </w:r>
    </w:p>
    <w:p w14:paraId="45DCD854" w14:textId="1DC63227" w:rsidR="00E873E1" w:rsidRDefault="00E873E1" w:rsidP="00E873E1">
      <w:pPr>
        <w:rPr>
          <w:rFonts w:ascii="Times New Roman" w:hAnsi="Times New Roman" w:cs="Times New Roman"/>
        </w:rPr>
      </w:pPr>
      <w:r>
        <w:rPr>
          <w:rFonts w:ascii="Times New Roman" w:hAnsi="Times New Roman" w:cs="Times New Roman"/>
        </w:rPr>
        <w:tab/>
        <w:t>Variables</w:t>
      </w: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6678"/>
      </w:tblGrid>
      <w:tr w:rsidR="00E873E1" w14:paraId="040009AB" w14:textId="77777777" w:rsidTr="00D579F9">
        <w:tc>
          <w:tcPr>
            <w:tcW w:w="1440" w:type="dxa"/>
          </w:tcPr>
          <w:p w14:paraId="6770B6F2" w14:textId="0444FE59" w:rsidR="00E873E1" w:rsidRDefault="00E873E1" w:rsidP="00D579F9">
            <w:pPr>
              <w:spacing w:line="360" w:lineRule="auto"/>
              <w:jc w:val="center"/>
              <w:rPr>
                <w:rFonts w:ascii="Times New Roman" w:hAnsi="Times New Roman" w:cs="Times New Roman"/>
              </w:rPr>
            </w:pPr>
            <m:oMathPara>
              <m:oMath>
                <m:r>
                  <w:rPr>
                    <w:rFonts w:ascii="Cambria Math" w:hAnsi="Cambria Math" w:cs="Times New Roman"/>
                  </w:rPr>
                  <m:t>λ</m:t>
                </m:r>
              </m:oMath>
            </m:oMathPara>
          </w:p>
        </w:tc>
        <w:tc>
          <w:tcPr>
            <w:tcW w:w="6678" w:type="dxa"/>
          </w:tcPr>
          <w:p w14:paraId="6A2762A3" w14:textId="716D1B80" w:rsidR="00E873E1" w:rsidRDefault="004076AA" w:rsidP="00D579F9">
            <w:pPr>
              <w:spacing w:line="360" w:lineRule="auto"/>
              <w:rPr>
                <w:rFonts w:ascii="Times New Roman" w:hAnsi="Times New Roman" w:cs="Times New Roman"/>
              </w:rPr>
            </w:pPr>
            <w:r>
              <w:rPr>
                <w:rFonts w:ascii="Times New Roman" w:hAnsi="Times New Roman" w:cs="Times New Roman"/>
              </w:rPr>
              <w:t xml:space="preserve">Over-all </w:t>
            </w:r>
            <w:r w:rsidR="006D27EC">
              <w:rPr>
                <w:rFonts w:ascii="Times New Roman" w:hAnsi="Times New Roman" w:cs="Times New Roman"/>
              </w:rPr>
              <w:t>fuzzy consistency</w:t>
            </w:r>
            <w:r w:rsidR="00E85423">
              <w:rPr>
                <w:rFonts w:ascii="Times New Roman" w:hAnsi="Times New Roman" w:cs="Times New Roman"/>
              </w:rPr>
              <w:t xml:space="preserve"> </w:t>
            </w:r>
          </w:p>
        </w:tc>
      </w:tr>
      <w:tr w:rsidR="004076AA" w14:paraId="487D0933" w14:textId="77777777" w:rsidTr="00D579F9">
        <w:tc>
          <w:tcPr>
            <w:tcW w:w="1440" w:type="dxa"/>
          </w:tcPr>
          <w:p w14:paraId="570FD0A6" w14:textId="62B3BD2B" w:rsidR="004076AA" w:rsidRDefault="00805E0B" w:rsidP="00D579F9">
            <w:pPr>
              <w:spacing w:line="360" w:lineRule="auto"/>
              <w:jc w:val="center"/>
              <w:rPr>
                <w:rFonts w:ascii="Times New Roman" w:eastAsia="Calibri" w:hAnsi="Times New Roman" w:cs="Times New Roman"/>
              </w:rPr>
            </w:pPr>
            <m:oMathPara>
              <m:oMath>
                <m:sSub>
                  <m:sSubPr>
                    <m:ctrlPr>
                      <w:rPr>
                        <w:rFonts w:ascii="Cambria Math" w:eastAsia="Calibri" w:hAnsi="Cambria Math" w:cs="Times New Roman"/>
                        <w:i/>
                      </w:rPr>
                    </m:ctrlPr>
                  </m:sSubPr>
                  <m:e>
                    <m:r>
                      <w:rPr>
                        <w:rFonts w:ascii="Cambria Math" w:eastAsia="Calibri" w:hAnsi="Cambria Math" w:cs="Times New Roman"/>
                      </w:rPr>
                      <m:t>λ</m:t>
                    </m:r>
                  </m:e>
                  <m:sub>
                    <m:r>
                      <w:rPr>
                        <w:rFonts w:ascii="Cambria Math" w:eastAsia="Calibri" w:hAnsi="Cambria Math" w:cs="Times New Roman"/>
                      </w:rPr>
                      <m:t>ij</m:t>
                    </m:r>
                  </m:sub>
                </m:sSub>
              </m:oMath>
            </m:oMathPara>
          </w:p>
        </w:tc>
        <w:tc>
          <w:tcPr>
            <w:tcW w:w="6678" w:type="dxa"/>
          </w:tcPr>
          <w:p w14:paraId="14C4444D" w14:textId="246CF3CA" w:rsidR="004076AA" w:rsidRDefault="004076AA" w:rsidP="00D579F9">
            <w:pPr>
              <w:spacing w:line="360" w:lineRule="auto"/>
              <w:rPr>
                <w:rFonts w:ascii="Times New Roman" w:hAnsi="Times New Roman" w:cs="Times New Roman"/>
              </w:rPr>
            </w:pPr>
            <w:r>
              <w:rPr>
                <w:rFonts w:ascii="Times New Roman" w:hAnsi="Times New Roman" w:cs="Times New Roman"/>
              </w:rPr>
              <w:t>Individual consistency indices</w:t>
            </w:r>
          </w:p>
        </w:tc>
      </w:tr>
      <w:tr w:rsidR="00E873E1" w14:paraId="741B5EC5" w14:textId="77777777" w:rsidTr="00D579F9">
        <w:tc>
          <w:tcPr>
            <w:tcW w:w="1440" w:type="dxa"/>
          </w:tcPr>
          <w:p w14:paraId="107FA1AB" w14:textId="3559A724" w:rsidR="00E873E1" w:rsidRDefault="00805E0B" w:rsidP="00D579F9">
            <w:pPr>
              <w:spacing w:line="360"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ij</m:t>
                    </m:r>
                  </m:sub>
                </m:sSub>
              </m:oMath>
            </m:oMathPara>
          </w:p>
        </w:tc>
        <w:tc>
          <w:tcPr>
            <w:tcW w:w="6678" w:type="dxa"/>
          </w:tcPr>
          <w:p w14:paraId="0B69C79C" w14:textId="7CEF7034" w:rsidR="00E873E1" w:rsidRDefault="006D27EC" w:rsidP="00D579F9">
            <w:pPr>
              <w:spacing w:line="360" w:lineRule="auto"/>
              <w:rPr>
                <w:rFonts w:ascii="Times New Roman" w:hAnsi="Times New Roman" w:cs="Times New Roman"/>
              </w:rPr>
            </w:pPr>
            <w:r>
              <w:rPr>
                <w:rFonts w:ascii="Times New Roman" w:hAnsi="Times New Roman" w:cs="Times New Roman"/>
              </w:rPr>
              <w:t xml:space="preserve">updated </w:t>
            </w:r>
            <w:r w:rsidR="001C2767">
              <w:rPr>
                <w:rFonts w:ascii="Times New Roman" w:hAnsi="Times New Roman" w:cs="Times New Roman"/>
              </w:rPr>
              <w:t xml:space="preserve">technical </w:t>
            </w:r>
            <w:r>
              <w:rPr>
                <w:rFonts w:ascii="Times New Roman" w:hAnsi="Times New Roman" w:cs="Times New Roman"/>
              </w:rPr>
              <w:t>coefficient</w:t>
            </w:r>
            <w:r w:rsidR="001C2767">
              <w:rPr>
                <w:rFonts w:ascii="Times New Roman" w:hAnsi="Times New Roman" w:cs="Times New Roman"/>
              </w:rPr>
              <w:t xml:space="preserve"> for the input of Sector </w:t>
            </w:r>
            <w:r w:rsidR="001C2767" w:rsidRPr="001C2767">
              <w:rPr>
                <w:rFonts w:ascii="Times New Roman" w:hAnsi="Times New Roman" w:cs="Times New Roman"/>
                <w:i/>
              </w:rPr>
              <w:t>i</w:t>
            </w:r>
            <w:r w:rsidR="001C2767">
              <w:rPr>
                <w:rFonts w:ascii="Times New Roman" w:hAnsi="Times New Roman" w:cs="Times New Roman"/>
              </w:rPr>
              <w:t xml:space="preserve"> into Sector </w:t>
            </w:r>
            <w:r w:rsidR="001C2767" w:rsidRPr="001C2767">
              <w:rPr>
                <w:rFonts w:ascii="Times New Roman" w:hAnsi="Times New Roman" w:cs="Times New Roman"/>
                <w:i/>
              </w:rPr>
              <w:t>j</w:t>
            </w:r>
          </w:p>
        </w:tc>
      </w:tr>
      <w:tr w:rsidR="001C2767" w14:paraId="0F063D9A" w14:textId="77777777" w:rsidTr="00D579F9">
        <w:tc>
          <w:tcPr>
            <w:tcW w:w="1440" w:type="dxa"/>
          </w:tcPr>
          <w:p w14:paraId="2BDB999D" w14:textId="4B6DEDD0" w:rsidR="001C2767" w:rsidRPr="001C2767" w:rsidRDefault="00BC1DC5" w:rsidP="00D579F9">
            <w:pPr>
              <w:spacing w:line="360" w:lineRule="auto"/>
              <w:jc w:val="center"/>
              <w:rPr>
                <w:rFonts w:ascii="Times New Roman" w:eastAsia="Calibri" w:hAnsi="Times New Roman" w:cs="Times New Roman"/>
                <w:b/>
              </w:rPr>
            </w:pPr>
            <w:r>
              <w:rPr>
                <w:rFonts w:ascii="Times New Roman" w:eastAsia="Calibri" w:hAnsi="Times New Roman" w:cs="Times New Roman"/>
                <w:b/>
              </w:rPr>
              <w:t>A’</w:t>
            </w:r>
          </w:p>
        </w:tc>
        <w:tc>
          <w:tcPr>
            <w:tcW w:w="6678" w:type="dxa"/>
          </w:tcPr>
          <w:p w14:paraId="22A0D489" w14:textId="387637B3" w:rsidR="001C2767" w:rsidRPr="001C2767" w:rsidRDefault="001C2767" w:rsidP="00CB65AD">
            <w:pPr>
              <w:spacing w:line="360" w:lineRule="auto"/>
              <w:rPr>
                <w:rFonts w:ascii="Times New Roman" w:hAnsi="Times New Roman" w:cs="Times New Roman"/>
              </w:rPr>
            </w:pPr>
            <w:r>
              <w:rPr>
                <w:rFonts w:ascii="Times New Roman" w:hAnsi="Times New Roman" w:cs="Times New Roman"/>
              </w:rPr>
              <w:t xml:space="preserve">Updated coefficient’s </w:t>
            </w:r>
            <w:r w:rsidRPr="001C2767">
              <w:rPr>
                <w:rFonts w:ascii="Times New Roman" w:hAnsi="Times New Roman" w:cs="Times New Roman"/>
                <w:i/>
              </w:rPr>
              <w:t xml:space="preserve">n x n </w:t>
            </w:r>
            <w:r>
              <w:rPr>
                <w:rFonts w:ascii="Times New Roman" w:hAnsi="Times New Roman" w:cs="Times New Roman"/>
              </w:rPr>
              <w:t xml:space="preserve">matrix with elements </w:t>
            </w:r>
            <w:r w:rsidR="00CB65AD">
              <w:rPr>
                <w:rFonts w:ascii="Times New Roman" w:hAnsi="Times New Roman" w:cs="Times New Roman"/>
                <w:i/>
              </w:rPr>
              <w:t>a’</w:t>
            </w:r>
            <w:r w:rsidR="00CB65AD">
              <w:rPr>
                <w:rFonts w:ascii="Times New Roman" w:hAnsi="Times New Roman" w:cs="Times New Roman"/>
                <w:i/>
                <w:vertAlign w:val="subscript"/>
              </w:rPr>
              <w:t>ij</w:t>
            </w:r>
          </w:p>
        </w:tc>
      </w:tr>
    </w:tbl>
    <w:p w14:paraId="265AA26D" w14:textId="77777777" w:rsidR="00E873E1" w:rsidRDefault="00E873E1" w:rsidP="0090459B">
      <w:pPr>
        <w:rPr>
          <w:rFonts w:ascii="Times New Roman" w:hAnsi="Times New Roman" w:cs="Times New Roman"/>
          <w:b/>
        </w:rPr>
      </w:pPr>
    </w:p>
    <w:p w14:paraId="3289D418" w14:textId="693A919B" w:rsidR="0090459B" w:rsidRDefault="001D3C63" w:rsidP="0090459B">
      <w:pPr>
        <w:rPr>
          <w:rFonts w:ascii="Times New Roman" w:hAnsi="Times New Roman" w:cs="Times New Roman"/>
        </w:rPr>
      </w:pPr>
      <w:r>
        <w:rPr>
          <w:rFonts w:ascii="Times New Roman" w:hAnsi="Times New Roman" w:cs="Times New Roman"/>
          <w:b/>
        </w:rPr>
        <w:lastRenderedPageBreak/>
        <w:t xml:space="preserve"> </w:t>
      </w:r>
      <w:r w:rsidR="00E873E1">
        <w:rPr>
          <w:rFonts w:ascii="Times New Roman" w:hAnsi="Times New Roman" w:cs="Times New Roman"/>
          <w:b/>
        </w:rPr>
        <w:tab/>
      </w:r>
      <w:r>
        <w:rPr>
          <w:rFonts w:ascii="Times New Roman" w:hAnsi="Times New Roman" w:cs="Times New Roman"/>
        </w:rPr>
        <w:t>Parameters</w:t>
      </w: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6678"/>
      </w:tblGrid>
      <w:tr w:rsidR="001D3C63" w14:paraId="6D99402F" w14:textId="77777777" w:rsidTr="00D579F9">
        <w:tc>
          <w:tcPr>
            <w:tcW w:w="1440" w:type="dxa"/>
          </w:tcPr>
          <w:p w14:paraId="6E1F8DA1" w14:textId="6512C31A" w:rsidR="001D3C63" w:rsidRDefault="00805E0B" w:rsidP="00D579F9">
            <w:pPr>
              <w:spacing w:line="360" w:lineRule="auto"/>
              <w:rPr>
                <w:rFonts w:ascii="Times New Roman" w:hAnsi="Times New Roman" w:cs="Times New Roman"/>
              </w:rPr>
            </w:pPr>
            <m:oMathPara>
              <m:oMath>
                <m:sSubSup>
                  <m:sSubSupPr>
                    <m:ctrlPr>
                      <w:rPr>
                        <w:rFonts w:ascii="Cambria Math" w:hAnsi="Cambria Math" w:cs="Times New Roman"/>
                        <w:i/>
                      </w:rPr>
                    </m:ctrlPr>
                  </m:sSubSupPr>
                  <m:e>
                    <m:r>
                      <w:rPr>
                        <w:rFonts w:ascii="Cambria Math" w:hAnsi="Cambria Math" w:cs="Times New Roman"/>
                      </w:rPr>
                      <m:t>a</m:t>
                    </m:r>
                  </m:e>
                  <m:sub>
                    <m:r>
                      <w:rPr>
                        <w:rFonts w:ascii="Cambria Math" w:hAnsi="Cambria Math" w:cs="Times New Roman"/>
                      </w:rPr>
                      <m:t>ij</m:t>
                    </m:r>
                  </m:sub>
                  <m:sup/>
                </m:sSubSup>
              </m:oMath>
            </m:oMathPara>
          </w:p>
        </w:tc>
        <w:tc>
          <w:tcPr>
            <w:tcW w:w="6678" w:type="dxa"/>
          </w:tcPr>
          <w:p w14:paraId="4B894E9A" w14:textId="46E3B650" w:rsidR="001D3C63" w:rsidRDefault="001C2767" w:rsidP="00D579F9">
            <w:pPr>
              <w:spacing w:line="360" w:lineRule="auto"/>
              <w:rPr>
                <w:rFonts w:ascii="Times New Roman" w:hAnsi="Times New Roman" w:cs="Times New Roman"/>
              </w:rPr>
            </w:pPr>
            <w:r>
              <w:rPr>
                <w:rFonts w:ascii="Times New Roman" w:hAnsi="Times New Roman" w:cs="Times New Roman"/>
              </w:rPr>
              <w:t xml:space="preserve">Known technical coefficient which indicates the </w:t>
            </w:r>
            <w:r w:rsidR="001D3C63">
              <w:rPr>
                <w:rFonts w:ascii="Times New Roman" w:hAnsi="Times New Roman" w:cs="Times New Roman"/>
              </w:rPr>
              <w:t xml:space="preserve">relative contribution of Sector </w:t>
            </w:r>
            <w:r w:rsidR="001D3C63" w:rsidRPr="001C2767">
              <w:rPr>
                <w:rFonts w:ascii="Times New Roman" w:hAnsi="Times New Roman" w:cs="Times New Roman"/>
                <w:i/>
              </w:rPr>
              <w:t>i</w:t>
            </w:r>
            <w:r w:rsidR="001D3C63">
              <w:rPr>
                <w:rFonts w:ascii="Times New Roman" w:hAnsi="Times New Roman" w:cs="Times New Roman"/>
              </w:rPr>
              <w:t xml:space="preserve"> </w:t>
            </w:r>
            <w:r w:rsidR="00174928">
              <w:rPr>
                <w:rFonts w:ascii="Times New Roman" w:hAnsi="Times New Roman" w:cs="Times New Roman"/>
              </w:rPr>
              <w:t>per unit output of</w:t>
            </w:r>
            <w:r w:rsidR="001D3C63">
              <w:rPr>
                <w:rFonts w:ascii="Times New Roman" w:hAnsi="Times New Roman" w:cs="Times New Roman"/>
              </w:rPr>
              <w:t xml:space="preserve"> Sector </w:t>
            </w:r>
            <w:r w:rsidR="001D3C63" w:rsidRPr="001C2767">
              <w:rPr>
                <w:rFonts w:ascii="Times New Roman" w:hAnsi="Times New Roman" w:cs="Times New Roman"/>
                <w:i/>
              </w:rPr>
              <w:t>j</w:t>
            </w:r>
          </w:p>
        </w:tc>
      </w:tr>
      <w:tr w:rsidR="001D3C63" w14:paraId="63824C88" w14:textId="77777777" w:rsidTr="00D579F9">
        <w:tc>
          <w:tcPr>
            <w:tcW w:w="1440" w:type="dxa"/>
          </w:tcPr>
          <w:p w14:paraId="2B404DE7" w14:textId="771EF967" w:rsidR="001D3C63" w:rsidRDefault="00805E0B" w:rsidP="00D579F9">
            <w:pPr>
              <w:spacing w:line="360" w:lineRule="auto"/>
              <w:rPr>
                <w:rFonts w:ascii="Times New Roman" w:hAnsi="Times New Roman" w:cs="Times New Roman"/>
              </w:rPr>
            </w:pPr>
            <m:oMathPara>
              <m:oMath>
                <m:sSubSup>
                  <m:sSubSupPr>
                    <m:ctrlPr>
                      <w:rPr>
                        <w:rFonts w:ascii="Cambria Math" w:hAnsi="Cambria Math" w:cs="Times New Roman"/>
                        <w:i/>
                      </w:rPr>
                    </m:ctrlPr>
                  </m:sSubSupPr>
                  <m:e>
                    <m:r>
                      <w:rPr>
                        <w:rFonts w:ascii="Cambria Math" w:hAnsi="Cambria Math" w:cs="Times New Roman"/>
                      </w:rPr>
                      <m:t>a</m:t>
                    </m:r>
                  </m:e>
                  <m:sub>
                    <m:r>
                      <w:rPr>
                        <w:rFonts w:ascii="Cambria Math" w:hAnsi="Cambria Math" w:cs="Times New Roman"/>
                      </w:rPr>
                      <m:t>ij</m:t>
                    </m:r>
                  </m:sub>
                  <m:sup>
                    <m:r>
                      <w:rPr>
                        <w:rFonts w:ascii="Cambria Math" w:hAnsi="Cambria Math" w:cs="Times New Roman"/>
                      </w:rPr>
                      <m:t>U</m:t>
                    </m:r>
                  </m:sup>
                </m:sSubSup>
              </m:oMath>
            </m:oMathPara>
          </w:p>
        </w:tc>
        <w:tc>
          <w:tcPr>
            <w:tcW w:w="6678" w:type="dxa"/>
          </w:tcPr>
          <w:p w14:paraId="5CF95016" w14:textId="20FA8570" w:rsidR="001D3C63" w:rsidRDefault="001D3C63" w:rsidP="00D579F9">
            <w:pPr>
              <w:spacing w:line="360" w:lineRule="auto"/>
              <w:rPr>
                <w:rFonts w:ascii="Times New Roman" w:hAnsi="Times New Roman" w:cs="Times New Roman"/>
              </w:rPr>
            </w:pPr>
            <w:r>
              <w:rPr>
                <w:rFonts w:ascii="Times New Roman" w:hAnsi="Times New Roman" w:cs="Times New Roman"/>
              </w:rPr>
              <w:t xml:space="preserve">the upper limit of the triangular </w:t>
            </w:r>
            <w:r w:rsidR="00E873E1">
              <w:rPr>
                <w:rFonts w:ascii="Times New Roman" w:hAnsi="Times New Roman" w:cs="Times New Roman"/>
              </w:rPr>
              <w:t xml:space="preserve">fuzzy </w:t>
            </w:r>
            <w:r>
              <w:rPr>
                <w:rFonts w:ascii="Times New Roman" w:hAnsi="Times New Roman" w:cs="Times New Roman"/>
              </w:rPr>
              <w:t xml:space="preserve">number associated with the technical coefficient </w:t>
            </w: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ij</m:t>
                  </m:r>
                </m:sub>
              </m:sSub>
            </m:oMath>
          </w:p>
        </w:tc>
      </w:tr>
      <w:tr w:rsidR="001D3C63" w14:paraId="43A89E33" w14:textId="77777777" w:rsidTr="00D579F9">
        <w:tc>
          <w:tcPr>
            <w:tcW w:w="1440" w:type="dxa"/>
          </w:tcPr>
          <w:p w14:paraId="18BEF6DE" w14:textId="0B63853E" w:rsidR="001D3C63" w:rsidRDefault="00805E0B" w:rsidP="00D579F9">
            <w:pPr>
              <w:spacing w:line="360" w:lineRule="auto"/>
              <w:rPr>
                <w:rFonts w:ascii="Times New Roman" w:hAnsi="Times New Roman" w:cs="Times New Roman"/>
              </w:rPr>
            </w:pPr>
            <m:oMathPara>
              <m:oMath>
                <m:sSubSup>
                  <m:sSubSupPr>
                    <m:ctrlPr>
                      <w:rPr>
                        <w:rFonts w:ascii="Cambria Math" w:hAnsi="Cambria Math" w:cs="Times New Roman"/>
                        <w:i/>
                      </w:rPr>
                    </m:ctrlPr>
                  </m:sSubSupPr>
                  <m:e>
                    <m:r>
                      <w:rPr>
                        <w:rFonts w:ascii="Cambria Math" w:hAnsi="Cambria Math" w:cs="Times New Roman"/>
                      </w:rPr>
                      <m:t>a</m:t>
                    </m:r>
                  </m:e>
                  <m:sub>
                    <m:r>
                      <w:rPr>
                        <w:rFonts w:ascii="Cambria Math" w:hAnsi="Cambria Math" w:cs="Times New Roman"/>
                      </w:rPr>
                      <m:t>ij</m:t>
                    </m:r>
                  </m:sub>
                  <m:sup>
                    <m:r>
                      <w:rPr>
                        <w:rFonts w:ascii="Cambria Math" w:hAnsi="Cambria Math" w:cs="Times New Roman"/>
                      </w:rPr>
                      <m:t>L</m:t>
                    </m:r>
                  </m:sup>
                </m:sSubSup>
              </m:oMath>
            </m:oMathPara>
          </w:p>
        </w:tc>
        <w:tc>
          <w:tcPr>
            <w:tcW w:w="6678" w:type="dxa"/>
          </w:tcPr>
          <w:p w14:paraId="711166FB" w14:textId="2B49AEF3" w:rsidR="001D3C63" w:rsidRDefault="001D3C63" w:rsidP="00D579F9">
            <w:pPr>
              <w:spacing w:line="360" w:lineRule="auto"/>
              <w:rPr>
                <w:rFonts w:ascii="Times New Roman" w:hAnsi="Times New Roman" w:cs="Times New Roman"/>
              </w:rPr>
            </w:pPr>
            <w:r>
              <w:rPr>
                <w:rFonts w:ascii="Times New Roman" w:hAnsi="Times New Roman" w:cs="Times New Roman"/>
              </w:rPr>
              <w:t>the lower limit</w:t>
            </w:r>
            <w:r w:rsidR="00E873E1">
              <w:rPr>
                <w:rFonts w:ascii="Times New Roman" w:hAnsi="Times New Roman" w:cs="Times New Roman"/>
              </w:rPr>
              <w:t xml:space="preserve"> of the triangular fuzzy number associated with the technical coefficient </w:t>
            </w: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ij</m:t>
                  </m:r>
                </m:sub>
              </m:sSub>
            </m:oMath>
          </w:p>
        </w:tc>
      </w:tr>
      <w:tr w:rsidR="001C2767" w14:paraId="432A16D1" w14:textId="77777777" w:rsidTr="00D579F9">
        <w:tc>
          <w:tcPr>
            <w:tcW w:w="1440" w:type="dxa"/>
          </w:tcPr>
          <w:p w14:paraId="38AE5645" w14:textId="0591619D" w:rsidR="001C2767" w:rsidRPr="001C2767" w:rsidRDefault="001C2767" w:rsidP="00D579F9">
            <w:pPr>
              <w:spacing w:line="360" w:lineRule="auto"/>
              <w:jc w:val="center"/>
              <w:rPr>
                <w:rFonts w:ascii="Times New Roman" w:eastAsia="Calibri" w:hAnsi="Times New Roman" w:cs="Times New Roman"/>
                <w:b/>
              </w:rPr>
            </w:pPr>
            <w:r>
              <w:rPr>
                <w:rFonts w:ascii="Times New Roman" w:eastAsia="Calibri" w:hAnsi="Times New Roman" w:cs="Times New Roman"/>
                <w:b/>
              </w:rPr>
              <w:t>A</w:t>
            </w:r>
          </w:p>
        </w:tc>
        <w:tc>
          <w:tcPr>
            <w:tcW w:w="6678" w:type="dxa"/>
          </w:tcPr>
          <w:p w14:paraId="1330689D" w14:textId="79D633DD" w:rsidR="001C2767" w:rsidRPr="001C2767" w:rsidRDefault="001C2767" w:rsidP="00D579F9">
            <w:pPr>
              <w:spacing w:line="360" w:lineRule="auto"/>
              <w:rPr>
                <w:rFonts w:ascii="Times New Roman" w:hAnsi="Times New Roman" w:cs="Times New Roman"/>
                <w:i/>
                <w:vertAlign w:val="subscript"/>
              </w:rPr>
            </w:pPr>
            <w:r>
              <w:rPr>
                <w:rFonts w:ascii="Times New Roman" w:hAnsi="Times New Roman" w:cs="Times New Roman"/>
              </w:rPr>
              <w:t xml:space="preserve">Technical coefficient matrix with elements </w:t>
            </w: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ij</m:t>
                  </m:r>
                </m:sub>
              </m:sSub>
            </m:oMath>
          </w:p>
        </w:tc>
      </w:tr>
      <w:tr w:rsidR="001C2767" w14:paraId="77592C32" w14:textId="77777777" w:rsidTr="00D579F9">
        <w:tc>
          <w:tcPr>
            <w:tcW w:w="1440" w:type="dxa"/>
          </w:tcPr>
          <w:p w14:paraId="5560E483" w14:textId="4561B052" w:rsidR="001C2767" w:rsidRPr="001C2767" w:rsidRDefault="00805E0B" w:rsidP="00D579F9">
            <w:pPr>
              <w:spacing w:line="360" w:lineRule="auto"/>
              <w:jc w:val="center"/>
              <w:rPr>
                <w:rFonts w:ascii="Times New Roman" w:eastAsia="Calibri" w:hAnsi="Times New Roman" w:cs="Times New Roman"/>
              </w:rPr>
            </w:pPr>
            <m:oMathPara>
              <m:oMath>
                <m:sSub>
                  <m:sSubPr>
                    <m:ctrlPr>
                      <w:rPr>
                        <w:rFonts w:ascii="Cambria Math" w:eastAsia="Calibri" w:hAnsi="Cambria Math" w:cs="Times New Roman"/>
                        <w:i/>
                      </w:rPr>
                    </m:ctrlPr>
                  </m:sSubPr>
                  <m:e>
                    <m:r>
                      <w:rPr>
                        <w:rFonts w:ascii="Cambria Math" w:eastAsia="Calibri" w:hAnsi="Cambria Math" w:cs="Times New Roman"/>
                      </w:rPr>
                      <m:t>x</m:t>
                    </m:r>
                  </m:e>
                  <m:sub>
                    <m:r>
                      <w:rPr>
                        <w:rFonts w:ascii="Cambria Math" w:eastAsia="Calibri" w:hAnsi="Cambria Math" w:cs="Times New Roman"/>
                      </w:rPr>
                      <m:t>i</m:t>
                    </m:r>
                  </m:sub>
                </m:sSub>
              </m:oMath>
            </m:oMathPara>
          </w:p>
        </w:tc>
        <w:tc>
          <w:tcPr>
            <w:tcW w:w="6678" w:type="dxa"/>
          </w:tcPr>
          <w:p w14:paraId="012B5B46" w14:textId="042B47FD" w:rsidR="001C2767" w:rsidRPr="001C2767" w:rsidRDefault="001C2767" w:rsidP="00D579F9">
            <w:pPr>
              <w:spacing w:line="360" w:lineRule="auto"/>
              <w:rPr>
                <w:rFonts w:ascii="Times New Roman" w:hAnsi="Times New Roman" w:cs="Times New Roman"/>
              </w:rPr>
            </w:pPr>
            <w:r>
              <w:rPr>
                <w:rFonts w:ascii="Times New Roman" w:hAnsi="Times New Roman" w:cs="Times New Roman"/>
              </w:rPr>
              <w:t xml:space="preserve">Total output of Sector </w:t>
            </w:r>
            <w:r>
              <w:rPr>
                <w:rFonts w:ascii="Times New Roman" w:hAnsi="Times New Roman" w:cs="Times New Roman"/>
                <w:i/>
              </w:rPr>
              <w:t>i</w:t>
            </w:r>
            <w:r>
              <w:rPr>
                <w:rFonts w:ascii="Times New Roman" w:hAnsi="Times New Roman" w:cs="Times New Roman"/>
              </w:rPr>
              <w:t xml:space="preserve"> in target year</w:t>
            </w:r>
          </w:p>
        </w:tc>
      </w:tr>
      <w:tr w:rsidR="001C2767" w14:paraId="3AAA932A" w14:textId="77777777" w:rsidTr="00D579F9">
        <w:tc>
          <w:tcPr>
            <w:tcW w:w="1440" w:type="dxa"/>
          </w:tcPr>
          <w:p w14:paraId="5314F197" w14:textId="55F91D66" w:rsidR="001C2767" w:rsidRPr="001C2767" w:rsidRDefault="00F02D3A" w:rsidP="00D579F9">
            <w:pPr>
              <w:spacing w:line="360" w:lineRule="auto"/>
              <w:jc w:val="center"/>
              <w:rPr>
                <w:rFonts w:ascii="Times New Roman" w:eastAsia="Calibri" w:hAnsi="Times New Roman" w:cs="Times New Roman"/>
                <w:b/>
              </w:rPr>
            </w:pPr>
            <w:r w:rsidRPr="001C2767">
              <w:rPr>
                <w:rFonts w:ascii="Times New Roman" w:eastAsia="Calibri" w:hAnsi="Times New Roman" w:cs="Times New Roman"/>
                <w:b/>
              </w:rPr>
              <w:t>X</w:t>
            </w:r>
          </w:p>
        </w:tc>
        <w:tc>
          <w:tcPr>
            <w:tcW w:w="6678" w:type="dxa"/>
          </w:tcPr>
          <w:p w14:paraId="658501FF" w14:textId="39B02EFC" w:rsidR="001C2767" w:rsidRPr="001C2767" w:rsidRDefault="001C2767" w:rsidP="00D579F9">
            <w:pPr>
              <w:spacing w:line="360" w:lineRule="auto"/>
              <w:rPr>
                <w:rFonts w:ascii="Times New Roman" w:hAnsi="Times New Roman" w:cs="Times New Roman"/>
                <w:i/>
                <w:vertAlign w:val="subscript"/>
              </w:rPr>
            </w:pPr>
            <w:r>
              <w:rPr>
                <w:rFonts w:ascii="Times New Roman" w:hAnsi="Times New Roman" w:cs="Times New Roman"/>
              </w:rPr>
              <w:t xml:space="preserve">Total output vector </w:t>
            </w:r>
            <w:r w:rsidR="0060180F">
              <w:rPr>
                <w:rFonts w:ascii="Times New Roman" w:hAnsi="Times New Roman" w:cs="Times New Roman"/>
              </w:rPr>
              <w:t xml:space="preserve">in target year </w:t>
            </w:r>
            <w:r>
              <w:rPr>
                <w:rFonts w:ascii="Times New Roman" w:hAnsi="Times New Roman" w:cs="Times New Roman"/>
              </w:rPr>
              <w:t xml:space="preserve">with elements </w:t>
            </w:r>
            <w:r>
              <w:rPr>
                <w:rFonts w:ascii="Times New Roman" w:hAnsi="Times New Roman" w:cs="Times New Roman"/>
                <w:i/>
              </w:rPr>
              <w:t>x</w:t>
            </w:r>
            <w:r>
              <w:rPr>
                <w:rFonts w:ascii="Times New Roman" w:hAnsi="Times New Roman" w:cs="Times New Roman"/>
                <w:i/>
                <w:vertAlign w:val="subscript"/>
              </w:rPr>
              <w:t>i</w:t>
            </w:r>
          </w:p>
        </w:tc>
      </w:tr>
      <w:tr w:rsidR="001C2767" w14:paraId="52E29E3C" w14:textId="77777777" w:rsidTr="00D579F9">
        <w:tc>
          <w:tcPr>
            <w:tcW w:w="1440" w:type="dxa"/>
          </w:tcPr>
          <w:p w14:paraId="6C4579DA" w14:textId="6B998A3D" w:rsidR="001C2767" w:rsidRPr="001C2767" w:rsidRDefault="00805E0B" w:rsidP="00D579F9">
            <w:pPr>
              <w:spacing w:line="360" w:lineRule="auto"/>
              <w:jc w:val="center"/>
              <w:rPr>
                <w:rFonts w:ascii="Times New Roman" w:eastAsia="Calibri" w:hAnsi="Times New Roman" w:cs="Times New Roman"/>
              </w:rPr>
            </w:pPr>
            <m:oMathPara>
              <m:oMath>
                <m:sSub>
                  <m:sSubPr>
                    <m:ctrlPr>
                      <w:rPr>
                        <w:rFonts w:ascii="Cambria Math" w:eastAsia="Calibri" w:hAnsi="Cambria Math" w:cs="Times New Roman"/>
                        <w:i/>
                      </w:rPr>
                    </m:ctrlPr>
                  </m:sSubPr>
                  <m:e>
                    <m:r>
                      <w:rPr>
                        <w:rFonts w:ascii="Cambria Math" w:eastAsia="Calibri" w:hAnsi="Cambria Math" w:cs="Times New Roman"/>
                      </w:rPr>
                      <m:t>y</m:t>
                    </m:r>
                  </m:e>
                  <m:sub>
                    <m:r>
                      <w:rPr>
                        <w:rFonts w:ascii="Cambria Math" w:eastAsia="Calibri" w:hAnsi="Cambria Math" w:cs="Times New Roman"/>
                      </w:rPr>
                      <m:t>i</m:t>
                    </m:r>
                  </m:sub>
                </m:sSub>
              </m:oMath>
            </m:oMathPara>
          </w:p>
        </w:tc>
        <w:tc>
          <w:tcPr>
            <w:tcW w:w="6678" w:type="dxa"/>
          </w:tcPr>
          <w:p w14:paraId="40608BDE" w14:textId="766EE248" w:rsidR="001C2767" w:rsidRPr="0060180F" w:rsidRDefault="001C2767" w:rsidP="00D579F9">
            <w:pPr>
              <w:spacing w:line="360" w:lineRule="auto"/>
              <w:rPr>
                <w:rFonts w:ascii="Times New Roman" w:hAnsi="Times New Roman" w:cs="Times New Roman"/>
              </w:rPr>
            </w:pPr>
            <w:r>
              <w:rPr>
                <w:rFonts w:ascii="Times New Roman" w:hAnsi="Times New Roman" w:cs="Times New Roman"/>
              </w:rPr>
              <w:t xml:space="preserve">Final demand for Sector </w:t>
            </w:r>
            <w:r w:rsidR="0060180F">
              <w:rPr>
                <w:rFonts w:ascii="Times New Roman" w:hAnsi="Times New Roman" w:cs="Times New Roman"/>
                <w:i/>
              </w:rPr>
              <w:t>i</w:t>
            </w:r>
            <w:r w:rsidR="0060180F">
              <w:rPr>
                <w:rFonts w:ascii="Times New Roman" w:hAnsi="Times New Roman" w:cs="Times New Roman"/>
              </w:rPr>
              <w:t xml:space="preserve"> in target year</w:t>
            </w:r>
          </w:p>
        </w:tc>
      </w:tr>
      <w:tr w:rsidR="001C2767" w14:paraId="4A38A573" w14:textId="77777777" w:rsidTr="00D579F9">
        <w:tc>
          <w:tcPr>
            <w:tcW w:w="1440" w:type="dxa"/>
          </w:tcPr>
          <w:p w14:paraId="1163D22A" w14:textId="1D915F66" w:rsidR="001C2767" w:rsidRPr="001C2767" w:rsidRDefault="00D1722D" w:rsidP="00D579F9">
            <w:pPr>
              <w:spacing w:line="360" w:lineRule="auto"/>
              <w:jc w:val="center"/>
              <w:rPr>
                <w:rFonts w:ascii="Times New Roman" w:eastAsia="Calibri" w:hAnsi="Times New Roman" w:cs="Times New Roman"/>
                <w:b/>
              </w:rPr>
            </w:pPr>
            <w:r>
              <w:rPr>
                <w:rFonts w:ascii="Times New Roman" w:eastAsia="Calibri" w:hAnsi="Times New Roman" w:cs="Times New Roman"/>
                <w:b/>
              </w:rPr>
              <w:t>Y</w:t>
            </w:r>
          </w:p>
        </w:tc>
        <w:tc>
          <w:tcPr>
            <w:tcW w:w="6678" w:type="dxa"/>
          </w:tcPr>
          <w:p w14:paraId="3D824909" w14:textId="1364EF6D" w:rsidR="001C2767" w:rsidRPr="0060180F" w:rsidRDefault="001C2767" w:rsidP="00D579F9">
            <w:pPr>
              <w:spacing w:line="360" w:lineRule="auto"/>
              <w:rPr>
                <w:rFonts w:ascii="Times New Roman" w:hAnsi="Times New Roman" w:cs="Times New Roman"/>
                <w:i/>
                <w:vertAlign w:val="subscript"/>
              </w:rPr>
            </w:pPr>
            <w:r>
              <w:rPr>
                <w:rFonts w:ascii="Times New Roman" w:hAnsi="Times New Roman" w:cs="Times New Roman"/>
              </w:rPr>
              <w:t xml:space="preserve">Final demand vector </w:t>
            </w:r>
            <w:r w:rsidR="0060180F">
              <w:rPr>
                <w:rFonts w:ascii="Times New Roman" w:hAnsi="Times New Roman" w:cs="Times New Roman"/>
              </w:rPr>
              <w:t xml:space="preserve">in target year with elements </w:t>
            </w:r>
            <w:r w:rsidR="0060180F">
              <w:rPr>
                <w:rFonts w:ascii="Times New Roman" w:hAnsi="Times New Roman" w:cs="Times New Roman"/>
                <w:i/>
              </w:rPr>
              <w:t>y</w:t>
            </w:r>
            <w:r w:rsidR="0060180F">
              <w:rPr>
                <w:rFonts w:ascii="Times New Roman" w:hAnsi="Times New Roman" w:cs="Times New Roman"/>
                <w:i/>
                <w:vertAlign w:val="subscript"/>
              </w:rPr>
              <w:t>i</w:t>
            </w:r>
          </w:p>
        </w:tc>
      </w:tr>
      <w:tr w:rsidR="001C2767" w14:paraId="4ABBD4D9" w14:textId="77777777" w:rsidTr="00D579F9">
        <w:tc>
          <w:tcPr>
            <w:tcW w:w="1440" w:type="dxa"/>
          </w:tcPr>
          <w:p w14:paraId="62E60F91" w14:textId="77777777" w:rsidR="001C2767" w:rsidRDefault="001C2767" w:rsidP="00D579F9">
            <w:pPr>
              <w:spacing w:line="360" w:lineRule="auto"/>
              <w:jc w:val="center"/>
              <w:rPr>
                <w:rFonts w:ascii="Times New Roman" w:eastAsia="Calibri" w:hAnsi="Times New Roman" w:cs="Times New Roman"/>
                <w:b/>
              </w:rPr>
            </w:pPr>
          </w:p>
        </w:tc>
        <w:tc>
          <w:tcPr>
            <w:tcW w:w="6678" w:type="dxa"/>
          </w:tcPr>
          <w:p w14:paraId="2EF010A8" w14:textId="77777777" w:rsidR="001C2767" w:rsidRDefault="001C2767" w:rsidP="00D579F9">
            <w:pPr>
              <w:spacing w:line="360" w:lineRule="auto"/>
              <w:rPr>
                <w:rFonts w:ascii="Times New Roman" w:hAnsi="Times New Roman" w:cs="Times New Roman"/>
              </w:rPr>
            </w:pPr>
          </w:p>
        </w:tc>
      </w:tr>
    </w:tbl>
    <w:p w14:paraId="7F17DE5D" w14:textId="598D4F00" w:rsidR="00867DF7" w:rsidRDefault="00DF7905" w:rsidP="00D579F9">
      <w:pPr>
        <w:spacing w:after="0" w:line="360" w:lineRule="auto"/>
        <w:ind w:left="360"/>
        <w:jc w:val="both"/>
        <w:rPr>
          <w:rFonts w:ascii="Times New Roman" w:hAnsi="Times New Roman" w:cs="Times New Roman"/>
        </w:rPr>
      </w:pPr>
      <w:r>
        <w:rPr>
          <w:rFonts w:ascii="Times New Roman" w:hAnsi="Times New Roman" w:cs="Times New Roman"/>
        </w:rPr>
        <w:t xml:space="preserve">The methodology proposed here utilizes </w:t>
      </w:r>
      <w:r w:rsidR="00DD3D79">
        <w:rPr>
          <w:rFonts w:ascii="Times New Roman" w:hAnsi="Times New Roman" w:cs="Times New Roman"/>
        </w:rPr>
        <w:t xml:space="preserve">triangular fuzzy numbers </w:t>
      </w:r>
      <w:r w:rsidR="005B1931">
        <w:rPr>
          <w:rFonts w:ascii="Times New Roman" w:hAnsi="Times New Roman" w:cs="Times New Roman"/>
        </w:rPr>
        <w:t xml:space="preserve">(TFN) </w:t>
      </w:r>
      <w:r w:rsidR="00DD3D79">
        <w:rPr>
          <w:rFonts w:ascii="Times New Roman" w:hAnsi="Times New Roman" w:cs="Times New Roman"/>
        </w:rPr>
        <w:t>to update the technical coefficients matrix (</w:t>
      </w:r>
      <w:r w:rsidR="00DD3D79" w:rsidRPr="00DD3D79">
        <w:rPr>
          <w:rFonts w:ascii="Times New Roman" w:hAnsi="Times New Roman" w:cs="Times New Roman"/>
          <w:b/>
        </w:rPr>
        <w:t>A</w:t>
      </w:r>
      <w:r w:rsidR="00DD3D79">
        <w:rPr>
          <w:rFonts w:ascii="Times New Roman" w:hAnsi="Times New Roman" w:cs="Times New Roman"/>
        </w:rPr>
        <w:t>).</w:t>
      </w:r>
      <w:r>
        <w:rPr>
          <w:rFonts w:ascii="Times New Roman" w:hAnsi="Times New Roman" w:cs="Times New Roman"/>
        </w:rPr>
        <w:t xml:space="preserve"> </w:t>
      </w:r>
      <w:r w:rsidR="0099049A">
        <w:rPr>
          <w:rFonts w:ascii="Times New Roman" w:hAnsi="Times New Roman" w:cs="Times New Roman"/>
        </w:rPr>
        <w:t>Fuzzy set theory was initially proposed by Zadeh (1965)</w:t>
      </w:r>
      <w:r w:rsidR="00A038A4">
        <w:rPr>
          <w:rFonts w:ascii="Times New Roman" w:hAnsi="Times New Roman" w:cs="Times New Roman"/>
        </w:rPr>
        <w:t xml:space="preserve"> and has since provided mathematical foundations for modeling subjective and imprecise information.</w:t>
      </w:r>
      <w:r w:rsidR="0099049A">
        <w:rPr>
          <w:rFonts w:ascii="Times New Roman" w:hAnsi="Times New Roman" w:cs="Times New Roman"/>
        </w:rPr>
        <w:t xml:space="preserve"> </w:t>
      </w:r>
      <w:r w:rsidR="00A038A4">
        <w:rPr>
          <w:rFonts w:ascii="Times New Roman" w:hAnsi="Times New Roman" w:cs="Times New Roman"/>
        </w:rPr>
        <w:t xml:space="preserve">Fuzzy </w:t>
      </w:r>
      <w:r w:rsidR="0099049A">
        <w:rPr>
          <w:rFonts w:ascii="Times New Roman" w:hAnsi="Times New Roman" w:cs="Times New Roman"/>
        </w:rPr>
        <w:t xml:space="preserve">optimization </w:t>
      </w:r>
      <w:r w:rsidR="00A038A4">
        <w:rPr>
          <w:rFonts w:ascii="Times New Roman" w:hAnsi="Times New Roman" w:cs="Times New Roman"/>
        </w:rPr>
        <w:t xml:space="preserve">principles were then initially proposed </w:t>
      </w:r>
      <w:r w:rsidR="0099049A">
        <w:rPr>
          <w:rFonts w:ascii="Times New Roman" w:hAnsi="Times New Roman" w:cs="Times New Roman"/>
        </w:rPr>
        <w:t>by Bellman and Zadeh (1970)</w:t>
      </w:r>
      <w:r w:rsidR="00A038A4">
        <w:rPr>
          <w:rFonts w:ascii="Times New Roman" w:hAnsi="Times New Roman" w:cs="Times New Roman"/>
        </w:rPr>
        <w:t>; this seminal work defined fuzzy optima as the “confluence” of fuzzy objectives and fuzzy constraints.</w:t>
      </w:r>
      <w:r w:rsidR="00F4791E">
        <w:rPr>
          <w:rFonts w:ascii="Times New Roman" w:hAnsi="Times New Roman" w:cs="Times New Roman"/>
        </w:rPr>
        <w:t xml:space="preserve"> </w:t>
      </w:r>
      <w:r w:rsidR="00A038A4">
        <w:rPr>
          <w:rFonts w:ascii="Times New Roman" w:hAnsi="Times New Roman" w:cs="Times New Roman"/>
        </w:rPr>
        <w:t>Fuzzy mathematical</w:t>
      </w:r>
      <w:r w:rsidR="00F4791E">
        <w:rPr>
          <w:rFonts w:ascii="Times New Roman" w:hAnsi="Times New Roman" w:cs="Times New Roman"/>
        </w:rPr>
        <w:t xml:space="preserve"> programming </w:t>
      </w:r>
      <w:r w:rsidR="00A038A4">
        <w:rPr>
          <w:rFonts w:ascii="Times New Roman" w:hAnsi="Times New Roman" w:cs="Times New Roman"/>
        </w:rPr>
        <w:t>was later proposed by</w:t>
      </w:r>
      <w:r w:rsidR="00F4791E">
        <w:rPr>
          <w:rFonts w:ascii="Times New Roman" w:hAnsi="Times New Roman" w:cs="Times New Roman"/>
        </w:rPr>
        <w:t xml:space="preserve"> Zimmerman (1978)</w:t>
      </w:r>
      <w:r w:rsidR="00A038A4">
        <w:rPr>
          <w:rFonts w:ascii="Times New Roman" w:hAnsi="Times New Roman" w:cs="Times New Roman"/>
        </w:rPr>
        <w:t xml:space="preserve"> to account for multiple objectives, and for systems with soft constraints</w:t>
      </w:r>
      <w:r w:rsidR="0099049A">
        <w:rPr>
          <w:rFonts w:ascii="Times New Roman" w:hAnsi="Times New Roman" w:cs="Times New Roman"/>
        </w:rPr>
        <w:t>.</w:t>
      </w:r>
      <w:r w:rsidR="00A038A4">
        <w:rPr>
          <w:rFonts w:ascii="Times New Roman" w:hAnsi="Times New Roman" w:cs="Times New Roman"/>
        </w:rPr>
        <w:t xml:space="preserve"> Different aggregation methods were considered in his work, but max-min aggregation has become well-used due to its inherent conservatism as well as computational efficiency.</w:t>
      </w:r>
      <w:r w:rsidR="0099049A">
        <w:rPr>
          <w:rFonts w:ascii="Times New Roman" w:hAnsi="Times New Roman" w:cs="Times New Roman"/>
        </w:rPr>
        <w:t xml:space="preserve">  </w:t>
      </w:r>
      <w:r w:rsidR="00F4791E">
        <w:rPr>
          <w:rFonts w:ascii="Times New Roman" w:hAnsi="Times New Roman" w:cs="Times New Roman"/>
        </w:rPr>
        <w:t>A</w:t>
      </w:r>
      <w:r w:rsidR="00DD3D79">
        <w:rPr>
          <w:rFonts w:ascii="Times New Roman" w:hAnsi="Times New Roman" w:cs="Times New Roman"/>
        </w:rPr>
        <w:t xml:space="preserve"> </w:t>
      </w:r>
      <w:r w:rsidR="00035B9B">
        <w:rPr>
          <w:rFonts w:ascii="Times New Roman" w:hAnsi="Times New Roman" w:cs="Times New Roman"/>
        </w:rPr>
        <w:t>two-step</w:t>
      </w:r>
      <w:r w:rsidR="00DD3D79">
        <w:rPr>
          <w:rFonts w:ascii="Times New Roman" w:hAnsi="Times New Roman" w:cs="Times New Roman"/>
        </w:rPr>
        <w:t xml:space="preserve"> </w:t>
      </w:r>
      <w:r w:rsidR="00F4791E">
        <w:rPr>
          <w:rFonts w:ascii="Times New Roman" w:hAnsi="Times New Roman" w:cs="Times New Roman"/>
        </w:rPr>
        <w:t xml:space="preserve">fuzzy </w:t>
      </w:r>
      <w:r w:rsidR="00DD3D79">
        <w:rPr>
          <w:rFonts w:ascii="Times New Roman" w:hAnsi="Times New Roman" w:cs="Times New Roman"/>
        </w:rPr>
        <w:t>optimization model</w:t>
      </w:r>
      <w:r w:rsidR="00F4791E">
        <w:rPr>
          <w:rFonts w:ascii="Times New Roman" w:hAnsi="Times New Roman" w:cs="Times New Roman"/>
        </w:rPr>
        <w:t xml:space="preserve"> is developed here to obtain the updated technical coefficients. This two-step procedure for fuzzy optimization as proposed by Guu and Wu (1997) ensures Pareto optimality of the solution. The first phase of the optimization</w:t>
      </w:r>
      <w:r w:rsidR="00035B9B">
        <w:rPr>
          <w:rFonts w:ascii="Times New Roman" w:hAnsi="Times New Roman" w:cs="Times New Roman"/>
        </w:rPr>
        <w:t xml:space="preserve"> </w:t>
      </w:r>
      <w:r w:rsidR="006D27EC">
        <w:rPr>
          <w:rFonts w:ascii="Times New Roman" w:hAnsi="Times New Roman" w:cs="Times New Roman"/>
        </w:rPr>
        <w:t>maximize</w:t>
      </w:r>
      <w:r w:rsidR="00F4791E">
        <w:rPr>
          <w:rFonts w:ascii="Times New Roman" w:hAnsi="Times New Roman" w:cs="Times New Roman"/>
        </w:rPr>
        <w:t>s</w:t>
      </w:r>
      <w:r w:rsidR="006D27EC">
        <w:rPr>
          <w:rFonts w:ascii="Times New Roman" w:hAnsi="Times New Roman" w:cs="Times New Roman"/>
        </w:rPr>
        <w:t xml:space="preserve"> the fuzzy consistency</w:t>
      </w:r>
      <w:r w:rsidR="00DD3D79">
        <w:rPr>
          <w:rFonts w:ascii="Times New Roman" w:hAnsi="Times New Roman" w:cs="Times New Roman"/>
        </w:rPr>
        <w:t xml:space="preserve">, </w:t>
      </w:r>
      <w:r w:rsidR="00DD3D79">
        <w:rPr>
          <w:rFonts w:ascii="Times New Roman" w:hAnsi="Times New Roman" w:cs="Times New Roman"/>
        </w:rPr>
        <w:sym w:font="Symbol" w:char="F06C"/>
      </w:r>
      <w:r w:rsidR="00867DF7">
        <w:rPr>
          <w:rFonts w:ascii="Times New Roman" w:hAnsi="Times New Roman" w:cs="Times New Roman"/>
        </w:rPr>
        <w:t xml:space="preserve">, and the second step </w:t>
      </w:r>
      <w:r w:rsidR="00F4791E">
        <w:rPr>
          <w:rFonts w:ascii="Times New Roman" w:hAnsi="Times New Roman" w:cs="Times New Roman"/>
        </w:rPr>
        <w:t>identifies the Pareto optimal</w:t>
      </w:r>
      <w:r w:rsidR="00867DF7">
        <w:rPr>
          <w:rFonts w:ascii="Times New Roman" w:hAnsi="Times New Roman" w:cs="Times New Roman"/>
        </w:rPr>
        <w:t xml:space="preserve"> solution.</w:t>
      </w:r>
      <w:r w:rsidR="00F4791E">
        <w:rPr>
          <w:rFonts w:ascii="Times New Roman" w:hAnsi="Times New Roman" w:cs="Times New Roman"/>
        </w:rPr>
        <w:t xml:space="preserve"> </w:t>
      </w:r>
    </w:p>
    <w:p w14:paraId="372FB583" w14:textId="77777777" w:rsidR="00A038A4" w:rsidRDefault="00A038A4" w:rsidP="00D579F9">
      <w:pPr>
        <w:spacing w:after="0" w:line="360" w:lineRule="auto"/>
        <w:ind w:left="360"/>
        <w:jc w:val="both"/>
        <w:rPr>
          <w:rFonts w:ascii="Times New Roman" w:hAnsi="Times New Roman" w:cs="Times New Roman"/>
        </w:rPr>
      </w:pPr>
    </w:p>
    <w:p w14:paraId="33832934" w14:textId="37B58B67" w:rsidR="006D27EC" w:rsidRDefault="00867DF7" w:rsidP="00D579F9">
      <w:pPr>
        <w:spacing w:after="0" w:line="360" w:lineRule="auto"/>
        <w:ind w:left="360"/>
        <w:jc w:val="both"/>
        <w:rPr>
          <w:rFonts w:ascii="Times New Roman" w:hAnsi="Times New Roman" w:cs="Times New Roman"/>
        </w:rPr>
      </w:pPr>
      <w:r>
        <w:rPr>
          <w:rFonts w:ascii="Times New Roman" w:hAnsi="Times New Roman" w:cs="Times New Roman"/>
        </w:rPr>
        <w:t>Step 1 involves solving for Equation</w:t>
      </w:r>
      <w:r w:rsidR="00BC1DC5">
        <w:rPr>
          <w:rFonts w:ascii="Times New Roman" w:hAnsi="Times New Roman" w:cs="Times New Roman"/>
        </w:rPr>
        <w:t xml:space="preserve"> 1</w:t>
      </w:r>
      <w:r>
        <w:rPr>
          <w:rFonts w:ascii="Times New Roman" w:hAnsi="Times New Roman" w:cs="Times New Roman"/>
        </w:rPr>
        <w:t xml:space="preserve"> wherein t</w:t>
      </w:r>
      <w:r w:rsidR="006D27EC">
        <w:rPr>
          <w:rFonts w:ascii="Times New Roman" w:hAnsi="Times New Roman" w:cs="Times New Roman"/>
        </w:rPr>
        <w:t>he numerical value of the consistency index ranges from 0 to 1 as given in Equation 2.</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4788"/>
      </w:tblGrid>
      <w:tr w:rsidR="006D27EC" w14:paraId="1AB7FCB1" w14:textId="77777777" w:rsidTr="00D579F9">
        <w:tc>
          <w:tcPr>
            <w:tcW w:w="3960" w:type="dxa"/>
          </w:tcPr>
          <w:p w14:paraId="7EDEA707" w14:textId="65A9FB0A" w:rsidR="006D27EC" w:rsidRDefault="00805E0B" w:rsidP="00D579F9">
            <w:pPr>
              <w:spacing w:line="360" w:lineRule="auto"/>
              <w:ind w:left="360"/>
              <w:jc w:val="both"/>
              <w:rPr>
                <w:rFonts w:ascii="Times New Roman" w:hAnsi="Times New Roman" w:cs="Times New Roman"/>
                <w:vertAlign w:val="subscript"/>
              </w:rPr>
            </w:pPr>
            <m:oMathPara>
              <m:oMath>
                <m:func>
                  <m:funcPr>
                    <m:ctrlPr>
                      <w:rPr>
                        <w:rFonts w:ascii="Cambria Math" w:hAnsi="Cambria Math" w:cs="Times New Roman"/>
                        <w:i/>
                        <w:vertAlign w:val="subscript"/>
                      </w:rPr>
                    </m:ctrlPr>
                  </m:funcPr>
                  <m:fName>
                    <m:r>
                      <m:rPr>
                        <m:sty m:val="p"/>
                      </m:rPr>
                      <w:rPr>
                        <w:rFonts w:ascii="Cambria Math" w:hAnsi="Cambria Math" w:cs="Times New Roman"/>
                        <w:vertAlign w:val="subscript"/>
                      </w:rPr>
                      <m:t>max</m:t>
                    </m:r>
                  </m:fName>
                  <m:e>
                    <m:r>
                      <w:rPr>
                        <w:rFonts w:ascii="Cambria Math" w:hAnsi="Cambria Math" w:cs="Times New Roman"/>
                        <w:vertAlign w:val="subscript"/>
                      </w:rPr>
                      <m:t>λ</m:t>
                    </m:r>
                  </m:e>
                </m:func>
              </m:oMath>
            </m:oMathPara>
          </w:p>
        </w:tc>
        <w:tc>
          <w:tcPr>
            <w:tcW w:w="4788" w:type="dxa"/>
          </w:tcPr>
          <w:p w14:paraId="3EBAAE28" w14:textId="45109A28" w:rsidR="006D27EC" w:rsidRPr="006D27EC" w:rsidRDefault="006D27EC" w:rsidP="00D579F9">
            <w:pPr>
              <w:spacing w:line="360" w:lineRule="auto"/>
              <w:ind w:left="360"/>
              <w:jc w:val="right"/>
              <w:rPr>
                <w:rFonts w:ascii="Times New Roman" w:hAnsi="Times New Roman" w:cs="Times New Roman"/>
              </w:rPr>
            </w:pPr>
            <w:r>
              <w:rPr>
                <w:rFonts w:ascii="Times New Roman" w:hAnsi="Times New Roman" w:cs="Times New Roman"/>
              </w:rPr>
              <w:t>(1)</w:t>
            </w:r>
          </w:p>
        </w:tc>
      </w:tr>
      <w:tr w:rsidR="00DC5854" w:rsidRPr="006D27EC" w14:paraId="2813968B" w14:textId="77777777" w:rsidTr="00D579F9">
        <w:tc>
          <w:tcPr>
            <w:tcW w:w="3960" w:type="dxa"/>
          </w:tcPr>
          <w:p w14:paraId="1A3E8273" w14:textId="7283DF98" w:rsidR="00DC5854" w:rsidRPr="004076AA" w:rsidRDefault="004076AA" w:rsidP="00D579F9">
            <w:pPr>
              <w:spacing w:line="360" w:lineRule="auto"/>
              <w:ind w:left="360"/>
              <w:rPr>
                <w:rFonts w:ascii="Times New Roman" w:hAnsi="Times New Roman" w:cs="Times New Roman"/>
              </w:rPr>
            </w:pPr>
            <m:oMathPara>
              <m:oMath>
                <m:r>
                  <w:rPr>
                    <w:rFonts w:ascii="Cambria Math" w:hAnsi="Cambria Math" w:cs="Times New Roman"/>
                  </w:rPr>
                  <m:t>0≤λ≤1</m:t>
                </m:r>
              </m:oMath>
            </m:oMathPara>
          </w:p>
        </w:tc>
        <w:tc>
          <w:tcPr>
            <w:tcW w:w="4788" w:type="dxa"/>
          </w:tcPr>
          <w:p w14:paraId="6B1F3A7C" w14:textId="77777777" w:rsidR="00DC5854" w:rsidRPr="006D27EC" w:rsidRDefault="00DC5854" w:rsidP="00D579F9">
            <w:pPr>
              <w:spacing w:line="360" w:lineRule="auto"/>
              <w:ind w:left="360"/>
              <w:jc w:val="right"/>
              <w:rPr>
                <w:rFonts w:ascii="Times New Roman" w:hAnsi="Times New Roman" w:cs="Times New Roman"/>
              </w:rPr>
            </w:pPr>
            <w:r w:rsidRPr="006D27EC">
              <w:rPr>
                <w:rFonts w:ascii="Times New Roman" w:hAnsi="Times New Roman" w:cs="Times New Roman"/>
              </w:rPr>
              <w:t>(2)</w:t>
            </w:r>
          </w:p>
        </w:tc>
      </w:tr>
    </w:tbl>
    <w:p w14:paraId="49D08EF9" w14:textId="77777777" w:rsidR="006D27EC" w:rsidRDefault="006D27EC" w:rsidP="00257C0D">
      <w:pPr>
        <w:ind w:left="360"/>
        <w:jc w:val="both"/>
        <w:rPr>
          <w:rFonts w:ascii="Times New Roman" w:hAnsi="Times New Roman" w:cs="Times New Roman"/>
        </w:rPr>
      </w:pPr>
    </w:p>
    <w:p w14:paraId="1144E75B" w14:textId="3F1C07EA" w:rsidR="00867DF7" w:rsidRPr="008313BD" w:rsidRDefault="00913080" w:rsidP="00D579F9">
      <w:pPr>
        <w:spacing w:after="0" w:line="360" w:lineRule="auto"/>
        <w:ind w:left="360"/>
        <w:jc w:val="both"/>
        <w:rPr>
          <w:rFonts w:ascii="Times New Roman" w:hAnsi="Times New Roman" w:cs="Times New Roman"/>
        </w:rPr>
      </w:pPr>
      <w:r>
        <w:rPr>
          <w:rFonts w:ascii="Times New Roman" w:hAnsi="Times New Roman" w:cs="Times New Roman"/>
        </w:rPr>
        <w:t xml:space="preserve">This consistency index </w:t>
      </w:r>
      <w:r w:rsidR="00286EB4">
        <w:rPr>
          <w:rFonts w:ascii="Times New Roman" w:hAnsi="Times New Roman" w:cs="Times New Roman"/>
        </w:rPr>
        <w:t>minimizes the deviation between the current technical coefficient and the predicted one subject to the fuzzy bounds. The</w:t>
      </w:r>
      <w:r w:rsidR="00DD3D79">
        <w:rPr>
          <w:rFonts w:ascii="Times New Roman" w:hAnsi="Times New Roman" w:cs="Times New Roman"/>
        </w:rPr>
        <w:t>se bounds</w:t>
      </w:r>
      <w:r w:rsidR="00286EB4">
        <w:rPr>
          <w:rFonts w:ascii="Times New Roman" w:hAnsi="Times New Roman" w:cs="Times New Roman"/>
        </w:rPr>
        <w:t xml:space="preserve"> </w:t>
      </w:r>
      <w:r w:rsidR="00DD3D79">
        <w:rPr>
          <w:rFonts w:ascii="Times New Roman" w:hAnsi="Times New Roman" w:cs="Times New Roman"/>
        </w:rPr>
        <w:t xml:space="preserve">are represented by </w:t>
      </w:r>
      <w:r w:rsidR="00867DF7">
        <w:rPr>
          <w:rFonts w:ascii="Times New Roman" w:hAnsi="Times New Roman" w:cs="Times New Roman"/>
        </w:rPr>
        <w:t>TFNs defined by</w:t>
      </w:r>
      <w:r w:rsidR="00286EB4">
        <w:rPr>
          <w:rFonts w:ascii="Times New Roman" w:hAnsi="Times New Roman" w:cs="Times New Roman"/>
        </w:rPr>
        <w:t xml:space="preserve"> (</w:t>
      </w:r>
      <w:r w:rsidR="00286EB4" w:rsidRPr="00955EB6">
        <w:rPr>
          <w:rFonts w:ascii="Times New Roman" w:hAnsi="Times New Roman" w:cs="Times New Roman"/>
          <w:i/>
        </w:rPr>
        <w:t>a</w:t>
      </w:r>
      <w:r w:rsidR="00286EB4" w:rsidRPr="00955EB6">
        <w:rPr>
          <w:rFonts w:ascii="Times New Roman" w:hAnsi="Times New Roman" w:cs="Times New Roman"/>
          <w:i/>
          <w:vertAlign w:val="subscript"/>
        </w:rPr>
        <w:t>ij</w:t>
      </w:r>
      <w:r w:rsidR="00286EB4" w:rsidRPr="00955EB6">
        <w:rPr>
          <w:rFonts w:ascii="Times New Roman" w:hAnsi="Times New Roman" w:cs="Times New Roman"/>
          <w:i/>
          <w:vertAlign w:val="superscript"/>
        </w:rPr>
        <w:t>L</w:t>
      </w:r>
      <w:r w:rsidR="00286EB4" w:rsidRPr="00955EB6">
        <w:rPr>
          <w:rFonts w:ascii="Times New Roman" w:hAnsi="Times New Roman" w:cs="Times New Roman"/>
          <w:i/>
        </w:rPr>
        <w:t>, a</w:t>
      </w:r>
      <w:r w:rsidR="00286EB4" w:rsidRPr="00955EB6">
        <w:rPr>
          <w:rFonts w:ascii="Times New Roman" w:hAnsi="Times New Roman" w:cs="Times New Roman"/>
          <w:i/>
          <w:vertAlign w:val="subscript"/>
        </w:rPr>
        <w:t>ij</w:t>
      </w:r>
      <w:r w:rsidR="00286EB4" w:rsidRPr="00955EB6">
        <w:rPr>
          <w:rFonts w:ascii="Times New Roman" w:hAnsi="Times New Roman" w:cs="Times New Roman"/>
          <w:i/>
        </w:rPr>
        <w:t xml:space="preserve">, </w:t>
      </w:r>
      <w:r w:rsidR="00286EB4" w:rsidRPr="00955EB6">
        <w:rPr>
          <w:rFonts w:ascii="Times New Roman" w:hAnsi="Times New Roman" w:cs="Times New Roman"/>
          <w:i/>
        </w:rPr>
        <w:lastRenderedPageBreak/>
        <w:t>a</w:t>
      </w:r>
      <w:r w:rsidR="00286EB4" w:rsidRPr="00955EB6">
        <w:rPr>
          <w:rFonts w:ascii="Times New Roman" w:hAnsi="Times New Roman" w:cs="Times New Roman"/>
          <w:i/>
          <w:vertAlign w:val="subscript"/>
        </w:rPr>
        <w:t>ij</w:t>
      </w:r>
      <w:r w:rsidR="00286EB4" w:rsidRPr="00955EB6">
        <w:rPr>
          <w:rFonts w:ascii="Times New Roman" w:hAnsi="Times New Roman" w:cs="Times New Roman"/>
          <w:i/>
          <w:vertAlign w:val="superscript"/>
        </w:rPr>
        <w:t>U</w:t>
      </w:r>
      <w:r w:rsidR="00286EB4">
        <w:rPr>
          <w:rFonts w:ascii="Times New Roman" w:hAnsi="Times New Roman" w:cs="Times New Roman"/>
        </w:rPr>
        <w:t xml:space="preserve">) </w:t>
      </w:r>
      <w:r w:rsidR="00DD3D79">
        <w:rPr>
          <w:rFonts w:ascii="Times New Roman" w:hAnsi="Times New Roman" w:cs="Times New Roman"/>
        </w:rPr>
        <w:t xml:space="preserve">wherein </w:t>
      </w:r>
      <w:r w:rsidR="00DD3D79" w:rsidRPr="00AF6523">
        <w:rPr>
          <w:rFonts w:ascii="Times New Roman" w:hAnsi="Times New Roman" w:cs="Times New Roman"/>
          <w:i/>
        </w:rPr>
        <w:t>a</w:t>
      </w:r>
      <w:r w:rsidR="00DD3D79" w:rsidRPr="00AF6523">
        <w:rPr>
          <w:rFonts w:ascii="Times New Roman" w:hAnsi="Times New Roman" w:cs="Times New Roman"/>
          <w:i/>
          <w:vertAlign w:val="subscript"/>
        </w:rPr>
        <w:t>ij</w:t>
      </w:r>
      <w:r w:rsidR="00DD3D79" w:rsidRPr="00AF6523">
        <w:rPr>
          <w:rFonts w:ascii="Times New Roman" w:hAnsi="Times New Roman" w:cs="Times New Roman"/>
          <w:i/>
          <w:vertAlign w:val="superscript"/>
        </w:rPr>
        <w:t>L</w:t>
      </w:r>
      <w:r w:rsidR="00DD3D79">
        <w:rPr>
          <w:rFonts w:ascii="Times New Roman" w:hAnsi="Times New Roman" w:cs="Times New Roman"/>
        </w:rPr>
        <w:t xml:space="preserve"> represents the lower limit of the new coefficient while </w:t>
      </w:r>
      <w:r w:rsidR="00DD3D79" w:rsidRPr="00955EB6">
        <w:rPr>
          <w:rFonts w:ascii="Times New Roman" w:hAnsi="Times New Roman" w:cs="Times New Roman"/>
          <w:i/>
        </w:rPr>
        <w:t>a</w:t>
      </w:r>
      <w:r w:rsidR="00DD3D79" w:rsidRPr="00955EB6">
        <w:rPr>
          <w:rFonts w:ascii="Times New Roman" w:hAnsi="Times New Roman" w:cs="Times New Roman"/>
          <w:i/>
          <w:vertAlign w:val="subscript"/>
        </w:rPr>
        <w:t>ij</w:t>
      </w:r>
      <w:r w:rsidR="00DD3D79" w:rsidRPr="00955EB6">
        <w:rPr>
          <w:rFonts w:ascii="Times New Roman" w:hAnsi="Times New Roman" w:cs="Times New Roman"/>
          <w:i/>
          <w:vertAlign w:val="superscript"/>
        </w:rPr>
        <w:t>U</w:t>
      </w:r>
      <w:r w:rsidR="00DD3D79">
        <w:rPr>
          <w:rFonts w:ascii="Times New Roman" w:hAnsi="Times New Roman" w:cs="Times New Roman"/>
        </w:rPr>
        <w:t xml:space="preserve"> is the upper limit. </w:t>
      </w:r>
      <w:r w:rsidR="00867DF7">
        <w:rPr>
          <w:rFonts w:ascii="Times New Roman" w:hAnsi="Times New Roman" w:cs="Times New Roman"/>
        </w:rPr>
        <w:t xml:space="preserve">The triangular fuzzy numbers (TFN) for the technical coefficients are based on exogenously defined volatilities of the economic sectors such that the TFN for high volatility sectors have the widest spread, with TFN of (0, </w:t>
      </w:r>
      <w:r w:rsidR="00867DF7" w:rsidRPr="00955EB6">
        <w:rPr>
          <w:rFonts w:ascii="Times New Roman" w:hAnsi="Times New Roman" w:cs="Times New Roman"/>
          <w:i/>
        </w:rPr>
        <w:t>a</w:t>
      </w:r>
      <w:r w:rsidR="00867DF7" w:rsidRPr="00955EB6">
        <w:rPr>
          <w:rFonts w:ascii="Times New Roman" w:hAnsi="Times New Roman" w:cs="Times New Roman"/>
          <w:i/>
          <w:vertAlign w:val="subscript"/>
        </w:rPr>
        <w:t>ij</w:t>
      </w:r>
      <w:r w:rsidR="00867DF7">
        <w:rPr>
          <w:rFonts w:ascii="Times New Roman" w:hAnsi="Times New Roman" w:cs="Times New Roman"/>
        </w:rPr>
        <w:t xml:space="preserve">, 1) as shown in Figure 1a. For medium volatility (Figure 1b), the lower limits of the TFNs are 2/3 of the distance from </w:t>
      </w:r>
      <w:r w:rsidR="00867DF7" w:rsidRPr="00955EB6">
        <w:rPr>
          <w:rFonts w:ascii="Times New Roman" w:hAnsi="Times New Roman" w:cs="Times New Roman"/>
          <w:i/>
        </w:rPr>
        <w:t>a</w:t>
      </w:r>
      <w:r w:rsidR="00867DF7" w:rsidRPr="00955EB6">
        <w:rPr>
          <w:rFonts w:ascii="Times New Roman" w:hAnsi="Times New Roman" w:cs="Times New Roman"/>
          <w:i/>
          <w:vertAlign w:val="subscript"/>
        </w:rPr>
        <w:t>ij</w:t>
      </w:r>
      <w:r w:rsidR="00867DF7">
        <w:rPr>
          <w:rFonts w:ascii="Times New Roman" w:hAnsi="Times New Roman" w:cs="Times New Roman"/>
        </w:rPr>
        <w:t xml:space="preserve"> to 0 while the upper limits are 2/3 of the distance from </w:t>
      </w:r>
      <w:r w:rsidR="00867DF7" w:rsidRPr="00955EB6">
        <w:rPr>
          <w:rFonts w:ascii="Times New Roman" w:hAnsi="Times New Roman" w:cs="Times New Roman"/>
          <w:i/>
        </w:rPr>
        <w:t>a</w:t>
      </w:r>
      <w:r w:rsidR="00867DF7" w:rsidRPr="00955EB6">
        <w:rPr>
          <w:rFonts w:ascii="Times New Roman" w:hAnsi="Times New Roman" w:cs="Times New Roman"/>
          <w:i/>
          <w:vertAlign w:val="subscript"/>
        </w:rPr>
        <w:t>ij</w:t>
      </w:r>
      <w:r w:rsidR="00867DF7">
        <w:rPr>
          <w:rFonts w:ascii="Times New Roman" w:hAnsi="Times New Roman" w:cs="Times New Roman"/>
        </w:rPr>
        <w:t xml:space="preserve"> to 1.00. For the low volatility sectors the lower limits are 1/3 of the distance from </w:t>
      </w:r>
      <w:r w:rsidR="00867DF7" w:rsidRPr="00955EB6">
        <w:rPr>
          <w:rFonts w:ascii="Times New Roman" w:hAnsi="Times New Roman" w:cs="Times New Roman"/>
          <w:i/>
        </w:rPr>
        <w:t>a</w:t>
      </w:r>
      <w:r w:rsidR="00867DF7" w:rsidRPr="00955EB6">
        <w:rPr>
          <w:rFonts w:ascii="Times New Roman" w:hAnsi="Times New Roman" w:cs="Times New Roman"/>
          <w:i/>
          <w:vertAlign w:val="subscript"/>
        </w:rPr>
        <w:t>ij</w:t>
      </w:r>
      <w:r w:rsidR="00867DF7">
        <w:rPr>
          <w:rFonts w:ascii="Times New Roman" w:hAnsi="Times New Roman" w:cs="Times New Roman"/>
        </w:rPr>
        <w:t xml:space="preserve"> to 0 and the upper limits are 1/3 of the distance from </w:t>
      </w:r>
      <w:r w:rsidR="00867DF7" w:rsidRPr="00955EB6">
        <w:rPr>
          <w:rFonts w:ascii="Times New Roman" w:hAnsi="Times New Roman" w:cs="Times New Roman"/>
          <w:i/>
        </w:rPr>
        <w:t>a</w:t>
      </w:r>
      <w:r w:rsidR="00867DF7" w:rsidRPr="00955EB6">
        <w:rPr>
          <w:rFonts w:ascii="Times New Roman" w:hAnsi="Times New Roman" w:cs="Times New Roman"/>
          <w:i/>
          <w:vertAlign w:val="subscript"/>
        </w:rPr>
        <w:t>ij</w:t>
      </w:r>
      <w:r w:rsidR="00867DF7" w:rsidRPr="00955EB6">
        <w:rPr>
          <w:rFonts w:ascii="Times New Roman" w:hAnsi="Times New Roman" w:cs="Times New Roman"/>
          <w:i/>
        </w:rPr>
        <w:t xml:space="preserve"> </w:t>
      </w:r>
      <w:r w:rsidR="00867DF7">
        <w:rPr>
          <w:rFonts w:ascii="Times New Roman" w:hAnsi="Times New Roman" w:cs="Times New Roman"/>
        </w:rPr>
        <w:t>to 1.00 as illustrated in Figure 1c.</w:t>
      </w:r>
      <w:r w:rsidR="00B7284E">
        <w:rPr>
          <w:rFonts w:ascii="Times New Roman" w:hAnsi="Times New Roman" w:cs="Times New Roman"/>
        </w:rPr>
        <w:t xml:space="preserve"> </w:t>
      </w:r>
    </w:p>
    <w:p w14:paraId="64F86D0E" w14:textId="77777777" w:rsidR="00D579F9" w:rsidRDefault="00D579F9" w:rsidP="00D579F9">
      <w:pPr>
        <w:spacing w:after="0" w:line="360" w:lineRule="auto"/>
        <w:ind w:left="360"/>
        <w:jc w:val="both"/>
        <w:rPr>
          <w:rFonts w:ascii="Times New Roman" w:hAnsi="Times New Roman" w:cs="Times New Roman"/>
        </w:rPr>
      </w:pPr>
    </w:p>
    <w:p w14:paraId="0D83898E" w14:textId="17A7A7B1" w:rsidR="0099301F" w:rsidRPr="00CB65AD" w:rsidRDefault="0099301F" w:rsidP="00D579F9">
      <w:pPr>
        <w:spacing w:after="0" w:line="360" w:lineRule="auto"/>
        <w:ind w:left="360"/>
        <w:jc w:val="both"/>
        <w:rPr>
          <w:rFonts w:ascii="Times New Roman" w:hAnsi="Times New Roman" w:cs="Times New Roman"/>
        </w:rPr>
      </w:pPr>
      <w:r>
        <w:rPr>
          <w:rFonts w:ascii="Times New Roman" w:hAnsi="Times New Roman" w:cs="Times New Roman"/>
        </w:rPr>
        <w:t>As can be seen in Figures 1a to 1c, the updated technical coefficients (</w:t>
      </w:r>
      <w:r w:rsidR="00BC1DC5" w:rsidRPr="00955EB6">
        <w:rPr>
          <w:rFonts w:ascii="Times New Roman" w:hAnsi="Times New Roman" w:cs="Times New Roman"/>
          <w:i/>
        </w:rPr>
        <w:t>a’</w:t>
      </w:r>
      <w:r w:rsidR="00BC1DC5" w:rsidRPr="00955EB6">
        <w:rPr>
          <w:rFonts w:ascii="Times New Roman" w:hAnsi="Times New Roman" w:cs="Times New Roman"/>
          <w:i/>
          <w:vertAlign w:val="subscript"/>
        </w:rPr>
        <w:t>ij</w:t>
      </w:r>
      <w:r>
        <w:rPr>
          <w:rFonts w:ascii="Times New Roman" w:hAnsi="Times New Roman" w:cs="Times New Roman"/>
        </w:rPr>
        <w:t xml:space="preserve">) should fall between the fuzzy limits </w:t>
      </w:r>
      <w:r w:rsidRPr="00955EB6">
        <w:rPr>
          <w:rFonts w:ascii="Times New Roman" w:hAnsi="Times New Roman" w:cs="Times New Roman"/>
          <w:i/>
        </w:rPr>
        <w:t>a</w:t>
      </w:r>
      <w:r w:rsidRPr="00955EB6">
        <w:rPr>
          <w:rFonts w:ascii="Times New Roman" w:hAnsi="Times New Roman" w:cs="Times New Roman"/>
          <w:i/>
          <w:vertAlign w:val="subscript"/>
        </w:rPr>
        <w:t>ij</w:t>
      </w:r>
      <w:r w:rsidRPr="00955EB6">
        <w:rPr>
          <w:rFonts w:ascii="Times New Roman" w:hAnsi="Times New Roman" w:cs="Times New Roman"/>
          <w:i/>
          <w:vertAlign w:val="superscript"/>
        </w:rPr>
        <w:t>L</w:t>
      </w:r>
      <w:r>
        <w:rPr>
          <w:rFonts w:ascii="Times New Roman" w:hAnsi="Times New Roman" w:cs="Times New Roman"/>
        </w:rPr>
        <w:t xml:space="preserve"> and </w:t>
      </w:r>
      <w:r w:rsidRPr="00955EB6">
        <w:rPr>
          <w:rFonts w:ascii="Times New Roman" w:hAnsi="Times New Roman" w:cs="Times New Roman"/>
          <w:i/>
        </w:rPr>
        <w:t>a</w:t>
      </w:r>
      <w:r w:rsidRPr="00955EB6">
        <w:rPr>
          <w:rFonts w:ascii="Times New Roman" w:hAnsi="Times New Roman" w:cs="Times New Roman"/>
          <w:i/>
          <w:vertAlign w:val="subscript"/>
        </w:rPr>
        <w:t>ij</w:t>
      </w:r>
      <w:r w:rsidRPr="00955EB6">
        <w:rPr>
          <w:rFonts w:ascii="Times New Roman" w:hAnsi="Times New Roman" w:cs="Times New Roman"/>
          <w:i/>
          <w:vertAlign w:val="superscript"/>
        </w:rPr>
        <w:t>U</w:t>
      </w:r>
      <w:r>
        <w:rPr>
          <w:rFonts w:ascii="Times New Roman" w:hAnsi="Times New Roman" w:cs="Times New Roman"/>
        </w:rPr>
        <w:t>, such that the level of satisfaction (</w:t>
      </w:r>
      <w:r>
        <w:rPr>
          <w:rFonts w:ascii="Times New Roman" w:hAnsi="Times New Roman" w:cs="Times New Roman"/>
        </w:rPr>
        <w:sym w:font="Symbol" w:char="F06C"/>
      </w:r>
      <w:r>
        <w:rPr>
          <w:rFonts w:ascii="Times New Roman" w:hAnsi="Times New Roman" w:cs="Times New Roman"/>
        </w:rPr>
        <w:t xml:space="preserve">) is equal to 1 if </w:t>
      </w:r>
      <w:r w:rsidR="00BC1DC5" w:rsidRPr="00955EB6">
        <w:rPr>
          <w:rFonts w:ascii="Times New Roman" w:hAnsi="Times New Roman" w:cs="Times New Roman"/>
          <w:i/>
        </w:rPr>
        <w:t>a’</w:t>
      </w:r>
      <w:r w:rsidR="00BC1DC5" w:rsidRPr="00955EB6">
        <w:rPr>
          <w:rFonts w:ascii="Times New Roman" w:hAnsi="Times New Roman" w:cs="Times New Roman"/>
          <w:i/>
          <w:vertAlign w:val="subscript"/>
        </w:rPr>
        <w:t>ij</w:t>
      </w:r>
      <w:r w:rsidR="00BC1DC5">
        <w:rPr>
          <w:rFonts w:ascii="Times New Roman" w:hAnsi="Times New Roman" w:cs="Times New Roman"/>
        </w:rPr>
        <w:t xml:space="preserve"> </w:t>
      </w:r>
      <w:r>
        <w:rPr>
          <w:rFonts w:ascii="Times New Roman" w:hAnsi="Times New Roman" w:cs="Times New Roman"/>
        </w:rPr>
        <w:t xml:space="preserve">is equal to </w:t>
      </w:r>
      <w:r w:rsidRPr="00955EB6">
        <w:rPr>
          <w:rFonts w:ascii="Times New Roman" w:hAnsi="Times New Roman" w:cs="Times New Roman"/>
          <w:i/>
        </w:rPr>
        <w:t>a</w:t>
      </w:r>
      <w:r w:rsidRPr="00955EB6">
        <w:rPr>
          <w:rFonts w:ascii="Times New Roman" w:hAnsi="Times New Roman" w:cs="Times New Roman"/>
          <w:i/>
          <w:vertAlign w:val="subscript"/>
        </w:rPr>
        <w:t>ij</w:t>
      </w:r>
      <w:r w:rsidR="00CB7426">
        <w:rPr>
          <w:rFonts w:ascii="Times New Roman" w:hAnsi="Times New Roman" w:cs="Times New Roman"/>
        </w:rPr>
        <w:t xml:space="preserve">, indicating that there was no change in the value of the technical coefficient. </w:t>
      </w:r>
      <w:r>
        <w:rPr>
          <w:rFonts w:ascii="Times New Roman" w:hAnsi="Times New Roman" w:cs="Times New Roman"/>
        </w:rPr>
        <w:t xml:space="preserve">Alternatively, </w:t>
      </w:r>
      <w:r>
        <w:rPr>
          <w:rFonts w:ascii="Times New Roman" w:hAnsi="Times New Roman" w:cs="Times New Roman"/>
        </w:rPr>
        <w:sym w:font="Symbol" w:char="F06C"/>
      </w:r>
      <w:r>
        <w:rPr>
          <w:rFonts w:ascii="Times New Roman" w:hAnsi="Times New Roman" w:cs="Times New Roman"/>
        </w:rPr>
        <w:t xml:space="preserve">, </w:t>
      </w:r>
      <w:r w:rsidR="00C14AB7">
        <w:rPr>
          <w:rFonts w:ascii="Times New Roman" w:hAnsi="Times New Roman" w:cs="Times New Roman"/>
        </w:rPr>
        <w:t>increases linearly from 0 to 1</w:t>
      </w:r>
      <w:r>
        <w:rPr>
          <w:rFonts w:ascii="Times New Roman" w:hAnsi="Times New Roman" w:cs="Times New Roman"/>
        </w:rPr>
        <w:t xml:space="preserve"> between </w:t>
      </w:r>
      <w:r w:rsidRPr="00955EB6">
        <w:rPr>
          <w:rFonts w:ascii="Times New Roman" w:hAnsi="Times New Roman" w:cs="Times New Roman"/>
          <w:i/>
        </w:rPr>
        <w:t>a</w:t>
      </w:r>
      <w:r w:rsidRPr="00955EB6">
        <w:rPr>
          <w:rFonts w:ascii="Times New Roman" w:hAnsi="Times New Roman" w:cs="Times New Roman"/>
          <w:i/>
          <w:vertAlign w:val="subscript"/>
        </w:rPr>
        <w:t>ij</w:t>
      </w:r>
      <w:r w:rsidRPr="00955EB6">
        <w:rPr>
          <w:rFonts w:ascii="Times New Roman" w:hAnsi="Times New Roman" w:cs="Times New Roman"/>
          <w:i/>
          <w:vertAlign w:val="superscript"/>
        </w:rPr>
        <w:t>L</w:t>
      </w:r>
      <w:r>
        <w:rPr>
          <w:rFonts w:ascii="Times New Roman" w:hAnsi="Times New Roman" w:cs="Times New Roman"/>
        </w:rPr>
        <w:t xml:space="preserve"> to </w:t>
      </w:r>
      <w:r w:rsidRPr="00955EB6">
        <w:rPr>
          <w:rFonts w:ascii="Times New Roman" w:hAnsi="Times New Roman" w:cs="Times New Roman"/>
          <w:i/>
        </w:rPr>
        <w:t>a</w:t>
      </w:r>
      <w:r w:rsidRPr="00955EB6">
        <w:rPr>
          <w:rFonts w:ascii="Times New Roman" w:hAnsi="Times New Roman" w:cs="Times New Roman"/>
          <w:i/>
          <w:vertAlign w:val="subscript"/>
        </w:rPr>
        <w:t>ij</w:t>
      </w:r>
      <w:r w:rsidRPr="00955EB6">
        <w:rPr>
          <w:rFonts w:ascii="Times New Roman" w:hAnsi="Times New Roman" w:cs="Times New Roman"/>
          <w:i/>
        </w:rPr>
        <w:t xml:space="preserve"> </w:t>
      </w:r>
      <w:r>
        <w:rPr>
          <w:rFonts w:ascii="Times New Roman" w:hAnsi="Times New Roman" w:cs="Times New Roman"/>
        </w:rPr>
        <w:t xml:space="preserve">and decreases linearly from 1 to 0 between </w:t>
      </w:r>
      <w:r w:rsidRPr="00955EB6">
        <w:rPr>
          <w:rFonts w:ascii="Times New Roman" w:hAnsi="Times New Roman" w:cs="Times New Roman"/>
          <w:i/>
        </w:rPr>
        <w:t>a</w:t>
      </w:r>
      <w:r w:rsidRPr="00955EB6">
        <w:rPr>
          <w:rFonts w:ascii="Times New Roman" w:hAnsi="Times New Roman" w:cs="Times New Roman"/>
          <w:i/>
          <w:vertAlign w:val="subscript"/>
        </w:rPr>
        <w:t>ij</w:t>
      </w:r>
      <w:r w:rsidRPr="00955EB6">
        <w:rPr>
          <w:rFonts w:ascii="Times New Roman" w:hAnsi="Times New Roman" w:cs="Times New Roman"/>
          <w:i/>
        </w:rPr>
        <w:t xml:space="preserve"> </w:t>
      </w:r>
      <w:r>
        <w:rPr>
          <w:rFonts w:ascii="Times New Roman" w:hAnsi="Times New Roman" w:cs="Times New Roman"/>
        </w:rPr>
        <w:t xml:space="preserve">to </w:t>
      </w:r>
      <w:r w:rsidRPr="00955EB6">
        <w:rPr>
          <w:rFonts w:ascii="Times New Roman" w:hAnsi="Times New Roman" w:cs="Times New Roman"/>
          <w:i/>
        </w:rPr>
        <w:t>a</w:t>
      </w:r>
      <w:r w:rsidRPr="00955EB6">
        <w:rPr>
          <w:rFonts w:ascii="Times New Roman" w:hAnsi="Times New Roman" w:cs="Times New Roman"/>
          <w:i/>
          <w:vertAlign w:val="subscript"/>
        </w:rPr>
        <w:t>ij</w:t>
      </w:r>
      <w:r w:rsidRPr="00955EB6">
        <w:rPr>
          <w:rFonts w:ascii="Times New Roman" w:hAnsi="Times New Roman" w:cs="Times New Roman"/>
          <w:i/>
          <w:vertAlign w:val="superscript"/>
        </w:rPr>
        <w:t>U</w:t>
      </w:r>
      <w:r>
        <w:rPr>
          <w:rFonts w:ascii="Times New Roman" w:hAnsi="Times New Roman" w:cs="Times New Roman"/>
        </w:rPr>
        <w:t xml:space="preserve">. </w:t>
      </w:r>
      <w:r w:rsidR="00CB65AD">
        <w:rPr>
          <w:rFonts w:ascii="Times New Roman" w:hAnsi="Times New Roman" w:cs="Times New Roman"/>
        </w:rPr>
        <w:t xml:space="preserve">Note that the updated technical coefficient can be less than the initial technical coefficient </w:t>
      </w:r>
      <w:r w:rsidR="00CB65AD" w:rsidRPr="00955EB6">
        <w:rPr>
          <w:rFonts w:ascii="Times New Roman" w:hAnsi="Times New Roman" w:cs="Times New Roman"/>
          <w:i/>
        </w:rPr>
        <w:t>a</w:t>
      </w:r>
      <w:r w:rsidR="00CB65AD" w:rsidRPr="00955EB6">
        <w:rPr>
          <w:rFonts w:ascii="Times New Roman" w:hAnsi="Times New Roman" w:cs="Times New Roman"/>
          <w:i/>
          <w:vertAlign w:val="subscript"/>
        </w:rPr>
        <w:t>ij</w:t>
      </w:r>
      <w:r w:rsidR="00CB65AD">
        <w:rPr>
          <w:rFonts w:ascii="Times New Roman" w:hAnsi="Times New Roman" w:cs="Times New Roman"/>
        </w:rPr>
        <w:t xml:space="preserve"> as shown in Figures 1a and 1c or it may be greater than </w:t>
      </w:r>
      <w:r w:rsidR="00CB65AD" w:rsidRPr="00955EB6">
        <w:rPr>
          <w:rFonts w:ascii="Times New Roman" w:hAnsi="Times New Roman" w:cs="Times New Roman"/>
          <w:i/>
        </w:rPr>
        <w:t>a</w:t>
      </w:r>
      <w:r w:rsidR="00CB65AD" w:rsidRPr="00955EB6">
        <w:rPr>
          <w:rFonts w:ascii="Times New Roman" w:hAnsi="Times New Roman" w:cs="Times New Roman"/>
          <w:i/>
          <w:vertAlign w:val="subscript"/>
        </w:rPr>
        <w:t>ij</w:t>
      </w:r>
      <w:r w:rsidR="00CB65AD" w:rsidRPr="00955EB6">
        <w:rPr>
          <w:rFonts w:ascii="Times New Roman" w:hAnsi="Times New Roman" w:cs="Times New Roman"/>
          <w:i/>
        </w:rPr>
        <w:t xml:space="preserve"> </w:t>
      </w:r>
      <w:r w:rsidR="00CB65AD">
        <w:rPr>
          <w:rFonts w:ascii="Times New Roman" w:hAnsi="Times New Roman" w:cs="Times New Roman"/>
        </w:rPr>
        <w:t xml:space="preserve">as depicted in Figure 1b. </w:t>
      </w:r>
    </w:p>
    <w:p w14:paraId="0878633B" w14:textId="77777777" w:rsidR="0099301F" w:rsidRDefault="0099301F" w:rsidP="006D27EC">
      <w:pPr>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C5854" w14:paraId="629EACA7" w14:textId="77777777" w:rsidTr="00D579F9">
        <w:tc>
          <w:tcPr>
            <w:tcW w:w="9576" w:type="dxa"/>
          </w:tcPr>
          <w:p w14:paraId="15A7D4E2" w14:textId="697B53FA" w:rsidR="00DC5854" w:rsidRDefault="00BC1DC5" w:rsidP="00A45955">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437FD2D1" wp14:editId="69B57834">
                  <wp:extent cx="3931920" cy="2240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1920" cy="2240280"/>
                          </a:xfrm>
                          <a:prstGeom prst="rect">
                            <a:avLst/>
                          </a:prstGeom>
                          <a:noFill/>
                        </pic:spPr>
                      </pic:pic>
                    </a:graphicData>
                  </a:graphic>
                </wp:inline>
              </w:drawing>
            </w:r>
          </w:p>
        </w:tc>
      </w:tr>
      <w:tr w:rsidR="00DC5854" w14:paraId="02E9A868" w14:textId="77777777" w:rsidTr="00D579F9">
        <w:tc>
          <w:tcPr>
            <w:tcW w:w="9576" w:type="dxa"/>
          </w:tcPr>
          <w:p w14:paraId="1032E45C" w14:textId="77777777" w:rsidR="00DC5854" w:rsidRDefault="00DC5854" w:rsidP="00D579F9">
            <w:pPr>
              <w:spacing w:line="360" w:lineRule="auto"/>
              <w:jc w:val="center"/>
              <w:rPr>
                <w:rFonts w:ascii="Times New Roman" w:hAnsi="Times New Roman" w:cs="Times New Roman"/>
                <w:b/>
              </w:rPr>
            </w:pPr>
            <w:r w:rsidRPr="0099301F">
              <w:rPr>
                <w:rFonts w:ascii="Times New Roman" w:hAnsi="Times New Roman" w:cs="Times New Roman"/>
                <w:b/>
              </w:rPr>
              <w:t>Figure 1a. Triangular fuzzy membership function for high volatility sectors</w:t>
            </w:r>
          </w:p>
          <w:p w14:paraId="7C52789A" w14:textId="77777777" w:rsidR="00F944B6" w:rsidRPr="0099301F" w:rsidRDefault="00F944B6" w:rsidP="00D579F9">
            <w:pPr>
              <w:spacing w:line="360" w:lineRule="auto"/>
              <w:jc w:val="center"/>
              <w:rPr>
                <w:rFonts w:ascii="Times New Roman" w:hAnsi="Times New Roman" w:cs="Times New Roman"/>
                <w:b/>
              </w:rPr>
            </w:pPr>
          </w:p>
        </w:tc>
      </w:tr>
      <w:tr w:rsidR="00DC5854" w14:paraId="4800F60D" w14:textId="77777777" w:rsidTr="00D579F9">
        <w:tc>
          <w:tcPr>
            <w:tcW w:w="9576" w:type="dxa"/>
          </w:tcPr>
          <w:p w14:paraId="58EE4604" w14:textId="4C30BE67" w:rsidR="00DC5854" w:rsidRDefault="00EC5874" w:rsidP="00D579F9">
            <w:pPr>
              <w:spacing w:line="360"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14:anchorId="3E33DB62" wp14:editId="0340CD84">
                  <wp:extent cx="3803904" cy="2157984"/>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3904" cy="2157984"/>
                          </a:xfrm>
                          <a:prstGeom prst="rect">
                            <a:avLst/>
                          </a:prstGeom>
                          <a:noFill/>
                        </pic:spPr>
                      </pic:pic>
                    </a:graphicData>
                  </a:graphic>
                </wp:inline>
              </w:drawing>
            </w:r>
          </w:p>
        </w:tc>
      </w:tr>
      <w:tr w:rsidR="00DC5854" w14:paraId="6871DBC5" w14:textId="77777777" w:rsidTr="00D579F9">
        <w:tc>
          <w:tcPr>
            <w:tcW w:w="9576" w:type="dxa"/>
          </w:tcPr>
          <w:p w14:paraId="3A2D3773" w14:textId="77777777" w:rsidR="00DC5854" w:rsidRDefault="00DC5854" w:rsidP="00D579F9">
            <w:pPr>
              <w:spacing w:line="360" w:lineRule="auto"/>
              <w:jc w:val="center"/>
              <w:rPr>
                <w:rFonts w:ascii="Times New Roman" w:hAnsi="Times New Roman" w:cs="Times New Roman"/>
                <w:b/>
              </w:rPr>
            </w:pPr>
            <w:r w:rsidRPr="0099301F">
              <w:rPr>
                <w:rFonts w:ascii="Times New Roman" w:hAnsi="Times New Roman" w:cs="Times New Roman"/>
                <w:b/>
              </w:rPr>
              <w:t>Figure 1b. Triangular fuzzy membership function for medium volatility sectors</w:t>
            </w:r>
          </w:p>
          <w:p w14:paraId="67EC1F18" w14:textId="77777777" w:rsidR="00D579F9" w:rsidRPr="0099301F" w:rsidRDefault="00D579F9" w:rsidP="00D579F9">
            <w:pPr>
              <w:spacing w:line="360" w:lineRule="auto"/>
              <w:jc w:val="center"/>
              <w:rPr>
                <w:rFonts w:ascii="Times New Roman" w:hAnsi="Times New Roman" w:cs="Times New Roman"/>
                <w:b/>
              </w:rPr>
            </w:pPr>
          </w:p>
        </w:tc>
      </w:tr>
      <w:tr w:rsidR="00DC5854" w14:paraId="3B1EA164" w14:textId="77777777" w:rsidTr="00D579F9">
        <w:tc>
          <w:tcPr>
            <w:tcW w:w="9576" w:type="dxa"/>
          </w:tcPr>
          <w:p w14:paraId="7308FEA9" w14:textId="1AF3B992" w:rsidR="00DC5854" w:rsidRDefault="00947C6E" w:rsidP="00D579F9">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61F7F27E" wp14:editId="2B49E05B">
                  <wp:extent cx="3675888" cy="196596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5888" cy="1965960"/>
                          </a:xfrm>
                          <a:prstGeom prst="rect">
                            <a:avLst/>
                          </a:prstGeom>
                          <a:noFill/>
                        </pic:spPr>
                      </pic:pic>
                    </a:graphicData>
                  </a:graphic>
                </wp:inline>
              </w:drawing>
            </w:r>
          </w:p>
        </w:tc>
      </w:tr>
      <w:tr w:rsidR="00DC5854" w14:paraId="3B05FF81" w14:textId="77777777" w:rsidTr="00D579F9">
        <w:tc>
          <w:tcPr>
            <w:tcW w:w="9576" w:type="dxa"/>
          </w:tcPr>
          <w:p w14:paraId="212246E2" w14:textId="77777777" w:rsidR="00DC5854" w:rsidRPr="0099301F" w:rsidRDefault="00DC5854" w:rsidP="00D579F9">
            <w:pPr>
              <w:spacing w:line="360" w:lineRule="auto"/>
              <w:jc w:val="center"/>
              <w:rPr>
                <w:rFonts w:ascii="Times New Roman" w:hAnsi="Times New Roman" w:cs="Times New Roman"/>
                <w:b/>
              </w:rPr>
            </w:pPr>
            <w:r w:rsidRPr="0099301F">
              <w:rPr>
                <w:rFonts w:ascii="Times New Roman" w:hAnsi="Times New Roman" w:cs="Times New Roman"/>
                <w:b/>
              </w:rPr>
              <w:t>Figure 1c. Triangular fuzzy membership function for low volatility sectors</w:t>
            </w:r>
          </w:p>
        </w:tc>
      </w:tr>
    </w:tbl>
    <w:p w14:paraId="26511175" w14:textId="77777777" w:rsidR="00867DF7" w:rsidRDefault="00867DF7" w:rsidP="006D27EC">
      <w:pPr>
        <w:jc w:val="both"/>
        <w:rPr>
          <w:rFonts w:ascii="Times New Roman" w:hAnsi="Times New Roman" w:cs="Times New Roman"/>
        </w:rPr>
      </w:pPr>
    </w:p>
    <w:p w14:paraId="4B672C97" w14:textId="1B6C56F7" w:rsidR="00913080" w:rsidRPr="00286EB4" w:rsidRDefault="00DD3D79" w:rsidP="00D579F9">
      <w:pPr>
        <w:spacing w:after="0" w:line="360" w:lineRule="auto"/>
        <w:ind w:left="360"/>
        <w:jc w:val="both"/>
        <w:rPr>
          <w:rFonts w:ascii="Times New Roman" w:hAnsi="Times New Roman" w:cs="Times New Roman"/>
        </w:rPr>
      </w:pPr>
      <w:r>
        <w:rPr>
          <w:rFonts w:ascii="Times New Roman" w:hAnsi="Times New Roman" w:cs="Times New Roman"/>
        </w:rPr>
        <w:t xml:space="preserve">The </w:t>
      </w:r>
      <w:r w:rsidR="004D42D3">
        <w:rPr>
          <w:rFonts w:ascii="Times New Roman" w:hAnsi="Times New Roman" w:cs="Times New Roman"/>
        </w:rPr>
        <w:t xml:space="preserve">optimization model will then maximize the consistency index in consideration of </w:t>
      </w:r>
      <w:r w:rsidR="00867DF7">
        <w:rPr>
          <w:rFonts w:ascii="Times New Roman" w:hAnsi="Times New Roman" w:cs="Times New Roman"/>
        </w:rPr>
        <w:t xml:space="preserve">the TFNs of </w:t>
      </w:r>
      <w:r w:rsidR="004D42D3">
        <w:rPr>
          <w:rFonts w:ascii="Times New Roman" w:hAnsi="Times New Roman" w:cs="Times New Roman"/>
        </w:rPr>
        <w:t>all technical coeffic</w:t>
      </w:r>
      <w:r w:rsidR="00867DF7">
        <w:rPr>
          <w:rFonts w:ascii="Times New Roman" w:hAnsi="Times New Roman" w:cs="Times New Roman"/>
        </w:rPr>
        <w:t>ients as given by</w:t>
      </w:r>
      <w:r w:rsidR="004D42D3">
        <w:rPr>
          <w:rFonts w:ascii="Times New Roman" w:hAnsi="Times New Roman" w:cs="Times New Roman"/>
        </w:rPr>
        <w:t xml:space="preserve"> Equations 3 and 4. Furthermore, the column sums of the updated matrix </w:t>
      </w:r>
      <w:r w:rsidR="004D42D3" w:rsidRPr="004D42D3">
        <w:rPr>
          <w:rFonts w:ascii="Times New Roman" w:hAnsi="Times New Roman" w:cs="Times New Roman"/>
          <w:b/>
        </w:rPr>
        <w:t>A</w:t>
      </w:r>
      <w:r w:rsidR="004D42D3">
        <w:rPr>
          <w:rFonts w:ascii="Times New Roman" w:hAnsi="Times New Roman" w:cs="Times New Roman"/>
          <w:b/>
        </w:rPr>
        <w:t xml:space="preserve"> </w:t>
      </w:r>
      <w:r w:rsidR="004D42D3">
        <w:rPr>
          <w:rFonts w:ascii="Times New Roman" w:hAnsi="Times New Roman" w:cs="Times New Roman"/>
        </w:rPr>
        <w:t xml:space="preserve">should be less than or equal to 1 as given by Equation 5.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6"/>
        <w:gridCol w:w="3050"/>
        <w:gridCol w:w="3050"/>
      </w:tblGrid>
      <w:tr w:rsidR="00DE4BAD" w14:paraId="38E8577F" w14:textId="49C3F71E" w:rsidTr="00D579F9">
        <w:tc>
          <w:tcPr>
            <w:tcW w:w="3476" w:type="dxa"/>
          </w:tcPr>
          <w:p w14:paraId="00937EF7" w14:textId="1B891409" w:rsidR="00DE4BAD" w:rsidRPr="004076AA" w:rsidRDefault="00805E0B" w:rsidP="00C22E92">
            <w:pPr>
              <w:spacing w:line="360" w:lineRule="auto"/>
              <w:rPr>
                <w:rFonts w:ascii="Times New Roman" w:hAnsi="Times New Roman" w:cs="Times New Roman"/>
                <w:sz w:val="24"/>
                <w:szCs w:val="24"/>
              </w:rPr>
            </w:pPr>
            <m:oMathPara>
              <m:oMath>
                <m:f>
                  <m:fPr>
                    <m:ctrlPr>
                      <w:rPr>
                        <w:rFonts w:ascii="Cambria Math" w:hAnsi="Cambria Math" w:cs="Times New Roman"/>
                        <w:i/>
                        <w:sz w:val="24"/>
                        <w:szCs w:val="24"/>
                      </w:rPr>
                    </m:ctrlPr>
                  </m:fPr>
                  <m:num>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ij</m:t>
                            </m:r>
                          </m:sub>
                          <m:sup>
                            <m:r>
                              <w:rPr>
                                <w:rFonts w:ascii="Cambria Math" w:hAnsi="Cambria Math" w:cs="Times New Roman"/>
                                <w:sz w:val="24"/>
                                <w:szCs w:val="24"/>
                              </w:rPr>
                              <m:t>L</m:t>
                            </m:r>
                          </m:sup>
                        </m:sSubSup>
                      </m:e>
                    </m:d>
                  </m:num>
                  <m:den>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ij</m:t>
                            </m:r>
                          </m:sub>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ij</m:t>
                            </m:r>
                          </m:sub>
                          <m:sup>
                            <m:r>
                              <w:rPr>
                                <w:rFonts w:ascii="Cambria Math" w:hAnsi="Cambria Math" w:cs="Times New Roman"/>
                                <w:sz w:val="24"/>
                                <w:szCs w:val="24"/>
                              </w:rPr>
                              <m:t>L</m:t>
                            </m:r>
                          </m:sup>
                        </m:sSubSup>
                      </m:e>
                    </m:d>
                  </m:den>
                </m:f>
                <m:r>
                  <w:rPr>
                    <w:rFonts w:ascii="Cambria Math" w:hAnsi="Cambria Math" w:cs="Times New Roman"/>
                    <w:sz w:val="24"/>
                    <w:szCs w:val="24"/>
                  </w:rPr>
                  <m:t>≥λ</m:t>
                </m:r>
              </m:oMath>
            </m:oMathPara>
          </w:p>
        </w:tc>
        <w:tc>
          <w:tcPr>
            <w:tcW w:w="3050" w:type="dxa"/>
            <w:vAlign w:val="center"/>
          </w:tcPr>
          <w:p w14:paraId="357A890C" w14:textId="4BC978F4" w:rsidR="00DE4BAD" w:rsidRPr="007A1A00" w:rsidRDefault="007A1A00" w:rsidP="00C22E92">
            <w:pPr>
              <w:spacing w:line="360" w:lineRule="auto"/>
              <w:jc w:val="center"/>
              <w:rPr>
                <w:rFonts w:ascii="Times New Roman" w:hAnsi="Times New Roman" w:cs="Times New Roman"/>
              </w:rPr>
            </w:pPr>
            <m:oMathPara>
              <m:oMath>
                <m:r>
                  <w:rPr>
                    <w:rFonts w:ascii="Cambria Math" w:hAnsi="Cambria Math" w:cs="Times New Roman"/>
                  </w:rPr>
                  <m:t>∀i,j</m:t>
                </m:r>
              </m:oMath>
            </m:oMathPara>
          </w:p>
        </w:tc>
        <w:tc>
          <w:tcPr>
            <w:tcW w:w="3050" w:type="dxa"/>
          </w:tcPr>
          <w:p w14:paraId="7DEC1A7A" w14:textId="03CBCEAA" w:rsidR="00DE4BAD" w:rsidRPr="004D42D3" w:rsidRDefault="004D42D3" w:rsidP="00C22E92">
            <w:pPr>
              <w:spacing w:line="360" w:lineRule="auto"/>
              <w:jc w:val="right"/>
              <w:rPr>
                <w:rFonts w:ascii="Times New Roman" w:hAnsi="Times New Roman" w:cs="Times New Roman"/>
              </w:rPr>
            </w:pPr>
            <w:r w:rsidRPr="004D42D3">
              <w:rPr>
                <w:rFonts w:ascii="Times New Roman" w:hAnsi="Times New Roman" w:cs="Times New Roman"/>
              </w:rPr>
              <w:t>(3)</w:t>
            </w:r>
          </w:p>
        </w:tc>
      </w:tr>
      <w:tr w:rsidR="00DE4BAD" w14:paraId="4A2F0F8A" w14:textId="65C0BFB1" w:rsidTr="00D579F9">
        <w:tc>
          <w:tcPr>
            <w:tcW w:w="3476" w:type="dxa"/>
          </w:tcPr>
          <w:p w14:paraId="447162AD" w14:textId="74D263C6" w:rsidR="00DE4BAD" w:rsidRPr="004076AA" w:rsidRDefault="00805E0B" w:rsidP="00C22E92">
            <w:pPr>
              <w:spacing w:line="360" w:lineRule="auto"/>
              <w:rPr>
                <w:rFonts w:ascii="Times New Roman" w:hAnsi="Times New Roman" w:cs="Times New Roman"/>
                <w:sz w:val="24"/>
                <w:szCs w:val="24"/>
              </w:rPr>
            </w:pPr>
            <m:oMathPara>
              <m:oMath>
                <m:f>
                  <m:fPr>
                    <m:ctrlPr>
                      <w:rPr>
                        <w:rFonts w:ascii="Cambria Math" w:hAnsi="Cambria Math" w:cs="Times New Roman"/>
                        <w:i/>
                        <w:sz w:val="24"/>
                        <w:szCs w:val="24"/>
                      </w:rPr>
                    </m:ctrlPr>
                  </m:fPr>
                  <m:num>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ij</m:t>
                            </m:r>
                          </m:sub>
                          <m:sup>
                            <m:r>
                              <w:rPr>
                                <w:rFonts w:ascii="Cambria Math" w:hAnsi="Cambria Math" w:cs="Times New Roman"/>
                                <w:sz w:val="24"/>
                                <w:szCs w:val="24"/>
                              </w:rPr>
                              <m:t>U</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m:t>
                            </m:r>
                          </m:sub>
                        </m:sSub>
                      </m:e>
                    </m:d>
                  </m:num>
                  <m:den>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ij</m:t>
                            </m:r>
                          </m:sub>
                          <m:sup>
                            <m:r>
                              <w:rPr>
                                <w:rFonts w:ascii="Cambria Math" w:hAnsi="Cambria Math" w:cs="Times New Roman"/>
                                <w:sz w:val="24"/>
                                <w:szCs w:val="24"/>
                              </w:rPr>
                              <m:t>U</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ij</m:t>
                            </m:r>
                          </m:sub>
                          <m:sup/>
                        </m:sSubSup>
                      </m:e>
                    </m:d>
                  </m:den>
                </m:f>
                <m:r>
                  <w:rPr>
                    <w:rFonts w:ascii="Cambria Math" w:hAnsi="Cambria Math" w:cs="Times New Roman"/>
                    <w:sz w:val="24"/>
                    <w:szCs w:val="24"/>
                  </w:rPr>
                  <m:t>≥λ</m:t>
                </m:r>
              </m:oMath>
            </m:oMathPara>
          </w:p>
        </w:tc>
        <w:tc>
          <w:tcPr>
            <w:tcW w:w="3050" w:type="dxa"/>
            <w:vAlign w:val="center"/>
          </w:tcPr>
          <w:p w14:paraId="4CE361E3" w14:textId="00F053AA" w:rsidR="00DE4BAD" w:rsidRPr="004076AA" w:rsidRDefault="004076AA" w:rsidP="00C22E92">
            <w:pPr>
              <w:spacing w:line="360" w:lineRule="auto"/>
              <w:jc w:val="center"/>
              <w:rPr>
                <w:rFonts w:ascii="Times New Roman" w:hAnsi="Times New Roman" w:cs="Times New Roman"/>
              </w:rPr>
            </w:pPr>
            <m:oMathPara>
              <m:oMath>
                <m:r>
                  <w:rPr>
                    <w:rFonts w:ascii="Cambria Math" w:hAnsi="Cambria Math" w:cs="Times New Roman"/>
                  </w:rPr>
                  <m:t>∀i,j</m:t>
                </m:r>
              </m:oMath>
            </m:oMathPara>
          </w:p>
        </w:tc>
        <w:tc>
          <w:tcPr>
            <w:tcW w:w="3050" w:type="dxa"/>
          </w:tcPr>
          <w:p w14:paraId="2E86CF6E" w14:textId="3CC40CAD" w:rsidR="00DE4BAD" w:rsidRPr="004D42D3" w:rsidRDefault="004D42D3" w:rsidP="00C22E92">
            <w:pPr>
              <w:spacing w:line="360" w:lineRule="auto"/>
              <w:jc w:val="right"/>
              <w:rPr>
                <w:rFonts w:ascii="Times New Roman" w:hAnsi="Times New Roman" w:cs="Times New Roman"/>
              </w:rPr>
            </w:pPr>
            <w:r w:rsidRPr="004D42D3">
              <w:rPr>
                <w:rFonts w:ascii="Times New Roman" w:hAnsi="Times New Roman" w:cs="Times New Roman"/>
              </w:rPr>
              <w:t>(4)</w:t>
            </w:r>
          </w:p>
        </w:tc>
      </w:tr>
      <w:tr w:rsidR="00DE4BAD" w14:paraId="39EA844A" w14:textId="04D0788B" w:rsidTr="00D579F9">
        <w:tc>
          <w:tcPr>
            <w:tcW w:w="3476" w:type="dxa"/>
          </w:tcPr>
          <w:p w14:paraId="0A740551" w14:textId="37F10611" w:rsidR="00DE4BAD" w:rsidRPr="004076AA" w:rsidRDefault="00805E0B" w:rsidP="00C22E92">
            <w:pPr>
              <w:spacing w:line="360" w:lineRule="auto"/>
              <w:rPr>
                <w:rFonts w:ascii="Times New Roman" w:hAnsi="Times New Roman" w:cs="Times New Roman"/>
                <w:sz w:val="24"/>
                <w:szCs w:val="24"/>
              </w:rPr>
            </w:pPr>
            <m:oMathPara>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m:t>
                        </m:r>
                      </m:sub>
                    </m:sSub>
                  </m:e>
                </m:nary>
                <m:r>
                  <w:rPr>
                    <w:rFonts w:ascii="Cambria Math" w:hAnsi="Cambria Math" w:cs="Times New Roman"/>
                    <w:sz w:val="24"/>
                    <w:szCs w:val="24"/>
                  </w:rPr>
                  <m:t>≤1</m:t>
                </m:r>
              </m:oMath>
            </m:oMathPara>
          </w:p>
        </w:tc>
        <w:tc>
          <w:tcPr>
            <w:tcW w:w="3050" w:type="dxa"/>
          </w:tcPr>
          <w:p w14:paraId="1FFCA249" w14:textId="117AC35C" w:rsidR="00DE4BAD" w:rsidRPr="004076AA" w:rsidRDefault="004076AA" w:rsidP="009D6CDD">
            <w:pPr>
              <w:spacing w:line="360" w:lineRule="auto"/>
              <w:rPr>
                <w:rFonts w:ascii="Times New Roman" w:hAnsi="Times New Roman" w:cs="Times New Roman"/>
              </w:rPr>
            </w:pPr>
            <m:oMathPara>
              <m:oMath>
                <m:r>
                  <w:rPr>
                    <w:rFonts w:ascii="Cambria Math" w:hAnsi="Cambria Math" w:cs="Times New Roman"/>
                  </w:rPr>
                  <m:t>∀j</m:t>
                </m:r>
              </m:oMath>
            </m:oMathPara>
          </w:p>
        </w:tc>
        <w:tc>
          <w:tcPr>
            <w:tcW w:w="3050" w:type="dxa"/>
          </w:tcPr>
          <w:p w14:paraId="4CAD2E35" w14:textId="3E5EEEA7" w:rsidR="00DE4BAD" w:rsidRPr="004D42D3" w:rsidRDefault="004D42D3" w:rsidP="00C22E92">
            <w:pPr>
              <w:spacing w:line="360" w:lineRule="auto"/>
              <w:jc w:val="right"/>
              <w:rPr>
                <w:rFonts w:ascii="Times New Roman" w:hAnsi="Times New Roman" w:cs="Times New Roman"/>
              </w:rPr>
            </w:pPr>
            <w:r w:rsidRPr="004D42D3">
              <w:rPr>
                <w:rFonts w:ascii="Times New Roman" w:hAnsi="Times New Roman" w:cs="Times New Roman"/>
              </w:rPr>
              <w:t>(5)</w:t>
            </w:r>
          </w:p>
        </w:tc>
      </w:tr>
    </w:tbl>
    <w:p w14:paraId="4379A914" w14:textId="77777777" w:rsidR="0090459B" w:rsidRDefault="0090459B" w:rsidP="0090459B">
      <w:pPr>
        <w:rPr>
          <w:rFonts w:ascii="Times New Roman" w:hAnsi="Times New Roman" w:cs="Times New Roman"/>
          <w:b/>
        </w:rPr>
      </w:pPr>
    </w:p>
    <w:p w14:paraId="5AF647BF" w14:textId="3A03B532" w:rsidR="004D42D3" w:rsidRDefault="004D42D3" w:rsidP="00C22E92">
      <w:pPr>
        <w:spacing w:after="0" w:line="360" w:lineRule="auto"/>
        <w:ind w:left="360"/>
        <w:jc w:val="both"/>
        <w:rPr>
          <w:rFonts w:ascii="Times New Roman" w:hAnsi="Times New Roman" w:cs="Times New Roman"/>
        </w:rPr>
      </w:pPr>
      <w:r>
        <w:rPr>
          <w:rFonts w:ascii="Times New Roman" w:hAnsi="Times New Roman" w:cs="Times New Roman"/>
        </w:rPr>
        <w:lastRenderedPageBreak/>
        <w:t>The constraint given by Equation 5 is a property of the technical coefficient matrix since the total input</w:t>
      </w:r>
      <w:r w:rsidR="003B07A1">
        <w:rPr>
          <w:rFonts w:ascii="Times New Roman" w:hAnsi="Times New Roman" w:cs="Times New Roman"/>
        </w:rPr>
        <w:t xml:space="preserve"> requirements</w:t>
      </w:r>
      <w:r>
        <w:rPr>
          <w:rFonts w:ascii="Times New Roman" w:hAnsi="Times New Roman" w:cs="Times New Roman"/>
        </w:rPr>
        <w:t xml:space="preserve"> </w:t>
      </w:r>
      <w:r w:rsidR="003B07A1">
        <w:rPr>
          <w:rFonts w:ascii="Times New Roman" w:hAnsi="Times New Roman" w:cs="Times New Roman"/>
        </w:rPr>
        <w:t xml:space="preserve">from the contributing row sectors cannot exceed </w:t>
      </w:r>
      <w:r w:rsidR="00A26CB1">
        <w:rPr>
          <w:rFonts w:ascii="Times New Roman" w:hAnsi="Times New Roman" w:cs="Times New Roman"/>
        </w:rPr>
        <w:t xml:space="preserve">the total </w:t>
      </w:r>
      <w:r w:rsidR="003B07A1">
        <w:rPr>
          <w:rFonts w:ascii="Times New Roman" w:hAnsi="Times New Roman" w:cs="Times New Roman"/>
        </w:rPr>
        <w:t xml:space="preserve">production </w:t>
      </w:r>
      <w:r>
        <w:rPr>
          <w:rFonts w:ascii="Times New Roman" w:hAnsi="Times New Roman" w:cs="Times New Roman"/>
        </w:rPr>
        <w:t>output</w:t>
      </w:r>
      <w:r w:rsidR="003B07A1">
        <w:rPr>
          <w:rFonts w:ascii="Times New Roman" w:hAnsi="Times New Roman" w:cs="Times New Roman"/>
        </w:rPr>
        <w:t xml:space="preserve"> </w:t>
      </w:r>
      <w:r w:rsidR="00A26CB1">
        <w:rPr>
          <w:rFonts w:ascii="Times New Roman" w:hAnsi="Times New Roman" w:cs="Times New Roman"/>
        </w:rPr>
        <w:t>of</w:t>
      </w:r>
      <w:r w:rsidR="003B07A1">
        <w:rPr>
          <w:rFonts w:ascii="Times New Roman" w:hAnsi="Times New Roman" w:cs="Times New Roman"/>
        </w:rPr>
        <w:t xml:space="preserve"> a column sector</w:t>
      </w:r>
      <w:r>
        <w:rPr>
          <w:rFonts w:ascii="Times New Roman" w:hAnsi="Times New Roman" w:cs="Times New Roman"/>
        </w:rPr>
        <w:t xml:space="preserve">. </w:t>
      </w:r>
      <w:r w:rsidR="00E520A2">
        <w:rPr>
          <w:rFonts w:ascii="Times New Roman" w:hAnsi="Times New Roman" w:cs="Times New Roman"/>
        </w:rPr>
        <w:t xml:space="preserve">Furthermore, the updated technical coefficients matrix </w:t>
      </w:r>
      <w:r w:rsidR="00DF7905">
        <w:rPr>
          <w:rFonts w:ascii="Times New Roman" w:hAnsi="Times New Roman" w:cs="Times New Roman"/>
        </w:rPr>
        <w:t>(</w:t>
      </w:r>
      <w:r w:rsidR="0048621F">
        <w:rPr>
          <w:rFonts w:ascii="Times New Roman" w:hAnsi="Times New Roman" w:cs="Times New Roman"/>
          <w:b/>
        </w:rPr>
        <w:t>A’</w:t>
      </w:r>
      <w:r w:rsidR="00DF7905">
        <w:rPr>
          <w:rFonts w:ascii="Times New Roman" w:hAnsi="Times New Roman" w:cs="Times New Roman"/>
        </w:rPr>
        <w:t xml:space="preserve">) </w:t>
      </w:r>
      <w:r w:rsidR="00E520A2">
        <w:rPr>
          <w:rFonts w:ascii="Times New Roman" w:hAnsi="Times New Roman" w:cs="Times New Roman"/>
        </w:rPr>
        <w:t>should maintain the Input-Output relationship given by Equation 6.</w:t>
      </w:r>
    </w:p>
    <w:p w14:paraId="7C72E02A" w14:textId="77777777" w:rsidR="00024436" w:rsidRDefault="00024436" w:rsidP="00C22E92">
      <w:pPr>
        <w:spacing w:after="0" w:line="360" w:lineRule="auto"/>
        <w:ind w:left="360"/>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520A2" w:rsidRPr="004076AA" w14:paraId="536CB415" w14:textId="77777777" w:rsidTr="00024436">
        <w:tc>
          <w:tcPr>
            <w:tcW w:w="4788" w:type="dxa"/>
          </w:tcPr>
          <w:p w14:paraId="091B018D" w14:textId="43ECB0DC" w:rsidR="00E520A2" w:rsidRPr="007A1A00" w:rsidRDefault="007A1A00" w:rsidP="00E84113">
            <w:pPr>
              <w:jc w:val="both"/>
              <w:rPr>
                <w:rFonts w:ascii="Times New Roman" w:hAnsi="Times New Roman" w:cs="Times New Roman"/>
                <w:b/>
                <w:sz w:val="24"/>
                <w:szCs w:val="24"/>
              </w:rPr>
            </w:pPr>
            <m:oMathPara>
              <m:oMath>
                <m:r>
                  <m:rPr>
                    <m:sty m:val="b"/>
                  </m:rPr>
                  <w:rPr>
                    <w:rFonts w:ascii="Cambria Math" w:hAnsi="Cambria Math" w:cs="Times New Roman"/>
                    <w:sz w:val="24"/>
                    <w:szCs w:val="24"/>
                  </w:rPr>
                  <m:t>A'x+y=x</m:t>
                </m:r>
              </m:oMath>
            </m:oMathPara>
          </w:p>
        </w:tc>
        <w:tc>
          <w:tcPr>
            <w:tcW w:w="4788" w:type="dxa"/>
          </w:tcPr>
          <w:p w14:paraId="6C1742DB" w14:textId="2C9CE79C" w:rsidR="00E520A2" w:rsidRPr="004076AA" w:rsidRDefault="00E520A2" w:rsidP="00E520A2">
            <w:pPr>
              <w:jc w:val="right"/>
              <w:rPr>
                <w:rFonts w:ascii="Times New Roman" w:hAnsi="Times New Roman" w:cs="Times New Roman"/>
              </w:rPr>
            </w:pPr>
            <w:r w:rsidRPr="004076AA">
              <w:rPr>
                <w:rFonts w:ascii="Times New Roman" w:hAnsi="Times New Roman" w:cs="Times New Roman"/>
              </w:rPr>
              <w:t>(6)</w:t>
            </w:r>
          </w:p>
        </w:tc>
      </w:tr>
    </w:tbl>
    <w:p w14:paraId="4A464530" w14:textId="77777777" w:rsidR="00E520A2" w:rsidRPr="004076AA" w:rsidRDefault="00E520A2" w:rsidP="00E520A2">
      <w:pPr>
        <w:jc w:val="both"/>
        <w:rPr>
          <w:rFonts w:ascii="Times New Roman" w:hAnsi="Times New Roman" w:cs="Times New Roman"/>
        </w:rPr>
      </w:pPr>
    </w:p>
    <w:p w14:paraId="6881AF4C" w14:textId="7F0F4F1B" w:rsidR="002346BC" w:rsidRDefault="002346BC" w:rsidP="00024436">
      <w:pPr>
        <w:spacing w:after="0" w:line="360" w:lineRule="auto"/>
        <w:ind w:left="360"/>
        <w:jc w:val="both"/>
        <w:rPr>
          <w:rFonts w:ascii="Times New Roman" w:hAnsi="Times New Roman" w:cs="Times New Roman"/>
        </w:rPr>
      </w:pPr>
      <w:r>
        <w:rPr>
          <w:rFonts w:ascii="Times New Roman" w:hAnsi="Times New Roman" w:cs="Times New Roman"/>
        </w:rPr>
        <w:t>Once the over-all consistency index (</w:t>
      </w:r>
      <w:r>
        <w:rPr>
          <w:rFonts w:ascii="Times New Roman" w:hAnsi="Times New Roman" w:cs="Times New Roman"/>
        </w:rPr>
        <w:sym w:font="Symbol" w:char="F06C"/>
      </w:r>
      <w:r>
        <w:rPr>
          <w:rFonts w:ascii="Times New Roman" w:hAnsi="Times New Roman" w:cs="Times New Roman"/>
        </w:rPr>
        <w:t xml:space="preserve">) is identified, it is then utilized as a constraint in the second step of the procedure. The second step is to identify the Pareto optimal solution. This is done by defining that the objective function is to maximize the individual consistency indices </w:t>
      </w:r>
      <w:r w:rsidR="00187D11">
        <w:rPr>
          <w:rFonts w:ascii="Times New Roman" w:hAnsi="Times New Roman" w:cs="Times New Roman"/>
        </w:rPr>
        <w:t>(</w:t>
      </w:r>
      <w:r w:rsidR="00187D11">
        <w:rPr>
          <w:rFonts w:ascii="Times New Roman" w:hAnsi="Times New Roman" w:cs="Times New Roman"/>
        </w:rPr>
        <w:sym w:font="Symbol" w:char="F06C"/>
      </w:r>
      <w:r w:rsidR="00187D11">
        <w:rPr>
          <w:rFonts w:ascii="Times New Roman" w:hAnsi="Times New Roman" w:cs="Times New Roman"/>
          <w:vertAlign w:val="subscript"/>
        </w:rPr>
        <w:t>ij</w:t>
      </w:r>
      <w:r w:rsidR="00187D11">
        <w:rPr>
          <w:rFonts w:ascii="Times New Roman" w:hAnsi="Times New Roman" w:cs="Times New Roman"/>
        </w:rPr>
        <w:t xml:space="preserve">) </w:t>
      </w:r>
      <w:r>
        <w:rPr>
          <w:rFonts w:ascii="Times New Roman" w:hAnsi="Times New Roman" w:cs="Times New Roman"/>
        </w:rPr>
        <w:t>of the technical coef</w:t>
      </w:r>
      <w:r w:rsidR="00EA6D58">
        <w:rPr>
          <w:rFonts w:ascii="Times New Roman" w:hAnsi="Times New Roman" w:cs="Times New Roman"/>
        </w:rPr>
        <w:t>ficients as given by Equation 7 and that each index should not be less than the identified over-all consistency index (</w:t>
      </w:r>
      <w:r w:rsidR="00EA6D58">
        <w:rPr>
          <w:rFonts w:ascii="Times New Roman" w:hAnsi="Times New Roman" w:cs="Times New Roman"/>
        </w:rPr>
        <w:sym w:font="Symbol" w:char="F06C"/>
      </w:r>
      <w:r w:rsidR="00EA6D58">
        <w:rPr>
          <w:rFonts w:ascii="Times New Roman" w:hAnsi="Times New Roman" w:cs="Times New Roman"/>
        </w:rPr>
        <w:t>) as indicated in Equation 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187D11" w14:paraId="3B6F2F09" w14:textId="77777777" w:rsidTr="00024436">
        <w:tc>
          <w:tcPr>
            <w:tcW w:w="3192" w:type="dxa"/>
            <w:vAlign w:val="center"/>
          </w:tcPr>
          <w:p w14:paraId="2EDD7FAB" w14:textId="36C20EC9" w:rsidR="00187D11" w:rsidRPr="004076AA" w:rsidRDefault="00187D11" w:rsidP="00024436">
            <w:pPr>
              <w:spacing w:line="360" w:lineRule="auto"/>
              <w:jc w:val="center"/>
              <w:rPr>
                <w:rFonts w:ascii="Times New Roman" w:hAnsi="Times New Roman" w:cs="Times New Roman"/>
                <w:sz w:val="24"/>
                <w:szCs w:val="24"/>
              </w:rPr>
            </w:pPr>
            <w:r w:rsidRPr="004076AA">
              <w:rPr>
                <w:rFonts w:ascii="Times New Roman" w:hAnsi="Times New Roman" w:cs="Times New Roman"/>
                <w:sz w:val="24"/>
                <w:szCs w:val="24"/>
              </w:rPr>
              <w:t>Max</w:t>
            </w:r>
          </w:p>
        </w:tc>
        <w:tc>
          <w:tcPr>
            <w:tcW w:w="3192" w:type="dxa"/>
          </w:tcPr>
          <w:p w14:paraId="0277940C" w14:textId="186372C2" w:rsidR="00187D11" w:rsidRPr="004076AA" w:rsidRDefault="00805E0B" w:rsidP="00024436">
            <w:pPr>
              <w:spacing w:line="360" w:lineRule="auto"/>
              <w:jc w:val="both"/>
              <w:rPr>
                <w:rFonts w:ascii="Times New Roman" w:hAnsi="Times New Roman" w:cs="Times New Roman"/>
                <w:sz w:val="24"/>
                <w:szCs w:val="24"/>
              </w:rPr>
            </w:pPr>
            <m:oMathPara>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ij</m:t>
                            </m:r>
                          </m:sub>
                        </m:sSub>
                      </m:e>
                    </m:nary>
                  </m:e>
                </m:nary>
              </m:oMath>
            </m:oMathPara>
          </w:p>
        </w:tc>
        <w:tc>
          <w:tcPr>
            <w:tcW w:w="3192" w:type="dxa"/>
            <w:vAlign w:val="center"/>
          </w:tcPr>
          <w:p w14:paraId="40774A6E" w14:textId="2C41B9FB" w:rsidR="00187D11" w:rsidRDefault="00187D11" w:rsidP="00024436">
            <w:pPr>
              <w:spacing w:line="360" w:lineRule="auto"/>
              <w:jc w:val="right"/>
              <w:rPr>
                <w:rFonts w:ascii="Times New Roman" w:hAnsi="Times New Roman" w:cs="Times New Roman"/>
              </w:rPr>
            </w:pPr>
            <w:r>
              <w:rPr>
                <w:rFonts w:ascii="Times New Roman" w:hAnsi="Times New Roman" w:cs="Times New Roman"/>
              </w:rPr>
              <w:t>(7)</w:t>
            </w:r>
          </w:p>
        </w:tc>
      </w:tr>
      <w:tr w:rsidR="00187D11" w14:paraId="6AB61823" w14:textId="77777777" w:rsidTr="00024436">
        <w:tc>
          <w:tcPr>
            <w:tcW w:w="3192" w:type="dxa"/>
          </w:tcPr>
          <w:p w14:paraId="336C4B48" w14:textId="60057960" w:rsidR="00187D11" w:rsidRPr="004076AA" w:rsidRDefault="004076AA" w:rsidP="00024436">
            <w:pPr>
              <w:spacing w:line="360" w:lineRule="auto"/>
              <w:jc w:val="both"/>
              <w:rPr>
                <w:rFonts w:ascii="Times New Roman" w:hAnsi="Times New Roman" w:cs="Times New Roman"/>
                <w:sz w:val="24"/>
                <w:szCs w:val="24"/>
              </w:rPr>
            </w:pPr>
            <m:oMathPara>
              <m:oMath>
                <m:r>
                  <w:rPr>
                    <w:rFonts w:ascii="Cambria Math" w:hAnsi="Cambria Math" w:cs="Times New Roman"/>
                    <w:sz w:val="24"/>
                    <w:szCs w:val="24"/>
                  </w:rPr>
                  <m:t>λ≤</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ij</m:t>
                    </m:r>
                  </m:sub>
                </m:sSub>
                <m:r>
                  <w:rPr>
                    <w:rFonts w:ascii="Cambria Math" w:hAnsi="Cambria Math" w:cs="Times New Roman"/>
                    <w:sz w:val="24"/>
                    <w:szCs w:val="24"/>
                  </w:rPr>
                  <m:t>≤1</m:t>
                </m:r>
              </m:oMath>
            </m:oMathPara>
          </w:p>
        </w:tc>
        <w:tc>
          <w:tcPr>
            <w:tcW w:w="3192" w:type="dxa"/>
          </w:tcPr>
          <w:p w14:paraId="5C90C8EB" w14:textId="1530FCA0" w:rsidR="00187D11" w:rsidRPr="004076AA" w:rsidRDefault="004076AA" w:rsidP="00024436">
            <w:pPr>
              <w:spacing w:line="360" w:lineRule="auto"/>
              <w:jc w:val="both"/>
              <w:rPr>
                <w:rFonts w:ascii="Times New Roman" w:hAnsi="Times New Roman" w:cs="Times New Roman"/>
                <w:sz w:val="24"/>
                <w:szCs w:val="24"/>
              </w:rPr>
            </w:pPr>
            <m:oMathPara>
              <m:oMath>
                <m:r>
                  <w:rPr>
                    <w:rFonts w:ascii="Cambria Math" w:hAnsi="Cambria Math" w:cs="Times New Roman"/>
                    <w:sz w:val="24"/>
                    <w:szCs w:val="24"/>
                  </w:rPr>
                  <m:t>∀i,j</m:t>
                </m:r>
              </m:oMath>
            </m:oMathPara>
          </w:p>
        </w:tc>
        <w:tc>
          <w:tcPr>
            <w:tcW w:w="3192" w:type="dxa"/>
          </w:tcPr>
          <w:p w14:paraId="3978CF51" w14:textId="4DBDF35C" w:rsidR="00187D11" w:rsidRDefault="00187D11" w:rsidP="00024436">
            <w:pPr>
              <w:spacing w:line="360" w:lineRule="auto"/>
              <w:jc w:val="right"/>
              <w:rPr>
                <w:rFonts w:ascii="Times New Roman" w:hAnsi="Times New Roman" w:cs="Times New Roman"/>
              </w:rPr>
            </w:pPr>
            <w:r>
              <w:rPr>
                <w:rFonts w:ascii="Times New Roman" w:hAnsi="Times New Roman" w:cs="Times New Roman"/>
              </w:rPr>
              <w:t>(8)</w:t>
            </w:r>
          </w:p>
        </w:tc>
      </w:tr>
    </w:tbl>
    <w:p w14:paraId="3DBB8757" w14:textId="2D5E9A38" w:rsidR="00187D11" w:rsidRDefault="00187D11" w:rsidP="00E520A2">
      <w:pPr>
        <w:jc w:val="both"/>
        <w:rPr>
          <w:rFonts w:ascii="Times New Roman" w:hAnsi="Times New Roman" w:cs="Times New Roman"/>
        </w:rPr>
      </w:pPr>
    </w:p>
    <w:p w14:paraId="62A94B7A" w14:textId="146BD45B" w:rsidR="00A85F4C" w:rsidRDefault="00A85F4C" w:rsidP="00024436">
      <w:pPr>
        <w:spacing w:after="0" w:line="360" w:lineRule="auto"/>
        <w:ind w:left="360"/>
        <w:jc w:val="both"/>
        <w:rPr>
          <w:rFonts w:ascii="Times New Roman" w:hAnsi="Times New Roman" w:cs="Times New Roman"/>
        </w:rPr>
      </w:pPr>
      <w:r>
        <w:rPr>
          <w:rFonts w:ascii="Times New Roman" w:hAnsi="Times New Roman" w:cs="Times New Roman"/>
        </w:rPr>
        <w:t>Equations</w:t>
      </w:r>
      <w:r w:rsidR="007353CC">
        <w:rPr>
          <w:rFonts w:ascii="Times New Roman" w:hAnsi="Times New Roman" w:cs="Times New Roman"/>
        </w:rPr>
        <w:t xml:space="preserve"> 3 and 4</w:t>
      </w:r>
      <w:r>
        <w:rPr>
          <w:rFonts w:ascii="Times New Roman" w:hAnsi="Times New Roman" w:cs="Times New Roman"/>
        </w:rPr>
        <w:t xml:space="preserve"> are transformed into equations 9 </w:t>
      </w:r>
      <w:r w:rsidR="007353CC">
        <w:rPr>
          <w:rFonts w:ascii="Times New Roman" w:hAnsi="Times New Roman" w:cs="Times New Roman"/>
        </w:rPr>
        <w:t>and 10</w:t>
      </w:r>
      <w:r>
        <w:rPr>
          <w:rFonts w:ascii="Times New Roman" w:hAnsi="Times New Roman" w:cs="Times New Roman"/>
        </w:rPr>
        <w:t xml:space="preserve"> simply by using the individual consistency indices at</w:t>
      </w:r>
      <w:r w:rsidR="007353CC">
        <w:rPr>
          <w:rFonts w:ascii="Times New Roman" w:hAnsi="Times New Roman" w:cs="Times New Roman"/>
        </w:rPr>
        <w:t xml:space="preserve"> the right - </w:t>
      </w:r>
      <w:r>
        <w:rPr>
          <w:rFonts w:ascii="Times New Roman" w:hAnsi="Times New Roman" w:cs="Times New Roman"/>
        </w:rPr>
        <w:t xml:space="preserve">hand side of the inequality instead of the over-all consistency index. </w:t>
      </w:r>
      <w:r w:rsidR="007353CC">
        <w:rPr>
          <w:rFonts w:ascii="Times New Roman" w:hAnsi="Times New Roman" w:cs="Times New Roman"/>
        </w:rPr>
        <w:t>Equations 5 and 6 are maintained as constraints.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6"/>
        <w:gridCol w:w="3050"/>
        <w:gridCol w:w="3050"/>
      </w:tblGrid>
      <w:tr w:rsidR="00A85F4C" w14:paraId="72D5A25A" w14:textId="77777777" w:rsidTr="00024436">
        <w:tc>
          <w:tcPr>
            <w:tcW w:w="3476" w:type="dxa"/>
          </w:tcPr>
          <w:p w14:paraId="5952DD1E" w14:textId="1501C3A5" w:rsidR="00A85F4C" w:rsidRPr="004076AA" w:rsidRDefault="00805E0B" w:rsidP="00024436">
            <w:pPr>
              <w:spacing w:line="360" w:lineRule="auto"/>
              <w:rPr>
                <w:rFonts w:ascii="Times New Roman" w:hAnsi="Times New Roman" w:cs="Times New Roman"/>
                <w:sz w:val="24"/>
                <w:szCs w:val="24"/>
              </w:rPr>
            </w:pPr>
            <m:oMathPara>
              <m:oMath>
                <m:f>
                  <m:fPr>
                    <m:ctrlPr>
                      <w:rPr>
                        <w:rFonts w:ascii="Cambria Math" w:hAnsi="Cambria Math" w:cs="Times New Roman"/>
                        <w:i/>
                        <w:sz w:val="24"/>
                        <w:szCs w:val="24"/>
                      </w:rPr>
                    </m:ctrlPr>
                  </m:fPr>
                  <m:num>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ij</m:t>
                            </m:r>
                          </m:sub>
                          <m:sup>
                            <m:r>
                              <w:rPr>
                                <w:rFonts w:ascii="Cambria Math" w:hAnsi="Cambria Math" w:cs="Times New Roman"/>
                                <w:sz w:val="24"/>
                                <w:szCs w:val="24"/>
                              </w:rPr>
                              <m:t>L</m:t>
                            </m:r>
                          </m:sup>
                        </m:sSubSup>
                      </m:e>
                    </m:d>
                  </m:num>
                  <m:den>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ij</m:t>
                            </m:r>
                          </m:sub>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ij</m:t>
                            </m:r>
                          </m:sub>
                          <m:sup>
                            <m:r>
                              <w:rPr>
                                <w:rFonts w:ascii="Cambria Math" w:hAnsi="Cambria Math" w:cs="Times New Roman"/>
                                <w:sz w:val="24"/>
                                <w:szCs w:val="24"/>
                              </w:rPr>
                              <m:t>L</m:t>
                            </m:r>
                          </m:sup>
                        </m:sSubSup>
                      </m:e>
                    </m:d>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ij</m:t>
                    </m:r>
                  </m:sub>
                </m:sSub>
              </m:oMath>
            </m:oMathPara>
          </w:p>
        </w:tc>
        <w:tc>
          <w:tcPr>
            <w:tcW w:w="3050" w:type="dxa"/>
            <w:vAlign w:val="center"/>
          </w:tcPr>
          <w:p w14:paraId="5AF9AEB3" w14:textId="7FBBD5D1" w:rsidR="00A85F4C" w:rsidRPr="004076AA" w:rsidRDefault="004076AA" w:rsidP="00024436">
            <w:pPr>
              <w:spacing w:line="360" w:lineRule="auto"/>
              <w:jc w:val="center"/>
              <w:rPr>
                <w:rFonts w:ascii="Times New Roman" w:hAnsi="Times New Roman" w:cs="Times New Roman"/>
                <w:sz w:val="24"/>
                <w:szCs w:val="24"/>
              </w:rPr>
            </w:pPr>
            <m:oMathPara>
              <m:oMath>
                <m:r>
                  <w:rPr>
                    <w:rFonts w:ascii="Cambria Math" w:hAnsi="Cambria Math" w:cs="Times New Roman"/>
                    <w:sz w:val="24"/>
                    <w:szCs w:val="24"/>
                  </w:rPr>
                  <m:t>∀i,j</m:t>
                </m:r>
              </m:oMath>
            </m:oMathPara>
          </w:p>
        </w:tc>
        <w:tc>
          <w:tcPr>
            <w:tcW w:w="3050" w:type="dxa"/>
            <w:vAlign w:val="center"/>
          </w:tcPr>
          <w:p w14:paraId="37AFEAF6" w14:textId="51DBCD2C" w:rsidR="00A85F4C" w:rsidRPr="004D42D3" w:rsidRDefault="00A85F4C" w:rsidP="00024436">
            <w:pPr>
              <w:spacing w:line="360" w:lineRule="auto"/>
              <w:jc w:val="right"/>
              <w:rPr>
                <w:rFonts w:ascii="Times New Roman" w:hAnsi="Times New Roman" w:cs="Times New Roman"/>
              </w:rPr>
            </w:pPr>
            <w:r w:rsidRPr="004D42D3">
              <w:rPr>
                <w:rFonts w:ascii="Times New Roman" w:hAnsi="Times New Roman" w:cs="Times New Roman"/>
              </w:rPr>
              <w:t>(</w:t>
            </w:r>
            <w:r>
              <w:rPr>
                <w:rFonts w:ascii="Times New Roman" w:hAnsi="Times New Roman" w:cs="Times New Roman"/>
              </w:rPr>
              <w:t>9</w:t>
            </w:r>
            <w:r w:rsidRPr="004D42D3">
              <w:rPr>
                <w:rFonts w:ascii="Times New Roman" w:hAnsi="Times New Roman" w:cs="Times New Roman"/>
              </w:rPr>
              <w:t>)</w:t>
            </w:r>
          </w:p>
        </w:tc>
      </w:tr>
      <w:tr w:rsidR="00A85F4C" w14:paraId="201AA851" w14:textId="77777777" w:rsidTr="00024436">
        <w:tc>
          <w:tcPr>
            <w:tcW w:w="3476" w:type="dxa"/>
          </w:tcPr>
          <w:p w14:paraId="08C23F60" w14:textId="25A01F7A" w:rsidR="00A85F4C" w:rsidRPr="004076AA" w:rsidRDefault="00805E0B" w:rsidP="00955EB6">
            <w:pPr>
              <w:spacing w:line="360" w:lineRule="auto"/>
              <w:rPr>
                <w:rFonts w:ascii="Times New Roman" w:hAnsi="Times New Roman" w:cs="Times New Roman"/>
                <w:sz w:val="24"/>
                <w:szCs w:val="24"/>
              </w:rPr>
            </w:pPr>
            <m:oMathPara>
              <m:oMath>
                <m:f>
                  <m:fPr>
                    <m:ctrlPr>
                      <w:rPr>
                        <w:rFonts w:ascii="Cambria Math" w:hAnsi="Cambria Math" w:cs="Times New Roman"/>
                        <w:i/>
                        <w:sz w:val="24"/>
                        <w:szCs w:val="24"/>
                      </w:rPr>
                    </m:ctrlPr>
                  </m:fPr>
                  <m:num>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ij</m:t>
                            </m:r>
                          </m:sub>
                          <m:sup>
                            <m:r>
                              <w:rPr>
                                <w:rFonts w:ascii="Cambria Math" w:hAnsi="Cambria Math" w:cs="Times New Roman"/>
                                <w:sz w:val="24"/>
                                <w:szCs w:val="24"/>
                              </w:rPr>
                              <m:t>U</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ij</m:t>
                            </m:r>
                          </m:sub>
                        </m:sSub>
                      </m:e>
                    </m:d>
                  </m:num>
                  <m:den>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ij</m:t>
                            </m:r>
                          </m:sub>
                          <m:sup>
                            <m:r>
                              <w:rPr>
                                <w:rFonts w:ascii="Cambria Math" w:hAnsi="Cambria Math" w:cs="Times New Roman"/>
                                <w:sz w:val="24"/>
                                <w:szCs w:val="24"/>
                              </w:rPr>
                              <m:t>U</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a</m:t>
                            </m:r>
                          </m:e>
                          <m:sub>
                            <m:r>
                              <w:rPr>
                                <w:rFonts w:ascii="Cambria Math" w:hAnsi="Cambria Math" w:cs="Times New Roman"/>
                                <w:sz w:val="24"/>
                                <w:szCs w:val="24"/>
                              </w:rPr>
                              <m:t>ij</m:t>
                            </m:r>
                          </m:sub>
                          <m:sup/>
                        </m:sSubSup>
                      </m:e>
                    </m:d>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ij</m:t>
                    </m:r>
                  </m:sub>
                </m:sSub>
              </m:oMath>
            </m:oMathPara>
          </w:p>
        </w:tc>
        <w:tc>
          <w:tcPr>
            <w:tcW w:w="3050" w:type="dxa"/>
            <w:vAlign w:val="center"/>
          </w:tcPr>
          <w:p w14:paraId="1F05EFEA" w14:textId="08F88633" w:rsidR="00A85F4C" w:rsidRPr="004076AA" w:rsidRDefault="004076AA" w:rsidP="00024436">
            <w:pPr>
              <w:spacing w:line="360" w:lineRule="auto"/>
              <w:jc w:val="center"/>
              <w:rPr>
                <w:rFonts w:ascii="Times New Roman" w:hAnsi="Times New Roman" w:cs="Times New Roman"/>
                <w:sz w:val="24"/>
                <w:szCs w:val="24"/>
              </w:rPr>
            </w:pPr>
            <m:oMathPara>
              <m:oMath>
                <m:r>
                  <w:rPr>
                    <w:rFonts w:ascii="Cambria Math" w:hAnsi="Cambria Math" w:cs="Times New Roman"/>
                    <w:sz w:val="24"/>
                    <w:szCs w:val="24"/>
                  </w:rPr>
                  <m:t>∀i,j</m:t>
                </m:r>
              </m:oMath>
            </m:oMathPara>
          </w:p>
        </w:tc>
        <w:tc>
          <w:tcPr>
            <w:tcW w:w="3050" w:type="dxa"/>
            <w:vAlign w:val="center"/>
          </w:tcPr>
          <w:p w14:paraId="41D193AA" w14:textId="2EB9A5A5" w:rsidR="00A85F4C" w:rsidRPr="004D42D3" w:rsidRDefault="00A85F4C" w:rsidP="00024436">
            <w:pPr>
              <w:spacing w:line="360" w:lineRule="auto"/>
              <w:jc w:val="right"/>
              <w:rPr>
                <w:rFonts w:ascii="Times New Roman" w:hAnsi="Times New Roman" w:cs="Times New Roman"/>
              </w:rPr>
            </w:pPr>
            <w:r>
              <w:rPr>
                <w:rFonts w:ascii="Times New Roman" w:hAnsi="Times New Roman" w:cs="Times New Roman"/>
              </w:rPr>
              <w:t>(10</w:t>
            </w:r>
            <w:r w:rsidRPr="004D42D3">
              <w:rPr>
                <w:rFonts w:ascii="Times New Roman" w:hAnsi="Times New Roman" w:cs="Times New Roman"/>
              </w:rPr>
              <w:t>)</w:t>
            </w:r>
          </w:p>
        </w:tc>
      </w:tr>
    </w:tbl>
    <w:p w14:paraId="6B5108FF" w14:textId="2A70DFF3" w:rsidR="005B1931" w:rsidRPr="005B1931" w:rsidRDefault="005B1931" w:rsidP="006D7A4C">
      <w:pPr>
        <w:jc w:val="center"/>
        <w:rPr>
          <w:rFonts w:ascii="Times New Roman" w:hAnsi="Times New Roman" w:cs="Times New Roman"/>
          <w:b/>
        </w:rPr>
      </w:pPr>
    </w:p>
    <w:p w14:paraId="29338C54" w14:textId="2E1D22CC" w:rsidR="000B3AC6" w:rsidRDefault="0090459B" w:rsidP="004E6E68">
      <w:pPr>
        <w:pStyle w:val="ListParagraph"/>
        <w:numPr>
          <w:ilvl w:val="0"/>
          <w:numId w:val="2"/>
        </w:numPr>
        <w:rPr>
          <w:rFonts w:ascii="Times New Roman" w:hAnsi="Times New Roman" w:cs="Times New Roman"/>
          <w:b/>
        </w:rPr>
      </w:pPr>
      <w:r>
        <w:rPr>
          <w:rFonts w:ascii="Times New Roman" w:hAnsi="Times New Roman" w:cs="Times New Roman"/>
          <w:b/>
        </w:rPr>
        <w:t>Case S</w:t>
      </w:r>
      <w:r w:rsidR="000B3AC6">
        <w:rPr>
          <w:rFonts w:ascii="Times New Roman" w:hAnsi="Times New Roman" w:cs="Times New Roman"/>
          <w:b/>
        </w:rPr>
        <w:t>tudy</w:t>
      </w:r>
    </w:p>
    <w:p w14:paraId="28CD20A5" w14:textId="1C1378BB" w:rsidR="00E520A2" w:rsidRDefault="00E520A2" w:rsidP="009C009E">
      <w:pPr>
        <w:spacing w:after="0" w:line="360" w:lineRule="auto"/>
        <w:ind w:left="360"/>
        <w:jc w:val="both"/>
        <w:rPr>
          <w:rFonts w:ascii="Times New Roman" w:hAnsi="Times New Roman" w:cs="Times New Roman"/>
        </w:rPr>
      </w:pPr>
      <w:r>
        <w:rPr>
          <w:rFonts w:ascii="Times New Roman" w:hAnsi="Times New Roman" w:cs="Times New Roman"/>
        </w:rPr>
        <w:t>The case study considered here utilizes the</w:t>
      </w:r>
      <w:r w:rsidR="00A038A4">
        <w:rPr>
          <w:rFonts w:ascii="Times New Roman" w:hAnsi="Times New Roman" w:cs="Times New Roman"/>
        </w:rPr>
        <w:t xml:space="preserve"> low-resolution</w:t>
      </w:r>
      <w:r>
        <w:rPr>
          <w:rFonts w:ascii="Times New Roman" w:hAnsi="Times New Roman" w:cs="Times New Roman"/>
        </w:rPr>
        <w:t xml:space="preserve"> </w:t>
      </w:r>
      <w:r w:rsidR="00A038A4">
        <w:rPr>
          <w:rFonts w:ascii="Times New Roman" w:hAnsi="Times New Roman" w:cs="Times New Roman"/>
        </w:rPr>
        <w:t>3-sector</w:t>
      </w:r>
      <w:r>
        <w:rPr>
          <w:rFonts w:ascii="Times New Roman" w:hAnsi="Times New Roman" w:cs="Times New Roman"/>
        </w:rPr>
        <w:t xml:space="preserve"> IO Table of the </w:t>
      </w:r>
      <w:r w:rsidR="00A038A4">
        <w:rPr>
          <w:rFonts w:ascii="Times New Roman" w:hAnsi="Times New Roman" w:cs="Times New Roman"/>
        </w:rPr>
        <w:t xml:space="preserve">Republic of the </w:t>
      </w:r>
      <w:r>
        <w:rPr>
          <w:rFonts w:ascii="Times New Roman" w:hAnsi="Times New Roman" w:cs="Times New Roman"/>
        </w:rPr>
        <w:t xml:space="preserve">Philippines for the year </w:t>
      </w:r>
      <w:r w:rsidR="00EE44E7">
        <w:rPr>
          <w:rFonts w:ascii="Times New Roman" w:hAnsi="Times New Roman" w:cs="Times New Roman"/>
        </w:rPr>
        <w:t xml:space="preserve">1994. The three economic sectors considered are Agriculture, Industries and Services. </w:t>
      </w:r>
      <w:r>
        <w:rPr>
          <w:rFonts w:ascii="Times New Roman" w:hAnsi="Times New Roman" w:cs="Times New Roman"/>
        </w:rPr>
        <w:t>The technical coefficients matrix (</w:t>
      </w:r>
      <w:r>
        <w:rPr>
          <w:rFonts w:ascii="Times New Roman" w:hAnsi="Times New Roman" w:cs="Times New Roman"/>
          <w:b/>
        </w:rPr>
        <w:t>A</w:t>
      </w:r>
      <w:r>
        <w:rPr>
          <w:rFonts w:ascii="Times New Roman" w:hAnsi="Times New Roman" w:cs="Times New Roman"/>
        </w:rPr>
        <w:t xml:space="preserve">) together with the final demand and total output </w:t>
      </w:r>
      <w:r w:rsidR="00EE44E7">
        <w:rPr>
          <w:rFonts w:ascii="Times New Roman" w:hAnsi="Times New Roman" w:cs="Times New Roman"/>
        </w:rPr>
        <w:t xml:space="preserve">for the year 1994 </w:t>
      </w:r>
      <w:r>
        <w:rPr>
          <w:rFonts w:ascii="Times New Roman" w:hAnsi="Times New Roman" w:cs="Times New Roman"/>
        </w:rPr>
        <w:t xml:space="preserve">are shown in Table 1. The objective is to update these technical coefficients </w:t>
      </w:r>
      <w:r w:rsidR="006472E1">
        <w:rPr>
          <w:rFonts w:ascii="Times New Roman" w:hAnsi="Times New Roman" w:cs="Times New Roman"/>
        </w:rPr>
        <w:t>and provide an estimate of the technical coefficients matrix (</w:t>
      </w:r>
      <w:r w:rsidR="003B2D15">
        <w:rPr>
          <w:rFonts w:ascii="Times New Roman" w:hAnsi="Times New Roman" w:cs="Times New Roman"/>
          <w:b/>
        </w:rPr>
        <w:t>A’</w:t>
      </w:r>
      <w:r w:rsidR="00EE44E7">
        <w:rPr>
          <w:rFonts w:ascii="Times New Roman" w:hAnsi="Times New Roman" w:cs="Times New Roman"/>
        </w:rPr>
        <w:t xml:space="preserve">) for another year, which is taken to be the year 2000. The final demands and total outputs of the three sectors in the year 2000 are provided in Table 2. </w:t>
      </w:r>
      <w:r w:rsidR="00EE44E7">
        <w:rPr>
          <w:rFonts w:ascii="Times New Roman" w:hAnsi="Times New Roman" w:cs="Times New Roman"/>
        </w:rPr>
        <w:lastRenderedPageBreak/>
        <w:t>Furthermore, exogenously defined volatility judgments on the economic sect</w:t>
      </w:r>
      <w:r w:rsidR="00322099">
        <w:rPr>
          <w:rFonts w:ascii="Times New Roman" w:hAnsi="Times New Roman" w:cs="Times New Roman"/>
        </w:rPr>
        <w:t>ors are given</w:t>
      </w:r>
      <w:r w:rsidR="0075798F">
        <w:rPr>
          <w:rFonts w:ascii="Times New Roman" w:hAnsi="Times New Roman" w:cs="Times New Roman"/>
        </w:rPr>
        <w:t>. These are</w:t>
      </w:r>
      <w:r w:rsidR="00322099">
        <w:rPr>
          <w:rFonts w:ascii="Times New Roman" w:hAnsi="Times New Roman" w:cs="Times New Roman"/>
        </w:rPr>
        <w:t xml:space="preserve"> assumed to apply uniformly </w:t>
      </w:r>
      <w:r w:rsidR="0075798F">
        <w:rPr>
          <w:rFonts w:ascii="Times New Roman" w:hAnsi="Times New Roman" w:cs="Times New Roman"/>
        </w:rPr>
        <w:t xml:space="preserve">throughout </w:t>
      </w:r>
      <w:r w:rsidR="00BF1C7F">
        <w:rPr>
          <w:rFonts w:ascii="Times New Roman" w:hAnsi="Times New Roman" w:cs="Times New Roman"/>
        </w:rPr>
        <w:t>a column.</w:t>
      </w:r>
      <w:r w:rsidR="0075798F">
        <w:rPr>
          <w:rFonts w:ascii="Times New Roman" w:hAnsi="Times New Roman" w:cs="Times New Roman"/>
        </w:rPr>
        <w:t xml:space="preserve"> </w:t>
      </w:r>
      <w:r w:rsidR="00322099">
        <w:rPr>
          <w:rFonts w:ascii="Times New Roman" w:hAnsi="Times New Roman" w:cs="Times New Roman"/>
        </w:rPr>
        <w:t xml:space="preserve"> </w:t>
      </w:r>
    </w:p>
    <w:p w14:paraId="2F0CFFAC" w14:textId="77777777" w:rsidR="00A038A4" w:rsidRPr="00E520A2" w:rsidRDefault="00A038A4" w:rsidP="009C009E">
      <w:pPr>
        <w:spacing w:after="0" w:line="360" w:lineRule="auto"/>
        <w:ind w:left="360"/>
        <w:jc w:val="both"/>
        <w:rPr>
          <w:rFonts w:ascii="Times New Roman" w:hAnsi="Times New Roman" w:cs="Times New Roman"/>
        </w:rPr>
      </w:pPr>
    </w:p>
    <w:p w14:paraId="7B2ED3CC" w14:textId="091758E4" w:rsidR="00D92C95" w:rsidRPr="00DB4A4F" w:rsidRDefault="00995C6E" w:rsidP="009C009E">
      <w:pPr>
        <w:ind w:left="360"/>
        <w:rPr>
          <w:rFonts w:ascii="Times New Roman" w:hAnsi="Times New Roman" w:cs="Times New Roman"/>
          <w:b/>
        </w:rPr>
      </w:pPr>
      <w:r w:rsidRPr="00DB4A4F">
        <w:rPr>
          <w:rFonts w:ascii="Times New Roman" w:hAnsi="Times New Roman" w:cs="Times New Roman"/>
          <w:b/>
        </w:rPr>
        <w:t xml:space="preserve">Table 1. Technical Coefficients Matrix (A) of the Philippines in the Year </w:t>
      </w:r>
      <w:r w:rsidR="00EA2556" w:rsidRPr="00DB4A4F">
        <w:rPr>
          <w:rFonts w:ascii="Times New Roman" w:hAnsi="Times New Roman" w:cs="Times New Roman"/>
          <w:b/>
        </w:rPr>
        <w:t xml:space="preserve">1994 (PNSCB, </w:t>
      </w:r>
      <w:r w:rsidR="000B6AD1">
        <w:rPr>
          <w:rFonts w:ascii="Times New Roman" w:hAnsi="Times New Roman" w:cs="Times New Roman"/>
          <w:b/>
        </w:rPr>
        <w:t>2014</w:t>
      </w:r>
      <w:r w:rsidRPr="00DB4A4F">
        <w:rPr>
          <w:rFonts w:ascii="Times New Roman" w:hAnsi="Times New Roman" w:cs="Times New Roman"/>
          <w:b/>
        </w:rPr>
        <w:t>)</w:t>
      </w:r>
    </w:p>
    <w:tbl>
      <w:tblPr>
        <w:tblStyle w:val="LightList"/>
        <w:tblW w:w="4756" w:type="pct"/>
        <w:tblInd w:w="468" w:type="dxa"/>
        <w:tblLook w:val="04A0" w:firstRow="1" w:lastRow="0" w:firstColumn="1" w:lastColumn="0" w:noHBand="0" w:noVBand="1"/>
      </w:tblPr>
      <w:tblGrid>
        <w:gridCol w:w="1316"/>
        <w:gridCol w:w="1521"/>
        <w:gridCol w:w="1521"/>
        <w:gridCol w:w="1521"/>
        <w:gridCol w:w="1712"/>
        <w:gridCol w:w="1518"/>
      </w:tblGrid>
      <w:tr w:rsidR="00DE7FDB" w14:paraId="79B53F23" w14:textId="77777777" w:rsidTr="009C009E">
        <w:trPr>
          <w:cnfStyle w:val="100000000000" w:firstRow="1" w:lastRow="0" w:firstColumn="0" w:lastColumn="0" w:oddVBand="0" w:evenVBand="0" w:oddHBand="0"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602" w:type="pct"/>
          </w:tcPr>
          <w:p w14:paraId="6617D401" w14:textId="77777777" w:rsidR="00DE7FDB" w:rsidRDefault="00DE7FDB" w:rsidP="00821D7E">
            <w:pPr>
              <w:spacing w:line="360" w:lineRule="auto"/>
              <w:rPr>
                <w:rFonts w:ascii="Times New Roman" w:hAnsi="Times New Roman" w:cs="Times New Roman"/>
                <w:b w:val="0"/>
              </w:rPr>
            </w:pPr>
          </w:p>
        </w:tc>
        <w:tc>
          <w:tcPr>
            <w:tcW w:w="859" w:type="pct"/>
          </w:tcPr>
          <w:p w14:paraId="3B2D2984" w14:textId="285A89E0" w:rsidR="00DE7FDB" w:rsidRPr="0092240E" w:rsidRDefault="00DE7FDB" w:rsidP="00821D7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2240E">
              <w:rPr>
                <w:rFonts w:ascii="Times New Roman" w:hAnsi="Times New Roman" w:cs="Times New Roman"/>
              </w:rPr>
              <w:t>Agriculture</w:t>
            </w:r>
          </w:p>
        </w:tc>
        <w:tc>
          <w:tcPr>
            <w:tcW w:w="859" w:type="pct"/>
          </w:tcPr>
          <w:p w14:paraId="4E9E9028" w14:textId="346827E6" w:rsidR="00DE7FDB" w:rsidRPr="0092240E" w:rsidRDefault="00DE7FDB" w:rsidP="00821D7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2240E">
              <w:rPr>
                <w:rFonts w:ascii="Times New Roman" w:hAnsi="Times New Roman" w:cs="Times New Roman"/>
              </w:rPr>
              <w:t>Industry</w:t>
            </w:r>
          </w:p>
        </w:tc>
        <w:tc>
          <w:tcPr>
            <w:tcW w:w="859" w:type="pct"/>
          </w:tcPr>
          <w:p w14:paraId="340D3B41" w14:textId="1ACF6E03" w:rsidR="00DE7FDB" w:rsidRPr="0092240E" w:rsidRDefault="00DE7FDB" w:rsidP="00821D7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2240E">
              <w:rPr>
                <w:rFonts w:ascii="Times New Roman" w:hAnsi="Times New Roman" w:cs="Times New Roman"/>
              </w:rPr>
              <w:t>Services</w:t>
            </w:r>
          </w:p>
        </w:tc>
        <w:tc>
          <w:tcPr>
            <w:tcW w:w="1821" w:type="pct"/>
            <w:gridSpan w:val="2"/>
          </w:tcPr>
          <w:p w14:paraId="72289EE8" w14:textId="1A0DAFE7" w:rsidR="00DE7FDB" w:rsidRPr="0092240E" w:rsidRDefault="00DE7FDB" w:rsidP="00821D7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2240E">
              <w:rPr>
                <w:rFonts w:ascii="Times New Roman" w:hAnsi="Times New Roman" w:cs="Times New Roman"/>
              </w:rPr>
              <w:t>In Thousand PhP</w:t>
            </w:r>
          </w:p>
        </w:tc>
      </w:tr>
      <w:tr w:rsidR="00DE7FDB" w14:paraId="29016B12" w14:textId="77777777" w:rsidTr="009C0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 w:type="pct"/>
          </w:tcPr>
          <w:p w14:paraId="290CA96A" w14:textId="77777777" w:rsidR="00DE7FDB" w:rsidRDefault="00DE7FDB" w:rsidP="00821D7E">
            <w:pPr>
              <w:spacing w:line="360" w:lineRule="auto"/>
              <w:rPr>
                <w:rFonts w:ascii="Times New Roman" w:hAnsi="Times New Roman" w:cs="Times New Roman"/>
                <w:b w:val="0"/>
              </w:rPr>
            </w:pPr>
          </w:p>
        </w:tc>
        <w:tc>
          <w:tcPr>
            <w:tcW w:w="859" w:type="pct"/>
          </w:tcPr>
          <w:p w14:paraId="65CC15A8" w14:textId="77777777" w:rsidR="00DE7FDB" w:rsidRDefault="00DE7FDB" w:rsidP="00821D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859" w:type="pct"/>
          </w:tcPr>
          <w:p w14:paraId="6167B92D" w14:textId="77777777" w:rsidR="00DE7FDB" w:rsidRDefault="00DE7FDB" w:rsidP="00821D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859" w:type="pct"/>
          </w:tcPr>
          <w:p w14:paraId="6337E9CF" w14:textId="77777777" w:rsidR="00DE7FDB" w:rsidRDefault="00DE7FDB" w:rsidP="00821D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964" w:type="pct"/>
          </w:tcPr>
          <w:p w14:paraId="05E39672" w14:textId="3F7E3AF9" w:rsidR="00DE7FDB" w:rsidRDefault="002974F2" w:rsidP="00821D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 xml:space="preserve">1994 </w:t>
            </w:r>
            <w:r w:rsidR="00DE7FDB">
              <w:rPr>
                <w:rFonts w:ascii="Times New Roman" w:hAnsi="Times New Roman" w:cs="Times New Roman"/>
                <w:b/>
              </w:rPr>
              <w:t>Final Demand</w:t>
            </w:r>
          </w:p>
          <w:p w14:paraId="73118AB4" w14:textId="070F4A57" w:rsidR="00DE7FDB" w:rsidRDefault="00DE7FDB" w:rsidP="00821D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(y)</w:t>
            </w:r>
          </w:p>
        </w:tc>
        <w:tc>
          <w:tcPr>
            <w:tcW w:w="857" w:type="pct"/>
          </w:tcPr>
          <w:p w14:paraId="70A3A48C" w14:textId="68A940DE" w:rsidR="00DE7FDB" w:rsidRDefault="002974F2" w:rsidP="00821D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 xml:space="preserve">1994 </w:t>
            </w:r>
            <w:r w:rsidR="00DE7FDB">
              <w:rPr>
                <w:rFonts w:ascii="Times New Roman" w:hAnsi="Times New Roman" w:cs="Times New Roman"/>
                <w:b/>
              </w:rPr>
              <w:t>Total Output</w:t>
            </w:r>
          </w:p>
          <w:p w14:paraId="030319CC" w14:textId="50EC90DC" w:rsidR="00DE7FDB" w:rsidRDefault="00DE7FDB" w:rsidP="00821D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(x)</w:t>
            </w:r>
          </w:p>
        </w:tc>
      </w:tr>
      <w:tr w:rsidR="00F901E0" w14:paraId="177EF727" w14:textId="77777777" w:rsidTr="009C009E">
        <w:tc>
          <w:tcPr>
            <w:cnfStyle w:val="001000000000" w:firstRow="0" w:lastRow="0" w:firstColumn="1" w:lastColumn="0" w:oddVBand="0" w:evenVBand="0" w:oddHBand="0" w:evenHBand="0" w:firstRowFirstColumn="0" w:firstRowLastColumn="0" w:lastRowFirstColumn="0" w:lastRowLastColumn="0"/>
            <w:tcW w:w="602" w:type="pct"/>
          </w:tcPr>
          <w:p w14:paraId="39440A8A" w14:textId="73C01C78" w:rsidR="00F901E0" w:rsidRPr="0092240E" w:rsidRDefault="00F901E0" w:rsidP="00821D7E">
            <w:pPr>
              <w:spacing w:line="360" w:lineRule="auto"/>
              <w:rPr>
                <w:rFonts w:ascii="Times New Roman" w:hAnsi="Times New Roman" w:cs="Times New Roman"/>
              </w:rPr>
            </w:pPr>
            <w:r w:rsidRPr="0092240E">
              <w:rPr>
                <w:rFonts w:ascii="Times New Roman" w:hAnsi="Times New Roman" w:cs="Times New Roman"/>
              </w:rPr>
              <w:t>Agriculture</w:t>
            </w:r>
          </w:p>
        </w:tc>
        <w:tc>
          <w:tcPr>
            <w:tcW w:w="859" w:type="pct"/>
          </w:tcPr>
          <w:p w14:paraId="02552E79" w14:textId="53A4AECD" w:rsidR="00F901E0" w:rsidRPr="00D22F21" w:rsidRDefault="00EA2556" w:rsidP="00821D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0.0963</w:t>
            </w:r>
          </w:p>
        </w:tc>
        <w:tc>
          <w:tcPr>
            <w:tcW w:w="859" w:type="pct"/>
          </w:tcPr>
          <w:p w14:paraId="18E47F5F" w14:textId="7EE76F76" w:rsidR="00F901E0" w:rsidRPr="00D22F21" w:rsidRDefault="00EA2556" w:rsidP="00821D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0.1399</w:t>
            </w:r>
          </w:p>
        </w:tc>
        <w:tc>
          <w:tcPr>
            <w:tcW w:w="859" w:type="pct"/>
          </w:tcPr>
          <w:p w14:paraId="10F727D3" w14:textId="5BE3772F" w:rsidR="00F901E0" w:rsidRPr="00D22F21" w:rsidRDefault="00EA2556" w:rsidP="00821D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0.0121</w:t>
            </w:r>
          </w:p>
        </w:tc>
        <w:tc>
          <w:tcPr>
            <w:tcW w:w="964" w:type="pct"/>
          </w:tcPr>
          <w:p w14:paraId="74BF78A1" w14:textId="37F0E801" w:rsidR="00F901E0" w:rsidRPr="00DE7FDB" w:rsidRDefault="00EA2556" w:rsidP="00821D7E">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194,205,892</w:t>
            </w:r>
          </w:p>
        </w:tc>
        <w:tc>
          <w:tcPr>
            <w:tcW w:w="857" w:type="pct"/>
          </w:tcPr>
          <w:p w14:paraId="7083B46B" w14:textId="300135C5" w:rsidR="00F901E0" w:rsidRPr="00F901E0" w:rsidRDefault="00EA2556" w:rsidP="00821D7E">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472,248,085</w:t>
            </w:r>
          </w:p>
        </w:tc>
      </w:tr>
      <w:tr w:rsidR="00F901E0" w14:paraId="3E44FDEF" w14:textId="77777777" w:rsidTr="009C0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 w:type="pct"/>
          </w:tcPr>
          <w:p w14:paraId="7CDC6476" w14:textId="7743297A" w:rsidR="00F901E0" w:rsidRPr="0092240E" w:rsidRDefault="00F901E0" w:rsidP="00821D7E">
            <w:pPr>
              <w:spacing w:line="360" w:lineRule="auto"/>
              <w:rPr>
                <w:rFonts w:ascii="Times New Roman" w:hAnsi="Times New Roman" w:cs="Times New Roman"/>
              </w:rPr>
            </w:pPr>
            <w:r w:rsidRPr="0092240E">
              <w:rPr>
                <w:rFonts w:ascii="Times New Roman" w:hAnsi="Times New Roman" w:cs="Times New Roman"/>
              </w:rPr>
              <w:t>Industry</w:t>
            </w:r>
          </w:p>
        </w:tc>
        <w:tc>
          <w:tcPr>
            <w:tcW w:w="859" w:type="pct"/>
          </w:tcPr>
          <w:p w14:paraId="2E070625" w14:textId="6FD2CB4E" w:rsidR="00F901E0" w:rsidRPr="00D22F21" w:rsidRDefault="00EA2556" w:rsidP="00821D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0.1314</w:t>
            </w:r>
          </w:p>
        </w:tc>
        <w:tc>
          <w:tcPr>
            <w:tcW w:w="859" w:type="pct"/>
          </w:tcPr>
          <w:p w14:paraId="5E8375E8" w14:textId="0FABED05" w:rsidR="00F901E0" w:rsidRPr="00D22F21" w:rsidRDefault="00EA2556" w:rsidP="00821D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0.3987</w:t>
            </w:r>
          </w:p>
        </w:tc>
        <w:tc>
          <w:tcPr>
            <w:tcW w:w="859" w:type="pct"/>
          </w:tcPr>
          <w:p w14:paraId="744F3585" w14:textId="40603591" w:rsidR="00F901E0" w:rsidRPr="00D22F21" w:rsidRDefault="00EA2556" w:rsidP="00821D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0.1607</w:t>
            </w:r>
          </w:p>
        </w:tc>
        <w:tc>
          <w:tcPr>
            <w:tcW w:w="964" w:type="pct"/>
          </w:tcPr>
          <w:p w14:paraId="1DC53344" w14:textId="3978A461" w:rsidR="00F901E0" w:rsidRPr="00DE7FDB" w:rsidRDefault="00EA2556" w:rsidP="00821D7E">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657,771,110</w:t>
            </w:r>
          </w:p>
        </w:tc>
        <w:tc>
          <w:tcPr>
            <w:tcW w:w="857" w:type="pct"/>
          </w:tcPr>
          <w:p w14:paraId="314C8C99" w14:textId="6446E099" w:rsidR="00F901E0" w:rsidRPr="00F901E0" w:rsidRDefault="00EA2556" w:rsidP="00821D7E">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1,548,466,889</w:t>
            </w:r>
          </w:p>
        </w:tc>
      </w:tr>
      <w:tr w:rsidR="00F901E0" w14:paraId="1D376A22" w14:textId="77777777" w:rsidTr="009C009E">
        <w:tc>
          <w:tcPr>
            <w:cnfStyle w:val="001000000000" w:firstRow="0" w:lastRow="0" w:firstColumn="1" w:lastColumn="0" w:oddVBand="0" w:evenVBand="0" w:oddHBand="0" w:evenHBand="0" w:firstRowFirstColumn="0" w:firstRowLastColumn="0" w:lastRowFirstColumn="0" w:lastRowLastColumn="0"/>
            <w:tcW w:w="602" w:type="pct"/>
          </w:tcPr>
          <w:p w14:paraId="77CE87F9" w14:textId="669B2A26" w:rsidR="00F901E0" w:rsidRPr="0092240E" w:rsidRDefault="00F901E0" w:rsidP="00821D7E">
            <w:pPr>
              <w:spacing w:line="360" w:lineRule="auto"/>
              <w:rPr>
                <w:rFonts w:ascii="Times New Roman" w:hAnsi="Times New Roman" w:cs="Times New Roman"/>
              </w:rPr>
            </w:pPr>
            <w:r w:rsidRPr="0092240E">
              <w:rPr>
                <w:rFonts w:ascii="Times New Roman" w:hAnsi="Times New Roman" w:cs="Times New Roman"/>
              </w:rPr>
              <w:t>Services</w:t>
            </w:r>
          </w:p>
        </w:tc>
        <w:tc>
          <w:tcPr>
            <w:tcW w:w="859" w:type="pct"/>
          </w:tcPr>
          <w:p w14:paraId="4943469B" w14:textId="04CE7191" w:rsidR="00F901E0" w:rsidRPr="00D22F21" w:rsidRDefault="00EA2556" w:rsidP="00821D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0.0519</w:t>
            </w:r>
          </w:p>
        </w:tc>
        <w:tc>
          <w:tcPr>
            <w:tcW w:w="859" w:type="pct"/>
          </w:tcPr>
          <w:p w14:paraId="34F8788F" w14:textId="51B082B3" w:rsidR="00F901E0" w:rsidRPr="00D22F21" w:rsidRDefault="00EA2556" w:rsidP="00821D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0.0993</w:t>
            </w:r>
          </w:p>
        </w:tc>
        <w:tc>
          <w:tcPr>
            <w:tcW w:w="859" w:type="pct"/>
          </w:tcPr>
          <w:p w14:paraId="3B35CE08" w14:textId="45F3E04E" w:rsidR="00F901E0" w:rsidRPr="00D22F21" w:rsidRDefault="00EA2556" w:rsidP="00821D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0.1813</w:t>
            </w:r>
          </w:p>
        </w:tc>
        <w:tc>
          <w:tcPr>
            <w:tcW w:w="964" w:type="pct"/>
          </w:tcPr>
          <w:p w14:paraId="1A2DD8B5" w14:textId="0E2332BD" w:rsidR="00F901E0" w:rsidRPr="00DE7FDB" w:rsidRDefault="00EA2556" w:rsidP="00821D7E">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898,311,319</w:t>
            </w:r>
          </w:p>
        </w:tc>
        <w:tc>
          <w:tcPr>
            <w:tcW w:w="857" w:type="pct"/>
          </w:tcPr>
          <w:p w14:paraId="6BDF5C63" w14:textId="775E3860" w:rsidR="00F901E0" w:rsidRPr="00F901E0" w:rsidRDefault="00EA2556" w:rsidP="00821D7E">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1,314,912,978</w:t>
            </w:r>
          </w:p>
        </w:tc>
      </w:tr>
    </w:tbl>
    <w:p w14:paraId="37087DD8" w14:textId="113C659A" w:rsidR="001B6843" w:rsidRDefault="001B6843" w:rsidP="00D92C95">
      <w:pPr>
        <w:rPr>
          <w:rFonts w:ascii="Times New Roman" w:hAnsi="Times New Roman" w:cs="Times New Roman"/>
          <w:b/>
        </w:rPr>
      </w:pPr>
    </w:p>
    <w:p w14:paraId="74B2D4AE" w14:textId="23B7FA52" w:rsidR="00EE44E7" w:rsidRDefault="00EE44E7" w:rsidP="009C009E">
      <w:pPr>
        <w:ind w:left="360"/>
        <w:rPr>
          <w:rFonts w:ascii="Times New Roman" w:hAnsi="Times New Roman" w:cs="Times New Roman"/>
          <w:b/>
        </w:rPr>
      </w:pPr>
      <w:r>
        <w:rPr>
          <w:rFonts w:ascii="Times New Roman" w:hAnsi="Times New Roman" w:cs="Times New Roman"/>
          <w:b/>
        </w:rPr>
        <w:t xml:space="preserve">Table 2. Final Demands and Total Outputs of the Philippine Economy in the year 2000 (PNSCB, </w:t>
      </w:r>
      <w:r w:rsidR="00CE1FFD">
        <w:rPr>
          <w:rFonts w:ascii="Times New Roman" w:hAnsi="Times New Roman" w:cs="Times New Roman"/>
          <w:b/>
        </w:rPr>
        <w:t>2006</w:t>
      </w:r>
      <w:r>
        <w:rPr>
          <w:rFonts w:ascii="Times New Roman" w:hAnsi="Times New Roman" w:cs="Times New Roman"/>
          <w:b/>
        </w:rPr>
        <w:t>)</w:t>
      </w:r>
    </w:p>
    <w:tbl>
      <w:tblPr>
        <w:tblStyle w:val="LightList"/>
        <w:tblW w:w="4756" w:type="pct"/>
        <w:tblInd w:w="468" w:type="dxa"/>
        <w:tblLook w:val="04A0" w:firstRow="1" w:lastRow="0" w:firstColumn="1" w:lastColumn="0" w:noHBand="0" w:noVBand="1"/>
      </w:tblPr>
      <w:tblGrid>
        <w:gridCol w:w="2723"/>
        <w:gridCol w:w="3194"/>
        <w:gridCol w:w="3192"/>
      </w:tblGrid>
      <w:tr w:rsidR="00EE44E7" w14:paraId="5DFF7A2A" w14:textId="77777777" w:rsidTr="009C00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5" w:type="pct"/>
          </w:tcPr>
          <w:p w14:paraId="547F118E" w14:textId="0E7DA766" w:rsidR="00EE44E7" w:rsidRDefault="0092240E" w:rsidP="00821D7E">
            <w:pPr>
              <w:spacing w:line="360" w:lineRule="auto"/>
              <w:rPr>
                <w:rFonts w:ascii="Times New Roman" w:hAnsi="Times New Roman" w:cs="Times New Roman"/>
              </w:rPr>
            </w:pPr>
            <w:r>
              <w:rPr>
                <w:rFonts w:ascii="Times New Roman" w:hAnsi="Times New Roman" w:cs="Times New Roman"/>
              </w:rPr>
              <w:t>Economic Sector</w:t>
            </w:r>
          </w:p>
        </w:tc>
        <w:tc>
          <w:tcPr>
            <w:tcW w:w="3505" w:type="pct"/>
            <w:gridSpan w:val="2"/>
          </w:tcPr>
          <w:p w14:paraId="29D1503A" w14:textId="77777777" w:rsidR="00EE44E7" w:rsidRPr="0092240E" w:rsidRDefault="00EE44E7" w:rsidP="00821D7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2240E">
              <w:rPr>
                <w:rFonts w:ascii="Times New Roman" w:hAnsi="Times New Roman" w:cs="Times New Roman"/>
              </w:rPr>
              <w:t>In Thousand PhP</w:t>
            </w:r>
          </w:p>
        </w:tc>
      </w:tr>
      <w:tr w:rsidR="00EE44E7" w14:paraId="14477581" w14:textId="77777777" w:rsidTr="009C0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5" w:type="pct"/>
          </w:tcPr>
          <w:p w14:paraId="2CFE86D5" w14:textId="77777777" w:rsidR="00EE44E7" w:rsidRDefault="00EE44E7" w:rsidP="00821D7E">
            <w:pPr>
              <w:spacing w:line="360" w:lineRule="auto"/>
              <w:rPr>
                <w:rFonts w:ascii="Times New Roman" w:hAnsi="Times New Roman" w:cs="Times New Roman"/>
              </w:rPr>
            </w:pPr>
          </w:p>
        </w:tc>
        <w:tc>
          <w:tcPr>
            <w:tcW w:w="1753" w:type="pct"/>
          </w:tcPr>
          <w:p w14:paraId="3B877099" w14:textId="77777777" w:rsidR="00EE44E7" w:rsidRPr="002974F2" w:rsidRDefault="00EE44E7" w:rsidP="00341FB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2974F2">
              <w:rPr>
                <w:rFonts w:ascii="Times New Roman" w:hAnsi="Times New Roman" w:cs="Times New Roman"/>
                <w:b/>
              </w:rPr>
              <w:t>2000 Final Demand</w:t>
            </w:r>
          </w:p>
          <w:p w14:paraId="55F7618A" w14:textId="77777777" w:rsidR="00EE44E7" w:rsidRPr="002974F2" w:rsidRDefault="00EE44E7" w:rsidP="00341FB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2974F2">
              <w:rPr>
                <w:rFonts w:ascii="Times New Roman" w:hAnsi="Times New Roman" w:cs="Times New Roman"/>
                <w:b/>
              </w:rPr>
              <w:t>(y)</w:t>
            </w:r>
          </w:p>
        </w:tc>
        <w:tc>
          <w:tcPr>
            <w:tcW w:w="1752" w:type="pct"/>
          </w:tcPr>
          <w:p w14:paraId="0E65E1AC" w14:textId="77777777" w:rsidR="00EE44E7" w:rsidRPr="002974F2" w:rsidRDefault="00EE44E7" w:rsidP="00341FB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2974F2">
              <w:rPr>
                <w:rFonts w:ascii="Times New Roman" w:hAnsi="Times New Roman" w:cs="Times New Roman"/>
                <w:b/>
              </w:rPr>
              <w:t>2000 Total Output</w:t>
            </w:r>
          </w:p>
          <w:p w14:paraId="758F4498" w14:textId="77777777" w:rsidR="00EE44E7" w:rsidRPr="002974F2" w:rsidRDefault="00EE44E7" w:rsidP="00341FB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2974F2">
              <w:rPr>
                <w:rFonts w:ascii="Times New Roman" w:hAnsi="Times New Roman" w:cs="Times New Roman"/>
                <w:b/>
              </w:rPr>
              <w:t>(x)</w:t>
            </w:r>
          </w:p>
        </w:tc>
      </w:tr>
      <w:tr w:rsidR="00EE44E7" w14:paraId="29360FB9" w14:textId="77777777" w:rsidTr="009C009E">
        <w:tc>
          <w:tcPr>
            <w:cnfStyle w:val="001000000000" w:firstRow="0" w:lastRow="0" w:firstColumn="1" w:lastColumn="0" w:oddVBand="0" w:evenVBand="0" w:oddHBand="0" w:evenHBand="0" w:firstRowFirstColumn="0" w:firstRowLastColumn="0" w:lastRowFirstColumn="0" w:lastRowLastColumn="0"/>
            <w:tcW w:w="1495" w:type="pct"/>
          </w:tcPr>
          <w:p w14:paraId="14739A20" w14:textId="77777777" w:rsidR="00EE44E7" w:rsidRPr="0092240E" w:rsidRDefault="00EE44E7" w:rsidP="00821D7E">
            <w:pPr>
              <w:spacing w:line="360" w:lineRule="auto"/>
              <w:rPr>
                <w:rFonts w:ascii="Times New Roman" w:hAnsi="Times New Roman" w:cs="Times New Roman"/>
              </w:rPr>
            </w:pPr>
            <w:r w:rsidRPr="0092240E">
              <w:rPr>
                <w:rFonts w:ascii="Times New Roman" w:hAnsi="Times New Roman" w:cs="Times New Roman"/>
              </w:rPr>
              <w:t>Agriculture</w:t>
            </w:r>
          </w:p>
        </w:tc>
        <w:tc>
          <w:tcPr>
            <w:tcW w:w="1753" w:type="pct"/>
          </w:tcPr>
          <w:p w14:paraId="31EC834F" w14:textId="77777777" w:rsidR="00EE44E7" w:rsidRDefault="00EE44E7" w:rsidP="00821D7E">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235,794,203</w:t>
            </w:r>
          </w:p>
        </w:tc>
        <w:tc>
          <w:tcPr>
            <w:tcW w:w="1752" w:type="pct"/>
          </w:tcPr>
          <w:p w14:paraId="597644B1" w14:textId="77777777" w:rsidR="00EE44E7" w:rsidRDefault="00EE44E7" w:rsidP="00821D7E">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686,481,940</w:t>
            </w:r>
          </w:p>
        </w:tc>
      </w:tr>
      <w:tr w:rsidR="00EE44E7" w14:paraId="77039964" w14:textId="77777777" w:rsidTr="009C0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5" w:type="pct"/>
          </w:tcPr>
          <w:p w14:paraId="1A05E262" w14:textId="77777777" w:rsidR="00EE44E7" w:rsidRPr="0092240E" w:rsidRDefault="00EE44E7" w:rsidP="00821D7E">
            <w:pPr>
              <w:spacing w:line="360" w:lineRule="auto"/>
              <w:rPr>
                <w:rFonts w:ascii="Times New Roman" w:hAnsi="Times New Roman" w:cs="Times New Roman"/>
              </w:rPr>
            </w:pPr>
            <w:r w:rsidRPr="0092240E">
              <w:rPr>
                <w:rFonts w:ascii="Times New Roman" w:hAnsi="Times New Roman" w:cs="Times New Roman"/>
              </w:rPr>
              <w:t>Industry</w:t>
            </w:r>
          </w:p>
        </w:tc>
        <w:tc>
          <w:tcPr>
            <w:tcW w:w="1753" w:type="pct"/>
          </w:tcPr>
          <w:p w14:paraId="6ECA8996" w14:textId="77777777" w:rsidR="00EE44E7" w:rsidRDefault="00EE44E7" w:rsidP="00821D7E">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1,616,492,107</w:t>
            </w:r>
          </w:p>
        </w:tc>
        <w:tc>
          <w:tcPr>
            <w:tcW w:w="1752" w:type="pct"/>
          </w:tcPr>
          <w:p w14:paraId="6B0D4456" w14:textId="77777777" w:rsidR="00EE44E7" w:rsidRDefault="00EE44E7" w:rsidP="00821D7E">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4,201,807,404</w:t>
            </w:r>
          </w:p>
        </w:tc>
      </w:tr>
      <w:tr w:rsidR="00EE44E7" w14:paraId="315A6A75" w14:textId="77777777" w:rsidTr="009C009E">
        <w:tc>
          <w:tcPr>
            <w:cnfStyle w:val="001000000000" w:firstRow="0" w:lastRow="0" w:firstColumn="1" w:lastColumn="0" w:oddVBand="0" w:evenVBand="0" w:oddHBand="0" w:evenHBand="0" w:firstRowFirstColumn="0" w:firstRowLastColumn="0" w:lastRowFirstColumn="0" w:lastRowLastColumn="0"/>
            <w:tcW w:w="1495" w:type="pct"/>
          </w:tcPr>
          <w:p w14:paraId="60207ECC" w14:textId="77777777" w:rsidR="00EE44E7" w:rsidRPr="0092240E" w:rsidRDefault="00EE44E7" w:rsidP="00821D7E">
            <w:pPr>
              <w:spacing w:line="360" w:lineRule="auto"/>
              <w:rPr>
                <w:rFonts w:ascii="Times New Roman" w:hAnsi="Times New Roman" w:cs="Times New Roman"/>
              </w:rPr>
            </w:pPr>
            <w:r w:rsidRPr="0092240E">
              <w:rPr>
                <w:rFonts w:ascii="Times New Roman" w:hAnsi="Times New Roman" w:cs="Times New Roman"/>
              </w:rPr>
              <w:t>Services</w:t>
            </w:r>
          </w:p>
        </w:tc>
        <w:tc>
          <w:tcPr>
            <w:tcW w:w="1753" w:type="pct"/>
          </w:tcPr>
          <w:p w14:paraId="59AD407C" w14:textId="77777777" w:rsidR="00EE44E7" w:rsidRDefault="00EE44E7" w:rsidP="00821D7E">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2,138,038,261</w:t>
            </w:r>
          </w:p>
        </w:tc>
        <w:tc>
          <w:tcPr>
            <w:tcW w:w="1752" w:type="pct"/>
          </w:tcPr>
          <w:p w14:paraId="668FAFDC" w14:textId="77777777" w:rsidR="00EE44E7" w:rsidRDefault="00EE44E7" w:rsidP="00821D7E">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3,010,876,609</w:t>
            </w:r>
          </w:p>
        </w:tc>
      </w:tr>
    </w:tbl>
    <w:p w14:paraId="2D92CA96" w14:textId="77777777" w:rsidR="00EE44E7" w:rsidRDefault="00EE44E7" w:rsidP="00D92C95">
      <w:pPr>
        <w:rPr>
          <w:rFonts w:ascii="Times New Roman" w:hAnsi="Times New Roman" w:cs="Times New Roman"/>
          <w:b/>
        </w:rPr>
      </w:pPr>
    </w:p>
    <w:p w14:paraId="082A1ED1" w14:textId="01BC1C34" w:rsidR="00322099" w:rsidRDefault="005D3F83" w:rsidP="009C009E">
      <w:pPr>
        <w:spacing w:after="0" w:line="360" w:lineRule="auto"/>
        <w:ind w:left="360"/>
        <w:jc w:val="both"/>
        <w:rPr>
          <w:rFonts w:ascii="Times New Roman" w:hAnsi="Times New Roman" w:cs="Times New Roman"/>
        </w:rPr>
      </w:pPr>
      <w:r>
        <w:rPr>
          <w:rFonts w:ascii="Times New Roman" w:hAnsi="Times New Roman" w:cs="Times New Roman"/>
        </w:rPr>
        <w:t>Volatility may be judged subjectively by an expert or established based on statistical analysis of previous values of the technical coefficients. In the case of this work t</w:t>
      </w:r>
      <w:r w:rsidR="00DB4A4F">
        <w:rPr>
          <w:rFonts w:ascii="Times New Roman" w:hAnsi="Times New Roman" w:cs="Times New Roman"/>
        </w:rPr>
        <w:t xml:space="preserve">he agriculture sector is considered to be relatively low in volatility due to established and </w:t>
      </w:r>
      <w:r w:rsidR="00A26CB1">
        <w:rPr>
          <w:rFonts w:ascii="Times New Roman" w:hAnsi="Times New Roman" w:cs="Times New Roman"/>
        </w:rPr>
        <w:t xml:space="preserve">relatively stable </w:t>
      </w:r>
      <w:r w:rsidR="00DB4A4F">
        <w:rPr>
          <w:rFonts w:ascii="Times New Roman" w:hAnsi="Times New Roman" w:cs="Times New Roman"/>
        </w:rPr>
        <w:t>technologies and practices. The industry sector is considered to exhibit medium volatility because of the potential for technology improvements. The services sec</w:t>
      </w:r>
      <w:r w:rsidR="00322099">
        <w:rPr>
          <w:rFonts w:ascii="Times New Roman" w:hAnsi="Times New Roman" w:cs="Times New Roman"/>
        </w:rPr>
        <w:t>tor is considered to be high in volatility</w:t>
      </w:r>
      <w:r>
        <w:rPr>
          <w:rFonts w:ascii="Times New Roman" w:hAnsi="Times New Roman" w:cs="Times New Roman"/>
        </w:rPr>
        <w:t xml:space="preserve"> due to the diverse nature of activities that make up this sector</w:t>
      </w:r>
      <w:r w:rsidR="00CB0A85">
        <w:rPr>
          <w:rFonts w:ascii="Times New Roman" w:hAnsi="Times New Roman" w:cs="Times New Roman"/>
        </w:rPr>
        <w:t xml:space="preserve">. </w:t>
      </w:r>
      <w:r w:rsidR="00322099">
        <w:rPr>
          <w:rFonts w:ascii="Times New Roman" w:hAnsi="Times New Roman" w:cs="Times New Roman"/>
        </w:rPr>
        <w:t>The volatility will define the membership function of each technical coefficient</w:t>
      </w:r>
      <w:r w:rsidR="00DA333A">
        <w:rPr>
          <w:rFonts w:ascii="Times New Roman" w:hAnsi="Times New Roman" w:cs="Times New Roman"/>
        </w:rPr>
        <w:t xml:space="preserve"> as discussed in the previous section on methodology</w:t>
      </w:r>
      <w:r w:rsidR="00322099">
        <w:rPr>
          <w:rFonts w:ascii="Times New Roman" w:hAnsi="Times New Roman" w:cs="Times New Roman"/>
        </w:rPr>
        <w:t>.</w:t>
      </w:r>
      <w:r w:rsidR="00046EFC">
        <w:rPr>
          <w:rFonts w:ascii="Times New Roman" w:hAnsi="Times New Roman" w:cs="Times New Roman"/>
        </w:rPr>
        <w:t xml:space="preserve"> Using the coefficient </w:t>
      </w:r>
      <w:r w:rsidR="00046EFC" w:rsidRPr="00046EFC">
        <w:rPr>
          <w:rFonts w:ascii="Times New Roman" w:hAnsi="Times New Roman" w:cs="Times New Roman"/>
          <w:i/>
        </w:rPr>
        <w:t>a</w:t>
      </w:r>
      <w:r w:rsidR="00046EFC" w:rsidRPr="00046EFC">
        <w:rPr>
          <w:rFonts w:ascii="Times New Roman" w:hAnsi="Times New Roman" w:cs="Times New Roman"/>
          <w:i/>
          <w:vertAlign w:val="subscript"/>
        </w:rPr>
        <w:t>12</w:t>
      </w:r>
      <w:r w:rsidR="00046EFC">
        <w:rPr>
          <w:rFonts w:ascii="Times New Roman" w:hAnsi="Times New Roman" w:cs="Times New Roman"/>
        </w:rPr>
        <w:t xml:space="preserve"> which has an initial value of 0.1399 as an example, the TFN is constructed using a medium volatility spread </w:t>
      </w:r>
      <w:r w:rsidR="00805E0B">
        <w:rPr>
          <w:rFonts w:ascii="Times New Roman" w:hAnsi="Times New Roman" w:cs="Times New Roman"/>
        </w:rPr>
        <w:t xml:space="preserve">for the industry sector </w:t>
      </w:r>
      <w:r w:rsidR="00046EFC">
        <w:rPr>
          <w:rFonts w:ascii="Times New Roman" w:hAnsi="Times New Roman" w:cs="Times New Roman"/>
        </w:rPr>
        <w:t xml:space="preserve">where the upper limit is identified to be 2/3 </w:t>
      </w:r>
      <w:r w:rsidR="007176DC">
        <w:rPr>
          <w:rFonts w:ascii="Times New Roman" w:hAnsi="Times New Roman" w:cs="Times New Roman"/>
        </w:rPr>
        <w:t xml:space="preserve">(0.667) </w:t>
      </w:r>
      <w:r w:rsidR="00046EFC">
        <w:rPr>
          <w:rFonts w:ascii="Times New Roman" w:hAnsi="Times New Roman" w:cs="Times New Roman"/>
        </w:rPr>
        <w:t xml:space="preserve">of the distance between </w:t>
      </w:r>
      <w:r w:rsidR="00046EFC" w:rsidRPr="00046EFC">
        <w:rPr>
          <w:rFonts w:ascii="Times New Roman" w:hAnsi="Times New Roman" w:cs="Times New Roman"/>
          <w:i/>
        </w:rPr>
        <w:t>a</w:t>
      </w:r>
      <w:r w:rsidR="00046EFC" w:rsidRPr="00046EFC">
        <w:rPr>
          <w:rFonts w:ascii="Times New Roman" w:hAnsi="Times New Roman" w:cs="Times New Roman"/>
          <w:i/>
          <w:vertAlign w:val="subscript"/>
        </w:rPr>
        <w:t>12</w:t>
      </w:r>
      <w:r w:rsidR="00046EFC">
        <w:rPr>
          <w:rFonts w:ascii="Times New Roman" w:hAnsi="Times New Roman" w:cs="Times New Roman"/>
        </w:rPr>
        <w:t xml:space="preserve"> and 1.00 resulting in a value of </w:t>
      </w:r>
      <w:r w:rsidR="00046EFC" w:rsidRPr="00046EFC">
        <w:rPr>
          <w:rFonts w:ascii="Times New Roman" w:hAnsi="Times New Roman" w:cs="Times New Roman"/>
          <w:i/>
        </w:rPr>
        <w:t>a</w:t>
      </w:r>
      <w:r w:rsidR="00046EFC" w:rsidRPr="00046EFC">
        <w:rPr>
          <w:rFonts w:ascii="Times New Roman" w:hAnsi="Times New Roman" w:cs="Times New Roman"/>
          <w:i/>
          <w:vertAlign w:val="subscript"/>
        </w:rPr>
        <w:t>12</w:t>
      </w:r>
      <w:r w:rsidR="00046EFC" w:rsidRPr="00046EFC">
        <w:rPr>
          <w:rFonts w:ascii="Times New Roman" w:hAnsi="Times New Roman" w:cs="Times New Roman"/>
          <w:i/>
          <w:vertAlign w:val="superscript"/>
        </w:rPr>
        <w:t>U</w:t>
      </w:r>
      <w:r w:rsidR="00046EFC">
        <w:rPr>
          <w:rFonts w:ascii="Times New Roman" w:hAnsi="Times New Roman" w:cs="Times New Roman"/>
        </w:rPr>
        <w:t xml:space="preserve"> = </w:t>
      </w:r>
      <w:r w:rsidR="007176DC">
        <w:rPr>
          <w:rFonts w:ascii="Times New Roman" w:hAnsi="Times New Roman" w:cs="Times New Roman"/>
        </w:rPr>
        <w:t>0.7136</w:t>
      </w:r>
      <w:r w:rsidR="00046EFC">
        <w:rPr>
          <w:rFonts w:ascii="Times New Roman" w:hAnsi="Times New Roman" w:cs="Times New Roman"/>
        </w:rPr>
        <w:t xml:space="preserve"> and </w:t>
      </w:r>
      <w:r w:rsidR="007176DC">
        <w:rPr>
          <w:rFonts w:ascii="Times New Roman" w:hAnsi="Times New Roman" w:cs="Times New Roman"/>
        </w:rPr>
        <w:t xml:space="preserve">the lower limit to be </w:t>
      </w:r>
      <w:r w:rsidR="00046EFC">
        <w:rPr>
          <w:rFonts w:ascii="Times New Roman" w:hAnsi="Times New Roman" w:cs="Times New Roman"/>
        </w:rPr>
        <w:t xml:space="preserve">2/3 </w:t>
      </w:r>
      <w:r w:rsidR="007176DC">
        <w:rPr>
          <w:rFonts w:ascii="Times New Roman" w:hAnsi="Times New Roman" w:cs="Times New Roman"/>
        </w:rPr>
        <w:t xml:space="preserve">(0.667) of the distance between </w:t>
      </w:r>
      <w:r w:rsidR="007176DC" w:rsidRPr="00805E0B">
        <w:rPr>
          <w:rFonts w:ascii="Times New Roman" w:hAnsi="Times New Roman" w:cs="Times New Roman"/>
          <w:i/>
        </w:rPr>
        <w:t>a</w:t>
      </w:r>
      <w:r w:rsidR="007176DC" w:rsidRPr="00805E0B">
        <w:rPr>
          <w:rFonts w:ascii="Times New Roman" w:hAnsi="Times New Roman" w:cs="Times New Roman"/>
          <w:i/>
          <w:vertAlign w:val="subscript"/>
        </w:rPr>
        <w:t>12</w:t>
      </w:r>
      <w:r w:rsidR="007176DC">
        <w:rPr>
          <w:rFonts w:ascii="Times New Roman" w:hAnsi="Times New Roman" w:cs="Times New Roman"/>
        </w:rPr>
        <w:t xml:space="preserve"> and 0.00 resulting in a value of </w:t>
      </w:r>
      <w:r w:rsidR="007176DC" w:rsidRPr="007176DC">
        <w:rPr>
          <w:rFonts w:ascii="Times New Roman" w:hAnsi="Times New Roman" w:cs="Times New Roman"/>
          <w:i/>
        </w:rPr>
        <w:t>a</w:t>
      </w:r>
      <w:r w:rsidR="007176DC" w:rsidRPr="007176DC">
        <w:rPr>
          <w:rFonts w:ascii="Times New Roman" w:hAnsi="Times New Roman" w:cs="Times New Roman"/>
          <w:i/>
          <w:vertAlign w:val="subscript"/>
        </w:rPr>
        <w:t>12</w:t>
      </w:r>
      <w:r w:rsidR="007176DC" w:rsidRPr="007176DC">
        <w:rPr>
          <w:rFonts w:ascii="Times New Roman" w:hAnsi="Times New Roman" w:cs="Times New Roman"/>
          <w:i/>
          <w:vertAlign w:val="superscript"/>
        </w:rPr>
        <w:t>L</w:t>
      </w:r>
      <w:r w:rsidR="007176DC" w:rsidRPr="007176DC">
        <w:rPr>
          <w:rFonts w:ascii="Times New Roman" w:hAnsi="Times New Roman" w:cs="Times New Roman"/>
          <w:i/>
        </w:rPr>
        <w:t xml:space="preserve"> = </w:t>
      </w:r>
      <w:r w:rsidR="007176DC" w:rsidRPr="00805E0B">
        <w:rPr>
          <w:rFonts w:ascii="Times New Roman" w:hAnsi="Times New Roman" w:cs="Times New Roman"/>
        </w:rPr>
        <w:t>0.0466</w:t>
      </w:r>
      <w:r w:rsidR="007176DC">
        <w:rPr>
          <w:rFonts w:ascii="Times New Roman" w:hAnsi="Times New Roman" w:cs="Times New Roman"/>
        </w:rPr>
        <w:t xml:space="preserve">. </w:t>
      </w:r>
      <w:r w:rsidR="00A62693">
        <w:rPr>
          <w:rFonts w:ascii="Times New Roman" w:hAnsi="Times New Roman" w:cs="Times New Roman"/>
        </w:rPr>
        <w:t>The</w:t>
      </w:r>
      <w:r w:rsidR="00805E0B">
        <w:rPr>
          <w:rFonts w:ascii="Times New Roman" w:hAnsi="Times New Roman" w:cs="Times New Roman"/>
        </w:rPr>
        <w:t xml:space="preserve"> </w:t>
      </w:r>
      <w:r w:rsidR="007E2E7A">
        <w:rPr>
          <w:rFonts w:ascii="Times New Roman" w:hAnsi="Times New Roman" w:cs="Times New Roman"/>
        </w:rPr>
        <w:t>l</w:t>
      </w:r>
      <w:r w:rsidR="00805E0B">
        <w:rPr>
          <w:rFonts w:ascii="Times New Roman" w:hAnsi="Times New Roman" w:cs="Times New Roman"/>
        </w:rPr>
        <w:t>imits</w:t>
      </w:r>
      <w:r w:rsidR="007E2E7A">
        <w:rPr>
          <w:rFonts w:ascii="Times New Roman" w:hAnsi="Times New Roman" w:cs="Times New Roman"/>
        </w:rPr>
        <w:t xml:space="preserve"> for the </w:t>
      </w:r>
      <w:r w:rsidR="007E2E7A">
        <w:rPr>
          <w:rFonts w:ascii="Times New Roman" w:hAnsi="Times New Roman" w:cs="Times New Roman"/>
        </w:rPr>
        <w:lastRenderedPageBreak/>
        <w:t>other coefficients</w:t>
      </w:r>
      <w:r w:rsidR="00805E0B">
        <w:rPr>
          <w:rFonts w:ascii="Times New Roman" w:hAnsi="Times New Roman" w:cs="Times New Roman"/>
        </w:rPr>
        <w:t xml:space="preserve"> are obtained in a similar manner and the</w:t>
      </w:r>
      <w:r w:rsidR="00A62693">
        <w:rPr>
          <w:rFonts w:ascii="Times New Roman" w:hAnsi="Times New Roman" w:cs="Times New Roman"/>
        </w:rPr>
        <w:t xml:space="preserve"> resulting TFNs are shown in Table 3.</w:t>
      </w:r>
      <w:r w:rsidR="00A62D94">
        <w:rPr>
          <w:rFonts w:ascii="Times New Roman" w:hAnsi="Times New Roman" w:cs="Times New Roman"/>
        </w:rPr>
        <w:t xml:space="preserve"> Since the services sector is considered a high volatility sector, the lower limit is set to be 0 while the upper limit is set a</w:t>
      </w:r>
      <w:r w:rsidR="008A5CBA">
        <w:rPr>
          <w:rFonts w:ascii="Times New Roman" w:hAnsi="Times New Roman" w:cs="Times New Roman"/>
        </w:rPr>
        <w:t xml:space="preserve">t 1.00. </w:t>
      </w:r>
      <w:r w:rsidR="00A62D94">
        <w:rPr>
          <w:rFonts w:ascii="Times New Roman" w:hAnsi="Times New Roman" w:cs="Times New Roman"/>
        </w:rPr>
        <w:t xml:space="preserve"> </w:t>
      </w:r>
    </w:p>
    <w:p w14:paraId="4C1DACE8" w14:textId="77777777" w:rsidR="003B2D15" w:rsidRDefault="003B2D15" w:rsidP="009C009E">
      <w:pPr>
        <w:spacing w:after="0" w:line="360" w:lineRule="auto"/>
        <w:ind w:left="360"/>
        <w:jc w:val="both"/>
        <w:rPr>
          <w:rFonts w:ascii="Times New Roman" w:hAnsi="Times New Roman" w:cs="Times New Roman"/>
        </w:rPr>
      </w:pPr>
    </w:p>
    <w:p w14:paraId="2609794C" w14:textId="0EF1C78A" w:rsidR="00EE44E7" w:rsidRDefault="00A62693" w:rsidP="009C009E">
      <w:pPr>
        <w:ind w:left="360"/>
        <w:rPr>
          <w:rFonts w:ascii="Times New Roman" w:hAnsi="Times New Roman" w:cs="Times New Roman"/>
          <w:b/>
        </w:rPr>
      </w:pPr>
      <w:r>
        <w:rPr>
          <w:rFonts w:ascii="Times New Roman" w:hAnsi="Times New Roman" w:cs="Times New Roman"/>
          <w:b/>
        </w:rPr>
        <w:t>Table 3. Triangular Fuzzy Numbers for Upda</w:t>
      </w:r>
      <w:r w:rsidR="00CE1FFD">
        <w:rPr>
          <w:rFonts w:ascii="Times New Roman" w:hAnsi="Times New Roman" w:cs="Times New Roman"/>
          <w:b/>
        </w:rPr>
        <w:t>ting the Technical Coefficients</w:t>
      </w:r>
    </w:p>
    <w:tbl>
      <w:tblPr>
        <w:tblStyle w:val="LightList"/>
        <w:tblW w:w="0" w:type="auto"/>
        <w:tblInd w:w="468" w:type="dxa"/>
        <w:tblLook w:val="04A0" w:firstRow="1" w:lastRow="0" w:firstColumn="1" w:lastColumn="0" w:noHBand="0" w:noVBand="1"/>
      </w:tblPr>
      <w:tblGrid>
        <w:gridCol w:w="1316"/>
        <w:gridCol w:w="2615"/>
        <w:gridCol w:w="2590"/>
        <w:gridCol w:w="2587"/>
      </w:tblGrid>
      <w:tr w:rsidR="008055E6" w14:paraId="61C133C1" w14:textId="77777777" w:rsidTr="009C00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tcPr>
          <w:p w14:paraId="18E3EA49" w14:textId="77777777" w:rsidR="008055E6" w:rsidRDefault="008055E6" w:rsidP="00821D7E">
            <w:pPr>
              <w:spacing w:line="360" w:lineRule="auto"/>
              <w:rPr>
                <w:rFonts w:ascii="Times New Roman" w:hAnsi="Times New Roman" w:cs="Times New Roman"/>
              </w:rPr>
            </w:pPr>
          </w:p>
        </w:tc>
        <w:tc>
          <w:tcPr>
            <w:tcW w:w="2720" w:type="dxa"/>
          </w:tcPr>
          <w:p w14:paraId="7A9FA6E4" w14:textId="263C3E77" w:rsidR="008055E6" w:rsidRPr="0092240E" w:rsidRDefault="008055E6" w:rsidP="00821D7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2240E">
              <w:rPr>
                <w:rFonts w:ascii="Times New Roman" w:hAnsi="Times New Roman" w:cs="Times New Roman"/>
              </w:rPr>
              <w:t>Agriculture</w:t>
            </w:r>
          </w:p>
        </w:tc>
        <w:tc>
          <w:tcPr>
            <w:tcW w:w="2716" w:type="dxa"/>
          </w:tcPr>
          <w:p w14:paraId="59D277C1" w14:textId="70352EFF" w:rsidR="008055E6" w:rsidRPr="0092240E" w:rsidRDefault="008055E6" w:rsidP="00821D7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2240E">
              <w:rPr>
                <w:rFonts w:ascii="Times New Roman" w:hAnsi="Times New Roman" w:cs="Times New Roman"/>
              </w:rPr>
              <w:t>Industry</w:t>
            </w:r>
          </w:p>
        </w:tc>
        <w:tc>
          <w:tcPr>
            <w:tcW w:w="2716" w:type="dxa"/>
          </w:tcPr>
          <w:p w14:paraId="7A491BEC" w14:textId="4358EFB0" w:rsidR="008055E6" w:rsidRPr="0092240E" w:rsidRDefault="008055E6" w:rsidP="00821D7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2240E">
              <w:rPr>
                <w:rFonts w:ascii="Times New Roman" w:hAnsi="Times New Roman" w:cs="Times New Roman"/>
              </w:rPr>
              <w:t>Services</w:t>
            </w:r>
          </w:p>
        </w:tc>
      </w:tr>
      <w:tr w:rsidR="008055E6" w14:paraId="7EEE466A" w14:textId="77777777" w:rsidTr="009C0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tcPr>
          <w:p w14:paraId="4BEB593D" w14:textId="45F000F0" w:rsidR="008055E6" w:rsidRPr="0092240E" w:rsidRDefault="008055E6" w:rsidP="00821D7E">
            <w:pPr>
              <w:spacing w:line="360" w:lineRule="auto"/>
              <w:rPr>
                <w:rFonts w:ascii="Times New Roman" w:hAnsi="Times New Roman" w:cs="Times New Roman"/>
              </w:rPr>
            </w:pPr>
            <w:r w:rsidRPr="0092240E">
              <w:rPr>
                <w:rFonts w:ascii="Times New Roman" w:hAnsi="Times New Roman" w:cs="Times New Roman"/>
              </w:rPr>
              <w:t>Agriculture</w:t>
            </w:r>
          </w:p>
        </w:tc>
        <w:tc>
          <w:tcPr>
            <w:tcW w:w="2720" w:type="dxa"/>
          </w:tcPr>
          <w:p w14:paraId="1ECB691B" w14:textId="324570E2" w:rsidR="008055E6" w:rsidRDefault="00AA7DFB" w:rsidP="00821D7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(0.0642, 0.0963, 0.3972</w:t>
            </w:r>
            <w:r w:rsidR="00B345A7">
              <w:rPr>
                <w:rFonts w:ascii="Times New Roman" w:hAnsi="Times New Roman" w:cs="Times New Roman"/>
              </w:rPr>
              <w:t>)</w:t>
            </w:r>
          </w:p>
        </w:tc>
        <w:tc>
          <w:tcPr>
            <w:tcW w:w="2716" w:type="dxa"/>
          </w:tcPr>
          <w:p w14:paraId="7C8BF284" w14:textId="6441AA8F" w:rsidR="008055E6" w:rsidRDefault="00AA7DFB" w:rsidP="00821D7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(0.0466, 0.1399, 0.7136</w:t>
            </w:r>
            <w:r w:rsidR="00B345A7">
              <w:rPr>
                <w:rFonts w:ascii="Times New Roman" w:hAnsi="Times New Roman" w:cs="Times New Roman"/>
              </w:rPr>
              <w:t>)</w:t>
            </w:r>
          </w:p>
        </w:tc>
        <w:tc>
          <w:tcPr>
            <w:tcW w:w="2716" w:type="dxa"/>
          </w:tcPr>
          <w:p w14:paraId="1FE3BD9F" w14:textId="2F1038F0" w:rsidR="008055E6" w:rsidRDefault="008055E6" w:rsidP="00821D7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r w:rsidR="00B345A7">
              <w:rPr>
                <w:rFonts w:ascii="Times New Roman" w:hAnsi="Times New Roman" w:cs="Times New Roman"/>
              </w:rPr>
              <w:t>0.0000, 0.0121, 1.0000)</w:t>
            </w:r>
          </w:p>
        </w:tc>
      </w:tr>
      <w:tr w:rsidR="008055E6" w14:paraId="4E976630" w14:textId="77777777" w:rsidTr="009C009E">
        <w:tc>
          <w:tcPr>
            <w:cnfStyle w:val="001000000000" w:firstRow="0" w:lastRow="0" w:firstColumn="1" w:lastColumn="0" w:oddVBand="0" w:evenVBand="0" w:oddHBand="0" w:evenHBand="0" w:firstRowFirstColumn="0" w:firstRowLastColumn="0" w:lastRowFirstColumn="0" w:lastRowLastColumn="0"/>
            <w:tcW w:w="956" w:type="dxa"/>
          </w:tcPr>
          <w:p w14:paraId="16103F8E" w14:textId="2360D466" w:rsidR="008055E6" w:rsidRPr="0092240E" w:rsidRDefault="008055E6" w:rsidP="00821D7E">
            <w:pPr>
              <w:spacing w:line="360" w:lineRule="auto"/>
              <w:rPr>
                <w:rFonts w:ascii="Times New Roman" w:hAnsi="Times New Roman" w:cs="Times New Roman"/>
              </w:rPr>
            </w:pPr>
            <w:r w:rsidRPr="0092240E">
              <w:rPr>
                <w:rFonts w:ascii="Times New Roman" w:hAnsi="Times New Roman" w:cs="Times New Roman"/>
              </w:rPr>
              <w:t>Industry</w:t>
            </w:r>
          </w:p>
        </w:tc>
        <w:tc>
          <w:tcPr>
            <w:tcW w:w="2720" w:type="dxa"/>
          </w:tcPr>
          <w:p w14:paraId="0862E58F" w14:textId="09E6C205" w:rsidR="008055E6" w:rsidRDefault="00AA7DFB" w:rsidP="00821D7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(0.0876, 0.1314, 0.4206</w:t>
            </w:r>
            <w:r w:rsidR="00B345A7">
              <w:rPr>
                <w:rFonts w:ascii="Times New Roman" w:hAnsi="Times New Roman" w:cs="Times New Roman"/>
              </w:rPr>
              <w:t>)</w:t>
            </w:r>
          </w:p>
        </w:tc>
        <w:tc>
          <w:tcPr>
            <w:tcW w:w="2716" w:type="dxa"/>
          </w:tcPr>
          <w:p w14:paraId="550D508D" w14:textId="1345A2DF" w:rsidR="008055E6" w:rsidRDefault="00AA7DFB" w:rsidP="00821D7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(0.1328</w:t>
            </w:r>
            <w:r w:rsidR="00C75325">
              <w:rPr>
                <w:rFonts w:ascii="Times New Roman" w:hAnsi="Times New Roman" w:cs="Times New Roman"/>
              </w:rPr>
              <w:t>, 0.3987, 0.</w:t>
            </w:r>
            <w:r>
              <w:rPr>
                <w:rFonts w:ascii="Times New Roman" w:hAnsi="Times New Roman" w:cs="Times New Roman"/>
              </w:rPr>
              <w:t>7998</w:t>
            </w:r>
            <w:r w:rsidR="00B345A7">
              <w:rPr>
                <w:rFonts w:ascii="Times New Roman" w:hAnsi="Times New Roman" w:cs="Times New Roman"/>
              </w:rPr>
              <w:t>)</w:t>
            </w:r>
          </w:p>
        </w:tc>
        <w:tc>
          <w:tcPr>
            <w:tcW w:w="2716" w:type="dxa"/>
          </w:tcPr>
          <w:p w14:paraId="7AD81480" w14:textId="2CCAC73F" w:rsidR="008055E6" w:rsidRDefault="00B345A7" w:rsidP="00821D7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(0.0000, 0.1607, 1.0000)</w:t>
            </w:r>
          </w:p>
        </w:tc>
      </w:tr>
      <w:tr w:rsidR="008055E6" w14:paraId="476FC743" w14:textId="77777777" w:rsidTr="009C00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6" w:type="dxa"/>
          </w:tcPr>
          <w:p w14:paraId="21382AA9" w14:textId="54C12565" w:rsidR="008055E6" w:rsidRPr="0092240E" w:rsidRDefault="008055E6" w:rsidP="00821D7E">
            <w:pPr>
              <w:spacing w:line="360" w:lineRule="auto"/>
              <w:rPr>
                <w:rFonts w:ascii="Times New Roman" w:hAnsi="Times New Roman" w:cs="Times New Roman"/>
              </w:rPr>
            </w:pPr>
            <w:r w:rsidRPr="0092240E">
              <w:rPr>
                <w:rFonts w:ascii="Times New Roman" w:hAnsi="Times New Roman" w:cs="Times New Roman"/>
              </w:rPr>
              <w:t>Services</w:t>
            </w:r>
          </w:p>
        </w:tc>
        <w:tc>
          <w:tcPr>
            <w:tcW w:w="2720" w:type="dxa"/>
          </w:tcPr>
          <w:p w14:paraId="02C96C77" w14:textId="79CE72BD" w:rsidR="008055E6" w:rsidRDefault="00AA7DFB" w:rsidP="00821D7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(0.0346, 0.0519, 0.3676</w:t>
            </w:r>
            <w:r w:rsidR="00B345A7">
              <w:rPr>
                <w:rFonts w:ascii="Times New Roman" w:hAnsi="Times New Roman" w:cs="Times New Roman"/>
              </w:rPr>
              <w:t>)</w:t>
            </w:r>
          </w:p>
        </w:tc>
        <w:tc>
          <w:tcPr>
            <w:tcW w:w="2716" w:type="dxa"/>
          </w:tcPr>
          <w:p w14:paraId="0452C742" w14:textId="2253AE97" w:rsidR="008055E6" w:rsidRDefault="00AA7DFB" w:rsidP="00821D7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(0.0331, 0.0993, 0.7000</w:t>
            </w:r>
            <w:r w:rsidR="00B345A7">
              <w:rPr>
                <w:rFonts w:ascii="Times New Roman" w:hAnsi="Times New Roman" w:cs="Times New Roman"/>
              </w:rPr>
              <w:t>)</w:t>
            </w:r>
          </w:p>
        </w:tc>
        <w:tc>
          <w:tcPr>
            <w:tcW w:w="2716" w:type="dxa"/>
          </w:tcPr>
          <w:p w14:paraId="76B2E107" w14:textId="352CB4C9" w:rsidR="008055E6" w:rsidRDefault="00B345A7" w:rsidP="00821D7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(0.0000, </w:t>
            </w:r>
            <w:r w:rsidR="001010C3">
              <w:rPr>
                <w:rFonts w:ascii="Times New Roman" w:hAnsi="Times New Roman" w:cs="Times New Roman"/>
              </w:rPr>
              <w:t>0.1813, 1.0000)</w:t>
            </w:r>
          </w:p>
        </w:tc>
      </w:tr>
    </w:tbl>
    <w:p w14:paraId="4FFE7F5E" w14:textId="77777777" w:rsidR="008055E6" w:rsidRDefault="008055E6" w:rsidP="001B6843">
      <w:pPr>
        <w:rPr>
          <w:rFonts w:ascii="Times New Roman" w:hAnsi="Times New Roman" w:cs="Times New Roman"/>
        </w:rPr>
      </w:pPr>
    </w:p>
    <w:p w14:paraId="46BF90EC" w14:textId="519F5166" w:rsidR="00A62693" w:rsidRDefault="00A62693" w:rsidP="00821D7E">
      <w:pPr>
        <w:spacing w:after="0" w:line="360" w:lineRule="auto"/>
        <w:ind w:left="360"/>
        <w:jc w:val="both"/>
        <w:rPr>
          <w:rFonts w:ascii="Times New Roman" w:hAnsi="Times New Roman" w:cs="Times New Roman"/>
        </w:rPr>
      </w:pPr>
      <w:r>
        <w:rPr>
          <w:rFonts w:ascii="Times New Roman" w:hAnsi="Times New Roman" w:cs="Times New Roman"/>
        </w:rPr>
        <w:t xml:space="preserve">Solving Equation 1 subject to the constraints given in Equations 2 – 6, the resulting </w:t>
      </w:r>
      <w:r w:rsidR="00EB5FCB">
        <w:rPr>
          <w:rFonts w:ascii="Times New Roman" w:hAnsi="Times New Roman" w:cs="Times New Roman"/>
        </w:rPr>
        <w:t>over</w:t>
      </w:r>
      <w:r w:rsidR="0055397F">
        <w:rPr>
          <w:rFonts w:ascii="Times New Roman" w:hAnsi="Times New Roman" w:cs="Times New Roman"/>
        </w:rPr>
        <w:t>-all consistency index is 0.4679</w:t>
      </w:r>
      <w:r w:rsidR="00EB5FCB">
        <w:rPr>
          <w:rFonts w:ascii="Times New Roman" w:hAnsi="Times New Roman" w:cs="Times New Roman"/>
        </w:rPr>
        <w:t xml:space="preserve">. This consistency index is then utilized for identifying the Pareto optimal solution </w:t>
      </w:r>
      <w:r>
        <w:rPr>
          <w:rFonts w:ascii="Times New Roman" w:hAnsi="Times New Roman" w:cs="Times New Roman"/>
        </w:rPr>
        <w:t>shown in Table 4.</w:t>
      </w:r>
      <w:r w:rsidR="00BE4E7E">
        <w:rPr>
          <w:rFonts w:ascii="Times New Roman" w:hAnsi="Times New Roman" w:cs="Times New Roman"/>
        </w:rPr>
        <w:t xml:space="preserve"> </w:t>
      </w:r>
      <w:r w:rsidR="00EB5FCB">
        <w:rPr>
          <w:rFonts w:ascii="Times New Roman" w:hAnsi="Times New Roman" w:cs="Times New Roman"/>
        </w:rPr>
        <w:t>The lo</w:t>
      </w:r>
      <w:r w:rsidR="0055397F">
        <w:rPr>
          <w:rFonts w:ascii="Times New Roman" w:hAnsi="Times New Roman" w:cs="Times New Roman"/>
        </w:rPr>
        <w:t>west consistency index of 0.4679</w:t>
      </w:r>
      <w:r w:rsidR="00EB5FCB">
        <w:rPr>
          <w:rFonts w:ascii="Times New Roman" w:hAnsi="Times New Roman" w:cs="Times New Roman"/>
        </w:rPr>
        <w:t xml:space="preserve"> was obtained for elements </w:t>
      </w:r>
      <w:r w:rsidR="00087819" w:rsidRPr="00341FB1">
        <w:rPr>
          <w:rFonts w:ascii="Times New Roman" w:hAnsi="Times New Roman" w:cs="Times New Roman"/>
          <w:i/>
        </w:rPr>
        <w:t>a’</w:t>
      </w:r>
      <w:r w:rsidR="00087819" w:rsidRPr="00341FB1">
        <w:rPr>
          <w:rFonts w:ascii="Times New Roman" w:hAnsi="Times New Roman" w:cs="Times New Roman"/>
          <w:i/>
          <w:vertAlign w:val="subscript"/>
        </w:rPr>
        <w:t>12</w:t>
      </w:r>
      <w:r w:rsidR="00087819">
        <w:rPr>
          <w:rFonts w:ascii="Times New Roman" w:hAnsi="Times New Roman" w:cs="Times New Roman"/>
          <w:vertAlign w:val="superscript"/>
        </w:rPr>
        <w:t xml:space="preserve"> </w:t>
      </w:r>
      <w:r w:rsidR="00EB5FCB">
        <w:rPr>
          <w:rFonts w:ascii="Times New Roman" w:hAnsi="Times New Roman" w:cs="Times New Roman"/>
        </w:rPr>
        <w:t xml:space="preserve">and </w:t>
      </w:r>
      <w:r w:rsidR="00087819" w:rsidRPr="00341FB1">
        <w:rPr>
          <w:rFonts w:ascii="Times New Roman" w:hAnsi="Times New Roman" w:cs="Times New Roman"/>
          <w:i/>
        </w:rPr>
        <w:t>a’</w:t>
      </w:r>
      <w:r w:rsidR="00087819" w:rsidRPr="00341FB1">
        <w:rPr>
          <w:rFonts w:ascii="Times New Roman" w:hAnsi="Times New Roman" w:cs="Times New Roman"/>
          <w:i/>
          <w:vertAlign w:val="subscript"/>
        </w:rPr>
        <w:t>13</w:t>
      </w:r>
      <w:r w:rsidR="00EB5FCB">
        <w:rPr>
          <w:rFonts w:ascii="Times New Roman" w:hAnsi="Times New Roman" w:cs="Times New Roman"/>
        </w:rPr>
        <w:t xml:space="preserve">. However, </w:t>
      </w:r>
      <w:r w:rsidR="00087819" w:rsidRPr="00341FB1">
        <w:rPr>
          <w:rFonts w:ascii="Times New Roman" w:hAnsi="Times New Roman" w:cs="Times New Roman"/>
          <w:i/>
        </w:rPr>
        <w:t>a’</w:t>
      </w:r>
      <w:r w:rsidR="00087819" w:rsidRPr="00341FB1">
        <w:rPr>
          <w:rFonts w:ascii="Times New Roman" w:hAnsi="Times New Roman" w:cs="Times New Roman"/>
          <w:i/>
          <w:vertAlign w:val="subscript"/>
        </w:rPr>
        <w:t>21</w:t>
      </w:r>
      <w:r w:rsidR="00EB5FCB" w:rsidRPr="00341FB1">
        <w:rPr>
          <w:rFonts w:ascii="Times New Roman" w:hAnsi="Times New Roman" w:cs="Times New Roman"/>
          <w:i/>
        </w:rPr>
        <w:t xml:space="preserve">, </w:t>
      </w:r>
      <w:r w:rsidR="00087819" w:rsidRPr="00341FB1">
        <w:rPr>
          <w:rFonts w:ascii="Times New Roman" w:hAnsi="Times New Roman" w:cs="Times New Roman"/>
          <w:i/>
        </w:rPr>
        <w:t>a’</w:t>
      </w:r>
      <w:r w:rsidR="00087819" w:rsidRPr="00341FB1">
        <w:rPr>
          <w:rFonts w:ascii="Times New Roman" w:hAnsi="Times New Roman" w:cs="Times New Roman"/>
          <w:i/>
          <w:vertAlign w:val="subscript"/>
        </w:rPr>
        <w:t>22</w:t>
      </w:r>
      <w:r w:rsidR="00EB5FCB" w:rsidRPr="00341FB1">
        <w:rPr>
          <w:rFonts w:ascii="Times New Roman" w:hAnsi="Times New Roman" w:cs="Times New Roman"/>
          <w:i/>
        </w:rPr>
        <w:t xml:space="preserve">, </w:t>
      </w:r>
      <w:r w:rsidR="00087819" w:rsidRPr="00341FB1">
        <w:rPr>
          <w:rFonts w:ascii="Times New Roman" w:hAnsi="Times New Roman" w:cs="Times New Roman"/>
          <w:i/>
        </w:rPr>
        <w:t>a’</w:t>
      </w:r>
      <w:r w:rsidR="00087819" w:rsidRPr="00341FB1">
        <w:rPr>
          <w:rFonts w:ascii="Times New Roman" w:hAnsi="Times New Roman" w:cs="Times New Roman"/>
          <w:i/>
          <w:vertAlign w:val="subscript"/>
        </w:rPr>
        <w:t>31</w:t>
      </w:r>
      <w:r w:rsidR="00087819">
        <w:rPr>
          <w:rFonts w:ascii="Times New Roman" w:hAnsi="Times New Roman" w:cs="Times New Roman"/>
        </w:rPr>
        <w:t xml:space="preserve"> </w:t>
      </w:r>
      <w:r w:rsidR="00EB5FCB">
        <w:rPr>
          <w:rFonts w:ascii="Times New Roman" w:hAnsi="Times New Roman" w:cs="Times New Roman"/>
        </w:rPr>
        <w:t xml:space="preserve">and </w:t>
      </w:r>
      <w:r w:rsidR="00087819" w:rsidRPr="00341FB1">
        <w:rPr>
          <w:rFonts w:ascii="Times New Roman" w:hAnsi="Times New Roman" w:cs="Times New Roman"/>
          <w:i/>
        </w:rPr>
        <w:t>a’</w:t>
      </w:r>
      <w:r w:rsidR="00087819" w:rsidRPr="00341FB1">
        <w:rPr>
          <w:rFonts w:ascii="Times New Roman" w:hAnsi="Times New Roman" w:cs="Times New Roman"/>
          <w:i/>
          <w:vertAlign w:val="subscript"/>
        </w:rPr>
        <w:t>32</w:t>
      </w:r>
      <w:r w:rsidR="00087819">
        <w:rPr>
          <w:rFonts w:ascii="Times New Roman" w:hAnsi="Times New Roman" w:cs="Times New Roman"/>
        </w:rPr>
        <w:t xml:space="preserve"> </w:t>
      </w:r>
      <w:r w:rsidR="00EB5FCB">
        <w:rPr>
          <w:rFonts w:ascii="Times New Roman" w:hAnsi="Times New Roman" w:cs="Times New Roman"/>
        </w:rPr>
        <w:t xml:space="preserve">obtained a consistency index of 1.00 indicating that the updated coefficient is unchanged in comparison to the technical coefficient of the base year. </w:t>
      </w:r>
    </w:p>
    <w:p w14:paraId="34F4B018" w14:textId="77777777" w:rsidR="00BB0C15" w:rsidRPr="00EB5FCB" w:rsidRDefault="00BB0C15" w:rsidP="00A62693">
      <w:pPr>
        <w:jc w:val="both"/>
        <w:rPr>
          <w:rFonts w:ascii="Times New Roman" w:hAnsi="Times New Roman" w:cs="Times New Roman"/>
        </w:rPr>
      </w:pPr>
    </w:p>
    <w:p w14:paraId="24BF7A77" w14:textId="32A74911" w:rsidR="00BE4E7E" w:rsidRDefault="00BE4E7E" w:rsidP="00821D7E">
      <w:pPr>
        <w:tabs>
          <w:tab w:val="left" w:pos="360"/>
        </w:tabs>
        <w:ind w:left="360"/>
        <w:jc w:val="both"/>
        <w:rPr>
          <w:rFonts w:ascii="Times New Roman" w:hAnsi="Times New Roman" w:cs="Times New Roman"/>
        </w:rPr>
      </w:pPr>
      <w:r w:rsidRPr="00EB5FCB">
        <w:rPr>
          <w:rFonts w:ascii="Times New Roman" w:hAnsi="Times New Roman" w:cs="Times New Roman"/>
          <w:b/>
        </w:rPr>
        <w:t>Table 4.</w:t>
      </w:r>
      <w:r>
        <w:rPr>
          <w:rFonts w:ascii="Times New Roman" w:hAnsi="Times New Roman" w:cs="Times New Roman"/>
        </w:rPr>
        <w:t xml:space="preserve"> </w:t>
      </w:r>
      <w:r w:rsidRPr="00191E30">
        <w:rPr>
          <w:rFonts w:ascii="Times New Roman" w:hAnsi="Times New Roman" w:cs="Times New Roman"/>
          <w:b/>
        </w:rPr>
        <w:t xml:space="preserve">Updated Technical Coefficients </w:t>
      </w:r>
      <w:r w:rsidR="00191E30">
        <w:rPr>
          <w:rFonts w:ascii="Times New Roman" w:hAnsi="Times New Roman" w:cs="Times New Roman"/>
          <w:b/>
        </w:rPr>
        <w:t>Matrix (</w:t>
      </w:r>
      <w:r w:rsidR="00087819">
        <w:rPr>
          <w:rFonts w:ascii="Times New Roman" w:hAnsi="Times New Roman" w:cs="Times New Roman"/>
          <w:b/>
        </w:rPr>
        <w:t>A’</w:t>
      </w:r>
      <w:r w:rsidR="00191E30">
        <w:rPr>
          <w:rFonts w:ascii="Times New Roman" w:hAnsi="Times New Roman" w:cs="Times New Roman"/>
          <w:b/>
        </w:rPr>
        <w:t xml:space="preserve">) </w:t>
      </w:r>
      <w:r w:rsidRPr="00191E30">
        <w:rPr>
          <w:rFonts w:ascii="Times New Roman" w:hAnsi="Times New Roman" w:cs="Times New Roman"/>
          <w:b/>
        </w:rPr>
        <w:t>Resulting from Fuzzy Updating</w:t>
      </w:r>
    </w:p>
    <w:tbl>
      <w:tblPr>
        <w:tblStyle w:val="LightList"/>
        <w:tblW w:w="4756" w:type="pct"/>
        <w:tblInd w:w="468" w:type="dxa"/>
        <w:tblLook w:val="04A0" w:firstRow="1" w:lastRow="0" w:firstColumn="1" w:lastColumn="0" w:noHBand="0" w:noVBand="1"/>
      </w:tblPr>
      <w:tblGrid>
        <w:gridCol w:w="1925"/>
        <w:gridCol w:w="2396"/>
        <w:gridCol w:w="2394"/>
        <w:gridCol w:w="2394"/>
      </w:tblGrid>
      <w:tr w:rsidR="00121027" w14:paraId="02239AD6" w14:textId="77777777" w:rsidTr="00821D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 w:type="pct"/>
          </w:tcPr>
          <w:p w14:paraId="4BECF791" w14:textId="77777777" w:rsidR="00121027" w:rsidRDefault="00121027" w:rsidP="00821D7E">
            <w:pPr>
              <w:spacing w:line="360" w:lineRule="auto"/>
              <w:rPr>
                <w:rFonts w:ascii="Times New Roman" w:hAnsi="Times New Roman" w:cs="Times New Roman"/>
                <w:b w:val="0"/>
              </w:rPr>
            </w:pPr>
          </w:p>
        </w:tc>
        <w:tc>
          <w:tcPr>
            <w:tcW w:w="1315" w:type="pct"/>
          </w:tcPr>
          <w:p w14:paraId="5CE253A2" w14:textId="77777777" w:rsidR="00121027" w:rsidRPr="0092240E" w:rsidRDefault="00121027" w:rsidP="00821D7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2240E">
              <w:rPr>
                <w:rFonts w:ascii="Times New Roman" w:hAnsi="Times New Roman" w:cs="Times New Roman"/>
              </w:rPr>
              <w:t>Agriculture</w:t>
            </w:r>
          </w:p>
        </w:tc>
        <w:tc>
          <w:tcPr>
            <w:tcW w:w="1314" w:type="pct"/>
          </w:tcPr>
          <w:p w14:paraId="71AF6582" w14:textId="77777777" w:rsidR="00121027" w:rsidRPr="0092240E" w:rsidRDefault="00121027" w:rsidP="00821D7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2240E">
              <w:rPr>
                <w:rFonts w:ascii="Times New Roman" w:hAnsi="Times New Roman" w:cs="Times New Roman"/>
              </w:rPr>
              <w:t>Industry</w:t>
            </w:r>
          </w:p>
        </w:tc>
        <w:tc>
          <w:tcPr>
            <w:tcW w:w="1314" w:type="pct"/>
          </w:tcPr>
          <w:p w14:paraId="70D62F80" w14:textId="77777777" w:rsidR="00121027" w:rsidRPr="0092240E" w:rsidRDefault="00121027" w:rsidP="00821D7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2240E">
              <w:rPr>
                <w:rFonts w:ascii="Times New Roman" w:hAnsi="Times New Roman" w:cs="Times New Roman"/>
              </w:rPr>
              <w:t>Services</w:t>
            </w:r>
          </w:p>
        </w:tc>
      </w:tr>
      <w:tr w:rsidR="00121027" w14:paraId="3066AF1F" w14:textId="77777777" w:rsidTr="00821D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 w:type="pct"/>
          </w:tcPr>
          <w:p w14:paraId="05EC628E" w14:textId="77777777" w:rsidR="00121027" w:rsidRPr="0092240E" w:rsidRDefault="00121027" w:rsidP="00821D7E">
            <w:pPr>
              <w:spacing w:line="360" w:lineRule="auto"/>
              <w:rPr>
                <w:rFonts w:ascii="Times New Roman" w:hAnsi="Times New Roman" w:cs="Times New Roman"/>
              </w:rPr>
            </w:pPr>
            <w:r w:rsidRPr="0092240E">
              <w:rPr>
                <w:rFonts w:ascii="Times New Roman" w:hAnsi="Times New Roman" w:cs="Times New Roman"/>
              </w:rPr>
              <w:t>Agriculture</w:t>
            </w:r>
          </w:p>
        </w:tc>
        <w:tc>
          <w:tcPr>
            <w:tcW w:w="1315" w:type="pct"/>
          </w:tcPr>
          <w:p w14:paraId="588D919D" w14:textId="30278D35" w:rsidR="00121027" w:rsidRPr="00D22F21" w:rsidRDefault="0055397F" w:rsidP="00821D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0.0792</w:t>
            </w:r>
          </w:p>
        </w:tc>
        <w:tc>
          <w:tcPr>
            <w:tcW w:w="1314" w:type="pct"/>
          </w:tcPr>
          <w:p w14:paraId="4A181E6F" w14:textId="72BD5C73" w:rsidR="00121027" w:rsidRPr="00D22F21" w:rsidRDefault="0055397F" w:rsidP="00821D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0.0903</w:t>
            </w:r>
          </w:p>
        </w:tc>
        <w:tc>
          <w:tcPr>
            <w:tcW w:w="1314" w:type="pct"/>
          </w:tcPr>
          <w:p w14:paraId="1A545F78" w14:textId="05ADF81E" w:rsidR="00121027" w:rsidRPr="00D22F21" w:rsidRDefault="00121027" w:rsidP="00821D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0.0057</w:t>
            </w:r>
          </w:p>
        </w:tc>
      </w:tr>
      <w:tr w:rsidR="00121027" w14:paraId="77F36A5C" w14:textId="77777777" w:rsidTr="00821D7E">
        <w:tc>
          <w:tcPr>
            <w:cnfStyle w:val="001000000000" w:firstRow="0" w:lastRow="0" w:firstColumn="1" w:lastColumn="0" w:oddVBand="0" w:evenVBand="0" w:oddHBand="0" w:evenHBand="0" w:firstRowFirstColumn="0" w:firstRowLastColumn="0" w:lastRowFirstColumn="0" w:lastRowLastColumn="0"/>
            <w:tcW w:w="1056" w:type="pct"/>
          </w:tcPr>
          <w:p w14:paraId="6E590FB3" w14:textId="77777777" w:rsidR="00121027" w:rsidRPr="0092240E" w:rsidRDefault="00121027" w:rsidP="00821D7E">
            <w:pPr>
              <w:spacing w:line="360" w:lineRule="auto"/>
              <w:rPr>
                <w:rFonts w:ascii="Times New Roman" w:hAnsi="Times New Roman" w:cs="Times New Roman"/>
              </w:rPr>
            </w:pPr>
            <w:r w:rsidRPr="0092240E">
              <w:rPr>
                <w:rFonts w:ascii="Times New Roman" w:hAnsi="Times New Roman" w:cs="Times New Roman"/>
              </w:rPr>
              <w:t>Industry</w:t>
            </w:r>
          </w:p>
        </w:tc>
        <w:tc>
          <w:tcPr>
            <w:tcW w:w="1315" w:type="pct"/>
          </w:tcPr>
          <w:p w14:paraId="69BC4541" w14:textId="1AFDA62F" w:rsidR="00121027" w:rsidRPr="00D22F21" w:rsidRDefault="00121027" w:rsidP="00821D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0.1314</w:t>
            </w:r>
          </w:p>
        </w:tc>
        <w:tc>
          <w:tcPr>
            <w:tcW w:w="1314" w:type="pct"/>
          </w:tcPr>
          <w:p w14:paraId="76B9B8EF" w14:textId="0740F5C8" w:rsidR="00121027" w:rsidRPr="00D22F21" w:rsidRDefault="00121027" w:rsidP="00821D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0.3987</w:t>
            </w:r>
          </w:p>
        </w:tc>
        <w:tc>
          <w:tcPr>
            <w:tcW w:w="1314" w:type="pct"/>
          </w:tcPr>
          <w:p w14:paraId="4DF89F5C" w14:textId="2229F7EE" w:rsidR="00121027" w:rsidRPr="00D22F21" w:rsidRDefault="00121027" w:rsidP="00821D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0.2724</w:t>
            </w:r>
          </w:p>
        </w:tc>
      </w:tr>
      <w:tr w:rsidR="00121027" w14:paraId="441202DE" w14:textId="77777777" w:rsidTr="00821D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 w:type="pct"/>
          </w:tcPr>
          <w:p w14:paraId="50443838" w14:textId="77777777" w:rsidR="00121027" w:rsidRPr="0092240E" w:rsidRDefault="00121027" w:rsidP="00821D7E">
            <w:pPr>
              <w:spacing w:line="360" w:lineRule="auto"/>
              <w:rPr>
                <w:rFonts w:ascii="Times New Roman" w:hAnsi="Times New Roman" w:cs="Times New Roman"/>
              </w:rPr>
            </w:pPr>
            <w:r w:rsidRPr="0092240E">
              <w:rPr>
                <w:rFonts w:ascii="Times New Roman" w:hAnsi="Times New Roman" w:cs="Times New Roman"/>
              </w:rPr>
              <w:t>Services</w:t>
            </w:r>
          </w:p>
        </w:tc>
        <w:tc>
          <w:tcPr>
            <w:tcW w:w="1315" w:type="pct"/>
          </w:tcPr>
          <w:p w14:paraId="642D8C4A" w14:textId="28241FF5" w:rsidR="00121027" w:rsidRPr="00D22F21" w:rsidRDefault="00121027" w:rsidP="00821D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0.0519</w:t>
            </w:r>
          </w:p>
        </w:tc>
        <w:tc>
          <w:tcPr>
            <w:tcW w:w="1314" w:type="pct"/>
          </w:tcPr>
          <w:p w14:paraId="426BEBD1" w14:textId="3BC92D6E" w:rsidR="00121027" w:rsidRPr="00D22F21" w:rsidRDefault="00121027" w:rsidP="00821D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0.0993</w:t>
            </w:r>
          </w:p>
        </w:tc>
        <w:tc>
          <w:tcPr>
            <w:tcW w:w="1314" w:type="pct"/>
          </w:tcPr>
          <w:p w14:paraId="41429135" w14:textId="4D42601F" w:rsidR="00121027" w:rsidRPr="00D22F21" w:rsidRDefault="00121027" w:rsidP="00821D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0.1395</w:t>
            </w:r>
          </w:p>
        </w:tc>
      </w:tr>
    </w:tbl>
    <w:p w14:paraId="085D782F" w14:textId="77777777" w:rsidR="002974F2" w:rsidRDefault="002974F2" w:rsidP="001B6843">
      <w:pPr>
        <w:rPr>
          <w:rFonts w:ascii="Times New Roman" w:hAnsi="Times New Roman" w:cs="Times New Roman"/>
        </w:rPr>
      </w:pPr>
    </w:p>
    <w:p w14:paraId="476E3321" w14:textId="0AE28FDE" w:rsidR="00121027" w:rsidRPr="00DB4A4F" w:rsidRDefault="00121027" w:rsidP="00821D7E">
      <w:pPr>
        <w:ind w:left="360"/>
        <w:rPr>
          <w:rFonts w:ascii="Times New Roman" w:hAnsi="Times New Roman" w:cs="Times New Roman"/>
          <w:b/>
        </w:rPr>
      </w:pPr>
      <w:r w:rsidRPr="00EB5FCB">
        <w:rPr>
          <w:rFonts w:ascii="Times New Roman" w:hAnsi="Times New Roman" w:cs="Times New Roman"/>
          <w:b/>
        </w:rPr>
        <w:t>Table 5.</w:t>
      </w:r>
      <w:r>
        <w:rPr>
          <w:rFonts w:ascii="Times New Roman" w:hAnsi="Times New Roman" w:cs="Times New Roman"/>
        </w:rPr>
        <w:t xml:space="preserve"> </w:t>
      </w:r>
      <w:r w:rsidRPr="00DB4A4F">
        <w:rPr>
          <w:rFonts w:ascii="Times New Roman" w:hAnsi="Times New Roman" w:cs="Times New Roman"/>
          <w:b/>
        </w:rPr>
        <w:t xml:space="preserve">Technical Coefficients Matrix of the Philippines in the Year </w:t>
      </w:r>
      <w:r>
        <w:rPr>
          <w:rFonts w:ascii="Times New Roman" w:hAnsi="Times New Roman" w:cs="Times New Roman"/>
          <w:b/>
        </w:rPr>
        <w:t>2000</w:t>
      </w:r>
      <w:r w:rsidRPr="00DB4A4F">
        <w:rPr>
          <w:rFonts w:ascii="Times New Roman" w:hAnsi="Times New Roman" w:cs="Times New Roman"/>
          <w:b/>
        </w:rPr>
        <w:t xml:space="preserve"> (PNSCB, </w:t>
      </w:r>
      <w:r>
        <w:rPr>
          <w:rFonts w:ascii="Times New Roman" w:hAnsi="Times New Roman" w:cs="Times New Roman"/>
          <w:b/>
        </w:rPr>
        <w:t>2006</w:t>
      </w:r>
      <w:r w:rsidRPr="00DB4A4F">
        <w:rPr>
          <w:rFonts w:ascii="Times New Roman" w:hAnsi="Times New Roman" w:cs="Times New Roman"/>
          <w:b/>
        </w:rPr>
        <w:t>)</w:t>
      </w:r>
    </w:p>
    <w:tbl>
      <w:tblPr>
        <w:tblStyle w:val="LightList"/>
        <w:tblW w:w="4756" w:type="pct"/>
        <w:tblInd w:w="468" w:type="dxa"/>
        <w:tblLook w:val="04A0" w:firstRow="1" w:lastRow="0" w:firstColumn="1" w:lastColumn="0" w:noHBand="0" w:noVBand="1"/>
      </w:tblPr>
      <w:tblGrid>
        <w:gridCol w:w="1925"/>
        <w:gridCol w:w="2396"/>
        <w:gridCol w:w="2394"/>
        <w:gridCol w:w="2394"/>
      </w:tblGrid>
      <w:tr w:rsidR="00121027" w14:paraId="783A81B1" w14:textId="77777777" w:rsidTr="00821D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 w:type="pct"/>
          </w:tcPr>
          <w:p w14:paraId="6D53FD69" w14:textId="77777777" w:rsidR="00121027" w:rsidRDefault="00121027" w:rsidP="00821D7E">
            <w:pPr>
              <w:spacing w:line="360" w:lineRule="auto"/>
              <w:rPr>
                <w:rFonts w:ascii="Times New Roman" w:hAnsi="Times New Roman" w:cs="Times New Roman"/>
                <w:b w:val="0"/>
              </w:rPr>
            </w:pPr>
          </w:p>
        </w:tc>
        <w:tc>
          <w:tcPr>
            <w:tcW w:w="1315" w:type="pct"/>
          </w:tcPr>
          <w:p w14:paraId="4A2D8ECB" w14:textId="77777777" w:rsidR="00121027" w:rsidRPr="0092240E" w:rsidRDefault="00121027" w:rsidP="00821D7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2240E">
              <w:rPr>
                <w:rFonts w:ascii="Times New Roman" w:hAnsi="Times New Roman" w:cs="Times New Roman"/>
              </w:rPr>
              <w:t>Agriculture</w:t>
            </w:r>
          </w:p>
        </w:tc>
        <w:tc>
          <w:tcPr>
            <w:tcW w:w="1314" w:type="pct"/>
          </w:tcPr>
          <w:p w14:paraId="50CBE015" w14:textId="77777777" w:rsidR="00121027" w:rsidRPr="0092240E" w:rsidRDefault="00121027" w:rsidP="00821D7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2240E">
              <w:rPr>
                <w:rFonts w:ascii="Times New Roman" w:hAnsi="Times New Roman" w:cs="Times New Roman"/>
              </w:rPr>
              <w:t>Industry</w:t>
            </w:r>
          </w:p>
        </w:tc>
        <w:tc>
          <w:tcPr>
            <w:tcW w:w="1314" w:type="pct"/>
          </w:tcPr>
          <w:p w14:paraId="38605368" w14:textId="77777777" w:rsidR="00121027" w:rsidRPr="0092240E" w:rsidRDefault="00121027" w:rsidP="00821D7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2240E">
              <w:rPr>
                <w:rFonts w:ascii="Times New Roman" w:hAnsi="Times New Roman" w:cs="Times New Roman"/>
              </w:rPr>
              <w:t>Services</w:t>
            </w:r>
          </w:p>
        </w:tc>
      </w:tr>
      <w:tr w:rsidR="00121027" w14:paraId="5265CECB" w14:textId="77777777" w:rsidTr="00821D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 w:type="pct"/>
          </w:tcPr>
          <w:p w14:paraId="146433D0" w14:textId="77777777" w:rsidR="00121027" w:rsidRPr="0092240E" w:rsidRDefault="00121027" w:rsidP="00821D7E">
            <w:pPr>
              <w:spacing w:line="360" w:lineRule="auto"/>
              <w:rPr>
                <w:rFonts w:ascii="Times New Roman" w:hAnsi="Times New Roman" w:cs="Times New Roman"/>
              </w:rPr>
            </w:pPr>
            <w:r w:rsidRPr="0092240E">
              <w:rPr>
                <w:rFonts w:ascii="Times New Roman" w:hAnsi="Times New Roman" w:cs="Times New Roman"/>
              </w:rPr>
              <w:t>Agriculture</w:t>
            </w:r>
          </w:p>
        </w:tc>
        <w:tc>
          <w:tcPr>
            <w:tcW w:w="1315" w:type="pct"/>
          </w:tcPr>
          <w:p w14:paraId="63248069" w14:textId="777390FF" w:rsidR="00121027" w:rsidRPr="00D22F21" w:rsidRDefault="00121027" w:rsidP="00821D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0.0800</w:t>
            </w:r>
          </w:p>
        </w:tc>
        <w:tc>
          <w:tcPr>
            <w:tcW w:w="1314" w:type="pct"/>
          </w:tcPr>
          <w:p w14:paraId="0A5F31C9" w14:textId="278E90CE" w:rsidR="00121027" w:rsidRPr="00D22F21" w:rsidRDefault="00121027" w:rsidP="00821D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0.0896</w:t>
            </w:r>
          </w:p>
        </w:tc>
        <w:tc>
          <w:tcPr>
            <w:tcW w:w="1314" w:type="pct"/>
          </w:tcPr>
          <w:p w14:paraId="0105A63E" w14:textId="23560694" w:rsidR="00121027" w:rsidRPr="00D22F21" w:rsidRDefault="00121027" w:rsidP="00821D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0.0064</w:t>
            </w:r>
          </w:p>
        </w:tc>
      </w:tr>
      <w:tr w:rsidR="00121027" w14:paraId="3F2AE6CA" w14:textId="77777777" w:rsidTr="00821D7E">
        <w:tc>
          <w:tcPr>
            <w:cnfStyle w:val="001000000000" w:firstRow="0" w:lastRow="0" w:firstColumn="1" w:lastColumn="0" w:oddVBand="0" w:evenVBand="0" w:oddHBand="0" w:evenHBand="0" w:firstRowFirstColumn="0" w:firstRowLastColumn="0" w:lastRowFirstColumn="0" w:lastRowLastColumn="0"/>
            <w:tcW w:w="1056" w:type="pct"/>
          </w:tcPr>
          <w:p w14:paraId="26BB21CE" w14:textId="77777777" w:rsidR="00121027" w:rsidRPr="0092240E" w:rsidRDefault="00121027" w:rsidP="00821D7E">
            <w:pPr>
              <w:spacing w:line="360" w:lineRule="auto"/>
              <w:rPr>
                <w:rFonts w:ascii="Times New Roman" w:hAnsi="Times New Roman" w:cs="Times New Roman"/>
              </w:rPr>
            </w:pPr>
            <w:r w:rsidRPr="0092240E">
              <w:rPr>
                <w:rFonts w:ascii="Times New Roman" w:hAnsi="Times New Roman" w:cs="Times New Roman"/>
              </w:rPr>
              <w:t>Industry</w:t>
            </w:r>
          </w:p>
        </w:tc>
        <w:tc>
          <w:tcPr>
            <w:tcW w:w="1315" w:type="pct"/>
          </w:tcPr>
          <w:p w14:paraId="740CB06D" w14:textId="36472A24" w:rsidR="00121027" w:rsidRPr="00D22F21" w:rsidRDefault="00121027" w:rsidP="00821D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0.1457</w:t>
            </w:r>
          </w:p>
        </w:tc>
        <w:tc>
          <w:tcPr>
            <w:tcW w:w="1314" w:type="pct"/>
          </w:tcPr>
          <w:p w14:paraId="25D94893" w14:textId="632880C4" w:rsidR="00121027" w:rsidRPr="00D22F21" w:rsidRDefault="00121027" w:rsidP="00821D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0.4469</w:t>
            </w:r>
          </w:p>
        </w:tc>
        <w:tc>
          <w:tcPr>
            <w:tcW w:w="1314" w:type="pct"/>
          </w:tcPr>
          <w:p w14:paraId="1BC1F65D" w14:textId="23E0C94E" w:rsidR="00121027" w:rsidRPr="00D22F21" w:rsidRDefault="00121027" w:rsidP="00821D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0.2017</w:t>
            </w:r>
          </w:p>
        </w:tc>
      </w:tr>
      <w:tr w:rsidR="00121027" w14:paraId="6C67BECB" w14:textId="77777777" w:rsidTr="00821D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 w:type="pct"/>
          </w:tcPr>
          <w:p w14:paraId="6BE4AB45" w14:textId="77777777" w:rsidR="00121027" w:rsidRPr="0092240E" w:rsidRDefault="00121027" w:rsidP="00821D7E">
            <w:pPr>
              <w:spacing w:line="360" w:lineRule="auto"/>
              <w:rPr>
                <w:rFonts w:ascii="Times New Roman" w:hAnsi="Times New Roman" w:cs="Times New Roman"/>
              </w:rPr>
            </w:pPr>
            <w:r w:rsidRPr="0092240E">
              <w:rPr>
                <w:rFonts w:ascii="Times New Roman" w:hAnsi="Times New Roman" w:cs="Times New Roman"/>
              </w:rPr>
              <w:t>Services</w:t>
            </w:r>
          </w:p>
        </w:tc>
        <w:tc>
          <w:tcPr>
            <w:tcW w:w="1315" w:type="pct"/>
          </w:tcPr>
          <w:p w14:paraId="3E8B78BE" w14:textId="0197709C" w:rsidR="00121027" w:rsidRPr="00D22F21" w:rsidRDefault="00121027" w:rsidP="00821D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0.0388</w:t>
            </w:r>
          </w:p>
        </w:tc>
        <w:tc>
          <w:tcPr>
            <w:tcW w:w="1314" w:type="pct"/>
          </w:tcPr>
          <w:p w14:paraId="07A3E279" w14:textId="29C7B7C9" w:rsidR="00121027" w:rsidRPr="00D22F21" w:rsidRDefault="00121027" w:rsidP="00821D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0.0899</w:t>
            </w:r>
          </w:p>
        </w:tc>
        <w:tc>
          <w:tcPr>
            <w:tcW w:w="1314" w:type="pct"/>
          </w:tcPr>
          <w:p w14:paraId="35340071" w14:textId="6DE26CD0" w:rsidR="00121027" w:rsidRPr="00D22F21" w:rsidRDefault="00121027" w:rsidP="00821D7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0.1556</w:t>
            </w:r>
          </w:p>
        </w:tc>
      </w:tr>
    </w:tbl>
    <w:p w14:paraId="35893F73" w14:textId="77777777" w:rsidR="00BE4E7E" w:rsidRDefault="00BE4E7E" w:rsidP="001B6843">
      <w:pPr>
        <w:rPr>
          <w:rFonts w:ascii="Times New Roman" w:hAnsi="Times New Roman" w:cs="Times New Roman"/>
        </w:rPr>
      </w:pPr>
    </w:p>
    <w:p w14:paraId="2A14573F" w14:textId="642BCD66" w:rsidR="00BB0C15" w:rsidRDefault="00DE6226" w:rsidP="0065492C">
      <w:pPr>
        <w:spacing w:after="0" w:line="360" w:lineRule="auto"/>
        <w:ind w:left="360"/>
        <w:jc w:val="both"/>
        <w:rPr>
          <w:rFonts w:ascii="Times New Roman" w:hAnsi="Times New Roman" w:cs="Times New Roman"/>
        </w:rPr>
      </w:pPr>
      <w:r>
        <w:rPr>
          <w:rFonts w:ascii="Times New Roman" w:hAnsi="Times New Roman" w:cs="Times New Roman"/>
        </w:rPr>
        <w:t xml:space="preserve">Comparing the results of the optimization model with the actual values of the year 2000 technical coefficients shows that the greatest deviation between the predicted and actual values is 35% which </w:t>
      </w:r>
      <w:r w:rsidR="00F17438">
        <w:rPr>
          <w:rFonts w:ascii="Times New Roman" w:hAnsi="Times New Roman" w:cs="Times New Roman"/>
        </w:rPr>
        <w:t xml:space="preserve">is </w:t>
      </w:r>
      <w:r w:rsidR="00F17438">
        <w:rPr>
          <w:rFonts w:ascii="Times New Roman" w:hAnsi="Times New Roman" w:cs="Times New Roman"/>
        </w:rPr>
        <w:lastRenderedPageBreak/>
        <w:t xml:space="preserve">observable </w:t>
      </w:r>
      <w:r>
        <w:rPr>
          <w:rFonts w:ascii="Times New Roman" w:hAnsi="Times New Roman" w:cs="Times New Roman"/>
        </w:rPr>
        <w:t xml:space="preserve">for the coefficient </w:t>
      </w:r>
      <w:r w:rsidR="00087819" w:rsidRPr="00341FB1">
        <w:rPr>
          <w:rFonts w:ascii="Times New Roman" w:hAnsi="Times New Roman" w:cs="Times New Roman"/>
          <w:i/>
        </w:rPr>
        <w:t>a’</w:t>
      </w:r>
      <w:r w:rsidR="00087819" w:rsidRPr="00341FB1">
        <w:rPr>
          <w:rFonts w:ascii="Times New Roman" w:hAnsi="Times New Roman" w:cs="Times New Roman"/>
          <w:i/>
          <w:vertAlign w:val="subscript"/>
        </w:rPr>
        <w:t>23</w:t>
      </w:r>
      <w:r>
        <w:rPr>
          <w:rFonts w:ascii="Times New Roman" w:hAnsi="Times New Roman" w:cs="Times New Roman"/>
        </w:rPr>
        <w:t>. On the other hand</w:t>
      </w:r>
      <w:r w:rsidR="00F17438">
        <w:rPr>
          <w:rFonts w:ascii="Times New Roman" w:hAnsi="Times New Roman" w:cs="Times New Roman"/>
        </w:rPr>
        <w:t>,</w:t>
      </w:r>
      <w:r>
        <w:rPr>
          <w:rFonts w:ascii="Times New Roman" w:hAnsi="Times New Roman" w:cs="Times New Roman"/>
        </w:rPr>
        <w:t xml:space="preserve"> the coefficient </w:t>
      </w:r>
      <w:r w:rsidR="00087819" w:rsidRPr="00341FB1">
        <w:rPr>
          <w:rFonts w:ascii="Times New Roman" w:hAnsi="Times New Roman" w:cs="Times New Roman"/>
          <w:i/>
        </w:rPr>
        <w:t>a’</w:t>
      </w:r>
      <w:r w:rsidR="00087819" w:rsidRPr="00341FB1">
        <w:rPr>
          <w:rFonts w:ascii="Times New Roman" w:hAnsi="Times New Roman" w:cs="Times New Roman"/>
          <w:i/>
          <w:vertAlign w:val="subscript"/>
        </w:rPr>
        <w:t>12</w:t>
      </w:r>
      <w:r w:rsidR="00087819">
        <w:rPr>
          <w:rFonts w:ascii="Times New Roman" w:hAnsi="Times New Roman" w:cs="Times New Roman"/>
        </w:rPr>
        <w:t xml:space="preserve"> </w:t>
      </w:r>
      <w:r>
        <w:rPr>
          <w:rFonts w:ascii="Times New Roman" w:hAnsi="Times New Roman" w:cs="Times New Roman"/>
        </w:rPr>
        <w:t>had t</w:t>
      </w:r>
      <w:r w:rsidR="0055397F">
        <w:rPr>
          <w:rFonts w:ascii="Times New Roman" w:hAnsi="Times New Roman" w:cs="Times New Roman"/>
        </w:rPr>
        <w:t>he lowest deviation of only 0.98</w:t>
      </w:r>
      <w:r>
        <w:rPr>
          <w:rFonts w:ascii="Times New Roman" w:hAnsi="Times New Roman" w:cs="Times New Roman"/>
        </w:rPr>
        <w:t>%.</w:t>
      </w:r>
    </w:p>
    <w:p w14:paraId="7AC1E2EB" w14:textId="77777777" w:rsidR="0065492C" w:rsidRPr="00DE6226" w:rsidRDefault="0065492C" w:rsidP="0065492C">
      <w:pPr>
        <w:spacing w:after="0" w:line="360" w:lineRule="auto"/>
        <w:ind w:left="360"/>
        <w:jc w:val="both"/>
        <w:rPr>
          <w:rFonts w:ascii="Times New Roman" w:hAnsi="Times New Roman" w:cs="Times New Roman"/>
        </w:rPr>
      </w:pPr>
    </w:p>
    <w:p w14:paraId="48873D5B" w14:textId="18ABC7EA" w:rsidR="001B6843" w:rsidRPr="00285991" w:rsidRDefault="00A74138" w:rsidP="00A74138">
      <w:pPr>
        <w:pStyle w:val="ListParagraph"/>
        <w:numPr>
          <w:ilvl w:val="0"/>
          <w:numId w:val="2"/>
        </w:numPr>
        <w:rPr>
          <w:rFonts w:ascii="Times New Roman" w:hAnsi="Times New Roman" w:cs="Times New Roman"/>
          <w:b/>
        </w:rPr>
      </w:pPr>
      <w:r w:rsidRPr="00285991">
        <w:rPr>
          <w:rFonts w:ascii="Times New Roman" w:hAnsi="Times New Roman" w:cs="Times New Roman"/>
          <w:b/>
        </w:rPr>
        <w:t>Conclusion</w:t>
      </w:r>
    </w:p>
    <w:p w14:paraId="605BBEDA" w14:textId="36079695" w:rsidR="001B6843" w:rsidRPr="001B6843" w:rsidRDefault="009362F8" w:rsidP="0065492C">
      <w:pPr>
        <w:spacing w:after="0" w:line="360" w:lineRule="auto"/>
        <w:ind w:left="360"/>
        <w:jc w:val="both"/>
        <w:rPr>
          <w:rFonts w:ascii="Times New Roman" w:hAnsi="Times New Roman" w:cs="Times New Roman"/>
        </w:rPr>
      </w:pPr>
      <w:r>
        <w:rPr>
          <w:rFonts w:ascii="Times New Roman" w:hAnsi="Times New Roman" w:cs="Times New Roman"/>
        </w:rPr>
        <w:t xml:space="preserve">A fuzzy linear programming approach for updating the technical coefficients of the IO table has been </w:t>
      </w:r>
      <w:r w:rsidR="00A038A4">
        <w:rPr>
          <w:rFonts w:ascii="Times New Roman" w:hAnsi="Times New Roman" w:cs="Times New Roman"/>
        </w:rPr>
        <w:t>developed</w:t>
      </w:r>
      <w:r>
        <w:rPr>
          <w:rFonts w:ascii="Times New Roman" w:hAnsi="Times New Roman" w:cs="Times New Roman"/>
        </w:rPr>
        <w:t>. T</w:t>
      </w:r>
      <w:r w:rsidR="00D7254E">
        <w:rPr>
          <w:rFonts w:ascii="Times New Roman" w:hAnsi="Times New Roman" w:cs="Times New Roman"/>
        </w:rPr>
        <w:t>he capabilities of the model were</w:t>
      </w:r>
      <w:r>
        <w:rPr>
          <w:rFonts w:ascii="Times New Roman" w:hAnsi="Times New Roman" w:cs="Times New Roman"/>
        </w:rPr>
        <w:t xml:space="preserve"> d</w:t>
      </w:r>
      <w:r w:rsidR="00285991">
        <w:rPr>
          <w:rFonts w:ascii="Times New Roman" w:hAnsi="Times New Roman" w:cs="Times New Roman"/>
        </w:rPr>
        <w:t xml:space="preserve">emonstrated using </w:t>
      </w:r>
      <w:r w:rsidR="00A038A4">
        <w:rPr>
          <w:rFonts w:ascii="Times New Roman" w:hAnsi="Times New Roman" w:cs="Times New Roman"/>
        </w:rPr>
        <w:t>a low-resolution case study based on</w:t>
      </w:r>
      <w:r w:rsidR="00285991">
        <w:rPr>
          <w:rFonts w:ascii="Times New Roman" w:hAnsi="Times New Roman" w:cs="Times New Roman"/>
        </w:rPr>
        <w:t xml:space="preserve"> IO T</w:t>
      </w:r>
      <w:r>
        <w:rPr>
          <w:rFonts w:ascii="Times New Roman" w:hAnsi="Times New Roman" w:cs="Times New Roman"/>
        </w:rPr>
        <w:t>able</w:t>
      </w:r>
      <w:r w:rsidR="00285991">
        <w:rPr>
          <w:rFonts w:ascii="Times New Roman" w:hAnsi="Times New Roman" w:cs="Times New Roman"/>
        </w:rPr>
        <w:t>s</w:t>
      </w:r>
      <w:r>
        <w:rPr>
          <w:rFonts w:ascii="Times New Roman" w:hAnsi="Times New Roman" w:cs="Times New Roman"/>
        </w:rPr>
        <w:t xml:space="preserve"> of the </w:t>
      </w:r>
      <w:r w:rsidR="00A038A4">
        <w:rPr>
          <w:rFonts w:ascii="Times New Roman" w:hAnsi="Times New Roman" w:cs="Times New Roman"/>
        </w:rPr>
        <w:t xml:space="preserve">Republic of the </w:t>
      </w:r>
      <w:r>
        <w:rPr>
          <w:rFonts w:ascii="Times New Roman" w:hAnsi="Times New Roman" w:cs="Times New Roman"/>
        </w:rPr>
        <w:t xml:space="preserve">Philippines. </w:t>
      </w:r>
      <w:r w:rsidR="00A132E1">
        <w:rPr>
          <w:rFonts w:ascii="Times New Roman" w:hAnsi="Times New Roman" w:cs="Times New Roman"/>
        </w:rPr>
        <w:t xml:space="preserve">Results show that the proposed methodology was able to provide an estimate of the updated technical coefficients given an indication of the volatility of the economic sectors. Future work will focus on developing methodologies for </w:t>
      </w:r>
      <w:r w:rsidR="00632447">
        <w:rPr>
          <w:rFonts w:ascii="Times New Roman" w:hAnsi="Times New Roman" w:cs="Times New Roman"/>
        </w:rPr>
        <w:t xml:space="preserve">eliciting expert judgment </w:t>
      </w:r>
      <w:r w:rsidR="005A46F1">
        <w:rPr>
          <w:rFonts w:ascii="Times New Roman" w:hAnsi="Times New Roman" w:cs="Times New Roman"/>
        </w:rPr>
        <w:t>and for</w:t>
      </w:r>
      <w:r w:rsidR="006F5855">
        <w:rPr>
          <w:rFonts w:ascii="Times New Roman" w:hAnsi="Times New Roman" w:cs="Times New Roman"/>
        </w:rPr>
        <w:t xml:space="preserve"> calibrating the appropriate fuzzy limits for each technical coefficient. Integrating the information derived from time series data can also be explored to improve the methodology.</w:t>
      </w:r>
    </w:p>
    <w:p w14:paraId="551271E7" w14:textId="3AB58B56" w:rsidR="001B6843" w:rsidRDefault="001B6843" w:rsidP="001B6843">
      <w:pPr>
        <w:rPr>
          <w:rFonts w:ascii="Times New Roman" w:hAnsi="Times New Roman" w:cs="Times New Roman"/>
        </w:rPr>
      </w:pPr>
    </w:p>
    <w:p w14:paraId="61F43B96" w14:textId="7821DA74" w:rsidR="001B6843" w:rsidRDefault="00AF6523" w:rsidP="00AF6523">
      <w:pPr>
        <w:tabs>
          <w:tab w:val="left" w:pos="360"/>
        </w:tabs>
        <w:rPr>
          <w:rFonts w:ascii="Times New Roman" w:hAnsi="Times New Roman" w:cs="Times New Roman"/>
          <w:b/>
        </w:rPr>
      </w:pPr>
      <w:r>
        <w:rPr>
          <w:rFonts w:ascii="Times New Roman" w:hAnsi="Times New Roman" w:cs="Times New Roman"/>
          <w:b/>
        </w:rPr>
        <w:tab/>
      </w:r>
      <w:r w:rsidR="001B6843">
        <w:rPr>
          <w:rFonts w:ascii="Times New Roman" w:hAnsi="Times New Roman" w:cs="Times New Roman"/>
          <w:b/>
        </w:rPr>
        <w:t>References</w:t>
      </w:r>
    </w:p>
    <w:p w14:paraId="2B95B737" w14:textId="40CC3A10" w:rsidR="00F27989" w:rsidRDefault="00F27989" w:rsidP="00F27989">
      <w:pPr>
        <w:pStyle w:val="ListParagraph"/>
        <w:spacing w:after="0" w:line="360" w:lineRule="auto"/>
        <w:ind w:left="360"/>
        <w:jc w:val="both"/>
        <w:rPr>
          <w:rFonts w:ascii="Times New Roman" w:hAnsi="Times New Roman" w:cs="Times New Roman"/>
        </w:rPr>
      </w:pPr>
      <w:r>
        <w:rPr>
          <w:rFonts w:ascii="Times New Roman" w:hAnsi="Times New Roman" w:cs="Times New Roman"/>
        </w:rPr>
        <w:t xml:space="preserve">Banai-Kashani, A. R. (1987). </w:t>
      </w:r>
      <w:r w:rsidR="007A1A00">
        <w:rPr>
          <w:rFonts w:ascii="Times New Roman" w:hAnsi="Times New Roman" w:cs="Times New Roman"/>
        </w:rPr>
        <w:t>Dominance a</w:t>
      </w:r>
      <w:r w:rsidR="00AF6523">
        <w:rPr>
          <w:rFonts w:ascii="Times New Roman" w:hAnsi="Times New Roman" w:cs="Times New Roman"/>
        </w:rPr>
        <w:t>nd Dependence i</w:t>
      </w:r>
      <w:r w:rsidRPr="00F27989">
        <w:rPr>
          <w:rFonts w:ascii="Times New Roman" w:hAnsi="Times New Roman" w:cs="Times New Roman"/>
        </w:rPr>
        <w:t>n Input-Output</w:t>
      </w:r>
      <w:r>
        <w:rPr>
          <w:rFonts w:ascii="Times New Roman" w:hAnsi="Times New Roman" w:cs="Times New Roman"/>
        </w:rPr>
        <w:t xml:space="preserve"> </w:t>
      </w:r>
      <w:r w:rsidRPr="00F27989">
        <w:rPr>
          <w:rFonts w:ascii="Times New Roman" w:hAnsi="Times New Roman" w:cs="Times New Roman"/>
        </w:rPr>
        <w:t>Ana</w:t>
      </w:r>
      <w:r>
        <w:rPr>
          <w:rFonts w:ascii="Times New Roman" w:hAnsi="Times New Roman" w:cs="Times New Roman"/>
        </w:rPr>
        <w:t xml:space="preserve">lysis: The Nonlinear (Network) </w:t>
      </w:r>
      <w:r w:rsidRPr="00F27989">
        <w:rPr>
          <w:rFonts w:ascii="Times New Roman" w:hAnsi="Times New Roman" w:cs="Times New Roman"/>
        </w:rPr>
        <w:t>Approach</w:t>
      </w:r>
      <w:r>
        <w:rPr>
          <w:rFonts w:ascii="Times New Roman" w:hAnsi="Times New Roman" w:cs="Times New Roman"/>
        </w:rPr>
        <w:t>. Mathematical Modelling 9: 377 – 380.</w:t>
      </w:r>
    </w:p>
    <w:p w14:paraId="05457C1F" w14:textId="77777777" w:rsidR="00A45955" w:rsidRDefault="00A45955" w:rsidP="0092240E">
      <w:pPr>
        <w:spacing w:after="0" w:line="360" w:lineRule="auto"/>
        <w:jc w:val="both"/>
        <w:rPr>
          <w:rFonts w:ascii="Times New Roman" w:hAnsi="Times New Roman" w:cs="Times New Roman"/>
        </w:rPr>
      </w:pPr>
    </w:p>
    <w:p w14:paraId="4A308D29" w14:textId="7DE7FDAB" w:rsidR="00350390" w:rsidRDefault="00350390" w:rsidP="00A45955">
      <w:pPr>
        <w:spacing w:after="0" w:line="360" w:lineRule="auto"/>
        <w:ind w:left="360"/>
        <w:jc w:val="both"/>
        <w:rPr>
          <w:rFonts w:ascii="Times New Roman" w:hAnsi="Times New Roman" w:cs="Times New Roman"/>
        </w:rPr>
      </w:pPr>
      <w:r w:rsidRPr="00350390">
        <w:rPr>
          <w:rFonts w:ascii="Times New Roman" w:hAnsi="Times New Roman" w:cs="Times New Roman"/>
        </w:rPr>
        <w:t>Bellman, R. E., &amp; Zadeh, L. A. (1970). Decision-making in a fuzzy environment. Management science, 17(4), B-141.</w:t>
      </w:r>
    </w:p>
    <w:p w14:paraId="55B774EC" w14:textId="77777777" w:rsidR="00A45955" w:rsidRDefault="00A45955" w:rsidP="00F27989">
      <w:pPr>
        <w:pStyle w:val="ListParagraph"/>
        <w:spacing w:after="0" w:line="360" w:lineRule="auto"/>
        <w:ind w:left="360"/>
        <w:jc w:val="both"/>
        <w:rPr>
          <w:rFonts w:ascii="Times New Roman" w:hAnsi="Times New Roman" w:cs="Times New Roman"/>
        </w:rPr>
      </w:pPr>
    </w:p>
    <w:p w14:paraId="52F3EC1E" w14:textId="63026A90" w:rsidR="001D7F09" w:rsidRDefault="001D7F09" w:rsidP="00F27989">
      <w:pPr>
        <w:pStyle w:val="ListParagraph"/>
        <w:spacing w:after="0" w:line="360" w:lineRule="auto"/>
        <w:ind w:left="360"/>
        <w:jc w:val="both"/>
        <w:rPr>
          <w:rFonts w:ascii="Times New Roman" w:hAnsi="Times New Roman" w:cs="Times New Roman"/>
        </w:rPr>
      </w:pPr>
      <w:r>
        <w:rPr>
          <w:rFonts w:ascii="Times New Roman" w:hAnsi="Times New Roman" w:cs="Times New Roman"/>
        </w:rPr>
        <w:t xml:space="preserve">Bureau of Economic Analysis (2014). Industry economic accounts. Retrieved from </w:t>
      </w:r>
      <w:r w:rsidRPr="001D7F09">
        <w:rPr>
          <w:rFonts w:ascii="Times New Roman" w:hAnsi="Times New Roman" w:cs="Times New Roman"/>
        </w:rPr>
        <w:t>http://bea.gov/industry/index.htm#annual</w:t>
      </w:r>
      <w:r>
        <w:rPr>
          <w:rFonts w:ascii="Times New Roman" w:hAnsi="Times New Roman" w:cs="Times New Roman"/>
        </w:rPr>
        <w:t>.</w:t>
      </w:r>
    </w:p>
    <w:p w14:paraId="4F8579FA" w14:textId="77777777" w:rsidR="001D7F09" w:rsidRDefault="001D7F09" w:rsidP="00F27989">
      <w:pPr>
        <w:pStyle w:val="ListParagraph"/>
        <w:spacing w:after="0" w:line="360" w:lineRule="auto"/>
        <w:ind w:left="360"/>
        <w:jc w:val="both"/>
        <w:rPr>
          <w:rFonts w:ascii="Times New Roman" w:hAnsi="Times New Roman" w:cs="Times New Roman"/>
        </w:rPr>
      </w:pPr>
    </w:p>
    <w:p w14:paraId="72B61D0D" w14:textId="77777777" w:rsidR="001D7F09" w:rsidRDefault="001D7F09" w:rsidP="00F27989">
      <w:pPr>
        <w:pStyle w:val="ListParagraph"/>
        <w:spacing w:after="0" w:line="360" w:lineRule="auto"/>
        <w:ind w:left="360"/>
        <w:jc w:val="both"/>
        <w:rPr>
          <w:rFonts w:ascii="Times New Roman" w:hAnsi="Times New Roman" w:cs="Times New Roman"/>
        </w:rPr>
      </w:pPr>
    </w:p>
    <w:p w14:paraId="41C13B5D" w14:textId="77347993" w:rsidR="00F27989" w:rsidRPr="00F128BE" w:rsidRDefault="00F27989" w:rsidP="00F27989">
      <w:pPr>
        <w:pStyle w:val="ListParagraph"/>
        <w:spacing w:after="0" w:line="360" w:lineRule="auto"/>
        <w:ind w:left="360"/>
        <w:jc w:val="both"/>
        <w:rPr>
          <w:rFonts w:ascii="Times New Roman" w:hAnsi="Times New Roman" w:cs="Times New Roman"/>
        </w:rPr>
      </w:pPr>
      <w:r>
        <w:rPr>
          <w:rFonts w:ascii="Times New Roman" w:hAnsi="Times New Roman" w:cs="Times New Roman"/>
        </w:rPr>
        <w:t xml:space="preserve">Davis, H.C., Lofting, E. M., Sathaye, J. A. </w:t>
      </w:r>
      <w:r w:rsidR="007A1A00">
        <w:rPr>
          <w:rFonts w:ascii="Times New Roman" w:hAnsi="Times New Roman" w:cs="Times New Roman"/>
        </w:rPr>
        <w:t>(</w:t>
      </w:r>
      <w:r>
        <w:rPr>
          <w:rFonts w:ascii="Times New Roman" w:hAnsi="Times New Roman" w:cs="Times New Roman"/>
        </w:rPr>
        <w:t>1977</w:t>
      </w:r>
      <w:r w:rsidR="007A1A00">
        <w:rPr>
          <w:rFonts w:ascii="Times New Roman" w:hAnsi="Times New Roman" w:cs="Times New Roman"/>
        </w:rPr>
        <w:t>)</w:t>
      </w:r>
      <w:r>
        <w:rPr>
          <w:rFonts w:ascii="Times New Roman" w:hAnsi="Times New Roman" w:cs="Times New Roman"/>
        </w:rPr>
        <w:t xml:space="preserve">. </w:t>
      </w:r>
      <w:r w:rsidRPr="004D4179">
        <w:rPr>
          <w:rFonts w:ascii="Times New Roman" w:hAnsi="Times New Roman" w:cs="Times New Roman"/>
        </w:rPr>
        <w:t>A</w:t>
      </w:r>
      <w:r>
        <w:rPr>
          <w:rFonts w:ascii="Times New Roman" w:hAnsi="Times New Roman" w:cs="Times New Roman"/>
        </w:rPr>
        <w:t xml:space="preserve"> </w:t>
      </w:r>
      <w:r w:rsidRPr="004D4179">
        <w:rPr>
          <w:rFonts w:ascii="Times New Roman" w:hAnsi="Times New Roman" w:cs="Times New Roman"/>
        </w:rPr>
        <w:t>Comparison</w:t>
      </w:r>
      <w:r>
        <w:rPr>
          <w:rFonts w:ascii="Times New Roman" w:hAnsi="Times New Roman" w:cs="Times New Roman"/>
        </w:rPr>
        <w:t xml:space="preserve"> </w:t>
      </w:r>
      <w:r w:rsidRPr="004D4179">
        <w:rPr>
          <w:rFonts w:ascii="Times New Roman" w:hAnsi="Times New Roman" w:cs="Times New Roman"/>
        </w:rPr>
        <w:t>of</w:t>
      </w:r>
      <w:r>
        <w:rPr>
          <w:rFonts w:ascii="Times New Roman" w:hAnsi="Times New Roman" w:cs="Times New Roman"/>
        </w:rPr>
        <w:t xml:space="preserve"> </w:t>
      </w:r>
      <w:r w:rsidRPr="004D4179">
        <w:rPr>
          <w:rFonts w:ascii="Times New Roman" w:hAnsi="Times New Roman" w:cs="Times New Roman"/>
        </w:rPr>
        <w:t>Alternative</w:t>
      </w:r>
      <w:r>
        <w:rPr>
          <w:rFonts w:ascii="Times New Roman" w:hAnsi="Times New Roman" w:cs="Times New Roman"/>
        </w:rPr>
        <w:t xml:space="preserve"> </w:t>
      </w:r>
      <w:r w:rsidRPr="00F128BE">
        <w:rPr>
          <w:rFonts w:ascii="Times New Roman" w:hAnsi="Times New Roman" w:cs="Times New Roman"/>
        </w:rPr>
        <w:t>Methods</w:t>
      </w:r>
      <w:r>
        <w:rPr>
          <w:rFonts w:ascii="Times New Roman" w:hAnsi="Times New Roman" w:cs="Times New Roman"/>
        </w:rPr>
        <w:t xml:space="preserve"> </w:t>
      </w:r>
      <w:r w:rsidRPr="00F128BE">
        <w:rPr>
          <w:rFonts w:ascii="Times New Roman" w:hAnsi="Times New Roman" w:cs="Times New Roman"/>
        </w:rPr>
        <w:t>of</w:t>
      </w:r>
      <w:r>
        <w:rPr>
          <w:rFonts w:ascii="Times New Roman" w:hAnsi="Times New Roman" w:cs="Times New Roman"/>
        </w:rPr>
        <w:t xml:space="preserve"> </w:t>
      </w:r>
      <w:r w:rsidRPr="00F128BE">
        <w:rPr>
          <w:rFonts w:ascii="Times New Roman" w:hAnsi="Times New Roman" w:cs="Times New Roman"/>
        </w:rPr>
        <w:t>Updating</w:t>
      </w:r>
      <w:r>
        <w:rPr>
          <w:rFonts w:ascii="Times New Roman" w:hAnsi="Times New Roman" w:cs="Times New Roman"/>
        </w:rPr>
        <w:t xml:space="preserve"> </w:t>
      </w:r>
      <w:r w:rsidRPr="00F128BE">
        <w:rPr>
          <w:rFonts w:ascii="Times New Roman" w:hAnsi="Times New Roman" w:cs="Times New Roman"/>
        </w:rPr>
        <w:t>Input-Output</w:t>
      </w:r>
      <w:r>
        <w:rPr>
          <w:rFonts w:ascii="Times New Roman" w:hAnsi="Times New Roman" w:cs="Times New Roman"/>
        </w:rPr>
        <w:t xml:space="preserve"> </w:t>
      </w:r>
      <w:r w:rsidRPr="00F128BE">
        <w:rPr>
          <w:rFonts w:ascii="Times New Roman" w:hAnsi="Times New Roman" w:cs="Times New Roman"/>
        </w:rPr>
        <w:t>Coefficients. Technological Forecasting and Social Change 10: 79 – 87.</w:t>
      </w:r>
    </w:p>
    <w:p w14:paraId="1D9F1C6A" w14:textId="77777777" w:rsidR="00302D6B" w:rsidRDefault="00302D6B" w:rsidP="0092240E">
      <w:pPr>
        <w:spacing w:after="0" w:line="360" w:lineRule="auto"/>
        <w:jc w:val="both"/>
        <w:rPr>
          <w:rFonts w:ascii="Times New Roman" w:hAnsi="Times New Roman" w:cs="Times New Roman"/>
        </w:rPr>
      </w:pPr>
    </w:p>
    <w:p w14:paraId="7C11DD54" w14:textId="1D06C846" w:rsidR="00302D6B" w:rsidRDefault="00302D6B" w:rsidP="00A45955">
      <w:pPr>
        <w:spacing w:after="0" w:line="360" w:lineRule="auto"/>
        <w:ind w:left="360"/>
        <w:jc w:val="both"/>
        <w:rPr>
          <w:rFonts w:ascii="Times New Roman" w:hAnsi="Times New Roman" w:cs="Times New Roman"/>
        </w:rPr>
      </w:pPr>
      <w:r w:rsidRPr="00302D6B">
        <w:rPr>
          <w:rFonts w:ascii="Times New Roman" w:hAnsi="Times New Roman" w:cs="Times New Roman"/>
        </w:rPr>
        <w:t>Guu, S. M., &amp; Wu, Y. K. (1997). Weighted coefficients in two-phase approach for solving the multiple objective programming problems. Fuzzy Sets and Systems, 85(1), 45-48.</w:t>
      </w:r>
    </w:p>
    <w:p w14:paraId="43A4496B" w14:textId="77777777" w:rsidR="00350390" w:rsidRDefault="00350390" w:rsidP="0092240E">
      <w:pPr>
        <w:spacing w:after="0" w:line="360" w:lineRule="auto"/>
        <w:jc w:val="both"/>
        <w:rPr>
          <w:rFonts w:ascii="Times New Roman" w:hAnsi="Times New Roman" w:cs="Times New Roman"/>
        </w:rPr>
      </w:pPr>
    </w:p>
    <w:p w14:paraId="1FD6FF48" w14:textId="32C8CBE3" w:rsidR="009F2729" w:rsidRDefault="009F2729" w:rsidP="00A45955">
      <w:pPr>
        <w:spacing w:after="0" w:line="360" w:lineRule="auto"/>
        <w:ind w:left="360"/>
        <w:jc w:val="both"/>
        <w:rPr>
          <w:rFonts w:ascii="Times New Roman" w:hAnsi="Times New Roman" w:cs="Times New Roman"/>
        </w:rPr>
      </w:pPr>
      <w:r w:rsidRPr="009F2729">
        <w:rPr>
          <w:rFonts w:ascii="Times New Roman" w:hAnsi="Times New Roman" w:cs="Times New Roman"/>
        </w:rPr>
        <w:t>Jackson, R., &amp; Murray, A. (2004). Alternative input-output matrix updating formulations. Economic Systems Research, 16(2), 135-148.</w:t>
      </w:r>
    </w:p>
    <w:p w14:paraId="160C3FA8" w14:textId="77777777" w:rsidR="009F2729" w:rsidRDefault="009F2729" w:rsidP="0092240E">
      <w:pPr>
        <w:spacing w:after="0" w:line="360" w:lineRule="auto"/>
        <w:jc w:val="both"/>
        <w:rPr>
          <w:rFonts w:ascii="Times New Roman" w:hAnsi="Times New Roman" w:cs="Times New Roman"/>
        </w:rPr>
      </w:pPr>
    </w:p>
    <w:p w14:paraId="162CB8E7" w14:textId="25E6BC6A" w:rsidR="00DC5CA3" w:rsidRDefault="009F2729" w:rsidP="00A45955">
      <w:pPr>
        <w:spacing w:after="0" w:line="360" w:lineRule="auto"/>
        <w:ind w:left="360"/>
        <w:jc w:val="both"/>
        <w:rPr>
          <w:rFonts w:ascii="Times New Roman" w:hAnsi="Times New Roman" w:cs="Times New Roman"/>
        </w:rPr>
      </w:pPr>
      <w:r w:rsidRPr="009F2729">
        <w:rPr>
          <w:rFonts w:ascii="Times New Roman" w:hAnsi="Times New Roman" w:cs="Times New Roman"/>
        </w:rPr>
        <w:lastRenderedPageBreak/>
        <w:t>Junius, T., &amp; Oosterhaven, J. (2003). The solution of updating or regionalizing a matrix with both positive and negative entries. Economic Systems Research, 15(1), 87-96.</w:t>
      </w:r>
    </w:p>
    <w:p w14:paraId="7A0D5C65" w14:textId="77777777" w:rsidR="00A45955" w:rsidRDefault="00A45955" w:rsidP="00490367">
      <w:pPr>
        <w:pStyle w:val="ListParagraph"/>
        <w:spacing w:after="0" w:line="360" w:lineRule="auto"/>
        <w:ind w:left="360"/>
        <w:jc w:val="both"/>
        <w:rPr>
          <w:rFonts w:ascii="Times New Roman" w:hAnsi="Times New Roman" w:cs="Times New Roman"/>
        </w:rPr>
      </w:pPr>
    </w:p>
    <w:p w14:paraId="5D7F5241" w14:textId="77777777" w:rsidR="00490367" w:rsidRDefault="00490367" w:rsidP="00490367">
      <w:pPr>
        <w:pStyle w:val="ListParagraph"/>
        <w:spacing w:after="0" w:line="360" w:lineRule="auto"/>
        <w:ind w:left="360"/>
        <w:jc w:val="both"/>
        <w:rPr>
          <w:rFonts w:ascii="Times New Roman" w:hAnsi="Times New Roman" w:cs="Times New Roman"/>
        </w:rPr>
      </w:pPr>
      <w:r>
        <w:rPr>
          <w:rFonts w:ascii="Times New Roman" w:hAnsi="Times New Roman" w:cs="Times New Roman"/>
        </w:rPr>
        <w:t xml:space="preserve">Landeta, J., Matey, J., Ruiz, V., Galter, J. (2008). </w:t>
      </w:r>
      <w:r w:rsidRPr="00490367">
        <w:rPr>
          <w:rFonts w:ascii="Times New Roman" w:hAnsi="Times New Roman" w:cs="Times New Roman"/>
        </w:rPr>
        <w:t>Results of a Delphi survey in drawing up the</w:t>
      </w:r>
      <w:r>
        <w:rPr>
          <w:rFonts w:ascii="Times New Roman" w:hAnsi="Times New Roman" w:cs="Times New Roman"/>
        </w:rPr>
        <w:t xml:space="preserve"> </w:t>
      </w:r>
      <w:r w:rsidRPr="00490367">
        <w:rPr>
          <w:rFonts w:ascii="Times New Roman" w:hAnsi="Times New Roman" w:cs="Times New Roman"/>
        </w:rPr>
        <w:t>input–output tables for Catalonia</w:t>
      </w:r>
      <w:r>
        <w:rPr>
          <w:rFonts w:ascii="Times New Roman" w:hAnsi="Times New Roman" w:cs="Times New Roman"/>
        </w:rPr>
        <w:t>. Technological Forecasting and Social Change 75: 32 – 56.</w:t>
      </w:r>
    </w:p>
    <w:p w14:paraId="6D9E86A6" w14:textId="77777777" w:rsidR="00A45955" w:rsidRDefault="00A45955" w:rsidP="00490367">
      <w:pPr>
        <w:pStyle w:val="ListParagraph"/>
        <w:spacing w:after="0" w:line="360" w:lineRule="auto"/>
        <w:ind w:left="360"/>
        <w:jc w:val="both"/>
        <w:rPr>
          <w:rFonts w:ascii="Times New Roman" w:hAnsi="Times New Roman" w:cs="Times New Roman"/>
        </w:rPr>
      </w:pPr>
    </w:p>
    <w:p w14:paraId="78837C93" w14:textId="56D2D141" w:rsidR="00490367" w:rsidRDefault="002B1DAF" w:rsidP="00490367">
      <w:pPr>
        <w:pStyle w:val="ListParagraph"/>
        <w:spacing w:after="0" w:line="360" w:lineRule="auto"/>
        <w:ind w:left="360"/>
        <w:jc w:val="both"/>
        <w:rPr>
          <w:rFonts w:ascii="Times New Roman" w:hAnsi="Times New Roman" w:cs="Times New Roman"/>
        </w:rPr>
      </w:pPr>
      <w:r w:rsidRPr="002B1DAF">
        <w:rPr>
          <w:rFonts w:ascii="Times New Roman" w:hAnsi="Times New Roman" w:cs="Times New Roman"/>
        </w:rPr>
        <w:t>Leontief, W. W. (1936). Quantitative input and output relations in the economic system of the United States, Review of Economic and Statistics, 18(3): 105-125.</w:t>
      </w:r>
    </w:p>
    <w:p w14:paraId="75A08729" w14:textId="77777777" w:rsidR="00A45955" w:rsidRDefault="00A45955" w:rsidP="00F27989">
      <w:pPr>
        <w:pStyle w:val="ListParagraph"/>
        <w:spacing w:after="0" w:line="360" w:lineRule="auto"/>
        <w:ind w:left="360"/>
        <w:jc w:val="both"/>
        <w:rPr>
          <w:rFonts w:ascii="Times New Roman" w:hAnsi="Times New Roman" w:cs="Times New Roman"/>
        </w:rPr>
      </w:pPr>
    </w:p>
    <w:p w14:paraId="1EDDAE84" w14:textId="434D9C10" w:rsidR="00F27989" w:rsidRPr="00F27989" w:rsidRDefault="00F27989" w:rsidP="00F27989">
      <w:pPr>
        <w:pStyle w:val="ListParagraph"/>
        <w:spacing w:after="0" w:line="360" w:lineRule="auto"/>
        <w:ind w:left="360"/>
        <w:jc w:val="both"/>
        <w:rPr>
          <w:rFonts w:ascii="Times New Roman" w:hAnsi="Times New Roman" w:cs="Times New Roman"/>
        </w:rPr>
      </w:pPr>
      <w:r w:rsidRPr="00F27989">
        <w:rPr>
          <w:rFonts w:ascii="Times New Roman" w:hAnsi="Times New Roman" w:cs="Times New Roman"/>
        </w:rPr>
        <w:t>Matuszewski,</w:t>
      </w:r>
      <w:r>
        <w:rPr>
          <w:rFonts w:ascii="Times New Roman" w:hAnsi="Times New Roman" w:cs="Times New Roman"/>
        </w:rPr>
        <w:t xml:space="preserve"> </w:t>
      </w:r>
      <w:r w:rsidRPr="00F27989">
        <w:rPr>
          <w:rFonts w:ascii="Times New Roman" w:hAnsi="Times New Roman" w:cs="Times New Roman"/>
        </w:rPr>
        <w:t>T.I.,</w:t>
      </w:r>
      <w:r>
        <w:rPr>
          <w:rFonts w:ascii="Times New Roman" w:hAnsi="Times New Roman" w:cs="Times New Roman"/>
        </w:rPr>
        <w:t xml:space="preserve"> </w:t>
      </w:r>
      <w:r w:rsidRPr="00F27989">
        <w:rPr>
          <w:rFonts w:ascii="Times New Roman" w:hAnsi="Times New Roman" w:cs="Times New Roman"/>
        </w:rPr>
        <w:t>Pitts,</w:t>
      </w:r>
      <w:r>
        <w:rPr>
          <w:rFonts w:ascii="Times New Roman" w:hAnsi="Times New Roman" w:cs="Times New Roman"/>
        </w:rPr>
        <w:t xml:space="preserve"> </w:t>
      </w:r>
      <w:r w:rsidRPr="00F27989">
        <w:rPr>
          <w:rFonts w:ascii="Times New Roman" w:hAnsi="Times New Roman" w:cs="Times New Roman"/>
        </w:rPr>
        <w:t>P.</w:t>
      </w:r>
      <w:r>
        <w:rPr>
          <w:rFonts w:ascii="Times New Roman" w:hAnsi="Times New Roman" w:cs="Times New Roman"/>
        </w:rPr>
        <w:t xml:space="preserve"> </w:t>
      </w:r>
      <w:r w:rsidRPr="00F27989">
        <w:rPr>
          <w:rFonts w:ascii="Times New Roman" w:hAnsi="Times New Roman" w:cs="Times New Roman"/>
        </w:rPr>
        <w:t>R.,</w:t>
      </w:r>
      <w:r>
        <w:rPr>
          <w:rFonts w:ascii="Times New Roman" w:hAnsi="Times New Roman" w:cs="Times New Roman"/>
        </w:rPr>
        <w:t xml:space="preserve"> </w:t>
      </w:r>
      <w:r w:rsidRPr="00F128BE">
        <w:rPr>
          <w:rFonts w:ascii="Times New Roman" w:hAnsi="Times New Roman" w:cs="Times New Roman"/>
        </w:rPr>
        <w:t>Sawyer,</w:t>
      </w:r>
      <w:r>
        <w:rPr>
          <w:rFonts w:ascii="Times New Roman" w:hAnsi="Times New Roman" w:cs="Times New Roman"/>
        </w:rPr>
        <w:t xml:space="preserve"> </w:t>
      </w:r>
      <w:r w:rsidRPr="00F128BE">
        <w:rPr>
          <w:rFonts w:ascii="Times New Roman" w:hAnsi="Times New Roman" w:cs="Times New Roman"/>
        </w:rPr>
        <w:t>J</w:t>
      </w:r>
      <w:r>
        <w:rPr>
          <w:rFonts w:ascii="Times New Roman" w:hAnsi="Times New Roman" w:cs="Times New Roman"/>
        </w:rPr>
        <w:t xml:space="preserve">. A. </w:t>
      </w:r>
      <w:r w:rsidR="007A1A00">
        <w:rPr>
          <w:rFonts w:ascii="Times New Roman" w:hAnsi="Times New Roman" w:cs="Times New Roman"/>
        </w:rPr>
        <w:t>(</w:t>
      </w:r>
      <w:r>
        <w:rPr>
          <w:rFonts w:ascii="Times New Roman" w:hAnsi="Times New Roman" w:cs="Times New Roman"/>
        </w:rPr>
        <w:t>1964</w:t>
      </w:r>
      <w:r w:rsidR="007A1A00">
        <w:rPr>
          <w:rFonts w:ascii="Times New Roman" w:hAnsi="Times New Roman" w:cs="Times New Roman"/>
        </w:rPr>
        <w:t>)</w:t>
      </w:r>
      <w:r>
        <w:rPr>
          <w:rFonts w:ascii="Times New Roman" w:hAnsi="Times New Roman" w:cs="Times New Roman"/>
        </w:rPr>
        <w:t xml:space="preserve">. </w:t>
      </w:r>
      <w:r w:rsidRPr="00F27989">
        <w:rPr>
          <w:rFonts w:ascii="Times New Roman" w:hAnsi="Times New Roman" w:cs="Times New Roman"/>
        </w:rPr>
        <w:t>Linear</w:t>
      </w:r>
      <w:r>
        <w:rPr>
          <w:rFonts w:ascii="Times New Roman" w:hAnsi="Times New Roman" w:cs="Times New Roman"/>
        </w:rPr>
        <w:t xml:space="preserve"> </w:t>
      </w:r>
      <w:r w:rsidRPr="00F27989">
        <w:rPr>
          <w:rFonts w:ascii="Times New Roman" w:hAnsi="Times New Roman" w:cs="Times New Roman"/>
        </w:rPr>
        <w:t>Programming</w:t>
      </w:r>
      <w:r>
        <w:rPr>
          <w:rFonts w:ascii="Times New Roman" w:hAnsi="Times New Roman" w:cs="Times New Roman"/>
        </w:rPr>
        <w:t xml:space="preserve"> </w:t>
      </w:r>
      <w:r w:rsidRPr="00F27989">
        <w:rPr>
          <w:rFonts w:ascii="Times New Roman" w:hAnsi="Times New Roman" w:cs="Times New Roman"/>
        </w:rPr>
        <w:t>Estimates</w:t>
      </w:r>
      <w:r>
        <w:rPr>
          <w:rFonts w:ascii="Times New Roman" w:hAnsi="Times New Roman" w:cs="Times New Roman"/>
        </w:rPr>
        <w:t xml:space="preserve"> </w:t>
      </w:r>
      <w:r w:rsidRPr="00F27989">
        <w:rPr>
          <w:rFonts w:ascii="Times New Roman" w:hAnsi="Times New Roman" w:cs="Times New Roman"/>
        </w:rPr>
        <w:t>of</w:t>
      </w:r>
      <w:r>
        <w:rPr>
          <w:rFonts w:ascii="Times New Roman" w:hAnsi="Times New Roman" w:cs="Times New Roman"/>
        </w:rPr>
        <w:t xml:space="preserve"> </w:t>
      </w:r>
      <w:r w:rsidRPr="00F27989">
        <w:rPr>
          <w:rFonts w:ascii="Times New Roman" w:hAnsi="Times New Roman" w:cs="Times New Roman"/>
        </w:rPr>
        <w:t>Changes</w:t>
      </w:r>
      <w:r>
        <w:rPr>
          <w:rFonts w:ascii="Times New Roman" w:hAnsi="Times New Roman" w:cs="Times New Roman"/>
        </w:rPr>
        <w:t xml:space="preserve"> </w:t>
      </w:r>
      <w:r w:rsidRPr="00F27989">
        <w:rPr>
          <w:rFonts w:ascii="Times New Roman" w:hAnsi="Times New Roman" w:cs="Times New Roman"/>
        </w:rPr>
        <w:t>in</w:t>
      </w:r>
      <w:r>
        <w:rPr>
          <w:rFonts w:ascii="Times New Roman" w:hAnsi="Times New Roman" w:cs="Times New Roman"/>
        </w:rPr>
        <w:t xml:space="preserve"> </w:t>
      </w:r>
      <w:r w:rsidRPr="00F27989">
        <w:rPr>
          <w:rFonts w:ascii="Times New Roman" w:hAnsi="Times New Roman" w:cs="Times New Roman"/>
        </w:rPr>
        <w:t>Input</w:t>
      </w:r>
      <w:r>
        <w:rPr>
          <w:rFonts w:ascii="Times New Roman" w:hAnsi="Times New Roman" w:cs="Times New Roman"/>
        </w:rPr>
        <w:t xml:space="preserve"> Coefficients. Canadian </w:t>
      </w:r>
      <w:r w:rsidRPr="00F128BE">
        <w:rPr>
          <w:rFonts w:ascii="Times New Roman" w:hAnsi="Times New Roman" w:cs="Times New Roman"/>
        </w:rPr>
        <w:t>J</w:t>
      </w:r>
      <w:r w:rsidRPr="00F27989">
        <w:rPr>
          <w:rFonts w:ascii="Times New Roman" w:hAnsi="Times New Roman" w:cs="Times New Roman"/>
        </w:rPr>
        <w:t>ournal of</w:t>
      </w:r>
      <w:r>
        <w:rPr>
          <w:rFonts w:ascii="Times New Roman" w:hAnsi="Times New Roman" w:cs="Times New Roman"/>
        </w:rPr>
        <w:t xml:space="preserve"> Econ. </w:t>
      </w:r>
      <w:r w:rsidRPr="00F27989">
        <w:rPr>
          <w:rFonts w:ascii="Times New Roman" w:hAnsi="Times New Roman" w:cs="Times New Roman"/>
        </w:rPr>
        <w:t>Polit.</w:t>
      </w:r>
      <w:r>
        <w:rPr>
          <w:rFonts w:ascii="Times New Roman" w:hAnsi="Times New Roman" w:cs="Times New Roman"/>
        </w:rPr>
        <w:t xml:space="preserve"> </w:t>
      </w:r>
      <w:r w:rsidRPr="00F27989">
        <w:rPr>
          <w:rFonts w:ascii="Times New Roman" w:hAnsi="Times New Roman" w:cs="Times New Roman"/>
        </w:rPr>
        <w:t>Sci.</w:t>
      </w:r>
      <w:r>
        <w:rPr>
          <w:rFonts w:ascii="Times New Roman" w:hAnsi="Times New Roman" w:cs="Times New Roman"/>
        </w:rPr>
        <w:t xml:space="preserve"> 30: </w:t>
      </w:r>
      <w:r w:rsidRPr="00F27989">
        <w:rPr>
          <w:rFonts w:ascii="Times New Roman" w:hAnsi="Times New Roman" w:cs="Times New Roman"/>
        </w:rPr>
        <w:t>203</w:t>
      </w:r>
      <w:r>
        <w:rPr>
          <w:rFonts w:ascii="Times New Roman" w:hAnsi="Times New Roman" w:cs="Times New Roman"/>
        </w:rPr>
        <w:t xml:space="preserve"> – </w:t>
      </w:r>
      <w:r w:rsidRPr="00F27989">
        <w:rPr>
          <w:rFonts w:ascii="Times New Roman" w:hAnsi="Times New Roman" w:cs="Times New Roman"/>
        </w:rPr>
        <w:t>210</w:t>
      </w:r>
      <w:r>
        <w:rPr>
          <w:rFonts w:ascii="Times New Roman" w:hAnsi="Times New Roman" w:cs="Times New Roman"/>
        </w:rPr>
        <w:t>.</w:t>
      </w:r>
    </w:p>
    <w:p w14:paraId="3D9ADEDF" w14:textId="77777777" w:rsidR="009A68F1" w:rsidRDefault="009A68F1" w:rsidP="0092240E">
      <w:pPr>
        <w:spacing w:after="0" w:line="360" w:lineRule="auto"/>
        <w:jc w:val="both"/>
        <w:rPr>
          <w:rFonts w:ascii="Times New Roman" w:hAnsi="Times New Roman" w:cs="Times New Roman"/>
        </w:rPr>
      </w:pPr>
    </w:p>
    <w:p w14:paraId="6DC63F7E" w14:textId="55F07857" w:rsidR="001B6843" w:rsidRDefault="001B6843" w:rsidP="00A45955">
      <w:pPr>
        <w:spacing w:after="0" w:line="360" w:lineRule="auto"/>
        <w:ind w:left="360"/>
        <w:jc w:val="both"/>
        <w:rPr>
          <w:rFonts w:ascii="Times New Roman" w:hAnsi="Times New Roman" w:cs="Times New Roman"/>
        </w:rPr>
      </w:pPr>
      <w:r w:rsidRPr="0081725E">
        <w:rPr>
          <w:rFonts w:ascii="Times New Roman" w:hAnsi="Times New Roman" w:cs="Times New Roman"/>
        </w:rPr>
        <w:t xml:space="preserve">Philippine National Statistics Coordination Board (2006). The 2000 Input – Output </w:t>
      </w:r>
      <w:r w:rsidR="002F744C">
        <w:rPr>
          <w:rFonts w:ascii="Times New Roman" w:hAnsi="Times New Roman" w:cs="Times New Roman"/>
        </w:rPr>
        <w:t xml:space="preserve">Table. Retrieved from </w:t>
      </w:r>
      <w:r w:rsidR="002F744C" w:rsidRPr="002F744C">
        <w:rPr>
          <w:rFonts w:ascii="Times New Roman" w:hAnsi="Times New Roman" w:cs="Times New Roman"/>
        </w:rPr>
        <w:t>http://www.nscb.gov.ph/announce/2013/20Dec12_IO70x70_release.asp</w:t>
      </w:r>
      <w:r w:rsidRPr="0081725E">
        <w:rPr>
          <w:rFonts w:ascii="Times New Roman" w:hAnsi="Times New Roman" w:cs="Times New Roman"/>
        </w:rPr>
        <w:t xml:space="preserve"> </w:t>
      </w:r>
    </w:p>
    <w:p w14:paraId="7921AA90" w14:textId="77777777" w:rsidR="002F744C" w:rsidRDefault="002F744C" w:rsidP="0092240E">
      <w:pPr>
        <w:spacing w:after="0" w:line="360" w:lineRule="auto"/>
        <w:jc w:val="both"/>
        <w:rPr>
          <w:rFonts w:ascii="Times New Roman" w:hAnsi="Times New Roman" w:cs="Times New Roman"/>
        </w:rPr>
      </w:pPr>
    </w:p>
    <w:p w14:paraId="1B993FAA" w14:textId="712C8DC3" w:rsidR="002F744C" w:rsidRDefault="002F744C" w:rsidP="00A45955">
      <w:pPr>
        <w:spacing w:after="0" w:line="360" w:lineRule="auto"/>
        <w:ind w:left="360"/>
        <w:jc w:val="both"/>
        <w:rPr>
          <w:rFonts w:ascii="Times New Roman" w:hAnsi="Times New Roman" w:cs="Times New Roman"/>
        </w:rPr>
      </w:pPr>
      <w:r w:rsidRPr="002F744C">
        <w:rPr>
          <w:rFonts w:ascii="Times New Roman" w:hAnsi="Times New Roman" w:cs="Times New Roman"/>
        </w:rPr>
        <w:t>Philippine National Sta</w:t>
      </w:r>
      <w:r>
        <w:rPr>
          <w:rFonts w:ascii="Times New Roman" w:hAnsi="Times New Roman" w:cs="Times New Roman"/>
        </w:rPr>
        <w:t>tistics Coordination Board (2013). The 2006</w:t>
      </w:r>
      <w:r w:rsidRPr="002F744C">
        <w:rPr>
          <w:rFonts w:ascii="Times New Roman" w:hAnsi="Times New Roman" w:cs="Times New Roman"/>
        </w:rPr>
        <w:t xml:space="preserve"> Input – Output Accounts of the Philippines. Makati: NSCB.</w:t>
      </w:r>
    </w:p>
    <w:p w14:paraId="657E625D" w14:textId="77777777" w:rsidR="00BC1DC5" w:rsidRDefault="00BC1DC5" w:rsidP="00490367">
      <w:pPr>
        <w:pStyle w:val="ListParagraph"/>
        <w:spacing w:after="0" w:line="360" w:lineRule="auto"/>
        <w:ind w:left="360"/>
        <w:jc w:val="both"/>
        <w:rPr>
          <w:rFonts w:ascii="Times New Roman" w:hAnsi="Times New Roman" w:cs="Times New Roman"/>
        </w:rPr>
      </w:pPr>
    </w:p>
    <w:p w14:paraId="4C7993E9" w14:textId="3072AAE6" w:rsidR="000B6AD1" w:rsidRDefault="000B6AD1" w:rsidP="000B6AD1">
      <w:pPr>
        <w:spacing w:after="0" w:line="360" w:lineRule="auto"/>
        <w:ind w:left="360"/>
        <w:jc w:val="both"/>
        <w:rPr>
          <w:rFonts w:ascii="Times New Roman" w:hAnsi="Times New Roman" w:cs="Times New Roman"/>
        </w:rPr>
      </w:pPr>
      <w:r w:rsidRPr="0081725E">
        <w:rPr>
          <w:rFonts w:ascii="Times New Roman" w:hAnsi="Times New Roman" w:cs="Times New Roman"/>
        </w:rPr>
        <w:t>Philippine National Statistics Coordination Board (</w:t>
      </w:r>
      <w:r>
        <w:rPr>
          <w:rFonts w:ascii="Times New Roman" w:hAnsi="Times New Roman" w:cs="Times New Roman"/>
        </w:rPr>
        <w:t>2014).</w:t>
      </w:r>
      <w:r w:rsidRPr="0081725E">
        <w:rPr>
          <w:rFonts w:ascii="Times New Roman" w:hAnsi="Times New Roman" w:cs="Times New Roman"/>
        </w:rPr>
        <w:t xml:space="preserve"> The </w:t>
      </w:r>
      <w:r>
        <w:rPr>
          <w:rFonts w:ascii="Times New Roman" w:hAnsi="Times New Roman" w:cs="Times New Roman"/>
        </w:rPr>
        <w:t>1994</w:t>
      </w:r>
      <w:r w:rsidRPr="0081725E">
        <w:rPr>
          <w:rFonts w:ascii="Times New Roman" w:hAnsi="Times New Roman" w:cs="Times New Roman"/>
        </w:rPr>
        <w:t xml:space="preserve"> Input – Output </w:t>
      </w:r>
      <w:r>
        <w:rPr>
          <w:rFonts w:ascii="Times New Roman" w:hAnsi="Times New Roman" w:cs="Times New Roman"/>
        </w:rPr>
        <w:t xml:space="preserve">Table. Retrieved from </w:t>
      </w:r>
      <w:hyperlink r:id="rId11" w:history="1">
        <w:r w:rsidRPr="002775FC">
          <w:rPr>
            <w:rStyle w:val="Hyperlink"/>
            <w:rFonts w:ascii="Times New Roman" w:hAnsi="Times New Roman" w:cs="Times New Roman"/>
          </w:rPr>
          <w:t>http://www.nscb.gov.ph/io/PreviousReleases.asp</w:t>
        </w:r>
      </w:hyperlink>
      <w:r>
        <w:rPr>
          <w:rFonts w:ascii="Times New Roman" w:hAnsi="Times New Roman" w:cs="Times New Roman"/>
        </w:rPr>
        <w:t xml:space="preserve">. </w:t>
      </w:r>
      <w:bookmarkStart w:id="0" w:name="_GoBack"/>
      <w:bookmarkEnd w:id="0"/>
    </w:p>
    <w:p w14:paraId="003B6052" w14:textId="77777777" w:rsidR="000B6AD1" w:rsidRDefault="000B6AD1" w:rsidP="00490367">
      <w:pPr>
        <w:pStyle w:val="ListParagraph"/>
        <w:spacing w:after="0" w:line="360" w:lineRule="auto"/>
        <w:ind w:left="360"/>
        <w:jc w:val="both"/>
        <w:rPr>
          <w:rFonts w:ascii="Times New Roman" w:hAnsi="Times New Roman" w:cs="Times New Roman"/>
        </w:rPr>
      </w:pPr>
    </w:p>
    <w:p w14:paraId="39BEDA21" w14:textId="2A6E2FA6" w:rsidR="00490367" w:rsidRDefault="00490367" w:rsidP="00490367">
      <w:pPr>
        <w:pStyle w:val="ListParagraph"/>
        <w:spacing w:after="0" w:line="360" w:lineRule="auto"/>
        <w:ind w:left="360"/>
        <w:jc w:val="both"/>
        <w:rPr>
          <w:rFonts w:ascii="Times New Roman" w:hAnsi="Times New Roman" w:cs="Times New Roman"/>
        </w:rPr>
      </w:pPr>
      <w:r>
        <w:rPr>
          <w:rFonts w:ascii="Times New Roman" w:hAnsi="Times New Roman" w:cs="Times New Roman"/>
        </w:rPr>
        <w:t>Saaty, T. L., Vargas, L. G. (1979). Estimating technological coefficients by the analytic hierarchy process. Soci</w:t>
      </w:r>
      <w:r w:rsidR="00A45955">
        <w:rPr>
          <w:rFonts w:ascii="Times New Roman" w:hAnsi="Times New Roman" w:cs="Times New Roman"/>
        </w:rPr>
        <w:t>o</w:t>
      </w:r>
      <w:r>
        <w:rPr>
          <w:rFonts w:ascii="Times New Roman" w:hAnsi="Times New Roman" w:cs="Times New Roman"/>
        </w:rPr>
        <w:t>-Economic Planning Sciences 13: 333 – 336.</w:t>
      </w:r>
    </w:p>
    <w:p w14:paraId="0B8F8448" w14:textId="77777777" w:rsidR="009F2729" w:rsidRDefault="009F2729" w:rsidP="0092240E">
      <w:pPr>
        <w:spacing w:after="0" w:line="360" w:lineRule="auto"/>
        <w:jc w:val="both"/>
        <w:rPr>
          <w:rFonts w:ascii="Times New Roman" w:hAnsi="Times New Roman" w:cs="Times New Roman"/>
        </w:rPr>
      </w:pPr>
    </w:p>
    <w:p w14:paraId="32AB17EE" w14:textId="49DE2A07" w:rsidR="001B6843" w:rsidRPr="00551CC1" w:rsidRDefault="00551CC1" w:rsidP="0042270A">
      <w:pPr>
        <w:tabs>
          <w:tab w:val="left" w:pos="360"/>
        </w:tabs>
        <w:ind w:left="360"/>
        <w:jc w:val="both"/>
        <w:rPr>
          <w:rFonts w:ascii="Times New Roman" w:hAnsi="Times New Roman" w:cs="Times New Roman"/>
        </w:rPr>
      </w:pPr>
      <w:r w:rsidRPr="00551CC1">
        <w:rPr>
          <w:rFonts w:ascii="Times New Roman" w:hAnsi="Times New Roman" w:cs="Times New Roman"/>
        </w:rPr>
        <w:t>Snower, D. J. (1990). New methods of updating input–output matrices. Economic Systems Research, 2(1), 27-37.</w:t>
      </w:r>
    </w:p>
    <w:p w14:paraId="38C7DC86" w14:textId="5CCAE618" w:rsidR="00DC5CA3" w:rsidRDefault="00DC5CA3" w:rsidP="0042270A">
      <w:pPr>
        <w:tabs>
          <w:tab w:val="left" w:pos="360"/>
        </w:tabs>
        <w:ind w:left="360"/>
        <w:jc w:val="both"/>
        <w:rPr>
          <w:rFonts w:ascii="Times New Roman" w:hAnsi="Times New Roman" w:cs="Times New Roman"/>
        </w:rPr>
      </w:pPr>
      <w:r w:rsidRPr="00DC5CA3">
        <w:rPr>
          <w:rFonts w:ascii="Times New Roman" w:hAnsi="Times New Roman" w:cs="Times New Roman"/>
        </w:rPr>
        <w:t xml:space="preserve">Stone, R. (1961). Input-output and national accounts. Paris: Organisation for </w:t>
      </w:r>
      <w:r w:rsidR="009F2729">
        <w:rPr>
          <w:rFonts w:ascii="Times New Roman" w:hAnsi="Times New Roman" w:cs="Times New Roman"/>
        </w:rPr>
        <w:t>E</w:t>
      </w:r>
      <w:r w:rsidRPr="00DC5CA3">
        <w:rPr>
          <w:rFonts w:ascii="Times New Roman" w:hAnsi="Times New Roman" w:cs="Times New Roman"/>
        </w:rPr>
        <w:t>uropean economic co-operation.</w:t>
      </w:r>
    </w:p>
    <w:p w14:paraId="0ACB66E4" w14:textId="26968C69" w:rsidR="003B3E34" w:rsidRDefault="003B3E34" w:rsidP="0042270A">
      <w:pPr>
        <w:tabs>
          <w:tab w:val="left" w:pos="360"/>
        </w:tabs>
        <w:ind w:left="360"/>
        <w:jc w:val="both"/>
        <w:rPr>
          <w:rFonts w:ascii="Times New Roman" w:hAnsi="Times New Roman" w:cs="Times New Roman"/>
        </w:rPr>
      </w:pPr>
      <w:r w:rsidRPr="003B3E34">
        <w:rPr>
          <w:rFonts w:ascii="Times New Roman" w:hAnsi="Times New Roman" w:cs="Times New Roman"/>
        </w:rPr>
        <w:t>Stone, R., &amp; Brown, A. (1962). A computable model of economic growth (Vol. 1). London: Chapman and Hall.</w:t>
      </w:r>
    </w:p>
    <w:p w14:paraId="5C429BF4" w14:textId="151DC66F" w:rsidR="009F2729" w:rsidRDefault="009F2729" w:rsidP="0042270A">
      <w:pPr>
        <w:tabs>
          <w:tab w:val="left" w:pos="360"/>
        </w:tabs>
        <w:ind w:left="360"/>
        <w:jc w:val="both"/>
        <w:rPr>
          <w:rFonts w:ascii="Times New Roman" w:hAnsi="Times New Roman" w:cs="Times New Roman"/>
        </w:rPr>
      </w:pPr>
      <w:r>
        <w:rPr>
          <w:rFonts w:ascii="Times New Roman" w:hAnsi="Times New Roman" w:cs="Times New Roman"/>
        </w:rPr>
        <w:t>Strømman, A. H. (2009). A multi-objective assessment of input-output matrix updating methods. Economic Systems Research, 21 (1), 81 – 88.</w:t>
      </w:r>
    </w:p>
    <w:p w14:paraId="7F55354A" w14:textId="678EAB71" w:rsidR="00197F22" w:rsidRDefault="00197F22" w:rsidP="0042270A">
      <w:pPr>
        <w:tabs>
          <w:tab w:val="left" w:pos="360"/>
        </w:tabs>
        <w:ind w:left="360"/>
        <w:jc w:val="both"/>
        <w:rPr>
          <w:rFonts w:ascii="Times New Roman" w:hAnsi="Times New Roman" w:cs="Times New Roman"/>
        </w:rPr>
      </w:pPr>
      <w:r w:rsidRPr="00197F22">
        <w:rPr>
          <w:rFonts w:ascii="Times New Roman" w:hAnsi="Times New Roman" w:cs="Times New Roman"/>
        </w:rPr>
        <w:t>Zadeh, L. A. (1965). Fuzzy sets. Information and control, 8(3), 338-353.</w:t>
      </w:r>
    </w:p>
    <w:p w14:paraId="4BC6FFAC" w14:textId="2D5405E5" w:rsidR="004E6E68" w:rsidRPr="00DC5CA3" w:rsidRDefault="004E6E68" w:rsidP="0042270A">
      <w:pPr>
        <w:tabs>
          <w:tab w:val="left" w:pos="360"/>
        </w:tabs>
        <w:ind w:left="360"/>
        <w:jc w:val="both"/>
        <w:rPr>
          <w:rFonts w:ascii="Times New Roman" w:hAnsi="Times New Roman" w:cs="Times New Roman"/>
        </w:rPr>
      </w:pPr>
      <w:r w:rsidRPr="004E6E68">
        <w:rPr>
          <w:rFonts w:ascii="Times New Roman" w:hAnsi="Times New Roman" w:cs="Times New Roman"/>
        </w:rPr>
        <w:lastRenderedPageBreak/>
        <w:t>Zimmermann, H. J. (1978). Fuzzy programming and linear programming with several objective functions. Fuzzy sets and systems, 1(1), 45-55.</w:t>
      </w:r>
    </w:p>
    <w:sectPr w:rsidR="004E6E68" w:rsidRPr="00DC5CA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36D1C" w14:textId="77777777" w:rsidR="001F64EB" w:rsidRDefault="001F64EB" w:rsidP="00A94FA4">
      <w:pPr>
        <w:spacing w:after="0" w:line="240" w:lineRule="auto"/>
      </w:pPr>
      <w:r>
        <w:separator/>
      </w:r>
    </w:p>
  </w:endnote>
  <w:endnote w:type="continuationSeparator" w:id="0">
    <w:p w14:paraId="139A401C" w14:textId="77777777" w:rsidR="001F64EB" w:rsidRDefault="001F64EB" w:rsidP="00A94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34790"/>
      <w:docPartObj>
        <w:docPartGallery w:val="Page Numbers (Bottom of Page)"/>
        <w:docPartUnique/>
      </w:docPartObj>
    </w:sdtPr>
    <w:sdtEndPr>
      <w:rPr>
        <w:noProof/>
      </w:rPr>
    </w:sdtEndPr>
    <w:sdtContent>
      <w:p w14:paraId="449F0BC9" w14:textId="5C3F3D17" w:rsidR="00805E0B" w:rsidRDefault="00805E0B">
        <w:pPr>
          <w:pStyle w:val="Footer"/>
          <w:jc w:val="center"/>
        </w:pPr>
        <w:r>
          <w:fldChar w:fldCharType="begin"/>
        </w:r>
        <w:r>
          <w:instrText xml:space="preserve"> PAGE   \* MERGEFORMAT </w:instrText>
        </w:r>
        <w:r>
          <w:fldChar w:fldCharType="separate"/>
        </w:r>
        <w:r w:rsidR="009304DD">
          <w:rPr>
            <w:noProof/>
          </w:rPr>
          <w:t>12</w:t>
        </w:r>
        <w:r>
          <w:rPr>
            <w:noProof/>
          </w:rPr>
          <w:fldChar w:fldCharType="end"/>
        </w:r>
      </w:p>
    </w:sdtContent>
  </w:sdt>
  <w:p w14:paraId="78D375E8" w14:textId="77777777" w:rsidR="00805E0B" w:rsidRDefault="00805E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4393F" w14:textId="77777777" w:rsidR="001F64EB" w:rsidRDefault="001F64EB" w:rsidP="00A94FA4">
      <w:pPr>
        <w:spacing w:after="0" w:line="240" w:lineRule="auto"/>
      </w:pPr>
      <w:r>
        <w:separator/>
      </w:r>
    </w:p>
  </w:footnote>
  <w:footnote w:type="continuationSeparator" w:id="0">
    <w:p w14:paraId="2471BE00" w14:textId="77777777" w:rsidR="001F64EB" w:rsidRDefault="001F64EB" w:rsidP="00A94F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BEF"/>
    <w:multiLevelType w:val="hybridMultilevel"/>
    <w:tmpl w:val="85269774"/>
    <w:lvl w:ilvl="0" w:tplc="0332FB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D2202B"/>
    <w:multiLevelType w:val="hybridMultilevel"/>
    <w:tmpl w:val="76041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714E5D"/>
    <w:multiLevelType w:val="hybridMultilevel"/>
    <w:tmpl w:val="ED8E0D6C"/>
    <w:lvl w:ilvl="0" w:tplc="2ADEFE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960242"/>
    <w:multiLevelType w:val="hybridMultilevel"/>
    <w:tmpl w:val="E1761D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3A7"/>
    <w:rsid w:val="0000148A"/>
    <w:rsid w:val="0000307C"/>
    <w:rsid w:val="000038F5"/>
    <w:rsid w:val="00006E6A"/>
    <w:rsid w:val="00007A66"/>
    <w:rsid w:val="00010869"/>
    <w:rsid w:val="00010FC8"/>
    <w:rsid w:val="000122CF"/>
    <w:rsid w:val="0001488E"/>
    <w:rsid w:val="000154BC"/>
    <w:rsid w:val="000166F6"/>
    <w:rsid w:val="00016929"/>
    <w:rsid w:val="00016B9B"/>
    <w:rsid w:val="0001753B"/>
    <w:rsid w:val="00024436"/>
    <w:rsid w:val="0002450F"/>
    <w:rsid w:val="000326A1"/>
    <w:rsid w:val="0003338B"/>
    <w:rsid w:val="00033C84"/>
    <w:rsid w:val="00035B9B"/>
    <w:rsid w:val="0004005B"/>
    <w:rsid w:val="000403C6"/>
    <w:rsid w:val="00041D7F"/>
    <w:rsid w:val="00045F96"/>
    <w:rsid w:val="00046EFC"/>
    <w:rsid w:val="00047C7B"/>
    <w:rsid w:val="00047D8A"/>
    <w:rsid w:val="00055A2F"/>
    <w:rsid w:val="00056C56"/>
    <w:rsid w:val="0005784E"/>
    <w:rsid w:val="00061191"/>
    <w:rsid w:val="000632E8"/>
    <w:rsid w:val="00070218"/>
    <w:rsid w:val="00071E99"/>
    <w:rsid w:val="0007229E"/>
    <w:rsid w:val="00082893"/>
    <w:rsid w:val="00082A30"/>
    <w:rsid w:val="000875D9"/>
    <w:rsid w:val="00087819"/>
    <w:rsid w:val="000A068C"/>
    <w:rsid w:val="000A2095"/>
    <w:rsid w:val="000A30CE"/>
    <w:rsid w:val="000A5697"/>
    <w:rsid w:val="000A71A5"/>
    <w:rsid w:val="000B01C3"/>
    <w:rsid w:val="000B1C9F"/>
    <w:rsid w:val="000B205C"/>
    <w:rsid w:val="000B2AB5"/>
    <w:rsid w:val="000B3375"/>
    <w:rsid w:val="000B35B0"/>
    <w:rsid w:val="000B3AC6"/>
    <w:rsid w:val="000B6AD1"/>
    <w:rsid w:val="000B7EE4"/>
    <w:rsid w:val="000D0ADD"/>
    <w:rsid w:val="000D1961"/>
    <w:rsid w:val="000D2852"/>
    <w:rsid w:val="000D69D3"/>
    <w:rsid w:val="000D7D70"/>
    <w:rsid w:val="000E0AE3"/>
    <w:rsid w:val="000E0ED8"/>
    <w:rsid w:val="000E0F2D"/>
    <w:rsid w:val="000E1056"/>
    <w:rsid w:val="000E21D3"/>
    <w:rsid w:val="000E3D0D"/>
    <w:rsid w:val="000E55DE"/>
    <w:rsid w:val="000E5684"/>
    <w:rsid w:val="000E79FA"/>
    <w:rsid w:val="000F029C"/>
    <w:rsid w:val="000F1964"/>
    <w:rsid w:val="000F6F70"/>
    <w:rsid w:val="001010C3"/>
    <w:rsid w:val="00102054"/>
    <w:rsid w:val="00103143"/>
    <w:rsid w:val="00104637"/>
    <w:rsid w:val="00104B66"/>
    <w:rsid w:val="00104FD5"/>
    <w:rsid w:val="0010512B"/>
    <w:rsid w:val="00107182"/>
    <w:rsid w:val="0010745A"/>
    <w:rsid w:val="00111A0B"/>
    <w:rsid w:val="00112AFA"/>
    <w:rsid w:val="00113893"/>
    <w:rsid w:val="001155B6"/>
    <w:rsid w:val="001158FC"/>
    <w:rsid w:val="001164F2"/>
    <w:rsid w:val="001206E5"/>
    <w:rsid w:val="00121027"/>
    <w:rsid w:val="00124A4F"/>
    <w:rsid w:val="00126533"/>
    <w:rsid w:val="0013137D"/>
    <w:rsid w:val="00131520"/>
    <w:rsid w:val="00133E3A"/>
    <w:rsid w:val="0013455C"/>
    <w:rsid w:val="001346A3"/>
    <w:rsid w:val="001348EB"/>
    <w:rsid w:val="0013540B"/>
    <w:rsid w:val="00137326"/>
    <w:rsid w:val="00140875"/>
    <w:rsid w:val="00141728"/>
    <w:rsid w:val="001418CE"/>
    <w:rsid w:val="00142589"/>
    <w:rsid w:val="001503C1"/>
    <w:rsid w:val="00151814"/>
    <w:rsid w:val="0015699B"/>
    <w:rsid w:val="0016075B"/>
    <w:rsid w:val="001615B1"/>
    <w:rsid w:val="00164E20"/>
    <w:rsid w:val="001661A0"/>
    <w:rsid w:val="00167C32"/>
    <w:rsid w:val="00167D81"/>
    <w:rsid w:val="00172FE2"/>
    <w:rsid w:val="00174928"/>
    <w:rsid w:val="001846BB"/>
    <w:rsid w:val="00184B41"/>
    <w:rsid w:val="00186688"/>
    <w:rsid w:val="00187D11"/>
    <w:rsid w:val="00191476"/>
    <w:rsid w:val="00191ABA"/>
    <w:rsid w:val="00191E30"/>
    <w:rsid w:val="00192DE1"/>
    <w:rsid w:val="00193A95"/>
    <w:rsid w:val="00193D34"/>
    <w:rsid w:val="00193FD0"/>
    <w:rsid w:val="001943E3"/>
    <w:rsid w:val="00194F8B"/>
    <w:rsid w:val="00197280"/>
    <w:rsid w:val="00197679"/>
    <w:rsid w:val="00197F22"/>
    <w:rsid w:val="001B0FEC"/>
    <w:rsid w:val="001B1B60"/>
    <w:rsid w:val="001B3D4A"/>
    <w:rsid w:val="001B48E5"/>
    <w:rsid w:val="001B6843"/>
    <w:rsid w:val="001C075E"/>
    <w:rsid w:val="001C11CE"/>
    <w:rsid w:val="001C2767"/>
    <w:rsid w:val="001C3FF1"/>
    <w:rsid w:val="001C4973"/>
    <w:rsid w:val="001C6F45"/>
    <w:rsid w:val="001D0A40"/>
    <w:rsid w:val="001D3C63"/>
    <w:rsid w:val="001D3E17"/>
    <w:rsid w:val="001D4930"/>
    <w:rsid w:val="001D507D"/>
    <w:rsid w:val="001D63FE"/>
    <w:rsid w:val="001D785C"/>
    <w:rsid w:val="001D7F09"/>
    <w:rsid w:val="001E00D1"/>
    <w:rsid w:val="001E3301"/>
    <w:rsid w:val="001E37B1"/>
    <w:rsid w:val="001E7DEE"/>
    <w:rsid w:val="001F1D50"/>
    <w:rsid w:val="001F36D9"/>
    <w:rsid w:val="001F5ADD"/>
    <w:rsid w:val="001F64EB"/>
    <w:rsid w:val="001F736C"/>
    <w:rsid w:val="00200331"/>
    <w:rsid w:val="00200712"/>
    <w:rsid w:val="002016EE"/>
    <w:rsid w:val="00204E76"/>
    <w:rsid w:val="00210A34"/>
    <w:rsid w:val="00210C55"/>
    <w:rsid w:val="002120E3"/>
    <w:rsid w:val="002128F8"/>
    <w:rsid w:val="00214664"/>
    <w:rsid w:val="00217328"/>
    <w:rsid w:val="00217EF9"/>
    <w:rsid w:val="0022132F"/>
    <w:rsid w:val="00221AE8"/>
    <w:rsid w:val="0022458C"/>
    <w:rsid w:val="002264B5"/>
    <w:rsid w:val="00226AD4"/>
    <w:rsid w:val="0023170E"/>
    <w:rsid w:val="002346BC"/>
    <w:rsid w:val="002414DC"/>
    <w:rsid w:val="002447AF"/>
    <w:rsid w:val="0024497B"/>
    <w:rsid w:val="00244A3C"/>
    <w:rsid w:val="00252B09"/>
    <w:rsid w:val="002551BD"/>
    <w:rsid w:val="00257C0D"/>
    <w:rsid w:val="0026031E"/>
    <w:rsid w:val="00261F56"/>
    <w:rsid w:val="00265E0B"/>
    <w:rsid w:val="002668A5"/>
    <w:rsid w:val="00266C4B"/>
    <w:rsid w:val="00276F37"/>
    <w:rsid w:val="00280A18"/>
    <w:rsid w:val="00282EE7"/>
    <w:rsid w:val="00282FE6"/>
    <w:rsid w:val="002845E4"/>
    <w:rsid w:val="00285991"/>
    <w:rsid w:val="002867DB"/>
    <w:rsid w:val="00286EB4"/>
    <w:rsid w:val="0029175F"/>
    <w:rsid w:val="0029412E"/>
    <w:rsid w:val="00294397"/>
    <w:rsid w:val="002974F2"/>
    <w:rsid w:val="002A6E25"/>
    <w:rsid w:val="002A7C51"/>
    <w:rsid w:val="002B0FDC"/>
    <w:rsid w:val="002B1DAF"/>
    <w:rsid w:val="002B1FD4"/>
    <w:rsid w:val="002B3055"/>
    <w:rsid w:val="002B62C3"/>
    <w:rsid w:val="002C0828"/>
    <w:rsid w:val="002C14CF"/>
    <w:rsid w:val="002C3562"/>
    <w:rsid w:val="002C3B56"/>
    <w:rsid w:val="002C54D1"/>
    <w:rsid w:val="002D1FE7"/>
    <w:rsid w:val="002D3297"/>
    <w:rsid w:val="002D3BDE"/>
    <w:rsid w:val="002D4690"/>
    <w:rsid w:val="002D635E"/>
    <w:rsid w:val="002D782E"/>
    <w:rsid w:val="002E348C"/>
    <w:rsid w:val="002E4DE1"/>
    <w:rsid w:val="002E6966"/>
    <w:rsid w:val="002F3CFF"/>
    <w:rsid w:val="002F4242"/>
    <w:rsid w:val="002F518F"/>
    <w:rsid w:val="002F6771"/>
    <w:rsid w:val="002F6A9A"/>
    <w:rsid w:val="002F744C"/>
    <w:rsid w:val="00301DF3"/>
    <w:rsid w:val="00302D6B"/>
    <w:rsid w:val="003041B1"/>
    <w:rsid w:val="00304AD9"/>
    <w:rsid w:val="003069D8"/>
    <w:rsid w:val="00310571"/>
    <w:rsid w:val="003106D8"/>
    <w:rsid w:val="00311717"/>
    <w:rsid w:val="00312337"/>
    <w:rsid w:val="0031509D"/>
    <w:rsid w:val="00315ACD"/>
    <w:rsid w:val="0031658D"/>
    <w:rsid w:val="00320941"/>
    <w:rsid w:val="00321771"/>
    <w:rsid w:val="00322099"/>
    <w:rsid w:val="00322353"/>
    <w:rsid w:val="003247CD"/>
    <w:rsid w:val="003248B8"/>
    <w:rsid w:val="00325061"/>
    <w:rsid w:val="00326E34"/>
    <w:rsid w:val="00327FE7"/>
    <w:rsid w:val="003300C5"/>
    <w:rsid w:val="00331717"/>
    <w:rsid w:val="00332AB7"/>
    <w:rsid w:val="00333010"/>
    <w:rsid w:val="00340435"/>
    <w:rsid w:val="00341FB1"/>
    <w:rsid w:val="00342233"/>
    <w:rsid w:val="00342B2C"/>
    <w:rsid w:val="003438FB"/>
    <w:rsid w:val="00350390"/>
    <w:rsid w:val="00350631"/>
    <w:rsid w:val="003514DB"/>
    <w:rsid w:val="0035189F"/>
    <w:rsid w:val="00351E1A"/>
    <w:rsid w:val="00352136"/>
    <w:rsid w:val="00354A5A"/>
    <w:rsid w:val="00354A9A"/>
    <w:rsid w:val="00355065"/>
    <w:rsid w:val="00355A39"/>
    <w:rsid w:val="00356207"/>
    <w:rsid w:val="00356F96"/>
    <w:rsid w:val="0036442E"/>
    <w:rsid w:val="00364872"/>
    <w:rsid w:val="003653AB"/>
    <w:rsid w:val="00370DFE"/>
    <w:rsid w:val="00380D47"/>
    <w:rsid w:val="00380F75"/>
    <w:rsid w:val="00381929"/>
    <w:rsid w:val="00381EE3"/>
    <w:rsid w:val="00383003"/>
    <w:rsid w:val="003831E0"/>
    <w:rsid w:val="00383488"/>
    <w:rsid w:val="00383520"/>
    <w:rsid w:val="00386D91"/>
    <w:rsid w:val="0039205C"/>
    <w:rsid w:val="0039431E"/>
    <w:rsid w:val="00396A58"/>
    <w:rsid w:val="003A3F2D"/>
    <w:rsid w:val="003B07A1"/>
    <w:rsid w:val="003B2641"/>
    <w:rsid w:val="003B2D15"/>
    <w:rsid w:val="003B3E34"/>
    <w:rsid w:val="003B4B8D"/>
    <w:rsid w:val="003B5EB7"/>
    <w:rsid w:val="003C0196"/>
    <w:rsid w:val="003C173F"/>
    <w:rsid w:val="003C1D2C"/>
    <w:rsid w:val="003C1E15"/>
    <w:rsid w:val="003C2210"/>
    <w:rsid w:val="003C2DA7"/>
    <w:rsid w:val="003C3571"/>
    <w:rsid w:val="003C3DDC"/>
    <w:rsid w:val="003C7DD3"/>
    <w:rsid w:val="003D12E9"/>
    <w:rsid w:val="003D3847"/>
    <w:rsid w:val="003D55AA"/>
    <w:rsid w:val="003D5D5C"/>
    <w:rsid w:val="003D789F"/>
    <w:rsid w:val="003E17C7"/>
    <w:rsid w:val="003E2E69"/>
    <w:rsid w:val="003E364B"/>
    <w:rsid w:val="003E4521"/>
    <w:rsid w:val="003F0FD0"/>
    <w:rsid w:val="003F3B5E"/>
    <w:rsid w:val="003F4198"/>
    <w:rsid w:val="003F56C8"/>
    <w:rsid w:val="003F6D39"/>
    <w:rsid w:val="004010C9"/>
    <w:rsid w:val="00404033"/>
    <w:rsid w:val="004076AA"/>
    <w:rsid w:val="00410598"/>
    <w:rsid w:val="0041124A"/>
    <w:rsid w:val="00415151"/>
    <w:rsid w:val="0042268F"/>
    <w:rsid w:val="0042270A"/>
    <w:rsid w:val="0042575A"/>
    <w:rsid w:val="00426D0C"/>
    <w:rsid w:val="00426F5F"/>
    <w:rsid w:val="00433A37"/>
    <w:rsid w:val="004353AC"/>
    <w:rsid w:val="00435625"/>
    <w:rsid w:val="00441416"/>
    <w:rsid w:val="0045136E"/>
    <w:rsid w:val="004559B5"/>
    <w:rsid w:val="00460245"/>
    <w:rsid w:val="00462AFE"/>
    <w:rsid w:val="0046513C"/>
    <w:rsid w:val="004661EB"/>
    <w:rsid w:val="00470B20"/>
    <w:rsid w:val="00470B3B"/>
    <w:rsid w:val="00472486"/>
    <w:rsid w:val="00472B53"/>
    <w:rsid w:val="00474826"/>
    <w:rsid w:val="00474C7D"/>
    <w:rsid w:val="00480D88"/>
    <w:rsid w:val="0048263A"/>
    <w:rsid w:val="00482D14"/>
    <w:rsid w:val="00483315"/>
    <w:rsid w:val="00484959"/>
    <w:rsid w:val="0048621F"/>
    <w:rsid w:val="0048764A"/>
    <w:rsid w:val="00490367"/>
    <w:rsid w:val="004915B7"/>
    <w:rsid w:val="004917EF"/>
    <w:rsid w:val="00491B1F"/>
    <w:rsid w:val="00493F5F"/>
    <w:rsid w:val="00494115"/>
    <w:rsid w:val="0049449F"/>
    <w:rsid w:val="004949F0"/>
    <w:rsid w:val="00494BA1"/>
    <w:rsid w:val="00494F41"/>
    <w:rsid w:val="004A136C"/>
    <w:rsid w:val="004A254B"/>
    <w:rsid w:val="004A49AA"/>
    <w:rsid w:val="004A68D6"/>
    <w:rsid w:val="004B09FC"/>
    <w:rsid w:val="004B683C"/>
    <w:rsid w:val="004B6AD8"/>
    <w:rsid w:val="004B71CC"/>
    <w:rsid w:val="004B7233"/>
    <w:rsid w:val="004B771A"/>
    <w:rsid w:val="004C045E"/>
    <w:rsid w:val="004C1AA8"/>
    <w:rsid w:val="004C1FC6"/>
    <w:rsid w:val="004C2193"/>
    <w:rsid w:val="004C63E0"/>
    <w:rsid w:val="004C6906"/>
    <w:rsid w:val="004C6A8B"/>
    <w:rsid w:val="004D32E5"/>
    <w:rsid w:val="004D3F43"/>
    <w:rsid w:val="004D4179"/>
    <w:rsid w:val="004D42D3"/>
    <w:rsid w:val="004D4861"/>
    <w:rsid w:val="004E01DA"/>
    <w:rsid w:val="004E2130"/>
    <w:rsid w:val="004E2196"/>
    <w:rsid w:val="004E2BC9"/>
    <w:rsid w:val="004E5499"/>
    <w:rsid w:val="004E6C6C"/>
    <w:rsid w:val="004E6E68"/>
    <w:rsid w:val="004F1117"/>
    <w:rsid w:val="004F2AD0"/>
    <w:rsid w:val="00500DBF"/>
    <w:rsid w:val="005024BE"/>
    <w:rsid w:val="00503EE0"/>
    <w:rsid w:val="00507643"/>
    <w:rsid w:val="0051211C"/>
    <w:rsid w:val="005123B1"/>
    <w:rsid w:val="00512C4B"/>
    <w:rsid w:val="00513937"/>
    <w:rsid w:val="00513E71"/>
    <w:rsid w:val="005150E9"/>
    <w:rsid w:val="00515D83"/>
    <w:rsid w:val="00515E48"/>
    <w:rsid w:val="00517A9B"/>
    <w:rsid w:val="00523857"/>
    <w:rsid w:val="0052535B"/>
    <w:rsid w:val="005263F1"/>
    <w:rsid w:val="0053074F"/>
    <w:rsid w:val="00530CFF"/>
    <w:rsid w:val="00530D3C"/>
    <w:rsid w:val="00535981"/>
    <w:rsid w:val="00535D82"/>
    <w:rsid w:val="00536BA7"/>
    <w:rsid w:val="005415AB"/>
    <w:rsid w:val="005419B1"/>
    <w:rsid w:val="0054493B"/>
    <w:rsid w:val="00544F64"/>
    <w:rsid w:val="005453FC"/>
    <w:rsid w:val="00550C8E"/>
    <w:rsid w:val="00551CC1"/>
    <w:rsid w:val="005524D2"/>
    <w:rsid w:val="0055397F"/>
    <w:rsid w:val="005560CB"/>
    <w:rsid w:val="005561B9"/>
    <w:rsid w:val="00557D21"/>
    <w:rsid w:val="00560450"/>
    <w:rsid w:val="005606B1"/>
    <w:rsid w:val="0056219B"/>
    <w:rsid w:val="00580A01"/>
    <w:rsid w:val="00580B57"/>
    <w:rsid w:val="00582ACD"/>
    <w:rsid w:val="00583114"/>
    <w:rsid w:val="00583610"/>
    <w:rsid w:val="00583E2E"/>
    <w:rsid w:val="00585ABF"/>
    <w:rsid w:val="005A46F1"/>
    <w:rsid w:val="005A6AF9"/>
    <w:rsid w:val="005B02C1"/>
    <w:rsid w:val="005B1931"/>
    <w:rsid w:val="005B3A79"/>
    <w:rsid w:val="005B428B"/>
    <w:rsid w:val="005B45E3"/>
    <w:rsid w:val="005B5581"/>
    <w:rsid w:val="005B5E41"/>
    <w:rsid w:val="005B739A"/>
    <w:rsid w:val="005B791A"/>
    <w:rsid w:val="005C3786"/>
    <w:rsid w:val="005C7A12"/>
    <w:rsid w:val="005D097C"/>
    <w:rsid w:val="005D3F83"/>
    <w:rsid w:val="005D55E0"/>
    <w:rsid w:val="005E0441"/>
    <w:rsid w:val="005E23D3"/>
    <w:rsid w:val="005E2B54"/>
    <w:rsid w:val="005E3627"/>
    <w:rsid w:val="005E5848"/>
    <w:rsid w:val="005F6AE9"/>
    <w:rsid w:val="005F6C4F"/>
    <w:rsid w:val="005F75D5"/>
    <w:rsid w:val="0060180F"/>
    <w:rsid w:val="00601DDF"/>
    <w:rsid w:val="00602CAD"/>
    <w:rsid w:val="00603279"/>
    <w:rsid w:val="006036D9"/>
    <w:rsid w:val="006045D3"/>
    <w:rsid w:val="0061014A"/>
    <w:rsid w:val="00612FC7"/>
    <w:rsid w:val="006143B2"/>
    <w:rsid w:val="006218D2"/>
    <w:rsid w:val="00624869"/>
    <w:rsid w:val="0063178C"/>
    <w:rsid w:val="00632447"/>
    <w:rsid w:val="006327E8"/>
    <w:rsid w:val="00634675"/>
    <w:rsid w:val="00637345"/>
    <w:rsid w:val="00637A44"/>
    <w:rsid w:val="00640EAB"/>
    <w:rsid w:val="0064363D"/>
    <w:rsid w:val="0064447E"/>
    <w:rsid w:val="006446EE"/>
    <w:rsid w:val="00646DC6"/>
    <w:rsid w:val="006472E1"/>
    <w:rsid w:val="00651E9C"/>
    <w:rsid w:val="006522D3"/>
    <w:rsid w:val="006525B1"/>
    <w:rsid w:val="0065492C"/>
    <w:rsid w:val="00654A48"/>
    <w:rsid w:val="00656AD6"/>
    <w:rsid w:val="00657637"/>
    <w:rsid w:val="00661F83"/>
    <w:rsid w:val="00662138"/>
    <w:rsid w:val="006652AA"/>
    <w:rsid w:val="00666783"/>
    <w:rsid w:val="0066686A"/>
    <w:rsid w:val="0066725C"/>
    <w:rsid w:val="00667A2C"/>
    <w:rsid w:val="006706B0"/>
    <w:rsid w:val="00671D01"/>
    <w:rsid w:val="00674FF0"/>
    <w:rsid w:val="00675597"/>
    <w:rsid w:val="00675E9D"/>
    <w:rsid w:val="00681F5C"/>
    <w:rsid w:val="006838BF"/>
    <w:rsid w:val="00692388"/>
    <w:rsid w:val="00693FA6"/>
    <w:rsid w:val="00694DD6"/>
    <w:rsid w:val="006A59E7"/>
    <w:rsid w:val="006A7FB4"/>
    <w:rsid w:val="006B0F03"/>
    <w:rsid w:val="006B5905"/>
    <w:rsid w:val="006B5E12"/>
    <w:rsid w:val="006C5DA8"/>
    <w:rsid w:val="006C5EA1"/>
    <w:rsid w:val="006C776A"/>
    <w:rsid w:val="006D27EC"/>
    <w:rsid w:val="006D467F"/>
    <w:rsid w:val="006D4FC6"/>
    <w:rsid w:val="006D5AA4"/>
    <w:rsid w:val="006D6326"/>
    <w:rsid w:val="006D7A1D"/>
    <w:rsid w:val="006D7A4C"/>
    <w:rsid w:val="006E209F"/>
    <w:rsid w:val="006E2F01"/>
    <w:rsid w:val="006E3F03"/>
    <w:rsid w:val="006E57EF"/>
    <w:rsid w:val="006E62AE"/>
    <w:rsid w:val="006F1AE8"/>
    <w:rsid w:val="006F3140"/>
    <w:rsid w:val="006F4DC0"/>
    <w:rsid w:val="006F5855"/>
    <w:rsid w:val="006F7A03"/>
    <w:rsid w:val="00700370"/>
    <w:rsid w:val="0070397D"/>
    <w:rsid w:val="007041CD"/>
    <w:rsid w:val="00704B8D"/>
    <w:rsid w:val="0071243D"/>
    <w:rsid w:val="00713C92"/>
    <w:rsid w:val="007145E8"/>
    <w:rsid w:val="00715DFE"/>
    <w:rsid w:val="007176DC"/>
    <w:rsid w:val="00720017"/>
    <w:rsid w:val="00720443"/>
    <w:rsid w:val="00721A41"/>
    <w:rsid w:val="007275C5"/>
    <w:rsid w:val="00732EDF"/>
    <w:rsid w:val="00733079"/>
    <w:rsid w:val="007353CC"/>
    <w:rsid w:val="007359A5"/>
    <w:rsid w:val="00735B7E"/>
    <w:rsid w:val="00741218"/>
    <w:rsid w:val="007536E7"/>
    <w:rsid w:val="0075559C"/>
    <w:rsid w:val="00755DCA"/>
    <w:rsid w:val="0075798F"/>
    <w:rsid w:val="00760171"/>
    <w:rsid w:val="0076204A"/>
    <w:rsid w:val="00762587"/>
    <w:rsid w:val="007651AC"/>
    <w:rsid w:val="00766E07"/>
    <w:rsid w:val="00772C4F"/>
    <w:rsid w:val="00773AA2"/>
    <w:rsid w:val="0077526B"/>
    <w:rsid w:val="00777E72"/>
    <w:rsid w:val="00782DD1"/>
    <w:rsid w:val="00792455"/>
    <w:rsid w:val="007944AC"/>
    <w:rsid w:val="007972F9"/>
    <w:rsid w:val="007978D3"/>
    <w:rsid w:val="007A0E05"/>
    <w:rsid w:val="007A10C1"/>
    <w:rsid w:val="007A1A00"/>
    <w:rsid w:val="007A6139"/>
    <w:rsid w:val="007A777D"/>
    <w:rsid w:val="007A7B8F"/>
    <w:rsid w:val="007B2472"/>
    <w:rsid w:val="007B47D7"/>
    <w:rsid w:val="007C0351"/>
    <w:rsid w:val="007C1687"/>
    <w:rsid w:val="007C5943"/>
    <w:rsid w:val="007C5B25"/>
    <w:rsid w:val="007C7100"/>
    <w:rsid w:val="007D1EDC"/>
    <w:rsid w:val="007D2C46"/>
    <w:rsid w:val="007D4EAE"/>
    <w:rsid w:val="007E2933"/>
    <w:rsid w:val="007E2E7A"/>
    <w:rsid w:val="007E312A"/>
    <w:rsid w:val="007E3596"/>
    <w:rsid w:val="007E3C7F"/>
    <w:rsid w:val="007F0B78"/>
    <w:rsid w:val="007F1511"/>
    <w:rsid w:val="007F15CB"/>
    <w:rsid w:val="007F39DC"/>
    <w:rsid w:val="007F461F"/>
    <w:rsid w:val="007F4FE2"/>
    <w:rsid w:val="007F68C0"/>
    <w:rsid w:val="007F7EA2"/>
    <w:rsid w:val="00801E10"/>
    <w:rsid w:val="00804482"/>
    <w:rsid w:val="008055E6"/>
    <w:rsid w:val="00805E0B"/>
    <w:rsid w:val="00806D8C"/>
    <w:rsid w:val="00812624"/>
    <w:rsid w:val="00813266"/>
    <w:rsid w:val="00816854"/>
    <w:rsid w:val="00821D7E"/>
    <w:rsid w:val="008236C7"/>
    <w:rsid w:val="008255BA"/>
    <w:rsid w:val="00826643"/>
    <w:rsid w:val="008273D9"/>
    <w:rsid w:val="00830AA9"/>
    <w:rsid w:val="008313BD"/>
    <w:rsid w:val="00832056"/>
    <w:rsid w:val="008322B1"/>
    <w:rsid w:val="008341EB"/>
    <w:rsid w:val="00834CE3"/>
    <w:rsid w:val="00836389"/>
    <w:rsid w:val="00841A9D"/>
    <w:rsid w:val="00844110"/>
    <w:rsid w:val="008465A9"/>
    <w:rsid w:val="00846C1A"/>
    <w:rsid w:val="008500BC"/>
    <w:rsid w:val="00853138"/>
    <w:rsid w:val="00856950"/>
    <w:rsid w:val="00856ACB"/>
    <w:rsid w:val="008600DC"/>
    <w:rsid w:val="008606E7"/>
    <w:rsid w:val="00863E2F"/>
    <w:rsid w:val="00867DF7"/>
    <w:rsid w:val="00870348"/>
    <w:rsid w:val="00870BC9"/>
    <w:rsid w:val="0087243B"/>
    <w:rsid w:val="00872B23"/>
    <w:rsid w:val="008731C1"/>
    <w:rsid w:val="00882D90"/>
    <w:rsid w:val="00885AB2"/>
    <w:rsid w:val="00897F10"/>
    <w:rsid w:val="008A10A9"/>
    <w:rsid w:val="008A1A19"/>
    <w:rsid w:val="008A42F9"/>
    <w:rsid w:val="008A4BFB"/>
    <w:rsid w:val="008A5ACC"/>
    <w:rsid w:val="008A5CBA"/>
    <w:rsid w:val="008A6331"/>
    <w:rsid w:val="008B1988"/>
    <w:rsid w:val="008B21D2"/>
    <w:rsid w:val="008B6B33"/>
    <w:rsid w:val="008B6D14"/>
    <w:rsid w:val="008B7D1F"/>
    <w:rsid w:val="008C1318"/>
    <w:rsid w:val="008C1E2B"/>
    <w:rsid w:val="008C5248"/>
    <w:rsid w:val="008C59AD"/>
    <w:rsid w:val="008E0F4A"/>
    <w:rsid w:val="008E4B1F"/>
    <w:rsid w:val="008E5AFD"/>
    <w:rsid w:val="008E6BAB"/>
    <w:rsid w:val="008F0971"/>
    <w:rsid w:val="008F4111"/>
    <w:rsid w:val="008F4590"/>
    <w:rsid w:val="008F539D"/>
    <w:rsid w:val="008F5E17"/>
    <w:rsid w:val="008F7C3B"/>
    <w:rsid w:val="00901C5C"/>
    <w:rsid w:val="0090459B"/>
    <w:rsid w:val="00904B24"/>
    <w:rsid w:val="009056E0"/>
    <w:rsid w:val="00906FEA"/>
    <w:rsid w:val="00910703"/>
    <w:rsid w:val="00913080"/>
    <w:rsid w:val="009144FC"/>
    <w:rsid w:val="00914FE3"/>
    <w:rsid w:val="0091577E"/>
    <w:rsid w:val="00915E10"/>
    <w:rsid w:val="00916038"/>
    <w:rsid w:val="0092018C"/>
    <w:rsid w:val="0092240E"/>
    <w:rsid w:val="0092365A"/>
    <w:rsid w:val="009241F2"/>
    <w:rsid w:val="00925176"/>
    <w:rsid w:val="009304DD"/>
    <w:rsid w:val="00931DF9"/>
    <w:rsid w:val="00932272"/>
    <w:rsid w:val="00932CD0"/>
    <w:rsid w:val="009362F8"/>
    <w:rsid w:val="00940A4A"/>
    <w:rsid w:val="00945502"/>
    <w:rsid w:val="009470DB"/>
    <w:rsid w:val="00947917"/>
    <w:rsid w:val="00947C6E"/>
    <w:rsid w:val="00951B70"/>
    <w:rsid w:val="009523A3"/>
    <w:rsid w:val="00955EB6"/>
    <w:rsid w:val="00956288"/>
    <w:rsid w:val="00960EF5"/>
    <w:rsid w:val="0096300D"/>
    <w:rsid w:val="009636D2"/>
    <w:rsid w:val="00964BE5"/>
    <w:rsid w:val="0096706A"/>
    <w:rsid w:val="00972FA9"/>
    <w:rsid w:val="009746A8"/>
    <w:rsid w:val="00975684"/>
    <w:rsid w:val="009812CD"/>
    <w:rsid w:val="00983975"/>
    <w:rsid w:val="00983DE9"/>
    <w:rsid w:val="00986AF9"/>
    <w:rsid w:val="0099049A"/>
    <w:rsid w:val="00991CDD"/>
    <w:rsid w:val="00992EBC"/>
    <w:rsid w:val="0099301F"/>
    <w:rsid w:val="00993EBA"/>
    <w:rsid w:val="00995C6E"/>
    <w:rsid w:val="009A262F"/>
    <w:rsid w:val="009A2972"/>
    <w:rsid w:val="009A29B8"/>
    <w:rsid w:val="009A44B3"/>
    <w:rsid w:val="009A6735"/>
    <w:rsid w:val="009A68F1"/>
    <w:rsid w:val="009B0F92"/>
    <w:rsid w:val="009B1DA2"/>
    <w:rsid w:val="009B549E"/>
    <w:rsid w:val="009C009E"/>
    <w:rsid w:val="009C2083"/>
    <w:rsid w:val="009C3901"/>
    <w:rsid w:val="009C3F99"/>
    <w:rsid w:val="009C453F"/>
    <w:rsid w:val="009C508B"/>
    <w:rsid w:val="009C7C7E"/>
    <w:rsid w:val="009D00DD"/>
    <w:rsid w:val="009D18AF"/>
    <w:rsid w:val="009D1FD5"/>
    <w:rsid w:val="009D2FF3"/>
    <w:rsid w:val="009D36C1"/>
    <w:rsid w:val="009D4278"/>
    <w:rsid w:val="009D6AC8"/>
    <w:rsid w:val="009D6CDD"/>
    <w:rsid w:val="009D7799"/>
    <w:rsid w:val="009E1CF1"/>
    <w:rsid w:val="009E4BCD"/>
    <w:rsid w:val="009E534A"/>
    <w:rsid w:val="009E6D0E"/>
    <w:rsid w:val="009F2729"/>
    <w:rsid w:val="009F2C40"/>
    <w:rsid w:val="009F4342"/>
    <w:rsid w:val="009F5D9C"/>
    <w:rsid w:val="009F6779"/>
    <w:rsid w:val="00A038A4"/>
    <w:rsid w:val="00A0693F"/>
    <w:rsid w:val="00A132E1"/>
    <w:rsid w:val="00A1439B"/>
    <w:rsid w:val="00A16E80"/>
    <w:rsid w:val="00A170E2"/>
    <w:rsid w:val="00A175AB"/>
    <w:rsid w:val="00A26CB1"/>
    <w:rsid w:val="00A36F6C"/>
    <w:rsid w:val="00A37EB8"/>
    <w:rsid w:val="00A404DA"/>
    <w:rsid w:val="00A40B98"/>
    <w:rsid w:val="00A40D7D"/>
    <w:rsid w:val="00A418B4"/>
    <w:rsid w:val="00A45955"/>
    <w:rsid w:val="00A461DA"/>
    <w:rsid w:val="00A46998"/>
    <w:rsid w:val="00A53162"/>
    <w:rsid w:val="00A5423A"/>
    <w:rsid w:val="00A54FCD"/>
    <w:rsid w:val="00A553AB"/>
    <w:rsid w:val="00A554DA"/>
    <w:rsid w:val="00A55776"/>
    <w:rsid w:val="00A557CA"/>
    <w:rsid w:val="00A570B3"/>
    <w:rsid w:val="00A6201A"/>
    <w:rsid w:val="00A62693"/>
    <w:rsid w:val="00A62B18"/>
    <w:rsid w:val="00A62D94"/>
    <w:rsid w:val="00A63121"/>
    <w:rsid w:val="00A65595"/>
    <w:rsid w:val="00A74138"/>
    <w:rsid w:val="00A764DF"/>
    <w:rsid w:val="00A81DA4"/>
    <w:rsid w:val="00A81DCB"/>
    <w:rsid w:val="00A8594E"/>
    <w:rsid w:val="00A85F4C"/>
    <w:rsid w:val="00A904AC"/>
    <w:rsid w:val="00A94FA4"/>
    <w:rsid w:val="00A97342"/>
    <w:rsid w:val="00AA24AB"/>
    <w:rsid w:val="00AA29DC"/>
    <w:rsid w:val="00AA5349"/>
    <w:rsid w:val="00AA7DFB"/>
    <w:rsid w:val="00AB0427"/>
    <w:rsid w:val="00AB33F7"/>
    <w:rsid w:val="00AB42DF"/>
    <w:rsid w:val="00AB42E9"/>
    <w:rsid w:val="00AB5254"/>
    <w:rsid w:val="00AB5EB1"/>
    <w:rsid w:val="00AC05F7"/>
    <w:rsid w:val="00AC0F15"/>
    <w:rsid w:val="00AC58F5"/>
    <w:rsid w:val="00AC6E1A"/>
    <w:rsid w:val="00AC7358"/>
    <w:rsid w:val="00AD0FF0"/>
    <w:rsid w:val="00AD1957"/>
    <w:rsid w:val="00AD5DCE"/>
    <w:rsid w:val="00AD6149"/>
    <w:rsid w:val="00AE34D8"/>
    <w:rsid w:val="00AE3DDF"/>
    <w:rsid w:val="00AE5522"/>
    <w:rsid w:val="00AE58B2"/>
    <w:rsid w:val="00AE631C"/>
    <w:rsid w:val="00AE7249"/>
    <w:rsid w:val="00AF21DB"/>
    <w:rsid w:val="00AF6523"/>
    <w:rsid w:val="00B07F7C"/>
    <w:rsid w:val="00B12F52"/>
    <w:rsid w:val="00B1726F"/>
    <w:rsid w:val="00B17F01"/>
    <w:rsid w:val="00B214F3"/>
    <w:rsid w:val="00B22075"/>
    <w:rsid w:val="00B2328F"/>
    <w:rsid w:val="00B2709E"/>
    <w:rsid w:val="00B273C5"/>
    <w:rsid w:val="00B327FB"/>
    <w:rsid w:val="00B345A7"/>
    <w:rsid w:val="00B359BA"/>
    <w:rsid w:val="00B3694F"/>
    <w:rsid w:val="00B370BF"/>
    <w:rsid w:val="00B377DB"/>
    <w:rsid w:val="00B40AC3"/>
    <w:rsid w:val="00B501B5"/>
    <w:rsid w:val="00B50DC7"/>
    <w:rsid w:val="00B515A1"/>
    <w:rsid w:val="00B52D72"/>
    <w:rsid w:val="00B53845"/>
    <w:rsid w:val="00B54F94"/>
    <w:rsid w:val="00B61362"/>
    <w:rsid w:val="00B63AE2"/>
    <w:rsid w:val="00B64053"/>
    <w:rsid w:val="00B64198"/>
    <w:rsid w:val="00B64EEA"/>
    <w:rsid w:val="00B66ADD"/>
    <w:rsid w:val="00B670AA"/>
    <w:rsid w:val="00B71ED7"/>
    <w:rsid w:val="00B7284E"/>
    <w:rsid w:val="00B72C9A"/>
    <w:rsid w:val="00B73245"/>
    <w:rsid w:val="00B752C7"/>
    <w:rsid w:val="00B762EC"/>
    <w:rsid w:val="00B856BD"/>
    <w:rsid w:val="00B86360"/>
    <w:rsid w:val="00B86FA4"/>
    <w:rsid w:val="00B8790F"/>
    <w:rsid w:val="00B90A7B"/>
    <w:rsid w:val="00B95C3A"/>
    <w:rsid w:val="00B966B4"/>
    <w:rsid w:val="00BA1364"/>
    <w:rsid w:val="00BA2281"/>
    <w:rsid w:val="00BA38F3"/>
    <w:rsid w:val="00BA7BD8"/>
    <w:rsid w:val="00BB0497"/>
    <w:rsid w:val="00BB09C8"/>
    <w:rsid w:val="00BB0C15"/>
    <w:rsid w:val="00BB11FD"/>
    <w:rsid w:val="00BB1259"/>
    <w:rsid w:val="00BB16ED"/>
    <w:rsid w:val="00BB3907"/>
    <w:rsid w:val="00BB501B"/>
    <w:rsid w:val="00BC1DC5"/>
    <w:rsid w:val="00BC74DE"/>
    <w:rsid w:val="00BD39D9"/>
    <w:rsid w:val="00BD3E6B"/>
    <w:rsid w:val="00BD59FF"/>
    <w:rsid w:val="00BD761A"/>
    <w:rsid w:val="00BE100B"/>
    <w:rsid w:val="00BE15EE"/>
    <w:rsid w:val="00BE23FD"/>
    <w:rsid w:val="00BE4191"/>
    <w:rsid w:val="00BE4E7E"/>
    <w:rsid w:val="00BE726F"/>
    <w:rsid w:val="00BE74A8"/>
    <w:rsid w:val="00BF07C3"/>
    <w:rsid w:val="00BF1C7F"/>
    <w:rsid w:val="00BF27B6"/>
    <w:rsid w:val="00BF29CD"/>
    <w:rsid w:val="00BF395C"/>
    <w:rsid w:val="00BF6B45"/>
    <w:rsid w:val="00C0060D"/>
    <w:rsid w:val="00C008DA"/>
    <w:rsid w:val="00C037B0"/>
    <w:rsid w:val="00C03E65"/>
    <w:rsid w:val="00C05C0A"/>
    <w:rsid w:val="00C14AB7"/>
    <w:rsid w:val="00C1603E"/>
    <w:rsid w:val="00C16B59"/>
    <w:rsid w:val="00C22316"/>
    <w:rsid w:val="00C22E92"/>
    <w:rsid w:val="00C2463A"/>
    <w:rsid w:val="00C24DCD"/>
    <w:rsid w:val="00C24EBB"/>
    <w:rsid w:val="00C25147"/>
    <w:rsid w:val="00C256CA"/>
    <w:rsid w:val="00C31AAE"/>
    <w:rsid w:val="00C34B81"/>
    <w:rsid w:val="00C3678D"/>
    <w:rsid w:val="00C370EE"/>
    <w:rsid w:val="00C4241C"/>
    <w:rsid w:val="00C42D5A"/>
    <w:rsid w:val="00C44C7D"/>
    <w:rsid w:val="00C46648"/>
    <w:rsid w:val="00C5178D"/>
    <w:rsid w:val="00C531C5"/>
    <w:rsid w:val="00C53277"/>
    <w:rsid w:val="00C54D6C"/>
    <w:rsid w:val="00C54F3D"/>
    <w:rsid w:val="00C6266E"/>
    <w:rsid w:val="00C6296E"/>
    <w:rsid w:val="00C630D8"/>
    <w:rsid w:val="00C63E85"/>
    <w:rsid w:val="00C6590C"/>
    <w:rsid w:val="00C708B6"/>
    <w:rsid w:val="00C724B5"/>
    <w:rsid w:val="00C7334B"/>
    <w:rsid w:val="00C75325"/>
    <w:rsid w:val="00C75DF2"/>
    <w:rsid w:val="00C75EA2"/>
    <w:rsid w:val="00C76143"/>
    <w:rsid w:val="00C8033E"/>
    <w:rsid w:val="00C82A6C"/>
    <w:rsid w:val="00C82D46"/>
    <w:rsid w:val="00C845B2"/>
    <w:rsid w:val="00C866A8"/>
    <w:rsid w:val="00C868E3"/>
    <w:rsid w:val="00C869C1"/>
    <w:rsid w:val="00C902B4"/>
    <w:rsid w:val="00C90A36"/>
    <w:rsid w:val="00C92F41"/>
    <w:rsid w:val="00C9652A"/>
    <w:rsid w:val="00C97905"/>
    <w:rsid w:val="00CA0A9B"/>
    <w:rsid w:val="00CA12DD"/>
    <w:rsid w:val="00CA3847"/>
    <w:rsid w:val="00CA3A70"/>
    <w:rsid w:val="00CB0A85"/>
    <w:rsid w:val="00CB0EA5"/>
    <w:rsid w:val="00CB1E64"/>
    <w:rsid w:val="00CB3552"/>
    <w:rsid w:val="00CB65AD"/>
    <w:rsid w:val="00CB7426"/>
    <w:rsid w:val="00CC4871"/>
    <w:rsid w:val="00CC56C0"/>
    <w:rsid w:val="00CC5DB6"/>
    <w:rsid w:val="00CC78B7"/>
    <w:rsid w:val="00CC79B7"/>
    <w:rsid w:val="00CD138D"/>
    <w:rsid w:val="00CD35BE"/>
    <w:rsid w:val="00CD6655"/>
    <w:rsid w:val="00CE0D50"/>
    <w:rsid w:val="00CE162C"/>
    <w:rsid w:val="00CE1FFD"/>
    <w:rsid w:val="00CE33A7"/>
    <w:rsid w:val="00CE6373"/>
    <w:rsid w:val="00CE6B4C"/>
    <w:rsid w:val="00CE7677"/>
    <w:rsid w:val="00CF306B"/>
    <w:rsid w:val="00CF3E97"/>
    <w:rsid w:val="00CF6223"/>
    <w:rsid w:val="00CF6B83"/>
    <w:rsid w:val="00D00188"/>
    <w:rsid w:val="00D0059E"/>
    <w:rsid w:val="00D0095E"/>
    <w:rsid w:val="00D062AC"/>
    <w:rsid w:val="00D10B3B"/>
    <w:rsid w:val="00D10ECD"/>
    <w:rsid w:val="00D12967"/>
    <w:rsid w:val="00D142FB"/>
    <w:rsid w:val="00D153B0"/>
    <w:rsid w:val="00D1722D"/>
    <w:rsid w:val="00D20A81"/>
    <w:rsid w:val="00D21226"/>
    <w:rsid w:val="00D22F21"/>
    <w:rsid w:val="00D23454"/>
    <w:rsid w:val="00D27099"/>
    <w:rsid w:val="00D2724F"/>
    <w:rsid w:val="00D31239"/>
    <w:rsid w:val="00D331EA"/>
    <w:rsid w:val="00D3359C"/>
    <w:rsid w:val="00D35428"/>
    <w:rsid w:val="00D4614B"/>
    <w:rsid w:val="00D46EEA"/>
    <w:rsid w:val="00D47B16"/>
    <w:rsid w:val="00D47F64"/>
    <w:rsid w:val="00D5467D"/>
    <w:rsid w:val="00D578F0"/>
    <w:rsid w:val="00D579F9"/>
    <w:rsid w:val="00D57C65"/>
    <w:rsid w:val="00D57ED5"/>
    <w:rsid w:val="00D61C86"/>
    <w:rsid w:val="00D6238D"/>
    <w:rsid w:val="00D624BE"/>
    <w:rsid w:val="00D63094"/>
    <w:rsid w:val="00D63696"/>
    <w:rsid w:val="00D64335"/>
    <w:rsid w:val="00D644EA"/>
    <w:rsid w:val="00D7254E"/>
    <w:rsid w:val="00D74C66"/>
    <w:rsid w:val="00D75614"/>
    <w:rsid w:val="00D7648A"/>
    <w:rsid w:val="00D7679E"/>
    <w:rsid w:val="00D81460"/>
    <w:rsid w:val="00D86AA6"/>
    <w:rsid w:val="00D90A9C"/>
    <w:rsid w:val="00D91485"/>
    <w:rsid w:val="00D92C95"/>
    <w:rsid w:val="00D94FB2"/>
    <w:rsid w:val="00D972DB"/>
    <w:rsid w:val="00D976CE"/>
    <w:rsid w:val="00D97CC0"/>
    <w:rsid w:val="00DA2264"/>
    <w:rsid w:val="00DA333A"/>
    <w:rsid w:val="00DA342E"/>
    <w:rsid w:val="00DA5545"/>
    <w:rsid w:val="00DA6D65"/>
    <w:rsid w:val="00DA7284"/>
    <w:rsid w:val="00DB3CC5"/>
    <w:rsid w:val="00DB4A4F"/>
    <w:rsid w:val="00DC1F31"/>
    <w:rsid w:val="00DC2D74"/>
    <w:rsid w:val="00DC3FB8"/>
    <w:rsid w:val="00DC4F93"/>
    <w:rsid w:val="00DC5832"/>
    <w:rsid w:val="00DC5854"/>
    <w:rsid w:val="00DC5CA3"/>
    <w:rsid w:val="00DC6B2B"/>
    <w:rsid w:val="00DC7E09"/>
    <w:rsid w:val="00DD2240"/>
    <w:rsid w:val="00DD2C67"/>
    <w:rsid w:val="00DD3D79"/>
    <w:rsid w:val="00DD483F"/>
    <w:rsid w:val="00DD4FE6"/>
    <w:rsid w:val="00DE0067"/>
    <w:rsid w:val="00DE3C1B"/>
    <w:rsid w:val="00DE4BAD"/>
    <w:rsid w:val="00DE6226"/>
    <w:rsid w:val="00DE7E86"/>
    <w:rsid w:val="00DE7FDB"/>
    <w:rsid w:val="00DF0959"/>
    <w:rsid w:val="00DF0964"/>
    <w:rsid w:val="00DF1AD6"/>
    <w:rsid w:val="00DF7905"/>
    <w:rsid w:val="00E03AD8"/>
    <w:rsid w:val="00E04A0C"/>
    <w:rsid w:val="00E05753"/>
    <w:rsid w:val="00E07CCA"/>
    <w:rsid w:val="00E14422"/>
    <w:rsid w:val="00E17F8A"/>
    <w:rsid w:val="00E204F7"/>
    <w:rsid w:val="00E21A30"/>
    <w:rsid w:val="00E220D8"/>
    <w:rsid w:val="00E223B8"/>
    <w:rsid w:val="00E22D83"/>
    <w:rsid w:val="00E2477D"/>
    <w:rsid w:val="00E273E6"/>
    <w:rsid w:val="00E303C3"/>
    <w:rsid w:val="00E30BCC"/>
    <w:rsid w:val="00E31C4D"/>
    <w:rsid w:val="00E374CD"/>
    <w:rsid w:val="00E4289F"/>
    <w:rsid w:val="00E42B60"/>
    <w:rsid w:val="00E4429E"/>
    <w:rsid w:val="00E47A12"/>
    <w:rsid w:val="00E5050A"/>
    <w:rsid w:val="00E520A2"/>
    <w:rsid w:val="00E528E4"/>
    <w:rsid w:val="00E53036"/>
    <w:rsid w:val="00E533BA"/>
    <w:rsid w:val="00E61170"/>
    <w:rsid w:val="00E64EAF"/>
    <w:rsid w:val="00E658BA"/>
    <w:rsid w:val="00E701BB"/>
    <w:rsid w:val="00E71FAD"/>
    <w:rsid w:val="00E72F3B"/>
    <w:rsid w:val="00E73AC2"/>
    <w:rsid w:val="00E74A05"/>
    <w:rsid w:val="00E767D9"/>
    <w:rsid w:val="00E77394"/>
    <w:rsid w:val="00E80149"/>
    <w:rsid w:val="00E84113"/>
    <w:rsid w:val="00E851E4"/>
    <w:rsid w:val="00E8523D"/>
    <w:rsid w:val="00E85423"/>
    <w:rsid w:val="00E85AD1"/>
    <w:rsid w:val="00E8635A"/>
    <w:rsid w:val="00E873D0"/>
    <w:rsid w:val="00E873E1"/>
    <w:rsid w:val="00E907F1"/>
    <w:rsid w:val="00E92AB4"/>
    <w:rsid w:val="00E9381E"/>
    <w:rsid w:val="00E97148"/>
    <w:rsid w:val="00EA0C30"/>
    <w:rsid w:val="00EA1AB4"/>
    <w:rsid w:val="00EA2556"/>
    <w:rsid w:val="00EA2D08"/>
    <w:rsid w:val="00EA6733"/>
    <w:rsid w:val="00EA6D58"/>
    <w:rsid w:val="00EA7D0E"/>
    <w:rsid w:val="00EB0664"/>
    <w:rsid w:val="00EB1D9A"/>
    <w:rsid w:val="00EB4171"/>
    <w:rsid w:val="00EB5FCB"/>
    <w:rsid w:val="00EC01BB"/>
    <w:rsid w:val="00EC07EA"/>
    <w:rsid w:val="00EC0FD7"/>
    <w:rsid w:val="00EC2309"/>
    <w:rsid w:val="00EC34F3"/>
    <w:rsid w:val="00EC36FA"/>
    <w:rsid w:val="00EC3A87"/>
    <w:rsid w:val="00EC40D4"/>
    <w:rsid w:val="00EC5874"/>
    <w:rsid w:val="00ED33AB"/>
    <w:rsid w:val="00EE0214"/>
    <w:rsid w:val="00EE26FA"/>
    <w:rsid w:val="00EE44E7"/>
    <w:rsid w:val="00EE5EB2"/>
    <w:rsid w:val="00EE661D"/>
    <w:rsid w:val="00EF1B42"/>
    <w:rsid w:val="00EF515D"/>
    <w:rsid w:val="00F00936"/>
    <w:rsid w:val="00F02D3A"/>
    <w:rsid w:val="00F03627"/>
    <w:rsid w:val="00F04A87"/>
    <w:rsid w:val="00F06B4E"/>
    <w:rsid w:val="00F1130E"/>
    <w:rsid w:val="00F11B4F"/>
    <w:rsid w:val="00F1261C"/>
    <w:rsid w:val="00F156FA"/>
    <w:rsid w:val="00F16069"/>
    <w:rsid w:val="00F17438"/>
    <w:rsid w:val="00F17569"/>
    <w:rsid w:val="00F202CB"/>
    <w:rsid w:val="00F20786"/>
    <w:rsid w:val="00F22527"/>
    <w:rsid w:val="00F27989"/>
    <w:rsid w:val="00F31C0E"/>
    <w:rsid w:val="00F3318A"/>
    <w:rsid w:val="00F3378E"/>
    <w:rsid w:val="00F33946"/>
    <w:rsid w:val="00F345CB"/>
    <w:rsid w:val="00F34610"/>
    <w:rsid w:val="00F35662"/>
    <w:rsid w:val="00F35AD1"/>
    <w:rsid w:val="00F37113"/>
    <w:rsid w:val="00F40BAD"/>
    <w:rsid w:val="00F4791E"/>
    <w:rsid w:val="00F515CC"/>
    <w:rsid w:val="00F55ACD"/>
    <w:rsid w:val="00F56DB0"/>
    <w:rsid w:val="00F577DD"/>
    <w:rsid w:val="00F61B01"/>
    <w:rsid w:val="00F622B9"/>
    <w:rsid w:val="00F66CAC"/>
    <w:rsid w:val="00F73E43"/>
    <w:rsid w:val="00F73F99"/>
    <w:rsid w:val="00F759BE"/>
    <w:rsid w:val="00F80D27"/>
    <w:rsid w:val="00F851DD"/>
    <w:rsid w:val="00F853CE"/>
    <w:rsid w:val="00F854AE"/>
    <w:rsid w:val="00F861B6"/>
    <w:rsid w:val="00F86A27"/>
    <w:rsid w:val="00F87048"/>
    <w:rsid w:val="00F8791F"/>
    <w:rsid w:val="00F87BFD"/>
    <w:rsid w:val="00F901E0"/>
    <w:rsid w:val="00F9277B"/>
    <w:rsid w:val="00F92FDD"/>
    <w:rsid w:val="00F944B6"/>
    <w:rsid w:val="00F95569"/>
    <w:rsid w:val="00FA3A08"/>
    <w:rsid w:val="00FA5A61"/>
    <w:rsid w:val="00FA723A"/>
    <w:rsid w:val="00FB6FAD"/>
    <w:rsid w:val="00FC2CAC"/>
    <w:rsid w:val="00FC352C"/>
    <w:rsid w:val="00FC3B18"/>
    <w:rsid w:val="00FC5031"/>
    <w:rsid w:val="00FC7B0A"/>
    <w:rsid w:val="00FD083B"/>
    <w:rsid w:val="00FD305F"/>
    <w:rsid w:val="00FD41DB"/>
    <w:rsid w:val="00FD4761"/>
    <w:rsid w:val="00FD47A9"/>
    <w:rsid w:val="00FE475F"/>
    <w:rsid w:val="00FF07C4"/>
    <w:rsid w:val="00FF0B8D"/>
    <w:rsid w:val="00FF2E0E"/>
    <w:rsid w:val="00FF5111"/>
    <w:rsid w:val="00FF55D8"/>
    <w:rsid w:val="00FF5B7D"/>
    <w:rsid w:val="00FF699E"/>
    <w:rsid w:val="00FF78E4"/>
    <w:rsid w:val="00FF7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C9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ffiliation">
    <w:name w:val="Els-Affiliation"/>
    <w:next w:val="Normal"/>
    <w:rsid w:val="001C6F45"/>
    <w:pPr>
      <w:suppressAutoHyphens/>
      <w:spacing w:after="0" w:line="200" w:lineRule="exact"/>
      <w:jc w:val="center"/>
    </w:pPr>
    <w:rPr>
      <w:rFonts w:ascii="Times New Roman" w:eastAsia="SimSun" w:hAnsi="Times New Roman" w:cs="Times New Roman"/>
      <w:i/>
      <w:noProof/>
      <w:sz w:val="16"/>
      <w:szCs w:val="20"/>
    </w:rPr>
  </w:style>
  <w:style w:type="paragraph" w:customStyle="1" w:styleId="Els-Author">
    <w:name w:val="Els-Author"/>
    <w:next w:val="Normal"/>
    <w:rsid w:val="001C6F45"/>
    <w:pPr>
      <w:keepNext/>
      <w:suppressAutoHyphens/>
      <w:spacing w:after="160" w:line="300" w:lineRule="exact"/>
      <w:jc w:val="center"/>
    </w:pPr>
    <w:rPr>
      <w:rFonts w:ascii="Times New Roman" w:eastAsia="SimSun" w:hAnsi="Times New Roman" w:cs="Times New Roman"/>
      <w:noProof/>
      <w:sz w:val="26"/>
      <w:szCs w:val="20"/>
    </w:rPr>
  </w:style>
  <w:style w:type="paragraph" w:customStyle="1" w:styleId="Els-footnote">
    <w:name w:val="Els-footnote"/>
    <w:rsid w:val="001C6F45"/>
    <w:pPr>
      <w:keepLines/>
      <w:widowControl w:val="0"/>
      <w:spacing w:after="0" w:line="200" w:lineRule="exact"/>
      <w:ind w:firstLine="240"/>
      <w:jc w:val="both"/>
    </w:pPr>
    <w:rPr>
      <w:rFonts w:ascii="Times New Roman" w:eastAsia="SimSun" w:hAnsi="Times New Roman" w:cs="Times New Roman"/>
      <w:sz w:val="16"/>
      <w:szCs w:val="20"/>
    </w:rPr>
  </w:style>
  <w:style w:type="character" w:styleId="CommentReference">
    <w:name w:val="annotation reference"/>
    <w:basedOn w:val="DefaultParagraphFont"/>
    <w:uiPriority w:val="99"/>
    <w:semiHidden/>
    <w:unhideWhenUsed/>
    <w:rsid w:val="008B6B33"/>
    <w:rPr>
      <w:sz w:val="18"/>
      <w:szCs w:val="18"/>
    </w:rPr>
  </w:style>
  <w:style w:type="paragraph" w:styleId="CommentText">
    <w:name w:val="annotation text"/>
    <w:basedOn w:val="Normal"/>
    <w:link w:val="CommentTextChar"/>
    <w:uiPriority w:val="99"/>
    <w:semiHidden/>
    <w:unhideWhenUsed/>
    <w:rsid w:val="008B6B33"/>
    <w:pPr>
      <w:spacing w:line="240" w:lineRule="auto"/>
    </w:pPr>
    <w:rPr>
      <w:sz w:val="24"/>
      <w:szCs w:val="24"/>
    </w:rPr>
  </w:style>
  <w:style w:type="character" w:customStyle="1" w:styleId="CommentTextChar">
    <w:name w:val="Comment Text Char"/>
    <w:basedOn w:val="DefaultParagraphFont"/>
    <w:link w:val="CommentText"/>
    <w:uiPriority w:val="99"/>
    <w:semiHidden/>
    <w:rsid w:val="008B6B33"/>
    <w:rPr>
      <w:sz w:val="24"/>
      <w:szCs w:val="24"/>
    </w:rPr>
  </w:style>
  <w:style w:type="paragraph" w:styleId="CommentSubject">
    <w:name w:val="annotation subject"/>
    <w:basedOn w:val="CommentText"/>
    <w:next w:val="CommentText"/>
    <w:link w:val="CommentSubjectChar"/>
    <w:uiPriority w:val="99"/>
    <w:semiHidden/>
    <w:unhideWhenUsed/>
    <w:rsid w:val="008B6B33"/>
    <w:rPr>
      <w:b/>
      <w:bCs/>
      <w:sz w:val="20"/>
      <w:szCs w:val="20"/>
    </w:rPr>
  </w:style>
  <w:style w:type="character" w:customStyle="1" w:styleId="CommentSubjectChar">
    <w:name w:val="Comment Subject Char"/>
    <w:basedOn w:val="CommentTextChar"/>
    <w:link w:val="CommentSubject"/>
    <w:uiPriority w:val="99"/>
    <w:semiHidden/>
    <w:rsid w:val="008B6B33"/>
    <w:rPr>
      <w:b/>
      <w:bCs/>
      <w:sz w:val="20"/>
      <w:szCs w:val="20"/>
    </w:rPr>
  </w:style>
  <w:style w:type="paragraph" w:styleId="BalloonText">
    <w:name w:val="Balloon Text"/>
    <w:basedOn w:val="Normal"/>
    <w:link w:val="BalloonTextChar"/>
    <w:uiPriority w:val="99"/>
    <w:semiHidden/>
    <w:unhideWhenUsed/>
    <w:rsid w:val="008B6B3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6B33"/>
    <w:rPr>
      <w:rFonts w:ascii="Lucida Grande" w:hAnsi="Lucida Grande" w:cs="Lucida Grande"/>
      <w:sz w:val="18"/>
      <w:szCs w:val="18"/>
    </w:rPr>
  </w:style>
  <w:style w:type="paragraph" w:styleId="ListParagraph">
    <w:name w:val="List Paragraph"/>
    <w:basedOn w:val="Normal"/>
    <w:uiPriority w:val="34"/>
    <w:qFormat/>
    <w:rsid w:val="000B3AC6"/>
    <w:pPr>
      <w:ind w:left="720"/>
      <w:contextualSpacing/>
    </w:pPr>
  </w:style>
  <w:style w:type="table" w:styleId="TableGrid">
    <w:name w:val="Table Grid"/>
    <w:basedOn w:val="TableNormal"/>
    <w:uiPriority w:val="59"/>
    <w:rsid w:val="00DE4B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E4BAD"/>
    <w:rPr>
      <w:color w:val="808080"/>
    </w:rPr>
  </w:style>
  <w:style w:type="table" w:styleId="LightList">
    <w:name w:val="Light List"/>
    <w:basedOn w:val="TableNormal"/>
    <w:uiPriority w:val="61"/>
    <w:rsid w:val="0092240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7F4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61F"/>
  </w:style>
  <w:style w:type="paragraph" w:styleId="Footer">
    <w:name w:val="footer"/>
    <w:basedOn w:val="Normal"/>
    <w:link w:val="FooterChar"/>
    <w:uiPriority w:val="99"/>
    <w:unhideWhenUsed/>
    <w:rsid w:val="007F4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61F"/>
  </w:style>
  <w:style w:type="character" w:styleId="Hyperlink">
    <w:name w:val="Hyperlink"/>
    <w:basedOn w:val="DefaultParagraphFont"/>
    <w:uiPriority w:val="99"/>
    <w:unhideWhenUsed/>
    <w:rsid w:val="000B6A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ffiliation">
    <w:name w:val="Els-Affiliation"/>
    <w:next w:val="Normal"/>
    <w:rsid w:val="001C6F45"/>
    <w:pPr>
      <w:suppressAutoHyphens/>
      <w:spacing w:after="0" w:line="200" w:lineRule="exact"/>
      <w:jc w:val="center"/>
    </w:pPr>
    <w:rPr>
      <w:rFonts w:ascii="Times New Roman" w:eastAsia="SimSun" w:hAnsi="Times New Roman" w:cs="Times New Roman"/>
      <w:i/>
      <w:noProof/>
      <w:sz w:val="16"/>
      <w:szCs w:val="20"/>
    </w:rPr>
  </w:style>
  <w:style w:type="paragraph" w:customStyle="1" w:styleId="Els-Author">
    <w:name w:val="Els-Author"/>
    <w:next w:val="Normal"/>
    <w:rsid w:val="001C6F45"/>
    <w:pPr>
      <w:keepNext/>
      <w:suppressAutoHyphens/>
      <w:spacing w:after="160" w:line="300" w:lineRule="exact"/>
      <w:jc w:val="center"/>
    </w:pPr>
    <w:rPr>
      <w:rFonts w:ascii="Times New Roman" w:eastAsia="SimSun" w:hAnsi="Times New Roman" w:cs="Times New Roman"/>
      <w:noProof/>
      <w:sz w:val="26"/>
      <w:szCs w:val="20"/>
    </w:rPr>
  </w:style>
  <w:style w:type="paragraph" w:customStyle="1" w:styleId="Els-footnote">
    <w:name w:val="Els-footnote"/>
    <w:rsid w:val="001C6F45"/>
    <w:pPr>
      <w:keepLines/>
      <w:widowControl w:val="0"/>
      <w:spacing w:after="0" w:line="200" w:lineRule="exact"/>
      <w:ind w:firstLine="240"/>
      <w:jc w:val="both"/>
    </w:pPr>
    <w:rPr>
      <w:rFonts w:ascii="Times New Roman" w:eastAsia="SimSun" w:hAnsi="Times New Roman" w:cs="Times New Roman"/>
      <w:sz w:val="16"/>
      <w:szCs w:val="20"/>
    </w:rPr>
  </w:style>
  <w:style w:type="character" w:styleId="CommentReference">
    <w:name w:val="annotation reference"/>
    <w:basedOn w:val="DefaultParagraphFont"/>
    <w:uiPriority w:val="99"/>
    <w:semiHidden/>
    <w:unhideWhenUsed/>
    <w:rsid w:val="008B6B33"/>
    <w:rPr>
      <w:sz w:val="18"/>
      <w:szCs w:val="18"/>
    </w:rPr>
  </w:style>
  <w:style w:type="paragraph" w:styleId="CommentText">
    <w:name w:val="annotation text"/>
    <w:basedOn w:val="Normal"/>
    <w:link w:val="CommentTextChar"/>
    <w:uiPriority w:val="99"/>
    <w:semiHidden/>
    <w:unhideWhenUsed/>
    <w:rsid w:val="008B6B33"/>
    <w:pPr>
      <w:spacing w:line="240" w:lineRule="auto"/>
    </w:pPr>
    <w:rPr>
      <w:sz w:val="24"/>
      <w:szCs w:val="24"/>
    </w:rPr>
  </w:style>
  <w:style w:type="character" w:customStyle="1" w:styleId="CommentTextChar">
    <w:name w:val="Comment Text Char"/>
    <w:basedOn w:val="DefaultParagraphFont"/>
    <w:link w:val="CommentText"/>
    <w:uiPriority w:val="99"/>
    <w:semiHidden/>
    <w:rsid w:val="008B6B33"/>
    <w:rPr>
      <w:sz w:val="24"/>
      <w:szCs w:val="24"/>
    </w:rPr>
  </w:style>
  <w:style w:type="paragraph" w:styleId="CommentSubject">
    <w:name w:val="annotation subject"/>
    <w:basedOn w:val="CommentText"/>
    <w:next w:val="CommentText"/>
    <w:link w:val="CommentSubjectChar"/>
    <w:uiPriority w:val="99"/>
    <w:semiHidden/>
    <w:unhideWhenUsed/>
    <w:rsid w:val="008B6B33"/>
    <w:rPr>
      <w:b/>
      <w:bCs/>
      <w:sz w:val="20"/>
      <w:szCs w:val="20"/>
    </w:rPr>
  </w:style>
  <w:style w:type="character" w:customStyle="1" w:styleId="CommentSubjectChar">
    <w:name w:val="Comment Subject Char"/>
    <w:basedOn w:val="CommentTextChar"/>
    <w:link w:val="CommentSubject"/>
    <w:uiPriority w:val="99"/>
    <w:semiHidden/>
    <w:rsid w:val="008B6B33"/>
    <w:rPr>
      <w:b/>
      <w:bCs/>
      <w:sz w:val="20"/>
      <w:szCs w:val="20"/>
    </w:rPr>
  </w:style>
  <w:style w:type="paragraph" w:styleId="BalloonText">
    <w:name w:val="Balloon Text"/>
    <w:basedOn w:val="Normal"/>
    <w:link w:val="BalloonTextChar"/>
    <w:uiPriority w:val="99"/>
    <w:semiHidden/>
    <w:unhideWhenUsed/>
    <w:rsid w:val="008B6B3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6B33"/>
    <w:rPr>
      <w:rFonts w:ascii="Lucida Grande" w:hAnsi="Lucida Grande" w:cs="Lucida Grande"/>
      <w:sz w:val="18"/>
      <w:szCs w:val="18"/>
    </w:rPr>
  </w:style>
  <w:style w:type="paragraph" w:styleId="ListParagraph">
    <w:name w:val="List Paragraph"/>
    <w:basedOn w:val="Normal"/>
    <w:uiPriority w:val="34"/>
    <w:qFormat/>
    <w:rsid w:val="000B3AC6"/>
    <w:pPr>
      <w:ind w:left="720"/>
      <w:contextualSpacing/>
    </w:pPr>
  </w:style>
  <w:style w:type="table" w:styleId="TableGrid">
    <w:name w:val="Table Grid"/>
    <w:basedOn w:val="TableNormal"/>
    <w:uiPriority w:val="59"/>
    <w:rsid w:val="00DE4B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E4BAD"/>
    <w:rPr>
      <w:color w:val="808080"/>
    </w:rPr>
  </w:style>
  <w:style w:type="table" w:styleId="LightList">
    <w:name w:val="Light List"/>
    <w:basedOn w:val="TableNormal"/>
    <w:uiPriority w:val="61"/>
    <w:rsid w:val="0092240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7F4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61F"/>
  </w:style>
  <w:style w:type="paragraph" w:styleId="Footer">
    <w:name w:val="footer"/>
    <w:basedOn w:val="Normal"/>
    <w:link w:val="FooterChar"/>
    <w:uiPriority w:val="99"/>
    <w:unhideWhenUsed/>
    <w:rsid w:val="007F4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61F"/>
  </w:style>
  <w:style w:type="character" w:styleId="Hyperlink">
    <w:name w:val="Hyperlink"/>
    <w:basedOn w:val="DefaultParagraphFont"/>
    <w:uiPriority w:val="99"/>
    <w:unhideWhenUsed/>
    <w:rsid w:val="000B6A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scb.gov.ph/io/PreviousReleases.asp"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2894</Words>
  <Characters>16501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Aviso</dc:creator>
  <cp:lastModifiedBy>Kathleen Aviso</cp:lastModifiedBy>
  <cp:revision>4</cp:revision>
  <dcterms:created xsi:type="dcterms:W3CDTF">2014-05-09T06:37:00Z</dcterms:created>
  <dcterms:modified xsi:type="dcterms:W3CDTF">2014-05-09T06:39:00Z</dcterms:modified>
</cp:coreProperties>
</file>