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6A25A" w14:textId="5BB83411" w:rsidR="00416C0D" w:rsidRPr="000B3195" w:rsidRDefault="00685829" w:rsidP="004A0F2A">
      <w:pPr>
        <w:ind w:firstLine="0"/>
        <w:jc w:val="center"/>
        <w:rPr>
          <w:rFonts w:asciiTheme="majorHAnsi" w:hAnsiTheme="majorHAnsi"/>
          <w:b/>
          <w:sz w:val="36"/>
          <w:szCs w:val="36"/>
          <w:lang w:val="en-US"/>
        </w:rPr>
      </w:pPr>
      <w:r w:rsidRPr="000B3195">
        <w:rPr>
          <w:rFonts w:asciiTheme="majorHAnsi" w:hAnsiTheme="majorHAnsi"/>
          <w:b/>
          <w:sz w:val="36"/>
          <w:szCs w:val="36"/>
          <w:lang w:val="en-US"/>
        </w:rPr>
        <w:t>F</w:t>
      </w:r>
      <w:r w:rsidR="00416C0D" w:rsidRPr="000B3195">
        <w:rPr>
          <w:rFonts w:asciiTheme="majorHAnsi" w:hAnsiTheme="majorHAnsi"/>
          <w:b/>
          <w:sz w:val="36"/>
          <w:szCs w:val="36"/>
          <w:lang w:val="en-US"/>
        </w:rPr>
        <w:t>inancial crisis and consumption patterns effects on carbon and material footprint</w:t>
      </w:r>
    </w:p>
    <w:p w14:paraId="7ABF5279" w14:textId="77777777" w:rsidR="00416C0D" w:rsidRPr="00416C0D" w:rsidRDefault="00416C0D" w:rsidP="004A0F2A">
      <w:pPr>
        <w:spacing w:before="0" w:beforeAutospacing="0" w:after="0" w:afterAutospacing="0"/>
        <w:ind w:firstLine="0"/>
        <w:jc w:val="center"/>
        <w:rPr>
          <w:rStyle w:val="Hipervnculo"/>
          <w:rFonts w:asciiTheme="majorHAnsi" w:hAnsiTheme="majorHAnsi" w:cs="Times New Roman"/>
          <w:color w:val="auto"/>
          <w:szCs w:val="24"/>
          <w:u w:val="none"/>
        </w:rPr>
      </w:pPr>
      <w:r w:rsidRPr="00416C0D">
        <w:rPr>
          <w:rStyle w:val="Hipervnculo"/>
          <w:rFonts w:asciiTheme="majorHAnsi" w:hAnsiTheme="majorHAnsi" w:cs="Times New Roman"/>
          <w:color w:val="auto"/>
          <w:szCs w:val="24"/>
          <w:u w:val="none"/>
        </w:rPr>
        <w:t>López, Luis Antonio; Morenate, Manuel; Zafrilla, Jorge Enrique and Arce, Guadalupe</w:t>
      </w:r>
    </w:p>
    <w:p w14:paraId="18CBEEDC" w14:textId="77777777" w:rsidR="00416C0D" w:rsidRPr="00416C0D" w:rsidRDefault="00416C0D" w:rsidP="004A0F2A">
      <w:pPr>
        <w:spacing w:before="0" w:beforeAutospacing="0" w:after="0" w:afterAutospacing="0"/>
        <w:ind w:firstLine="0"/>
        <w:jc w:val="center"/>
        <w:rPr>
          <w:rFonts w:asciiTheme="majorHAnsi" w:hAnsiTheme="majorHAnsi"/>
          <w:szCs w:val="24"/>
        </w:rPr>
      </w:pPr>
    </w:p>
    <w:p w14:paraId="62972DFC" w14:textId="3C4A3502" w:rsidR="00416C0D" w:rsidRPr="00416C0D" w:rsidRDefault="00F74706" w:rsidP="004A0F2A">
      <w:pPr>
        <w:spacing w:before="0" w:beforeAutospacing="0" w:after="0" w:afterAutospacing="0"/>
        <w:ind w:firstLine="0"/>
        <w:jc w:val="center"/>
        <w:rPr>
          <w:rFonts w:asciiTheme="majorHAnsi" w:hAnsiTheme="majorHAnsi"/>
          <w:szCs w:val="24"/>
        </w:rPr>
      </w:pPr>
      <w:hyperlink r:id="rId7" w:history="1">
        <w:r w:rsidR="00416C0D" w:rsidRPr="00416C0D">
          <w:rPr>
            <w:rStyle w:val="Hipervnculo"/>
            <w:rFonts w:asciiTheme="majorHAnsi" w:hAnsiTheme="majorHAnsi"/>
            <w:szCs w:val="24"/>
          </w:rPr>
          <w:t>Luis.LSantiago@uclm.es</w:t>
        </w:r>
      </w:hyperlink>
      <w:r w:rsidR="00416C0D" w:rsidRPr="00416C0D">
        <w:rPr>
          <w:rStyle w:val="Hipervnculo"/>
          <w:rFonts w:asciiTheme="majorHAnsi" w:hAnsiTheme="majorHAnsi"/>
          <w:color w:val="auto"/>
          <w:szCs w:val="24"/>
          <w:u w:val="none"/>
        </w:rPr>
        <w:t xml:space="preserve">; </w:t>
      </w:r>
      <w:hyperlink r:id="rId8" w:history="1">
        <w:r w:rsidR="00416C0D" w:rsidRPr="00416C0D">
          <w:rPr>
            <w:rStyle w:val="Hipervnculo"/>
            <w:rFonts w:asciiTheme="majorHAnsi" w:hAnsiTheme="majorHAnsi"/>
            <w:szCs w:val="24"/>
          </w:rPr>
          <w:t>Manuel.Morenate@alu.uclm.es</w:t>
        </w:r>
      </w:hyperlink>
      <w:r w:rsidR="00416C0D" w:rsidRPr="00416C0D">
        <w:rPr>
          <w:rStyle w:val="Hipervnculo"/>
          <w:rFonts w:asciiTheme="majorHAnsi" w:hAnsiTheme="majorHAnsi"/>
          <w:color w:val="auto"/>
          <w:szCs w:val="24"/>
          <w:u w:val="none"/>
        </w:rPr>
        <w:t xml:space="preserve">; </w:t>
      </w:r>
      <w:hyperlink r:id="rId9" w:history="1">
        <w:r w:rsidR="00416C0D" w:rsidRPr="00416C0D">
          <w:rPr>
            <w:rStyle w:val="Hipervnculo"/>
            <w:rFonts w:asciiTheme="majorHAnsi" w:hAnsiTheme="majorHAnsi"/>
            <w:szCs w:val="24"/>
          </w:rPr>
          <w:t>Jorge.Zafrilla@uclm.es</w:t>
        </w:r>
      </w:hyperlink>
      <w:r w:rsidR="00416C0D" w:rsidRPr="00416C0D">
        <w:rPr>
          <w:rFonts w:asciiTheme="majorHAnsi" w:hAnsiTheme="majorHAnsi"/>
          <w:szCs w:val="24"/>
        </w:rPr>
        <w:t xml:space="preserve">; </w:t>
      </w:r>
      <w:hyperlink r:id="rId10" w:history="1">
        <w:r w:rsidR="004A0F2A" w:rsidRPr="003B1A5F">
          <w:rPr>
            <w:rStyle w:val="Hipervnculo"/>
            <w:rFonts w:asciiTheme="majorHAnsi" w:hAnsiTheme="majorHAnsi"/>
            <w:szCs w:val="24"/>
          </w:rPr>
          <w:t>Guadalupe.Arce@alu.uclm.es</w:t>
        </w:r>
      </w:hyperlink>
    </w:p>
    <w:p w14:paraId="5CCC0200" w14:textId="77777777" w:rsidR="00416C0D" w:rsidRPr="00416C0D" w:rsidRDefault="00416C0D" w:rsidP="004A0F2A">
      <w:pPr>
        <w:spacing w:before="0" w:beforeAutospacing="0" w:after="0" w:afterAutospacing="0"/>
        <w:jc w:val="center"/>
        <w:rPr>
          <w:rStyle w:val="Hipervnculo"/>
          <w:rFonts w:asciiTheme="majorHAnsi" w:hAnsiTheme="majorHAnsi" w:cs="Times New Roman"/>
          <w:color w:val="auto"/>
          <w:szCs w:val="24"/>
          <w:u w:val="none"/>
          <w:lang w:val="en-US"/>
        </w:rPr>
      </w:pPr>
      <w:r w:rsidRPr="00416C0D">
        <w:rPr>
          <w:rStyle w:val="Hipervnculo"/>
          <w:rFonts w:asciiTheme="majorHAnsi" w:hAnsiTheme="majorHAnsi" w:cs="Times New Roman"/>
          <w:color w:val="auto"/>
          <w:szCs w:val="24"/>
          <w:u w:val="none"/>
          <w:lang w:val="en-US"/>
        </w:rPr>
        <w:t>Faculty of Economics and Business, University of Castilla-La Mancha</w:t>
      </w:r>
    </w:p>
    <w:p w14:paraId="19759198" w14:textId="77777777" w:rsidR="00416C0D" w:rsidRPr="00416C0D" w:rsidRDefault="00416C0D" w:rsidP="004A0F2A">
      <w:pPr>
        <w:spacing w:before="0" w:beforeAutospacing="0" w:after="0" w:afterAutospacing="0"/>
        <w:jc w:val="center"/>
        <w:rPr>
          <w:rStyle w:val="Hipervnculo"/>
          <w:rFonts w:asciiTheme="majorHAnsi" w:hAnsiTheme="majorHAnsi" w:cs="Times New Roman"/>
          <w:color w:val="auto"/>
          <w:szCs w:val="24"/>
          <w:u w:val="none"/>
        </w:rPr>
      </w:pPr>
      <w:r w:rsidRPr="00416C0D">
        <w:rPr>
          <w:rStyle w:val="Hipervnculo"/>
          <w:rFonts w:asciiTheme="majorHAnsi" w:hAnsiTheme="majorHAnsi" w:cs="Times New Roman"/>
          <w:color w:val="auto"/>
          <w:szCs w:val="24"/>
          <w:u w:val="none"/>
        </w:rPr>
        <w:t>Plaza de la Universidad, 1, 02071, Albacete, Spain</w:t>
      </w:r>
    </w:p>
    <w:p w14:paraId="4E5F34A8" w14:textId="77777777" w:rsidR="00416C0D" w:rsidRPr="00416C0D" w:rsidRDefault="00416C0D" w:rsidP="00416C0D">
      <w:pPr>
        <w:spacing w:before="0" w:beforeAutospacing="0" w:after="0" w:afterAutospacing="0" w:line="240" w:lineRule="auto"/>
        <w:rPr>
          <w:rStyle w:val="Hipervnculo"/>
          <w:rFonts w:asciiTheme="majorHAnsi" w:hAnsiTheme="majorHAnsi" w:cs="Times New Roman"/>
          <w:color w:val="auto"/>
          <w:szCs w:val="24"/>
          <w:u w:val="none"/>
        </w:rPr>
      </w:pPr>
    </w:p>
    <w:p w14:paraId="3573F2F7" w14:textId="77777777" w:rsidR="00416C0D" w:rsidRPr="00416C0D" w:rsidRDefault="00416C0D" w:rsidP="004A0F2A">
      <w:pPr>
        <w:spacing w:before="0" w:beforeAutospacing="0" w:after="0" w:afterAutospacing="0"/>
        <w:ind w:firstLine="0"/>
        <w:rPr>
          <w:rStyle w:val="Hipervnculo"/>
          <w:rFonts w:asciiTheme="majorHAnsi" w:hAnsiTheme="majorHAnsi" w:cs="Times New Roman"/>
          <w:b/>
          <w:color w:val="auto"/>
          <w:szCs w:val="24"/>
          <w:u w:val="none"/>
          <w:lang w:val="en-US"/>
        </w:rPr>
      </w:pPr>
      <w:r w:rsidRPr="00416C0D">
        <w:rPr>
          <w:rStyle w:val="Hipervnculo"/>
          <w:rFonts w:asciiTheme="majorHAnsi" w:hAnsiTheme="majorHAnsi" w:cs="Times New Roman"/>
          <w:b/>
          <w:color w:val="auto"/>
          <w:szCs w:val="24"/>
          <w:u w:val="none"/>
          <w:lang w:val="en-US"/>
        </w:rPr>
        <w:t>Abstract</w:t>
      </w:r>
    </w:p>
    <w:p w14:paraId="3C3CB0B8" w14:textId="77777777" w:rsidR="00416C0D" w:rsidRPr="00685829" w:rsidRDefault="00416C0D" w:rsidP="004A0F2A">
      <w:pPr>
        <w:spacing w:before="0" w:beforeAutospacing="0" w:after="0" w:afterAutospacing="0"/>
        <w:ind w:firstLine="0"/>
        <w:rPr>
          <w:lang w:val="en-GB"/>
        </w:rPr>
      </w:pPr>
      <w:r w:rsidRPr="00685829">
        <w:rPr>
          <w:lang w:val="en-GB"/>
        </w:rPr>
        <w:t>This paper develops a Multi-Regional Input-Output (MRIO) model to assess the impact of the economic and financial crisis on Spanish households’ carbon and material footprint. The deep economic standstill and the subsequent strong jobs destruction experienced by the Spanish economy between 2009 and 2013 not only have reduced households’ consumption levels, but have also changed the consumption patterns according to different income levels. Thus, energy, material and environmental pressure of this consumption has changed, bringing new paths of growth and production more sustainable in terms of use of natural resources and equivalent CO2 emissions. The MRIO model developed takes into account international trade between Spain and the rest of the World aggregated in six major regions, using data provided by the World Input-Output Database (WIOD). By doing so, we can evaluate which part of Spanish households’ carbon and material footprint leaks to other countries through internationally traded imports of final and intermediate goods. Information about Spanish households’ consumption made public by the Spanish National Statistics Institute’s Family Budget Survey, combined with data published by WIOD, allow us to calculate households’ consumption patterns depending on the socio-economic context (rural or urban) and on different income levels (low, mid and high incomes).</w:t>
      </w:r>
    </w:p>
    <w:p w14:paraId="7F544527" w14:textId="77777777" w:rsidR="00416C0D" w:rsidRPr="00416C0D" w:rsidRDefault="00416C0D" w:rsidP="00416C0D">
      <w:pPr>
        <w:rPr>
          <w:rStyle w:val="Hipervnculo"/>
          <w:rFonts w:asciiTheme="majorHAnsi" w:hAnsiTheme="majorHAnsi" w:cs="Times New Roman"/>
          <w:b/>
          <w:szCs w:val="24"/>
          <w:lang w:val="en-US"/>
        </w:rPr>
      </w:pPr>
    </w:p>
    <w:p w14:paraId="4538DE8C" w14:textId="77777777" w:rsidR="004A0F2A" w:rsidRDefault="004A0F2A">
      <w:pPr>
        <w:spacing w:before="0" w:beforeAutospacing="0" w:after="200" w:afterAutospacing="0" w:line="276" w:lineRule="auto"/>
        <w:ind w:firstLine="0"/>
        <w:jc w:val="left"/>
        <w:rPr>
          <w:rStyle w:val="Hipervnculo"/>
          <w:rFonts w:asciiTheme="majorHAnsi" w:hAnsiTheme="majorHAnsi" w:cs="Times New Roman"/>
          <w:b/>
          <w:szCs w:val="24"/>
          <w:lang w:val="en-US"/>
        </w:rPr>
      </w:pPr>
      <w:r>
        <w:rPr>
          <w:rStyle w:val="Hipervnculo"/>
          <w:rFonts w:asciiTheme="majorHAnsi" w:hAnsiTheme="majorHAnsi" w:cs="Times New Roman"/>
          <w:b/>
          <w:szCs w:val="24"/>
          <w:lang w:val="en-US"/>
        </w:rPr>
        <w:br w:type="page"/>
      </w:r>
    </w:p>
    <w:p w14:paraId="399638B4" w14:textId="7D42D2B7" w:rsidR="00416C0D" w:rsidRPr="003052C3" w:rsidRDefault="00BF013C" w:rsidP="00416C0D">
      <w:pPr>
        <w:ind w:firstLine="0"/>
        <w:rPr>
          <w:rFonts w:asciiTheme="majorHAnsi" w:hAnsiTheme="majorHAnsi"/>
          <w:b/>
          <w:lang w:val="en-GB"/>
        </w:rPr>
      </w:pPr>
      <w:r>
        <w:rPr>
          <w:rFonts w:asciiTheme="majorHAnsi" w:hAnsiTheme="majorHAnsi"/>
          <w:b/>
          <w:lang w:val="en-GB"/>
        </w:rPr>
        <w:lastRenderedPageBreak/>
        <w:t>1. Introduction</w:t>
      </w:r>
    </w:p>
    <w:p w14:paraId="3FCC1AD6" w14:textId="6A4A82E0" w:rsidR="00CD5C38" w:rsidRPr="00CD5C38" w:rsidRDefault="00CD5C38" w:rsidP="008C4493">
      <w:pPr>
        <w:ind w:firstLine="0"/>
        <w:rPr>
          <w:rFonts w:asciiTheme="majorHAnsi" w:hAnsiTheme="majorHAnsi"/>
          <w:lang w:val="en-GB"/>
        </w:rPr>
      </w:pPr>
      <w:r w:rsidRPr="00CD5C38">
        <w:rPr>
          <w:rFonts w:asciiTheme="majorHAnsi" w:hAnsiTheme="majorHAnsi"/>
          <w:lang w:val="en-GB"/>
        </w:rPr>
        <w:t xml:space="preserve">This paper addresses a concise question: </w:t>
      </w:r>
      <w:r>
        <w:rPr>
          <w:rFonts w:asciiTheme="majorHAnsi" w:hAnsiTheme="majorHAnsi"/>
          <w:lang w:val="en-GB"/>
        </w:rPr>
        <w:t xml:space="preserve">Does an unequal rich world imply a progressively natural resources exhausted and polluted planet? </w:t>
      </w:r>
    </w:p>
    <w:p w14:paraId="53D7FA72" w14:textId="3BBBB6D4" w:rsidR="00CD5C38" w:rsidRPr="00AA63FA" w:rsidRDefault="00CD5C38" w:rsidP="00FB44B1">
      <w:pPr>
        <w:ind w:firstLine="0"/>
        <w:rPr>
          <w:rFonts w:asciiTheme="majorHAnsi" w:hAnsiTheme="majorHAnsi"/>
          <w:lang w:val="en-GB"/>
        </w:rPr>
      </w:pPr>
      <w:r w:rsidRPr="00CD5C38">
        <w:rPr>
          <w:rFonts w:asciiTheme="majorHAnsi" w:hAnsiTheme="majorHAnsi"/>
          <w:lang w:val="en-GB"/>
        </w:rPr>
        <w:t xml:space="preserve">The economic degrowth in rich countries after the 2008 financial economic crisis </w:t>
      </w:r>
      <w:r>
        <w:rPr>
          <w:rFonts w:asciiTheme="majorHAnsi" w:hAnsiTheme="majorHAnsi"/>
          <w:lang w:val="en-GB"/>
        </w:rPr>
        <w:t xml:space="preserve">has </w:t>
      </w:r>
      <w:r w:rsidRPr="00CD5C38">
        <w:rPr>
          <w:rFonts w:asciiTheme="majorHAnsi" w:hAnsiTheme="majorHAnsi"/>
          <w:lang w:val="en-GB"/>
        </w:rPr>
        <w:t>not</w:t>
      </w:r>
      <w:r>
        <w:rPr>
          <w:rFonts w:asciiTheme="majorHAnsi" w:hAnsiTheme="majorHAnsi"/>
          <w:lang w:val="en-GB"/>
        </w:rPr>
        <w:t xml:space="preserve"> been</w:t>
      </w:r>
      <w:r w:rsidRPr="00CD5C38">
        <w:rPr>
          <w:rFonts w:asciiTheme="majorHAnsi" w:hAnsiTheme="majorHAnsi"/>
          <w:lang w:val="en-GB"/>
        </w:rPr>
        <w:t xml:space="preserve"> accompanied </w:t>
      </w:r>
      <w:r>
        <w:rPr>
          <w:rFonts w:asciiTheme="majorHAnsi" w:hAnsiTheme="majorHAnsi"/>
          <w:lang w:val="en-GB"/>
        </w:rPr>
        <w:t>of a shared prosperity, supported by Tim Jackson and wished by everybody,</w:t>
      </w:r>
      <w:r w:rsidR="00AA63FA">
        <w:rPr>
          <w:rFonts w:asciiTheme="majorHAnsi" w:hAnsiTheme="majorHAnsi"/>
          <w:lang w:val="en-GB"/>
        </w:rPr>
        <w:t xml:space="preserve"> since it has supposed an unemployment increase and a reinforce of the economic inequalities. In terms of Greenhouse Gases (GHG) emissions, the economic crisis implied a soft moderation, however, GHG emissions recover the trends since 2009 fed by the strong economic growth of developing countries </w:t>
      </w:r>
      <w:r w:rsidR="003052C3">
        <w:rPr>
          <w:rFonts w:asciiTheme="majorHAnsi" w:hAnsiTheme="majorHAnsi"/>
          <w:lang w:val="en-GB"/>
        </w:rPr>
        <w:fldChar w:fldCharType="begin"/>
      </w:r>
      <w:r w:rsidR="003052C3">
        <w:rPr>
          <w:rFonts w:asciiTheme="majorHAnsi" w:hAnsiTheme="majorHAnsi"/>
          <w:lang w:val="en-GB"/>
        </w:rPr>
        <w:instrText xml:space="preserve"> ADDIN EN.CITE &lt;EndNote&gt;&lt;Cite&gt;&lt;Author&gt;Peters&lt;/Author&gt;&lt;Year&gt;2012&lt;/Year&gt;&lt;RecNum&gt;624&lt;/RecNum&gt;&lt;DisplayText&gt;(Peters et al., 2012b)&lt;/DisplayText&gt;&lt;record&gt;&lt;rec-number&gt;624&lt;/rec-number&gt;&lt;foreign-keys&gt;&lt;key app="EN" db-id="s0tde0xz2xaee9edeervtv2uvtrx99daf9a5"&gt;624&lt;/key&gt;&lt;/foreign-keys&gt;&lt;ref-type name="Journal Article"&gt;17&lt;/ref-type&gt;&lt;contributors&gt;&lt;authors&gt;&lt;author&gt;Peters, G. P.&lt;/author&gt;&lt;author&gt;Marland, G.&lt;/author&gt;&lt;author&gt;Le Quéré, C.&lt;/author&gt;&lt;author&gt;Boden, T.&lt;/author&gt;&lt;author&gt;Canadell, J.G.&lt;/author&gt;&lt;author&gt;Raupach, M.R.&lt;/author&gt;&lt;/authors&gt;&lt;/contributors&gt;&lt;titles&gt;&lt;title&gt;&lt;style face="normal" font="default" size="100%"&gt;Rapid growth in CO&lt;/style&gt;&lt;style face="subscript" font="default" size="100%"&gt;2&lt;/style&gt;&lt;style face="normal" font="default" size="100%"&gt; emissions after the 2008-2009 global financial crisis&lt;/style&gt;&lt;/title&gt;&lt;secondary-title&gt;Nature&lt;/secondary-title&gt;&lt;/titles&gt;&lt;periodical&gt;&lt;full-title&gt;Nature&lt;/full-title&gt;&lt;/periodical&gt;&lt;volume&gt;Climate Change. 2&lt;/volume&gt;&lt;dates&gt;&lt;year&gt;2012&lt;/year&gt;&lt;/dates&gt;&lt;urls&gt;&lt;/urls&gt;&lt;/record&gt;&lt;/Cite&gt;&lt;/EndNote&gt;</w:instrText>
      </w:r>
      <w:r w:rsidR="003052C3">
        <w:rPr>
          <w:rFonts w:asciiTheme="majorHAnsi" w:hAnsiTheme="majorHAnsi"/>
          <w:lang w:val="en-GB"/>
        </w:rPr>
        <w:fldChar w:fldCharType="separate"/>
      </w:r>
      <w:r w:rsidR="003052C3">
        <w:rPr>
          <w:rFonts w:asciiTheme="majorHAnsi" w:hAnsiTheme="majorHAnsi"/>
          <w:noProof/>
          <w:lang w:val="en-GB"/>
        </w:rPr>
        <w:t>(</w:t>
      </w:r>
      <w:hyperlink w:anchor="_ENREF_15" w:tooltip="Peters, 2012 #624" w:history="1">
        <w:r w:rsidR="004B4AF6">
          <w:rPr>
            <w:rFonts w:asciiTheme="majorHAnsi" w:hAnsiTheme="majorHAnsi"/>
            <w:noProof/>
            <w:lang w:val="en-GB"/>
          </w:rPr>
          <w:t>Peters et al., 2012b</w:t>
        </w:r>
      </w:hyperlink>
      <w:r w:rsidR="003052C3">
        <w:rPr>
          <w:rFonts w:asciiTheme="majorHAnsi" w:hAnsiTheme="majorHAnsi"/>
          <w:noProof/>
          <w:lang w:val="en-GB"/>
        </w:rPr>
        <w:t>)</w:t>
      </w:r>
      <w:r w:rsidR="003052C3">
        <w:rPr>
          <w:rFonts w:asciiTheme="majorHAnsi" w:hAnsiTheme="majorHAnsi"/>
          <w:lang w:val="en-GB"/>
        </w:rPr>
        <w:fldChar w:fldCharType="end"/>
      </w:r>
      <w:r w:rsidR="00AA63FA">
        <w:rPr>
          <w:rFonts w:asciiTheme="majorHAnsi" w:hAnsiTheme="majorHAnsi"/>
          <w:lang w:val="en-GB"/>
        </w:rPr>
        <w:t xml:space="preserve">.  In this context, the alternative in terms of economic and social sustainability should be based on an economic growth which allows a redistribution of wealth </w:t>
      </w:r>
      <w:r w:rsidR="008F4147">
        <w:rPr>
          <w:rFonts w:asciiTheme="majorHAnsi" w:hAnsiTheme="majorHAnsi"/>
          <w:lang w:val="en-GB"/>
        </w:rPr>
        <w:fldChar w:fldCharType="begin"/>
      </w:r>
      <w:r w:rsidR="008F4147">
        <w:rPr>
          <w:rFonts w:asciiTheme="majorHAnsi" w:hAnsiTheme="majorHAnsi"/>
          <w:lang w:val="en-GB"/>
        </w:rPr>
        <w:instrText xml:space="preserve"> ADDIN EN.CITE &lt;EndNote&gt;&lt;Cite&gt;&lt;Author&gt;Weinzettel&lt;/Author&gt;&lt;Year&gt;2013&lt;/Year&gt;&lt;RecNum&gt;940&lt;/RecNum&gt;&lt;DisplayText&gt;(Weinzettel et al., 2013)&lt;/DisplayText&gt;&lt;record&gt;&lt;rec-number&gt;940&lt;/rec-number&gt;&lt;foreign-keys&gt;&lt;key app="EN" db-id="s0tde0xz2xaee9edeervtv2uvtrx99daf9a5"&gt;940&lt;/key&gt;&lt;/foreign-keys&gt;&lt;ref-type name="Journal Article"&gt;17&lt;/ref-type&gt;&lt;contributors&gt;&lt;authors&gt;&lt;author&gt;Weinzettel, Jan&lt;/author&gt;&lt;author&gt;Hertwich, Edgar G.&lt;/author&gt;&lt;author&gt;Peters, Glen P.&lt;/author&gt;&lt;author&gt;Steen-Olsen, Kjartan&lt;/author&gt;&lt;author&gt;Galli, Alessandro&lt;/author&gt;&lt;/authors&gt;&lt;/contributors&gt;&lt;titles&gt;&lt;title&gt;Affluence drives the global displacement of land use&lt;/title&gt;&lt;secondary-title&gt;Global Environmental Change&lt;/secondary-title&gt;&lt;/titles&gt;&lt;periodical&gt;&lt;full-title&gt;Global Environmental Change&lt;/full-title&gt;&lt;/periodical&gt;&lt;pages&gt;433-438&lt;/pages&gt;&lt;volume&gt;23&lt;/volume&gt;&lt;number&gt;2&lt;/number&gt;&lt;keywords&gt;&lt;keyword&gt;International trade&lt;/keyword&gt;&lt;keyword&gt;Multiregional input–output analysis&lt;/keyword&gt;&lt;keyword&gt;Land use displacement&lt;/keyword&gt;&lt;keyword&gt;Resources embodied in trade&lt;/keyword&gt;&lt;keyword&gt;Ecological footprint&lt;/keyword&gt;&lt;keyword&gt;Land footprint&lt;/keyword&gt;&lt;keyword&gt;Global hinterland&lt;/keyword&gt;&lt;keyword&gt;Land grabbing&lt;/keyword&gt;&lt;keyword&gt;Land sparing&lt;/keyword&gt;&lt;/keywords&gt;&lt;dates&gt;&lt;year&gt;2013&lt;/year&gt;&lt;pub-dates&gt;&lt;date&gt;4//&lt;/date&gt;&lt;/pub-dates&gt;&lt;/dates&gt;&lt;isbn&gt;0959-3780&lt;/isbn&gt;&lt;urls&gt;&lt;related-urls&gt;&lt;url&gt;http://www.sciencedirect.com/science/article/pii/S0959378012001501&lt;/url&gt;&lt;/related-urls&gt;&lt;/urls&gt;&lt;electronic-resource-num&gt;http://dx.doi.org/10.1016/j.gloenvcha.2012.12.010&lt;/electronic-resource-num&gt;&lt;/record&gt;&lt;/Cite&gt;&lt;/EndNote&gt;</w:instrText>
      </w:r>
      <w:r w:rsidR="008F4147">
        <w:rPr>
          <w:rFonts w:asciiTheme="majorHAnsi" w:hAnsiTheme="majorHAnsi"/>
          <w:lang w:val="en-GB"/>
        </w:rPr>
        <w:fldChar w:fldCharType="separate"/>
      </w:r>
      <w:r w:rsidR="008F4147">
        <w:rPr>
          <w:rFonts w:asciiTheme="majorHAnsi" w:hAnsiTheme="majorHAnsi"/>
          <w:noProof/>
          <w:lang w:val="en-GB"/>
        </w:rPr>
        <w:t>(</w:t>
      </w:r>
      <w:hyperlink w:anchor="_ENREF_20" w:tooltip="Weinzettel, 2013 #940" w:history="1">
        <w:r w:rsidR="004B4AF6">
          <w:rPr>
            <w:rFonts w:asciiTheme="majorHAnsi" w:hAnsiTheme="majorHAnsi"/>
            <w:noProof/>
            <w:lang w:val="en-GB"/>
          </w:rPr>
          <w:t>Weinzettel et al., 2013</w:t>
        </w:r>
      </w:hyperlink>
      <w:r w:rsidR="008F4147">
        <w:rPr>
          <w:rFonts w:asciiTheme="majorHAnsi" w:hAnsiTheme="majorHAnsi"/>
          <w:noProof/>
          <w:lang w:val="en-GB"/>
        </w:rPr>
        <w:t>)</w:t>
      </w:r>
      <w:r w:rsidR="008F4147">
        <w:rPr>
          <w:rFonts w:asciiTheme="majorHAnsi" w:hAnsiTheme="majorHAnsi"/>
          <w:lang w:val="en-GB"/>
        </w:rPr>
        <w:fldChar w:fldCharType="end"/>
      </w:r>
      <w:r w:rsidR="00AA63FA">
        <w:rPr>
          <w:rFonts w:asciiTheme="majorHAnsi" w:hAnsiTheme="majorHAnsi"/>
          <w:lang w:val="en-GB"/>
        </w:rPr>
        <w:t>. This requires, to be environmentally sustainable, the incorporation of new technologies to the most CO</w:t>
      </w:r>
      <w:r w:rsidR="00AA63FA">
        <w:rPr>
          <w:rFonts w:asciiTheme="majorHAnsi" w:hAnsiTheme="majorHAnsi"/>
          <w:vertAlign w:val="subscript"/>
          <w:lang w:val="en-GB"/>
        </w:rPr>
        <w:t>2</w:t>
      </w:r>
      <w:r w:rsidR="00AA63FA">
        <w:rPr>
          <w:rFonts w:asciiTheme="majorHAnsi" w:hAnsiTheme="majorHAnsi"/>
          <w:lang w:val="en-GB"/>
        </w:rPr>
        <w:t xml:space="preserve"> intensive sectors </w:t>
      </w:r>
      <w:r w:rsidR="003052C3">
        <w:rPr>
          <w:rFonts w:asciiTheme="majorHAnsi" w:hAnsiTheme="majorHAnsi"/>
          <w:lang w:val="en-GB"/>
        </w:rPr>
        <w:fldChar w:fldCharType="begin"/>
      </w:r>
      <w:r w:rsidR="003052C3">
        <w:rPr>
          <w:rFonts w:asciiTheme="majorHAnsi" w:hAnsiTheme="majorHAnsi"/>
          <w:lang w:val="en-GB"/>
        </w:rPr>
        <w:instrText xml:space="preserve"> ADDIN EN.CITE &lt;EndNote&gt;&lt;Cite&gt;&lt;Author&gt;Liu&lt;/Author&gt;&lt;Year&gt;2013&lt;/Year&gt;&lt;RecNum&gt;924&lt;/RecNum&gt;&lt;DisplayText&gt;(Liu et al., 2013)&lt;/DisplayText&gt;&lt;record&gt;&lt;rec-number&gt;924&lt;/rec-number&gt;&lt;foreign-keys&gt;&lt;key app="EN" db-id="s0tde0xz2xaee9edeervtv2uvtrx99daf9a5"&gt;924&lt;/key&gt;&lt;/foreign-keys&gt;&lt;ref-type name="Journal Article"&gt;17&lt;/ref-type&gt;&lt;contributors&gt;&lt;authors&gt;&lt;author&gt;Liu, Zhu&lt;/author&gt;&lt;author&gt;Guan, Dabo&lt;/author&gt;&lt;author&gt;Crawford-Brown, Douglas&lt;/author&gt;&lt;author&gt;Zhang, Qiang&lt;/author&gt;&lt;author&gt;He, Kebin&lt;/author&gt;&lt;author&gt;Liu, Jianguo&lt;/author&gt;&lt;/authors&gt;&lt;/contributors&gt;&lt;titles&gt;&lt;title&gt;A low-carbon road map for China&lt;/title&gt;&lt;secondary-title&gt;Nature&lt;/secondary-title&gt;&lt;/titles&gt;&lt;periodical&gt;&lt;full-title&gt;Nature&lt;/full-title&gt;&lt;/periodical&gt;&lt;pages&gt;143-145&lt;/pages&gt;&lt;volume&gt;500&lt;/volume&gt;&lt;number&gt;7461&lt;/number&gt;&lt;dates&gt;&lt;year&gt;2013&lt;/year&gt;&lt;/dates&gt;&lt;orig-pub&gt;Nature Publishing Group, a division of Macmillan Publishers Limited. All Rights Reserved&lt;/orig-pub&gt;&lt;urls&gt;&lt;/urls&gt;&lt;electronic-resource-num&gt;dx.doi.org/10.1038/500143a&lt;/electronic-resource-num&gt;&lt;/record&gt;&lt;/Cite&gt;&lt;/EndNote&gt;</w:instrText>
      </w:r>
      <w:r w:rsidR="003052C3">
        <w:rPr>
          <w:rFonts w:asciiTheme="majorHAnsi" w:hAnsiTheme="majorHAnsi"/>
          <w:lang w:val="en-GB"/>
        </w:rPr>
        <w:fldChar w:fldCharType="separate"/>
      </w:r>
      <w:r w:rsidR="003052C3">
        <w:rPr>
          <w:rFonts w:asciiTheme="majorHAnsi" w:hAnsiTheme="majorHAnsi"/>
          <w:noProof/>
          <w:lang w:val="en-GB"/>
        </w:rPr>
        <w:t>(</w:t>
      </w:r>
      <w:hyperlink w:anchor="_ENREF_11" w:tooltip="Liu, 2013 #924" w:history="1">
        <w:r w:rsidR="004B4AF6">
          <w:rPr>
            <w:rFonts w:asciiTheme="majorHAnsi" w:hAnsiTheme="majorHAnsi"/>
            <w:noProof/>
            <w:lang w:val="en-GB"/>
          </w:rPr>
          <w:t>Liu et al., 2013</w:t>
        </w:r>
      </w:hyperlink>
      <w:r w:rsidR="003052C3">
        <w:rPr>
          <w:rFonts w:asciiTheme="majorHAnsi" w:hAnsiTheme="majorHAnsi"/>
          <w:noProof/>
          <w:lang w:val="en-GB"/>
        </w:rPr>
        <w:t>)</w:t>
      </w:r>
      <w:r w:rsidR="003052C3">
        <w:rPr>
          <w:rFonts w:asciiTheme="majorHAnsi" w:hAnsiTheme="majorHAnsi"/>
          <w:lang w:val="en-GB"/>
        </w:rPr>
        <w:fldChar w:fldCharType="end"/>
      </w:r>
      <w:r w:rsidR="00AA63FA">
        <w:rPr>
          <w:rFonts w:asciiTheme="majorHAnsi" w:hAnsiTheme="majorHAnsi"/>
          <w:lang w:val="en-GB"/>
        </w:rPr>
        <w:t xml:space="preserve"> and </w:t>
      </w:r>
      <w:r w:rsidR="007B4B7C">
        <w:rPr>
          <w:rFonts w:asciiTheme="majorHAnsi" w:hAnsiTheme="majorHAnsi"/>
          <w:lang w:val="en-GB"/>
        </w:rPr>
        <w:t xml:space="preserve">the use of natural resources which allow a relative decoupling, and especially absolute, with economic growth </w:t>
      </w:r>
      <w:r w:rsidR="003052C3">
        <w:rPr>
          <w:rFonts w:asciiTheme="majorHAnsi" w:hAnsiTheme="majorHAnsi"/>
          <w:lang w:val="en-GB"/>
        </w:rPr>
        <w:fldChar w:fldCharType="begin"/>
      </w:r>
      <w:r w:rsidR="003052C3">
        <w:rPr>
          <w:rFonts w:asciiTheme="majorHAnsi" w:hAnsiTheme="majorHAnsi"/>
          <w:lang w:val="en-GB"/>
        </w:rPr>
        <w:instrText xml:space="preserve"> ADDIN EN.CITE &lt;EndNote&gt;&lt;Cite&gt;&lt;Author&gt;Wiedmann&lt;/Author&gt;&lt;Year&gt;2013&lt;/Year&gt;&lt;RecNum&gt;836&lt;/RecNum&gt;&lt;DisplayText&gt;(Wiedmann et al., 2013)&lt;/DisplayText&gt;&lt;record&gt;&lt;rec-number&gt;836&lt;/rec-number&gt;&lt;foreign-keys&gt;&lt;key app="EN" db-id="s0tde0xz2xaee9edeervtv2uvtrx99daf9a5"&gt;836&lt;/key&gt;&lt;/foreign-keys&gt;&lt;ref-type name="Journal Article"&gt;17&lt;/ref-type&gt;&lt;contributors&gt;&lt;authors&gt;&lt;author&gt;Wiedmann, T.O.&lt;/author&gt;&lt;author&gt;Schandl, H.&lt;/author&gt;&lt;author&gt;Lenzen, M.&lt;/author&gt;&lt;author&gt;Moran, D.&lt;/author&gt;&lt;author&gt;Suh, S.&lt;/author&gt;&lt;author&gt;West, J.&lt;/author&gt;&lt;author&gt;Kanemoto, K.&lt;/author&gt;&lt;/authors&gt;&lt;/contributors&gt;&lt;titles&gt;&lt;title&gt;The material footprint of nations&lt;/title&gt;&lt;secondary-title&gt;PNAS&lt;/secondary-title&gt;&lt;/titles&gt;&lt;periodical&gt;&lt;full-title&gt;PNAS&lt;/full-title&gt;&lt;/periodical&gt;&lt;dates&gt;&lt;year&gt;2013&lt;/year&gt;&lt;/dates&gt;&lt;urls&gt;&lt;/urls&gt;&lt;electronic-resource-num&gt;www.pnas.org/cgi/doi/10.1073/pnas.1220362110&lt;/electronic-resource-num&gt;&lt;/record&gt;&lt;/Cite&gt;&lt;/EndNote&gt;</w:instrText>
      </w:r>
      <w:r w:rsidR="003052C3">
        <w:rPr>
          <w:rFonts w:asciiTheme="majorHAnsi" w:hAnsiTheme="majorHAnsi"/>
          <w:lang w:val="en-GB"/>
        </w:rPr>
        <w:fldChar w:fldCharType="separate"/>
      </w:r>
      <w:r w:rsidR="003052C3">
        <w:rPr>
          <w:rFonts w:asciiTheme="majorHAnsi" w:hAnsiTheme="majorHAnsi"/>
          <w:noProof/>
          <w:lang w:val="en-GB"/>
        </w:rPr>
        <w:t>(</w:t>
      </w:r>
      <w:hyperlink w:anchor="_ENREF_22" w:tooltip="Wiedmann, 2013 #836" w:history="1">
        <w:r w:rsidR="004B4AF6">
          <w:rPr>
            <w:rFonts w:asciiTheme="majorHAnsi" w:hAnsiTheme="majorHAnsi"/>
            <w:noProof/>
            <w:lang w:val="en-GB"/>
          </w:rPr>
          <w:t>Wiedmann et al., 2013</w:t>
        </w:r>
      </w:hyperlink>
      <w:r w:rsidR="003052C3">
        <w:rPr>
          <w:rFonts w:asciiTheme="majorHAnsi" w:hAnsiTheme="majorHAnsi"/>
          <w:noProof/>
          <w:lang w:val="en-GB"/>
        </w:rPr>
        <w:t>)</w:t>
      </w:r>
      <w:r w:rsidR="003052C3">
        <w:rPr>
          <w:rFonts w:asciiTheme="majorHAnsi" w:hAnsiTheme="majorHAnsi"/>
          <w:lang w:val="en-GB"/>
        </w:rPr>
        <w:fldChar w:fldCharType="end"/>
      </w:r>
      <w:r w:rsidR="007B4B7C">
        <w:rPr>
          <w:rFonts w:asciiTheme="majorHAnsi" w:hAnsiTheme="majorHAnsi"/>
          <w:lang w:val="en-GB"/>
        </w:rPr>
        <w:t>. Nevertheless, the redistribution of the income is another alternative to try to restrain the human being footprint of the planet and as a way to mitigate the increasingly income inequality derived from the economic crisis in developed countries.</w:t>
      </w:r>
    </w:p>
    <w:p w14:paraId="6D469A78" w14:textId="3D69414F" w:rsidR="007B4B7C" w:rsidRPr="00295649" w:rsidRDefault="007B4B7C" w:rsidP="008F44EC">
      <w:pPr>
        <w:ind w:firstLine="0"/>
        <w:rPr>
          <w:rStyle w:val="Hipervnculo"/>
          <w:rFonts w:asciiTheme="majorHAnsi" w:hAnsiTheme="majorHAnsi" w:cs="Times New Roman"/>
          <w:color w:val="auto"/>
          <w:szCs w:val="24"/>
          <w:u w:val="none"/>
          <w:lang w:val="en-GB"/>
        </w:rPr>
      </w:pPr>
      <w:r w:rsidRPr="007B4B7C">
        <w:rPr>
          <w:rFonts w:asciiTheme="majorHAnsi" w:hAnsiTheme="majorHAnsi"/>
          <w:lang w:val="en-GB"/>
        </w:rPr>
        <w:t>In this</w:t>
      </w:r>
      <w:r w:rsidR="001A2FE7" w:rsidRPr="00416C0D">
        <w:rPr>
          <w:rStyle w:val="Hipervnculo"/>
          <w:rFonts w:asciiTheme="majorHAnsi" w:hAnsiTheme="majorHAnsi" w:cs="Times New Roman"/>
          <w:color w:val="auto"/>
          <w:szCs w:val="24"/>
          <w:u w:val="none"/>
          <w:lang w:val="en-US"/>
        </w:rPr>
        <w:t xml:space="preserve"> paper</w:t>
      </w:r>
      <w:r>
        <w:rPr>
          <w:rStyle w:val="Hipervnculo"/>
          <w:rFonts w:asciiTheme="majorHAnsi" w:hAnsiTheme="majorHAnsi" w:cs="Times New Roman"/>
          <w:color w:val="auto"/>
          <w:szCs w:val="24"/>
          <w:u w:val="none"/>
          <w:lang w:val="en-US"/>
        </w:rPr>
        <w:t xml:space="preserve"> we</w:t>
      </w:r>
      <w:r w:rsidR="001A2FE7" w:rsidRPr="00416C0D">
        <w:rPr>
          <w:rStyle w:val="Hipervnculo"/>
          <w:rFonts w:asciiTheme="majorHAnsi" w:hAnsiTheme="majorHAnsi" w:cs="Times New Roman"/>
          <w:color w:val="auto"/>
          <w:szCs w:val="24"/>
          <w:u w:val="none"/>
          <w:lang w:val="en-US"/>
        </w:rPr>
        <w:t xml:space="preserve"> develop a Multi-Regional Input-Output (MRIO) model to assess the economic and financial crisis </w:t>
      </w:r>
      <w:r w:rsidR="00F221BC">
        <w:rPr>
          <w:rStyle w:val="Hipervnculo"/>
          <w:rFonts w:asciiTheme="majorHAnsi" w:hAnsiTheme="majorHAnsi" w:cs="Times New Roman"/>
          <w:color w:val="auto"/>
          <w:szCs w:val="24"/>
          <w:u w:val="none"/>
          <w:lang w:val="en-US"/>
        </w:rPr>
        <w:t xml:space="preserve">impact in the distribution of the income of </w:t>
      </w:r>
      <w:r w:rsidR="001A2FE7" w:rsidRPr="00416C0D">
        <w:rPr>
          <w:rStyle w:val="Hipervnculo"/>
          <w:rFonts w:asciiTheme="majorHAnsi" w:hAnsiTheme="majorHAnsi" w:cs="Times New Roman"/>
          <w:color w:val="auto"/>
          <w:szCs w:val="24"/>
          <w:u w:val="none"/>
          <w:lang w:val="en-US"/>
        </w:rPr>
        <w:t xml:space="preserve">Spanish households </w:t>
      </w:r>
      <w:r>
        <w:rPr>
          <w:rStyle w:val="Hipervnculo"/>
          <w:rFonts w:asciiTheme="majorHAnsi" w:hAnsiTheme="majorHAnsi" w:cs="Times New Roman"/>
          <w:color w:val="auto"/>
          <w:szCs w:val="24"/>
          <w:u w:val="none"/>
          <w:lang w:val="en-US"/>
        </w:rPr>
        <w:t xml:space="preserve">on the </w:t>
      </w:r>
      <w:r w:rsidR="001A2FE7" w:rsidRPr="00416C0D">
        <w:rPr>
          <w:rStyle w:val="Hipervnculo"/>
          <w:rFonts w:asciiTheme="majorHAnsi" w:hAnsiTheme="majorHAnsi" w:cs="Times New Roman"/>
          <w:color w:val="auto"/>
          <w:szCs w:val="24"/>
          <w:u w:val="none"/>
          <w:lang w:val="en-US"/>
        </w:rPr>
        <w:t>carbon and material footprint.</w:t>
      </w:r>
      <w:r w:rsidR="001A2FE7">
        <w:rPr>
          <w:rStyle w:val="Hipervnculo"/>
          <w:rFonts w:asciiTheme="majorHAnsi" w:hAnsiTheme="majorHAnsi" w:cs="Times New Roman"/>
          <w:color w:val="auto"/>
          <w:szCs w:val="24"/>
          <w:u w:val="none"/>
          <w:lang w:val="en-US"/>
        </w:rPr>
        <w:t xml:space="preserve"> </w:t>
      </w:r>
      <w:r>
        <w:rPr>
          <w:rStyle w:val="Hipervnculo"/>
          <w:rFonts w:asciiTheme="majorHAnsi" w:hAnsiTheme="majorHAnsi" w:cs="Times New Roman"/>
          <w:color w:val="auto"/>
          <w:szCs w:val="24"/>
          <w:u w:val="none"/>
          <w:lang w:val="en-US"/>
        </w:rPr>
        <w:t xml:space="preserve">Carbon, water and materials footprint </w:t>
      </w:r>
      <w:r w:rsidR="00295649">
        <w:rPr>
          <w:rStyle w:val="Hipervnculo"/>
          <w:rFonts w:asciiTheme="majorHAnsi" w:hAnsiTheme="majorHAnsi" w:cs="Times New Roman"/>
          <w:color w:val="auto"/>
          <w:szCs w:val="24"/>
          <w:u w:val="none"/>
          <w:lang w:val="en-US"/>
        </w:rPr>
        <w:t>are</w:t>
      </w:r>
      <w:r>
        <w:rPr>
          <w:rStyle w:val="Hipervnculo"/>
          <w:rFonts w:asciiTheme="majorHAnsi" w:hAnsiTheme="majorHAnsi" w:cs="Times New Roman"/>
          <w:color w:val="auto"/>
          <w:szCs w:val="24"/>
          <w:u w:val="none"/>
          <w:lang w:val="en-US"/>
        </w:rPr>
        <w:t xml:space="preserve"> adequate instrument</w:t>
      </w:r>
      <w:r w:rsidR="00295649">
        <w:rPr>
          <w:rStyle w:val="Hipervnculo"/>
          <w:rFonts w:asciiTheme="majorHAnsi" w:hAnsiTheme="majorHAnsi" w:cs="Times New Roman"/>
          <w:color w:val="auto"/>
          <w:szCs w:val="24"/>
          <w:u w:val="none"/>
          <w:lang w:val="en-US"/>
        </w:rPr>
        <w:t>s</w:t>
      </w:r>
      <w:r>
        <w:rPr>
          <w:rStyle w:val="Hipervnculo"/>
          <w:rFonts w:asciiTheme="majorHAnsi" w:hAnsiTheme="majorHAnsi" w:cs="Times New Roman"/>
          <w:color w:val="auto"/>
          <w:szCs w:val="24"/>
          <w:u w:val="none"/>
          <w:lang w:val="en-US"/>
        </w:rPr>
        <w:t xml:space="preserve"> to evaluate the economic pressure over the environment since include</w:t>
      </w:r>
      <w:r w:rsidR="00295649">
        <w:rPr>
          <w:rStyle w:val="Hipervnculo"/>
          <w:rFonts w:asciiTheme="majorHAnsi" w:hAnsiTheme="majorHAnsi" w:cs="Times New Roman"/>
          <w:color w:val="auto"/>
          <w:szCs w:val="24"/>
          <w:u w:val="none"/>
          <w:lang w:val="en-US"/>
        </w:rPr>
        <w:t xml:space="preserve"> of the wastes and resources required to satisfy the final demand, under the consumer perspective (</w:t>
      </w:r>
      <w:hyperlink w:anchor="_ENREF_16" w:tooltip="Steen-Olsen, 2012 #641" w:history="1">
        <w:r w:rsidR="004B4AF6" w:rsidRPr="004B4AF6">
          <w:rPr>
            <w:rStyle w:val="Hipervnculo"/>
            <w:rFonts w:asciiTheme="majorHAnsi" w:hAnsiTheme="majorHAnsi" w:cs="Times New Roman"/>
            <w:color w:val="auto"/>
            <w:szCs w:val="24"/>
            <w:u w:val="none"/>
            <w:lang w:val="en-US"/>
          </w:rPr>
          <w:fldChar w:fldCharType="begin"/>
        </w:r>
        <w:r w:rsidR="004B4AF6" w:rsidRPr="004B4AF6">
          <w:rPr>
            <w:rStyle w:val="Hipervnculo"/>
            <w:rFonts w:asciiTheme="majorHAnsi" w:hAnsiTheme="majorHAnsi" w:cs="Times New Roman"/>
            <w:color w:val="auto"/>
            <w:szCs w:val="24"/>
            <w:u w:val="none"/>
            <w:lang w:val="en-US"/>
          </w:rPr>
          <w:instrText xml:space="preserve"> ADDIN EN.CITE &lt;EndNote&gt;&lt;Cite AuthorYear="1"&gt;&lt;Author&gt;Steen-Olsen&lt;/Author&gt;&lt;Year&gt;2012&lt;/Year&gt;&lt;RecNum&gt;641&lt;/RecNum&gt;&lt;DisplayText&gt;Steen-Olsen et al. (2012)&lt;/DisplayText&gt;&lt;record&gt;&lt;rec-number&gt;641&lt;/rec-number&gt;&lt;foreign-keys&gt;&lt;key app="EN" db-id="s0tde0xz2xaee9edeervtv2uvtrx99daf9a5"&gt;641&lt;/key&gt;&lt;/foreign-keys&gt;&lt;ref-type name="Journal Article"&gt;17&lt;/ref-type&gt;&lt;contributors&gt;&lt;authors&gt;&lt;author&gt;Steen-Olsen, K.&lt;/author&gt;&lt;author&gt;Weinzettel, J.&lt;/author&gt;&lt;author&gt;Cranston, G.&lt;/author&gt;&lt;author&gt;Ertug-Ercin, A.&lt;/author&gt;&lt;author&gt;Hertwich, E.G.&lt;/author&gt;&lt;/authors&gt;&lt;/contributors&gt;&lt;titles&gt;&lt;title&gt;Carbon, Land, and Water Footprint Accounts for the European Union: Consumption, Production, and Displacements through International Trade&lt;/title&gt;&lt;secondary-title&gt;Environmental Science &amp;amp; Technology&lt;/secondary-title&gt;&lt;/titles&gt;&lt;periodical&gt;&lt;full-title&gt;Environmental Science &amp;amp; Technology&lt;/full-title&gt;&lt;/periodical&gt;&lt;dates&gt;&lt;year&gt;2012&lt;/year&gt;&lt;/dates&gt;&lt;urls&gt;&lt;/urls&gt;&lt;electronic-resource-num&gt;dx.doi.org/10.1021/es301949t&lt;/electronic-resource-num&gt;&lt;/record&gt;&lt;/Cite&gt;&lt;/EndNote&gt;</w:instrText>
        </w:r>
        <w:r w:rsidR="004B4AF6" w:rsidRPr="004B4AF6">
          <w:rPr>
            <w:rStyle w:val="Hipervnculo"/>
            <w:rFonts w:asciiTheme="majorHAnsi" w:hAnsiTheme="majorHAnsi" w:cs="Times New Roman"/>
            <w:color w:val="auto"/>
            <w:szCs w:val="24"/>
            <w:u w:val="none"/>
            <w:lang w:val="en-US"/>
          </w:rPr>
          <w:fldChar w:fldCharType="separate"/>
        </w:r>
        <w:r w:rsidR="004B4AF6" w:rsidRPr="004B4AF6">
          <w:rPr>
            <w:rStyle w:val="Hipervnculo"/>
            <w:rFonts w:asciiTheme="majorHAnsi" w:hAnsiTheme="majorHAnsi" w:cs="Times New Roman"/>
            <w:noProof/>
            <w:color w:val="auto"/>
            <w:szCs w:val="24"/>
            <w:u w:val="none"/>
            <w:lang w:val="en-US"/>
          </w:rPr>
          <w:t>Steen-Olsen et al. (2012)</w:t>
        </w:r>
        <w:r w:rsidR="004B4AF6" w:rsidRPr="004B4AF6">
          <w:rPr>
            <w:rStyle w:val="Hipervnculo"/>
            <w:rFonts w:asciiTheme="majorHAnsi" w:hAnsiTheme="majorHAnsi" w:cs="Times New Roman"/>
            <w:color w:val="auto"/>
            <w:szCs w:val="24"/>
            <w:u w:val="none"/>
            <w:lang w:val="en-US"/>
          </w:rPr>
          <w:fldChar w:fldCharType="end"/>
        </w:r>
      </w:hyperlink>
      <w:r w:rsidR="00295649">
        <w:rPr>
          <w:rFonts w:asciiTheme="majorHAnsi" w:hAnsiTheme="majorHAnsi"/>
          <w:lang w:val="en-GB"/>
        </w:rPr>
        <w:t xml:space="preserve">, </w:t>
      </w:r>
      <w:hyperlink w:anchor="_ENREF_22" w:tooltip="Wiedmann, 2013 #836" w:history="1">
        <w:r w:rsidR="004B4AF6">
          <w:rPr>
            <w:rFonts w:asciiTheme="majorHAnsi" w:hAnsiTheme="majorHAnsi"/>
            <w:lang w:val="en-GB"/>
          </w:rPr>
          <w:fldChar w:fldCharType="begin"/>
        </w:r>
        <w:r w:rsidR="004B4AF6">
          <w:rPr>
            <w:rFonts w:asciiTheme="majorHAnsi" w:hAnsiTheme="majorHAnsi"/>
            <w:lang w:val="en-GB"/>
          </w:rPr>
          <w:instrText xml:space="preserve"> ADDIN EN.CITE &lt;EndNote&gt;&lt;Cite AuthorYear="1"&gt;&lt;Author&gt;Wiedmann&lt;/Author&gt;&lt;Year&gt;2013&lt;/Year&gt;&lt;RecNum&gt;836&lt;/RecNum&gt;&lt;DisplayText&gt;Wiedmann et al. (2013)&lt;/DisplayText&gt;&lt;record&gt;&lt;rec-number&gt;836&lt;/rec-number&gt;&lt;foreign-keys&gt;&lt;key app="EN" db-id="s0tde0xz2xaee9edeervtv2uvtrx99daf9a5"&gt;836&lt;/key&gt;&lt;/foreign-keys&gt;&lt;ref-type name="Journal Article"&gt;17&lt;/ref-type&gt;&lt;contributors&gt;&lt;authors&gt;&lt;author&gt;Wiedmann, T.O.&lt;/author&gt;&lt;author&gt;Schandl, H.&lt;/author&gt;&lt;author&gt;Lenzen, M.&lt;/author&gt;&lt;author&gt;Moran, D.&lt;/author&gt;&lt;author&gt;Suh, S.&lt;/author&gt;&lt;author&gt;West, J.&lt;/author&gt;&lt;author&gt;Kanemoto, K.&lt;/author&gt;&lt;/authors&gt;&lt;/contributors&gt;&lt;titles&gt;&lt;title&gt;The material footprint of nations&lt;/title&gt;&lt;secondary-title&gt;PNAS&lt;/secondary-title&gt;&lt;/titles&gt;&lt;periodical&gt;&lt;full-title&gt;PNAS&lt;/full-title&gt;&lt;/periodical&gt;&lt;dates&gt;&lt;year&gt;2013&lt;/year&gt;&lt;/dates&gt;&lt;urls&gt;&lt;/urls&gt;&lt;electronic-resource-num&gt;www.pnas.org/cgi/doi/10.1073/pnas.1220362110&lt;/electronic-resource-num&gt;&lt;/record&gt;&lt;/Cite&gt;&lt;/EndNote&gt;</w:instrText>
        </w:r>
        <w:r w:rsidR="004B4AF6">
          <w:rPr>
            <w:rFonts w:asciiTheme="majorHAnsi" w:hAnsiTheme="majorHAnsi"/>
            <w:lang w:val="en-GB"/>
          </w:rPr>
          <w:fldChar w:fldCharType="separate"/>
        </w:r>
        <w:r w:rsidR="004B4AF6">
          <w:rPr>
            <w:rFonts w:asciiTheme="majorHAnsi" w:hAnsiTheme="majorHAnsi"/>
            <w:noProof/>
            <w:lang w:val="en-GB"/>
          </w:rPr>
          <w:t>Wiedmann et al. (2013)</w:t>
        </w:r>
        <w:r w:rsidR="004B4AF6">
          <w:rPr>
            <w:rFonts w:asciiTheme="majorHAnsi" w:hAnsiTheme="majorHAnsi"/>
            <w:lang w:val="en-GB"/>
          </w:rPr>
          <w:fldChar w:fldCharType="end"/>
        </w:r>
      </w:hyperlink>
      <w:r w:rsidR="00295649">
        <w:rPr>
          <w:rFonts w:asciiTheme="majorHAnsi" w:hAnsiTheme="majorHAnsi"/>
          <w:lang w:val="en-GB"/>
        </w:rPr>
        <w:t xml:space="preserve">). The MRIO framework has the advantage to evaluate suitably the factor content integrated in the international trade </w:t>
      </w:r>
      <w:r w:rsidR="003052C3">
        <w:rPr>
          <w:rFonts w:asciiTheme="majorHAnsi" w:hAnsiTheme="majorHAnsi"/>
          <w:lang w:val="en-GB"/>
        </w:rPr>
        <w:fldChar w:fldCharType="begin"/>
      </w:r>
      <w:r w:rsidR="003052C3">
        <w:rPr>
          <w:rFonts w:asciiTheme="majorHAnsi" w:hAnsiTheme="majorHAnsi"/>
          <w:lang w:val="en-GB"/>
        </w:rPr>
        <w:instrText xml:space="preserve"> ADDIN EN.CITE &lt;EndNote&gt;&lt;Cite&gt;&lt;Author&gt;Wiedmann&lt;/Author&gt;&lt;Year&gt;2009&lt;/Year&gt;&lt;RecNum&gt;164&lt;/RecNum&gt;&lt;DisplayText&gt;(Wiedmann et al., 2009)&lt;/DisplayText&gt;&lt;record&gt;&lt;rec-number&gt;164&lt;/rec-number&gt;&lt;foreign-keys&gt;&lt;key app="EN" db-id="s0tde0xz2xaee9edeervtv2uvtrx99daf9a5"&gt;164&lt;/key&gt;&lt;/foreign-keys&gt;&lt;ref-type name="Journal Article"&gt;17&lt;/ref-type&gt;&lt;contributors&gt;&lt;authors&gt;&lt;author&gt;Wiedmann, T.O.&lt;/author&gt;&lt;author&gt;Lenzen, M.&lt;/author&gt;&lt;author&gt;Barrett, J.R.&lt;/author&gt;&lt;/authors&gt;&lt;/contributors&gt;&lt;titles&gt;&lt;title&gt;Companies on the Scale: Comparing and Benchmarking the Sustainability Performance of Businesses&lt;/title&gt;&lt;secondary-title&gt;Journal of Industrial Ecology&lt;/secondary-title&gt;&lt;/titles&gt;&lt;periodical&gt;&lt;full-title&gt;Journal of Industrial Ecology&lt;/full-title&gt;&lt;/periodical&gt;&lt;volume&gt;13&lt;/volume&gt;&lt;number&gt;3&lt;/number&gt;&lt;dates&gt;&lt;year&gt;2009&lt;/year&gt;&lt;/dates&gt;&lt;urls&gt;&lt;/urls&gt;&lt;/record&gt;&lt;/Cite&gt;&lt;/EndNote&gt;</w:instrText>
      </w:r>
      <w:r w:rsidR="003052C3">
        <w:rPr>
          <w:rFonts w:asciiTheme="majorHAnsi" w:hAnsiTheme="majorHAnsi"/>
          <w:lang w:val="en-GB"/>
        </w:rPr>
        <w:fldChar w:fldCharType="separate"/>
      </w:r>
      <w:r w:rsidR="003052C3">
        <w:rPr>
          <w:rFonts w:asciiTheme="majorHAnsi" w:hAnsiTheme="majorHAnsi"/>
          <w:noProof/>
          <w:lang w:val="en-GB"/>
        </w:rPr>
        <w:t>(</w:t>
      </w:r>
      <w:hyperlink w:anchor="_ENREF_21" w:tooltip="Wiedmann, 2009 #164" w:history="1">
        <w:r w:rsidR="004B4AF6">
          <w:rPr>
            <w:rFonts w:asciiTheme="majorHAnsi" w:hAnsiTheme="majorHAnsi"/>
            <w:noProof/>
            <w:lang w:val="en-GB"/>
          </w:rPr>
          <w:t>Wiedmann et al., 2009</w:t>
        </w:r>
      </w:hyperlink>
      <w:r w:rsidR="003052C3">
        <w:rPr>
          <w:rFonts w:asciiTheme="majorHAnsi" w:hAnsiTheme="majorHAnsi"/>
          <w:noProof/>
          <w:lang w:val="en-GB"/>
        </w:rPr>
        <w:t>)</w:t>
      </w:r>
      <w:r w:rsidR="003052C3">
        <w:rPr>
          <w:rFonts w:asciiTheme="majorHAnsi" w:hAnsiTheme="majorHAnsi"/>
          <w:lang w:val="en-GB"/>
        </w:rPr>
        <w:fldChar w:fldCharType="end"/>
      </w:r>
      <w:r w:rsidR="00295649">
        <w:rPr>
          <w:rFonts w:asciiTheme="majorHAnsi" w:hAnsiTheme="majorHAnsi"/>
          <w:lang w:val="en-GB"/>
        </w:rPr>
        <w:t>. Carbon footprint papers are focus in the international trade impact and derived responsibilities transfers between countries (</w:t>
      </w:r>
      <w:hyperlink w:anchor="_ENREF_14" w:tooltip="Peters, 2012 #745" w:history="1">
        <w:r w:rsidR="004B4AF6">
          <w:rPr>
            <w:rFonts w:asciiTheme="majorHAnsi" w:hAnsiTheme="majorHAnsi"/>
            <w:lang w:val="en-GB"/>
          </w:rPr>
          <w:fldChar w:fldCharType="begin"/>
        </w:r>
        <w:r w:rsidR="004B4AF6">
          <w:rPr>
            <w:rFonts w:asciiTheme="majorHAnsi" w:hAnsiTheme="majorHAnsi"/>
            <w:lang w:val="en-GB"/>
          </w:rPr>
          <w:instrText xml:space="preserve"> ADDIN EN.CITE &lt;EndNote&gt;&lt;Cite AuthorYear="1"&gt;&lt;Author&gt;Peters&lt;/Author&gt;&lt;Year&gt;2012&lt;/Year&gt;&lt;RecNum&gt;745&lt;/RecNum&gt;&lt;DisplayText&gt;Peters et al. (2012a)&lt;/DisplayText&gt;&lt;record&gt;&lt;rec-number&gt;745&lt;/rec-number&gt;&lt;foreign-keys&gt;&lt;key app="EN" db-id="s0tde0xz2xaee9edeervtv2uvtrx99daf9a5"&gt;745&lt;/key&gt;&lt;/foreign-keys&gt;&lt;ref-type name="Journal Article"&gt;17&lt;/ref-type&gt;&lt;contributors&gt;&lt;authors&gt;&lt;author&gt;Peters, G. P.&lt;/author&gt;&lt;author&gt;Davis, S.J.&lt;/author&gt;&lt;author&gt;Andrew, R.M.&lt;/author&gt;&lt;/authors&gt;&lt;/contributors&gt;&lt;titles&gt;&lt;title&gt;A synthesis of carbon in international trade&lt;/title&gt;&lt;secondary-title&gt;Biogeosciences Discuss&lt;/secondary-title&gt;&lt;/titles&gt;&lt;periodical&gt;&lt;full-title&gt;Biogeosciences Discuss&lt;/full-title&gt;&lt;/periodical&gt;&lt;pages&gt;3949-4023&lt;/pages&gt;&lt;volume&gt;9&lt;/volume&gt;&lt;number&gt;3&lt;/number&gt;&lt;dates&gt;&lt;year&gt;2012&lt;/year&gt;&lt;/dates&gt;&lt;urls&gt;&lt;/urls&gt;&lt;/record&gt;&lt;/Cite&gt;&lt;/EndNote&gt;</w:instrText>
        </w:r>
        <w:r w:rsidR="004B4AF6">
          <w:rPr>
            <w:rFonts w:asciiTheme="majorHAnsi" w:hAnsiTheme="majorHAnsi"/>
            <w:lang w:val="en-GB"/>
          </w:rPr>
          <w:fldChar w:fldCharType="separate"/>
        </w:r>
        <w:r w:rsidR="004B4AF6">
          <w:rPr>
            <w:rFonts w:asciiTheme="majorHAnsi" w:hAnsiTheme="majorHAnsi"/>
            <w:noProof/>
            <w:lang w:val="en-GB"/>
          </w:rPr>
          <w:t>Peters et al. (2012a)</w:t>
        </w:r>
        <w:r w:rsidR="004B4AF6">
          <w:rPr>
            <w:rFonts w:asciiTheme="majorHAnsi" w:hAnsiTheme="majorHAnsi"/>
            <w:lang w:val="en-GB"/>
          </w:rPr>
          <w:fldChar w:fldCharType="end"/>
        </w:r>
      </w:hyperlink>
      <w:r w:rsidR="00295649">
        <w:rPr>
          <w:rFonts w:asciiTheme="majorHAnsi" w:hAnsiTheme="majorHAnsi"/>
          <w:lang w:val="en-GB"/>
        </w:rPr>
        <w:t xml:space="preserve">, </w:t>
      </w:r>
      <w:hyperlink w:anchor="_ENREF_16" w:tooltip="Steen-Olsen, 2012 #641" w:history="1">
        <w:r w:rsidR="004B4AF6">
          <w:rPr>
            <w:rFonts w:asciiTheme="majorHAnsi" w:hAnsiTheme="majorHAnsi"/>
            <w:lang w:val="en-GB"/>
          </w:rPr>
          <w:fldChar w:fldCharType="begin"/>
        </w:r>
        <w:r w:rsidR="004B4AF6">
          <w:rPr>
            <w:rFonts w:asciiTheme="majorHAnsi" w:hAnsiTheme="majorHAnsi"/>
            <w:lang w:val="en-GB"/>
          </w:rPr>
          <w:instrText xml:space="preserve"> ADDIN EN.CITE &lt;EndNote&gt;&lt;Cite AuthorYear="1"&gt;&lt;Author&gt;Steen-Olsen&lt;/Author&gt;&lt;Year&gt;2012&lt;/Year&gt;&lt;RecNum&gt;641&lt;/RecNum&gt;&lt;DisplayText&gt;Steen-Olsen et al. (2012)&lt;/DisplayText&gt;&lt;record&gt;&lt;rec-number&gt;641&lt;/rec-number&gt;&lt;foreign-keys&gt;&lt;key app="EN" db-id="s0tde0xz2xaee9edeervtv2uvtrx99daf9a5"&gt;641&lt;/key&gt;&lt;/foreign-keys&gt;&lt;ref-type name="Journal Article"&gt;17&lt;/ref-type&gt;&lt;contributors&gt;&lt;authors&gt;&lt;author&gt;Steen-Olsen, K.&lt;/author&gt;&lt;author&gt;Weinzettel, J.&lt;/author&gt;&lt;author&gt;Cranston, G.&lt;/author&gt;&lt;author&gt;Ertug-Ercin, A.&lt;/author&gt;&lt;author&gt;Hertwich, E.G.&lt;/author&gt;&lt;/authors&gt;&lt;/contributors&gt;&lt;titles&gt;&lt;title&gt;Carbon, Land, and Water Footprint Accounts for the European Union: Consumption, Production, and Displacements through International Trade&lt;/title&gt;&lt;secondary-title&gt;Environmental Science &amp;amp; Technology&lt;/secondary-title&gt;&lt;/titles&gt;&lt;periodical&gt;&lt;full-title&gt;Environmental Science &amp;amp; Technology&lt;/full-title&gt;&lt;/periodical&gt;&lt;dates&gt;&lt;year&gt;2012&lt;/year&gt;&lt;/dates&gt;&lt;urls&gt;&lt;/urls&gt;&lt;electronic-resource-num&gt;dx.doi.org/10.1021/es301949t&lt;/electronic-resource-num&gt;&lt;/record&gt;&lt;/Cite&gt;&lt;/EndNote&gt;</w:instrText>
        </w:r>
        <w:r w:rsidR="004B4AF6">
          <w:rPr>
            <w:rFonts w:asciiTheme="majorHAnsi" w:hAnsiTheme="majorHAnsi"/>
            <w:lang w:val="en-GB"/>
          </w:rPr>
          <w:fldChar w:fldCharType="separate"/>
        </w:r>
        <w:r w:rsidR="004B4AF6">
          <w:rPr>
            <w:rFonts w:asciiTheme="majorHAnsi" w:hAnsiTheme="majorHAnsi"/>
            <w:noProof/>
            <w:lang w:val="en-GB"/>
          </w:rPr>
          <w:t>Steen-Olsen et al. (2012)</w:t>
        </w:r>
        <w:r w:rsidR="004B4AF6">
          <w:rPr>
            <w:rFonts w:asciiTheme="majorHAnsi" w:hAnsiTheme="majorHAnsi"/>
            <w:lang w:val="en-GB"/>
          </w:rPr>
          <w:fldChar w:fldCharType="end"/>
        </w:r>
      </w:hyperlink>
      <w:r w:rsidR="00295649">
        <w:rPr>
          <w:rFonts w:asciiTheme="majorHAnsi" w:hAnsiTheme="majorHAnsi"/>
          <w:lang w:val="en-GB"/>
        </w:rPr>
        <w:t xml:space="preserve">, </w:t>
      </w:r>
      <w:hyperlink w:anchor="_ENREF_4" w:tooltip="Cadarso, 2012 #598" w:history="1">
        <w:r w:rsidR="004B4AF6">
          <w:rPr>
            <w:rFonts w:asciiTheme="majorHAnsi" w:hAnsiTheme="majorHAnsi"/>
            <w:lang w:val="en-GB"/>
          </w:rPr>
          <w:fldChar w:fldCharType="begin"/>
        </w:r>
        <w:r w:rsidR="004B4AF6">
          <w:rPr>
            <w:rFonts w:asciiTheme="majorHAnsi" w:hAnsiTheme="majorHAnsi"/>
            <w:lang w:val="en-GB"/>
          </w:rPr>
          <w:instrText xml:space="preserve"> ADDIN EN.CITE &lt;EndNote&gt;&lt;Cite AuthorYear="1"&gt;&lt;Author&gt;Cadarso&lt;/Author&gt;&lt;Year&gt;2012&lt;/Year&gt;&lt;RecNum&gt;598&lt;/RecNum&gt;&lt;DisplayText&gt;Cadarso et al. (2012)&lt;/DisplayText&gt;&lt;record&gt;&lt;rec-number&gt;598&lt;/rec-number&gt;&lt;foreign-keys&gt;&lt;key app="EN" db-id="s0tde0xz2xaee9edeervtv2uvtrx99daf9a5"&gt;598&lt;/key&gt;&lt;/foreign-keys&gt;&lt;ref-type name="Journal Article"&gt;17&lt;/ref-type&gt;&lt;contributors&gt;&lt;authors&gt;&lt;author&gt;Cadarso, María-Ángeles&lt;/author&gt;&lt;author&gt;López, Luis-Antonio&lt;/author&gt;&lt;author&gt;Gómez, Nuria&lt;/author&gt;&lt;author&gt;Tobarra, María-Ángeles&lt;/author&gt;&lt;/authors&gt;&lt;/contributors&gt;&lt;titles&gt;&lt;title&gt;International trade and shared environmental responsibility by sector. An application to the Spanish economy&lt;/title&gt;&lt;secondary-title&gt;Ecological Economics&lt;/secondary-title&gt;&lt;/titles&gt;&lt;periodical&gt;&lt;full-title&gt;Ecological Economics&lt;/full-title&gt;&lt;/periodical&gt;&lt;pages&gt;221-235&lt;/pages&gt;&lt;volume&gt;83&lt;/volume&gt;&lt;keywords&gt;&lt;keyword&gt;CO2 emissions&lt;/keyword&gt;&lt;keyword&gt;International trade&lt;/keyword&gt;&lt;keyword&gt;Shared responsibility between producer and consumer&lt;/keyword&gt;&lt;/keywords&gt;&lt;dates&gt;&lt;year&gt;2012&lt;/year&gt;&lt;/dates&gt;&lt;urls&gt;&lt;related-urls&gt;&lt;url&gt;http://www.sciencedirect.com/science/article/pii/S0921800912002224&lt;/url&gt;&lt;/related-urls&gt;&lt;/urls&gt;&lt;electronic-resource-num&gt;10.1016/j.ecolecon.2012.05.009&lt;/electronic-resource-num&gt;&lt;/record&gt;&lt;/Cite&gt;&lt;/EndNote&gt;</w:instrText>
        </w:r>
        <w:r w:rsidR="004B4AF6">
          <w:rPr>
            <w:rFonts w:asciiTheme="majorHAnsi" w:hAnsiTheme="majorHAnsi"/>
            <w:lang w:val="en-GB"/>
          </w:rPr>
          <w:fldChar w:fldCharType="separate"/>
        </w:r>
        <w:r w:rsidR="004B4AF6">
          <w:rPr>
            <w:rFonts w:asciiTheme="majorHAnsi" w:hAnsiTheme="majorHAnsi"/>
            <w:noProof/>
            <w:lang w:val="en-GB"/>
          </w:rPr>
          <w:t>Cadarso et al. (2012)</w:t>
        </w:r>
        <w:r w:rsidR="004B4AF6">
          <w:rPr>
            <w:rFonts w:asciiTheme="majorHAnsi" w:hAnsiTheme="majorHAnsi"/>
            <w:lang w:val="en-GB"/>
          </w:rPr>
          <w:fldChar w:fldCharType="end"/>
        </w:r>
      </w:hyperlink>
      <w:r w:rsidR="00295649">
        <w:rPr>
          <w:rFonts w:asciiTheme="majorHAnsi" w:hAnsiTheme="majorHAnsi"/>
          <w:lang w:val="en-GB"/>
        </w:rPr>
        <w:t xml:space="preserve">) or in the structural decomposition analysis to </w:t>
      </w:r>
      <w:r w:rsidR="00295649">
        <w:rPr>
          <w:rFonts w:asciiTheme="majorHAnsi" w:hAnsiTheme="majorHAnsi"/>
          <w:lang w:val="en-GB"/>
        </w:rPr>
        <w:lastRenderedPageBreak/>
        <w:t xml:space="preserve">evaluate the impact of the trade </w:t>
      </w:r>
      <w:r w:rsidR="008F4147">
        <w:rPr>
          <w:rFonts w:asciiTheme="majorHAnsi" w:hAnsiTheme="majorHAnsi"/>
          <w:lang w:val="en-GB"/>
        </w:rPr>
        <w:fldChar w:fldCharType="begin"/>
      </w:r>
      <w:r w:rsidR="008F4147">
        <w:rPr>
          <w:rFonts w:asciiTheme="majorHAnsi" w:hAnsiTheme="majorHAnsi"/>
          <w:lang w:val="en-GB"/>
        </w:rPr>
        <w:instrText xml:space="preserve"> ADDIN EN.CITE &lt;EndNote&gt;&lt;Cite&gt;&lt;Author&gt;Xu&lt;/Author&gt;&lt;Year&gt;2014&lt;/Year&gt;&lt;RecNum&gt;941&lt;/RecNum&gt;&lt;DisplayText&gt;(Xu and Dietzenbacher, 2014)&lt;/DisplayText&gt;&lt;record&gt;&lt;rec-number&gt;941&lt;/rec-number&gt;&lt;foreign-keys&gt;&lt;key app="EN" db-id="s0tde0xz2xaee9edeervtv2uvtrx99daf9a5"&gt;941&lt;/key&gt;&lt;/foreign-keys&gt;&lt;ref-type name="Journal Article"&gt;17&lt;/ref-type&gt;&lt;contributors&gt;&lt;authors&gt;&lt;author&gt;Xu, Yan&lt;/author&gt;&lt;author&gt;Dietzenbacher, Erik&lt;/author&gt;&lt;/authors&gt;&lt;/contributors&gt;&lt;titles&gt;&lt;title&gt;A structural decomposition analysis of the emissions embodied in trade&lt;/title&gt;&lt;secondary-title&gt;Ecological Economics&lt;/secondary-title&gt;&lt;/titles&gt;&lt;periodical&gt;&lt;full-title&gt;Ecological Economics&lt;/full-title&gt;&lt;/periodical&gt;&lt;pages&gt;10-20&lt;/pages&gt;&lt;volume&gt;101&lt;/volume&gt;&lt;number&gt;0&lt;/number&gt;&lt;keywords&gt;&lt;keyword&gt;World Input–output Database&lt;/keyword&gt;&lt;keyword&gt;Emissions embodied in trade&lt;/keyword&gt;&lt;keyword&gt;Structural decomposition analysis&lt;/keyword&gt;&lt;keyword&gt;Global multi-regional input–output model&lt;/keyword&gt;&lt;/keywords&gt;&lt;dates&gt;&lt;year&gt;2014&lt;/year&gt;&lt;pub-dates&gt;&lt;date&gt;5//&lt;/date&gt;&lt;/pub-dates&gt;&lt;/dates&gt;&lt;isbn&gt;0921-8009&lt;/isbn&gt;&lt;urls&gt;&lt;related-urls&gt;&lt;url&gt;http://www.sciencedirect.com/science/article/pii/S0921800914000627&lt;/url&gt;&lt;/related-urls&gt;&lt;/urls&gt;&lt;electronic-resource-num&gt;http://dx.doi.org/10.1016/j.ecolecon.2014.02.015&lt;/electronic-resource-num&gt;&lt;/record&gt;&lt;/Cite&gt;&lt;/EndNote&gt;</w:instrText>
      </w:r>
      <w:r w:rsidR="008F4147">
        <w:rPr>
          <w:rFonts w:asciiTheme="majorHAnsi" w:hAnsiTheme="majorHAnsi"/>
          <w:lang w:val="en-GB"/>
        </w:rPr>
        <w:fldChar w:fldCharType="separate"/>
      </w:r>
      <w:r w:rsidR="008F4147">
        <w:rPr>
          <w:rFonts w:asciiTheme="majorHAnsi" w:hAnsiTheme="majorHAnsi"/>
          <w:noProof/>
          <w:lang w:val="en-GB"/>
        </w:rPr>
        <w:t>(</w:t>
      </w:r>
      <w:hyperlink w:anchor="_ENREF_23" w:tooltip="Xu, 2014 #941" w:history="1">
        <w:r w:rsidR="004B4AF6">
          <w:rPr>
            <w:rFonts w:asciiTheme="majorHAnsi" w:hAnsiTheme="majorHAnsi"/>
            <w:noProof/>
            <w:lang w:val="en-GB"/>
          </w:rPr>
          <w:t>Xu and Dietzenbacher, 2014</w:t>
        </w:r>
      </w:hyperlink>
      <w:r w:rsidR="008F4147">
        <w:rPr>
          <w:rFonts w:asciiTheme="majorHAnsi" w:hAnsiTheme="majorHAnsi"/>
          <w:noProof/>
          <w:lang w:val="en-GB"/>
        </w:rPr>
        <w:t>)</w:t>
      </w:r>
      <w:r w:rsidR="008F4147">
        <w:rPr>
          <w:rFonts w:asciiTheme="majorHAnsi" w:hAnsiTheme="majorHAnsi"/>
          <w:lang w:val="en-GB"/>
        </w:rPr>
        <w:fldChar w:fldCharType="end"/>
      </w:r>
      <w:r w:rsidR="00295649" w:rsidRPr="00295649">
        <w:rPr>
          <w:rFonts w:asciiTheme="majorHAnsi" w:hAnsiTheme="majorHAnsi"/>
          <w:lang w:val="en-GB"/>
        </w:rPr>
        <w:t>.</w:t>
      </w:r>
      <w:r w:rsidR="00295649">
        <w:rPr>
          <w:rFonts w:asciiTheme="majorHAnsi" w:hAnsiTheme="majorHAnsi"/>
          <w:lang w:val="en-GB"/>
        </w:rPr>
        <w:t xml:space="preserve"> Other papers have shown the displacement in terms of deforestation </w:t>
      </w:r>
      <w:r w:rsidR="008F4147">
        <w:rPr>
          <w:rFonts w:asciiTheme="majorHAnsi" w:hAnsiTheme="majorHAnsi"/>
          <w:lang w:val="en-GB"/>
        </w:rPr>
        <w:fldChar w:fldCharType="begin"/>
      </w:r>
      <w:r w:rsidR="008F4147">
        <w:rPr>
          <w:rFonts w:asciiTheme="majorHAnsi" w:hAnsiTheme="majorHAnsi"/>
          <w:lang w:val="en-GB"/>
        </w:rPr>
        <w:instrText xml:space="preserve"> ADDIN EN.CITE &lt;EndNote&gt;&lt;Cite&gt;&lt;Author&gt;Karstensen&lt;/Author&gt;&lt;Year&gt;2013&lt;/Year&gt;&lt;RecNum&gt;942&lt;/RecNum&gt;&lt;DisplayText&gt;(Karstensen et al., 2013)&lt;/DisplayText&gt;&lt;record&gt;&lt;rec-number&gt;942&lt;/rec-number&gt;&lt;foreign-keys&gt;&lt;key app="EN" db-id="s0tde0xz2xaee9edeervtv2uvtrx99daf9a5"&gt;942&lt;/key&gt;&lt;/foreign-keys&gt;&lt;ref-type name="Journal Article"&gt;17&lt;/ref-type&gt;&lt;contributors&gt;&lt;authors&gt;&lt;author&gt;Karstensen, J.&lt;/author&gt;&lt;author&gt;Peters, G.P.&lt;/author&gt;&lt;author&gt;Andrew, R.M. &lt;/author&gt;&lt;/authors&gt;&lt;/contributors&gt;&lt;titles&gt;&lt;title&gt;Attribution of CO2 emissions from Brazilian deforestation to consumers between 1990 and 2010&lt;/title&gt;&lt;secondary-title&gt;Environmental Research Letters&lt;/secondary-title&gt;&lt;/titles&gt;&lt;periodical&gt;&lt;full-title&gt;Environmental Research Letters&lt;/full-title&gt;&lt;/periodical&gt;&lt;volume&gt;8&lt;/volume&gt;&lt;number&gt;2&lt;/number&gt;&lt;dates&gt;&lt;year&gt;2013&lt;/year&gt;&lt;/dates&gt;&lt;urls&gt;&lt;/urls&gt;&lt;/record&gt;&lt;/Cite&gt;&lt;/EndNote&gt;</w:instrText>
      </w:r>
      <w:r w:rsidR="008F4147">
        <w:rPr>
          <w:rFonts w:asciiTheme="majorHAnsi" w:hAnsiTheme="majorHAnsi"/>
          <w:lang w:val="en-GB"/>
        </w:rPr>
        <w:fldChar w:fldCharType="separate"/>
      </w:r>
      <w:r w:rsidR="008F4147">
        <w:rPr>
          <w:rFonts w:asciiTheme="majorHAnsi" w:hAnsiTheme="majorHAnsi"/>
          <w:noProof/>
          <w:lang w:val="en-GB"/>
        </w:rPr>
        <w:t>(</w:t>
      </w:r>
      <w:hyperlink w:anchor="_ENREF_9" w:tooltip="Karstensen, 2013 #942" w:history="1">
        <w:r w:rsidR="004B4AF6">
          <w:rPr>
            <w:rFonts w:asciiTheme="majorHAnsi" w:hAnsiTheme="majorHAnsi"/>
            <w:noProof/>
            <w:lang w:val="en-GB"/>
          </w:rPr>
          <w:t>Karstensen et al., 2013</w:t>
        </w:r>
      </w:hyperlink>
      <w:r w:rsidR="008F4147">
        <w:rPr>
          <w:rFonts w:asciiTheme="majorHAnsi" w:hAnsiTheme="majorHAnsi"/>
          <w:noProof/>
          <w:lang w:val="en-GB"/>
        </w:rPr>
        <w:t>)</w:t>
      </w:r>
      <w:r w:rsidR="008F4147">
        <w:rPr>
          <w:rFonts w:asciiTheme="majorHAnsi" w:hAnsiTheme="majorHAnsi"/>
          <w:lang w:val="en-GB"/>
        </w:rPr>
        <w:fldChar w:fldCharType="end"/>
      </w:r>
      <w:r w:rsidR="00295649">
        <w:rPr>
          <w:rFonts w:asciiTheme="majorHAnsi" w:hAnsiTheme="majorHAnsi"/>
          <w:lang w:val="en-GB"/>
        </w:rPr>
        <w:t xml:space="preserve"> and the loss of biodiversity linked to international trade </w:t>
      </w:r>
      <w:r w:rsidR="003052C3">
        <w:rPr>
          <w:rFonts w:asciiTheme="majorHAnsi" w:hAnsiTheme="majorHAnsi"/>
          <w:lang w:val="en-GB"/>
        </w:rPr>
        <w:fldChar w:fldCharType="begin"/>
      </w:r>
      <w:r w:rsidR="003052C3">
        <w:rPr>
          <w:rFonts w:asciiTheme="majorHAnsi" w:hAnsiTheme="majorHAnsi"/>
          <w:lang w:val="en-GB"/>
        </w:rPr>
        <w:instrText xml:space="preserve"> ADDIN EN.CITE &lt;EndNote&gt;&lt;Cite&gt;&lt;Author&gt;Lenzen&lt;/Author&gt;&lt;Year&gt;2012&lt;/Year&gt;&lt;RecNum&gt;622&lt;/RecNum&gt;&lt;DisplayText&gt;(Lenzen et al., 2012)&lt;/DisplayText&gt;&lt;record&gt;&lt;rec-number&gt;622&lt;/rec-number&gt;&lt;foreign-keys&gt;&lt;key app="EN" db-id="s0tde0xz2xaee9edeervtv2uvtrx99daf9a5"&gt;622&lt;/key&gt;&lt;/foreign-keys&gt;&lt;ref-type name="Journal Article"&gt;17&lt;/ref-type&gt;&lt;contributors&gt;&lt;authors&gt;&lt;author&gt;Lenzen, M.&lt;/author&gt;&lt;author&gt;Moran, D.&lt;/author&gt;&lt;author&gt;Kanemoto, K.&lt;/author&gt;&lt;author&gt;Foran, B.&lt;/author&gt;&lt;author&gt;Lobefaro, L.&lt;/author&gt;&lt;author&gt;Geschke, A.&lt;/author&gt;&lt;/authors&gt;&lt;/contributors&gt;&lt;titles&gt;&lt;title&gt;International trade drives biodiversity threats in developing nations&lt;/title&gt;&lt;secondary-title&gt;Nature&lt;/secondary-title&gt;&lt;/titles&gt;&lt;periodical&gt;&lt;full-title&gt;Nature&lt;/full-title&gt;&lt;/periodical&gt;&lt;pages&gt;109-112&lt;/pages&gt;&lt;volume&gt;486&lt;/volume&gt;&lt;number&gt;7401&lt;/number&gt;&lt;dates&gt;&lt;year&gt;2012&lt;/year&gt;&lt;/dates&gt;&lt;publisher&gt;Nature Publishing Group, a division of Macmillan Publishers Limited. All Rights Reserved.&lt;/publisher&gt;&lt;isbn&gt;0028-0836&lt;/isbn&gt;&lt;work-type&gt;10.1038/nature11145&lt;/work-type&gt;&lt;urls&gt;&lt;related-urls&gt;&lt;url&gt;http://dx.doi.org/10.1038/nature11145&lt;/url&gt;&lt;/related-urls&gt;&lt;/urls&gt;&lt;electronic-resource-num&gt;http://www.nature.com/nature/journal/v486/n7401/abs/nature11145.html#supplementary-information&lt;/electronic-resource-num&gt;&lt;/record&gt;&lt;/Cite&gt;&lt;/EndNote&gt;</w:instrText>
      </w:r>
      <w:r w:rsidR="003052C3">
        <w:rPr>
          <w:rFonts w:asciiTheme="majorHAnsi" w:hAnsiTheme="majorHAnsi"/>
          <w:lang w:val="en-GB"/>
        </w:rPr>
        <w:fldChar w:fldCharType="separate"/>
      </w:r>
      <w:r w:rsidR="003052C3">
        <w:rPr>
          <w:rFonts w:asciiTheme="majorHAnsi" w:hAnsiTheme="majorHAnsi"/>
          <w:noProof/>
          <w:lang w:val="en-GB"/>
        </w:rPr>
        <w:t>(</w:t>
      </w:r>
      <w:hyperlink w:anchor="_ENREF_10" w:tooltip="Lenzen, 2012 #622" w:history="1">
        <w:r w:rsidR="004B4AF6">
          <w:rPr>
            <w:rFonts w:asciiTheme="majorHAnsi" w:hAnsiTheme="majorHAnsi"/>
            <w:noProof/>
            <w:lang w:val="en-GB"/>
          </w:rPr>
          <w:t>Lenzen et al., 2012</w:t>
        </w:r>
      </w:hyperlink>
      <w:r w:rsidR="003052C3">
        <w:rPr>
          <w:rFonts w:asciiTheme="majorHAnsi" w:hAnsiTheme="majorHAnsi"/>
          <w:noProof/>
          <w:lang w:val="en-GB"/>
        </w:rPr>
        <w:t>)</w:t>
      </w:r>
      <w:r w:rsidR="003052C3">
        <w:rPr>
          <w:rFonts w:asciiTheme="majorHAnsi" w:hAnsiTheme="majorHAnsi"/>
          <w:lang w:val="en-GB"/>
        </w:rPr>
        <w:fldChar w:fldCharType="end"/>
      </w:r>
      <w:r w:rsidR="00295649">
        <w:rPr>
          <w:rFonts w:asciiTheme="majorHAnsi" w:hAnsiTheme="majorHAnsi"/>
          <w:lang w:val="en-GB"/>
        </w:rPr>
        <w:t xml:space="preserve">. </w:t>
      </w:r>
    </w:p>
    <w:p w14:paraId="2EF90697" w14:textId="21D7B600" w:rsidR="004C238B" w:rsidRDefault="00F221BC" w:rsidP="008F44EC">
      <w:pPr>
        <w:ind w:firstLine="0"/>
        <w:rPr>
          <w:rFonts w:asciiTheme="majorHAnsi" w:hAnsiTheme="majorHAnsi"/>
          <w:lang w:val="en-GB"/>
        </w:rPr>
      </w:pPr>
      <w:r w:rsidRPr="00E85273">
        <w:rPr>
          <w:rFonts w:asciiTheme="majorHAnsi" w:hAnsiTheme="majorHAnsi"/>
          <w:lang w:val="en-US"/>
        </w:rPr>
        <w:t>Affluence</w:t>
      </w:r>
      <w:r>
        <w:rPr>
          <w:rFonts w:asciiTheme="majorHAnsi" w:hAnsiTheme="majorHAnsi"/>
          <w:lang w:val="en-US"/>
        </w:rPr>
        <w:t xml:space="preserve"> or per capita income</w:t>
      </w:r>
      <w:r w:rsidRPr="00E85273">
        <w:rPr>
          <w:rFonts w:asciiTheme="majorHAnsi" w:hAnsiTheme="majorHAnsi"/>
          <w:lang w:val="en-US"/>
        </w:rPr>
        <w:t xml:space="preserve"> </w:t>
      </w:r>
      <w:r>
        <w:rPr>
          <w:rFonts w:asciiTheme="majorHAnsi" w:hAnsiTheme="majorHAnsi"/>
          <w:lang w:val="en-US"/>
        </w:rPr>
        <w:t xml:space="preserve">of develop countries </w:t>
      </w:r>
      <w:r w:rsidRPr="00E85273">
        <w:rPr>
          <w:rFonts w:asciiTheme="majorHAnsi" w:hAnsiTheme="majorHAnsi"/>
          <w:lang w:val="en-US"/>
        </w:rPr>
        <w:t xml:space="preserve">drives </w:t>
      </w:r>
      <w:r>
        <w:rPr>
          <w:rFonts w:asciiTheme="majorHAnsi" w:hAnsiTheme="majorHAnsi"/>
          <w:lang w:val="en-US"/>
        </w:rPr>
        <w:t xml:space="preserve">the </w:t>
      </w:r>
      <w:r w:rsidRPr="00E85273">
        <w:rPr>
          <w:rFonts w:asciiTheme="majorHAnsi" w:hAnsiTheme="majorHAnsi"/>
          <w:lang w:val="en-US"/>
        </w:rPr>
        <w:t xml:space="preserve">displacement of land </w:t>
      </w:r>
      <w:r>
        <w:rPr>
          <w:rFonts w:asciiTheme="majorHAnsi" w:hAnsiTheme="majorHAnsi"/>
          <w:lang w:val="en-US"/>
        </w:rPr>
        <w:t xml:space="preserve">use from developing and emerging countries </w:t>
      </w:r>
      <w:r w:rsidR="008F4147">
        <w:rPr>
          <w:rFonts w:asciiTheme="majorHAnsi" w:hAnsiTheme="majorHAnsi"/>
          <w:lang w:val="en-GB"/>
        </w:rPr>
        <w:fldChar w:fldCharType="begin"/>
      </w:r>
      <w:r w:rsidR="008F4147">
        <w:rPr>
          <w:rFonts w:asciiTheme="majorHAnsi" w:hAnsiTheme="majorHAnsi"/>
          <w:lang w:val="en-GB"/>
        </w:rPr>
        <w:instrText xml:space="preserve"> ADDIN EN.CITE &lt;EndNote&gt;&lt;Cite&gt;&lt;Author&gt;Weinzettel&lt;/Author&gt;&lt;Year&gt;2013&lt;/Year&gt;&lt;RecNum&gt;940&lt;/RecNum&gt;&lt;DisplayText&gt;(Weinzettel et al., 2013)&lt;/DisplayText&gt;&lt;record&gt;&lt;rec-number&gt;940&lt;/rec-number&gt;&lt;foreign-keys&gt;&lt;key app="EN" db-id="s0tde0xz2xaee9edeervtv2uvtrx99daf9a5"&gt;940&lt;/key&gt;&lt;/foreign-keys&gt;&lt;ref-type name="Journal Article"&gt;17&lt;/ref-type&gt;&lt;contributors&gt;&lt;authors&gt;&lt;author&gt;Weinzettel, Jan&lt;/author&gt;&lt;author&gt;Hertwich, Edgar G.&lt;/author&gt;&lt;author&gt;Peters, Glen P.&lt;/author&gt;&lt;author&gt;Steen-Olsen, Kjartan&lt;/author&gt;&lt;author&gt;Galli, Alessandro&lt;/author&gt;&lt;/authors&gt;&lt;/contributors&gt;&lt;titles&gt;&lt;title&gt;Affluence drives the global displacement of land use&lt;/title&gt;&lt;secondary-title&gt;Global Environmental Change&lt;/secondary-title&gt;&lt;/titles&gt;&lt;periodical&gt;&lt;full-title&gt;Global Environmental Change&lt;/full-title&gt;&lt;/periodical&gt;&lt;pages&gt;433-438&lt;/pages&gt;&lt;volume&gt;23&lt;/volume&gt;&lt;number&gt;2&lt;/number&gt;&lt;keywords&gt;&lt;keyword&gt;International trade&lt;/keyword&gt;&lt;keyword&gt;Multiregional input–output analysis&lt;/keyword&gt;&lt;keyword&gt;Land use displacement&lt;/keyword&gt;&lt;keyword&gt;Resources embodied in trade&lt;/keyword&gt;&lt;keyword&gt;Ecological footprint&lt;/keyword&gt;&lt;keyword&gt;Land footprint&lt;/keyword&gt;&lt;keyword&gt;Global hinterland&lt;/keyword&gt;&lt;keyword&gt;Land grabbing&lt;/keyword&gt;&lt;keyword&gt;Land sparing&lt;/keyword&gt;&lt;/keywords&gt;&lt;dates&gt;&lt;year&gt;2013&lt;/year&gt;&lt;pub-dates&gt;&lt;date&gt;4//&lt;/date&gt;&lt;/pub-dates&gt;&lt;/dates&gt;&lt;isbn&gt;0959-3780&lt;/isbn&gt;&lt;urls&gt;&lt;related-urls&gt;&lt;url&gt;http://www.sciencedirect.com/science/article/pii/S0959378012001501&lt;/url&gt;&lt;/related-urls&gt;&lt;/urls&gt;&lt;electronic-resource-num&gt;http://dx.doi.org/10.1016/j.gloenvcha.2012.12.010&lt;/electronic-resource-num&gt;&lt;/record&gt;&lt;/Cite&gt;&lt;/EndNote&gt;</w:instrText>
      </w:r>
      <w:r w:rsidR="008F4147">
        <w:rPr>
          <w:rFonts w:asciiTheme="majorHAnsi" w:hAnsiTheme="majorHAnsi"/>
          <w:lang w:val="en-GB"/>
        </w:rPr>
        <w:fldChar w:fldCharType="separate"/>
      </w:r>
      <w:r w:rsidR="008F4147">
        <w:rPr>
          <w:rFonts w:asciiTheme="majorHAnsi" w:hAnsiTheme="majorHAnsi"/>
          <w:noProof/>
          <w:lang w:val="en-GB"/>
        </w:rPr>
        <w:t>(</w:t>
      </w:r>
      <w:hyperlink w:anchor="_ENREF_20" w:tooltip="Weinzettel, 2013 #940" w:history="1">
        <w:r w:rsidR="004B4AF6">
          <w:rPr>
            <w:rFonts w:asciiTheme="majorHAnsi" w:hAnsiTheme="majorHAnsi"/>
            <w:noProof/>
            <w:lang w:val="en-GB"/>
          </w:rPr>
          <w:t>Weinzettel et al., 2013</w:t>
        </w:r>
      </w:hyperlink>
      <w:r w:rsidR="008F4147">
        <w:rPr>
          <w:rFonts w:asciiTheme="majorHAnsi" w:hAnsiTheme="majorHAnsi"/>
          <w:noProof/>
          <w:lang w:val="en-GB"/>
        </w:rPr>
        <w:t>)</w:t>
      </w:r>
      <w:r w:rsidR="008F4147">
        <w:rPr>
          <w:rFonts w:asciiTheme="majorHAnsi" w:hAnsiTheme="majorHAnsi"/>
          <w:lang w:val="en-GB"/>
        </w:rPr>
        <w:fldChar w:fldCharType="end"/>
      </w:r>
      <w:r>
        <w:rPr>
          <w:rFonts w:asciiTheme="majorHAnsi" w:hAnsiTheme="majorHAnsi"/>
          <w:lang w:val="en-US"/>
        </w:rPr>
        <w:t xml:space="preserve">, </w:t>
      </w:r>
      <w:r w:rsidRPr="00E85273">
        <w:rPr>
          <w:rFonts w:asciiTheme="majorHAnsi" w:hAnsiTheme="majorHAnsi"/>
          <w:lang w:val="en-US"/>
        </w:rPr>
        <w:t xml:space="preserve">the global </w:t>
      </w:r>
      <w:r>
        <w:rPr>
          <w:rFonts w:asciiTheme="majorHAnsi" w:hAnsiTheme="majorHAnsi"/>
          <w:lang w:val="en-US"/>
        </w:rPr>
        <w:t>materials embodied in international trade with the density of population</w:t>
      </w:r>
      <w:r w:rsidR="00330079">
        <w:rPr>
          <w:rFonts w:asciiTheme="majorHAnsi" w:hAnsiTheme="majorHAnsi"/>
          <w:lang w:val="en-US"/>
        </w:rPr>
        <w:t xml:space="preserve"> </w:t>
      </w:r>
      <w:r w:rsidR="00330079">
        <w:rPr>
          <w:rFonts w:asciiTheme="majorHAnsi" w:hAnsiTheme="majorHAnsi"/>
          <w:lang w:val="en-US"/>
        </w:rPr>
        <w:fldChar w:fldCharType="begin"/>
      </w:r>
      <w:r w:rsidR="00330079">
        <w:rPr>
          <w:rFonts w:asciiTheme="majorHAnsi" w:hAnsiTheme="majorHAnsi"/>
          <w:lang w:val="en-US"/>
        </w:rPr>
        <w:instrText xml:space="preserve"> ADDIN EN.CITE &lt;EndNote&gt;&lt;Cite&gt;&lt;Author&gt;Bruckner&lt;/Author&gt;&lt;Year&gt;2012&lt;/Year&gt;&lt;RecNum&gt;944&lt;/RecNum&gt;&lt;DisplayText&gt;(Bruckner et al., 2012)&lt;/DisplayText&gt;&lt;record&gt;&lt;rec-number&gt;944&lt;/rec-number&gt;&lt;foreign-keys&gt;&lt;key app="EN" db-id="s0tde0xz2xaee9edeervtv2uvtrx99daf9a5"&gt;944&lt;/key&gt;&lt;/foreign-keys&gt;&lt;ref-type name="Journal Article"&gt;17&lt;/ref-type&gt;&lt;contributors&gt;&lt;authors&gt;&lt;author&gt;Bruckner, Martin&lt;/author&gt;&lt;author&gt;Giljum, Stefan&lt;/author&gt;&lt;author&gt;Lutz, Christian&lt;/author&gt;&lt;author&gt;Wiebe, Kirsten Svenja&lt;/author&gt;&lt;/authors&gt;&lt;/contributors&gt;&lt;titles&gt;&lt;title&gt;Materials embodied in international trade – Global material extraction and consumption between 1995 and 2005&lt;/title&gt;&lt;secondary-title&gt;Global Environmental Change&lt;/secondary-title&gt;&lt;/titles&gt;&lt;periodical&gt;&lt;full-title&gt;Global Environmental Change&lt;/full-title&gt;&lt;/periodical&gt;&lt;pages&gt;568-576&lt;/pages&gt;&lt;volume&gt;22&lt;/volume&gt;&lt;number&gt;3&lt;/number&gt;&lt;keywords&gt;&lt;keyword&gt;Embodied material requirements&lt;/keyword&gt;&lt;keyword&gt;Material flow accounting&lt;/keyword&gt;&lt;keyword&gt;International trade&lt;/keyword&gt;&lt;keyword&gt;Raw material consumption&lt;/keyword&gt;&lt;keyword&gt;Multi-regional input–output analysis&lt;/keyword&gt;&lt;/keywords&gt;&lt;dates&gt;&lt;year&gt;2012&lt;/year&gt;&lt;pub-dates&gt;&lt;date&gt;8//&lt;/date&gt;&lt;/pub-dates&gt;&lt;/dates&gt;&lt;isbn&gt;0959-3780&lt;/isbn&gt;&lt;urls&gt;&lt;related-urls&gt;&lt;url&gt;http://www.sciencedirect.com/science/article/pii/S0959378012000350&lt;/url&gt;&lt;/related-urls&gt;&lt;/urls&gt;&lt;electronic-resource-num&gt;http://dx.doi.org/10.1016/j.gloenvcha.2012.03.011&lt;/electronic-resource-num&gt;&lt;/record&gt;&lt;/Cite&gt;&lt;/EndNote&gt;</w:instrText>
      </w:r>
      <w:r w:rsidR="00330079">
        <w:rPr>
          <w:rFonts w:asciiTheme="majorHAnsi" w:hAnsiTheme="majorHAnsi"/>
          <w:lang w:val="en-US"/>
        </w:rPr>
        <w:fldChar w:fldCharType="separate"/>
      </w:r>
      <w:r w:rsidR="00330079">
        <w:rPr>
          <w:rFonts w:asciiTheme="majorHAnsi" w:hAnsiTheme="majorHAnsi"/>
          <w:noProof/>
          <w:lang w:val="en-US"/>
        </w:rPr>
        <w:t>(</w:t>
      </w:r>
      <w:hyperlink w:anchor="_ENREF_3" w:tooltip="Bruckner, 2012 #944" w:history="1">
        <w:r w:rsidR="004B4AF6">
          <w:rPr>
            <w:rFonts w:asciiTheme="majorHAnsi" w:hAnsiTheme="majorHAnsi"/>
            <w:noProof/>
            <w:lang w:val="en-US"/>
          </w:rPr>
          <w:t>Bruckner et al., 2012</w:t>
        </w:r>
      </w:hyperlink>
      <w:r w:rsidR="00330079">
        <w:rPr>
          <w:rFonts w:asciiTheme="majorHAnsi" w:hAnsiTheme="majorHAnsi"/>
          <w:noProof/>
          <w:lang w:val="en-US"/>
        </w:rPr>
        <w:t>)</w:t>
      </w:r>
      <w:r w:rsidR="00330079">
        <w:rPr>
          <w:rFonts w:asciiTheme="majorHAnsi" w:hAnsiTheme="majorHAnsi"/>
          <w:lang w:val="en-US"/>
        </w:rPr>
        <w:fldChar w:fldCharType="end"/>
      </w:r>
      <w:r>
        <w:rPr>
          <w:rFonts w:asciiTheme="majorHAnsi" w:hAnsiTheme="majorHAnsi"/>
          <w:lang w:val="en-US"/>
        </w:rPr>
        <w:t xml:space="preserve"> and the growth </w:t>
      </w:r>
      <w:r w:rsidR="004C238B">
        <w:rPr>
          <w:rFonts w:asciiTheme="majorHAnsi" w:hAnsiTheme="majorHAnsi"/>
          <w:lang w:val="en-US"/>
        </w:rPr>
        <w:t>of GHG emissions</w:t>
      </w:r>
      <w:r>
        <w:rPr>
          <w:rFonts w:asciiTheme="majorHAnsi" w:hAnsiTheme="majorHAnsi"/>
          <w:lang w:val="en-US"/>
        </w:rPr>
        <w:t xml:space="preserve"> </w:t>
      </w:r>
      <w:r w:rsidR="00AF3EB1">
        <w:rPr>
          <w:rFonts w:asciiTheme="majorHAnsi" w:hAnsiTheme="majorHAnsi"/>
          <w:lang w:val="en-US"/>
        </w:rPr>
        <w:fldChar w:fldCharType="begin"/>
      </w:r>
      <w:r w:rsidR="00AF3EB1">
        <w:rPr>
          <w:rFonts w:asciiTheme="majorHAnsi" w:hAnsiTheme="majorHAnsi"/>
          <w:lang w:val="en-US"/>
        </w:rPr>
        <w:instrText xml:space="preserve"> ADDIN EN.CITE &lt;EndNote&gt;&lt;Cite&gt;&lt;Author&gt;Arto&lt;/Author&gt;&lt;Year&gt;2014&lt;/Year&gt;&lt;RecNum&gt;922&lt;/RecNum&gt;&lt;DisplayText&gt;(Arto and Dietzenbacher, 2014)&lt;/DisplayText&gt;&lt;record&gt;&lt;rec-number&gt;922&lt;/rec-number&gt;&lt;foreign-keys&gt;&lt;key app="EN" db-id="s0tde0xz2xaee9edeervtv2uvtrx99daf9a5"&gt;922&lt;/key&gt;&lt;/foreign-keys&gt;&lt;ref-type name="Journal Article"&gt;17&lt;/ref-type&gt;&lt;contributors&gt;&lt;authors&gt;&lt;author&gt;Arto, Iñaki&lt;/author&gt;&lt;author&gt;Dietzenbacher, Erik&lt;/author&gt;&lt;/authors&gt;&lt;/contributors&gt;&lt;titles&gt;&lt;title&gt;Drivers of the Growth in Global Greenhouse Gas Emissions&lt;/title&gt;&lt;secondary-title&gt;Environmental Science &amp;amp; Technology&lt;/secondary-title&gt;&lt;/titles&gt;&lt;periodical&gt;&lt;full-title&gt;Environmental Science &amp;amp; Technology&lt;/full-title&gt;&lt;/periodical&gt;&lt;dates&gt;&lt;year&gt;2014&lt;/year&gt;&lt;/dates&gt;&lt;publisher&gt;American Chemical Society&lt;/publisher&gt;&lt;isbn&gt;0013-936X&lt;/isbn&gt;&lt;urls&gt;&lt;related-urls&gt;&lt;url&gt;http://dx.doi.org/10.1021/es5005347&lt;/url&gt;&lt;/related-urls&gt;&lt;/urls&gt;&lt;electronic-resource-num&gt;10.1021/es5005347&lt;/electronic-resource-num&gt;&lt;access-date&gt;2014/05/06&lt;/access-date&gt;&lt;/record&gt;&lt;/Cite&gt;&lt;/EndNote&gt;</w:instrText>
      </w:r>
      <w:r w:rsidR="00AF3EB1">
        <w:rPr>
          <w:rFonts w:asciiTheme="majorHAnsi" w:hAnsiTheme="majorHAnsi"/>
          <w:lang w:val="en-US"/>
        </w:rPr>
        <w:fldChar w:fldCharType="separate"/>
      </w:r>
      <w:r w:rsidR="00AF3EB1">
        <w:rPr>
          <w:rFonts w:asciiTheme="majorHAnsi" w:hAnsiTheme="majorHAnsi"/>
          <w:noProof/>
          <w:lang w:val="en-US"/>
        </w:rPr>
        <w:t>(</w:t>
      </w:r>
      <w:hyperlink w:anchor="_ENREF_2" w:tooltip="Arto, 2014 #922" w:history="1">
        <w:r w:rsidR="004B4AF6">
          <w:rPr>
            <w:rFonts w:asciiTheme="majorHAnsi" w:hAnsiTheme="majorHAnsi"/>
            <w:noProof/>
            <w:lang w:val="en-US"/>
          </w:rPr>
          <w:t>Arto and Dietzenbacher, 2014</w:t>
        </w:r>
      </w:hyperlink>
      <w:r w:rsidR="00AF3EB1">
        <w:rPr>
          <w:rFonts w:asciiTheme="majorHAnsi" w:hAnsiTheme="majorHAnsi"/>
          <w:noProof/>
          <w:lang w:val="en-US"/>
        </w:rPr>
        <w:t>)</w:t>
      </w:r>
      <w:r w:rsidR="00AF3EB1">
        <w:rPr>
          <w:rFonts w:asciiTheme="majorHAnsi" w:hAnsiTheme="majorHAnsi"/>
          <w:lang w:val="en-US"/>
        </w:rPr>
        <w:fldChar w:fldCharType="end"/>
      </w:r>
      <w:r>
        <w:rPr>
          <w:rFonts w:asciiTheme="majorHAnsi" w:hAnsiTheme="majorHAnsi"/>
          <w:lang w:val="en-US"/>
        </w:rPr>
        <w:t>.</w:t>
      </w:r>
      <w:r w:rsidRPr="003F3E75">
        <w:rPr>
          <w:rFonts w:asciiTheme="majorHAnsi" w:hAnsiTheme="majorHAnsi"/>
          <w:lang w:val="en-US"/>
        </w:rPr>
        <w:t xml:space="preserve"> </w:t>
      </w:r>
      <w:r w:rsidR="004C238B">
        <w:rPr>
          <w:rFonts w:asciiTheme="majorHAnsi" w:hAnsiTheme="majorHAnsi"/>
          <w:lang w:val="en-US"/>
        </w:rPr>
        <w:t xml:space="preserve">Therefore, focus the attention in the household’s consumption, separated from investment, public expenditures and exports decisions, allows us to isolate the role of the families in the environmental sustainability of the planet and the effects over the inequality. The impact will depend on the different propensities to consume of the families </w:t>
      </w:r>
      <w:r w:rsidR="00AF3EB1">
        <w:rPr>
          <w:rFonts w:asciiTheme="majorHAnsi" w:hAnsiTheme="majorHAnsi"/>
          <w:lang w:val="en-US"/>
        </w:rPr>
        <w:fldChar w:fldCharType="begin"/>
      </w:r>
      <w:r w:rsidR="00AF3EB1">
        <w:rPr>
          <w:rFonts w:asciiTheme="majorHAnsi" w:hAnsiTheme="majorHAnsi"/>
          <w:lang w:val="en-US"/>
        </w:rPr>
        <w:instrText xml:space="preserve"> ADDIN EN.CITE &lt;EndNote&gt;&lt;Cite&gt;&lt;Author&gt;Kalecki&lt;/Author&gt;&lt;Year&gt;1971&lt;/Year&gt;&lt;RecNum&gt;692&lt;/RecNum&gt;&lt;DisplayText&gt;(Kalecki, 1971)&lt;/DisplayText&gt;&lt;record&gt;&lt;rec-number&gt;692&lt;/rec-number&gt;&lt;foreign-keys&gt;&lt;key app="EN" db-id="s0tde0xz2xaee9edeervtv2uvtrx99daf9a5"&gt;692&lt;/key&gt;&lt;/foreign-keys&gt;&lt;ref-type name="Book"&gt;6&lt;/ref-type&gt;&lt;contributors&gt;&lt;authors&gt;&lt;author&gt;Kalecki, M.&lt;/author&gt;&lt;/authors&gt;&lt;/contributors&gt;&lt;titles&gt;&lt;title&gt;Selected essays on the dynamics of the capitalist economy&lt;/title&gt;&lt;/titles&gt;&lt;dates&gt;&lt;year&gt;1971&lt;/year&gt;&lt;/dates&gt;&lt;pub-location&gt;Cambridge&lt;/pub-location&gt;&lt;publisher&gt;Cambridge University Press&lt;/publisher&gt;&lt;urls&gt;&lt;/urls&gt;&lt;/record&gt;&lt;/Cite&gt;&lt;/EndNote&gt;</w:instrText>
      </w:r>
      <w:r w:rsidR="00AF3EB1">
        <w:rPr>
          <w:rFonts w:asciiTheme="majorHAnsi" w:hAnsiTheme="majorHAnsi"/>
          <w:lang w:val="en-US"/>
        </w:rPr>
        <w:fldChar w:fldCharType="separate"/>
      </w:r>
      <w:r w:rsidR="00AF3EB1">
        <w:rPr>
          <w:rFonts w:asciiTheme="majorHAnsi" w:hAnsiTheme="majorHAnsi"/>
          <w:noProof/>
          <w:lang w:val="en-US"/>
        </w:rPr>
        <w:t>(</w:t>
      </w:r>
      <w:hyperlink w:anchor="_ENREF_7" w:tooltip="Kalecki, 1971 #692" w:history="1">
        <w:r w:rsidR="004B4AF6">
          <w:rPr>
            <w:rFonts w:asciiTheme="majorHAnsi" w:hAnsiTheme="majorHAnsi"/>
            <w:noProof/>
            <w:lang w:val="en-US"/>
          </w:rPr>
          <w:t>Kalecki, 1971</w:t>
        </w:r>
      </w:hyperlink>
      <w:r w:rsidR="00AF3EB1">
        <w:rPr>
          <w:rFonts w:asciiTheme="majorHAnsi" w:hAnsiTheme="majorHAnsi"/>
          <w:noProof/>
          <w:lang w:val="en-US"/>
        </w:rPr>
        <w:t>)</w:t>
      </w:r>
      <w:r w:rsidR="00AF3EB1">
        <w:rPr>
          <w:rFonts w:asciiTheme="majorHAnsi" w:hAnsiTheme="majorHAnsi"/>
          <w:lang w:val="en-US"/>
        </w:rPr>
        <w:fldChar w:fldCharType="end"/>
      </w:r>
      <w:r w:rsidR="004C238B">
        <w:rPr>
          <w:rFonts w:asciiTheme="majorHAnsi" w:hAnsiTheme="majorHAnsi"/>
          <w:lang w:val="en-US"/>
        </w:rPr>
        <w:t xml:space="preserve"> and on different consumption patterns. The literature has evaluated the possibility of reducing those footprints through the identification and strengthen of more sustainable patterns. Some examples are the papers of </w:t>
      </w:r>
      <w:hyperlink w:anchor="_ENREF_19" w:tooltip="Weber, 2008 #943" w:history="1">
        <w:r w:rsidR="004B4AF6">
          <w:rPr>
            <w:rFonts w:asciiTheme="majorHAnsi" w:hAnsiTheme="majorHAnsi"/>
            <w:lang w:val="en-US"/>
          </w:rPr>
          <w:fldChar w:fldCharType="begin"/>
        </w:r>
        <w:r w:rsidR="004B4AF6">
          <w:rPr>
            <w:rFonts w:asciiTheme="majorHAnsi" w:hAnsiTheme="majorHAnsi"/>
            <w:lang w:val="en-US"/>
          </w:rPr>
          <w:instrText xml:space="preserve"> ADDIN EN.CITE &lt;EndNote&gt;&lt;Cite AuthorYear="1"&gt;&lt;Author&gt;Weber&lt;/Author&gt;&lt;Year&gt;2008&lt;/Year&gt;&lt;RecNum&gt;943&lt;/RecNum&gt;&lt;DisplayText&gt;Weber and Matthews (2008)&lt;/DisplayText&gt;&lt;record&gt;&lt;rec-number&gt;943&lt;/rec-number&gt;&lt;foreign-keys&gt;&lt;key app="EN" db-id="s0tde0xz2xaee9edeervtv2uvtrx99daf9a5"&gt;943&lt;/key&gt;&lt;/foreign-keys&gt;&lt;ref-type name="Journal Article"&gt;17&lt;/ref-type&gt;&lt;contributors&gt;&lt;authors&gt;&lt;author&gt;Weber, Christopher L.&lt;/author&gt;&lt;author&gt;Matthews, H. Scott&lt;/author&gt;&lt;/authors&gt;&lt;/contributors&gt;&lt;titles&gt;&lt;title&gt;Food-Miles and the Relative Climate Impacts of Food Choices in the United States&lt;/title&gt;&lt;secondary-title&gt;Environmental Science &amp;amp; Technology&lt;/secondary-title&gt;&lt;/titles&gt;&lt;periodical&gt;&lt;full-title&gt;Environmental Science &amp;amp; Technology&lt;/full-title&gt;&lt;/periodical&gt;&lt;pages&gt;3508-3513&lt;/pages&gt;&lt;volume&gt;42&lt;/volume&gt;&lt;number&gt;10&lt;/number&gt;&lt;dates&gt;&lt;year&gt;2008&lt;/year&gt;&lt;pub-dates&gt;&lt;date&gt;2008/05/01&lt;/date&gt;&lt;/pub-dates&gt;&lt;/dates&gt;&lt;publisher&gt;American Chemical Society&lt;/publisher&gt;&lt;isbn&gt;0013-936X&lt;/isbn&gt;&lt;urls&gt;&lt;related-urls&gt;&lt;url&gt;http://dx.doi.org/10.1021/es702969f&lt;/url&gt;&lt;/related-urls&gt;&lt;/urls&gt;&lt;electronic-resource-num&gt;10.1021/es702969f&lt;/electronic-resource-num&gt;&lt;access-date&gt;2014/05/09&lt;/access-date&gt;&lt;/record&gt;&lt;/Cite&gt;&lt;/EndNote&gt;</w:instrText>
        </w:r>
        <w:r w:rsidR="004B4AF6">
          <w:rPr>
            <w:rFonts w:asciiTheme="majorHAnsi" w:hAnsiTheme="majorHAnsi"/>
            <w:lang w:val="en-US"/>
          </w:rPr>
          <w:fldChar w:fldCharType="separate"/>
        </w:r>
        <w:r w:rsidR="004B4AF6">
          <w:rPr>
            <w:rFonts w:asciiTheme="majorHAnsi" w:hAnsiTheme="majorHAnsi"/>
            <w:noProof/>
            <w:lang w:val="en-US"/>
          </w:rPr>
          <w:t>Weber and Matthews (2008)</w:t>
        </w:r>
        <w:r w:rsidR="004B4AF6">
          <w:rPr>
            <w:rFonts w:asciiTheme="majorHAnsi" w:hAnsiTheme="majorHAnsi"/>
            <w:lang w:val="en-US"/>
          </w:rPr>
          <w:fldChar w:fldCharType="end"/>
        </w:r>
      </w:hyperlink>
      <w:r w:rsidR="004C238B" w:rsidRPr="004C238B">
        <w:rPr>
          <w:rFonts w:asciiTheme="majorHAnsi" w:hAnsiTheme="majorHAnsi"/>
          <w:lang w:val="en-GB"/>
        </w:rPr>
        <w:t xml:space="preserve"> about food miles, </w:t>
      </w:r>
      <w:r w:rsidR="004C238B">
        <w:rPr>
          <w:rFonts w:asciiTheme="majorHAnsi" w:hAnsiTheme="majorHAnsi"/>
          <w:lang w:val="en-GB"/>
        </w:rPr>
        <w:t xml:space="preserve">and </w:t>
      </w:r>
      <w:hyperlink w:anchor="_ENREF_5" w:tooltip="Cazcarro, 2013 #938" w:history="1">
        <w:r w:rsidR="004B4AF6">
          <w:rPr>
            <w:rFonts w:asciiTheme="majorHAnsi" w:hAnsiTheme="majorHAnsi"/>
            <w:lang w:val="en-GB"/>
          </w:rPr>
          <w:fldChar w:fldCharType="begin"/>
        </w:r>
        <w:r w:rsidR="004B4AF6">
          <w:rPr>
            <w:rFonts w:asciiTheme="majorHAnsi" w:hAnsiTheme="majorHAnsi"/>
            <w:lang w:val="en-GB"/>
          </w:rPr>
          <w:instrText xml:space="preserve"> ADDIN EN.CITE &lt;EndNote&gt;&lt;Cite AuthorYear="1"&gt;&lt;Author&gt;Cazcarro&lt;/Author&gt;&lt;Year&gt;2013&lt;/Year&gt;&lt;RecNum&gt;938&lt;/RecNum&gt;&lt;DisplayText&gt;Cazcarro et al. (2013)&lt;/DisplayText&gt;&lt;record&gt;&lt;rec-number&gt;938&lt;/rec-number&gt;&lt;foreign-keys&gt;&lt;key app="EN" db-id="s0tde0xz2xaee9edeervtv2uvtrx99daf9a5"&gt;938&lt;/key&gt;&lt;/foreign-keys&gt;&lt;ref-type name="Journal Article"&gt;17&lt;/ref-type&gt;&lt;contributors&gt;&lt;authors&gt;&lt;author&gt;Cazcarro, Ignacio&lt;/author&gt;&lt;author&gt;Duarte, Rosa&lt;/author&gt;&lt;author&gt;Sánchez-Chóliz, Julio&lt;/author&gt;&lt;/authors&gt;&lt;/contributors&gt;&lt;titles&gt;&lt;title&gt;Economic growth and the evolution of water consumption in Spain: A structural decomposition analysis&lt;/title&gt;&lt;secondary-title&gt;Ecological Economics&lt;/secondary-title&gt;&lt;/titles&gt;&lt;periodical&gt;&lt;full-title&gt;Ecological Economics&lt;/full-title&gt;&lt;/periodical&gt;&lt;pages&gt;51-61&lt;/pages&gt;&lt;volume&gt;96&lt;/volume&gt;&lt;number&gt;0&lt;/number&gt;&lt;keywords&gt;&lt;keyword&gt;Environmental analysis&lt;/keyword&gt;&lt;keyword&gt;Input–output model&lt;/keyword&gt;&lt;keyword&gt;Water consumption&lt;/keyword&gt;&lt;keyword&gt;Technological change&lt;/keyword&gt;&lt;keyword&gt;SDA&lt;/keyword&gt;&lt;keyword&gt;Spain&lt;/keyword&gt;&lt;/keywords&gt;&lt;dates&gt;&lt;year&gt;2013&lt;/year&gt;&lt;pub-dates&gt;&lt;date&gt;12//&lt;/date&gt;&lt;/pub-dates&gt;&lt;/dates&gt;&lt;isbn&gt;0921-8009&lt;/isbn&gt;&lt;urls&gt;&lt;related-urls&gt;&lt;url&gt;http://www.sciencedirect.com/science/article/pii/S0921800913002966&lt;/url&gt;&lt;/related-urls&gt;&lt;/urls&gt;&lt;electronic-resource-num&gt;http://dx.doi.org/10.1016/j.ecolecon.2013.09.010&lt;/electronic-resource-num&gt;&lt;/record&gt;&lt;/Cite&gt;&lt;/EndNote&gt;</w:instrText>
        </w:r>
        <w:r w:rsidR="004B4AF6">
          <w:rPr>
            <w:rFonts w:asciiTheme="majorHAnsi" w:hAnsiTheme="majorHAnsi"/>
            <w:lang w:val="en-GB"/>
          </w:rPr>
          <w:fldChar w:fldCharType="separate"/>
        </w:r>
        <w:r w:rsidR="004B4AF6">
          <w:rPr>
            <w:rFonts w:asciiTheme="majorHAnsi" w:hAnsiTheme="majorHAnsi"/>
            <w:noProof/>
            <w:lang w:val="en-GB"/>
          </w:rPr>
          <w:t>Cazcarro et al. (2013)</w:t>
        </w:r>
        <w:r w:rsidR="004B4AF6">
          <w:rPr>
            <w:rFonts w:asciiTheme="majorHAnsi" w:hAnsiTheme="majorHAnsi"/>
            <w:lang w:val="en-GB"/>
          </w:rPr>
          <w:fldChar w:fldCharType="end"/>
        </w:r>
      </w:hyperlink>
      <w:r w:rsidR="004C238B">
        <w:rPr>
          <w:rFonts w:asciiTheme="majorHAnsi" w:hAnsiTheme="majorHAnsi"/>
          <w:lang w:val="en-GB"/>
        </w:rPr>
        <w:t xml:space="preserve"> or </w:t>
      </w:r>
      <w:hyperlink w:anchor="_ENREF_18" w:tooltip="Vanham, 2013 #945" w:history="1">
        <w:r w:rsidR="004B4AF6">
          <w:rPr>
            <w:rFonts w:asciiTheme="majorHAnsi" w:hAnsiTheme="majorHAnsi"/>
            <w:lang w:val="en-GB"/>
          </w:rPr>
          <w:fldChar w:fldCharType="begin"/>
        </w:r>
        <w:r w:rsidR="004B4AF6">
          <w:rPr>
            <w:rFonts w:asciiTheme="majorHAnsi" w:hAnsiTheme="majorHAnsi"/>
            <w:lang w:val="en-GB"/>
          </w:rPr>
          <w:instrText xml:space="preserve"> ADDIN EN.CITE &lt;EndNote&gt;&lt;Cite AuthorYear="1"&gt;&lt;Author&gt;Vanham&lt;/Author&gt;&lt;Year&gt;2013&lt;/Year&gt;&lt;RecNum&gt;945&lt;/RecNum&gt;&lt;DisplayText&gt;Vanham et al. (2013)&lt;/DisplayText&gt;&lt;record&gt;&lt;rec-number&gt;945&lt;/rec-number&gt;&lt;foreign-keys&gt;&lt;key app="EN" db-id="s0tde0xz2xaee9edeervtv2uvtrx99daf9a5"&gt;945&lt;/key&gt;&lt;/foreign-keys&gt;&lt;ref-type name="Journal Article"&gt;17&lt;/ref-type&gt;&lt;contributors&gt;&lt;authors&gt;&lt;author&gt;Vanham, D.&lt;/author&gt;&lt;author&gt;Hoekstra, A. Y.&lt;/author&gt;&lt;author&gt;Bidoglio, G.&lt;/author&gt;&lt;/authors&gt;&lt;/contributors&gt;&lt;titles&gt;&lt;title&gt;Potential water saving through changes in European diets&lt;/title&gt;&lt;secondary-title&gt;Environment International&lt;/secondary-title&gt;&lt;/titles&gt;&lt;periodical&gt;&lt;full-title&gt;Environment International&lt;/full-title&gt;&lt;/periodical&gt;&lt;pages&gt;45-56&lt;/pages&gt;&lt;volume&gt;61&lt;/volume&gt;&lt;number&gt;0&lt;/number&gt;&lt;keywords&gt;&lt;keyword&gt;Water&lt;/keyword&gt;&lt;keyword&gt;Water resources management&lt;/keyword&gt;&lt;keyword&gt;Water footprint&lt;/keyword&gt;&lt;keyword&gt;Sustainable consumption&lt;/keyword&gt;&lt;keyword&gt;EU&lt;/keyword&gt;&lt;keyword&gt;Diet&lt;/keyword&gt;&lt;/keywords&gt;&lt;dates&gt;&lt;year&gt;2013&lt;/year&gt;&lt;pub-dates&gt;&lt;date&gt;11//&lt;/date&gt;&lt;/pub-dates&gt;&lt;/dates&gt;&lt;isbn&gt;0160-4120&lt;/isbn&gt;&lt;urls&gt;&lt;related-urls&gt;&lt;url&gt;http://www.sciencedirect.com/science/article/pii/S0160412013002055&lt;/url&gt;&lt;/related-urls&gt;&lt;/urls&gt;&lt;electronic-resource-num&gt;http://dx.doi.org/10.1016/j.envint.2013.09.011&lt;/electronic-resource-num&gt;&lt;/record&gt;&lt;/Cite&gt;&lt;/EndNote&gt;</w:instrText>
        </w:r>
        <w:r w:rsidR="004B4AF6">
          <w:rPr>
            <w:rFonts w:asciiTheme="majorHAnsi" w:hAnsiTheme="majorHAnsi"/>
            <w:lang w:val="en-GB"/>
          </w:rPr>
          <w:fldChar w:fldCharType="separate"/>
        </w:r>
        <w:r w:rsidR="004B4AF6">
          <w:rPr>
            <w:rFonts w:asciiTheme="majorHAnsi" w:hAnsiTheme="majorHAnsi"/>
            <w:noProof/>
            <w:lang w:val="en-GB"/>
          </w:rPr>
          <w:t>Vanham et al. (2013)</w:t>
        </w:r>
        <w:r w:rsidR="004B4AF6">
          <w:rPr>
            <w:rFonts w:asciiTheme="majorHAnsi" w:hAnsiTheme="majorHAnsi"/>
            <w:lang w:val="en-GB"/>
          </w:rPr>
          <w:fldChar w:fldCharType="end"/>
        </w:r>
      </w:hyperlink>
      <w:r w:rsidR="004C238B" w:rsidRPr="00AF3EB1">
        <w:rPr>
          <w:rFonts w:asciiTheme="majorHAnsi" w:hAnsiTheme="majorHAnsi"/>
          <w:lang w:val="en-GB"/>
        </w:rPr>
        <w:t xml:space="preserve"> about </w:t>
      </w:r>
      <w:r w:rsidR="00AF3EB1">
        <w:rPr>
          <w:rFonts w:asciiTheme="majorHAnsi" w:hAnsiTheme="majorHAnsi"/>
          <w:lang w:val="en-GB"/>
        </w:rPr>
        <w:t>wa</w:t>
      </w:r>
      <w:r w:rsidR="004C238B" w:rsidRPr="00AF3EB1">
        <w:rPr>
          <w:rFonts w:asciiTheme="majorHAnsi" w:hAnsiTheme="majorHAnsi"/>
          <w:lang w:val="en-GB"/>
        </w:rPr>
        <w:t>ter footprint.</w:t>
      </w:r>
      <w:r w:rsidR="00AF3EB1" w:rsidRPr="00AF3EB1">
        <w:rPr>
          <w:rFonts w:asciiTheme="majorHAnsi" w:hAnsiTheme="majorHAnsi"/>
          <w:lang w:val="en-GB"/>
        </w:rPr>
        <w:t xml:space="preserve"> The voluntary reduction of famil</w:t>
      </w:r>
      <w:r w:rsidR="00AF3EB1">
        <w:rPr>
          <w:rFonts w:asciiTheme="majorHAnsi" w:hAnsiTheme="majorHAnsi"/>
          <w:lang w:val="en-GB"/>
        </w:rPr>
        <w:t>ies</w:t>
      </w:r>
      <w:r w:rsidR="00AF3EB1" w:rsidRPr="00AF3EB1">
        <w:rPr>
          <w:rFonts w:asciiTheme="majorHAnsi" w:hAnsiTheme="majorHAnsi"/>
          <w:lang w:val="en-GB"/>
        </w:rPr>
        <w:t xml:space="preserve"> consumption levels or the </w:t>
      </w:r>
      <w:r w:rsidR="00AF3EB1">
        <w:rPr>
          <w:rFonts w:asciiTheme="majorHAnsi" w:hAnsiTheme="majorHAnsi"/>
          <w:lang w:val="en-GB"/>
        </w:rPr>
        <w:t>increasing collaborative consumption, regulated by the European Union</w:t>
      </w:r>
      <w:r w:rsidR="004A0F2A">
        <w:rPr>
          <w:rFonts w:asciiTheme="majorHAnsi" w:hAnsiTheme="majorHAnsi"/>
          <w:lang w:val="en-GB"/>
        </w:rPr>
        <w:t xml:space="preserve"> </w:t>
      </w:r>
      <w:r w:rsidR="004A0F2A">
        <w:rPr>
          <w:rFonts w:asciiTheme="majorHAnsi" w:hAnsiTheme="majorHAnsi"/>
          <w:lang w:val="en-GB"/>
        </w:rPr>
        <w:fldChar w:fldCharType="begin"/>
      </w:r>
      <w:r w:rsidR="004A0F2A">
        <w:rPr>
          <w:rFonts w:asciiTheme="majorHAnsi" w:hAnsiTheme="majorHAnsi"/>
          <w:lang w:val="en-GB"/>
        </w:rPr>
        <w:instrText xml:space="preserve"> ADDIN EN.CITE &lt;EndNote&gt;&lt;Cite&gt;&lt;Author&gt;EESC&lt;/Author&gt;&lt;Year&gt;2014&lt;/Year&gt;&lt;RecNum&gt;939&lt;/RecNum&gt;&lt;DisplayText&gt;(EESC, 2014)&lt;/DisplayText&gt;&lt;record&gt;&lt;rec-number&gt;939&lt;/rec-number&gt;&lt;foreign-keys&gt;&lt;key app="EN" db-id="s0tde0xz2xaee9edeervtv2uvtrx99daf9a5"&gt;939&lt;/key&gt;&lt;/foreign-keys&gt;&lt;ref-type name="Press Release"&gt;63&lt;/ref-type&gt;&lt;contributors&gt;&lt;authors&gt;&lt;author&gt;EESC&lt;/author&gt;&lt;/authors&gt;&lt;secondary-authors&gt;&lt;author&gt;European Economic and Social Committee (Press Unit)&lt;/author&gt;&lt;/secondary-authors&gt;&lt;/contributors&gt;&lt;titles&gt;&lt;title&gt;Collaborative consumption: new opportunities for consumers and businesses on the EU market&lt;/title&gt;&lt;/titles&gt;&lt;section&gt;No 03/2014&lt;/section&gt;&lt;dates&gt;&lt;year&gt;2014&lt;/year&gt;&lt;pub-dates&gt;&lt;date&gt;22/01/2014&lt;/date&gt;&lt;/pub-dates&gt;&lt;/dates&gt;&lt;urls&gt;&lt;/urls&gt;&lt;/record&gt;&lt;/Cite&gt;&lt;/EndNote&gt;</w:instrText>
      </w:r>
      <w:r w:rsidR="004A0F2A">
        <w:rPr>
          <w:rFonts w:asciiTheme="majorHAnsi" w:hAnsiTheme="majorHAnsi"/>
          <w:lang w:val="en-GB"/>
        </w:rPr>
        <w:fldChar w:fldCharType="separate"/>
      </w:r>
      <w:r w:rsidR="004A0F2A">
        <w:rPr>
          <w:rFonts w:asciiTheme="majorHAnsi" w:hAnsiTheme="majorHAnsi"/>
          <w:noProof/>
          <w:lang w:val="en-GB"/>
        </w:rPr>
        <w:t>(</w:t>
      </w:r>
      <w:hyperlink w:anchor="_ENREF_6" w:tooltip="EESC, 2014 #939" w:history="1">
        <w:r w:rsidR="004B4AF6">
          <w:rPr>
            <w:rFonts w:asciiTheme="majorHAnsi" w:hAnsiTheme="majorHAnsi"/>
            <w:noProof/>
            <w:lang w:val="en-GB"/>
          </w:rPr>
          <w:t>EESC, 2014</w:t>
        </w:r>
      </w:hyperlink>
      <w:r w:rsidR="004A0F2A">
        <w:rPr>
          <w:rFonts w:asciiTheme="majorHAnsi" w:hAnsiTheme="majorHAnsi"/>
          <w:noProof/>
          <w:lang w:val="en-GB"/>
        </w:rPr>
        <w:t>)</w:t>
      </w:r>
      <w:r w:rsidR="004A0F2A">
        <w:rPr>
          <w:rFonts w:asciiTheme="majorHAnsi" w:hAnsiTheme="majorHAnsi"/>
          <w:lang w:val="en-GB"/>
        </w:rPr>
        <w:fldChar w:fldCharType="end"/>
      </w:r>
      <w:r w:rsidR="00AF3EB1">
        <w:rPr>
          <w:rFonts w:asciiTheme="majorHAnsi" w:hAnsiTheme="majorHAnsi"/>
          <w:lang w:val="en-GB"/>
        </w:rPr>
        <w:t xml:space="preserve">, could be examples of voluntary changes in the consumption patterns towards a more responsible consumption. </w:t>
      </w:r>
      <w:r w:rsidR="002F00E8">
        <w:rPr>
          <w:rFonts w:asciiTheme="majorHAnsi" w:hAnsiTheme="majorHAnsi"/>
          <w:lang w:val="en-GB"/>
        </w:rPr>
        <w:t xml:space="preserve">However, our paper is referred to forced changes in the consumption </w:t>
      </w:r>
      <w:r w:rsidR="00641664">
        <w:rPr>
          <w:rFonts w:asciiTheme="majorHAnsi" w:hAnsiTheme="majorHAnsi"/>
          <w:lang w:val="en-GB"/>
        </w:rPr>
        <w:t xml:space="preserve">due to family´s </w:t>
      </w:r>
      <w:r w:rsidR="002F00E8">
        <w:rPr>
          <w:rFonts w:asciiTheme="majorHAnsi" w:hAnsiTheme="majorHAnsi"/>
          <w:lang w:val="en-GB"/>
        </w:rPr>
        <w:t xml:space="preserve">income reduction and </w:t>
      </w:r>
      <w:r w:rsidR="00641664">
        <w:rPr>
          <w:rFonts w:asciiTheme="majorHAnsi" w:hAnsiTheme="majorHAnsi"/>
          <w:lang w:val="en-GB"/>
        </w:rPr>
        <w:t xml:space="preserve">to </w:t>
      </w:r>
      <w:r w:rsidR="002F00E8">
        <w:rPr>
          <w:rFonts w:asciiTheme="majorHAnsi" w:hAnsiTheme="majorHAnsi"/>
          <w:lang w:val="en-GB"/>
        </w:rPr>
        <w:t>changes in the income distribution generated by the economic crisis.</w:t>
      </w:r>
      <w:r w:rsidR="00AF3EB1">
        <w:rPr>
          <w:rFonts w:asciiTheme="majorHAnsi" w:hAnsiTheme="majorHAnsi"/>
          <w:lang w:val="en-GB"/>
        </w:rPr>
        <w:t xml:space="preserve"> </w:t>
      </w:r>
    </w:p>
    <w:p w14:paraId="2B934135" w14:textId="77777777" w:rsidR="00EA1E4C" w:rsidRPr="00AF3EB1" w:rsidRDefault="00EA1E4C" w:rsidP="008F44EC">
      <w:pPr>
        <w:ind w:firstLine="0"/>
        <w:rPr>
          <w:rFonts w:asciiTheme="majorHAnsi" w:hAnsiTheme="majorHAnsi"/>
          <w:lang w:val="en-GB"/>
        </w:rPr>
      </w:pPr>
    </w:p>
    <w:p w14:paraId="36243FB0" w14:textId="77777777" w:rsidR="005D6532" w:rsidRPr="00906B68" w:rsidRDefault="005D6532" w:rsidP="005D6532">
      <w:pPr>
        <w:ind w:firstLine="0"/>
        <w:rPr>
          <w:rFonts w:asciiTheme="majorHAnsi" w:hAnsiTheme="majorHAnsi"/>
          <w:b/>
          <w:lang w:val="en-US"/>
        </w:rPr>
      </w:pPr>
      <w:r>
        <w:rPr>
          <w:rFonts w:asciiTheme="majorHAnsi" w:hAnsiTheme="majorHAnsi"/>
          <w:b/>
          <w:lang w:val="en-US"/>
        </w:rPr>
        <w:t>2. Methodology.</w:t>
      </w:r>
    </w:p>
    <w:p w14:paraId="27AC0819" w14:textId="1BC7CA8D" w:rsidR="005D6532" w:rsidRPr="00416C0D" w:rsidRDefault="005D6532" w:rsidP="00F362A0">
      <w:pPr>
        <w:ind w:firstLine="0"/>
        <w:rPr>
          <w:rStyle w:val="Hipervnculo"/>
          <w:rFonts w:asciiTheme="majorHAnsi" w:hAnsiTheme="majorHAnsi" w:cs="Times New Roman"/>
          <w:color w:val="auto"/>
          <w:szCs w:val="24"/>
          <w:u w:val="none"/>
          <w:lang w:val="en-US"/>
        </w:rPr>
      </w:pPr>
      <w:r w:rsidRPr="00416C0D">
        <w:rPr>
          <w:rStyle w:val="Hipervnculo"/>
          <w:rFonts w:asciiTheme="majorHAnsi" w:hAnsiTheme="majorHAnsi" w:cs="Times New Roman"/>
          <w:color w:val="auto"/>
          <w:szCs w:val="24"/>
          <w:u w:val="none"/>
          <w:lang w:val="en-US"/>
        </w:rPr>
        <w:t>The matrix of total factor content, direct and indirect, in a</w:t>
      </w:r>
      <w:r>
        <w:rPr>
          <w:rStyle w:val="Hipervnculo"/>
          <w:rFonts w:asciiTheme="majorHAnsi" w:hAnsiTheme="majorHAnsi" w:cs="Times New Roman"/>
          <w:color w:val="auto"/>
          <w:szCs w:val="24"/>
          <w:u w:val="none"/>
          <w:lang w:val="en-US"/>
        </w:rPr>
        <w:t>n</w:t>
      </w:r>
      <w:r w:rsidRPr="00416C0D">
        <w:rPr>
          <w:rStyle w:val="Hipervnculo"/>
          <w:rFonts w:asciiTheme="majorHAnsi" w:hAnsiTheme="majorHAnsi" w:cs="Times New Roman"/>
          <w:color w:val="auto"/>
          <w:szCs w:val="24"/>
          <w:u w:val="none"/>
          <w:lang w:val="en-US"/>
        </w:rPr>
        <w:t xml:space="preserve"> MRIO context</w:t>
      </w:r>
      <w:r>
        <w:rPr>
          <w:rStyle w:val="Hipervnculo"/>
          <w:rFonts w:asciiTheme="majorHAnsi" w:hAnsiTheme="majorHAnsi" w:cs="Times New Roman"/>
          <w:color w:val="auto"/>
          <w:szCs w:val="24"/>
          <w:u w:val="none"/>
          <w:lang w:val="en-US"/>
        </w:rPr>
        <w:t xml:space="preserve"> is</w:t>
      </w:r>
      <w:r w:rsidRPr="00416C0D">
        <w:rPr>
          <w:rStyle w:val="Hipervnculo"/>
          <w:rFonts w:asciiTheme="majorHAnsi" w:hAnsiTheme="majorHAnsi" w:cs="Times New Roman"/>
          <w:color w:val="auto"/>
          <w:szCs w:val="24"/>
          <w:u w:val="none"/>
          <w:lang w:val="en-US"/>
        </w:rPr>
        <w:t xml:space="preserve"> obtained from the expression 1 </w:t>
      </w:r>
      <w:r w:rsidR="004A0F2A">
        <w:rPr>
          <w:rStyle w:val="Hipervnculo"/>
          <w:rFonts w:asciiTheme="majorHAnsi" w:hAnsiTheme="majorHAnsi" w:cs="Times New Roman"/>
          <w:color w:val="auto"/>
          <w:szCs w:val="24"/>
          <w:u w:val="none"/>
          <w:lang w:val="en-US"/>
        </w:rPr>
        <w:fldChar w:fldCharType="begin"/>
      </w:r>
      <w:r w:rsidR="004A0F2A">
        <w:rPr>
          <w:rStyle w:val="Hipervnculo"/>
          <w:rFonts w:asciiTheme="majorHAnsi" w:hAnsiTheme="majorHAnsi" w:cs="Times New Roman"/>
          <w:color w:val="auto"/>
          <w:szCs w:val="24"/>
          <w:u w:val="none"/>
          <w:lang w:val="en-US"/>
        </w:rPr>
        <w:instrText xml:space="preserve"> ADDIN EN.CITE &lt;EndNote&gt;&lt;Cite&gt;&lt;Author&gt;Miller&lt;/Author&gt;&lt;Year&gt;2009&lt;/Year&gt;&lt;RecNum&gt;301&lt;/RecNum&gt;&lt;DisplayText&gt;(Miller and Blair, 2009)&lt;/DisplayText&gt;&lt;record&gt;&lt;rec-number&gt;301&lt;/rec-number&gt;&lt;foreign-keys&gt;&lt;key app="EN" db-id="s0tde0xz2xaee9edeervtv2uvtrx99daf9a5"&gt;301&lt;/key&gt;&lt;/foreign-keys&gt;&lt;ref-type name="Book"&gt;6&lt;/ref-type&gt;&lt;contributors&gt;&lt;authors&gt;&lt;author&gt;Miller, R.E.&lt;/author&gt;&lt;author&gt;Blair, P.D.&lt;/author&gt;&lt;/authors&gt;&lt;secondary-authors&gt;&lt;author&gt;Cambridge University Press&lt;/author&gt;&lt;/secondary-authors&gt;&lt;/contributors&gt;&lt;titles&gt;&lt;title&gt;Input-Output Analysis: Foundations and Extensions&lt;/title&gt;&lt;/titles&gt;&lt;dates&gt;&lt;year&gt;2009&lt;/year&gt;&lt;/dates&gt;&lt;urls&gt;&lt;/urls&gt;&lt;/record&gt;&lt;/Cite&gt;&lt;/EndNote&gt;</w:instrText>
      </w:r>
      <w:r w:rsidR="004A0F2A">
        <w:rPr>
          <w:rStyle w:val="Hipervnculo"/>
          <w:rFonts w:asciiTheme="majorHAnsi" w:hAnsiTheme="majorHAnsi" w:cs="Times New Roman"/>
          <w:color w:val="auto"/>
          <w:szCs w:val="24"/>
          <w:u w:val="none"/>
          <w:lang w:val="en-US"/>
        </w:rPr>
        <w:fldChar w:fldCharType="separate"/>
      </w:r>
      <w:r w:rsidR="004A0F2A">
        <w:rPr>
          <w:rStyle w:val="Hipervnculo"/>
          <w:rFonts w:asciiTheme="majorHAnsi" w:hAnsiTheme="majorHAnsi" w:cs="Times New Roman"/>
          <w:noProof/>
          <w:color w:val="auto"/>
          <w:szCs w:val="24"/>
          <w:u w:val="none"/>
          <w:lang w:val="en-US"/>
        </w:rPr>
        <w:t>(</w:t>
      </w:r>
      <w:hyperlink w:anchor="_ENREF_13" w:tooltip="Miller, 2009 #301" w:history="1">
        <w:r w:rsidR="004B4AF6" w:rsidRPr="004B4AF6">
          <w:rPr>
            <w:rStyle w:val="Hipervnculo"/>
            <w:rFonts w:asciiTheme="majorHAnsi" w:hAnsiTheme="majorHAnsi" w:cs="Times New Roman"/>
            <w:noProof/>
            <w:color w:val="auto"/>
            <w:szCs w:val="24"/>
            <w:u w:val="none"/>
            <w:lang w:val="en-US"/>
          </w:rPr>
          <w:t>Miller and Blair, 2009</w:t>
        </w:r>
      </w:hyperlink>
      <w:r w:rsidR="004A0F2A">
        <w:rPr>
          <w:rStyle w:val="Hipervnculo"/>
          <w:rFonts w:asciiTheme="majorHAnsi" w:hAnsiTheme="majorHAnsi" w:cs="Times New Roman"/>
          <w:noProof/>
          <w:color w:val="auto"/>
          <w:szCs w:val="24"/>
          <w:u w:val="none"/>
          <w:lang w:val="en-US"/>
        </w:rPr>
        <w:t>)</w:t>
      </w:r>
      <w:r w:rsidR="004A0F2A">
        <w:rPr>
          <w:rStyle w:val="Hipervnculo"/>
          <w:rFonts w:asciiTheme="majorHAnsi" w:hAnsiTheme="majorHAnsi" w:cs="Times New Roman"/>
          <w:color w:val="auto"/>
          <w:szCs w:val="24"/>
          <w:u w:val="none"/>
          <w:lang w:val="en-US"/>
        </w:rPr>
        <w:fldChar w:fldCharType="end"/>
      </w:r>
      <w:r w:rsidR="004A0F2A">
        <w:rPr>
          <w:rStyle w:val="Hipervnculo"/>
          <w:rFonts w:asciiTheme="majorHAnsi" w:hAnsiTheme="majorHAnsi" w:cs="Times New Roman"/>
          <w:color w:val="auto"/>
          <w:szCs w:val="24"/>
          <w:u w:val="none"/>
          <w:lang w:val="en-US"/>
        </w:rPr>
        <w:t>:</w:t>
      </w:r>
    </w:p>
    <w:p w14:paraId="0DBF73AA" w14:textId="77777777" w:rsidR="005D6532" w:rsidRPr="00416C0D" w:rsidRDefault="005D6532" w:rsidP="005D6532">
      <w:pPr>
        <w:rPr>
          <w:rStyle w:val="Hipervnculo"/>
          <w:rFonts w:asciiTheme="majorHAnsi" w:hAnsiTheme="majorHAnsi" w:cs="Times New Roman"/>
          <w:color w:val="auto"/>
          <w:szCs w:val="24"/>
          <w:u w:val="none"/>
          <w:lang w:val="en-US"/>
        </w:rPr>
      </w:pPr>
      <m:oMath>
        <m:r>
          <w:rPr>
            <w:rStyle w:val="Hipervnculo"/>
            <w:rFonts w:ascii="Cambria Math" w:hAnsi="Cambria Math" w:cs="Times New Roman"/>
            <w:color w:val="auto"/>
            <w:szCs w:val="24"/>
            <w:u w:val="none"/>
          </w:rPr>
          <m:t>F</m:t>
        </m:r>
        <m:r>
          <w:rPr>
            <w:rStyle w:val="Hipervnculo"/>
            <w:rFonts w:ascii="Cambria Math" w:hAnsi="Cambria Math" w:cs="Times New Roman"/>
            <w:color w:val="auto"/>
            <w:szCs w:val="24"/>
            <w:u w:val="none"/>
            <w:lang w:val="en-US"/>
          </w:rPr>
          <m:t>=</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d>
              <m:dPr>
                <m:ctrlPr>
                  <w:rPr>
                    <w:rStyle w:val="Hipervnculo"/>
                    <w:rFonts w:ascii="Cambria Math" w:hAnsi="Cambria Math" w:cs="Times New Roman"/>
                    <w:i/>
                    <w:color w:val="auto"/>
                    <w:szCs w:val="24"/>
                    <w:u w:val="none"/>
                  </w:rPr>
                </m:ctrlPr>
              </m:dPr>
              <m:e>
                <m:r>
                  <w:rPr>
                    <w:rStyle w:val="Hipervnculo"/>
                    <w:rFonts w:ascii="Cambria Math" w:hAnsi="Cambria Math" w:cs="Times New Roman"/>
                    <w:color w:val="auto"/>
                    <w:szCs w:val="24"/>
                    <w:u w:val="none"/>
                  </w:rPr>
                  <m:t>I</m:t>
                </m:r>
                <m:r>
                  <w:rPr>
                    <w:rStyle w:val="Hipervnculo"/>
                    <w:rFonts w:ascii="Cambria Math" w:hAnsi="Cambria Math" w:cs="Times New Roman"/>
                    <w:color w:val="auto"/>
                    <w:szCs w:val="24"/>
                    <w:u w:val="none"/>
                    <w:lang w:val="en-US"/>
                  </w:rPr>
                  <m:t>-</m:t>
                </m:r>
                <m:r>
                  <w:rPr>
                    <w:rStyle w:val="Hipervnculo"/>
                    <w:rFonts w:ascii="Cambria Math" w:hAnsi="Cambria Math" w:cs="Times New Roman"/>
                    <w:color w:val="auto"/>
                    <w:szCs w:val="24"/>
                    <w:u w:val="none"/>
                  </w:rPr>
                  <m:t>A</m:t>
                </m:r>
              </m:e>
            </m:d>
          </m:e>
          <m:sup>
            <m:r>
              <w:rPr>
                <w:rStyle w:val="Hipervnculo"/>
                <w:rFonts w:ascii="Cambria Math" w:hAnsi="Cambria Math" w:cs="Times New Roman"/>
                <w:color w:val="auto"/>
                <w:szCs w:val="24"/>
                <w:u w:val="none"/>
                <w:lang w:val="en-US"/>
              </w:rPr>
              <m:t>-1</m:t>
            </m:r>
          </m:sup>
        </m:sSup>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r>
          <w:rPr>
            <w:rStyle w:val="Hipervnculo"/>
            <w:rFonts w:ascii="Cambria Math" w:hAnsi="Cambria Math" w:cs="Times New Roman"/>
            <w:color w:val="auto"/>
            <w:szCs w:val="24"/>
            <w:u w:val="none"/>
            <w:lang w:val="en-US"/>
          </w:rPr>
          <m:t xml:space="preserve">= </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r>
          <w:rPr>
            <w:rStyle w:val="Hipervnculo"/>
            <w:rFonts w:ascii="Cambria Math" w:hAnsi="Cambria Math" w:cs="Times New Roman"/>
            <w:color w:val="auto"/>
            <w:szCs w:val="24"/>
            <w:u w:val="none"/>
          </w:rPr>
          <m:t>L</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oMath>
      <w:r w:rsidRPr="00416C0D">
        <w:rPr>
          <w:rStyle w:val="Hipervnculo"/>
          <w:rFonts w:asciiTheme="majorHAnsi" w:hAnsiTheme="majorHAnsi" w:cs="Times New Roman"/>
          <w:color w:val="auto"/>
          <w:szCs w:val="24"/>
          <w:u w:val="none"/>
          <w:lang w:val="en-US"/>
        </w:rPr>
        <w:tab/>
      </w:r>
      <w:r w:rsidRPr="00416C0D">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sidRPr="00416C0D">
        <w:rPr>
          <w:rStyle w:val="Hipervnculo"/>
          <w:rFonts w:asciiTheme="majorHAnsi" w:hAnsiTheme="majorHAnsi" w:cs="Times New Roman"/>
          <w:color w:val="auto"/>
          <w:szCs w:val="24"/>
          <w:u w:val="none"/>
          <w:lang w:val="en-US"/>
        </w:rPr>
        <w:t>[1]</w:t>
      </w:r>
    </w:p>
    <w:p w14:paraId="04C4E64D" w14:textId="4EB9D5A3" w:rsidR="005D6532" w:rsidRPr="00416C0D" w:rsidRDefault="005D6532" w:rsidP="00F362A0">
      <w:pPr>
        <w:ind w:firstLine="0"/>
        <w:rPr>
          <w:rStyle w:val="Hipervnculo"/>
          <w:rFonts w:asciiTheme="majorHAnsi" w:hAnsiTheme="majorHAnsi" w:cs="Times New Roman"/>
          <w:color w:val="auto"/>
          <w:szCs w:val="24"/>
          <w:u w:val="none"/>
          <w:lang w:val="en-US"/>
        </w:rPr>
      </w:pPr>
      <w:r w:rsidRPr="00416C0D">
        <w:rPr>
          <w:rStyle w:val="Hipervnculo"/>
          <w:rFonts w:asciiTheme="majorHAnsi" w:hAnsiTheme="majorHAnsi" w:cs="Times New Roman"/>
          <w:color w:val="auto"/>
          <w:szCs w:val="24"/>
          <w:u w:val="none"/>
          <w:lang w:val="en-US"/>
        </w:rPr>
        <w:t xml:space="preserve">Where </w:t>
      </w:r>
      <m:oMath>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oMath>
      <w:r w:rsidRPr="00416C0D">
        <w:rPr>
          <w:rStyle w:val="Hipervnculo"/>
          <w:rFonts w:asciiTheme="majorHAnsi" w:hAnsiTheme="majorHAnsi" w:cs="Times New Roman"/>
          <w:color w:val="auto"/>
          <w:szCs w:val="24"/>
          <w:u w:val="none"/>
          <w:lang w:val="en-US"/>
        </w:rPr>
        <w:t xml:space="preserve"> refers to th</w:t>
      </w:r>
      <w:r>
        <w:rPr>
          <w:rStyle w:val="Hipervnculo"/>
          <w:rFonts w:asciiTheme="majorHAnsi" w:hAnsiTheme="majorHAnsi" w:cs="Times New Roman"/>
          <w:color w:val="auto"/>
          <w:szCs w:val="24"/>
          <w:u w:val="none"/>
          <w:lang w:val="en-US"/>
        </w:rPr>
        <w:t xml:space="preserve">e diagonalized direct emissions </w:t>
      </w:r>
      <w:r w:rsidRPr="00416C0D">
        <w:rPr>
          <w:rStyle w:val="Hipervnculo"/>
          <w:rFonts w:asciiTheme="majorHAnsi" w:hAnsiTheme="majorHAnsi" w:cs="Times New Roman"/>
          <w:color w:val="auto"/>
          <w:szCs w:val="24"/>
          <w:u w:val="none"/>
          <w:lang w:val="en-US"/>
        </w:rPr>
        <w:t>coefficient or factor content (CO</w:t>
      </w:r>
      <w:r w:rsidRPr="00416C0D">
        <w:rPr>
          <w:rStyle w:val="Hipervnculo"/>
          <w:rFonts w:asciiTheme="majorHAnsi" w:hAnsiTheme="majorHAnsi" w:cs="Times New Roman"/>
          <w:color w:val="auto"/>
          <w:szCs w:val="24"/>
          <w:u w:val="none"/>
          <w:vertAlign w:val="subscript"/>
          <w:lang w:val="en-US"/>
        </w:rPr>
        <w:t>2</w:t>
      </w:r>
      <w:r w:rsidRPr="00416C0D">
        <w:rPr>
          <w:rStyle w:val="Hipervnculo"/>
          <w:rFonts w:asciiTheme="majorHAnsi" w:hAnsiTheme="majorHAnsi" w:cs="Times New Roman"/>
          <w:color w:val="auto"/>
          <w:szCs w:val="24"/>
          <w:u w:val="none"/>
          <w:lang w:val="en-US"/>
        </w:rPr>
        <w:t xml:space="preserve"> emissions, materi</w:t>
      </w:r>
      <w:r>
        <w:rPr>
          <w:rStyle w:val="Hipervnculo"/>
          <w:rFonts w:asciiTheme="majorHAnsi" w:hAnsiTheme="majorHAnsi" w:cs="Times New Roman"/>
          <w:color w:val="auto"/>
          <w:szCs w:val="24"/>
          <w:u w:val="none"/>
          <w:lang w:val="en-US"/>
        </w:rPr>
        <w:t>als, added value, employment, …</w:t>
      </w:r>
      <w:r w:rsidRPr="00416C0D">
        <w:rPr>
          <w:rStyle w:val="Hipervnculo"/>
          <w:rFonts w:asciiTheme="majorHAnsi" w:hAnsiTheme="majorHAnsi" w:cs="Times New Roman"/>
          <w:color w:val="auto"/>
          <w:szCs w:val="24"/>
          <w:u w:val="none"/>
          <w:lang w:val="en-US"/>
        </w:rPr>
        <w:t xml:space="preserve">) per unit of sector output, </w:t>
      </w:r>
      <m:oMath>
        <m:r>
          <w:rPr>
            <w:rStyle w:val="Hipervnculo"/>
            <w:rFonts w:ascii="Cambria Math" w:hAnsi="Cambria Math" w:cs="Times New Roman"/>
            <w:color w:val="auto"/>
            <w:szCs w:val="24"/>
            <w:u w:val="none"/>
          </w:rPr>
          <m:t>A</m:t>
        </m:r>
      </m:oMath>
      <w:r w:rsidRPr="00416C0D">
        <w:rPr>
          <w:rStyle w:val="Hipervnculo"/>
          <w:rFonts w:asciiTheme="majorHAnsi" w:hAnsiTheme="majorHAnsi" w:cs="Times New Roman"/>
          <w:color w:val="auto"/>
          <w:szCs w:val="24"/>
          <w:u w:val="none"/>
          <w:lang w:val="en-US"/>
        </w:rPr>
        <w:t xml:space="preserve"> </w:t>
      </w:r>
      <w:r w:rsidRPr="00416C0D">
        <w:rPr>
          <w:rStyle w:val="Hipervnculo"/>
          <w:rFonts w:asciiTheme="majorHAnsi" w:hAnsiTheme="majorHAnsi" w:cs="Times New Roman"/>
          <w:color w:val="auto"/>
          <w:szCs w:val="24"/>
          <w:u w:val="none"/>
          <w:lang w:val="en-US"/>
        </w:rPr>
        <w:lastRenderedPageBreak/>
        <w:t xml:space="preserve">is the matrix of total (domestic and imported) technical coefficients, </w:t>
      </w:r>
      <m:oMath>
        <m:r>
          <w:rPr>
            <w:rStyle w:val="Hipervnculo"/>
            <w:rFonts w:ascii="Cambria Math" w:hAnsi="Cambria Math" w:cs="Times New Roman"/>
            <w:color w:val="auto"/>
            <w:szCs w:val="24"/>
            <w:u w:val="none"/>
          </w:rPr>
          <m:t>L</m:t>
        </m:r>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d>
              <m:dPr>
                <m:ctrlPr>
                  <w:rPr>
                    <w:rStyle w:val="Hipervnculo"/>
                    <w:rFonts w:ascii="Cambria Math" w:hAnsi="Cambria Math" w:cs="Times New Roman"/>
                    <w:i/>
                    <w:color w:val="auto"/>
                    <w:szCs w:val="24"/>
                    <w:u w:val="none"/>
                  </w:rPr>
                </m:ctrlPr>
              </m:dPr>
              <m:e>
                <m:r>
                  <w:rPr>
                    <w:rStyle w:val="Hipervnculo"/>
                    <w:rFonts w:ascii="Cambria Math" w:hAnsi="Cambria Math" w:cs="Times New Roman"/>
                    <w:color w:val="auto"/>
                    <w:szCs w:val="24"/>
                    <w:u w:val="none"/>
                  </w:rPr>
                  <m:t>I</m:t>
                </m:r>
                <m:r>
                  <w:rPr>
                    <w:rStyle w:val="Hipervnculo"/>
                    <w:rFonts w:ascii="Cambria Math" w:hAnsi="Cambria Math" w:cs="Times New Roman"/>
                    <w:color w:val="auto"/>
                    <w:szCs w:val="24"/>
                    <w:u w:val="none"/>
                    <w:lang w:val="en-US"/>
                  </w:rPr>
                  <m:t>-</m:t>
                </m:r>
                <m:r>
                  <w:rPr>
                    <w:rStyle w:val="Hipervnculo"/>
                    <w:rFonts w:ascii="Cambria Math" w:hAnsi="Cambria Math" w:cs="Times New Roman"/>
                    <w:color w:val="auto"/>
                    <w:szCs w:val="24"/>
                    <w:u w:val="none"/>
                  </w:rPr>
                  <m:t>A</m:t>
                </m:r>
              </m:e>
            </m:d>
          </m:e>
          <m:sup>
            <m:r>
              <w:rPr>
                <w:rStyle w:val="Hipervnculo"/>
                <w:rFonts w:ascii="Cambria Math" w:hAnsi="Cambria Math" w:cs="Times New Roman"/>
                <w:color w:val="auto"/>
                <w:szCs w:val="24"/>
                <w:u w:val="none"/>
                <w:lang w:val="en-US"/>
              </w:rPr>
              <m:t>-1</m:t>
            </m:r>
          </m:sup>
        </m:sSup>
      </m:oMath>
      <w:r w:rsidRPr="00416C0D">
        <w:rPr>
          <w:rStyle w:val="Hipervnculo"/>
          <w:rFonts w:asciiTheme="majorHAnsi" w:hAnsiTheme="majorHAnsi" w:cs="Times New Roman"/>
          <w:color w:val="auto"/>
          <w:szCs w:val="24"/>
          <w:u w:val="none"/>
          <w:lang w:val="en-US"/>
        </w:rPr>
        <w:t xml:space="preserve"> is the Leontief inverse and </w:t>
      </w:r>
      <w:r w:rsidRPr="00906B68">
        <w:rPr>
          <w:rStyle w:val="Hipervnculo"/>
          <w:rFonts w:asciiTheme="majorHAnsi" w:hAnsiTheme="majorHAnsi" w:cs="Times New Roman"/>
          <w:color w:val="auto"/>
          <w:szCs w:val="24"/>
          <w:u w:val="none"/>
          <w:lang w:val="en-US"/>
        </w:rPr>
        <w:t>the amount of direct and indirect inputs per unit of output produced that satisfies final demand</w:t>
      </w:r>
      <w:r w:rsidRPr="00416C0D">
        <w:rPr>
          <w:rStyle w:val="Hipervnculo"/>
          <w:rFonts w:asciiTheme="majorHAnsi" w:hAnsiTheme="majorHAnsi" w:cs="Times New Roman"/>
          <w:color w:val="auto"/>
          <w:szCs w:val="24"/>
          <w:u w:val="none"/>
          <w:lang w:val="en-US"/>
        </w:rPr>
        <w:t xml:space="preserve">,  </w:t>
      </w:r>
      <m:oMath>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rr</m:t>
            </m:r>
          </m:sup>
        </m:sSup>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rs</m:t>
            </m:r>
          </m:sup>
        </m:sSup>
      </m:oMath>
      <w:r w:rsidRPr="00416C0D">
        <w:rPr>
          <w:rStyle w:val="Hipervnculo"/>
          <w:rFonts w:asciiTheme="majorHAnsi" w:hAnsiTheme="majorHAnsi" w:cs="Times New Roman"/>
          <w:color w:val="auto"/>
          <w:szCs w:val="24"/>
          <w:u w:val="none"/>
          <w:lang w:val="en-US"/>
        </w:rPr>
        <w:t xml:space="preserve"> is the diagonal matrix of final demand, </w:t>
      </w:r>
      <m:oMath>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rr</m:t>
            </m:r>
          </m:sup>
        </m:sSup>
      </m:oMath>
      <w:r w:rsidRPr="00416C0D">
        <w:rPr>
          <w:rStyle w:val="Hipervnculo"/>
          <w:rFonts w:asciiTheme="majorHAnsi" w:hAnsiTheme="majorHAnsi" w:cs="Times New Roman"/>
          <w:color w:val="auto"/>
          <w:szCs w:val="24"/>
          <w:u w:val="none"/>
          <w:lang w:val="en-US"/>
        </w:rPr>
        <w:t xml:space="preserve"> is the diagonal matrix of domestic final goods (consumpt</w:t>
      </w:r>
      <w:r>
        <w:rPr>
          <w:rStyle w:val="Hipervnculo"/>
          <w:rFonts w:asciiTheme="majorHAnsi" w:hAnsiTheme="majorHAnsi" w:cs="Times New Roman"/>
          <w:color w:val="auto"/>
          <w:szCs w:val="24"/>
          <w:u w:val="none"/>
          <w:lang w:val="en-US"/>
        </w:rPr>
        <w:t xml:space="preserve">ion, investment and </w:t>
      </w:r>
      <w:r w:rsidRPr="00906B68">
        <w:rPr>
          <w:rStyle w:val="Hipervnculo"/>
          <w:rFonts w:asciiTheme="majorHAnsi" w:hAnsiTheme="majorHAnsi" w:cs="Times New Roman"/>
          <w:color w:val="auto"/>
          <w:szCs w:val="24"/>
          <w:u w:val="none"/>
          <w:lang w:val="en-US"/>
        </w:rPr>
        <w:t>public expenditure</w:t>
      </w:r>
      <w:r w:rsidRPr="00416C0D">
        <w:rPr>
          <w:rStyle w:val="Hipervnculo"/>
          <w:rFonts w:asciiTheme="majorHAnsi" w:hAnsiTheme="majorHAnsi" w:cs="Times New Roman"/>
          <w:color w:val="auto"/>
          <w:szCs w:val="24"/>
          <w:u w:val="none"/>
          <w:lang w:val="en-US"/>
        </w:rPr>
        <w:t xml:space="preserve">) and </w:t>
      </w:r>
      <m:oMath>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rs</m:t>
            </m:r>
          </m:sup>
        </m:sSup>
      </m:oMath>
      <w:r w:rsidRPr="00416C0D">
        <w:rPr>
          <w:rStyle w:val="Hipervnculo"/>
          <w:rFonts w:asciiTheme="majorHAnsi" w:hAnsiTheme="majorHAnsi" w:cs="Times New Roman"/>
          <w:color w:val="auto"/>
          <w:szCs w:val="24"/>
          <w:u w:val="none"/>
          <w:lang w:val="en-US"/>
        </w:rPr>
        <w:t xml:space="preserve"> is the diagonal matrix of exported final goods. By columns, the matrix [1] for the region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xml:space="preserve"> quantifies the factor content footprint of the region (</w:t>
      </w:r>
      <w:hyperlink w:anchor="_ENREF_21" w:tooltip="Wiedmann, 2009 #164" w:history="1">
        <w:r w:rsidR="004B4AF6" w:rsidRPr="004B4AF6">
          <w:rPr>
            <w:rStyle w:val="Hipervnculo"/>
            <w:rFonts w:asciiTheme="majorHAnsi" w:hAnsiTheme="majorHAnsi" w:cs="Times New Roman"/>
            <w:color w:val="auto"/>
            <w:szCs w:val="24"/>
            <w:u w:val="none"/>
            <w:lang w:val="en-US"/>
          </w:rPr>
          <w:fldChar w:fldCharType="begin"/>
        </w:r>
        <w:r w:rsidR="004B4AF6" w:rsidRPr="004B4AF6">
          <w:rPr>
            <w:rStyle w:val="Hipervnculo"/>
            <w:rFonts w:asciiTheme="majorHAnsi" w:hAnsiTheme="majorHAnsi" w:cs="Times New Roman"/>
            <w:color w:val="auto"/>
            <w:szCs w:val="24"/>
            <w:u w:val="none"/>
            <w:lang w:val="en-US"/>
          </w:rPr>
          <w:instrText xml:space="preserve"> ADDIN EN.CITE &lt;EndNote&gt;&lt;Cite AuthorYear="1"&gt;&lt;Author&gt;Wiedmann&lt;/Author&gt;&lt;Year&gt;2009&lt;/Year&gt;&lt;RecNum&gt;164&lt;/RecNum&gt;&lt;DisplayText&gt;Wiedmann et al. (2009)&lt;/DisplayText&gt;&lt;record&gt;&lt;rec-number&gt;164&lt;/rec-number&gt;&lt;foreign-keys&gt;&lt;key app="EN" db-id="s0tde0xz2xaee9edeervtv2uvtrx99daf9a5"&gt;164&lt;/key&gt;&lt;/foreign-keys&gt;&lt;ref-type name="Journal Article"&gt;17&lt;/ref-type&gt;&lt;contributors&gt;&lt;authors&gt;&lt;author&gt;Wiedmann, T.O.&lt;/author&gt;&lt;author&gt;Lenzen, M.&lt;/author&gt;&lt;author&gt;Barrett, J.R.&lt;/author&gt;&lt;/authors&gt;&lt;/contributors&gt;&lt;titles&gt;&lt;title&gt;Companies on the Scale: Comparing and Benchmarking the Sustainability Performance of Businesses&lt;/title&gt;&lt;secondary-title&gt;Journal of Industrial Ecology&lt;/secondary-title&gt;&lt;/titles&gt;&lt;periodical&gt;&lt;full-title&gt;Journal of Industrial Ecology&lt;/full-title&gt;&lt;/periodical&gt;&lt;volume&gt;13&lt;/volume&gt;&lt;number&gt;3&lt;/number&gt;&lt;dates&gt;&lt;year&gt;2009&lt;/year&gt;&lt;/dates&gt;&lt;urls&gt;&lt;/urls&gt;&lt;/record&gt;&lt;/Cite&gt;&lt;/EndNote&gt;</w:instrText>
        </w:r>
        <w:r w:rsidR="004B4AF6" w:rsidRPr="004B4AF6">
          <w:rPr>
            <w:rStyle w:val="Hipervnculo"/>
            <w:rFonts w:asciiTheme="majorHAnsi" w:hAnsiTheme="majorHAnsi" w:cs="Times New Roman"/>
            <w:color w:val="auto"/>
            <w:szCs w:val="24"/>
            <w:u w:val="none"/>
            <w:lang w:val="en-US"/>
          </w:rPr>
          <w:fldChar w:fldCharType="separate"/>
        </w:r>
        <w:r w:rsidR="004B4AF6" w:rsidRPr="004B4AF6">
          <w:rPr>
            <w:rStyle w:val="Hipervnculo"/>
            <w:rFonts w:asciiTheme="majorHAnsi" w:hAnsiTheme="majorHAnsi" w:cs="Times New Roman"/>
            <w:noProof/>
            <w:color w:val="auto"/>
            <w:szCs w:val="24"/>
            <w:u w:val="none"/>
            <w:lang w:val="en-US"/>
          </w:rPr>
          <w:t>Wiedmann et al. (2009)</w:t>
        </w:r>
        <w:r w:rsidR="004B4AF6" w:rsidRPr="004B4AF6">
          <w:rPr>
            <w:rStyle w:val="Hipervnculo"/>
            <w:rFonts w:asciiTheme="majorHAnsi" w:hAnsiTheme="majorHAnsi" w:cs="Times New Roman"/>
            <w:color w:val="auto"/>
            <w:szCs w:val="24"/>
            <w:u w:val="none"/>
            <w:lang w:val="en-US"/>
          </w:rPr>
          <w:fldChar w:fldCharType="end"/>
        </w:r>
      </w:hyperlink>
      <w:r w:rsidR="004B4AF6">
        <w:rPr>
          <w:rStyle w:val="Hipervnculo"/>
          <w:rFonts w:asciiTheme="majorHAnsi" w:hAnsiTheme="majorHAnsi" w:cs="Times New Roman"/>
          <w:color w:val="auto"/>
          <w:szCs w:val="24"/>
          <w:u w:val="none"/>
          <w:lang w:val="en-US"/>
        </w:rPr>
        <w:t>,</w:t>
      </w:r>
      <w:r w:rsidR="004A0F2A">
        <w:rPr>
          <w:rStyle w:val="Hipervnculo"/>
          <w:rFonts w:asciiTheme="majorHAnsi" w:hAnsiTheme="majorHAnsi" w:cs="Times New Roman"/>
          <w:color w:val="auto"/>
          <w:szCs w:val="24"/>
          <w:u w:val="none"/>
          <w:lang w:val="en-US"/>
        </w:rPr>
        <w:t xml:space="preserve"> </w:t>
      </w:r>
      <w:hyperlink w:anchor="_ENREF_14" w:tooltip="Peters, 2012 #745" w:history="1">
        <w:r w:rsidR="004B4AF6">
          <w:rPr>
            <w:rStyle w:val="Hipervnculo"/>
            <w:rFonts w:asciiTheme="majorHAnsi" w:hAnsiTheme="majorHAnsi" w:cs="Times New Roman"/>
            <w:color w:val="auto"/>
            <w:szCs w:val="24"/>
            <w:u w:val="none"/>
            <w:lang w:val="en-US"/>
          </w:rPr>
          <w:fldChar w:fldCharType="begin"/>
        </w:r>
        <w:r w:rsidR="004B4AF6">
          <w:rPr>
            <w:rStyle w:val="Hipervnculo"/>
            <w:rFonts w:asciiTheme="majorHAnsi" w:hAnsiTheme="majorHAnsi" w:cs="Times New Roman"/>
            <w:color w:val="auto"/>
            <w:szCs w:val="24"/>
            <w:u w:val="none"/>
            <w:lang w:val="en-US"/>
          </w:rPr>
          <w:instrText xml:space="preserve"> ADDIN EN.CITE &lt;EndNote&gt;&lt;Cite AuthorYear="1"&gt;&lt;Author&gt;Peters&lt;/Author&gt;&lt;Year&gt;2012&lt;/Year&gt;&lt;RecNum&gt;745&lt;/RecNum&gt;&lt;DisplayText&gt;Peters et al. (2012a)&lt;/DisplayText&gt;&lt;record&gt;&lt;rec-number&gt;745&lt;/rec-number&gt;&lt;foreign-keys&gt;&lt;key app="EN" db-id="s0tde0xz2xaee9edeervtv2uvtrx99daf9a5"&gt;745&lt;/key&gt;&lt;/foreign-keys&gt;&lt;ref-type name="Journal Article"&gt;17&lt;/ref-type&gt;&lt;contributors&gt;&lt;authors&gt;&lt;author&gt;Peters, G. P.&lt;/author&gt;&lt;author&gt;Davis, S.J.&lt;/author&gt;&lt;author&gt;Andrew, R.M.&lt;/author&gt;&lt;/authors&gt;&lt;/contributors&gt;&lt;titles&gt;&lt;title&gt;A synthesis of carbon in international trade&lt;/title&gt;&lt;secondary-title&gt;Biogeosciences Discuss&lt;/secondary-title&gt;&lt;/titles&gt;&lt;periodical&gt;&lt;full-title&gt;Biogeosciences Discuss&lt;/full-title&gt;&lt;/periodical&gt;&lt;pages&gt;3949-4023&lt;/pages&gt;&lt;volume&gt;9&lt;/volume&gt;&lt;number&gt;3&lt;/number&gt;&lt;dates&gt;&lt;year&gt;2012&lt;/year&gt;&lt;/dates&gt;&lt;urls&gt;&lt;/urls&gt;&lt;/record&gt;&lt;/Cite&gt;&lt;/EndNote&gt;</w:instrText>
        </w:r>
        <w:r w:rsidR="004B4AF6">
          <w:rPr>
            <w:rStyle w:val="Hipervnculo"/>
            <w:rFonts w:asciiTheme="majorHAnsi" w:hAnsiTheme="majorHAnsi" w:cs="Times New Roman"/>
            <w:color w:val="auto"/>
            <w:szCs w:val="24"/>
            <w:u w:val="none"/>
            <w:lang w:val="en-US"/>
          </w:rPr>
          <w:fldChar w:fldCharType="separate"/>
        </w:r>
        <w:r w:rsidR="004B4AF6">
          <w:rPr>
            <w:rStyle w:val="Hipervnculo"/>
            <w:rFonts w:asciiTheme="majorHAnsi" w:hAnsiTheme="majorHAnsi" w:cs="Times New Roman"/>
            <w:noProof/>
            <w:color w:val="auto"/>
            <w:szCs w:val="24"/>
            <w:u w:val="none"/>
            <w:lang w:val="en-US"/>
          </w:rPr>
          <w:t>Peters et al. (2012a)</w:t>
        </w:r>
        <w:r w:rsidR="004B4AF6">
          <w:rPr>
            <w:rStyle w:val="Hipervnculo"/>
            <w:rFonts w:asciiTheme="majorHAnsi" w:hAnsiTheme="majorHAnsi" w:cs="Times New Roman"/>
            <w:color w:val="auto"/>
            <w:szCs w:val="24"/>
            <w:u w:val="none"/>
            <w:lang w:val="en-US"/>
          </w:rPr>
          <w:fldChar w:fldCharType="end"/>
        </w:r>
      </w:hyperlink>
      <w:r w:rsidR="00330079">
        <w:rPr>
          <w:rStyle w:val="Hipervnculo"/>
          <w:rFonts w:asciiTheme="majorHAnsi" w:hAnsiTheme="majorHAnsi" w:cs="Times New Roman"/>
          <w:color w:val="auto"/>
          <w:szCs w:val="24"/>
          <w:u w:val="none"/>
          <w:lang w:val="en-US"/>
        </w:rPr>
        <w:t>)</w:t>
      </w:r>
      <w:r>
        <w:rPr>
          <w:rStyle w:val="Hipervnculo"/>
          <w:rFonts w:asciiTheme="majorHAnsi" w:hAnsiTheme="majorHAnsi" w:cs="Times New Roman"/>
          <w:color w:val="auto"/>
          <w:szCs w:val="24"/>
          <w:u w:val="none"/>
          <w:lang w:val="en-US"/>
        </w:rPr>
        <w:t>. In this paper, we considered as</w:t>
      </w:r>
      <w:r w:rsidRPr="00416C0D">
        <w:rPr>
          <w:rStyle w:val="Hipervnculo"/>
          <w:rFonts w:asciiTheme="majorHAnsi" w:hAnsiTheme="majorHAnsi" w:cs="Times New Roman"/>
          <w:color w:val="auto"/>
          <w:szCs w:val="24"/>
          <w:u w:val="none"/>
          <w:lang w:val="en-US"/>
        </w:rPr>
        <w:t xml:space="preserve"> factor content, CO</w:t>
      </w:r>
      <w:r w:rsidRPr="00416C0D">
        <w:rPr>
          <w:rStyle w:val="Hipervnculo"/>
          <w:rFonts w:asciiTheme="majorHAnsi" w:hAnsiTheme="majorHAnsi" w:cs="Times New Roman"/>
          <w:color w:val="auto"/>
          <w:szCs w:val="24"/>
          <w:u w:val="none"/>
          <w:vertAlign w:val="subscript"/>
          <w:lang w:val="en-US"/>
        </w:rPr>
        <w:t>2</w:t>
      </w:r>
      <w:r w:rsidRPr="00416C0D">
        <w:rPr>
          <w:rStyle w:val="Hipervnculo"/>
          <w:rFonts w:asciiTheme="majorHAnsi" w:hAnsiTheme="majorHAnsi" w:cs="Times New Roman"/>
          <w:color w:val="auto"/>
          <w:szCs w:val="24"/>
          <w:u w:val="none"/>
          <w:lang w:val="en-US"/>
        </w:rPr>
        <w:t xml:space="preserve"> emissions and materials, and we talk about carbon footprint and materials footprint of a region.</w:t>
      </w:r>
    </w:p>
    <w:p w14:paraId="10C3CB87" w14:textId="77777777" w:rsidR="005D6532" w:rsidRPr="00416C0D" w:rsidRDefault="005D6532" w:rsidP="00F362A0">
      <w:pPr>
        <w:ind w:firstLine="0"/>
        <w:rPr>
          <w:rStyle w:val="Hipervnculo"/>
          <w:rFonts w:asciiTheme="majorHAnsi" w:hAnsiTheme="majorHAnsi" w:cs="Times New Roman"/>
          <w:color w:val="auto"/>
          <w:szCs w:val="24"/>
          <w:u w:val="none"/>
          <w:lang w:val="en-US"/>
        </w:rPr>
      </w:pPr>
      <w:r w:rsidRPr="00416C0D">
        <w:rPr>
          <w:rStyle w:val="Hipervnculo"/>
          <w:rFonts w:asciiTheme="majorHAnsi" w:hAnsiTheme="majorHAnsi" w:cs="Times New Roman"/>
          <w:color w:val="auto"/>
          <w:szCs w:val="24"/>
          <w:u w:val="none"/>
          <w:lang w:val="en-US"/>
        </w:rPr>
        <w:t>The parceling of the Leontief inverse and final demand is useful to isolate the domestic and imported factor content demand (</w:t>
      </w:r>
      <m:oMath>
        <m:r>
          <w:rPr>
            <w:rStyle w:val="Hipervnculo"/>
            <w:rFonts w:ascii="Cambria Math" w:hAnsi="Cambria Math" w:cs="Times New Roman"/>
            <w:color w:val="auto"/>
            <w:szCs w:val="24"/>
            <w:u w:val="none"/>
          </w:rPr>
          <m:t>L</m:t>
        </m:r>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oMath>
      <w:r w:rsidRPr="00416C0D">
        <w:rPr>
          <w:rStyle w:val="Hipervnculo"/>
          <w:rFonts w:asciiTheme="majorHAnsi" w:hAnsiTheme="majorHAnsi" w:cs="Times New Roman"/>
          <w:color w:val="auto"/>
          <w:szCs w:val="24"/>
          <w:u w:val="none"/>
          <w:lang w:val="en-US"/>
        </w:rPr>
        <w:t>). For this purpose, the domestic multiplier is defined (</w:t>
      </w:r>
      <m:oMath>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oMath>
      <w:r w:rsidRPr="00416C0D">
        <w:rPr>
          <w:rStyle w:val="Hipervnculo"/>
          <w:rFonts w:asciiTheme="majorHAnsi" w:hAnsiTheme="majorHAnsi" w:cs="Times New Roman"/>
          <w:color w:val="auto"/>
          <w:szCs w:val="24"/>
          <w:u w:val="none"/>
          <w:lang w:val="en-US"/>
        </w:rPr>
        <w:t xml:space="preserve">) as a matrix with the values in </w:t>
      </w:r>
      <w:r w:rsidRPr="00416C0D">
        <w:rPr>
          <w:rStyle w:val="Hipervnculo"/>
          <w:rFonts w:asciiTheme="majorHAnsi" w:hAnsiTheme="majorHAnsi" w:cs="Times New Roman"/>
          <w:i/>
          <w:color w:val="auto"/>
          <w:szCs w:val="24"/>
          <w:u w:val="none"/>
          <w:lang w:val="en-US"/>
        </w:rPr>
        <w:t xml:space="preserve">rr </w:t>
      </w:r>
      <w:r w:rsidRPr="00416C0D">
        <w:rPr>
          <w:rStyle w:val="Hipervnculo"/>
          <w:rFonts w:asciiTheme="majorHAnsi" w:hAnsiTheme="majorHAnsi" w:cs="Times New Roman"/>
          <w:color w:val="auto"/>
          <w:szCs w:val="24"/>
          <w:u w:val="none"/>
          <w:lang w:val="en-US"/>
        </w:rPr>
        <w:t>and zeros</w:t>
      </w:r>
      <w:r w:rsidRPr="00416C0D">
        <w:rPr>
          <w:rFonts w:asciiTheme="majorHAnsi" w:hAnsiTheme="majorHAnsi"/>
          <w:szCs w:val="24"/>
          <w:lang w:val="en-US"/>
        </w:rPr>
        <w:t xml:space="preserve"> </w:t>
      </w:r>
      <w:r w:rsidRPr="00416C0D">
        <w:rPr>
          <w:rStyle w:val="Hipervnculo"/>
          <w:rFonts w:asciiTheme="majorHAnsi" w:hAnsiTheme="majorHAnsi" w:cs="Times New Roman"/>
          <w:color w:val="auto"/>
          <w:szCs w:val="24"/>
          <w:u w:val="none"/>
          <w:lang w:val="en-US"/>
        </w:rPr>
        <w:t>in other elements</w:t>
      </w:r>
      <w:r w:rsidRPr="00416C0D">
        <w:rPr>
          <w:rStyle w:val="Hipervnculo"/>
          <w:rFonts w:asciiTheme="majorHAnsi" w:hAnsiTheme="majorHAnsi" w:cs="Times New Roman"/>
          <w:i/>
          <w:color w:val="auto"/>
          <w:szCs w:val="24"/>
          <w:u w:val="none"/>
          <w:lang w:val="en-US"/>
        </w:rPr>
        <w:t xml:space="preserve"> rs </w:t>
      </w:r>
      <w:r w:rsidRPr="00416C0D">
        <w:rPr>
          <w:rStyle w:val="Hipervnculo"/>
          <w:rFonts w:asciiTheme="majorHAnsi" w:hAnsiTheme="majorHAnsi" w:cs="Times New Roman"/>
          <w:color w:val="auto"/>
          <w:szCs w:val="24"/>
          <w:u w:val="none"/>
          <w:lang w:val="en-US"/>
        </w:rPr>
        <w:t>and the exports multiplier (</w:t>
      </w:r>
      <m:oMath>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oMath>
      <w:r w:rsidRPr="00416C0D">
        <w:rPr>
          <w:rStyle w:val="Hipervnculo"/>
          <w:rFonts w:asciiTheme="majorHAnsi" w:hAnsiTheme="majorHAnsi" w:cs="Times New Roman"/>
          <w:color w:val="auto"/>
          <w:szCs w:val="24"/>
          <w:u w:val="none"/>
          <w:lang w:val="en-US"/>
        </w:rPr>
        <w:t xml:space="preserve">) is defined too as a matrix of zeros in the main diagonal </w:t>
      </w:r>
      <w:r w:rsidRPr="00416C0D">
        <w:rPr>
          <w:rStyle w:val="Hipervnculo"/>
          <w:rFonts w:asciiTheme="majorHAnsi" w:hAnsiTheme="majorHAnsi" w:cs="Times New Roman"/>
          <w:i/>
          <w:color w:val="auto"/>
          <w:szCs w:val="24"/>
          <w:u w:val="none"/>
          <w:lang w:val="en-US"/>
        </w:rPr>
        <w:t>rr</w:t>
      </w:r>
      <w:r w:rsidRPr="00416C0D">
        <w:rPr>
          <w:rStyle w:val="Hipervnculo"/>
          <w:rFonts w:asciiTheme="majorHAnsi" w:hAnsiTheme="majorHAnsi" w:cs="Times New Roman"/>
          <w:color w:val="auto"/>
          <w:szCs w:val="24"/>
          <w:u w:val="none"/>
          <w:lang w:val="en-US"/>
        </w:rPr>
        <w:t xml:space="preserve"> and with the values in the rest of </w:t>
      </w:r>
      <w:r w:rsidRPr="00416C0D">
        <w:rPr>
          <w:rStyle w:val="Hipervnculo"/>
          <w:rFonts w:asciiTheme="majorHAnsi" w:hAnsiTheme="majorHAnsi" w:cs="Times New Roman"/>
          <w:i/>
          <w:color w:val="auto"/>
          <w:szCs w:val="24"/>
          <w:u w:val="none"/>
          <w:lang w:val="en-US"/>
        </w:rPr>
        <w:t>rs</w:t>
      </w:r>
      <w:r w:rsidRPr="00416C0D">
        <w:rPr>
          <w:rStyle w:val="Hipervnculo"/>
          <w:rFonts w:asciiTheme="majorHAnsi" w:hAnsiTheme="majorHAnsi" w:cs="Times New Roman"/>
          <w:color w:val="auto"/>
          <w:szCs w:val="24"/>
          <w:u w:val="none"/>
          <w:lang w:val="en-US"/>
        </w:rPr>
        <w:t xml:space="preserve"> values. </w:t>
      </w:r>
    </w:p>
    <w:p w14:paraId="4263AC52" w14:textId="77777777" w:rsidR="005D6532" w:rsidRPr="00416C0D" w:rsidRDefault="005D6532" w:rsidP="005D6532">
      <w:pPr>
        <w:rPr>
          <w:rStyle w:val="Hipervnculo"/>
          <w:rFonts w:asciiTheme="majorHAnsi" w:hAnsiTheme="majorHAnsi" w:cs="Times New Roman"/>
          <w:color w:val="auto"/>
          <w:szCs w:val="24"/>
          <w:u w:val="none"/>
          <w:lang w:val="en-US"/>
        </w:rPr>
      </w:pPr>
      <m:oMath>
        <m:r>
          <w:rPr>
            <w:rStyle w:val="Hipervnculo"/>
            <w:rFonts w:ascii="Cambria Math" w:hAnsi="Cambria Math" w:cs="Times New Roman"/>
            <w:color w:val="auto"/>
            <w:szCs w:val="24"/>
            <w:u w:val="none"/>
          </w:rPr>
          <m:t>F</m:t>
        </m:r>
        <m:r>
          <w:rPr>
            <w:rStyle w:val="Hipervnculo"/>
            <w:rFonts w:ascii="Cambria Math" w:hAnsi="Cambria Math" w:cs="Times New Roman"/>
            <w:color w:val="auto"/>
            <w:szCs w:val="24"/>
            <w:u w:val="none"/>
            <w:lang w:val="en-US"/>
          </w:rPr>
          <m:t>=</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r>
          <w:rPr>
            <w:rStyle w:val="Hipervnculo"/>
            <w:rFonts w:ascii="Cambria Math" w:hAnsi="Cambria Math" w:cs="Times New Roman"/>
            <w:color w:val="auto"/>
            <w:szCs w:val="24"/>
            <w:u w:val="none"/>
          </w:rPr>
          <m:t>L</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r>
          <w:rPr>
            <w:rStyle w:val="Hipervnculo"/>
            <w:rFonts w:ascii="Cambria Math" w:hAnsi="Cambria Math" w:cs="Times New Roman"/>
            <w:color w:val="auto"/>
            <w:szCs w:val="24"/>
            <w:u w:val="none"/>
            <w:lang w:val="en-US"/>
          </w:rPr>
          <m:t>=</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d>
          <m:dPr>
            <m:ctrlPr>
              <w:rPr>
                <w:rStyle w:val="Hipervnculo"/>
                <w:rFonts w:ascii="Cambria Math" w:hAnsi="Cambria Math" w:cs="Times New Roman"/>
                <w:i/>
                <w:color w:val="auto"/>
                <w:szCs w:val="24"/>
                <w:u w:val="none"/>
              </w:rPr>
            </m:ctrlPr>
          </m:dPr>
          <m:e>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e>
        </m:d>
        <m:d>
          <m:dPr>
            <m:ctrlPr>
              <w:rPr>
                <w:rStyle w:val="Hipervnculo"/>
                <w:rFonts w:ascii="Cambria Math" w:hAnsi="Cambria Math" w:cs="Times New Roman"/>
                <w:i/>
                <w:color w:val="auto"/>
                <w:szCs w:val="24"/>
                <w:u w:val="none"/>
              </w:rPr>
            </m:ctrlPr>
          </m:dPr>
          <m:e>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rr</m:t>
                </m:r>
              </m:sup>
            </m:sSup>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rs</m:t>
                </m:r>
              </m:sup>
            </m:sSup>
          </m:e>
        </m:d>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rr</m:t>
                    </m:r>
                  </m:sup>
                </m:sSup>
              </m:e>
            </m:groupChr>
          </m:e>
          <m:lim>
            <m:r>
              <w:rPr>
                <w:rStyle w:val="Hipervnculo"/>
                <w:rFonts w:ascii="Cambria Math" w:hAnsi="Cambria Math" w:cs="Times New Roman"/>
                <w:color w:val="auto"/>
                <w:szCs w:val="24"/>
                <w:u w:val="none"/>
                <w:lang w:val="en-US"/>
              </w:rPr>
              <m:t>2.1</m:t>
            </m:r>
          </m:lim>
        </m:limLow>
        <m:r>
          <w:rPr>
            <w:rStyle w:val="Hipervnculo"/>
            <w:rFonts w:ascii="Cambria Math" w:hAnsi="Cambria Math" w:cs="Times New Roman"/>
            <w:color w:val="auto"/>
            <w:szCs w:val="24"/>
            <w:u w:val="none"/>
            <w:lang w:val="en-US"/>
          </w:rPr>
          <m:t>+</m:t>
        </m:r>
        <m:d>
          <m:dPr>
            <m:ctrlPr>
              <w:rPr>
                <w:rStyle w:val="Hipervnculo"/>
                <w:rFonts w:ascii="Cambria Math" w:hAnsi="Cambria Math" w:cs="Times New Roman"/>
                <w:i/>
                <w:color w:val="auto"/>
                <w:szCs w:val="24"/>
                <w:u w:val="none"/>
              </w:rPr>
            </m:ctrlPr>
          </m:dPr>
          <m:e>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rs</m:t>
                        </m:r>
                      </m:sup>
                    </m:sSup>
                  </m:e>
                </m:groupChr>
              </m:e>
              <m:lim>
                <m:r>
                  <w:rPr>
                    <w:rStyle w:val="Hipervnculo"/>
                    <w:rFonts w:ascii="Cambria Math" w:hAnsi="Cambria Math" w:cs="Times New Roman"/>
                    <w:color w:val="auto"/>
                    <w:szCs w:val="24"/>
                    <w:u w:val="none"/>
                    <w:lang w:val="en-US"/>
                  </w:rPr>
                  <m:t>2.2</m:t>
                </m:r>
              </m:lim>
            </m:limLow>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rr</m:t>
                        </m:r>
                      </m:sup>
                    </m:sSup>
                  </m:e>
                </m:groupChr>
              </m:e>
              <m:lim>
                <m:r>
                  <w:rPr>
                    <w:rStyle w:val="Hipervnculo"/>
                    <w:rFonts w:ascii="Cambria Math" w:hAnsi="Cambria Math" w:cs="Times New Roman"/>
                    <w:color w:val="auto"/>
                    <w:szCs w:val="24"/>
                    <w:u w:val="none"/>
                    <w:lang w:val="en-US"/>
                  </w:rPr>
                  <m:t>2.3</m:t>
                </m:r>
              </m:lim>
            </m:limLow>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sSup>
                      <m:sSupPr>
                        <m:ctrlPr>
                          <w:rPr>
                            <w:rStyle w:val="Hipervnculo"/>
                            <w:rFonts w:ascii="Cambria Math" w:hAnsi="Cambria Math" w:cs="Times New Roman"/>
                            <w:i/>
                            <w:color w:val="auto"/>
                            <w:szCs w:val="24"/>
                            <w:u w:val="none"/>
                          </w:rPr>
                        </m:ctrlPr>
                      </m:s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y</m:t>
                            </m:r>
                          </m:e>
                        </m:acc>
                      </m:e>
                      <m:sup>
                        <m:r>
                          <w:rPr>
                            <w:rStyle w:val="Hipervnculo"/>
                            <w:rFonts w:ascii="Cambria Math" w:hAnsi="Cambria Math" w:cs="Times New Roman"/>
                            <w:color w:val="auto"/>
                            <w:szCs w:val="24"/>
                            <w:u w:val="none"/>
                          </w:rPr>
                          <m:t>rs</m:t>
                        </m:r>
                      </m:sup>
                    </m:sSup>
                  </m:e>
                </m:groupChr>
              </m:e>
              <m:lim>
                <m:r>
                  <w:rPr>
                    <w:rStyle w:val="Hipervnculo"/>
                    <w:rFonts w:ascii="Cambria Math" w:hAnsi="Cambria Math" w:cs="Times New Roman"/>
                    <w:color w:val="auto"/>
                    <w:szCs w:val="24"/>
                    <w:u w:val="none"/>
                    <w:lang w:val="en-US"/>
                  </w:rPr>
                  <m:t>2.4</m:t>
                </m:r>
              </m:lim>
            </m:limLow>
          </m:e>
        </m:d>
      </m:oMath>
      <w:r w:rsidRPr="00416C0D">
        <w:rPr>
          <w:rStyle w:val="Hipervnculo"/>
          <w:rFonts w:asciiTheme="majorHAnsi" w:hAnsiTheme="majorHAnsi" w:cs="Times New Roman"/>
          <w:color w:val="auto"/>
          <w:szCs w:val="24"/>
          <w:u w:val="none"/>
          <w:lang w:val="en-US"/>
        </w:rPr>
        <w:tab/>
      </w:r>
      <w:r w:rsidRPr="00416C0D">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Pr>
          <w:rStyle w:val="Hipervnculo"/>
          <w:rFonts w:asciiTheme="majorHAnsi" w:hAnsiTheme="majorHAnsi" w:cs="Times New Roman"/>
          <w:color w:val="auto"/>
          <w:szCs w:val="24"/>
          <w:u w:val="none"/>
          <w:lang w:val="en-US"/>
        </w:rPr>
        <w:tab/>
      </w:r>
      <w:r w:rsidRPr="00416C0D">
        <w:rPr>
          <w:rStyle w:val="Hipervnculo"/>
          <w:rFonts w:asciiTheme="majorHAnsi" w:hAnsiTheme="majorHAnsi" w:cs="Times New Roman"/>
          <w:color w:val="auto"/>
          <w:szCs w:val="24"/>
          <w:u w:val="none"/>
          <w:lang w:val="en-US"/>
        </w:rPr>
        <w:t>[2]</w:t>
      </w:r>
    </w:p>
    <w:p w14:paraId="04D69B10" w14:textId="1B13F7A3" w:rsidR="005D6532" w:rsidRPr="00416C0D" w:rsidRDefault="005D6532" w:rsidP="00F362A0">
      <w:pPr>
        <w:ind w:firstLine="0"/>
        <w:rPr>
          <w:rStyle w:val="Hipervnculo"/>
          <w:rFonts w:asciiTheme="majorHAnsi" w:hAnsiTheme="majorHAnsi" w:cs="Times New Roman"/>
          <w:color w:val="auto"/>
          <w:szCs w:val="24"/>
          <w:u w:val="none"/>
          <w:lang w:val="en-US"/>
        </w:rPr>
      </w:pPr>
      <w:r w:rsidRPr="00416C0D">
        <w:rPr>
          <w:rStyle w:val="Hipervnculo"/>
          <w:rFonts w:asciiTheme="majorHAnsi" w:hAnsiTheme="majorHAnsi" w:cs="Times New Roman"/>
          <w:color w:val="auto"/>
          <w:szCs w:val="24"/>
          <w:u w:val="none"/>
          <w:lang w:val="en-US"/>
        </w:rPr>
        <w:t xml:space="preserve">The expression [2.1] shows the domestic footprint of the different regions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xml:space="preserve"> (Yu et al., 2011) and the others t</w:t>
      </w:r>
      <w:r>
        <w:rPr>
          <w:rStyle w:val="Hipervnculo"/>
          <w:rFonts w:asciiTheme="majorHAnsi" w:hAnsiTheme="majorHAnsi" w:cs="Times New Roman"/>
          <w:color w:val="auto"/>
          <w:szCs w:val="24"/>
          <w:u w:val="none"/>
          <w:lang w:val="en-US"/>
        </w:rPr>
        <w:t>h</w:t>
      </w:r>
      <w:r w:rsidRPr="00416C0D">
        <w:rPr>
          <w:rStyle w:val="Hipervnculo"/>
          <w:rFonts w:asciiTheme="majorHAnsi" w:hAnsiTheme="majorHAnsi" w:cs="Times New Roman"/>
          <w:color w:val="auto"/>
          <w:szCs w:val="24"/>
          <w:u w:val="none"/>
          <w:lang w:val="en-US"/>
        </w:rPr>
        <w:t>ree expressions shows the footprint embodied in imports from the other regions considered, that could decomposed into trade in final goods between different regions [2.2], last round of producti</w:t>
      </w:r>
      <w:r w:rsidR="004A0F2A">
        <w:rPr>
          <w:rStyle w:val="Hipervnculo"/>
          <w:rFonts w:asciiTheme="majorHAnsi" w:hAnsiTheme="majorHAnsi" w:cs="Times New Roman"/>
          <w:color w:val="auto"/>
          <w:szCs w:val="24"/>
          <w:u w:val="none"/>
          <w:lang w:val="en-US"/>
        </w:rPr>
        <w:t xml:space="preserve">on [2.3] or other rounds [2.4] </w:t>
      </w:r>
      <w:r w:rsidR="004A0F2A">
        <w:rPr>
          <w:rStyle w:val="Hipervnculo"/>
          <w:rFonts w:asciiTheme="majorHAnsi" w:hAnsiTheme="majorHAnsi" w:cs="Times New Roman"/>
          <w:color w:val="auto"/>
          <w:szCs w:val="24"/>
          <w:u w:val="none"/>
          <w:lang w:val="en-US"/>
        </w:rPr>
        <w:fldChar w:fldCharType="begin"/>
      </w:r>
      <w:r w:rsidR="004A0F2A">
        <w:rPr>
          <w:rStyle w:val="Hipervnculo"/>
          <w:rFonts w:asciiTheme="majorHAnsi" w:hAnsiTheme="majorHAnsi" w:cs="Times New Roman"/>
          <w:color w:val="auto"/>
          <w:szCs w:val="24"/>
          <w:u w:val="none"/>
          <w:lang w:val="en-US"/>
        </w:rPr>
        <w:instrText xml:space="preserve"> ADDIN EN.CITE &lt;EndNote&gt;&lt;Cite&gt;&lt;Author&gt;López&lt;/Author&gt;&lt;Year&gt;2013&lt;/Year&gt;&lt;RecNum&gt;765&lt;/RecNum&gt;&lt;DisplayText&gt;(López et al., 2013)&lt;/DisplayText&gt;&lt;record&gt;&lt;rec-number&gt;765&lt;/rec-number&gt;&lt;foreign-keys&gt;&lt;key app="EN" db-id="s0tde0xz2xaee9edeervtv2uvtrx99daf9a5"&gt;765&lt;/key&gt;&lt;/foreign-keys&gt;&lt;ref-type name="Journal Article"&gt;17&lt;/ref-type&gt;&lt;contributors&gt;&lt;authors&gt;&lt;author&gt;López, Luis Antonio&lt;/author&gt;&lt;author&gt;Arce, Guadalupe&lt;/author&gt;&lt;author&gt;Zafrilla, Jorge Enrique&lt;/author&gt;&lt;/authors&gt;&lt;/contributors&gt;&lt;titles&gt;&lt;title&gt;Parcelling virtual carbon in the pollution haven hypothesis&lt;/title&gt;&lt;secondary-title&gt;Energy Economics&lt;/secondary-title&gt;&lt;/titles&gt;&lt;periodical&gt;&lt;full-title&gt;Energy Economics&lt;/full-title&gt;&lt;/periodical&gt;&lt;pages&gt;177-186&lt;/pages&gt;&lt;volume&gt;39&lt;/volume&gt;&lt;number&gt;0&lt;/number&gt;&lt;keywords&gt;&lt;keyword&gt;Pollution haven hypothesis&lt;/keyword&gt;&lt;keyword&gt;Global value chain&lt;/keyword&gt;&lt;keyword&gt;Input–output&lt;/keyword&gt;&lt;keyword&gt;Spain‐China trade&lt;/keyword&gt;&lt;/keywords&gt;&lt;dates&gt;&lt;year&gt;2013&lt;/year&gt;&lt;/dates&gt;&lt;isbn&gt;0140-9883&lt;/isbn&gt;&lt;urls&gt;&lt;related-urls&gt;&lt;url&gt;http://www.sciencedirect.com/science/article/pii/S0140988313000923&lt;/url&gt;&lt;/related-urls&gt;&lt;/urls&gt;&lt;electronic-resource-num&gt;http://dx.doi.org/10.1016/j.eneco.2013.05.006&lt;/electronic-resource-num&gt;&lt;/record&gt;&lt;/Cite&gt;&lt;/EndNote&gt;</w:instrText>
      </w:r>
      <w:r w:rsidR="004A0F2A">
        <w:rPr>
          <w:rStyle w:val="Hipervnculo"/>
          <w:rFonts w:asciiTheme="majorHAnsi" w:hAnsiTheme="majorHAnsi" w:cs="Times New Roman"/>
          <w:color w:val="auto"/>
          <w:szCs w:val="24"/>
          <w:u w:val="none"/>
          <w:lang w:val="en-US"/>
        </w:rPr>
        <w:fldChar w:fldCharType="separate"/>
      </w:r>
      <w:r w:rsidR="004A0F2A">
        <w:rPr>
          <w:rStyle w:val="Hipervnculo"/>
          <w:rFonts w:asciiTheme="majorHAnsi" w:hAnsiTheme="majorHAnsi" w:cs="Times New Roman"/>
          <w:noProof/>
          <w:color w:val="auto"/>
          <w:szCs w:val="24"/>
          <w:u w:val="none"/>
          <w:lang w:val="en-US"/>
        </w:rPr>
        <w:t>(</w:t>
      </w:r>
      <w:hyperlink w:anchor="_ENREF_12" w:tooltip="López, 2013 #765" w:history="1">
        <w:r w:rsidR="004B4AF6" w:rsidRPr="004B4AF6">
          <w:rPr>
            <w:rStyle w:val="Hipervnculo"/>
            <w:rFonts w:asciiTheme="majorHAnsi" w:hAnsiTheme="majorHAnsi" w:cs="Times New Roman"/>
            <w:noProof/>
            <w:color w:val="auto"/>
            <w:szCs w:val="24"/>
            <w:u w:val="none"/>
            <w:lang w:val="en-US"/>
          </w:rPr>
          <w:t>López et al., 2013</w:t>
        </w:r>
      </w:hyperlink>
      <w:r w:rsidR="004A0F2A">
        <w:rPr>
          <w:rStyle w:val="Hipervnculo"/>
          <w:rFonts w:asciiTheme="majorHAnsi" w:hAnsiTheme="majorHAnsi" w:cs="Times New Roman"/>
          <w:noProof/>
          <w:color w:val="auto"/>
          <w:szCs w:val="24"/>
          <w:u w:val="none"/>
          <w:lang w:val="en-US"/>
        </w:rPr>
        <w:t>)</w:t>
      </w:r>
      <w:r w:rsidR="004A0F2A">
        <w:rPr>
          <w:rStyle w:val="Hipervnculo"/>
          <w:rFonts w:asciiTheme="majorHAnsi" w:hAnsiTheme="majorHAnsi" w:cs="Times New Roman"/>
          <w:color w:val="auto"/>
          <w:szCs w:val="24"/>
          <w:u w:val="none"/>
          <w:lang w:val="en-US"/>
        </w:rPr>
        <w:fldChar w:fldCharType="end"/>
      </w:r>
      <w:r w:rsidRPr="00416C0D">
        <w:rPr>
          <w:rStyle w:val="Hipervnculo"/>
          <w:rFonts w:asciiTheme="majorHAnsi" w:hAnsiTheme="majorHAnsi" w:cs="Times New Roman"/>
          <w:color w:val="auto"/>
          <w:szCs w:val="24"/>
          <w:u w:val="none"/>
          <w:lang w:val="en-US"/>
        </w:rPr>
        <w:t xml:space="preserve">. By rows, the sum of the expressions [2.2], [2.3] and [2.4], e.g. for region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shows the virtual factor content embodied in final</w:t>
      </w:r>
      <w:r>
        <w:rPr>
          <w:rStyle w:val="Hipervnculo"/>
          <w:rFonts w:asciiTheme="majorHAnsi" w:hAnsiTheme="majorHAnsi" w:cs="Times New Roman"/>
          <w:color w:val="auto"/>
          <w:szCs w:val="24"/>
          <w:u w:val="none"/>
          <w:lang w:val="en-US"/>
        </w:rPr>
        <w:t xml:space="preserve"> and intermediate exports </w:t>
      </w:r>
      <w:r w:rsidRPr="00416C0D">
        <w:rPr>
          <w:rStyle w:val="Hipervnculo"/>
          <w:rFonts w:asciiTheme="majorHAnsi" w:hAnsiTheme="majorHAnsi" w:cs="Times New Roman"/>
          <w:color w:val="auto"/>
          <w:szCs w:val="24"/>
          <w:u w:val="none"/>
          <w:lang w:val="en-US"/>
        </w:rPr>
        <w:t xml:space="preserve">from country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xml:space="preserve"> that are required to satisfy the final demand of the others countries </w:t>
      </w:r>
      <w:r w:rsidRPr="00416C0D">
        <w:rPr>
          <w:rStyle w:val="Hipervnculo"/>
          <w:rFonts w:asciiTheme="majorHAnsi" w:hAnsiTheme="majorHAnsi" w:cs="Times New Roman"/>
          <w:i/>
          <w:color w:val="auto"/>
          <w:szCs w:val="24"/>
          <w:u w:val="none"/>
          <w:lang w:val="en-US"/>
        </w:rPr>
        <w:t>s</w:t>
      </w:r>
      <w:r w:rsidRPr="00416C0D">
        <w:rPr>
          <w:rStyle w:val="Hipervnculo"/>
          <w:rFonts w:asciiTheme="majorHAnsi" w:hAnsiTheme="majorHAnsi" w:cs="Times New Roman"/>
          <w:color w:val="auto"/>
          <w:szCs w:val="24"/>
          <w:u w:val="none"/>
          <w:lang w:val="en-US"/>
        </w:rPr>
        <w:t xml:space="preserve">. This virtual factor content is generated within the country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xml:space="preserve"> but in response to the final demand of the country </w:t>
      </w:r>
      <w:r w:rsidRPr="00416C0D">
        <w:rPr>
          <w:rStyle w:val="Hipervnculo"/>
          <w:rFonts w:asciiTheme="majorHAnsi" w:hAnsiTheme="majorHAnsi" w:cs="Times New Roman"/>
          <w:i/>
          <w:color w:val="auto"/>
          <w:szCs w:val="24"/>
          <w:u w:val="none"/>
          <w:lang w:val="en-US"/>
        </w:rPr>
        <w:t>s</w:t>
      </w:r>
      <w:r w:rsidRPr="00416C0D">
        <w:rPr>
          <w:rStyle w:val="Hipervnculo"/>
          <w:rFonts w:asciiTheme="majorHAnsi" w:hAnsiTheme="majorHAnsi" w:cs="Times New Roman"/>
          <w:color w:val="auto"/>
          <w:szCs w:val="24"/>
          <w:u w:val="none"/>
          <w:lang w:val="en-US"/>
        </w:rPr>
        <w:t xml:space="preserve">, where consumption of intermediate inputs becomes endogenous </w:t>
      </w:r>
      <w:r w:rsidR="004A0F2A">
        <w:rPr>
          <w:rStyle w:val="Hipervnculo"/>
          <w:rFonts w:asciiTheme="majorHAnsi" w:hAnsiTheme="majorHAnsi" w:cs="Times New Roman"/>
          <w:color w:val="auto"/>
          <w:szCs w:val="24"/>
          <w:u w:val="none"/>
          <w:lang w:val="en-US"/>
        </w:rPr>
        <w:fldChar w:fldCharType="begin"/>
      </w:r>
      <w:r w:rsidR="004A0F2A">
        <w:rPr>
          <w:rStyle w:val="Hipervnculo"/>
          <w:rFonts w:asciiTheme="majorHAnsi" w:hAnsiTheme="majorHAnsi" w:cs="Times New Roman"/>
          <w:color w:val="auto"/>
          <w:szCs w:val="24"/>
          <w:u w:val="none"/>
          <w:lang w:val="en-US"/>
        </w:rPr>
        <w:instrText xml:space="preserve"> ADDIN EN.CITE &lt;EndNote&gt;&lt;Cite&gt;&lt;Author&gt;Kanemoto&lt;/Author&gt;&lt;Year&gt;2012&lt;/Year&gt;&lt;RecNum&gt;314&lt;/RecNum&gt;&lt;DisplayText&gt;(Kanemoto et al., 2012)&lt;/DisplayText&gt;&lt;record&gt;&lt;rec-number&gt;314&lt;/rec-number&gt;&lt;foreign-keys&gt;&lt;key app="EN" db-id="s0tde0xz2xaee9edeervtv2uvtrx99daf9a5"&gt;314&lt;/key&gt;&lt;/foreign-keys&gt;&lt;ref-type name="Journal Article"&gt;17&lt;/ref-type&gt;&lt;contributors&gt;&lt;authors&gt;&lt;author&gt;Kanemoto, K.&lt;/author&gt;&lt;author&gt;Lenzen, M.&lt;/author&gt;&lt;author&gt;Peters, G.P.&lt;/author&gt;&lt;author&gt;Moran, D.D.&lt;/author&gt;&lt;author&gt;Geschke, A.&lt;/author&gt;&lt;/authors&gt;&lt;/contributors&gt;&lt;titles&gt;&lt;title&gt;Frameworks for Comparing Emissions Associated with Production, Consumption and International Trade&lt;/title&gt;&lt;secondary-title&gt;Envionmental Science and Technology&lt;/secondary-title&gt;&lt;/titles&gt;&lt;periodical&gt;&lt;full-title&gt;Envionmental Science and Technology&lt;/full-title&gt;&lt;/periodical&gt;&lt;pages&gt;172-179&lt;/pages&gt;&lt;volume&gt;46&lt;/volume&gt;&lt;dates&gt;&lt;year&gt;2012&lt;/year&gt;&lt;/dates&gt;&lt;urls&gt;&lt;/urls&gt;&lt;/record&gt;&lt;/Cite&gt;&lt;/EndNote&gt;</w:instrText>
      </w:r>
      <w:r w:rsidR="004A0F2A">
        <w:rPr>
          <w:rStyle w:val="Hipervnculo"/>
          <w:rFonts w:asciiTheme="majorHAnsi" w:hAnsiTheme="majorHAnsi" w:cs="Times New Roman"/>
          <w:color w:val="auto"/>
          <w:szCs w:val="24"/>
          <w:u w:val="none"/>
          <w:lang w:val="en-US"/>
        </w:rPr>
        <w:fldChar w:fldCharType="separate"/>
      </w:r>
      <w:r w:rsidR="004A0F2A">
        <w:rPr>
          <w:rStyle w:val="Hipervnculo"/>
          <w:rFonts w:asciiTheme="majorHAnsi" w:hAnsiTheme="majorHAnsi" w:cs="Times New Roman"/>
          <w:noProof/>
          <w:color w:val="auto"/>
          <w:szCs w:val="24"/>
          <w:u w:val="none"/>
          <w:lang w:val="en-US"/>
        </w:rPr>
        <w:t>(</w:t>
      </w:r>
      <w:hyperlink w:anchor="_ENREF_8" w:tooltip="Kanemoto, 2012 #314" w:history="1">
        <w:r w:rsidR="004B4AF6" w:rsidRPr="004B4AF6">
          <w:rPr>
            <w:rStyle w:val="Hipervnculo"/>
            <w:rFonts w:asciiTheme="majorHAnsi" w:hAnsiTheme="majorHAnsi" w:cs="Times New Roman"/>
            <w:noProof/>
            <w:color w:val="auto"/>
            <w:szCs w:val="24"/>
            <w:u w:val="none"/>
            <w:lang w:val="en-US"/>
          </w:rPr>
          <w:t>Kanemoto et al., 2012</w:t>
        </w:r>
      </w:hyperlink>
      <w:r w:rsidR="004A0F2A">
        <w:rPr>
          <w:rStyle w:val="Hipervnculo"/>
          <w:rFonts w:asciiTheme="majorHAnsi" w:hAnsiTheme="majorHAnsi" w:cs="Times New Roman"/>
          <w:noProof/>
          <w:color w:val="auto"/>
          <w:szCs w:val="24"/>
          <w:u w:val="none"/>
          <w:lang w:val="en-US"/>
        </w:rPr>
        <w:t>)</w:t>
      </w:r>
      <w:r w:rsidR="004A0F2A">
        <w:rPr>
          <w:rStyle w:val="Hipervnculo"/>
          <w:rFonts w:asciiTheme="majorHAnsi" w:hAnsiTheme="majorHAnsi" w:cs="Times New Roman"/>
          <w:color w:val="auto"/>
          <w:szCs w:val="24"/>
          <w:u w:val="none"/>
          <w:lang w:val="en-US"/>
        </w:rPr>
        <w:fldChar w:fldCharType="end"/>
      </w:r>
      <w:r w:rsidRPr="00416C0D">
        <w:rPr>
          <w:rStyle w:val="Hipervnculo"/>
          <w:rFonts w:asciiTheme="majorHAnsi" w:hAnsiTheme="majorHAnsi" w:cs="Times New Roman"/>
          <w:color w:val="auto"/>
          <w:szCs w:val="24"/>
          <w:u w:val="none"/>
          <w:lang w:val="en-US"/>
        </w:rPr>
        <w:t xml:space="preserve">, and the significance of the transferred virtual factor content is based on the presence of country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xml:space="preserve"> in the successive domestic and international supply chains. In practice, this involves a </w:t>
      </w:r>
      <w:r w:rsidRPr="00416C0D">
        <w:rPr>
          <w:rStyle w:val="Hipervnculo"/>
          <w:rFonts w:asciiTheme="majorHAnsi" w:hAnsiTheme="majorHAnsi" w:cs="Times New Roman"/>
          <w:color w:val="auto"/>
          <w:szCs w:val="24"/>
          <w:u w:val="none"/>
          <w:lang w:val="en-US"/>
        </w:rPr>
        <w:lastRenderedPageBreak/>
        <w:t xml:space="preserve">reorganization of emissions sectoral responsibility from the manufacturing industry </w:t>
      </w:r>
      <w:r w:rsidRPr="00416C0D">
        <w:rPr>
          <w:rStyle w:val="Hipervnculo"/>
          <w:rFonts w:asciiTheme="majorHAnsi" w:hAnsiTheme="majorHAnsi" w:cs="Times New Roman"/>
          <w:i/>
          <w:color w:val="auto"/>
          <w:szCs w:val="24"/>
          <w:u w:val="none"/>
          <w:lang w:val="en-US"/>
        </w:rPr>
        <w:t>i</w:t>
      </w:r>
      <w:r w:rsidRPr="00416C0D">
        <w:rPr>
          <w:rStyle w:val="Hipervnculo"/>
          <w:rFonts w:asciiTheme="majorHAnsi" w:hAnsiTheme="majorHAnsi" w:cs="Times New Roman"/>
          <w:color w:val="auto"/>
          <w:szCs w:val="24"/>
          <w:u w:val="none"/>
          <w:lang w:val="en-US"/>
        </w:rPr>
        <w:t xml:space="preserve"> of the country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xml:space="preserve"> to the final demand for industry </w:t>
      </w:r>
      <w:r w:rsidRPr="00416C0D">
        <w:rPr>
          <w:rStyle w:val="Hipervnculo"/>
          <w:rFonts w:asciiTheme="majorHAnsi" w:hAnsiTheme="majorHAnsi" w:cs="Times New Roman"/>
          <w:i/>
          <w:color w:val="auto"/>
          <w:szCs w:val="24"/>
          <w:u w:val="none"/>
          <w:lang w:val="en-US"/>
        </w:rPr>
        <w:t>j</w:t>
      </w:r>
      <w:r>
        <w:rPr>
          <w:rStyle w:val="Hipervnculo"/>
          <w:rFonts w:asciiTheme="majorHAnsi" w:hAnsiTheme="majorHAnsi" w:cs="Times New Roman"/>
          <w:color w:val="auto"/>
          <w:szCs w:val="24"/>
          <w:u w:val="none"/>
          <w:lang w:val="en-US"/>
        </w:rPr>
        <w:t xml:space="preserve"> of</w:t>
      </w:r>
      <w:r w:rsidRPr="00416C0D">
        <w:rPr>
          <w:rStyle w:val="Hipervnculo"/>
          <w:rFonts w:asciiTheme="majorHAnsi" w:hAnsiTheme="majorHAnsi" w:cs="Times New Roman"/>
          <w:color w:val="auto"/>
          <w:szCs w:val="24"/>
          <w:u w:val="none"/>
          <w:lang w:val="en-US"/>
        </w:rPr>
        <w:t xml:space="preserve"> country </w:t>
      </w:r>
      <w:r w:rsidRPr="00416C0D">
        <w:rPr>
          <w:rStyle w:val="Hipervnculo"/>
          <w:rFonts w:asciiTheme="majorHAnsi" w:hAnsiTheme="majorHAnsi" w:cs="Times New Roman"/>
          <w:i/>
          <w:color w:val="auto"/>
          <w:szCs w:val="24"/>
          <w:u w:val="none"/>
          <w:lang w:val="en-US"/>
        </w:rPr>
        <w:t>s</w:t>
      </w:r>
      <w:r w:rsidRPr="00416C0D">
        <w:rPr>
          <w:rStyle w:val="Hipervnculo"/>
          <w:rFonts w:asciiTheme="majorHAnsi" w:hAnsiTheme="majorHAnsi" w:cs="Times New Roman"/>
          <w:color w:val="auto"/>
          <w:szCs w:val="24"/>
          <w:u w:val="none"/>
          <w:lang w:val="en-US"/>
        </w:rPr>
        <w:t>.</w:t>
      </w:r>
    </w:p>
    <w:p w14:paraId="38075D0D" w14:textId="77777777" w:rsidR="005D6532" w:rsidRPr="009820F8" w:rsidRDefault="005D6532" w:rsidP="005D6532">
      <w:pPr>
        <w:ind w:firstLine="708"/>
        <w:rPr>
          <w:rFonts w:asciiTheme="majorHAnsi" w:hAnsiTheme="majorHAnsi"/>
          <w:b/>
          <w:i/>
          <w:szCs w:val="24"/>
          <w:lang w:val="en-US"/>
        </w:rPr>
      </w:pPr>
      <w:r w:rsidRPr="009820F8">
        <w:rPr>
          <w:rFonts w:asciiTheme="majorHAnsi" w:hAnsiTheme="majorHAnsi"/>
          <w:b/>
          <w:i/>
          <w:szCs w:val="24"/>
          <w:lang w:val="en-US"/>
        </w:rPr>
        <w:t>2.1. Household footprint of a region.</w:t>
      </w:r>
    </w:p>
    <w:p w14:paraId="0D8983F5" w14:textId="77E9A49C" w:rsidR="005D6532" w:rsidRPr="00C65636" w:rsidRDefault="005D6532" w:rsidP="00F362A0">
      <w:pPr>
        <w:ind w:firstLine="0"/>
        <w:rPr>
          <w:rFonts w:asciiTheme="majorHAnsi" w:hAnsiTheme="majorHAnsi" w:cs="Times New Roman"/>
          <w:szCs w:val="24"/>
          <w:lang w:val="en-US"/>
        </w:rPr>
      </w:pPr>
      <w:r>
        <w:rPr>
          <w:rStyle w:val="Hipervnculo"/>
          <w:rFonts w:asciiTheme="majorHAnsi" w:hAnsiTheme="majorHAnsi" w:cs="Times New Roman"/>
          <w:color w:val="auto"/>
          <w:szCs w:val="24"/>
          <w:u w:val="none"/>
          <w:lang w:val="en-US"/>
        </w:rPr>
        <w:t>Our proposal in this paper is to assess the significance</w:t>
      </w:r>
      <w:r w:rsidRPr="00416C0D">
        <w:rPr>
          <w:rStyle w:val="Hipervnculo"/>
          <w:rFonts w:asciiTheme="majorHAnsi" w:hAnsiTheme="majorHAnsi" w:cs="Times New Roman"/>
          <w:color w:val="auto"/>
          <w:szCs w:val="24"/>
          <w:u w:val="none"/>
          <w:lang w:val="en-US"/>
        </w:rPr>
        <w:t xml:space="preserve"> of carbon and </w:t>
      </w:r>
      <w:r>
        <w:rPr>
          <w:rStyle w:val="Hipervnculo"/>
          <w:rFonts w:asciiTheme="majorHAnsi" w:hAnsiTheme="majorHAnsi" w:cs="Times New Roman"/>
          <w:color w:val="auto"/>
          <w:szCs w:val="24"/>
          <w:u w:val="none"/>
          <w:lang w:val="en-US"/>
        </w:rPr>
        <w:t>materials footprint associated with</w:t>
      </w:r>
      <w:r w:rsidRPr="00416C0D">
        <w:rPr>
          <w:rStyle w:val="Hipervnculo"/>
          <w:rFonts w:asciiTheme="majorHAnsi" w:hAnsiTheme="majorHAnsi" w:cs="Times New Roman"/>
          <w:color w:val="auto"/>
          <w:szCs w:val="24"/>
          <w:u w:val="none"/>
          <w:lang w:val="en-US"/>
        </w:rPr>
        <w:t xml:space="preserve"> the consumption of the householders of a region </w:t>
      </w:r>
      <w:r w:rsidRPr="00416C0D">
        <w:rPr>
          <w:rStyle w:val="Hipervnculo"/>
          <w:rFonts w:asciiTheme="majorHAnsi" w:hAnsiTheme="majorHAnsi" w:cs="Times New Roman"/>
          <w:i/>
          <w:color w:val="auto"/>
          <w:szCs w:val="24"/>
          <w:u w:val="none"/>
          <w:lang w:val="en-US"/>
        </w:rPr>
        <w:t>r</w:t>
      </w:r>
      <w:r>
        <w:rPr>
          <w:rStyle w:val="Hipervnculo"/>
          <w:rFonts w:asciiTheme="majorHAnsi" w:hAnsiTheme="majorHAnsi" w:cs="Times New Roman"/>
          <w:color w:val="auto"/>
          <w:szCs w:val="24"/>
          <w:u w:val="none"/>
          <w:lang w:val="en-US"/>
        </w:rPr>
        <w:t xml:space="preserve"> (in this</w:t>
      </w:r>
      <w:r w:rsidRPr="00416C0D">
        <w:rPr>
          <w:rStyle w:val="Hipervnculo"/>
          <w:rFonts w:asciiTheme="majorHAnsi" w:hAnsiTheme="majorHAnsi" w:cs="Times New Roman"/>
          <w:color w:val="auto"/>
          <w:szCs w:val="24"/>
          <w:u w:val="none"/>
          <w:lang w:val="en-US"/>
        </w:rPr>
        <w:t xml:space="preserve"> case</w:t>
      </w:r>
      <w:r>
        <w:rPr>
          <w:rStyle w:val="Hipervnculo"/>
          <w:rFonts w:asciiTheme="majorHAnsi" w:hAnsiTheme="majorHAnsi" w:cs="Times New Roman"/>
          <w:color w:val="auto"/>
          <w:szCs w:val="24"/>
          <w:u w:val="none"/>
          <w:lang w:val="en-US"/>
        </w:rPr>
        <w:t>, Spain</w:t>
      </w:r>
      <w:r w:rsidRPr="00416C0D">
        <w:rPr>
          <w:rStyle w:val="Hipervnculo"/>
          <w:rFonts w:asciiTheme="majorHAnsi" w:hAnsiTheme="majorHAnsi" w:cs="Times New Roman"/>
          <w:color w:val="auto"/>
          <w:szCs w:val="24"/>
          <w:u w:val="none"/>
          <w:lang w:val="en-US"/>
        </w:rPr>
        <w:t>).</w:t>
      </w:r>
      <w:r>
        <w:rPr>
          <w:rStyle w:val="Hipervnculo"/>
          <w:rFonts w:asciiTheme="majorHAnsi" w:hAnsiTheme="majorHAnsi" w:cs="Times New Roman"/>
          <w:color w:val="auto"/>
          <w:szCs w:val="24"/>
          <w:u w:val="none"/>
          <w:lang w:val="en-US"/>
        </w:rPr>
        <w:t xml:space="preserve"> </w:t>
      </w:r>
      <w:r w:rsidRPr="009820F8">
        <w:rPr>
          <w:rStyle w:val="Hipervnculo"/>
          <w:rFonts w:asciiTheme="majorHAnsi" w:hAnsiTheme="majorHAnsi" w:cs="Times New Roman"/>
          <w:color w:val="auto"/>
          <w:szCs w:val="24"/>
          <w:u w:val="none"/>
          <w:lang w:val="en-US"/>
        </w:rPr>
        <w:t>To do this, is required information about household consumption (</w:t>
      </w:r>
      <m:oMath>
        <m:sSub>
          <m:sSubPr>
            <m:ctrlPr>
              <w:rPr>
                <w:rStyle w:val="Hipervnculo"/>
                <w:rFonts w:ascii="Cambria Math" w:hAnsi="Cambria Math" w:cs="Times New Roman"/>
                <w:i/>
                <w:color w:val="auto"/>
                <w:szCs w:val="24"/>
                <w:u w:val="none"/>
              </w:rPr>
            </m:ctrlPr>
          </m:sSub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Sub>
      </m:oMath>
      <w:r w:rsidRPr="009820F8">
        <w:rPr>
          <w:rStyle w:val="Hipervnculo"/>
          <w:rFonts w:asciiTheme="majorHAnsi" w:hAnsiTheme="majorHAnsi" w:cs="Times New Roman"/>
          <w:color w:val="auto"/>
          <w:szCs w:val="24"/>
          <w:u w:val="none"/>
          <w:lang w:val="en-US"/>
        </w:rPr>
        <w:t xml:space="preserve">) according to different </w:t>
      </w:r>
      <w:r w:rsidRPr="009820F8">
        <w:rPr>
          <w:rStyle w:val="Hipervnculo"/>
          <w:rFonts w:asciiTheme="majorHAnsi" w:hAnsiTheme="majorHAnsi" w:cs="Times New Roman"/>
          <w:i/>
          <w:color w:val="auto"/>
          <w:szCs w:val="24"/>
          <w:u w:val="none"/>
          <w:lang w:val="en-US"/>
        </w:rPr>
        <w:t>i</w:t>
      </w:r>
      <w:r w:rsidRPr="009820F8">
        <w:rPr>
          <w:rStyle w:val="Hipervnculo"/>
          <w:rFonts w:asciiTheme="majorHAnsi" w:hAnsiTheme="majorHAnsi" w:cs="Times New Roman"/>
          <w:color w:val="auto"/>
          <w:szCs w:val="24"/>
          <w:u w:val="none"/>
          <w:lang w:val="en-US"/>
        </w:rPr>
        <w:t xml:space="preserve"> characteristics (income levels, residence,</w:t>
      </w:r>
      <w:r w:rsidR="004A0F2A">
        <w:rPr>
          <w:rStyle w:val="Hipervnculo"/>
          <w:rFonts w:asciiTheme="majorHAnsi" w:hAnsiTheme="majorHAnsi" w:cs="Times New Roman"/>
          <w:color w:val="auto"/>
          <w:szCs w:val="24"/>
          <w:u w:val="none"/>
          <w:lang w:val="en-US"/>
        </w:rPr>
        <w:t xml:space="preserve"> </w:t>
      </w:r>
      <w:r w:rsidR="004B4AF6">
        <w:rPr>
          <w:rStyle w:val="Hipervnculo"/>
          <w:rFonts w:asciiTheme="majorHAnsi" w:hAnsiTheme="majorHAnsi" w:cs="Times New Roman"/>
          <w:color w:val="auto"/>
          <w:szCs w:val="24"/>
          <w:u w:val="none"/>
          <w:lang w:val="en-US"/>
        </w:rPr>
        <w:t>etc.</w:t>
      </w:r>
      <w:r w:rsidRPr="009820F8">
        <w:rPr>
          <w:rStyle w:val="Hipervnculo"/>
          <w:rFonts w:asciiTheme="majorHAnsi" w:hAnsiTheme="majorHAnsi" w:cs="Times New Roman"/>
          <w:color w:val="auto"/>
          <w:szCs w:val="24"/>
          <w:u w:val="none"/>
          <w:lang w:val="en-US"/>
        </w:rPr>
        <w:t xml:space="preserve">), which is </w:t>
      </w:r>
      <w:r w:rsidR="004A0F2A" w:rsidRPr="009820F8">
        <w:rPr>
          <w:rStyle w:val="Hipervnculo"/>
          <w:rFonts w:asciiTheme="majorHAnsi" w:hAnsiTheme="majorHAnsi" w:cs="Times New Roman"/>
          <w:color w:val="auto"/>
          <w:szCs w:val="24"/>
          <w:u w:val="none"/>
          <w:lang w:val="en-US"/>
        </w:rPr>
        <w:t>decomposed</w:t>
      </w:r>
      <w:r w:rsidRPr="009820F8">
        <w:rPr>
          <w:rStyle w:val="Hipervnculo"/>
          <w:rFonts w:asciiTheme="majorHAnsi" w:hAnsiTheme="majorHAnsi" w:cs="Times New Roman"/>
          <w:color w:val="auto"/>
          <w:szCs w:val="24"/>
          <w:u w:val="none"/>
          <w:lang w:val="en-US"/>
        </w:rPr>
        <w:t xml:space="preserve"> into the diagonalized vector of domestic household consumption</w:t>
      </w:r>
      <w:r>
        <w:rPr>
          <w:rStyle w:val="Hipervnculo"/>
          <w:rFonts w:asciiTheme="majorHAnsi" w:hAnsiTheme="majorHAnsi" w:cs="Times New Roman"/>
          <w:color w:val="auto"/>
          <w:szCs w:val="24"/>
          <w:u w:val="none"/>
          <w:lang w:val="en-US"/>
        </w:rPr>
        <w:t xml:space="preserve"> with the </w:t>
      </w:r>
      <w:r w:rsidRPr="009820F8">
        <w:rPr>
          <w:rStyle w:val="Hipervnculo"/>
          <w:rFonts w:asciiTheme="majorHAnsi" w:hAnsiTheme="majorHAnsi" w:cs="Times New Roman"/>
          <w:color w:val="auto"/>
          <w:szCs w:val="24"/>
          <w:u w:val="none"/>
          <w:lang w:val="en-US"/>
        </w:rPr>
        <w:t xml:space="preserve">different </w:t>
      </w:r>
      <w:r w:rsidRPr="009820F8">
        <w:rPr>
          <w:rStyle w:val="Hipervnculo"/>
          <w:rFonts w:asciiTheme="majorHAnsi" w:hAnsiTheme="majorHAnsi" w:cs="Times New Roman"/>
          <w:i/>
          <w:color w:val="auto"/>
          <w:szCs w:val="24"/>
          <w:u w:val="none"/>
          <w:lang w:val="en-US"/>
        </w:rPr>
        <w:t>i</w:t>
      </w:r>
      <w:r w:rsidRPr="009820F8">
        <w:rPr>
          <w:rStyle w:val="Hipervnculo"/>
          <w:rFonts w:asciiTheme="majorHAnsi" w:hAnsiTheme="majorHAnsi" w:cs="Times New Roman"/>
          <w:color w:val="auto"/>
          <w:szCs w:val="24"/>
          <w:u w:val="none"/>
          <w:lang w:val="en-US"/>
        </w:rPr>
        <w:t xml:space="preserve"> characteristics</w:t>
      </w:r>
      <w:r>
        <w:rPr>
          <w:rStyle w:val="Hipervnculo"/>
          <w:rFonts w:asciiTheme="majorHAnsi" w:hAnsiTheme="majorHAnsi" w:cs="Times New Roman"/>
          <w:color w:val="auto"/>
          <w:szCs w:val="24"/>
          <w:u w:val="none"/>
          <w:lang w:val="en-US"/>
        </w:rPr>
        <w:t xml:space="preserve"> of the region </w:t>
      </w:r>
      <w:r w:rsidRPr="009820F8">
        <w:rPr>
          <w:rStyle w:val="Hipervnculo"/>
          <w:rFonts w:asciiTheme="majorHAnsi" w:hAnsiTheme="majorHAnsi" w:cs="Times New Roman"/>
          <w:i/>
          <w:color w:val="auto"/>
          <w:szCs w:val="24"/>
          <w:u w:val="none"/>
          <w:lang w:val="en-US"/>
        </w:rPr>
        <w:t>r</w:t>
      </w:r>
      <w:r w:rsidRPr="009820F8">
        <w:rPr>
          <w:rStyle w:val="Hipervnculo"/>
          <w:rFonts w:asciiTheme="majorHAnsi" w:hAnsiTheme="majorHAnsi" w:cs="Times New Roman"/>
          <w:color w:val="auto"/>
          <w:szCs w:val="24"/>
          <w:u w:val="none"/>
          <w:lang w:val="en-US"/>
        </w:rPr>
        <w:t xml:space="preserve"> (</w:t>
      </w:r>
      <m:oMath>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rr</m:t>
            </m:r>
          </m:sup>
        </m:sSubSup>
      </m:oMath>
      <w:r w:rsidRPr="009820F8">
        <w:rPr>
          <w:rStyle w:val="Hipervnculo"/>
          <w:rFonts w:asciiTheme="majorHAnsi" w:hAnsiTheme="majorHAnsi" w:cs="Times New Roman"/>
          <w:color w:val="auto"/>
          <w:szCs w:val="24"/>
          <w:u w:val="none"/>
          <w:lang w:val="en-US"/>
        </w:rPr>
        <w:t>)</w:t>
      </w:r>
      <w:r>
        <w:rPr>
          <w:rStyle w:val="Hipervnculo"/>
          <w:rFonts w:asciiTheme="majorHAnsi" w:hAnsiTheme="majorHAnsi" w:cs="Times New Roman"/>
          <w:color w:val="auto"/>
          <w:szCs w:val="24"/>
          <w:u w:val="none"/>
          <w:lang w:val="en-US"/>
        </w:rPr>
        <w:t xml:space="preserve"> and the </w:t>
      </w:r>
      <w:r w:rsidRPr="009820F8">
        <w:rPr>
          <w:rStyle w:val="Hipervnculo"/>
          <w:rFonts w:asciiTheme="majorHAnsi" w:hAnsiTheme="majorHAnsi" w:cs="Times New Roman"/>
          <w:color w:val="auto"/>
          <w:szCs w:val="24"/>
          <w:u w:val="none"/>
          <w:lang w:val="en-US"/>
        </w:rPr>
        <w:t>diagonalied vector of imported</w:t>
      </w:r>
      <w:r>
        <w:rPr>
          <w:rStyle w:val="Hipervnculo"/>
          <w:rFonts w:asciiTheme="majorHAnsi" w:hAnsiTheme="majorHAnsi" w:cs="Times New Roman"/>
          <w:color w:val="auto"/>
          <w:szCs w:val="24"/>
          <w:u w:val="none"/>
          <w:lang w:val="en-US"/>
        </w:rPr>
        <w:t xml:space="preserve"> goods from region </w:t>
      </w:r>
      <w:r w:rsidRPr="009820F8">
        <w:rPr>
          <w:rStyle w:val="Hipervnculo"/>
          <w:rFonts w:asciiTheme="majorHAnsi" w:hAnsiTheme="majorHAnsi" w:cs="Times New Roman"/>
          <w:i/>
          <w:color w:val="auto"/>
          <w:szCs w:val="24"/>
          <w:u w:val="none"/>
          <w:lang w:val="en-US"/>
        </w:rPr>
        <w:t>s</w:t>
      </w:r>
      <w:r>
        <w:rPr>
          <w:rStyle w:val="Hipervnculo"/>
          <w:rFonts w:asciiTheme="majorHAnsi" w:hAnsiTheme="majorHAnsi" w:cs="Times New Roman"/>
          <w:i/>
          <w:color w:val="auto"/>
          <w:szCs w:val="24"/>
          <w:u w:val="none"/>
          <w:lang w:val="en-US"/>
        </w:rPr>
        <w:t xml:space="preserve"> </w:t>
      </w:r>
      <w:r w:rsidRPr="009820F8">
        <w:rPr>
          <w:rStyle w:val="Hipervnculo"/>
          <w:rFonts w:asciiTheme="majorHAnsi" w:hAnsiTheme="majorHAnsi" w:cs="Times New Roman"/>
          <w:color w:val="auto"/>
          <w:szCs w:val="24"/>
          <w:u w:val="none"/>
          <w:lang w:val="en-US"/>
        </w:rPr>
        <w:t>of the same households</w:t>
      </w:r>
      <w:r>
        <w:rPr>
          <w:rStyle w:val="Hipervnculo"/>
          <w:rFonts w:asciiTheme="majorHAnsi" w:hAnsiTheme="majorHAnsi" w:cs="Times New Roman"/>
          <w:color w:val="auto"/>
          <w:szCs w:val="24"/>
          <w:u w:val="none"/>
          <w:lang w:val="en-US"/>
        </w:rPr>
        <w:t xml:space="preserve"> </w:t>
      </w:r>
      <w:r w:rsidRPr="009820F8">
        <w:rPr>
          <w:rStyle w:val="Hipervnculo"/>
          <w:rFonts w:asciiTheme="majorHAnsi" w:hAnsiTheme="majorHAnsi" w:cs="Times New Roman"/>
          <w:color w:val="auto"/>
          <w:szCs w:val="24"/>
          <w:u w:val="none"/>
          <w:lang w:val="en-US"/>
        </w:rPr>
        <w:t>(</w:t>
      </w:r>
      <m:oMath>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sr</m:t>
            </m:r>
          </m:sup>
        </m:sSubSup>
      </m:oMath>
      <w:r w:rsidRPr="009820F8">
        <w:rPr>
          <w:rStyle w:val="Hipervnculo"/>
          <w:rFonts w:asciiTheme="majorHAnsi" w:hAnsiTheme="majorHAnsi" w:cs="Times New Roman"/>
          <w:color w:val="auto"/>
          <w:szCs w:val="24"/>
          <w:u w:val="none"/>
          <w:lang w:val="en-US"/>
        </w:rPr>
        <w:t>).</w:t>
      </w:r>
      <w:r>
        <w:rPr>
          <w:rStyle w:val="Hipervnculo"/>
          <w:rFonts w:asciiTheme="majorHAnsi" w:hAnsiTheme="majorHAnsi" w:cs="Times New Roman"/>
          <w:color w:val="auto"/>
          <w:szCs w:val="24"/>
          <w:u w:val="none"/>
          <w:lang w:val="en-US"/>
        </w:rPr>
        <w:t xml:space="preserve"> The expression that assesses</w:t>
      </w:r>
      <w:r w:rsidRPr="00416C0D">
        <w:rPr>
          <w:rStyle w:val="Hipervnculo"/>
          <w:rFonts w:asciiTheme="majorHAnsi" w:hAnsiTheme="majorHAnsi" w:cs="Times New Roman"/>
          <w:color w:val="auto"/>
          <w:szCs w:val="24"/>
          <w:u w:val="none"/>
          <w:lang w:val="en-US"/>
        </w:rPr>
        <w:t xml:space="preserve"> the household footprint of the region householders </w:t>
      </w:r>
      <w:r w:rsidRPr="00416C0D">
        <w:rPr>
          <w:rStyle w:val="Hipervnculo"/>
          <w:rFonts w:asciiTheme="majorHAnsi" w:hAnsiTheme="majorHAnsi" w:cs="Times New Roman"/>
          <w:i/>
          <w:color w:val="auto"/>
          <w:szCs w:val="24"/>
          <w:u w:val="none"/>
          <w:lang w:val="en-US"/>
        </w:rPr>
        <w:t>i</w:t>
      </w:r>
      <w:r w:rsidRPr="00416C0D">
        <w:rPr>
          <w:rStyle w:val="Hipervnculo"/>
          <w:rFonts w:asciiTheme="majorHAnsi" w:hAnsiTheme="majorHAnsi" w:cs="Times New Roman"/>
          <w:color w:val="auto"/>
          <w:szCs w:val="24"/>
          <w:u w:val="none"/>
          <w:lang w:val="en-US"/>
        </w:rPr>
        <w:t xml:space="preserve"> of the region </w:t>
      </w:r>
      <w:r w:rsidRPr="00416C0D">
        <w:rPr>
          <w:rStyle w:val="Hipervnculo"/>
          <w:rFonts w:asciiTheme="majorHAnsi" w:hAnsiTheme="majorHAnsi" w:cs="Times New Roman"/>
          <w:i/>
          <w:color w:val="auto"/>
          <w:szCs w:val="24"/>
          <w:u w:val="none"/>
          <w:lang w:val="en-US"/>
        </w:rPr>
        <w:t>r</w:t>
      </w:r>
      <w:r w:rsidRPr="00416C0D">
        <w:rPr>
          <w:rStyle w:val="Hipervnculo"/>
          <w:rFonts w:asciiTheme="majorHAnsi" w:hAnsiTheme="majorHAnsi" w:cs="Times New Roman"/>
          <w:color w:val="auto"/>
          <w:szCs w:val="24"/>
          <w:u w:val="none"/>
          <w:lang w:val="en-US"/>
        </w:rPr>
        <w:t xml:space="preserve"> is:   </w:t>
      </w:r>
    </w:p>
    <w:p w14:paraId="6F980560" w14:textId="77777777" w:rsidR="005D6532" w:rsidRPr="00416C0D" w:rsidRDefault="00F74706" w:rsidP="005D6532">
      <w:pPr>
        <w:rPr>
          <w:rFonts w:asciiTheme="majorHAnsi" w:hAnsiTheme="majorHAnsi"/>
          <w:szCs w:val="24"/>
          <w:lang w:val="en-US"/>
        </w:rPr>
      </w:pPr>
      <m:oMath>
        <m:sSub>
          <m:sSubPr>
            <m:ctrlPr>
              <w:rPr>
                <w:rStyle w:val="Hipervnculo"/>
                <w:rFonts w:ascii="Cambria Math" w:hAnsi="Cambria Math" w:cs="Times New Roman"/>
                <w:i/>
                <w:color w:val="auto"/>
                <w:szCs w:val="24"/>
                <w:u w:val="none"/>
              </w:rPr>
            </m:ctrlPr>
          </m:sSubPr>
          <m:e>
            <m:r>
              <w:rPr>
                <w:rStyle w:val="Hipervnculo"/>
                <w:rFonts w:ascii="Cambria Math" w:hAnsi="Cambria Math" w:cs="Times New Roman"/>
                <w:color w:val="auto"/>
                <w:szCs w:val="24"/>
                <w:u w:val="none"/>
              </w:rPr>
              <m:t>HF</m:t>
            </m:r>
          </m:e>
          <m:sub>
            <m:r>
              <w:rPr>
                <w:rStyle w:val="Hipervnculo"/>
                <w:rFonts w:ascii="Cambria Math" w:hAnsi="Cambria Math" w:cs="Times New Roman"/>
                <w:color w:val="auto"/>
                <w:szCs w:val="24"/>
                <w:u w:val="none"/>
              </w:rPr>
              <m:t>i</m:t>
            </m:r>
          </m:sub>
        </m:sSub>
        <m:r>
          <w:rPr>
            <w:rStyle w:val="Hipervnculo"/>
            <w:rFonts w:ascii="Cambria Math" w:hAnsi="Cambria Math" w:cs="Times New Roman"/>
            <w:color w:val="auto"/>
            <w:szCs w:val="24"/>
            <w:u w:val="none"/>
            <w:lang w:val="en-US"/>
          </w:rPr>
          <m:t>=</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r>
          <w:rPr>
            <w:rStyle w:val="Hipervnculo"/>
            <w:rFonts w:ascii="Cambria Math" w:hAnsi="Cambria Math" w:cs="Times New Roman"/>
            <w:color w:val="auto"/>
            <w:szCs w:val="24"/>
            <w:u w:val="none"/>
          </w:rPr>
          <m:t>L</m:t>
        </m:r>
        <m:d>
          <m:dPr>
            <m:ctrlPr>
              <w:rPr>
                <w:rStyle w:val="Hipervnculo"/>
                <w:rFonts w:ascii="Cambria Math" w:hAnsi="Cambria Math" w:cs="Times New Roman"/>
                <w:i/>
                <w:color w:val="auto"/>
                <w:szCs w:val="24"/>
                <w:u w:val="none"/>
              </w:rPr>
            </m:ctrlPr>
          </m:dPr>
          <m:e>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rr</m:t>
                </m:r>
              </m:sup>
            </m:sSubSup>
            <m:r>
              <w:rPr>
                <w:rStyle w:val="Hipervnculo"/>
                <w:rFonts w:ascii="Cambria Math" w:hAnsi="Cambria Math" w:cs="Times New Roman"/>
                <w:color w:val="auto"/>
                <w:szCs w:val="24"/>
                <w:u w:val="none"/>
                <w:lang w:val="en-US"/>
              </w:rPr>
              <m:t>+</m:t>
            </m:r>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rs</m:t>
                </m:r>
              </m:sup>
            </m:sSubSup>
          </m:e>
        </m:d>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r>
                  <w:rPr>
                    <w:rStyle w:val="Hipervnculo"/>
                    <w:rFonts w:ascii="Cambria Math" w:hAnsi="Cambria Math" w:cs="Times New Roman"/>
                    <w:color w:val="auto"/>
                    <w:szCs w:val="24"/>
                    <w:u w:val="none"/>
                  </w:rPr>
                  <m:t>L</m:t>
                </m:r>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rr</m:t>
                    </m:r>
                  </m:sup>
                </m:sSubSup>
              </m:e>
            </m:groupChr>
          </m:e>
          <m:lim>
            <m:r>
              <w:rPr>
                <w:rStyle w:val="Hipervnculo"/>
                <w:rFonts w:ascii="Cambria Math" w:hAnsi="Cambria Math" w:cs="Times New Roman"/>
                <w:color w:val="auto"/>
                <w:szCs w:val="24"/>
                <w:u w:val="none"/>
                <w:lang w:val="en-US"/>
              </w:rPr>
              <m:t>3.1</m:t>
            </m:r>
          </m:lim>
        </m:limLow>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r>
                  <w:rPr>
                    <w:rStyle w:val="Hipervnculo"/>
                    <w:rFonts w:ascii="Cambria Math" w:hAnsi="Cambria Math" w:cs="Times New Roman"/>
                    <w:color w:val="auto"/>
                    <w:szCs w:val="24"/>
                    <w:u w:val="none"/>
                  </w:rPr>
                  <m:t>L</m:t>
                </m:r>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rs</m:t>
                    </m:r>
                  </m:sup>
                </m:sSubSup>
              </m:e>
            </m:groupChr>
          </m:e>
          <m:lim>
            <m:r>
              <w:rPr>
                <w:rStyle w:val="Hipervnculo"/>
                <w:rFonts w:ascii="Cambria Math" w:hAnsi="Cambria Math" w:cs="Times New Roman"/>
                <w:color w:val="auto"/>
                <w:szCs w:val="24"/>
                <w:u w:val="none"/>
                <w:lang w:val="en-US"/>
              </w:rPr>
              <m:t>3.2</m:t>
            </m:r>
          </m:lim>
        </m:limLow>
      </m:oMath>
      <w:r w:rsidR="005D6532" w:rsidRPr="00416C0D">
        <w:rPr>
          <w:rStyle w:val="Hipervnculo"/>
          <w:rFonts w:asciiTheme="majorHAnsi" w:hAnsiTheme="majorHAnsi"/>
          <w:color w:val="auto"/>
          <w:szCs w:val="24"/>
          <w:u w:val="none"/>
          <w:lang w:val="en-US"/>
        </w:rPr>
        <w:t xml:space="preserve"> </w:t>
      </w:r>
      <w:r w:rsidR="005D6532" w:rsidRPr="00416C0D">
        <w:rPr>
          <w:rStyle w:val="Hipervnculo"/>
          <w:rFonts w:asciiTheme="majorHAnsi" w:hAnsiTheme="majorHAnsi"/>
          <w:color w:val="auto"/>
          <w:szCs w:val="24"/>
          <w:u w:val="none"/>
          <w:lang w:val="en-US"/>
        </w:rPr>
        <w:tab/>
      </w:r>
      <w:r w:rsidR="005D6532" w:rsidRPr="00416C0D">
        <w:rPr>
          <w:rStyle w:val="Hipervnculo"/>
          <w:rFonts w:asciiTheme="majorHAnsi" w:hAnsiTheme="majorHAnsi"/>
          <w:color w:val="auto"/>
          <w:szCs w:val="24"/>
          <w:u w:val="none"/>
          <w:lang w:val="en-US"/>
        </w:rPr>
        <w:tab/>
      </w:r>
      <w:r w:rsidR="005D6532">
        <w:rPr>
          <w:rStyle w:val="Hipervnculo"/>
          <w:rFonts w:asciiTheme="majorHAnsi" w:hAnsiTheme="majorHAnsi"/>
          <w:color w:val="auto"/>
          <w:szCs w:val="24"/>
          <w:u w:val="none"/>
          <w:lang w:val="en-US"/>
        </w:rPr>
        <w:tab/>
      </w:r>
      <w:r w:rsidR="005D6532">
        <w:rPr>
          <w:rStyle w:val="Hipervnculo"/>
          <w:rFonts w:asciiTheme="majorHAnsi" w:hAnsiTheme="majorHAnsi"/>
          <w:color w:val="auto"/>
          <w:szCs w:val="24"/>
          <w:u w:val="none"/>
          <w:lang w:val="en-US"/>
        </w:rPr>
        <w:tab/>
      </w:r>
      <w:r w:rsidR="005D6532">
        <w:rPr>
          <w:rStyle w:val="Hipervnculo"/>
          <w:rFonts w:asciiTheme="majorHAnsi" w:hAnsiTheme="majorHAnsi"/>
          <w:color w:val="auto"/>
          <w:szCs w:val="24"/>
          <w:u w:val="none"/>
          <w:lang w:val="en-US"/>
        </w:rPr>
        <w:tab/>
      </w:r>
      <w:r w:rsidR="005D6532" w:rsidRPr="00416C0D">
        <w:rPr>
          <w:rStyle w:val="Hipervnculo"/>
          <w:rFonts w:asciiTheme="majorHAnsi" w:hAnsiTheme="majorHAnsi" w:cs="Times New Roman"/>
          <w:color w:val="auto"/>
          <w:szCs w:val="24"/>
          <w:u w:val="none"/>
          <w:lang w:val="en-US"/>
        </w:rPr>
        <w:t>[3]</w:t>
      </w:r>
    </w:p>
    <w:p w14:paraId="361316A2" w14:textId="640E3AC5" w:rsidR="005D6532" w:rsidRPr="005D6532" w:rsidRDefault="005D6532" w:rsidP="00F362A0">
      <w:pPr>
        <w:ind w:firstLine="0"/>
        <w:rPr>
          <w:rFonts w:asciiTheme="majorHAnsi" w:hAnsiTheme="majorHAnsi"/>
          <w:szCs w:val="24"/>
          <w:lang w:val="en-US"/>
        </w:rPr>
      </w:pPr>
      <w:r w:rsidRPr="00783318">
        <w:rPr>
          <w:rFonts w:asciiTheme="majorHAnsi" w:hAnsiTheme="majorHAnsi"/>
          <w:szCs w:val="24"/>
          <w:lang w:val="en-US"/>
        </w:rPr>
        <w:t xml:space="preserve">Where the expression [3.1] shows the footprint of the households </w:t>
      </w:r>
      <w:r w:rsidRPr="00783318">
        <w:rPr>
          <w:rFonts w:asciiTheme="majorHAnsi" w:hAnsiTheme="majorHAnsi"/>
          <w:i/>
          <w:szCs w:val="24"/>
          <w:lang w:val="en-US"/>
        </w:rPr>
        <w:t>i</w:t>
      </w:r>
      <w:r w:rsidR="004A0F2A">
        <w:rPr>
          <w:rFonts w:asciiTheme="majorHAnsi" w:hAnsiTheme="majorHAnsi"/>
          <w:szCs w:val="24"/>
          <w:lang w:val="en-US"/>
        </w:rPr>
        <w:t xml:space="preserve"> of the regio</w:t>
      </w:r>
      <w:r w:rsidRPr="00783318">
        <w:rPr>
          <w:rFonts w:asciiTheme="majorHAnsi" w:hAnsiTheme="majorHAnsi"/>
          <w:szCs w:val="24"/>
          <w:lang w:val="en-US"/>
        </w:rPr>
        <w:t xml:space="preserve">n </w:t>
      </w:r>
      <w:r w:rsidRPr="00783318">
        <w:rPr>
          <w:rFonts w:asciiTheme="majorHAnsi" w:hAnsiTheme="majorHAnsi"/>
          <w:i/>
          <w:szCs w:val="24"/>
          <w:lang w:val="en-US"/>
        </w:rPr>
        <w:t>r</w:t>
      </w:r>
      <w:r w:rsidRPr="00783318">
        <w:rPr>
          <w:rFonts w:asciiTheme="majorHAnsi" w:hAnsiTheme="majorHAnsi"/>
          <w:szCs w:val="24"/>
          <w:lang w:val="en-US"/>
        </w:rPr>
        <w:t xml:space="preserve"> linked to the products purchased by households</w:t>
      </w:r>
      <w:r>
        <w:rPr>
          <w:rFonts w:asciiTheme="majorHAnsi" w:hAnsiTheme="majorHAnsi"/>
          <w:szCs w:val="24"/>
          <w:lang w:val="en-US"/>
        </w:rPr>
        <w:t xml:space="preserve"> in region </w:t>
      </w:r>
      <w:r w:rsidRPr="00783318">
        <w:rPr>
          <w:rFonts w:asciiTheme="majorHAnsi" w:hAnsiTheme="majorHAnsi"/>
          <w:i/>
          <w:szCs w:val="24"/>
          <w:lang w:val="en-US"/>
        </w:rPr>
        <w:t>r</w:t>
      </w:r>
      <w:r>
        <w:rPr>
          <w:rFonts w:asciiTheme="majorHAnsi" w:hAnsiTheme="majorHAnsi"/>
          <w:szCs w:val="24"/>
          <w:lang w:val="en-US"/>
        </w:rPr>
        <w:t xml:space="preserve"> and the expression </w:t>
      </w:r>
      <w:r w:rsidRPr="00783318">
        <w:rPr>
          <w:rFonts w:asciiTheme="majorHAnsi" w:hAnsiTheme="majorHAnsi"/>
          <w:szCs w:val="24"/>
          <w:lang w:val="en-US"/>
        </w:rPr>
        <w:t>[3.1]</w:t>
      </w:r>
      <w:r>
        <w:rPr>
          <w:rFonts w:asciiTheme="majorHAnsi" w:hAnsiTheme="majorHAnsi"/>
          <w:szCs w:val="24"/>
          <w:lang w:val="en-US"/>
        </w:rPr>
        <w:t xml:space="preserve"> shows the </w:t>
      </w:r>
      <w:r w:rsidRPr="00783318">
        <w:rPr>
          <w:rFonts w:asciiTheme="majorHAnsi" w:hAnsiTheme="majorHAnsi"/>
          <w:szCs w:val="24"/>
          <w:lang w:val="en-US"/>
        </w:rPr>
        <w:t>households</w:t>
      </w:r>
      <w:r>
        <w:rPr>
          <w:rFonts w:asciiTheme="majorHAnsi" w:hAnsiTheme="majorHAnsi"/>
          <w:szCs w:val="24"/>
          <w:lang w:val="en-US"/>
        </w:rPr>
        <w:t xml:space="preserve"> footprint of the </w:t>
      </w:r>
      <w:r w:rsidRPr="00783318">
        <w:rPr>
          <w:rFonts w:asciiTheme="majorHAnsi" w:hAnsiTheme="majorHAnsi"/>
          <w:szCs w:val="24"/>
          <w:lang w:val="en-US"/>
        </w:rPr>
        <w:t>region r</w:t>
      </w:r>
      <w:r>
        <w:rPr>
          <w:rFonts w:asciiTheme="majorHAnsi" w:hAnsiTheme="majorHAnsi"/>
          <w:szCs w:val="24"/>
          <w:lang w:val="en-US"/>
        </w:rPr>
        <w:t xml:space="preserve"> </w:t>
      </w:r>
      <w:r w:rsidRPr="00341928">
        <w:rPr>
          <w:rFonts w:asciiTheme="majorHAnsi" w:hAnsiTheme="majorHAnsi"/>
          <w:szCs w:val="24"/>
          <w:lang w:val="en-US"/>
        </w:rPr>
        <w:t>associated with the products</w:t>
      </w:r>
      <w:r>
        <w:rPr>
          <w:rFonts w:asciiTheme="majorHAnsi" w:hAnsiTheme="majorHAnsi"/>
          <w:szCs w:val="24"/>
          <w:lang w:val="en-US"/>
        </w:rPr>
        <w:t xml:space="preserve"> that imports from other regions. </w:t>
      </w:r>
      <w:r w:rsidRPr="00341928">
        <w:rPr>
          <w:rFonts w:asciiTheme="majorHAnsi" w:hAnsiTheme="majorHAnsi"/>
          <w:szCs w:val="24"/>
          <w:lang w:val="en-US"/>
        </w:rPr>
        <w:t xml:space="preserve">In both cases, intermediate goods of </w:t>
      </w:r>
      <w:r>
        <w:rPr>
          <w:rFonts w:asciiTheme="majorHAnsi" w:hAnsiTheme="majorHAnsi"/>
          <w:szCs w:val="24"/>
          <w:lang w:val="en-US"/>
        </w:rPr>
        <w:t xml:space="preserve">the </w:t>
      </w:r>
      <w:r w:rsidRPr="00341928">
        <w:rPr>
          <w:rFonts w:asciiTheme="majorHAnsi" w:hAnsiTheme="majorHAnsi"/>
          <w:szCs w:val="24"/>
          <w:lang w:val="en-US"/>
        </w:rPr>
        <w:t>different regions become endogenous</w:t>
      </w:r>
      <w:r>
        <w:rPr>
          <w:rFonts w:asciiTheme="majorHAnsi" w:hAnsiTheme="majorHAnsi"/>
          <w:szCs w:val="24"/>
          <w:lang w:val="en-US"/>
        </w:rPr>
        <w:t xml:space="preserve"> and </w:t>
      </w:r>
      <w:r w:rsidRPr="00341928">
        <w:rPr>
          <w:rFonts w:asciiTheme="majorHAnsi" w:hAnsiTheme="majorHAnsi"/>
          <w:szCs w:val="24"/>
          <w:lang w:val="en-US"/>
        </w:rPr>
        <w:t>can be split into</w:t>
      </w:r>
      <w:r>
        <w:rPr>
          <w:rFonts w:asciiTheme="majorHAnsi" w:hAnsiTheme="majorHAnsi"/>
          <w:szCs w:val="24"/>
          <w:lang w:val="en-US"/>
        </w:rPr>
        <w:t xml:space="preserve"> domestic and imported </w:t>
      </w:r>
      <w:r w:rsidRPr="00341928">
        <w:rPr>
          <w:rFonts w:asciiTheme="majorHAnsi" w:hAnsiTheme="majorHAnsi"/>
          <w:szCs w:val="24"/>
          <w:lang w:val="en-US"/>
        </w:rPr>
        <w:t>if the Leontief inverse</w:t>
      </w:r>
      <w:r>
        <w:rPr>
          <w:rFonts w:asciiTheme="majorHAnsi" w:hAnsiTheme="majorHAnsi"/>
          <w:szCs w:val="24"/>
          <w:lang w:val="en-US"/>
        </w:rPr>
        <w:t xml:space="preserve"> </w:t>
      </w:r>
      <w:r w:rsidRPr="00341928">
        <w:rPr>
          <w:rFonts w:asciiTheme="majorHAnsi" w:hAnsiTheme="majorHAnsi"/>
          <w:szCs w:val="24"/>
          <w:lang w:val="en-US"/>
        </w:rPr>
        <w:t>is partitioned</w:t>
      </w:r>
      <m:oMath>
        <m:d>
          <m:dPr>
            <m:ctrlPr>
              <w:rPr>
                <w:rStyle w:val="Hipervnculo"/>
                <w:rFonts w:ascii="Cambria Math" w:hAnsi="Cambria Math" w:cs="Times New Roman"/>
                <w:i/>
                <w:color w:val="auto"/>
                <w:szCs w:val="24"/>
                <w:u w:val="none"/>
              </w:rPr>
            </m:ctrlPr>
          </m:dPr>
          <m:e>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rPr>
                  <m:t>L</m:t>
                </m:r>
              </m:e>
              <m:sup>
                <m:r>
                  <w:rPr>
                    <w:rStyle w:val="Hipervnculo"/>
                    <w:rFonts w:ascii="Cambria Math" w:hAnsi="Cambria Math" w:cs="Times New Roman"/>
                    <w:color w:val="auto"/>
                    <w:szCs w:val="24"/>
                  </w:rPr>
                  <m:t>rr</m:t>
                </m:r>
              </m:sup>
            </m:sSup>
            <m:r>
              <w:rPr>
                <w:rStyle w:val="Hipervnculo"/>
                <w:rFonts w:ascii="Cambria Math" w:hAnsi="Cambria Math" w:cs="Times New Roman"/>
                <w:color w:val="auto"/>
                <w:szCs w:val="24"/>
                <w:lang w:val="en-US"/>
              </w:rPr>
              <m:t>+</m:t>
            </m:r>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rPr>
                  <m:t>L</m:t>
                </m:r>
              </m:e>
              <m:sup>
                <m:r>
                  <w:rPr>
                    <w:rStyle w:val="Hipervnculo"/>
                    <w:rFonts w:ascii="Cambria Math" w:hAnsi="Cambria Math" w:cs="Times New Roman"/>
                    <w:color w:val="auto"/>
                    <w:szCs w:val="24"/>
                  </w:rPr>
                  <m:t>rs</m:t>
                </m:r>
              </m:sup>
            </m:sSup>
          </m:e>
        </m:d>
      </m:oMath>
      <w:r w:rsidRPr="00341928">
        <w:rPr>
          <w:rStyle w:val="Hipervnculo"/>
          <w:rFonts w:asciiTheme="majorHAnsi" w:eastAsiaTheme="minorEastAsia" w:hAnsiTheme="majorHAnsi"/>
          <w:color w:val="auto"/>
          <w:szCs w:val="24"/>
          <w:u w:val="none"/>
          <w:lang w:val="en-US"/>
        </w:rPr>
        <w:t xml:space="preserve">. </w:t>
      </w:r>
      <w:r w:rsidRPr="005D6532">
        <w:rPr>
          <w:rStyle w:val="Hipervnculo"/>
          <w:rFonts w:asciiTheme="majorHAnsi" w:eastAsiaTheme="minorEastAsia" w:hAnsiTheme="majorHAnsi"/>
          <w:color w:val="auto"/>
          <w:szCs w:val="24"/>
          <w:u w:val="none"/>
          <w:lang w:val="en-US"/>
        </w:rPr>
        <w:t>The expression is:</w:t>
      </w:r>
    </w:p>
    <w:p w14:paraId="155807EA" w14:textId="77777777" w:rsidR="005D6532" w:rsidRPr="005D6532" w:rsidRDefault="00F74706" w:rsidP="005D6532">
      <w:pPr>
        <w:rPr>
          <w:rFonts w:asciiTheme="majorHAnsi" w:hAnsiTheme="majorHAnsi"/>
          <w:szCs w:val="24"/>
          <w:lang w:val="en-US"/>
        </w:rPr>
      </w:pPr>
      <m:oMath>
        <m:sSub>
          <m:sSubPr>
            <m:ctrlPr>
              <w:rPr>
                <w:rStyle w:val="Hipervnculo"/>
                <w:rFonts w:ascii="Cambria Math" w:hAnsi="Cambria Math" w:cs="Times New Roman"/>
                <w:i/>
                <w:color w:val="auto"/>
                <w:szCs w:val="24"/>
                <w:u w:val="none"/>
              </w:rPr>
            </m:ctrlPr>
          </m:sSubPr>
          <m:e>
            <m:r>
              <w:rPr>
                <w:rStyle w:val="Hipervnculo"/>
                <w:rFonts w:ascii="Cambria Math" w:hAnsi="Cambria Math" w:cs="Times New Roman"/>
                <w:color w:val="auto"/>
                <w:szCs w:val="24"/>
                <w:u w:val="none"/>
              </w:rPr>
              <m:t>HF</m:t>
            </m:r>
          </m:e>
          <m:sub>
            <m:r>
              <w:rPr>
                <w:rStyle w:val="Hipervnculo"/>
                <w:rFonts w:ascii="Cambria Math" w:hAnsi="Cambria Math" w:cs="Times New Roman"/>
                <w:color w:val="auto"/>
                <w:szCs w:val="24"/>
                <w:u w:val="none"/>
              </w:rPr>
              <m:t>i</m:t>
            </m:r>
          </m:sub>
        </m:sSub>
        <m:r>
          <w:rPr>
            <w:rStyle w:val="Hipervnculo"/>
            <w:rFonts w:ascii="Cambria Math" w:hAnsi="Cambria Math" w:cs="Times New Roman"/>
            <w:color w:val="auto"/>
            <w:szCs w:val="24"/>
            <w:u w:val="none"/>
            <w:lang w:val="en-US"/>
          </w:rPr>
          <m:t>=</m:t>
        </m:r>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d>
          <m:dPr>
            <m:ctrlPr>
              <w:rPr>
                <w:rStyle w:val="Hipervnculo"/>
                <w:rFonts w:ascii="Cambria Math" w:hAnsi="Cambria Math" w:cs="Times New Roman"/>
                <w:i/>
                <w:color w:val="auto"/>
                <w:szCs w:val="24"/>
                <w:u w:val="none"/>
              </w:rPr>
            </m:ctrlPr>
          </m:dPr>
          <m:e>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r>
              <w:rPr>
                <w:rStyle w:val="Hipervnculo"/>
                <w:rFonts w:ascii="Cambria Math" w:hAnsi="Cambria Math" w:cs="Times New Roman"/>
                <w:color w:val="auto"/>
                <w:szCs w:val="24"/>
                <w:u w:val="none"/>
                <w:lang w:val="en-US"/>
              </w:rPr>
              <m:t>+</m:t>
            </m:r>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e>
        </m:d>
        <m:d>
          <m:dPr>
            <m:ctrlPr>
              <w:rPr>
                <w:rStyle w:val="Hipervnculo"/>
                <w:rFonts w:ascii="Cambria Math" w:hAnsi="Cambria Math" w:cs="Times New Roman"/>
                <w:i/>
                <w:color w:val="auto"/>
                <w:szCs w:val="24"/>
                <w:u w:val="none"/>
              </w:rPr>
            </m:ctrlPr>
          </m:dPr>
          <m:e>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rr</m:t>
                </m:r>
              </m:sup>
            </m:sSubSup>
            <m:r>
              <w:rPr>
                <w:rStyle w:val="Hipervnculo"/>
                <w:rFonts w:ascii="Cambria Math" w:hAnsi="Cambria Math" w:cs="Times New Roman"/>
                <w:color w:val="auto"/>
                <w:szCs w:val="24"/>
                <w:u w:val="none"/>
                <w:lang w:val="en-US"/>
              </w:rPr>
              <m:t>+</m:t>
            </m:r>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rs</m:t>
                </m:r>
              </m:sup>
            </m:sSubSup>
          </m:e>
        </m:d>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rr</m:t>
                    </m:r>
                  </m:sup>
                </m:sSubSup>
              </m:e>
            </m:groupChr>
          </m:e>
          <m:lim>
            <m:r>
              <w:rPr>
                <w:rStyle w:val="Hipervnculo"/>
                <w:rFonts w:ascii="Cambria Math" w:hAnsi="Cambria Math" w:cs="Times New Roman"/>
                <w:color w:val="auto"/>
                <w:szCs w:val="24"/>
                <w:u w:val="none"/>
                <w:lang w:val="en-US"/>
              </w:rPr>
              <m:t>4.1</m:t>
            </m:r>
          </m:lim>
        </m:limLow>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rr</m:t>
                    </m:r>
                  </m:sup>
                </m:sSubSup>
              </m:e>
            </m:groupChr>
          </m:e>
          <m:lim>
            <m:r>
              <w:rPr>
                <w:rStyle w:val="Hipervnculo"/>
                <w:rFonts w:ascii="Cambria Math" w:hAnsi="Cambria Math" w:cs="Times New Roman"/>
                <w:color w:val="auto"/>
                <w:szCs w:val="24"/>
                <w:u w:val="none"/>
                <w:lang w:val="en-US"/>
              </w:rPr>
              <m:t>4.2</m:t>
            </m:r>
          </m:lim>
        </m:limLow>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rr</m:t>
                    </m:r>
                  </m:sup>
                </m:sSup>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rs</m:t>
                    </m:r>
                  </m:sup>
                </m:sSubSup>
              </m:e>
            </m:groupChr>
          </m:e>
          <m:lim>
            <m:r>
              <w:rPr>
                <w:rStyle w:val="Hipervnculo"/>
                <w:rFonts w:ascii="Cambria Math" w:hAnsi="Cambria Math" w:cs="Times New Roman"/>
                <w:color w:val="auto"/>
                <w:szCs w:val="24"/>
                <w:u w:val="none"/>
                <w:lang w:val="en-US"/>
              </w:rPr>
              <m:t>4.3</m:t>
            </m:r>
          </m:lim>
        </m:limLow>
        <m:r>
          <w:rPr>
            <w:rStyle w:val="Hipervnculo"/>
            <w:rFonts w:ascii="Cambria Math" w:hAnsi="Cambria Math" w:cs="Times New Roman"/>
            <w:color w:val="auto"/>
            <w:szCs w:val="24"/>
            <w:u w:val="none"/>
            <w:lang w:val="en-US"/>
          </w:rPr>
          <m:t>+</m:t>
        </m:r>
        <m:limLow>
          <m:limLowPr>
            <m:ctrlPr>
              <w:rPr>
                <w:rStyle w:val="Hipervnculo"/>
                <w:rFonts w:ascii="Cambria Math" w:hAnsi="Cambria Math" w:cs="Times New Roman"/>
                <w:i/>
                <w:color w:val="auto"/>
                <w:szCs w:val="24"/>
                <w:u w:val="none"/>
              </w:rPr>
            </m:ctrlPr>
          </m:limLowPr>
          <m:e>
            <m:groupChr>
              <m:groupChrPr>
                <m:ctrlPr>
                  <w:rPr>
                    <w:rStyle w:val="Hipervnculo"/>
                    <w:rFonts w:ascii="Cambria Math" w:hAnsi="Cambria Math" w:cs="Times New Roman"/>
                    <w:i/>
                    <w:color w:val="auto"/>
                    <w:szCs w:val="24"/>
                    <w:u w:val="none"/>
                  </w:rPr>
                </m:ctrlPr>
              </m:groupChr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f</m:t>
                    </m:r>
                  </m:e>
                </m:acc>
                <m:sSup>
                  <m:sSupPr>
                    <m:ctrlPr>
                      <w:rPr>
                        <w:rStyle w:val="Hipervnculo"/>
                        <w:rFonts w:ascii="Cambria Math" w:hAnsi="Cambria Math" w:cs="Times New Roman"/>
                        <w:i/>
                        <w:color w:val="auto"/>
                        <w:szCs w:val="24"/>
                        <w:u w:val="none"/>
                      </w:rPr>
                    </m:ctrlPr>
                  </m:sSupPr>
                  <m:e>
                    <m:r>
                      <w:rPr>
                        <w:rStyle w:val="Hipervnculo"/>
                        <w:rFonts w:ascii="Cambria Math" w:hAnsi="Cambria Math" w:cs="Times New Roman"/>
                        <w:color w:val="auto"/>
                        <w:szCs w:val="24"/>
                        <w:u w:val="none"/>
                      </w:rPr>
                      <m:t>L</m:t>
                    </m:r>
                  </m:e>
                  <m:sup>
                    <m:r>
                      <w:rPr>
                        <w:rStyle w:val="Hipervnculo"/>
                        <w:rFonts w:ascii="Cambria Math" w:hAnsi="Cambria Math" w:cs="Times New Roman"/>
                        <w:color w:val="auto"/>
                        <w:szCs w:val="24"/>
                        <w:u w:val="none"/>
                      </w:rPr>
                      <m:t>rs</m:t>
                    </m:r>
                  </m:sup>
                </m:sSup>
                <m:sSubSup>
                  <m:sSubSupPr>
                    <m:ctrlPr>
                      <w:rPr>
                        <w:rStyle w:val="Hipervnculo"/>
                        <w:rFonts w:ascii="Cambria Math" w:hAnsi="Cambria Math" w:cs="Times New Roman"/>
                        <w:i/>
                        <w:color w:val="auto"/>
                        <w:szCs w:val="24"/>
                        <w:u w:val="none"/>
                      </w:rPr>
                    </m:ctrlPr>
                  </m:sSubSupPr>
                  <m:e>
                    <m:acc>
                      <m:accPr>
                        <m:ctrlPr>
                          <w:rPr>
                            <w:rStyle w:val="Hipervnculo"/>
                            <w:rFonts w:ascii="Cambria Math" w:hAnsi="Cambria Math" w:cs="Times New Roman"/>
                            <w:i/>
                            <w:color w:val="auto"/>
                            <w:szCs w:val="24"/>
                            <w:u w:val="none"/>
                          </w:rPr>
                        </m:ctrlPr>
                      </m:accPr>
                      <m:e>
                        <m:r>
                          <w:rPr>
                            <w:rStyle w:val="Hipervnculo"/>
                            <w:rFonts w:ascii="Cambria Math" w:hAnsi="Cambria Math" w:cs="Times New Roman"/>
                            <w:color w:val="auto"/>
                            <w:szCs w:val="24"/>
                            <w:u w:val="none"/>
                          </w:rPr>
                          <m:t>C</m:t>
                        </m:r>
                      </m:e>
                    </m:acc>
                  </m:e>
                  <m:sub>
                    <m:r>
                      <w:rPr>
                        <w:rStyle w:val="Hipervnculo"/>
                        <w:rFonts w:ascii="Cambria Math" w:hAnsi="Cambria Math" w:cs="Times New Roman"/>
                        <w:color w:val="auto"/>
                        <w:szCs w:val="24"/>
                        <w:u w:val="none"/>
                      </w:rPr>
                      <m:t>i</m:t>
                    </m:r>
                  </m:sub>
                  <m:sup>
                    <m:r>
                      <w:rPr>
                        <w:rStyle w:val="Hipervnculo"/>
                        <w:rFonts w:ascii="Cambria Math" w:hAnsi="Cambria Math" w:cs="Times New Roman"/>
                        <w:color w:val="auto"/>
                        <w:szCs w:val="24"/>
                        <w:u w:val="none"/>
                      </w:rPr>
                      <m:t>rs</m:t>
                    </m:r>
                  </m:sup>
                </m:sSubSup>
              </m:e>
            </m:groupChr>
          </m:e>
          <m:lim>
            <m:r>
              <w:rPr>
                <w:rStyle w:val="Hipervnculo"/>
                <w:rFonts w:ascii="Cambria Math" w:hAnsi="Cambria Math" w:cs="Times New Roman"/>
                <w:color w:val="auto"/>
                <w:szCs w:val="24"/>
                <w:u w:val="none"/>
                <w:lang w:val="en-US"/>
              </w:rPr>
              <m:t>4.4</m:t>
            </m:r>
          </m:lim>
        </m:limLow>
      </m:oMath>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olor w:val="auto"/>
          <w:szCs w:val="24"/>
          <w:u w:val="none"/>
          <w:lang w:val="en-US"/>
        </w:rPr>
        <w:tab/>
      </w:r>
      <w:r w:rsidR="005D6532" w:rsidRPr="005D6532">
        <w:rPr>
          <w:rStyle w:val="Hipervnculo"/>
          <w:rFonts w:asciiTheme="majorHAnsi" w:hAnsiTheme="majorHAnsi" w:cs="Times New Roman"/>
          <w:color w:val="auto"/>
          <w:szCs w:val="24"/>
          <w:u w:val="none"/>
          <w:lang w:val="en-US"/>
        </w:rPr>
        <w:t>[4]</w:t>
      </w:r>
    </w:p>
    <w:p w14:paraId="6D346549" w14:textId="77777777" w:rsidR="005D6532" w:rsidRPr="002E75C1" w:rsidRDefault="005D6532" w:rsidP="00F362A0">
      <w:pPr>
        <w:ind w:firstLine="0"/>
        <w:rPr>
          <w:rStyle w:val="Hipervnculo"/>
          <w:rFonts w:asciiTheme="majorHAnsi" w:hAnsiTheme="majorHAnsi" w:cs="Times New Roman"/>
          <w:color w:val="auto"/>
          <w:szCs w:val="24"/>
          <w:u w:val="none"/>
          <w:lang w:val="en-GB"/>
        </w:rPr>
      </w:pPr>
      <w:r w:rsidRPr="00341928">
        <w:rPr>
          <w:rStyle w:val="Hipervnculo"/>
          <w:rFonts w:asciiTheme="majorHAnsi" w:hAnsiTheme="majorHAnsi" w:cs="Times New Roman"/>
          <w:color w:val="auto"/>
          <w:szCs w:val="24"/>
          <w:u w:val="none"/>
          <w:lang w:val="en-US"/>
        </w:rPr>
        <w:t>The sum of the expressions</w:t>
      </w:r>
      <w:r>
        <w:rPr>
          <w:rStyle w:val="Hipervnculo"/>
          <w:rFonts w:asciiTheme="majorHAnsi" w:hAnsiTheme="majorHAnsi" w:cs="Times New Roman"/>
          <w:color w:val="auto"/>
          <w:szCs w:val="24"/>
          <w:u w:val="none"/>
          <w:lang w:val="en-US"/>
        </w:rPr>
        <w:t xml:space="preserve"> [4.1] and</w:t>
      </w:r>
      <w:r w:rsidRPr="00341928">
        <w:rPr>
          <w:rStyle w:val="Hipervnculo"/>
          <w:rFonts w:asciiTheme="majorHAnsi" w:hAnsiTheme="majorHAnsi" w:cs="Times New Roman"/>
          <w:color w:val="auto"/>
          <w:szCs w:val="24"/>
          <w:u w:val="none"/>
          <w:lang w:val="en-US"/>
        </w:rPr>
        <w:t xml:space="preserve"> [4.3]</w:t>
      </w:r>
      <w:r>
        <w:rPr>
          <w:rStyle w:val="Hipervnculo"/>
          <w:rFonts w:asciiTheme="majorHAnsi" w:hAnsiTheme="majorHAnsi" w:cs="Times New Roman"/>
          <w:color w:val="auto"/>
          <w:szCs w:val="24"/>
          <w:u w:val="none"/>
          <w:lang w:val="en-US"/>
        </w:rPr>
        <w:t xml:space="preserve"> shows the domestic </w:t>
      </w:r>
      <w:r w:rsidRPr="00657E1B">
        <w:rPr>
          <w:rStyle w:val="Hipervnculo"/>
          <w:rFonts w:asciiTheme="majorHAnsi" w:hAnsiTheme="majorHAnsi" w:cs="Times New Roman"/>
          <w:color w:val="auto"/>
          <w:szCs w:val="24"/>
          <w:u w:val="none"/>
          <w:lang w:val="en-US"/>
        </w:rPr>
        <w:t>footprint associated</w:t>
      </w:r>
      <w:r>
        <w:rPr>
          <w:rStyle w:val="Hipervnculo"/>
          <w:rFonts w:asciiTheme="majorHAnsi" w:hAnsiTheme="majorHAnsi" w:cs="Times New Roman"/>
          <w:color w:val="auto"/>
          <w:szCs w:val="24"/>
          <w:u w:val="none"/>
          <w:lang w:val="en-US"/>
        </w:rPr>
        <w:t xml:space="preserve"> with the </w:t>
      </w:r>
      <w:r w:rsidRPr="00657E1B">
        <w:rPr>
          <w:rStyle w:val="Hipervnculo"/>
          <w:rFonts w:asciiTheme="majorHAnsi" w:hAnsiTheme="majorHAnsi" w:cs="Times New Roman"/>
          <w:color w:val="auto"/>
          <w:szCs w:val="24"/>
          <w:u w:val="none"/>
          <w:lang w:val="en-US"/>
        </w:rPr>
        <w:t xml:space="preserve">households </w:t>
      </w:r>
      <w:r w:rsidRPr="00657E1B">
        <w:rPr>
          <w:rStyle w:val="Hipervnculo"/>
          <w:rFonts w:asciiTheme="majorHAnsi" w:hAnsiTheme="majorHAnsi" w:cs="Times New Roman"/>
          <w:i/>
          <w:color w:val="auto"/>
          <w:szCs w:val="24"/>
          <w:u w:val="none"/>
          <w:lang w:val="en-GB"/>
        </w:rPr>
        <w:t>i</w:t>
      </w:r>
      <w:r>
        <w:rPr>
          <w:rStyle w:val="Hipervnculo"/>
          <w:rFonts w:asciiTheme="majorHAnsi" w:hAnsiTheme="majorHAnsi" w:cs="Times New Roman"/>
          <w:color w:val="auto"/>
          <w:szCs w:val="24"/>
          <w:u w:val="none"/>
          <w:lang w:val="en-US"/>
        </w:rPr>
        <w:t xml:space="preserve"> consumption o</w:t>
      </w:r>
      <w:r w:rsidRPr="00657E1B">
        <w:rPr>
          <w:rStyle w:val="Hipervnculo"/>
          <w:rFonts w:asciiTheme="majorHAnsi" w:hAnsiTheme="majorHAnsi" w:cs="Times New Roman"/>
          <w:color w:val="auto"/>
          <w:szCs w:val="24"/>
          <w:u w:val="none"/>
          <w:lang w:val="en-US"/>
        </w:rPr>
        <w:t>f goods intended to final demand</w:t>
      </w:r>
      <w:r>
        <w:rPr>
          <w:rStyle w:val="Hipervnculo"/>
          <w:rFonts w:asciiTheme="majorHAnsi" w:hAnsiTheme="majorHAnsi" w:cs="Times New Roman"/>
          <w:color w:val="auto"/>
          <w:szCs w:val="24"/>
          <w:u w:val="none"/>
          <w:lang w:val="en-US"/>
        </w:rPr>
        <w:t xml:space="preserve"> in the region r, in the first case, and </w:t>
      </w:r>
      <w:r w:rsidRPr="006E6B0D">
        <w:rPr>
          <w:rStyle w:val="Hipervnculo"/>
          <w:rFonts w:asciiTheme="majorHAnsi" w:hAnsiTheme="majorHAnsi" w:cs="Times New Roman"/>
          <w:color w:val="auto"/>
          <w:szCs w:val="24"/>
          <w:u w:val="none"/>
          <w:lang w:val="en-US"/>
        </w:rPr>
        <w:t>consumption of households</w:t>
      </w:r>
      <w:r>
        <w:rPr>
          <w:rStyle w:val="Hipervnculo"/>
          <w:rFonts w:asciiTheme="majorHAnsi" w:hAnsiTheme="majorHAnsi" w:cs="Times New Roman"/>
          <w:color w:val="auto"/>
          <w:szCs w:val="24"/>
          <w:u w:val="none"/>
          <w:lang w:val="en-US"/>
        </w:rPr>
        <w:t xml:space="preserve"> by the other regions </w:t>
      </w:r>
      <w:r w:rsidRPr="006E6B0D">
        <w:rPr>
          <w:rStyle w:val="Hipervnculo"/>
          <w:rFonts w:asciiTheme="majorHAnsi" w:hAnsiTheme="majorHAnsi" w:cs="Times New Roman"/>
          <w:i/>
          <w:color w:val="auto"/>
          <w:szCs w:val="24"/>
          <w:u w:val="none"/>
          <w:lang w:val="en-US"/>
        </w:rPr>
        <w:t>s</w:t>
      </w:r>
      <w:r>
        <w:rPr>
          <w:rStyle w:val="Hipervnculo"/>
          <w:rFonts w:asciiTheme="majorHAnsi" w:hAnsiTheme="majorHAnsi" w:cs="Times New Roman"/>
          <w:color w:val="auto"/>
          <w:szCs w:val="24"/>
          <w:u w:val="none"/>
          <w:lang w:val="en-US"/>
        </w:rPr>
        <w:t xml:space="preserve">, in the second case. The imported footprint of the </w:t>
      </w:r>
      <w:r w:rsidRPr="006E6B0D">
        <w:rPr>
          <w:rStyle w:val="Hipervnculo"/>
          <w:rFonts w:asciiTheme="majorHAnsi" w:hAnsiTheme="majorHAnsi" w:cs="Times New Roman"/>
          <w:color w:val="auto"/>
          <w:szCs w:val="24"/>
          <w:u w:val="none"/>
          <w:lang w:val="en-US"/>
        </w:rPr>
        <w:t>households</w:t>
      </w:r>
      <w:r>
        <w:rPr>
          <w:rStyle w:val="Hipervnculo"/>
          <w:rFonts w:asciiTheme="majorHAnsi" w:hAnsiTheme="majorHAnsi" w:cs="Times New Roman"/>
          <w:color w:val="auto"/>
          <w:szCs w:val="24"/>
          <w:u w:val="none"/>
          <w:lang w:val="en-US"/>
        </w:rPr>
        <w:t xml:space="preserve"> </w:t>
      </w:r>
      <w:r w:rsidRPr="006E6B0D">
        <w:rPr>
          <w:rStyle w:val="Hipervnculo"/>
          <w:rFonts w:asciiTheme="majorHAnsi" w:hAnsiTheme="majorHAnsi" w:cs="Times New Roman"/>
          <w:i/>
          <w:color w:val="auto"/>
          <w:szCs w:val="24"/>
          <w:u w:val="none"/>
          <w:lang w:val="en-GB"/>
        </w:rPr>
        <w:t>i</w:t>
      </w:r>
      <w:r>
        <w:rPr>
          <w:rStyle w:val="Hipervnculo"/>
          <w:rFonts w:asciiTheme="majorHAnsi" w:hAnsiTheme="majorHAnsi" w:cs="Times New Roman"/>
          <w:color w:val="auto"/>
          <w:szCs w:val="24"/>
          <w:u w:val="none"/>
          <w:lang w:val="en-US"/>
        </w:rPr>
        <w:t xml:space="preserve"> is the </w:t>
      </w:r>
      <w:r w:rsidRPr="006E6B0D">
        <w:rPr>
          <w:rStyle w:val="Hipervnculo"/>
          <w:rFonts w:asciiTheme="majorHAnsi" w:hAnsiTheme="majorHAnsi" w:cs="Times New Roman"/>
          <w:color w:val="auto"/>
          <w:szCs w:val="24"/>
          <w:u w:val="none"/>
          <w:lang w:val="en-US"/>
        </w:rPr>
        <w:t>sum of the expressions [4.2] and [4.4],</w:t>
      </w:r>
      <w:r>
        <w:rPr>
          <w:rStyle w:val="Hipervnculo"/>
          <w:rFonts w:asciiTheme="majorHAnsi" w:hAnsiTheme="majorHAnsi" w:cs="Times New Roman"/>
          <w:color w:val="auto"/>
          <w:szCs w:val="24"/>
          <w:u w:val="none"/>
          <w:lang w:val="en-US"/>
        </w:rPr>
        <w:t xml:space="preserve"> </w:t>
      </w:r>
      <w:r w:rsidRPr="002E75C1">
        <w:rPr>
          <w:rStyle w:val="Hipervnculo"/>
          <w:rFonts w:asciiTheme="majorHAnsi" w:hAnsiTheme="majorHAnsi" w:cs="Times New Roman"/>
          <w:color w:val="auto"/>
          <w:szCs w:val="24"/>
          <w:u w:val="none"/>
          <w:lang w:val="en-US"/>
        </w:rPr>
        <w:t>for the purchase of final goods provided by companies in the region</w:t>
      </w:r>
      <w:r>
        <w:rPr>
          <w:rStyle w:val="Hipervnculo"/>
          <w:rFonts w:asciiTheme="majorHAnsi" w:hAnsiTheme="majorHAnsi" w:cs="Times New Roman"/>
          <w:color w:val="auto"/>
          <w:szCs w:val="24"/>
          <w:u w:val="none"/>
          <w:lang w:val="en-US"/>
        </w:rPr>
        <w:t xml:space="preserve"> </w:t>
      </w:r>
      <w:r w:rsidRPr="002E75C1">
        <w:rPr>
          <w:rStyle w:val="Hipervnculo"/>
          <w:rFonts w:asciiTheme="majorHAnsi" w:hAnsiTheme="majorHAnsi" w:cs="Times New Roman"/>
          <w:i/>
          <w:color w:val="auto"/>
          <w:szCs w:val="24"/>
          <w:u w:val="none"/>
          <w:lang w:val="en-US"/>
        </w:rPr>
        <w:t>r</w:t>
      </w:r>
      <w:r>
        <w:rPr>
          <w:rStyle w:val="Hipervnculo"/>
          <w:rFonts w:asciiTheme="majorHAnsi" w:hAnsiTheme="majorHAnsi" w:cs="Times New Roman"/>
          <w:color w:val="auto"/>
          <w:szCs w:val="24"/>
          <w:u w:val="none"/>
          <w:lang w:val="en-US"/>
        </w:rPr>
        <w:t xml:space="preserve"> or </w:t>
      </w:r>
      <w:r w:rsidRPr="002E75C1">
        <w:rPr>
          <w:rStyle w:val="Hipervnculo"/>
          <w:rFonts w:asciiTheme="majorHAnsi" w:hAnsiTheme="majorHAnsi" w:cs="Times New Roman"/>
          <w:color w:val="auto"/>
          <w:szCs w:val="24"/>
          <w:u w:val="none"/>
          <w:lang w:val="en-US"/>
        </w:rPr>
        <w:t>provided by</w:t>
      </w:r>
      <w:r>
        <w:rPr>
          <w:rStyle w:val="Hipervnculo"/>
          <w:rFonts w:asciiTheme="majorHAnsi" w:hAnsiTheme="majorHAnsi" w:cs="Times New Roman"/>
          <w:color w:val="auto"/>
          <w:szCs w:val="24"/>
          <w:u w:val="none"/>
          <w:lang w:val="en-US"/>
        </w:rPr>
        <w:t xml:space="preserve"> the rest of regions </w:t>
      </w:r>
      <w:r w:rsidRPr="002E75C1">
        <w:rPr>
          <w:rStyle w:val="Hipervnculo"/>
          <w:rFonts w:asciiTheme="majorHAnsi" w:hAnsiTheme="majorHAnsi" w:cs="Times New Roman"/>
          <w:i/>
          <w:color w:val="auto"/>
          <w:szCs w:val="24"/>
          <w:u w:val="none"/>
          <w:lang w:val="en-US"/>
        </w:rPr>
        <w:t>s</w:t>
      </w:r>
      <w:r>
        <w:rPr>
          <w:rStyle w:val="Hipervnculo"/>
          <w:rFonts w:asciiTheme="majorHAnsi" w:hAnsiTheme="majorHAnsi" w:cs="Times New Roman"/>
          <w:color w:val="auto"/>
          <w:szCs w:val="24"/>
          <w:u w:val="none"/>
          <w:lang w:val="en-US"/>
        </w:rPr>
        <w:t xml:space="preserve"> </w:t>
      </w:r>
      <w:r w:rsidRPr="002E75C1">
        <w:rPr>
          <w:rStyle w:val="Hipervnculo"/>
          <w:rFonts w:asciiTheme="majorHAnsi" w:hAnsiTheme="majorHAnsi" w:cs="Times New Roman"/>
          <w:color w:val="auto"/>
          <w:szCs w:val="24"/>
          <w:u w:val="none"/>
          <w:lang w:val="en-GB"/>
        </w:rPr>
        <w:t>respectively</w:t>
      </w:r>
      <w:r>
        <w:rPr>
          <w:rStyle w:val="Hipervnculo"/>
          <w:rFonts w:asciiTheme="majorHAnsi" w:hAnsiTheme="majorHAnsi" w:cs="Times New Roman"/>
          <w:color w:val="auto"/>
          <w:szCs w:val="24"/>
          <w:u w:val="none"/>
          <w:lang w:val="en-GB"/>
        </w:rPr>
        <w:t>.</w:t>
      </w:r>
    </w:p>
    <w:p w14:paraId="0E1E9417" w14:textId="77777777" w:rsidR="005D6532" w:rsidRPr="005D6532" w:rsidRDefault="005D6532" w:rsidP="005D6532">
      <w:pPr>
        <w:ind w:firstLine="708"/>
        <w:rPr>
          <w:rFonts w:asciiTheme="majorHAnsi" w:hAnsiTheme="majorHAnsi"/>
          <w:b/>
          <w:i/>
          <w:szCs w:val="24"/>
          <w:lang w:val="en-US"/>
        </w:rPr>
      </w:pPr>
      <w:r w:rsidRPr="005D6532">
        <w:rPr>
          <w:rFonts w:asciiTheme="majorHAnsi" w:hAnsiTheme="majorHAnsi"/>
          <w:b/>
          <w:i/>
          <w:szCs w:val="24"/>
          <w:lang w:val="en-US"/>
        </w:rPr>
        <w:lastRenderedPageBreak/>
        <w:t>2.2. Databases used.</w:t>
      </w:r>
    </w:p>
    <w:p w14:paraId="4623DF7E" w14:textId="0A607130" w:rsidR="005D6532" w:rsidRDefault="005D6532" w:rsidP="00F362A0">
      <w:pPr>
        <w:ind w:firstLine="0"/>
        <w:rPr>
          <w:rFonts w:asciiTheme="majorHAnsi" w:hAnsiTheme="majorHAnsi"/>
          <w:lang w:val="en-GB"/>
        </w:rPr>
      </w:pPr>
      <w:r w:rsidRPr="00723E5A">
        <w:rPr>
          <w:rFonts w:asciiTheme="majorHAnsi" w:hAnsiTheme="majorHAnsi"/>
          <w:szCs w:val="24"/>
          <w:lang w:val="en-GB"/>
        </w:rPr>
        <w:t xml:space="preserve">The WIOD </w:t>
      </w:r>
      <w:r w:rsidRPr="00723E5A">
        <w:rPr>
          <w:rFonts w:asciiTheme="majorHAnsi" w:hAnsiTheme="majorHAnsi"/>
          <w:lang w:val="en-GB"/>
        </w:rPr>
        <w:t xml:space="preserve">Database </w:t>
      </w:r>
      <w:r w:rsidR="004A0F2A">
        <w:rPr>
          <w:rFonts w:asciiTheme="majorHAnsi" w:hAnsiTheme="majorHAnsi"/>
          <w:lang w:val="en-GB"/>
        </w:rPr>
        <w:fldChar w:fldCharType="begin"/>
      </w:r>
      <w:r w:rsidR="004A0F2A">
        <w:rPr>
          <w:rFonts w:asciiTheme="majorHAnsi" w:hAnsiTheme="majorHAnsi"/>
          <w:lang w:val="en-GB"/>
        </w:rPr>
        <w:instrText xml:space="preserve"> ADDIN EN.CITE &lt;EndNote&gt;&lt;Cite&gt;&lt;Author&gt;Timmer&lt;/Author&gt;&lt;Year&gt;2012&lt;/Year&gt;&lt;RecNum&gt;908&lt;/RecNum&gt;&lt;DisplayText&gt;(Timmer, 2012)&lt;/DisplayText&gt;&lt;record&gt;&lt;rec-number&gt;908&lt;/rec-number&gt;&lt;foreign-keys&gt;&lt;key app="EN" db-id="s0tde0xz2xaee9edeervtv2uvtrx99daf9a5"&gt;908&lt;/key&gt;&lt;/foreign-keys&gt;&lt;ref-type name="Journal Article"&gt;17&lt;/ref-type&gt;&lt;contributors&gt;&lt;authors&gt;&lt;author&gt;Timmer, M.&lt;/author&gt;&lt;/authors&gt;&lt;/contributors&gt;&lt;titles&gt;&lt;title&gt;The World Input-Output Database (WIOD): Contents, Sources and Methods&lt;/title&gt;&lt;secondary-title&gt;WIOD Working Paper Number 10, downloadable at http://www.wiod.org/publications/papers/wiod10.pdf&lt;/secondary-title&gt;&lt;/titles&gt;&lt;periodical&gt;&lt;full-title&gt;WIOD Working Paper Number 10, downloadable at http://www.wiod.org/publications/papers/wiod10.pdf&lt;/full-title&gt;&lt;/periodical&gt;&lt;dates&gt;&lt;year&gt;2012&lt;/year&gt;&lt;/dates&gt;&lt;urls&gt;&lt;/urls&gt;&lt;/record&gt;&lt;/Cite&gt;&lt;/EndNote&gt;</w:instrText>
      </w:r>
      <w:r w:rsidR="004A0F2A">
        <w:rPr>
          <w:rFonts w:asciiTheme="majorHAnsi" w:hAnsiTheme="majorHAnsi"/>
          <w:lang w:val="en-GB"/>
        </w:rPr>
        <w:fldChar w:fldCharType="separate"/>
      </w:r>
      <w:r w:rsidR="004A0F2A">
        <w:rPr>
          <w:rFonts w:asciiTheme="majorHAnsi" w:hAnsiTheme="majorHAnsi"/>
          <w:noProof/>
          <w:lang w:val="en-GB"/>
        </w:rPr>
        <w:t>(</w:t>
      </w:r>
      <w:hyperlink w:anchor="_ENREF_17" w:tooltip="Timmer, 2012 #908" w:history="1">
        <w:r w:rsidR="004B4AF6">
          <w:rPr>
            <w:rFonts w:asciiTheme="majorHAnsi" w:hAnsiTheme="majorHAnsi"/>
            <w:noProof/>
            <w:lang w:val="en-GB"/>
          </w:rPr>
          <w:t>Timmer, 2012</w:t>
        </w:r>
      </w:hyperlink>
      <w:r w:rsidR="004A0F2A">
        <w:rPr>
          <w:rFonts w:asciiTheme="majorHAnsi" w:hAnsiTheme="majorHAnsi"/>
          <w:noProof/>
          <w:lang w:val="en-GB"/>
        </w:rPr>
        <w:t>)</w:t>
      </w:r>
      <w:r w:rsidR="004A0F2A">
        <w:rPr>
          <w:rFonts w:asciiTheme="majorHAnsi" w:hAnsiTheme="majorHAnsi"/>
          <w:lang w:val="en-GB"/>
        </w:rPr>
        <w:fldChar w:fldCharType="end"/>
      </w:r>
      <w:r w:rsidRPr="00723E5A">
        <w:rPr>
          <w:rFonts w:asciiTheme="majorHAnsi" w:hAnsiTheme="majorHAnsi"/>
          <w:lang w:val="en-GB"/>
        </w:rPr>
        <w:t xml:space="preserve"> is used in this paper for the years 2006 and 2009, using the </w:t>
      </w:r>
      <w:r w:rsidRPr="001000B9">
        <w:rPr>
          <w:rFonts w:asciiTheme="majorHAnsi" w:eastAsiaTheme="minorEastAsia" w:hAnsiTheme="majorHAnsi"/>
          <w:szCs w:val="24"/>
          <w:lang w:val="en-GB"/>
        </w:rPr>
        <w:t xml:space="preserve">original sectoral aggregation to 35 sectors, but aggregate into 7 regions: Spain, rest of </w:t>
      </w:r>
      <w:r w:rsidRPr="001000B9">
        <w:rPr>
          <w:rFonts w:asciiTheme="majorHAnsi" w:hAnsiTheme="majorHAnsi"/>
          <w:szCs w:val="24"/>
          <w:lang w:val="en-GB"/>
        </w:rPr>
        <w:t>European Union, NAFTA, China, East Asia, BRIIAT and the rest of the world</w:t>
      </w:r>
      <w:r>
        <w:rPr>
          <w:rStyle w:val="Refdenotaalpie"/>
          <w:rFonts w:asciiTheme="majorHAnsi" w:hAnsiTheme="majorHAnsi"/>
          <w:szCs w:val="24"/>
          <w:lang w:val="en-GB"/>
        </w:rPr>
        <w:footnoteReference w:id="1"/>
      </w:r>
      <w:r w:rsidRPr="001000B9">
        <w:rPr>
          <w:rFonts w:asciiTheme="majorHAnsi" w:hAnsiTheme="majorHAnsi"/>
          <w:szCs w:val="24"/>
          <w:lang w:val="en-GB"/>
        </w:rPr>
        <w:t xml:space="preserve">. Environmental information was obtained from the Environmental Accounts that also provides WIOD, in which </w:t>
      </w:r>
      <w:r w:rsidRPr="001000B9">
        <w:rPr>
          <w:rFonts w:asciiTheme="majorHAnsi" w:hAnsiTheme="majorHAnsi"/>
          <w:lang w:val="en-GB"/>
        </w:rPr>
        <w:t>one can find</w:t>
      </w:r>
      <w:r w:rsidRPr="001000B9">
        <w:rPr>
          <w:rFonts w:asciiTheme="majorHAnsi" w:hAnsiTheme="majorHAnsi"/>
          <w:szCs w:val="24"/>
          <w:lang w:val="en-GB"/>
        </w:rPr>
        <w:t xml:space="preserve"> </w:t>
      </w:r>
      <w:r w:rsidRPr="001000B9">
        <w:rPr>
          <w:rFonts w:asciiTheme="majorHAnsi" w:hAnsiTheme="majorHAnsi"/>
          <w:lang w:val="en-GB"/>
        </w:rPr>
        <w:t>total CO2</w:t>
      </w:r>
      <w:r w:rsidRPr="001000B9">
        <w:rPr>
          <w:rFonts w:asciiTheme="majorHAnsi" w:hAnsiTheme="majorHAnsi"/>
          <w:szCs w:val="24"/>
          <w:lang w:val="en-GB"/>
        </w:rPr>
        <w:t xml:space="preserve"> </w:t>
      </w:r>
      <w:r w:rsidRPr="001000B9">
        <w:rPr>
          <w:rFonts w:asciiTheme="majorHAnsi" w:hAnsiTheme="majorHAnsi"/>
          <w:lang w:val="en-GB"/>
        </w:rPr>
        <w:t>emissions</w:t>
      </w:r>
      <w:r w:rsidRPr="001000B9">
        <w:rPr>
          <w:rFonts w:asciiTheme="majorHAnsi" w:hAnsiTheme="majorHAnsi"/>
          <w:szCs w:val="24"/>
          <w:lang w:val="en-GB"/>
        </w:rPr>
        <w:t xml:space="preserve"> </w:t>
      </w:r>
      <w:r w:rsidRPr="001000B9">
        <w:rPr>
          <w:rFonts w:asciiTheme="majorHAnsi" w:hAnsiTheme="majorHAnsi"/>
          <w:lang w:val="en-GB"/>
        </w:rPr>
        <w:t>for</w:t>
      </w:r>
      <w:r w:rsidRPr="001000B9">
        <w:rPr>
          <w:rFonts w:asciiTheme="majorHAnsi" w:hAnsiTheme="majorHAnsi"/>
          <w:szCs w:val="24"/>
          <w:lang w:val="en-GB"/>
        </w:rPr>
        <w:t xml:space="preserve"> </w:t>
      </w:r>
      <w:r w:rsidRPr="001000B9">
        <w:rPr>
          <w:rFonts w:asciiTheme="majorHAnsi" w:hAnsiTheme="majorHAnsi"/>
          <w:lang w:val="en-GB"/>
        </w:rPr>
        <w:t>40 countries</w:t>
      </w:r>
      <w:r w:rsidRPr="001000B9">
        <w:rPr>
          <w:rFonts w:asciiTheme="majorHAnsi" w:hAnsiTheme="majorHAnsi"/>
          <w:szCs w:val="24"/>
          <w:lang w:val="en-GB"/>
        </w:rPr>
        <w:t xml:space="preserve"> and the </w:t>
      </w:r>
      <w:r w:rsidRPr="001000B9">
        <w:rPr>
          <w:rFonts w:asciiTheme="majorHAnsi" w:hAnsiTheme="majorHAnsi"/>
          <w:lang w:val="en-GB"/>
        </w:rPr>
        <w:t>Rest of the World (RoW),</w:t>
      </w:r>
      <w:r w:rsidRPr="001000B9">
        <w:rPr>
          <w:rFonts w:asciiTheme="majorHAnsi" w:hAnsiTheme="majorHAnsi"/>
          <w:szCs w:val="24"/>
          <w:lang w:val="en-GB"/>
        </w:rPr>
        <w:t xml:space="preserve"> </w:t>
      </w:r>
      <w:r w:rsidRPr="001000B9">
        <w:rPr>
          <w:rFonts w:asciiTheme="majorHAnsi" w:hAnsiTheme="majorHAnsi"/>
          <w:lang w:val="en-GB"/>
        </w:rPr>
        <w:t>also</w:t>
      </w:r>
      <w:r w:rsidRPr="001000B9">
        <w:rPr>
          <w:rFonts w:asciiTheme="majorHAnsi" w:hAnsiTheme="majorHAnsi"/>
          <w:szCs w:val="24"/>
          <w:lang w:val="en-GB"/>
        </w:rPr>
        <w:t xml:space="preserve"> </w:t>
      </w:r>
      <w:r w:rsidRPr="001000B9">
        <w:rPr>
          <w:rFonts w:asciiTheme="majorHAnsi" w:hAnsiTheme="majorHAnsi"/>
          <w:lang w:val="en-GB"/>
        </w:rPr>
        <w:t>aggregated</w:t>
      </w:r>
      <w:r w:rsidRPr="001000B9">
        <w:rPr>
          <w:rFonts w:asciiTheme="majorHAnsi" w:hAnsiTheme="majorHAnsi"/>
          <w:szCs w:val="24"/>
          <w:lang w:val="en-GB"/>
        </w:rPr>
        <w:t xml:space="preserve"> </w:t>
      </w:r>
      <w:r w:rsidRPr="001000B9">
        <w:rPr>
          <w:rFonts w:asciiTheme="majorHAnsi" w:hAnsiTheme="majorHAnsi"/>
          <w:lang w:val="en-GB"/>
        </w:rPr>
        <w:t>in 35</w:t>
      </w:r>
      <w:r w:rsidRPr="001000B9">
        <w:rPr>
          <w:rFonts w:asciiTheme="majorHAnsi" w:hAnsiTheme="majorHAnsi"/>
          <w:szCs w:val="24"/>
          <w:lang w:val="en-GB"/>
        </w:rPr>
        <w:t xml:space="preserve"> </w:t>
      </w:r>
      <w:r w:rsidRPr="001000B9">
        <w:rPr>
          <w:rFonts w:asciiTheme="majorHAnsi" w:hAnsiTheme="majorHAnsi"/>
          <w:lang w:val="en-GB"/>
        </w:rPr>
        <w:t>industries and the materials use by type and sector.</w:t>
      </w:r>
    </w:p>
    <w:p w14:paraId="6941B3E5" w14:textId="77777777" w:rsidR="005D6532" w:rsidRDefault="005D6532" w:rsidP="00F362A0">
      <w:pPr>
        <w:ind w:firstLine="0"/>
        <w:rPr>
          <w:rFonts w:asciiTheme="majorHAnsi" w:hAnsiTheme="majorHAnsi"/>
          <w:szCs w:val="24"/>
          <w:lang w:val="en-GB"/>
        </w:rPr>
      </w:pPr>
      <w:r>
        <w:rPr>
          <w:rFonts w:asciiTheme="majorHAnsi" w:hAnsiTheme="majorHAnsi"/>
          <w:szCs w:val="24"/>
          <w:lang w:val="en-GB"/>
        </w:rPr>
        <w:t>The s</w:t>
      </w:r>
      <w:r w:rsidRPr="0017167B">
        <w:rPr>
          <w:rFonts w:asciiTheme="majorHAnsi" w:hAnsiTheme="majorHAnsi"/>
          <w:szCs w:val="24"/>
          <w:lang w:val="en-GB"/>
        </w:rPr>
        <w:t xml:space="preserve">pending of the Spanish families’ patterns </w:t>
      </w:r>
      <w:r>
        <w:rPr>
          <w:rFonts w:asciiTheme="majorHAnsi" w:hAnsiTheme="majorHAnsi"/>
          <w:szCs w:val="24"/>
          <w:lang w:val="en-GB"/>
        </w:rPr>
        <w:t xml:space="preserve">is provided by </w:t>
      </w:r>
      <w:r w:rsidRPr="00D25658">
        <w:rPr>
          <w:rFonts w:asciiTheme="majorHAnsi" w:hAnsiTheme="majorHAnsi"/>
          <w:szCs w:val="24"/>
          <w:lang w:val="en-GB"/>
        </w:rPr>
        <w:t xml:space="preserve">Household Budget Survey </w:t>
      </w:r>
      <w:r>
        <w:rPr>
          <w:rFonts w:asciiTheme="majorHAnsi" w:hAnsiTheme="majorHAnsi"/>
          <w:szCs w:val="24"/>
          <w:lang w:val="en-GB"/>
        </w:rPr>
        <w:t>(</w:t>
      </w:r>
      <w:r w:rsidRPr="00D25658">
        <w:rPr>
          <w:rFonts w:asciiTheme="majorHAnsi" w:hAnsiTheme="majorHAnsi"/>
          <w:szCs w:val="24"/>
          <w:lang w:val="en-GB"/>
        </w:rPr>
        <w:t>in Spanish</w:t>
      </w:r>
      <w:r w:rsidRPr="00D25658">
        <w:rPr>
          <w:rFonts w:asciiTheme="majorHAnsi" w:hAnsiTheme="majorHAnsi"/>
          <w:i/>
          <w:szCs w:val="24"/>
          <w:lang w:val="en-GB"/>
        </w:rPr>
        <w:t xml:space="preserve"> Encuesta de Presupuestos Familiares</w:t>
      </w:r>
      <w:r>
        <w:rPr>
          <w:rFonts w:asciiTheme="majorHAnsi" w:hAnsiTheme="majorHAnsi"/>
          <w:i/>
          <w:szCs w:val="24"/>
          <w:lang w:val="en-GB"/>
        </w:rPr>
        <w:t>, EPF</w:t>
      </w:r>
      <w:r w:rsidRPr="00D25658">
        <w:rPr>
          <w:rFonts w:asciiTheme="majorHAnsi" w:hAnsiTheme="majorHAnsi"/>
          <w:szCs w:val="24"/>
          <w:lang w:val="en-GB"/>
        </w:rPr>
        <w:t>) published</w:t>
      </w:r>
      <w:r>
        <w:rPr>
          <w:rFonts w:asciiTheme="majorHAnsi" w:hAnsiTheme="majorHAnsi"/>
          <w:szCs w:val="24"/>
          <w:lang w:val="en-GB"/>
        </w:rPr>
        <w:t xml:space="preserve"> by the </w:t>
      </w:r>
      <w:r w:rsidRPr="003B2A47">
        <w:rPr>
          <w:rFonts w:asciiTheme="majorHAnsi" w:hAnsiTheme="majorHAnsi"/>
          <w:szCs w:val="24"/>
          <w:lang w:val="en-GB"/>
        </w:rPr>
        <w:t>Spanish National Institute of Statistics</w:t>
      </w:r>
      <w:r>
        <w:rPr>
          <w:rFonts w:asciiTheme="majorHAnsi" w:hAnsiTheme="majorHAnsi"/>
          <w:szCs w:val="24"/>
          <w:lang w:val="en-GB"/>
        </w:rPr>
        <w:t xml:space="preserve"> (INE, various years). </w:t>
      </w:r>
      <w:r w:rsidRPr="00D25658">
        <w:rPr>
          <w:rFonts w:asciiTheme="majorHAnsi" w:hAnsiTheme="majorHAnsi"/>
          <w:szCs w:val="24"/>
          <w:lang w:val="en-GB"/>
        </w:rPr>
        <w:t>The economic variable used is</w:t>
      </w:r>
      <w:r>
        <w:rPr>
          <w:rFonts w:asciiTheme="majorHAnsi" w:hAnsiTheme="majorHAnsi"/>
          <w:szCs w:val="24"/>
          <w:lang w:val="en-GB"/>
        </w:rPr>
        <w:t xml:space="preserve"> “</w:t>
      </w:r>
      <w:r w:rsidRPr="00D25658">
        <w:rPr>
          <w:rFonts w:asciiTheme="majorHAnsi" w:hAnsiTheme="majorHAnsi"/>
          <w:szCs w:val="24"/>
          <w:lang w:val="en-GB"/>
        </w:rPr>
        <w:t>Average annual expenditure per household by expenditure group</w:t>
      </w:r>
      <w:r>
        <w:rPr>
          <w:rFonts w:asciiTheme="majorHAnsi" w:hAnsiTheme="majorHAnsi"/>
          <w:szCs w:val="24"/>
          <w:lang w:val="en-GB"/>
        </w:rPr>
        <w:t xml:space="preserve">”, which presents disaggregating </w:t>
      </w:r>
      <w:r w:rsidRPr="00D25658">
        <w:rPr>
          <w:rFonts w:asciiTheme="majorHAnsi" w:hAnsiTheme="majorHAnsi"/>
          <w:szCs w:val="24"/>
          <w:lang w:val="en-GB"/>
        </w:rPr>
        <w:t>data</w:t>
      </w:r>
      <w:r>
        <w:rPr>
          <w:rFonts w:asciiTheme="majorHAnsi" w:hAnsiTheme="majorHAnsi"/>
          <w:szCs w:val="24"/>
          <w:lang w:val="en-GB"/>
        </w:rPr>
        <w:t xml:space="preserve"> </w:t>
      </w:r>
      <w:r w:rsidRPr="00D25658">
        <w:rPr>
          <w:rFonts w:asciiTheme="majorHAnsi" w:hAnsiTheme="majorHAnsi"/>
          <w:szCs w:val="24"/>
          <w:lang w:val="en-GB"/>
        </w:rPr>
        <w:t>according to various socio-ec</w:t>
      </w:r>
      <w:r>
        <w:rPr>
          <w:rFonts w:asciiTheme="majorHAnsi" w:hAnsiTheme="majorHAnsi"/>
          <w:szCs w:val="24"/>
          <w:lang w:val="en-GB"/>
        </w:rPr>
        <w:t xml:space="preserve">onomic factors such as the size of the town </w:t>
      </w:r>
      <w:r w:rsidRPr="004907F4">
        <w:rPr>
          <w:rFonts w:asciiTheme="majorHAnsi" w:hAnsiTheme="majorHAnsi"/>
          <w:szCs w:val="24"/>
          <w:lang w:val="en-GB"/>
        </w:rPr>
        <w:t>of residence, educational level</w:t>
      </w:r>
      <w:r>
        <w:rPr>
          <w:rFonts w:asciiTheme="majorHAnsi" w:hAnsiTheme="majorHAnsi"/>
          <w:szCs w:val="24"/>
          <w:lang w:val="en-GB"/>
        </w:rPr>
        <w:t xml:space="preserve">, etc. </w:t>
      </w:r>
      <w:r w:rsidRPr="004907F4">
        <w:rPr>
          <w:rFonts w:asciiTheme="majorHAnsi" w:hAnsiTheme="majorHAnsi"/>
          <w:szCs w:val="24"/>
          <w:lang w:val="en-GB"/>
        </w:rPr>
        <w:t>In this paper we differentiate the final consumption expenditure based on the level</w:t>
      </w:r>
      <w:r>
        <w:rPr>
          <w:rFonts w:asciiTheme="majorHAnsi" w:hAnsiTheme="majorHAnsi"/>
          <w:szCs w:val="24"/>
          <w:lang w:val="en-GB"/>
        </w:rPr>
        <w:t xml:space="preserve"> of </w:t>
      </w:r>
      <w:r w:rsidRPr="004907F4">
        <w:rPr>
          <w:rFonts w:asciiTheme="majorHAnsi" w:hAnsiTheme="majorHAnsi"/>
          <w:szCs w:val="24"/>
          <w:lang w:val="en-GB"/>
        </w:rPr>
        <w:t>monthly income of the household aggregates to</w:t>
      </w:r>
      <w:r>
        <w:rPr>
          <w:rFonts w:asciiTheme="majorHAnsi" w:hAnsiTheme="majorHAnsi"/>
          <w:szCs w:val="24"/>
          <w:lang w:val="en-GB"/>
        </w:rPr>
        <w:t xml:space="preserve"> 5 sections (</w:t>
      </w:r>
      <w:r w:rsidRPr="004C2701">
        <w:rPr>
          <w:rFonts w:asciiTheme="majorHAnsi" w:hAnsiTheme="majorHAnsi"/>
          <w:szCs w:val="24"/>
          <w:lang w:val="en-GB"/>
        </w:rPr>
        <w:t>up to 999 €</w:t>
      </w:r>
      <w:r>
        <w:rPr>
          <w:rFonts w:asciiTheme="majorHAnsi" w:hAnsiTheme="majorHAnsi"/>
          <w:szCs w:val="24"/>
          <w:lang w:val="en-GB"/>
        </w:rPr>
        <w:t xml:space="preserve">; from 1,000€ to 1,499€; from </w:t>
      </w:r>
      <w:r w:rsidRPr="004907F4">
        <w:rPr>
          <w:rFonts w:asciiTheme="majorHAnsi" w:hAnsiTheme="majorHAnsi"/>
          <w:szCs w:val="24"/>
          <w:lang w:val="en-GB"/>
        </w:rPr>
        <w:t>1</w:t>
      </w:r>
      <w:r>
        <w:rPr>
          <w:rFonts w:asciiTheme="majorHAnsi" w:hAnsiTheme="majorHAnsi"/>
          <w:szCs w:val="24"/>
          <w:lang w:val="en-GB"/>
        </w:rPr>
        <w:t>,500€ to</w:t>
      </w:r>
      <w:r w:rsidRPr="004907F4">
        <w:rPr>
          <w:rFonts w:asciiTheme="majorHAnsi" w:hAnsiTheme="majorHAnsi"/>
          <w:szCs w:val="24"/>
          <w:lang w:val="en-GB"/>
        </w:rPr>
        <w:t xml:space="preserve"> 1</w:t>
      </w:r>
      <w:r>
        <w:rPr>
          <w:rFonts w:asciiTheme="majorHAnsi" w:hAnsiTheme="majorHAnsi"/>
          <w:szCs w:val="24"/>
          <w:lang w:val="en-GB"/>
        </w:rPr>
        <w:t>,999€; from</w:t>
      </w:r>
      <w:r w:rsidRPr="004907F4">
        <w:rPr>
          <w:rFonts w:asciiTheme="majorHAnsi" w:hAnsiTheme="majorHAnsi"/>
          <w:szCs w:val="24"/>
          <w:lang w:val="en-GB"/>
        </w:rPr>
        <w:t xml:space="preserve"> 2</w:t>
      </w:r>
      <w:r>
        <w:rPr>
          <w:rFonts w:asciiTheme="majorHAnsi" w:hAnsiTheme="majorHAnsi"/>
          <w:szCs w:val="24"/>
          <w:lang w:val="en-GB"/>
        </w:rPr>
        <w:t>,</w:t>
      </w:r>
      <w:r w:rsidRPr="004907F4">
        <w:rPr>
          <w:rFonts w:asciiTheme="majorHAnsi" w:hAnsiTheme="majorHAnsi"/>
          <w:szCs w:val="24"/>
          <w:lang w:val="en-GB"/>
        </w:rPr>
        <w:t>000</w:t>
      </w:r>
      <w:r>
        <w:rPr>
          <w:rFonts w:asciiTheme="majorHAnsi" w:hAnsiTheme="majorHAnsi"/>
          <w:szCs w:val="24"/>
          <w:lang w:val="en-GB"/>
        </w:rPr>
        <w:t>€ to</w:t>
      </w:r>
      <w:r w:rsidRPr="004907F4">
        <w:rPr>
          <w:rFonts w:asciiTheme="majorHAnsi" w:hAnsiTheme="majorHAnsi"/>
          <w:szCs w:val="24"/>
          <w:lang w:val="en-GB"/>
        </w:rPr>
        <w:t xml:space="preserve"> 2</w:t>
      </w:r>
      <w:r>
        <w:rPr>
          <w:rFonts w:asciiTheme="majorHAnsi" w:hAnsiTheme="majorHAnsi"/>
          <w:szCs w:val="24"/>
          <w:lang w:val="en-GB"/>
        </w:rPr>
        <w:t xml:space="preserve">,499€ and from </w:t>
      </w:r>
      <w:r w:rsidRPr="004907F4">
        <w:rPr>
          <w:rFonts w:asciiTheme="majorHAnsi" w:hAnsiTheme="majorHAnsi"/>
          <w:szCs w:val="24"/>
          <w:lang w:val="en-GB"/>
        </w:rPr>
        <w:t>2</w:t>
      </w:r>
      <w:r>
        <w:rPr>
          <w:rFonts w:asciiTheme="majorHAnsi" w:hAnsiTheme="majorHAnsi"/>
          <w:szCs w:val="24"/>
          <w:lang w:val="en-GB"/>
        </w:rPr>
        <w:t>,500</w:t>
      </w:r>
      <w:r w:rsidRPr="004907F4">
        <w:rPr>
          <w:rFonts w:asciiTheme="majorHAnsi" w:hAnsiTheme="majorHAnsi"/>
          <w:szCs w:val="24"/>
          <w:lang w:val="en-GB"/>
        </w:rPr>
        <w:t>€</w:t>
      </w:r>
      <w:r>
        <w:rPr>
          <w:rFonts w:asciiTheme="majorHAnsi" w:hAnsiTheme="majorHAnsi"/>
          <w:szCs w:val="24"/>
          <w:lang w:val="en-GB"/>
        </w:rPr>
        <w:t xml:space="preserve">), </w:t>
      </w:r>
      <w:r w:rsidRPr="004907F4">
        <w:rPr>
          <w:rFonts w:asciiTheme="majorHAnsi" w:hAnsiTheme="majorHAnsi"/>
          <w:szCs w:val="24"/>
          <w:lang w:val="en-GB"/>
        </w:rPr>
        <w:t>so each section has a similar weight (about 20%) of the total Spanish households.</w:t>
      </w:r>
      <w:r>
        <w:rPr>
          <w:rFonts w:asciiTheme="majorHAnsi" w:hAnsiTheme="majorHAnsi"/>
          <w:szCs w:val="24"/>
          <w:lang w:val="en-GB"/>
        </w:rPr>
        <w:t xml:space="preserve"> </w:t>
      </w:r>
      <w:r w:rsidRPr="004C2701">
        <w:rPr>
          <w:rFonts w:asciiTheme="majorHAnsi" w:hAnsiTheme="majorHAnsi"/>
          <w:szCs w:val="24"/>
          <w:lang w:val="en-GB"/>
        </w:rPr>
        <w:t>These data have been processed for its presentation at basic prices and have been deflated</w:t>
      </w:r>
      <w:r w:rsidRPr="00416C0D">
        <w:rPr>
          <w:rStyle w:val="Refdenotaalpie"/>
          <w:rFonts w:asciiTheme="majorHAnsi" w:hAnsiTheme="majorHAnsi"/>
          <w:szCs w:val="24"/>
        </w:rPr>
        <w:footnoteReference w:id="2"/>
      </w:r>
      <w:r w:rsidRPr="004C2701">
        <w:rPr>
          <w:rFonts w:asciiTheme="majorHAnsi" w:hAnsiTheme="majorHAnsi"/>
          <w:szCs w:val="24"/>
          <w:lang w:val="en-GB"/>
        </w:rPr>
        <w:t xml:space="preserve">. </w:t>
      </w:r>
    </w:p>
    <w:p w14:paraId="189F5134" w14:textId="77777777" w:rsidR="005D6532" w:rsidRDefault="005D6532" w:rsidP="00F362A0">
      <w:pPr>
        <w:ind w:firstLine="0"/>
        <w:rPr>
          <w:rFonts w:asciiTheme="majorHAnsi" w:hAnsiTheme="majorHAnsi"/>
          <w:szCs w:val="24"/>
          <w:lang w:val="en-GB"/>
        </w:rPr>
      </w:pPr>
      <w:r>
        <w:rPr>
          <w:rFonts w:asciiTheme="majorHAnsi" w:hAnsiTheme="majorHAnsi"/>
          <w:szCs w:val="24"/>
          <w:lang w:val="en-GB"/>
        </w:rPr>
        <w:t>On one hand</w:t>
      </w:r>
      <w:r w:rsidRPr="00135EEB">
        <w:rPr>
          <w:rFonts w:asciiTheme="majorHAnsi" w:hAnsiTheme="majorHAnsi"/>
          <w:szCs w:val="24"/>
          <w:lang w:val="en-GB"/>
        </w:rPr>
        <w:t xml:space="preserve">, the </w:t>
      </w:r>
      <w:r w:rsidRPr="00135EEB">
        <w:rPr>
          <w:rFonts w:asciiTheme="majorHAnsi" w:hAnsiTheme="majorHAnsi"/>
          <w:i/>
          <w:szCs w:val="24"/>
          <w:lang w:val="en-GB"/>
        </w:rPr>
        <w:t>EPF</w:t>
      </w:r>
      <w:r w:rsidRPr="00135EEB">
        <w:rPr>
          <w:rFonts w:asciiTheme="majorHAnsi" w:hAnsiTheme="majorHAnsi"/>
          <w:szCs w:val="24"/>
          <w:lang w:val="en-GB"/>
        </w:rPr>
        <w:t xml:space="preserve"> provides data on </w:t>
      </w:r>
      <w:r>
        <w:rPr>
          <w:rFonts w:asciiTheme="majorHAnsi" w:hAnsiTheme="majorHAnsi"/>
          <w:szCs w:val="24"/>
          <w:lang w:val="en-GB"/>
        </w:rPr>
        <w:t xml:space="preserve">household expenditure with a </w:t>
      </w:r>
      <w:r>
        <w:rPr>
          <w:rFonts w:asciiTheme="majorHAnsi" w:eastAsiaTheme="minorEastAsia" w:hAnsiTheme="majorHAnsi"/>
          <w:szCs w:val="24"/>
          <w:lang w:val="en-GB"/>
        </w:rPr>
        <w:t xml:space="preserve">sectoral aggregation to 48 industries according to </w:t>
      </w:r>
      <w:r w:rsidRPr="00135EEB">
        <w:rPr>
          <w:rFonts w:asciiTheme="majorHAnsi" w:hAnsiTheme="majorHAnsi"/>
          <w:szCs w:val="24"/>
          <w:lang w:val="en-GB"/>
        </w:rPr>
        <w:t>COICOP classification (</w:t>
      </w:r>
      <w:r w:rsidRPr="00135EEB">
        <w:rPr>
          <w:rFonts w:asciiTheme="majorHAnsi" w:hAnsiTheme="majorHAnsi"/>
          <w:szCs w:val="24"/>
          <w:shd w:val="clear" w:color="auto" w:fill="FFFFFF"/>
          <w:lang w:val="en-GB"/>
        </w:rPr>
        <w:t>Classification of individual consumption by purpose)</w:t>
      </w:r>
      <w:r w:rsidRPr="00135EEB">
        <w:rPr>
          <w:rFonts w:asciiTheme="majorHAnsi" w:hAnsiTheme="majorHAnsi"/>
          <w:szCs w:val="24"/>
          <w:lang w:val="en-GB"/>
        </w:rPr>
        <w:t>,</w:t>
      </w:r>
      <w:r>
        <w:rPr>
          <w:rFonts w:asciiTheme="majorHAnsi" w:hAnsiTheme="majorHAnsi"/>
          <w:szCs w:val="24"/>
          <w:lang w:val="en-GB"/>
        </w:rPr>
        <w:t xml:space="preserve"> while</w:t>
      </w:r>
      <w:r w:rsidRPr="00135EEB">
        <w:rPr>
          <w:rFonts w:asciiTheme="majorHAnsi" w:hAnsiTheme="majorHAnsi"/>
          <w:szCs w:val="24"/>
          <w:lang w:val="en-GB"/>
        </w:rPr>
        <w:t xml:space="preserve"> </w:t>
      </w:r>
      <w:r>
        <w:rPr>
          <w:rFonts w:asciiTheme="majorHAnsi" w:hAnsiTheme="majorHAnsi"/>
          <w:szCs w:val="24"/>
          <w:lang w:val="en-GB"/>
        </w:rPr>
        <w:t xml:space="preserve">on the other hand, WIOD data is presented according to </w:t>
      </w:r>
      <w:r w:rsidRPr="00135EEB">
        <w:rPr>
          <w:rFonts w:asciiTheme="majorHAnsi" w:hAnsiTheme="majorHAnsi"/>
          <w:szCs w:val="24"/>
          <w:lang w:val="en-GB"/>
        </w:rPr>
        <w:t>NACE rev. 1</w:t>
      </w:r>
      <w:r>
        <w:rPr>
          <w:rFonts w:asciiTheme="majorHAnsi" w:hAnsiTheme="majorHAnsi"/>
          <w:szCs w:val="24"/>
          <w:lang w:val="en-GB"/>
        </w:rPr>
        <w:t xml:space="preserve"> </w:t>
      </w:r>
      <w:r w:rsidRPr="00135EEB">
        <w:rPr>
          <w:rFonts w:asciiTheme="majorHAnsi" w:hAnsiTheme="majorHAnsi"/>
          <w:szCs w:val="24"/>
          <w:lang w:val="en-GB"/>
        </w:rPr>
        <w:t>classification</w:t>
      </w:r>
      <w:r>
        <w:rPr>
          <w:rFonts w:asciiTheme="majorHAnsi" w:hAnsiTheme="majorHAnsi"/>
          <w:szCs w:val="24"/>
          <w:lang w:val="en-GB"/>
        </w:rPr>
        <w:t xml:space="preserve"> </w:t>
      </w:r>
      <w:r w:rsidRPr="00135EEB">
        <w:rPr>
          <w:rFonts w:asciiTheme="majorHAnsi" w:hAnsiTheme="majorHAnsi"/>
          <w:szCs w:val="24"/>
          <w:lang w:val="en-GB"/>
        </w:rPr>
        <w:t>(</w:t>
      </w:r>
      <w:r w:rsidRPr="00135EEB">
        <w:rPr>
          <w:rFonts w:asciiTheme="majorHAnsi" w:hAnsiTheme="majorHAnsi"/>
          <w:i/>
          <w:szCs w:val="24"/>
          <w:shd w:val="clear" w:color="auto" w:fill="FFFFFF"/>
          <w:lang w:val="en-GB"/>
        </w:rPr>
        <w:t xml:space="preserve">Nomenclature generale des </w:t>
      </w:r>
      <w:r w:rsidRPr="00135EEB">
        <w:rPr>
          <w:rFonts w:asciiTheme="majorHAnsi" w:hAnsiTheme="majorHAnsi"/>
          <w:i/>
          <w:szCs w:val="24"/>
          <w:shd w:val="clear" w:color="auto" w:fill="FFFFFF"/>
          <w:lang w:val="en-GB"/>
        </w:rPr>
        <w:lastRenderedPageBreak/>
        <w:t>Activités économiques dans les Communauté Européenne</w:t>
      </w:r>
      <w:r w:rsidRPr="00135EEB">
        <w:rPr>
          <w:rFonts w:asciiTheme="majorHAnsi" w:hAnsiTheme="majorHAnsi"/>
          <w:szCs w:val="24"/>
          <w:shd w:val="clear" w:color="auto" w:fill="FFFFFF"/>
          <w:lang w:val="en-GB"/>
        </w:rPr>
        <w:t>)</w:t>
      </w:r>
      <w:r>
        <w:rPr>
          <w:rFonts w:asciiTheme="majorHAnsi" w:hAnsiTheme="majorHAnsi"/>
          <w:szCs w:val="24"/>
          <w:lang w:val="en-GB"/>
        </w:rPr>
        <w:t>, t</w:t>
      </w:r>
      <w:r w:rsidRPr="00F858C0">
        <w:rPr>
          <w:rFonts w:asciiTheme="majorHAnsi" w:hAnsiTheme="majorHAnsi"/>
          <w:szCs w:val="24"/>
          <w:lang w:val="en-GB"/>
        </w:rPr>
        <w:t>herefore</w:t>
      </w:r>
      <w:r>
        <w:rPr>
          <w:rFonts w:asciiTheme="majorHAnsi" w:hAnsiTheme="majorHAnsi"/>
          <w:szCs w:val="24"/>
          <w:lang w:val="en-GB"/>
        </w:rPr>
        <w:t>,</w:t>
      </w:r>
      <w:r w:rsidRPr="00F858C0">
        <w:rPr>
          <w:rFonts w:asciiTheme="majorHAnsi" w:hAnsiTheme="majorHAnsi"/>
          <w:szCs w:val="24"/>
          <w:lang w:val="en-GB"/>
        </w:rPr>
        <w:t xml:space="preserve"> a conversion matrix of two databases have been constructed</w:t>
      </w:r>
      <w:r>
        <w:rPr>
          <w:rFonts w:asciiTheme="majorHAnsi" w:hAnsiTheme="majorHAnsi"/>
          <w:szCs w:val="24"/>
          <w:lang w:val="en-GB"/>
        </w:rPr>
        <w:t>.</w:t>
      </w:r>
    </w:p>
    <w:p w14:paraId="32FAF8C8" w14:textId="77777777" w:rsidR="005D6532" w:rsidRDefault="005D6532" w:rsidP="00F362A0">
      <w:pPr>
        <w:ind w:firstLine="0"/>
        <w:rPr>
          <w:rFonts w:asciiTheme="majorHAnsi" w:hAnsiTheme="majorHAnsi"/>
          <w:szCs w:val="24"/>
          <w:lang w:val="en-GB"/>
        </w:rPr>
      </w:pPr>
      <w:r w:rsidRPr="00F858C0">
        <w:rPr>
          <w:rFonts w:asciiTheme="majorHAnsi" w:hAnsiTheme="majorHAnsi"/>
          <w:szCs w:val="24"/>
          <w:lang w:val="en-GB"/>
        </w:rPr>
        <w:t xml:space="preserve">Finally, the </w:t>
      </w:r>
      <w:r w:rsidRPr="000021AD">
        <w:rPr>
          <w:rFonts w:asciiTheme="majorHAnsi" w:hAnsiTheme="majorHAnsi"/>
          <w:i/>
          <w:szCs w:val="24"/>
          <w:lang w:val="en-GB"/>
        </w:rPr>
        <w:t>EPF</w:t>
      </w:r>
      <w:r w:rsidRPr="00F858C0">
        <w:rPr>
          <w:rFonts w:asciiTheme="majorHAnsi" w:hAnsiTheme="majorHAnsi"/>
          <w:szCs w:val="24"/>
          <w:lang w:val="en-GB"/>
        </w:rPr>
        <w:t xml:space="preserve"> does not distinguish between </w:t>
      </w:r>
      <w:r>
        <w:rPr>
          <w:rFonts w:asciiTheme="majorHAnsi" w:hAnsiTheme="majorHAnsi"/>
          <w:szCs w:val="24"/>
          <w:lang w:val="en-GB"/>
        </w:rPr>
        <w:t xml:space="preserve">domestic </w:t>
      </w:r>
      <w:r w:rsidRPr="00F858C0">
        <w:rPr>
          <w:rFonts w:asciiTheme="majorHAnsi" w:hAnsiTheme="majorHAnsi"/>
          <w:szCs w:val="24"/>
          <w:lang w:val="en-GB"/>
        </w:rPr>
        <w:t>co</w:t>
      </w:r>
      <w:r>
        <w:rPr>
          <w:rFonts w:asciiTheme="majorHAnsi" w:hAnsiTheme="majorHAnsi"/>
          <w:szCs w:val="24"/>
          <w:lang w:val="en-GB"/>
        </w:rPr>
        <w:t xml:space="preserve">nsumption and imported </w:t>
      </w:r>
      <w:r w:rsidRPr="00F858C0">
        <w:rPr>
          <w:rFonts w:asciiTheme="majorHAnsi" w:hAnsiTheme="majorHAnsi"/>
          <w:szCs w:val="24"/>
          <w:lang w:val="en-GB"/>
        </w:rPr>
        <w:t>co</w:t>
      </w:r>
      <w:r>
        <w:rPr>
          <w:rFonts w:asciiTheme="majorHAnsi" w:hAnsiTheme="majorHAnsi"/>
          <w:szCs w:val="24"/>
          <w:lang w:val="en-GB"/>
        </w:rPr>
        <w:t xml:space="preserve">nsumption, </w:t>
      </w:r>
      <w:r w:rsidRPr="00F858C0">
        <w:rPr>
          <w:rFonts w:asciiTheme="majorHAnsi" w:hAnsiTheme="majorHAnsi"/>
          <w:szCs w:val="24"/>
          <w:lang w:val="en-GB"/>
        </w:rPr>
        <w:t>this information is obtained</w:t>
      </w:r>
      <w:r>
        <w:rPr>
          <w:rFonts w:asciiTheme="majorHAnsi" w:hAnsiTheme="majorHAnsi"/>
          <w:szCs w:val="24"/>
          <w:lang w:val="en-GB"/>
        </w:rPr>
        <w:t xml:space="preserve"> </w:t>
      </w:r>
      <w:r w:rsidRPr="00F858C0">
        <w:rPr>
          <w:rFonts w:asciiTheme="majorHAnsi" w:hAnsiTheme="majorHAnsi"/>
          <w:szCs w:val="24"/>
          <w:lang w:val="en-GB"/>
        </w:rPr>
        <w:t>by distributing</w:t>
      </w:r>
      <w:r>
        <w:rPr>
          <w:rFonts w:asciiTheme="majorHAnsi" w:hAnsiTheme="majorHAnsi"/>
          <w:szCs w:val="24"/>
          <w:lang w:val="en-GB"/>
        </w:rPr>
        <w:t xml:space="preserve"> </w:t>
      </w:r>
      <w:r w:rsidRPr="00F858C0">
        <w:rPr>
          <w:rFonts w:asciiTheme="majorHAnsi" w:hAnsiTheme="majorHAnsi"/>
          <w:szCs w:val="24"/>
          <w:lang w:val="en-GB"/>
        </w:rPr>
        <w:t>proportionally</w:t>
      </w:r>
      <w:r>
        <w:rPr>
          <w:rFonts w:asciiTheme="majorHAnsi" w:hAnsiTheme="majorHAnsi"/>
          <w:szCs w:val="24"/>
          <w:lang w:val="en-GB"/>
        </w:rPr>
        <w:t xml:space="preserve"> the </w:t>
      </w:r>
      <w:r w:rsidRPr="00F858C0">
        <w:rPr>
          <w:rFonts w:asciiTheme="majorHAnsi" w:hAnsiTheme="majorHAnsi"/>
          <w:szCs w:val="24"/>
          <w:lang w:val="en-GB"/>
        </w:rPr>
        <w:t>consumption</w:t>
      </w:r>
      <w:r w:rsidRPr="00F858C0">
        <w:rPr>
          <w:lang w:val="en-GB"/>
        </w:rPr>
        <w:t xml:space="preserve"> </w:t>
      </w:r>
      <w:r w:rsidRPr="00F858C0">
        <w:rPr>
          <w:rFonts w:asciiTheme="majorHAnsi" w:hAnsiTheme="majorHAnsi"/>
          <w:szCs w:val="24"/>
          <w:lang w:val="en-GB"/>
        </w:rPr>
        <w:t>using the information provided by the</w:t>
      </w:r>
      <w:r>
        <w:rPr>
          <w:rFonts w:asciiTheme="majorHAnsi" w:hAnsiTheme="majorHAnsi"/>
          <w:szCs w:val="24"/>
          <w:lang w:val="en-GB"/>
        </w:rPr>
        <w:t xml:space="preserve"> WIOD </w:t>
      </w:r>
      <w:r w:rsidRPr="00F858C0">
        <w:rPr>
          <w:rFonts w:asciiTheme="majorHAnsi" w:hAnsiTheme="majorHAnsi"/>
          <w:szCs w:val="24"/>
          <w:lang w:val="en-GB"/>
        </w:rPr>
        <w:t>input-output framework</w:t>
      </w:r>
      <w:r w:rsidRPr="000021AD">
        <w:rPr>
          <w:lang w:val="en-GB"/>
        </w:rPr>
        <w:t xml:space="preserve"> </w:t>
      </w:r>
      <w:r w:rsidRPr="000021AD">
        <w:rPr>
          <w:rFonts w:asciiTheme="majorHAnsi" w:hAnsiTheme="majorHAnsi"/>
          <w:szCs w:val="24"/>
          <w:lang w:val="en-GB"/>
        </w:rPr>
        <w:t>and assuming that this distribution is independent of household characteristics</w:t>
      </w:r>
      <w:r>
        <w:rPr>
          <w:rFonts w:asciiTheme="majorHAnsi" w:hAnsiTheme="majorHAnsi"/>
          <w:szCs w:val="24"/>
          <w:lang w:val="en-GB"/>
        </w:rPr>
        <w:t>.</w:t>
      </w:r>
    </w:p>
    <w:p w14:paraId="4B395B9E" w14:textId="77777777" w:rsidR="00EA1E4C" w:rsidRDefault="00EA1E4C" w:rsidP="00F362A0">
      <w:pPr>
        <w:ind w:firstLine="0"/>
        <w:rPr>
          <w:rFonts w:asciiTheme="majorHAnsi" w:hAnsiTheme="majorHAnsi"/>
          <w:szCs w:val="24"/>
          <w:lang w:val="en-GB"/>
        </w:rPr>
      </w:pPr>
    </w:p>
    <w:p w14:paraId="1EBEDCC9" w14:textId="77777777" w:rsidR="00EA1E4C" w:rsidRPr="00FD0D94" w:rsidRDefault="00EA1E4C" w:rsidP="00EA1E4C">
      <w:pPr>
        <w:ind w:firstLine="0"/>
        <w:rPr>
          <w:rFonts w:asciiTheme="majorHAnsi" w:hAnsiTheme="majorHAnsi"/>
          <w:b/>
          <w:lang w:val="en-US"/>
        </w:rPr>
      </w:pPr>
      <w:r w:rsidRPr="00FD0D94">
        <w:rPr>
          <w:rFonts w:asciiTheme="majorHAnsi" w:hAnsiTheme="majorHAnsi"/>
          <w:b/>
          <w:lang w:val="en-US"/>
        </w:rPr>
        <w:t>3. Main results</w:t>
      </w:r>
    </w:p>
    <w:p w14:paraId="1B28D474" w14:textId="0E6C048A" w:rsidR="00EA1E4C" w:rsidRPr="00B401CB" w:rsidRDefault="00EA1E4C" w:rsidP="00EA1E4C">
      <w:pPr>
        <w:ind w:firstLine="0"/>
        <w:rPr>
          <w:rFonts w:asciiTheme="majorHAnsi" w:hAnsiTheme="majorHAnsi"/>
          <w:lang w:val="en-US"/>
        </w:rPr>
      </w:pPr>
      <w:r w:rsidRPr="00B401CB">
        <w:rPr>
          <w:rFonts w:asciiTheme="majorHAnsi" w:hAnsiTheme="majorHAnsi"/>
          <w:lang w:val="en-US"/>
        </w:rPr>
        <w:t>The rhythm of growth reached by the economy since</w:t>
      </w:r>
      <w:r>
        <w:rPr>
          <w:rFonts w:asciiTheme="majorHAnsi" w:hAnsiTheme="majorHAnsi"/>
          <w:lang w:val="en-US"/>
        </w:rPr>
        <w:t xml:space="preserve"> the last years</w:t>
      </w:r>
      <w:r w:rsidRPr="00B401CB">
        <w:rPr>
          <w:rFonts w:asciiTheme="majorHAnsi" w:hAnsiTheme="majorHAnsi"/>
          <w:lang w:val="en-US"/>
        </w:rPr>
        <w:t xml:space="preserve"> </w:t>
      </w:r>
      <w:r>
        <w:rPr>
          <w:rFonts w:asciiTheme="majorHAnsi" w:hAnsiTheme="majorHAnsi"/>
          <w:lang w:val="en-US"/>
        </w:rPr>
        <w:t xml:space="preserve">of the past century suddenly stopped in 2008 because of the burst of the financial and economic crisis. The great job destruction suffered, around 4 million jobs were lost, led to a significant 23.7% average decrease in household consumption between 2006 and </w:t>
      </w:r>
      <w:r w:rsidRPr="00EA1E4C">
        <w:rPr>
          <w:rFonts w:asciiTheme="majorHAnsi" w:hAnsiTheme="majorHAnsi"/>
          <w:lang w:val="en-US"/>
        </w:rPr>
        <w:t>2009, reduction underwent by almost all of the five income tiers considered, except</w:t>
      </w:r>
      <w:r>
        <w:rPr>
          <w:rFonts w:asciiTheme="majorHAnsi" w:hAnsiTheme="majorHAnsi"/>
          <w:lang w:val="en-US"/>
        </w:rPr>
        <w:t xml:space="preserve"> households with an income below 1000 euros per month (Graph 1).</w:t>
      </w:r>
    </w:p>
    <w:p w14:paraId="086B19EB" w14:textId="727C97EC" w:rsidR="00EA1E4C" w:rsidRPr="00705322" w:rsidRDefault="00EA1E4C" w:rsidP="00EA1E4C">
      <w:pPr>
        <w:pStyle w:val="Titulitos"/>
        <w:rPr>
          <w:rFonts w:asciiTheme="majorHAnsi" w:hAnsiTheme="majorHAnsi"/>
          <w:lang w:val="en-US"/>
        </w:rPr>
      </w:pPr>
      <w:bookmarkStart w:id="0" w:name="_Ref361239401"/>
      <w:r w:rsidRPr="00FD0D94">
        <w:rPr>
          <w:rFonts w:asciiTheme="majorHAnsi" w:hAnsiTheme="majorHAnsi"/>
          <w:lang w:val="en-US"/>
        </w:rPr>
        <w:t>Gr</w:t>
      </w:r>
      <w:bookmarkEnd w:id="0"/>
      <w:r>
        <w:rPr>
          <w:rFonts w:asciiTheme="majorHAnsi" w:hAnsiTheme="majorHAnsi"/>
          <w:lang w:val="en-US"/>
        </w:rPr>
        <w:t>aph</w:t>
      </w:r>
      <w:r w:rsidRPr="00FD0D94">
        <w:rPr>
          <w:rFonts w:asciiTheme="majorHAnsi" w:hAnsiTheme="majorHAnsi"/>
          <w:lang w:val="en-US"/>
        </w:rPr>
        <w:t xml:space="preserve"> 1. </w:t>
      </w:r>
      <w:r w:rsidRPr="00705322">
        <w:rPr>
          <w:rFonts w:asciiTheme="majorHAnsi" w:hAnsiTheme="majorHAnsi"/>
          <w:lang w:val="en-US"/>
        </w:rPr>
        <w:t xml:space="preserve">Average household </w:t>
      </w:r>
      <w:r>
        <w:rPr>
          <w:rFonts w:asciiTheme="majorHAnsi" w:hAnsiTheme="majorHAnsi"/>
          <w:lang w:val="en-US"/>
        </w:rPr>
        <w:t xml:space="preserve">final consumption </w:t>
      </w:r>
      <w:r w:rsidRPr="00705322">
        <w:rPr>
          <w:rFonts w:asciiTheme="majorHAnsi" w:hAnsiTheme="majorHAnsi"/>
          <w:lang w:val="en-US"/>
        </w:rPr>
        <w:t>spending</w:t>
      </w:r>
      <w:r>
        <w:rPr>
          <w:rFonts w:asciiTheme="majorHAnsi" w:hAnsiTheme="majorHAnsi"/>
          <w:lang w:val="en-US"/>
        </w:rPr>
        <w:t xml:space="preserve">, by income tier (euros at </w:t>
      </w:r>
      <w:r w:rsidRPr="00705322">
        <w:rPr>
          <w:rFonts w:asciiTheme="majorHAnsi" w:hAnsiTheme="majorHAnsi"/>
          <w:lang w:val="en-US"/>
        </w:rPr>
        <w:t>constant prices</w:t>
      </w:r>
      <w:r>
        <w:rPr>
          <w:rFonts w:asciiTheme="majorHAnsi" w:hAnsiTheme="majorHAnsi"/>
          <w:lang w:val="en-US"/>
        </w:rPr>
        <w:t>).</w:t>
      </w:r>
    </w:p>
    <w:p w14:paraId="0FCE138E" w14:textId="77777777" w:rsidR="00EA1E4C" w:rsidRDefault="00EA1E4C" w:rsidP="00EA1E4C">
      <w:pPr>
        <w:pStyle w:val="Subtitulitos"/>
        <w:rPr>
          <w:rFonts w:asciiTheme="majorHAnsi" w:hAnsiTheme="majorHAnsi"/>
        </w:rPr>
      </w:pPr>
      <w:r w:rsidRPr="00705322">
        <w:rPr>
          <w:rFonts w:asciiTheme="majorHAnsi" w:hAnsiTheme="majorHAnsi"/>
        </w:rPr>
        <w:t xml:space="preserve">Source: </w:t>
      </w:r>
      <w:r>
        <w:rPr>
          <w:rFonts w:asciiTheme="majorHAnsi" w:hAnsiTheme="majorHAnsi"/>
        </w:rPr>
        <w:t>Instituto Nacional de Estadística (INE).</w:t>
      </w:r>
    </w:p>
    <w:p w14:paraId="6FD0F77D" w14:textId="77777777" w:rsidR="00EA1E4C" w:rsidRDefault="00EA1E4C" w:rsidP="00EA1E4C">
      <w:pPr>
        <w:ind w:firstLine="0"/>
        <w:rPr>
          <w:rFonts w:asciiTheme="majorHAnsi" w:hAnsiTheme="majorHAnsi"/>
        </w:rPr>
      </w:pPr>
      <w:r>
        <w:rPr>
          <w:rFonts w:asciiTheme="majorHAnsi" w:hAnsiTheme="majorHAnsi"/>
          <w:noProof/>
          <w:lang w:val="en-GB" w:eastAsia="en-GB"/>
        </w:rPr>
        <w:drawing>
          <wp:inline distT="0" distB="0" distL="0" distR="0" wp14:anchorId="423E763C" wp14:editId="714AC0DF">
            <wp:extent cx="5400675" cy="27051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B36C7F" w14:textId="308F3462" w:rsidR="00EA1E4C" w:rsidRPr="00FD0D94" w:rsidRDefault="00EA1E4C" w:rsidP="00EA1E4C">
      <w:pPr>
        <w:ind w:firstLine="0"/>
        <w:rPr>
          <w:rFonts w:asciiTheme="majorHAnsi" w:hAnsiTheme="majorHAnsi"/>
          <w:lang w:val="en-US"/>
        </w:rPr>
      </w:pPr>
      <w:bookmarkStart w:id="1" w:name="_Ref361239461"/>
      <w:bookmarkStart w:id="2" w:name="_Ref360979171"/>
      <w:r w:rsidRPr="00C102B8">
        <w:rPr>
          <w:rFonts w:asciiTheme="majorHAnsi" w:hAnsiTheme="majorHAnsi"/>
          <w:lang w:val="en-US"/>
        </w:rPr>
        <w:t>A big part of this household</w:t>
      </w:r>
      <w:r>
        <w:rPr>
          <w:rFonts w:asciiTheme="majorHAnsi" w:hAnsiTheme="majorHAnsi"/>
          <w:lang w:val="en-US"/>
        </w:rPr>
        <w:t>’s</w:t>
      </w:r>
      <w:r w:rsidRPr="00C102B8">
        <w:rPr>
          <w:rFonts w:asciiTheme="majorHAnsi" w:hAnsiTheme="majorHAnsi"/>
          <w:lang w:val="en-US"/>
        </w:rPr>
        <w:t xml:space="preserve"> spending goes in 2009 to Real Estate Activities, followed in importance by spending in Hotels and Restaurants, </w:t>
      </w:r>
      <w:r>
        <w:rPr>
          <w:rFonts w:asciiTheme="majorHAnsi" w:hAnsiTheme="majorHAnsi"/>
          <w:lang w:val="en-US"/>
        </w:rPr>
        <w:t xml:space="preserve">Retail and Wholesale </w:t>
      </w:r>
      <w:r>
        <w:rPr>
          <w:rFonts w:asciiTheme="majorHAnsi" w:hAnsiTheme="majorHAnsi"/>
          <w:lang w:val="en-US"/>
        </w:rPr>
        <w:lastRenderedPageBreak/>
        <w:t xml:space="preserve">Trade, energy and Food (Graph 2). Average consumption per household in Spain reached 36.236,50 euros in 2006. The economic crisis sank the income of the families which, nevertheless, had to face several fixed costs in terms of rental </w:t>
      </w:r>
      <w:r w:rsidRPr="00EA1E4C">
        <w:rPr>
          <w:rFonts w:asciiTheme="majorHAnsi" w:hAnsiTheme="majorHAnsi"/>
          <w:lang w:val="en-US"/>
        </w:rPr>
        <w:t>expenses and/or necessary electricity and water supply, increasing the importance</w:t>
      </w:r>
      <w:r w:rsidRPr="00A95F1B">
        <w:rPr>
          <w:rFonts w:asciiTheme="majorHAnsi" w:hAnsiTheme="majorHAnsi"/>
          <w:lang w:val="en-US"/>
        </w:rPr>
        <w:t xml:space="preserve"> </w:t>
      </w:r>
      <w:r w:rsidRPr="00EA1E4C">
        <w:rPr>
          <w:rFonts w:asciiTheme="majorHAnsi" w:hAnsiTheme="majorHAnsi"/>
          <w:lang w:val="en-US"/>
        </w:rPr>
        <w:t>on these fixed costs, in absolute and relative terms, in the consumer basket of households (from 31.25% in 2006 to 26.92% in 2009). As a result, spending in consumption goods is reduced (19.26% in 2006, 22.80% in 2009). Meanwhile,</w:t>
      </w:r>
      <w:r w:rsidRPr="00A95F1B">
        <w:rPr>
          <w:rFonts w:asciiTheme="majorHAnsi" w:hAnsiTheme="majorHAnsi"/>
          <w:lang w:val="en-US"/>
        </w:rPr>
        <w:t xml:space="preserve"> spending in other services doesn’t change</w:t>
      </w:r>
      <w:r>
        <w:rPr>
          <w:rFonts w:asciiTheme="majorHAnsi" w:hAnsiTheme="majorHAnsi"/>
          <w:lang w:val="en-US"/>
        </w:rPr>
        <w:t xml:space="preserve"> too much (from 13.</w:t>
      </w:r>
      <w:r w:rsidRPr="00B4164B">
        <w:rPr>
          <w:rFonts w:asciiTheme="majorHAnsi" w:hAnsiTheme="majorHAnsi"/>
          <w:lang w:val="en-US"/>
        </w:rPr>
        <w:t>40% in 2006 to 13.86</w:t>
      </w:r>
      <w:r>
        <w:rPr>
          <w:rFonts w:asciiTheme="majorHAnsi" w:hAnsiTheme="majorHAnsi"/>
          <w:lang w:val="en-US"/>
        </w:rPr>
        <w:t>% in 2009), although some of these services experienced an increase, like Post and Telecommunications (4%) and Air Transport (5%).</w:t>
      </w:r>
    </w:p>
    <w:p w14:paraId="0456282C" w14:textId="317C9C94" w:rsidR="00EA1E4C" w:rsidRPr="00C639C7" w:rsidRDefault="00EA1E4C" w:rsidP="00EA1E4C">
      <w:pPr>
        <w:pStyle w:val="Titulitos"/>
        <w:rPr>
          <w:rFonts w:asciiTheme="majorHAnsi" w:hAnsiTheme="majorHAnsi"/>
          <w:lang w:val="en-US"/>
        </w:rPr>
      </w:pPr>
      <w:r>
        <w:rPr>
          <w:rFonts w:asciiTheme="majorHAnsi" w:hAnsiTheme="majorHAnsi"/>
          <w:lang w:val="en-US"/>
        </w:rPr>
        <w:t>Graph</w:t>
      </w:r>
      <w:r w:rsidRPr="00FD0D94">
        <w:rPr>
          <w:rFonts w:asciiTheme="majorHAnsi" w:hAnsiTheme="majorHAnsi"/>
          <w:lang w:val="en-US"/>
        </w:rPr>
        <w:t xml:space="preserve"> </w:t>
      </w:r>
      <w:bookmarkEnd w:id="1"/>
      <w:bookmarkEnd w:id="2"/>
      <w:r w:rsidRPr="00FD0D94">
        <w:rPr>
          <w:rFonts w:asciiTheme="majorHAnsi" w:hAnsiTheme="majorHAnsi"/>
          <w:lang w:val="en-US"/>
        </w:rPr>
        <w:t xml:space="preserve">2. </w:t>
      </w:r>
      <w:r w:rsidRPr="00C639C7">
        <w:rPr>
          <w:rFonts w:asciiTheme="majorHAnsi" w:hAnsiTheme="majorHAnsi"/>
          <w:lang w:val="en-US"/>
        </w:rPr>
        <w:t>Average consumption spending per household (euros).</w:t>
      </w:r>
    </w:p>
    <w:p w14:paraId="784FBFE7" w14:textId="77777777" w:rsidR="00EA1E4C" w:rsidRPr="00C639C7" w:rsidRDefault="00EA1E4C" w:rsidP="00EA1E4C">
      <w:pPr>
        <w:pStyle w:val="Subtitulitos"/>
        <w:rPr>
          <w:rFonts w:asciiTheme="majorHAnsi" w:hAnsiTheme="majorHAnsi"/>
          <w:lang w:val="en-US"/>
        </w:rPr>
      </w:pPr>
      <w:r w:rsidRPr="00C639C7">
        <w:rPr>
          <w:rFonts w:asciiTheme="majorHAnsi" w:hAnsiTheme="majorHAnsi"/>
          <w:lang w:val="en-US"/>
        </w:rPr>
        <w:t>Source: own estimations</w:t>
      </w:r>
      <w:r>
        <w:rPr>
          <w:rFonts w:asciiTheme="majorHAnsi" w:hAnsiTheme="majorHAnsi"/>
          <w:lang w:val="en-US"/>
        </w:rPr>
        <w:t xml:space="preserve"> using </w:t>
      </w:r>
      <w:r w:rsidRPr="00C639C7">
        <w:rPr>
          <w:rFonts w:asciiTheme="majorHAnsi" w:hAnsiTheme="majorHAnsi"/>
          <w:lang w:val="en-US"/>
        </w:rPr>
        <w:t>INE data.</w:t>
      </w:r>
    </w:p>
    <w:p w14:paraId="2681E94C" w14:textId="77777777" w:rsidR="00EA1E4C" w:rsidRDefault="00EA1E4C" w:rsidP="00EA1E4C">
      <w:pPr>
        <w:ind w:firstLine="0"/>
        <w:rPr>
          <w:rFonts w:asciiTheme="majorHAnsi" w:hAnsiTheme="majorHAnsi"/>
        </w:rPr>
      </w:pPr>
      <w:r>
        <w:rPr>
          <w:rFonts w:asciiTheme="majorHAnsi" w:hAnsiTheme="majorHAnsi"/>
          <w:noProof/>
          <w:lang w:val="en-GB" w:eastAsia="en-GB"/>
        </w:rPr>
        <w:drawing>
          <wp:inline distT="0" distB="0" distL="0" distR="0" wp14:anchorId="5BD62C7D" wp14:editId="42758C74">
            <wp:extent cx="5410200" cy="41910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DFBD22" w14:textId="2FE97DFE" w:rsidR="00EA1E4C" w:rsidRPr="00FD0D94" w:rsidRDefault="00EA1E4C" w:rsidP="00EA1E4C">
      <w:pPr>
        <w:ind w:firstLine="0"/>
        <w:rPr>
          <w:rFonts w:asciiTheme="majorHAnsi" w:hAnsiTheme="majorHAnsi"/>
          <w:lang w:val="en-US"/>
        </w:rPr>
      </w:pPr>
      <w:bookmarkStart w:id="3" w:name="_Ref360979103"/>
      <w:bookmarkStart w:id="4" w:name="_Ref360902514"/>
      <w:r>
        <w:rPr>
          <w:rFonts w:asciiTheme="majorHAnsi" w:hAnsiTheme="majorHAnsi"/>
          <w:lang w:val="en-US"/>
        </w:rPr>
        <w:t>The d</w:t>
      </w:r>
      <w:r w:rsidRPr="00FD0D94">
        <w:rPr>
          <w:rFonts w:asciiTheme="majorHAnsi" w:hAnsiTheme="majorHAnsi"/>
          <w:lang w:val="en-US"/>
        </w:rPr>
        <w:t>i</w:t>
      </w:r>
      <w:r>
        <w:rPr>
          <w:rFonts w:asciiTheme="majorHAnsi" w:hAnsiTheme="majorHAnsi"/>
          <w:lang w:val="en-US"/>
        </w:rPr>
        <w:t xml:space="preserve">stribution of consumption among the different </w:t>
      </w:r>
      <w:r w:rsidRPr="00FD0D94">
        <w:rPr>
          <w:rFonts w:asciiTheme="majorHAnsi" w:hAnsiTheme="majorHAnsi"/>
          <w:lang w:val="en-US"/>
        </w:rPr>
        <w:t xml:space="preserve">spending </w:t>
      </w:r>
      <w:r>
        <w:rPr>
          <w:rFonts w:asciiTheme="majorHAnsi" w:hAnsiTheme="majorHAnsi"/>
          <w:lang w:val="en-US"/>
        </w:rPr>
        <w:t xml:space="preserve">groups, according to each income level, reveals interesting relationships (Graph 3). In relation to income category, we find a clear downtrend in the share of household’s rental expenses and </w:t>
      </w:r>
      <w:r>
        <w:rPr>
          <w:rFonts w:asciiTheme="majorHAnsi" w:hAnsiTheme="majorHAnsi"/>
          <w:lang w:val="en-US"/>
        </w:rPr>
        <w:lastRenderedPageBreak/>
        <w:t>mortgage payments in total spending as income increases. While households with less incomes dedicated in 2006 a 31.03% of their total spending to this category (31.87% in 2009), high income households dedicated just a 16.58% of their total spending in the same year (20.39% in 2009). We observe that, while there is an inverse relationship between income level and the share of food, energy and water spending in total consumption, the relationship is direct for transport, post and telecommunications and goods and services consumption spending.</w:t>
      </w:r>
    </w:p>
    <w:p w14:paraId="0267A7DC" w14:textId="77777777" w:rsidR="00EA1E4C" w:rsidRPr="0093154B" w:rsidRDefault="00EA1E4C" w:rsidP="00EA1E4C">
      <w:pPr>
        <w:pStyle w:val="Titulitos"/>
        <w:rPr>
          <w:rFonts w:asciiTheme="majorHAnsi" w:hAnsiTheme="majorHAnsi"/>
          <w:lang w:val="en-US"/>
        </w:rPr>
      </w:pPr>
      <w:bookmarkStart w:id="5" w:name="_Ref361250422"/>
    </w:p>
    <w:p w14:paraId="5D9F429D" w14:textId="686458F6" w:rsidR="00EA1E4C" w:rsidRPr="0093154B" w:rsidRDefault="00EA1E4C" w:rsidP="00EA1E4C">
      <w:pPr>
        <w:pStyle w:val="Titulitos"/>
        <w:rPr>
          <w:rFonts w:asciiTheme="majorHAnsi" w:hAnsiTheme="majorHAnsi"/>
          <w:lang w:val="en-US"/>
        </w:rPr>
      </w:pPr>
      <w:r w:rsidRPr="0093154B">
        <w:rPr>
          <w:rFonts w:asciiTheme="majorHAnsi" w:hAnsiTheme="majorHAnsi"/>
          <w:lang w:val="en-US"/>
        </w:rPr>
        <w:t xml:space="preserve">Graph </w:t>
      </w:r>
      <w:bookmarkEnd w:id="3"/>
      <w:bookmarkEnd w:id="5"/>
      <w:r w:rsidRPr="0093154B">
        <w:rPr>
          <w:rFonts w:asciiTheme="majorHAnsi" w:hAnsiTheme="majorHAnsi"/>
          <w:lang w:val="en-US"/>
        </w:rPr>
        <w:t>3. Households’ consumption patterns by major sectors and income level in 2009 (% over total spending)</w:t>
      </w:r>
      <w:bookmarkEnd w:id="4"/>
    </w:p>
    <w:p w14:paraId="41CB7ADF" w14:textId="4752ADE0" w:rsidR="00EA1E4C" w:rsidRPr="00C639C7" w:rsidRDefault="00EA1E4C" w:rsidP="00EA1E4C">
      <w:pPr>
        <w:pStyle w:val="Subtitulitos"/>
        <w:rPr>
          <w:rFonts w:asciiTheme="majorHAnsi" w:hAnsiTheme="majorHAnsi"/>
          <w:lang w:val="en-US"/>
        </w:rPr>
      </w:pPr>
      <w:r w:rsidRPr="00C639C7">
        <w:rPr>
          <w:rFonts w:asciiTheme="majorHAnsi" w:hAnsiTheme="majorHAnsi"/>
          <w:lang w:val="en-US"/>
        </w:rPr>
        <w:t>Source: own estimations</w:t>
      </w:r>
      <w:r>
        <w:rPr>
          <w:rFonts w:asciiTheme="majorHAnsi" w:hAnsiTheme="majorHAnsi"/>
          <w:lang w:val="en-US"/>
        </w:rPr>
        <w:t xml:space="preserve"> using </w:t>
      </w:r>
      <w:r w:rsidRPr="00C639C7">
        <w:rPr>
          <w:rFonts w:asciiTheme="majorHAnsi" w:hAnsiTheme="majorHAnsi"/>
          <w:lang w:val="en-US"/>
        </w:rPr>
        <w:t>INE</w:t>
      </w:r>
      <w:r>
        <w:rPr>
          <w:rFonts w:asciiTheme="majorHAnsi" w:hAnsiTheme="majorHAnsi"/>
          <w:lang w:val="en-US"/>
        </w:rPr>
        <w:t xml:space="preserve"> and WIOD</w:t>
      </w:r>
      <w:r w:rsidRPr="00C639C7">
        <w:rPr>
          <w:rFonts w:asciiTheme="majorHAnsi" w:hAnsiTheme="majorHAnsi"/>
          <w:lang w:val="en-US"/>
        </w:rPr>
        <w:t xml:space="preserve"> data.</w:t>
      </w:r>
    </w:p>
    <w:p w14:paraId="363594D4" w14:textId="77777777" w:rsidR="00EA1E4C" w:rsidRDefault="00EA1E4C" w:rsidP="00EA1E4C">
      <w:pPr>
        <w:ind w:firstLine="0"/>
        <w:rPr>
          <w:rFonts w:asciiTheme="majorHAnsi" w:hAnsiTheme="majorHAnsi"/>
        </w:rPr>
      </w:pPr>
      <w:r>
        <w:rPr>
          <w:rFonts w:asciiTheme="majorHAnsi" w:hAnsiTheme="majorHAnsi"/>
          <w:noProof/>
          <w:lang w:val="en-GB" w:eastAsia="en-GB"/>
        </w:rPr>
        <w:drawing>
          <wp:inline distT="0" distB="0" distL="0" distR="0" wp14:anchorId="329A1E33" wp14:editId="5D855F1F">
            <wp:extent cx="5400675" cy="277177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9B5E5C" w14:textId="77777777" w:rsidR="00EA1E4C" w:rsidRDefault="00EA1E4C" w:rsidP="00EA1E4C">
      <w:pPr>
        <w:ind w:firstLine="0"/>
        <w:rPr>
          <w:rFonts w:asciiTheme="majorHAnsi" w:hAnsiTheme="majorHAnsi"/>
          <w:lang w:val="en-US"/>
        </w:rPr>
      </w:pPr>
      <w:r w:rsidRPr="00A8168B">
        <w:rPr>
          <w:rFonts w:asciiTheme="majorHAnsi" w:hAnsiTheme="majorHAnsi"/>
          <w:lang w:val="en-US"/>
        </w:rPr>
        <w:t xml:space="preserve">These trends observed in 2006 </w:t>
      </w:r>
      <w:r>
        <w:rPr>
          <w:rFonts w:asciiTheme="majorHAnsi" w:hAnsiTheme="majorHAnsi"/>
          <w:lang w:val="en-US"/>
        </w:rPr>
        <w:t>occur in the same way in 2009, but with fewer variations. Spending in Hotels and Restaurants does not show big changes neither between 2006 and 2009, neither between income tiers, but it is true that the spending of the middle income households in this category is slightly higher than in the rest of household types. Economic crisis hasn’t changed Food consumption of the families; on the contrary, it has changed the values of consumption spending in Transport and Communications and Energy. Energy spending has reduced around a 9% for all income levels, except for those households with less incomes than 1000 euros per month, where spending in this necessary services has increased a 15.18%.</w:t>
      </w:r>
    </w:p>
    <w:p w14:paraId="237FC4FE" w14:textId="77777777" w:rsidR="00EA1E4C" w:rsidRPr="00EA1E4C" w:rsidRDefault="00EA1E4C" w:rsidP="00EA1E4C">
      <w:pPr>
        <w:ind w:firstLine="0"/>
        <w:rPr>
          <w:rFonts w:asciiTheme="majorHAnsi" w:hAnsiTheme="majorHAnsi"/>
          <w:lang w:val="en-GB"/>
        </w:rPr>
      </w:pPr>
      <w:r w:rsidRPr="0093154B">
        <w:rPr>
          <w:rFonts w:asciiTheme="majorHAnsi" w:hAnsiTheme="majorHAnsi"/>
          <w:lang w:val="en-US"/>
        </w:rPr>
        <w:lastRenderedPageBreak/>
        <w:t xml:space="preserve">There are some sectors where almost all households’ consumption is domestic; as Energy, Trade sectors, Hotels and Restaurants, Real Estate sector, Health and Education. </w:t>
      </w:r>
      <w:r w:rsidRPr="00C16539">
        <w:rPr>
          <w:rFonts w:asciiTheme="majorHAnsi" w:hAnsiTheme="majorHAnsi"/>
          <w:lang w:val="en-US"/>
        </w:rPr>
        <w:t xml:space="preserve">Final domestic consumption is also high in the rest of sector related with the rest of services. </w:t>
      </w:r>
      <w:r w:rsidRPr="00EA1E4C">
        <w:rPr>
          <w:rFonts w:asciiTheme="majorHAnsi" w:hAnsiTheme="majorHAnsi"/>
          <w:lang w:val="en-GB"/>
        </w:rPr>
        <w:t xml:space="preserve">In the other hand, those sectors with a greater share of imports in final consumption are Textile, Electrical and Optical Equipment, Leather and Footwear, Chemicals and Plastics. </w:t>
      </w:r>
    </w:p>
    <w:p w14:paraId="1DB19F71" w14:textId="4BBBF870" w:rsidR="00EA1E4C" w:rsidRDefault="00EA1E4C" w:rsidP="00EA1E4C">
      <w:pPr>
        <w:ind w:firstLine="0"/>
        <w:rPr>
          <w:lang w:val="en-US"/>
        </w:rPr>
      </w:pPr>
      <w:r w:rsidRPr="00C16539">
        <w:rPr>
          <w:lang w:val="en-US"/>
        </w:rPr>
        <w:t>Carbon Footprint linked to household consumption reaches 163.931,12 kt of CO</w:t>
      </w:r>
      <w:r w:rsidRPr="00C16539">
        <w:rPr>
          <w:vertAlign w:val="subscript"/>
          <w:lang w:val="en-US"/>
        </w:rPr>
        <w:t>2</w:t>
      </w:r>
      <w:r w:rsidRPr="00C16539">
        <w:rPr>
          <w:lang w:val="en-US"/>
        </w:rPr>
        <w:t xml:space="preserve"> in 2006, and 130.780,38 kt of CO</w:t>
      </w:r>
      <w:r w:rsidRPr="00C16539">
        <w:rPr>
          <w:vertAlign w:val="subscript"/>
          <w:lang w:val="en-US"/>
        </w:rPr>
        <w:t>2</w:t>
      </w:r>
      <w:r>
        <w:rPr>
          <w:lang w:val="en-US"/>
        </w:rPr>
        <w:t xml:space="preserve"> in 2009, a 20.</w:t>
      </w:r>
      <w:r w:rsidRPr="00C16539">
        <w:rPr>
          <w:lang w:val="en-US"/>
        </w:rPr>
        <w:t xml:space="preserve">22% </w:t>
      </w:r>
      <w:r>
        <w:rPr>
          <w:lang w:val="en-US"/>
        </w:rPr>
        <w:t>less</w:t>
      </w:r>
      <w:r w:rsidRPr="00C16539">
        <w:rPr>
          <w:lang w:val="en-US"/>
        </w:rPr>
        <w:t xml:space="preserve">. </w:t>
      </w:r>
      <w:r>
        <w:rPr>
          <w:lang w:val="en-US"/>
        </w:rPr>
        <w:t>In relative terms, consumption related Carbon Footprint represents around 55% over the total Spanish Carbon Footprint. The distribution of this CF by household type depends on the number of households in each group and on the spending that these afford. Although between 2006 and 2009 the CF has been reduced for all household type, the reductions are quite different according to these types and they oscillate between the 6.58% reduction for households with incomes above 2500 euros per month and the 33% reduction for those with inco</w:t>
      </w:r>
      <w:r w:rsidR="009862DC">
        <w:rPr>
          <w:lang w:val="en-US"/>
        </w:rPr>
        <w:t>mes between 1500 and 1999 euros (Graph 4).</w:t>
      </w:r>
    </w:p>
    <w:p w14:paraId="567266CE" w14:textId="25552414" w:rsidR="009862DC" w:rsidRPr="0093154B" w:rsidRDefault="009862DC" w:rsidP="009862DC">
      <w:pPr>
        <w:pStyle w:val="Titulitos"/>
        <w:rPr>
          <w:rFonts w:asciiTheme="majorHAnsi" w:hAnsiTheme="majorHAnsi"/>
          <w:lang w:val="en-US"/>
        </w:rPr>
      </w:pPr>
      <w:r w:rsidRPr="0093154B">
        <w:rPr>
          <w:rFonts w:asciiTheme="majorHAnsi" w:hAnsiTheme="majorHAnsi"/>
          <w:lang w:val="en-US"/>
        </w:rPr>
        <w:t xml:space="preserve">Graph </w:t>
      </w:r>
      <w:r>
        <w:rPr>
          <w:rFonts w:asciiTheme="majorHAnsi" w:hAnsiTheme="majorHAnsi"/>
          <w:lang w:val="en-US"/>
        </w:rPr>
        <w:t>4</w:t>
      </w:r>
      <w:r w:rsidRPr="0093154B">
        <w:rPr>
          <w:rFonts w:asciiTheme="majorHAnsi" w:hAnsiTheme="majorHAnsi"/>
          <w:lang w:val="en-US"/>
        </w:rPr>
        <w:t xml:space="preserve">. </w:t>
      </w:r>
      <w:r>
        <w:rPr>
          <w:rFonts w:asciiTheme="majorHAnsi" w:hAnsiTheme="majorHAnsi"/>
          <w:lang w:val="en-US"/>
        </w:rPr>
        <w:t>Relative carbon footprint (</w:t>
      </w:r>
      <w:r w:rsidRPr="009862DC">
        <w:rPr>
          <w:rFonts w:asciiTheme="majorHAnsi" w:hAnsiTheme="majorHAnsi"/>
          <w:lang w:val="en-US"/>
        </w:rPr>
        <w:t>ktCO</w:t>
      </w:r>
      <w:r>
        <w:rPr>
          <w:rFonts w:asciiTheme="majorHAnsi" w:hAnsiTheme="majorHAnsi"/>
          <w:vertAlign w:val="subscript"/>
          <w:lang w:val="en-US"/>
        </w:rPr>
        <w:t>2</w:t>
      </w:r>
      <w:r>
        <w:rPr>
          <w:rFonts w:asciiTheme="majorHAnsi" w:hAnsiTheme="majorHAnsi"/>
          <w:lang w:val="en-US"/>
        </w:rPr>
        <w:t xml:space="preserve"> per Euro spent) and by type of household</w:t>
      </w:r>
    </w:p>
    <w:p w14:paraId="7DDEDB6E" w14:textId="77777777" w:rsidR="009862DC" w:rsidRPr="00C639C7" w:rsidRDefault="009862DC" w:rsidP="009862DC">
      <w:pPr>
        <w:pStyle w:val="Subtitulitos"/>
        <w:rPr>
          <w:rFonts w:asciiTheme="majorHAnsi" w:hAnsiTheme="majorHAnsi"/>
          <w:lang w:val="en-US"/>
        </w:rPr>
      </w:pPr>
      <w:r w:rsidRPr="00C639C7">
        <w:rPr>
          <w:rFonts w:asciiTheme="majorHAnsi" w:hAnsiTheme="majorHAnsi"/>
          <w:lang w:val="en-US"/>
        </w:rPr>
        <w:t>Source: own estimations</w:t>
      </w:r>
      <w:r>
        <w:rPr>
          <w:rFonts w:asciiTheme="majorHAnsi" w:hAnsiTheme="majorHAnsi"/>
          <w:lang w:val="en-US"/>
        </w:rPr>
        <w:t xml:space="preserve"> using </w:t>
      </w:r>
      <w:r w:rsidRPr="00C639C7">
        <w:rPr>
          <w:rFonts w:asciiTheme="majorHAnsi" w:hAnsiTheme="majorHAnsi"/>
          <w:lang w:val="en-US"/>
        </w:rPr>
        <w:t>INE</w:t>
      </w:r>
      <w:r>
        <w:rPr>
          <w:rFonts w:asciiTheme="majorHAnsi" w:hAnsiTheme="majorHAnsi"/>
          <w:lang w:val="en-US"/>
        </w:rPr>
        <w:t xml:space="preserve"> and WIOD</w:t>
      </w:r>
      <w:r w:rsidRPr="00C639C7">
        <w:rPr>
          <w:rFonts w:asciiTheme="majorHAnsi" w:hAnsiTheme="majorHAnsi"/>
          <w:lang w:val="en-US"/>
        </w:rPr>
        <w:t xml:space="preserve"> data.</w:t>
      </w:r>
    </w:p>
    <w:p w14:paraId="1CEF6B48" w14:textId="27F36B78" w:rsidR="009862DC" w:rsidRDefault="009862DC" w:rsidP="00EA1E4C">
      <w:pPr>
        <w:ind w:firstLine="0"/>
        <w:rPr>
          <w:lang w:val="en-US"/>
        </w:rPr>
      </w:pPr>
      <w:r>
        <w:rPr>
          <w:noProof/>
          <w:lang w:val="en-GB" w:eastAsia="en-GB"/>
        </w:rPr>
        <w:drawing>
          <wp:inline distT="0" distB="0" distL="0" distR="0" wp14:anchorId="406EAAEB" wp14:editId="28E92E33">
            <wp:extent cx="5400040" cy="2700020"/>
            <wp:effectExtent l="0" t="0" r="0" b="508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9434EB" w14:textId="77777777" w:rsidR="00EA1E4C" w:rsidRDefault="00EA1E4C" w:rsidP="00FF615D">
      <w:pPr>
        <w:ind w:firstLine="0"/>
        <w:rPr>
          <w:rFonts w:asciiTheme="majorHAnsi" w:hAnsiTheme="majorHAnsi"/>
          <w:b/>
          <w:color w:val="C0504D" w:themeColor="accent2"/>
          <w:lang w:val="en-US"/>
        </w:rPr>
      </w:pPr>
    </w:p>
    <w:p w14:paraId="61BBFE02" w14:textId="77777777" w:rsidR="00787D4A" w:rsidRPr="00EA1E4C" w:rsidRDefault="00787D4A" w:rsidP="00FF615D">
      <w:pPr>
        <w:ind w:firstLine="0"/>
        <w:rPr>
          <w:rFonts w:asciiTheme="majorHAnsi" w:hAnsiTheme="majorHAnsi"/>
          <w:b/>
          <w:color w:val="C0504D" w:themeColor="accent2"/>
          <w:lang w:val="en-US"/>
        </w:rPr>
      </w:pPr>
    </w:p>
    <w:p w14:paraId="0167F3CA" w14:textId="05B28402" w:rsidR="00174A4E" w:rsidRPr="00F52B4D" w:rsidRDefault="00BF013C" w:rsidP="00FF615D">
      <w:pPr>
        <w:ind w:firstLine="0"/>
        <w:rPr>
          <w:rFonts w:asciiTheme="majorHAnsi" w:hAnsiTheme="majorHAnsi"/>
          <w:b/>
          <w:lang w:val="en-GB"/>
        </w:rPr>
      </w:pPr>
      <w:r w:rsidRPr="00F52B4D">
        <w:rPr>
          <w:rFonts w:asciiTheme="majorHAnsi" w:hAnsiTheme="majorHAnsi"/>
          <w:b/>
          <w:lang w:val="en-GB"/>
        </w:rPr>
        <w:lastRenderedPageBreak/>
        <w:t xml:space="preserve">4. </w:t>
      </w:r>
      <w:r w:rsidR="00075505" w:rsidRPr="00F52B4D">
        <w:rPr>
          <w:rFonts w:asciiTheme="majorHAnsi" w:hAnsiTheme="majorHAnsi"/>
          <w:b/>
          <w:lang w:val="en-GB"/>
        </w:rPr>
        <w:t>Households ‘materials</w:t>
      </w:r>
      <w:r w:rsidR="00F52B4D" w:rsidRPr="00F52B4D">
        <w:rPr>
          <w:rFonts w:asciiTheme="majorHAnsi" w:hAnsiTheme="majorHAnsi"/>
          <w:b/>
          <w:lang w:val="en-GB"/>
        </w:rPr>
        <w:t xml:space="preserve"> footprint</w:t>
      </w:r>
    </w:p>
    <w:p w14:paraId="2E436A86" w14:textId="0CE7BC77" w:rsidR="00EA1E4C" w:rsidRDefault="00F52B4D" w:rsidP="00787D4A">
      <w:pPr>
        <w:ind w:firstLine="0"/>
        <w:rPr>
          <w:rFonts w:eastAsiaTheme="minorEastAsia"/>
          <w:b/>
          <w:bCs/>
          <w:sz w:val="16"/>
          <w:szCs w:val="18"/>
          <w:lang w:val="en-GB"/>
        </w:rPr>
      </w:pPr>
      <w:r w:rsidRPr="00F52B4D">
        <w:rPr>
          <w:rFonts w:asciiTheme="majorHAnsi" w:hAnsiTheme="majorHAnsi"/>
          <w:lang w:val="en-GB"/>
        </w:rPr>
        <w:t xml:space="preserve">The </w:t>
      </w:r>
      <w:r>
        <w:rPr>
          <w:rFonts w:asciiTheme="majorHAnsi" w:hAnsiTheme="majorHAnsi"/>
          <w:lang w:val="en-GB"/>
        </w:rPr>
        <w:t xml:space="preserve">households´ </w:t>
      </w:r>
      <w:r w:rsidRPr="00F52B4D">
        <w:rPr>
          <w:rFonts w:asciiTheme="majorHAnsi" w:hAnsiTheme="majorHAnsi"/>
          <w:lang w:val="en-GB"/>
        </w:rPr>
        <w:t xml:space="preserve">materials footprint </w:t>
      </w:r>
      <w:r>
        <w:rPr>
          <w:rFonts w:asciiTheme="majorHAnsi" w:hAnsiTheme="majorHAnsi"/>
          <w:lang w:val="en-GB"/>
        </w:rPr>
        <w:t xml:space="preserve">presents a different distribution between domestic and imported for biomass and for the rest of the materials (Graph </w:t>
      </w:r>
      <w:r w:rsidR="00787D4A">
        <w:rPr>
          <w:rFonts w:asciiTheme="majorHAnsi" w:hAnsiTheme="majorHAnsi"/>
          <w:lang w:val="en-GB"/>
        </w:rPr>
        <w:t>5</w:t>
      </w:r>
      <w:r>
        <w:rPr>
          <w:rFonts w:asciiTheme="majorHAnsi" w:hAnsiTheme="majorHAnsi"/>
          <w:lang w:val="en-GB"/>
        </w:rPr>
        <w:t xml:space="preserve">). The most of the biomass comes from the use of domestic resources (43%), with a noted presence of Rest of European Union imports (14%). </w:t>
      </w:r>
      <w:r w:rsidR="00075505">
        <w:rPr>
          <w:rFonts w:asciiTheme="majorHAnsi" w:hAnsiTheme="majorHAnsi"/>
          <w:lang w:val="en-GB"/>
        </w:rPr>
        <w:t xml:space="preserve">However, the imported material footprint is the predominant for the rest of the materials and varies in 2009 between 96% for fuels, 99% for Metal ores and 88% for materials construction. The most of the materials imports come from emerging or developing countries with lower level of per capita income than the Spanish one and with abundant natural resources. </w:t>
      </w:r>
    </w:p>
    <w:p w14:paraId="2322F2D4" w14:textId="798CD128" w:rsidR="00075505" w:rsidRPr="00EA1E4C" w:rsidRDefault="00075505" w:rsidP="004E2629">
      <w:pPr>
        <w:pStyle w:val="Titulitos"/>
        <w:rPr>
          <w:lang w:val="en-GB"/>
        </w:rPr>
      </w:pPr>
      <w:r w:rsidRPr="00EA1E4C">
        <w:rPr>
          <w:lang w:val="en-GB"/>
        </w:rPr>
        <w:t xml:space="preserve">Graph </w:t>
      </w:r>
      <w:r w:rsidR="00787D4A">
        <w:rPr>
          <w:lang w:val="en-GB"/>
        </w:rPr>
        <w:t>5</w:t>
      </w:r>
      <w:r w:rsidRPr="00EA1E4C">
        <w:rPr>
          <w:lang w:val="en-GB"/>
        </w:rPr>
        <w:t>. Domestic and imported Materials Footprint for all Households in 2009 (Kt).</w:t>
      </w:r>
    </w:p>
    <w:p w14:paraId="534DAF6C" w14:textId="60B29D68" w:rsidR="00EA1E4C" w:rsidRPr="00C639C7" w:rsidRDefault="00EA1E4C" w:rsidP="00EA1E4C">
      <w:pPr>
        <w:pStyle w:val="Subtitulitos"/>
        <w:rPr>
          <w:rFonts w:asciiTheme="majorHAnsi" w:hAnsiTheme="majorHAnsi"/>
          <w:lang w:val="en-US"/>
        </w:rPr>
      </w:pPr>
      <w:r w:rsidRPr="00C639C7">
        <w:rPr>
          <w:rFonts w:asciiTheme="majorHAnsi" w:hAnsiTheme="majorHAnsi"/>
          <w:lang w:val="en-US"/>
        </w:rPr>
        <w:t>Source: own estimations</w:t>
      </w:r>
      <w:r>
        <w:rPr>
          <w:rFonts w:asciiTheme="majorHAnsi" w:hAnsiTheme="majorHAnsi"/>
          <w:lang w:val="en-US"/>
        </w:rPr>
        <w:t xml:space="preserve"> using WIOD</w:t>
      </w:r>
      <w:r w:rsidRPr="00C639C7">
        <w:rPr>
          <w:rFonts w:asciiTheme="majorHAnsi" w:hAnsiTheme="majorHAnsi"/>
          <w:lang w:val="en-US"/>
        </w:rPr>
        <w:t xml:space="preserve"> data.</w:t>
      </w:r>
    </w:p>
    <w:p w14:paraId="11966FDA" w14:textId="77777777" w:rsidR="00EA1E4C" w:rsidRPr="00EA1E4C" w:rsidRDefault="00EA1E4C" w:rsidP="004E2629">
      <w:pPr>
        <w:pStyle w:val="Titulitos"/>
        <w:rPr>
          <w:sz w:val="20"/>
          <w:lang w:val="en-US"/>
        </w:rPr>
      </w:pPr>
    </w:p>
    <w:p w14:paraId="69EBB85D" w14:textId="77777777" w:rsidR="00FF615D" w:rsidRDefault="00B30A21" w:rsidP="00FF615D">
      <w:pPr>
        <w:ind w:firstLine="0"/>
        <w:jc w:val="left"/>
      </w:pPr>
      <w:r>
        <w:rPr>
          <w:noProof/>
          <w:lang w:val="en-GB" w:eastAsia="en-GB"/>
        </w:rPr>
        <w:drawing>
          <wp:inline distT="0" distB="0" distL="0" distR="0" wp14:anchorId="1B1155AD" wp14:editId="03109D6D">
            <wp:extent cx="4829175" cy="3033713"/>
            <wp:effectExtent l="0" t="0" r="9525"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A71AFC" w14:textId="11C57475" w:rsidR="00EA1E4C" w:rsidRDefault="00075505" w:rsidP="00787D4A">
      <w:pPr>
        <w:ind w:firstLine="0"/>
        <w:rPr>
          <w:rFonts w:eastAsiaTheme="minorEastAsia"/>
          <w:b/>
          <w:bCs/>
          <w:sz w:val="16"/>
          <w:szCs w:val="18"/>
          <w:lang w:val="en-GB"/>
        </w:rPr>
      </w:pPr>
      <w:r w:rsidRPr="00075505">
        <w:rPr>
          <w:rFonts w:asciiTheme="majorHAnsi" w:hAnsiTheme="majorHAnsi"/>
          <w:lang w:val="en-GB"/>
        </w:rPr>
        <w:t xml:space="preserve">Economic crisis drives a </w:t>
      </w:r>
      <w:r>
        <w:rPr>
          <w:rFonts w:asciiTheme="majorHAnsi" w:hAnsiTheme="majorHAnsi"/>
          <w:lang w:val="en-GB"/>
        </w:rPr>
        <w:t xml:space="preserve">significant </w:t>
      </w:r>
      <w:r w:rsidRPr="00075505">
        <w:rPr>
          <w:rFonts w:asciiTheme="majorHAnsi" w:hAnsiTheme="majorHAnsi"/>
          <w:lang w:val="en-GB"/>
        </w:rPr>
        <w:t>reduction of the households</w:t>
      </w:r>
      <w:r>
        <w:rPr>
          <w:rFonts w:asciiTheme="majorHAnsi" w:hAnsiTheme="majorHAnsi"/>
          <w:lang w:val="en-GB"/>
        </w:rPr>
        <w:t xml:space="preserve">´ materials footprint for all income levels (Graph </w:t>
      </w:r>
      <w:r w:rsidR="00787D4A">
        <w:rPr>
          <w:rFonts w:asciiTheme="majorHAnsi" w:hAnsiTheme="majorHAnsi"/>
          <w:lang w:val="en-GB"/>
        </w:rPr>
        <w:t>6</w:t>
      </w:r>
      <w:r>
        <w:rPr>
          <w:rFonts w:asciiTheme="majorHAnsi" w:hAnsiTheme="majorHAnsi"/>
          <w:lang w:val="en-GB"/>
        </w:rPr>
        <w:t xml:space="preserve">) </w:t>
      </w:r>
      <w:r w:rsidR="003D7A0F">
        <w:rPr>
          <w:rFonts w:asciiTheme="majorHAnsi" w:hAnsiTheme="majorHAnsi"/>
          <w:lang w:val="en-GB"/>
        </w:rPr>
        <w:t xml:space="preserve">which oscillates between 25% of biomass footprint of households with an income lower than 999 Euros, to the reduction of a 51% in the construction materials footprint of families with a 2000 and 2499 Euros income level. In the first fourth income levels, the decrease of the materials footprint is increasing while income increases. However, in the case of families with an income higher than 2005 Euros, the reduction, in relative terms, of its materials footprint is </w:t>
      </w:r>
      <w:r w:rsidR="003D7A0F">
        <w:rPr>
          <w:rFonts w:asciiTheme="majorHAnsi" w:hAnsiTheme="majorHAnsi"/>
          <w:lang w:val="en-GB"/>
        </w:rPr>
        <w:lastRenderedPageBreak/>
        <w:t xml:space="preserve">lower than the rest of the groups. The lowest decrease is produced between families with the lowest income, 999 Euros, as they have to maintain that consumption to keep their living standards.   </w:t>
      </w:r>
    </w:p>
    <w:p w14:paraId="53654EC5" w14:textId="2E284044" w:rsidR="003D7A0F" w:rsidRPr="00EA1E4C" w:rsidRDefault="00EA1E4C" w:rsidP="004E2629">
      <w:pPr>
        <w:pStyle w:val="Titulitos"/>
        <w:rPr>
          <w:lang w:val="en-GB"/>
        </w:rPr>
      </w:pPr>
      <w:r>
        <w:rPr>
          <w:lang w:val="en-GB"/>
        </w:rPr>
        <w:t xml:space="preserve">Graph </w:t>
      </w:r>
      <w:r w:rsidR="00787D4A">
        <w:rPr>
          <w:lang w:val="en-GB"/>
        </w:rPr>
        <w:t>6</w:t>
      </w:r>
      <w:r w:rsidR="003D7A0F" w:rsidRPr="00EA1E4C">
        <w:rPr>
          <w:lang w:val="en-GB"/>
        </w:rPr>
        <w:t>. Domestic and imported materials footprint by income levels of each household, 2006 and 2009 (Kt).</w:t>
      </w:r>
    </w:p>
    <w:p w14:paraId="6674A949" w14:textId="77777777" w:rsidR="00EA1E4C" w:rsidRDefault="00EA1E4C" w:rsidP="00EA1E4C">
      <w:pPr>
        <w:pStyle w:val="Subtitulitos"/>
        <w:rPr>
          <w:rFonts w:asciiTheme="majorHAnsi" w:hAnsiTheme="majorHAnsi"/>
          <w:lang w:val="en-US"/>
        </w:rPr>
      </w:pPr>
      <w:r w:rsidRPr="00C639C7">
        <w:rPr>
          <w:rFonts w:asciiTheme="majorHAnsi" w:hAnsiTheme="majorHAnsi"/>
          <w:lang w:val="en-US"/>
        </w:rPr>
        <w:t>Source: own estimations</w:t>
      </w:r>
      <w:r>
        <w:rPr>
          <w:rFonts w:asciiTheme="majorHAnsi" w:hAnsiTheme="majorHAnsi"/>
          <w:lang w:val="en-US"/>
        </w:rPr>
        <w:t xml:space="preserve"> using WIOD</w:t>
      </w:r>
      <w:r w:rsidRPr="00C639C7">
        <w:rPr>
          <w:rFonts w:asciiTheme="majorHAnsi" w:hAnsiTheme="majorHAnsi"/>
          <w:lang w:val="en-US"/>
        </w:rPr>
        <w:t xml:space="preserve"> data.</w:t>
      </w:r>
    </w:p>
    <w:p w14:paraId="6375E55D" w14:textId="77777777" w:rsidR="00EA1E4C" w:rsidRPr="00EA1E4C" w:rsidRDefault="00EA1E4C" w:rsidP="00EA1E4C">
      <w:pPr>
        <w:spacing w:before="0" w:beforeAutospacing="0" w:after="200" w:afterAutospacing="0" w:line="276" w:lineRule="auto"/>
        <w:ind w:firstLine="0"/>
        <w:jc w:val="left"/>
        <w:rPr>
          <w:rFonts w:asciiTheme="majorHAnsi" w:hAnsiTheme="majorHAnsi"/>
          <w:i/>
          <w:sz w:val="16"/>
          <w:lang w:val="en-GB"/>
        </w:rPr>
      </w:pPr>
      <w:r w:rsidRPr="00EA1E4C">
        <w:rPr>
          <w:rFonts w:asciiTheme="majorHAnsi" w:hAnsiTheme="majorHAnsi"/>
          <w:i/>
          <w:sz w:val="16"/>
          <w:lang w:val="en-GB"/>
        </w:rPr>
        <w:t xml:space="preserve">Note: Y1 to Y5 is referred to the five income levels considered. </w:t>
      </w:r>
    </w:p>
    <w:p w14:paraId="633D65B0" w14:textId="77777777" w:rsidR="004E2629" w:rsidRDefault="00993F70">
      <w:pPr>
        <w:spacing w:before="0" w:beforeAutospacing="0" w:after="200" w:afterAutospacing="0" w:line="276" w:lineRule="auto"/>
        <w:ind w:firstLine="0"/>
        <w:jc w:val="left"/>
      </w:pPr>
      <w:r>
        <w:rPr>
          <w:noProof/>
          <w:lang w:val="en-GB" w:eastAsia="en-GB"/>
        </w:rPr>
        <w:drawing>
          <wp:inline distT="0" distB="0" distL="0" distR="0" wp14:anchorId="2F740E54" wp14:editId="12567B0C">
            <wp:extent cx="5400040" cy="3510820"/>
            <wp:effectExtent l="0" t="0" r="10160" b="139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275936" w14:textId="77777777" w:rsidR="00346DAB" w:rsidRPr="00346DAB" w:rsidRDefault="005A6B2B" w:rsidP="00F362A0">
      <w:pPr>
        <w:ind w:firstLine="0"/>
        <w:rPr>
          <w:rFonts w:asciiTheme="majorHAnsi" w:hAnsiTheme="majorHAnsi"/>
          <w:lang w:val="en-GB"/>
        </w:rPr>
      </w:pPr>
      <w:r w:rsidRPr="00346DAB">
        <w:rPr>
          <w:rFonts w:asciiTheme="majorHAnsi" w:hAnsiTheme="majorHAnsi"/>
          <w:lang w:val="en-GB"/>
        </w:rPr>
        <w:t xml:space="preserve">The materials footprint of households per Euro spent on each level of income informs about the most materials intensive consumption pattern. Discrepancies in the materials footprint respecting to the average are small for Biomass (6% lower for income level 5, and a 5 and 6% higher than the average for groups 1 and 2, the lowest income levels) and for income level 3 in the materials construction (15% lower than the average), discrepancies for Fuels and Metal ores are lower than 2%. A more disaggregated information </w:t>
      </w:r>
      <w:r w:rsidR="00346DAB" w:rsidRPr="00346DAB">
        <w:rPr>
          <w:rFonts w:asciiTheme="majorHAnsi" w:hAnsiTheme="majorHAnsi"/>
          <w:lang w:val="en-GB"/>
        </w:rPr>
        <w:t>would be</w:t>
      </w:r>
      <w:r w:rsidRPr="00346DAB">
        <w:rPr>
          <w:rFonts w:asciiTheme="majorHAnsi" w:hAnsiTheme="majorHAnsi"/>
          <w:lang w:val="en-GB"/>
        </w:rPr>
        <w:t xml:space="preserve"> required </w:t>
      </w:r>
      <w:r w:rsidR="00346DAB" w:rsidRPr="00346DAB">
        <w:rPr>
          <w:rFonts w:asciiTheme="majorHAnsi" w:hAnsiTheme="majorHAnsi"/>
          <w:lang w:val="en-GB"/>
        </w:rPr>
        <w:t>for a better evaluation.</w:t>
      </w:r>
    </w:p>
    <w:p w14:paraId="165E428B" w14:textId="39B8850E" w:rsidR="00346DAB" w:rsidRDefault="00346DAB" w:rsidP="00F362A0">
      <w:pPr>
        <w:ind w:firstLine="0"/>
        <w:rPr>
          <w:rFonts w:asciiTheme="majorHAnsi" w:hAnsiTheme="majorHAnsi"/>
          <w:lang w:val="en-GB"/>
        </w:rPr>
      </w:pPr>
      <w:r w:rsidRPr="000971B7">
        <w:rPr>
          <w:rFonts w:asciiTheme="majorHAnsi" w:hAnsiTheme="majorHAnsi"/>
          <w:lang w:val="en-GB"/>
        </w:rPr>
        <w:t>However, changes along the time in the households´ materials footprint per Euro spent are very important between 2006 and 2009.</w:t>
      </w:r>
      <w:r w:rsidR="00C04D24">
        <w:rPr>
          <w:rFonts w:asciiTheme="majorHAnsi" w:hAnsiTheme="majorHAnsi"/>
          <w:lang w:val="en-GB"/>
        </w:rPr>
        <w:t xml:space="preserve"> A reduction of 35% for Biomass, 31% for Construction materials</w:t>
      </w:r>
      <w:r w:rsidR="00EA1E4C">
        <w:rPr>
          <w:rFonts w:asciiTheme="majorHAnsi" w:hAnsiTheme="majorHAnsi"/>
          <w:lang w:val="en-GB"/>
        </w:rPr>
        <w:t xml:space="preserve"> and 40% for Metal ores (Graph </w:t>
      </w:r>
      <w:r w:rsidR="00787D4A">
        <w:rPr>
          <w:rFonts w:asciiTheme="majorHAnsi" w:hAnsiTheme="majorHAnsi"/>
          <w:lang w:val="en-GB"/>
        </w:rPr>
        <w:t>7</w:t>
      </w:r>
      <w:r w:rsidR="00C04D24">
        <w:rPr>
          <w:rFonts w:asciiTheme="majorHAnsi" w:hAnsiTheme="majorHAnsi"/>
          <w:lang w:val="en-GB"/>
        </w:rPr>
        <w:t>).</w:t>
      </w:r>
      <w:r w:rsidRPr="000971B7">
        <w:rPr>
          <w:rFonts w:asciiTheme="majorHAnsi" w:hAnsiTheme="majorHAnsi"/>
          <w:lang w:val="en-GB"/>
        </w:rPr>
        <w:t xml:space="preserve"> This results reflect a combined effect of a technical</w:t>
      </w:r>
      <w:r w:rsidR="000971B7" w:rsidRPr="000971B7">
        <w:rPr>
          <w:rFonts w:asciiTheme="majorHAnsi" w:hAnsiTheme="majorHAnsi"/>
          <w:lang w:val="en-GB"/>
        </w:rPr>
        <w:t xml:space="preserve"> and/or environmental improvement, changes in the consumption patterns or even a change of suppliers. In this sense, a </w:t>
      </w:r>
      <w:r w:rsidR="000971B7" w:rsidRPr="000971B7">
        <w:rPr>
          <w:rFonts w:asciiTheme="majorHAnsi" w:hAnsiTheme="majorHAnsi"/>
          <w:lang w:val="en-GB"/>
        </w:rPr>
        <w:lastRenderedPageBreak/>
        <w:t xml:space="preserve">more adjusted design by firms which allows reducing primary materials outputs used by industries, would allow to reduce impacts in terms of materials and carbon footprints </w:t>
      </w:r>
      <w:r w:rsidR="00330079">
        <w:rPr>
          <w:rFonts w:asciiTheme="majorHAnsi" w:hAnsiTheme="majorHAnsi"/>
          <w:lang w:val="en-GB"/>
        </w:rPr>
        <w:fldChar w:fldCharType="begin"/>
      </w:r>
      <w:r w:rsidR="00330079">
        <w:rPr>
          <w:rFonts w:asciiTheme="majorHAnsi" w:hAnsiTheme="majorHAnsi"/>
          <w:lang w:val="en-GB"/>
        </w:rPr>
        <w:instrText xml:space="preserve"> ADDIN EN.CITE &lt;EndNote&gt;&lt;Cite&gt;&lt;Author&gt;Allwood&lt;/Author&gt;&lt;Year&gt;2010&lt;/Year&gt;&lt;RecNum&gt;946&lt;/RecNum&gt;&lt;DisplayText&gt;(Allwood et al., 2010)&lt;/DisplayText&gt;&lt;record&gt;&lt;rec-number&gt;946&lt;/rec-number&gt;&lt;foreign-keys&gt;&lt;key app="EN" db-id="s0tde0xz2xaee9edeervtv2uvtrx99daf9a5"&gt;946&lt;/key&gt;&lt;/foreign-keys&gt;&lt;ref-type name="Journal Article"&gt;17&lt;/ref-type&gt;&lt;contributors&gt;&lt;authors&gt;&lt;author&gt;Allwood, Julian M.&lt;/author&gt;&lt;author&gt;Cullen, Jonathan M.&lt;/author&gt;&lt;author&gt;Milford, Rachel L.&lt;/author&gt;&lt;/authors&gt;&lt;/contributors&gt;&lt;titles&gt;&lt;title&gt;Options for Achieving a 50% Cut in Industrial Carbon Emissions by 2050&lt;/title&gt;&lt;secondary-title&gt;Environmental Science &amp;amp; Technology&lt;/secondary-title&gt;&lt;/titles&gt;&lt;periodical&gt;&lt;full-title&gt;Environmental Science &amp;amp; Technology&lt;/full-title&gt;&lt;/periodical&gt;&lt;pages&gt;1888-1894&lt;/pages&gt;&lt;volume&gt;44&lt;/volume&gt;&lt;number&gt;6&lt;/number&gt;&lt;dates&gt;&lt;year&gt;2010&lt;/year&gt;&lt;pub-dates&gt;&lt;date&gt;2010/03/15&lt;/date&gt;&lt;/pub-dates&gt;&lt;/dates&gt;&lt;publisher&gt;American Chemical Society&lt;/publisher&gt;&lt;isbn&gt;0013-936X&lt;/isbn&gt;&lt;urls&gt;&lt;related-urls&gt;&lt;url&gt;http://dx.doi.org/10.1021/es902909k&lt;/url&gt;&lt;/related-urls&gt;&lt;/urls&gt;&lt;electronic-resource-num&gt;10.1021/es902909k&lt;/electronic-resource-num&gt;&lt;access-date&gt;2014/05/09&lt;/access-date&gt;&lt;/record&gt;&lt;/Cite&gt;&lt;/EndNote&gt;</w:instrText>
      </w:r>
      <w:r w:rsidR="00330079">
        <w:rPr>
          <w:rFonts w:asciiTheme="majorHAnsi" w:hAnsiTheme="majorHAnsi"/>
          <w:lang w:val="en-GB"/>
        </w:rPr>
        <w:fldChar w:fldCharType="separate"/>
      </w:r>
      <w:r w:rsidR="00330079">
        <w:rPr>
          <w:rFonts w:asciiTheme="majorHAnsi" w:hAnsiTheme="majorHAnsi"/>
          <w:noProof/>
          <w:lang w:val="en-GB"/>
        </w:rPr>
        <w:t>(</w:t>
      </w:r>
      <w:hyperlink w:anchor="_ENREF_1" w:tooltip="Allwood, 2010 #946" w:history="1">
        <w:r w:rsidR="004B4AF6">
          <w:rPr>
            <w:rFonts w:asciiTheme="majorHAnsi" w:hAnsiTheme="majorHAnsi"/>
            <w:noProof/>
            <w:lang w:val="en-GB"/>
          </w:rPr>
          <w:t>Allwood et al., 2010</w:t>
        </w:r>
      </w:hyperlink>
      <w:r w:rsidR="00330079">
        <w:rPr>
          <w:rFonts w:asciiTheme="majorHAnsi" w:hAnsiTheme="majorHAnsi"/>
          <w:noProof/>
          <w:lang w:val="en-GB"/>
        </w:rPr>
        <w:t>)</w:t>
      </w:r>
      <w:r w:rsidR="00330079">
        <w:rPr>
          <w:rFonts w:asciiTheme="majorHAnsi" w:hAnsiTheme="majorHAnsi"/>
          <w:lang w:val="en-GB"/>
        </w:rPr>
        <w:fldChar w:fldCharType="end"/>
      </w:r>
      <w:r w:rsidR="000971B7" w:rsidRPr="000971B7">
        <w:rPr>
          <w:rFonts w:asciiTheme="majorHAnsi" w:hAnsiTheme="majorHAnsi"/>
          <w:lang w:val="en-GB"/>
        </w:rPr>
        <w:t>, transferring responsibilities from households to firms.</w:t>
      </w:r>
    </w:p>
    <w:p w14:paraId="1ADCD0FF" w14:textId="6AE43793" w:rsidR="00C04D24" w:rsidRPr="00EA1E4C" w:rsidRDefault="00EA1E4C" w:rsidP="00C04D24">
      <w:pPr>
        <w:pStyle w:val="Titulitos"/>
        <w:rPr>
          <w:lang w:val="en-GB"/>
        </w:rPr>
      </w:pPr>
      <w:r w:rsidRPr="00EA1E4C">
        <w:rPr>
          <w:lang w:val="en-GB"/>
        </w:rPr>
        <w:t xml:space="preserve">Graph </w:t>
      </w:r>
      <w:r w:rsidR="00787D4A">
        <w:rPr>
          <w:lang w:val="en-GB"/>
        </w:rPr>
        <w:t>7</w:t>
      </w:r>
      <w:r w:rsidR="00C04D24" w:rsidRPr="00EA1E4C">
        <w:rPr>
          <w:lang w:val="en-GB"/>
        </w:rPr>
        <w:t>. Materials footprint per Euro spent, 2006 and 2009 (Kt).</w:t>
      </w:r>
    </w:p>
    <w:p w14:paraId="2F665F48" w14:textId="77777777" w:rsidR="00EA1E4C" w:rsidRPr="00C639C7" w:rsidRDefault="00EA1E4C" w:rsidP="00EA1E4C">
      <w:pPr>
        <w:pStyle w:val="Subtitulitos"/>
        <w:rPr>
          <w:rFonts w:asciiTheme="majorHAnsi" w:hAnsiTheme="majorHAnsi"/>
          <w:lang w:val="en-US"/>
        </w:rPr>
      </w:pPr>
      <w:r w:rsidRPr="00C639C7">
        <w:rPr>
          <w:rFonts w:asciiTheme="majorHAnsi" w:hAnsiTheme="majorHAnsi"/>
          <w:lang w:val="en-US"/>
        </w:rPr>
        <w:t>Source: own estimations</w:t>
      </w:r>
      <w:r>
        <w:rPr>
          <w:rFonts w:asciiTheme="majorHAnsi" w:hAnsiTheme="majorHAnsi"/>
          <w:lang w:val="en-US"/>
        </w:rPr>
        <w:t xml:space="preserve"> using WIOD</w:t>
      </w:r>
      <w:r w:rsidRPr="00C639C7">
        <w:rPr>
          <w:rFonts w:asciiTheme="majorHAnsi" w:hAnsiTheme="majorHAnsi"/>
          <w:lang w:val="en-US"/>
        </w:rPr>
        <w:t xml:space="preserve"> data.</w:t>
      </w:r>
    </w:p>
    <w:p w14:paraId="58AA5DC9" w14:textId="08AB0725" w:rsidR="00C04D24" w:rsidRPr="000971B7" w:rsidRDefault="00C04D24" w:rsidP="00C04D24">
      <w:pPr>
        <w:ind w:firstLine="0"/>
        <w:jc w:val="center"/>
        <w:rPr>
          <w:rFonts w:asciiTheme="majorHAnsi" w:hAnsiTheme="majorHAnsi"/>
          <w:lang w:val="en-GB"/>
        </w:rPr>
      </w:pPr>
      <w:r>
        <w:rPr>
          <w:noProof/>
          <w:lang w:val="en-GB" w:eastAsia="en-GB"/>
        </w:rPr>
        <w:drawing>
          <wp:inline distT="0" distB="0" distL="0" distR="0" wp14:anchorId="72C78D85" wp14:editId="34B673AA">
            <wp:extent cx="5400040" cy="3514090"/>
            <wp:effectExtent l="0" t="0" r="10160" b="1016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11B749" w14:textId="1A16E410" w:rsidR="00FB4F89" w:rsidRDefault="00FB4F89" w:rsidP="00FB4F89">
      <w:pPr>
        <w:rPr>
          <w:rFonts w:asciiTheme="majorHAnsi" w:hAnsiTheme="majorHAnsi" w:cs="Times New Roman"/>
          <w:szCs w:val="24"/>
          <w:lang w:val="en-GB" w:eastAsia="en-GB"/>
        </w:rPr>
      </w:pPr>
      <w:r w:rsidRPr="00FB4F89">
        <w:rPr>
          <w:rFonts w:asciiTheme="majorHAnsi" w:hAnsiTheme="majorHAnsi" w:cs="Times New Roman"/>
          <w:szCs w:val="24"/>
          <w:lang w:val="en-GB" w:eastAsia="en-GB"/>
        </w:rPr>
        <w:t xml:space="preserve">The IPAT model has been applied to decompose the evolution of the materials footprint </w:t>
      </w:r>
      <w:r>
        <w:rPr>
          <w:rFonts w:asciiTheme="majorHAnsi" w:hAnsiTheme="majorHAnsi" w:cs="Times New Roman"/>
          <w:szCs w:val="24"/>
          <w:lang w:val="en-GB" w:eastAsia="en-GB"/>
        </w:rPr>
        <w:t xml:space="preserve">(Graph </w:t>
      </w:r>
      <w:r w:rsidR="00787D4A">
        <w:rPr>
          <w:rFonts w:asciiTheme="majorHAnsi" w:hAnsiTheme="majorHAnsi" w:cs="Times New Roman"/>
          <w:szCs w:val="24"/>
          <w:lang w:val="en-GB" w:eastAsia="en-GB"/>
        </w:rPr>
        <w:t>8</w:t>
      </w:r>
      <w:r>
        <w:rPr>
          <w:rFonts w:asciiTheme="majorHAnsi" w:hAnsiTheme="majorHAnsi" w:cs="Times New Roman"/>
          <w:szCs w:val="24"/>
          <w:lang w:val="en-GB" w:eastAsia="en-GB"/>
        </w:rPr>
        <w:t xml:space="preserve">) </w:t>
      </w:r>
      <w:r w:rsidRPr="00FB4F89">
        <w:rPr>
          <w:rFonts w:asciiTheme="majorHAnsi" w:hAnsiTheme="majorHAnsi" w:cs="Times New Roman"/>
          <w:szCs w:val="24"/>
          <w:lang w:val="en-GB" w:eastAsia="en-GB"/>
        </w:rPr>
        <w:t>in: population (households), affluence (consumption per householder) and technology (material footprint per unit of consumption). El increase of Spanish households between 2006 and 2009 had produced a 7.6% increase of all material footprints, in contrast the economic crisis reduced the consumption which implies a 6.8% reduction of the materials footprint. This reduction oscillates between a reduction of 25.4% of Biomass and -40% of metals ore.</w:t>
      </w:r>
    </w:p>
    <w:p w14:paraId="6B0CB5A6" w14:textId="77777777" w:rsidR="00EA1E4C" w:rsidRDefault="00EA1E4C">
      <w:pPr>
        <w:spacing w:before="0" w:beforeAutospacing="0" w:after="200" w:afterAutospacing="0" w:line="276" w:lineRule="auto"/>
        <w:ind w:firstLine="0"/>
        <w:jc w:val="left"/>
        <w:rPr>
          <w:rFonts w:eastAsiaTheme="minorEastAsia"/>
          <w:b/>
          <w:bCs/>
          <w:sz w:val="16"/>
          <w:szCs w:val="18"/>
          <w:lang w:val="en-GB"/>
        </w:rPr>
      </w:pPr>
      <w:r>
        <w:rPr>
          <w:lang w:val="en-GB"/>
        </w:rPr>
        <w:br w:type="page"/>
      </w:r>
    </w:p>
    <w:p w14:paraId="36D13697" w14:textId="2C1E1B7A" w:rsidR="00FB4F89" w:rsidRPr="00EA1E4C" w:rsidRDefault="00FB4F89" w:rsidP="00FB4F89">
      <w:pPr>
        <w:pStyle w:val="Titulitos"/>
        <w:rPr>
          <w:lang w:val="en-GB"/>
        </w:rPr>
      </w:pPr>
      <w:r w:rsidRPr="00EA1E4C">
        <w:rPr>
          <w:lang w:val="en-GB"/>
        </w:rPr>
        <w:lastRenderedPageBreak/>
        <w:t xml:space="preserve">Graph </w:t>
      </w:r>
      <w:r w:rsidR="00787D4A">
        <w:rPr>
          <w:lang w:val="en-GB"/>
        </w:rPr>
        <w:t>8</w:t>
      </w:r>
      <w:bookmarkStart w:id="6" w:name="_GoBack"/>
      <w:bookmarkEnd w:id="6"/>
      <w:r w:rsidRPr="00EA1E4C">
        <w:rPr>
          <w:lang w:val="en-GB"/>
        </w:rPr>
        <w:t>. IPAT model to decompose the materials footprint.</w:t>
      </w:r>
    </w:p>
    <w:p w14:paraId="22A26127" w14:textId="358DBAC5" w:rsidR="00EA1E4C" w:rsidRPr="00C639C7" w:rsidRDefault="00EA1E4C" w:rsidP="00EA1E4C">
      <w:pPr>
        <w:pStyle w:val="Subtitulitos"/>
        <w:rPr>
          <w:rFonts w:asciiTheme="majorHAnsi" w:hAnsiTheme="majorHAnsi"/>
          <w:lang w:val="en-US"/>
        </w:rPr>
      </w:pPr>
      <w:r w:rsidRPr="00C639C7">
        <w:rPr>
          <w:rFonts w:asciiTheme="majorHAnsi" w:hAnsiTheme="majorHAnsi"/>
          <w:lang w:val="en-US"/>
        </w:rPr>
        <w:t>Source: own estimations.</w:t>
      </w:r>
    </w:p>
    <w:p w14:paraId="1BEB0819" w14:textId="77777777" w:rsidR="00EA1E4C" w:rsidRPr="00EA1E4C" w:rsidRDefault="00EA1E4C" w:rsidP="00FB4F89">
      <w:pPr>
        <w:pStyle w:val="Titulitos"/>
        <w:rPr>
          <w:sz w:val="20"/>
          <w:lang w:val="en-US"/>
        </w:rPr>
      </w:pPr>
    </w:p>
    <w:p w14:paraId="24F71AF0" w14:textId="2696CD1E" w:rsidR="00FB4F89" w:rsidRPr="00FB4F89" w:rsidRDefault="00FB4F89" w:rsidP="00FB4F89">
      <w:pPr>
        <w:ind w:firstLine="0"/>
        <w:rPr>
          <w:rFonts w:asciiTheme="majorHAnsi" w:hAnsiTheme="majorHAnsi" w:cs="Times New Roman"/>
          <w:szCs w:val="24"/>
          <w:lang w:val="en-GB" w:eastAsia="en-GB"/>
        </w:rPr>
      </w:pPr>
      <w:r>
        <w:rPr>
          <w:noProof/>
          <w:lang w:val="en-GB" w:eastAsia="en-GB"/>
        </w:rPr>
        <w:drawing>
          <wp:inline distT="0" distB="0" distL="0" distR="0" wp14:anchorId="0247B425" wp14:editId="79BFBE8A">
            <wp:extent cx="5400040" cy="3514090"/>
            <wp:effectExtent l="0" t="0" r="10160" b="1016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A1839C" w14:textId="77777777" w:rsidR="00EA1E4C" w:rsidRDefault="00EA1E4C" w:rsidP="00174A4E">
      <w:pPr>
        <w:rPr>
          <w:b/>
          <w:lang w:val="en-GB"/>
        </w:rPr>
      </w:pPr>
    </w:p>
    <w:p w14:paraId="6B947213" w14:textId="5AB1A7CD" w:rsidR="00174A4E" w:rsidRPr="000971B7" w:rsidRDefault="00BF013C" w:rsidP="00174A4E">
      <w:pPr>
        <w:rPr>
          <w:b/>
          <w:lang w:val="en-GB"/>
        </w:rPr>
      </w:pPr>
      <w:r w:rsidRPr="000971B7">
        <w:rPr>
          <w:b/>
          <w:lang w:val="en-GB"/>
        </w:rPr>
        <w:t xml:space="preserve">5. </w:t>
      </w:r>
      <w:r w:rsidR="00494D43" w:rsidRPr="000971B7">
        <w:rPr>
          <w:b/>
          <w:lang w:val="en-GB"/>
        </w:rPr>
        <w:t>C</w:t>
      </w:r>
      <w:r w:rsidR="000971B7" w:rsidRPr="000971B7">
        <w:rPr>
          <w:b/>
          <w:lang w:val="en-GB"/>
        </w:rPr>
        <w:t>onclusions</w:t>
      </w:r>
      <w:r w:rsidR="00494D43" w:rsidRPr="000971B7">
        <w:rPr>
          <w:b/>
          <w:lang w:val="en-GB"/>
        </w:rPr>
        <w:t xml:space="preserve"> </w:t>
      </w:r>
    </w:p>
    <w:p w14:paraId="25D916D5" w14:textId="1DB3C6B5" w:rsidR="000971B7" w:rsidRDefault="000971B7" w:rsidP="000971B7">
      <w:pPr>
        <w:pStyle w:val="NormalWeb"/>
        <w:shd w:val="clear" w:color="auto" w:fill="FFFFFF"/>
        <w:spacing w:line="360" w:lineRule="auto"/>
        <w:jc w:val="both"/>
        <w:rPr>
          <w:rFonts w:asciiTheme="majorHAnsi" w:hAnsiTheme="majorHAnsi"/>
        </w:rPr>
      </w:pPr>
      <w:r w:rsidRPr="000971B7">
        <w:rPr>
          <w:rFonts w:asciiTheme="majorHAnsi" w:hAnsiTheme="majorHAnsi"/>
        </w:rPr>
        <w:t>The Spanish households´ carbon footprint has a scale effect on the level of income, showing a direct relationship between the average of CO</w:t>
      </w:r>
      <w:r w:rsidRPr="000971B7">
        <w:rPr>
          <w:rFonts w:asciiTheme="majorHAnsi" w:hAnsiTheme="majorHAnsi"/>
          <w:vertAlign w:val="subscript"/>
        </w:rPr>
        <w:t>2</w:t>
      </w:r>
      <w:r w:rsidRPr="000971B7">
        <w:rPr>
          <w:rFonts w:asciiTheme="majorHAnsi" w:hAnsiTheme="majorHAnsi"/>
        </w:rPr>
        <w:t xml:space="preserve"> emissions and the level of household income. However, this relationship reverses if one considers the scale effect in consumption patterns by calculating emissions per euro spent or the environmental efficiency in each income range. Both in 2006 and 2009 families who earn less than 1,000 euros, has the most polluting consumption pattern, because energy costs and water transport and have a higher weight on their consumption. Financial crisis leads decrease the carbon footprint of Spanish households, in absolute and relative terms. As consumption is reduced, it changes its composition and improving environmental efficiency of global value chains. Still, in a context where are increasing the imports from China, that has the most polluting mix of the regions considered.</w:t>
      </w:r>
    </w:p>
    <w:p w14:paraId="09AB2322" w14:textId="6CF63627" w:rsidR="00330079" w:rsidRPr="000F127E" w:rsidRDefault="00330079" w:rsidP="000971B7">
      <w:pPr>
        <w:pStyle w:val="NormalWeb"/>
        <w:shd w:val="clear" w:color="auto" w:fill="FFFFFF"/>
        <w:spacing w:line="360" w:lineRule="auto"/>
        <w:jc w:val="both"/>
        <w:rPr>
          <w:rFonts w:asciiTheme="majorHAnsi" w:hAnsiTheme="majorHAnsi"/>
        </w:rPr>
      </w:pPr>
      <w:r>
        <w:rPr>
          <w:rFonts w:asciiTheme="majorHAnsi" w:hAnsiTheme="majorHAnsi"/>
        </w:rPr>
        <w:lastRenderedPageBreak/>
        <w:t xml:space="preserve">Spanish materials footprint has only some similarities with the carbon footprint: both have a direct relation </w:t>
      </w:r>
      <w:r w:rsidR="000F127E">
        <w:rPr>
          <w:rFonts w:asciiTheme="majorHAnsi" w:hAnsiTheme="majorHAnsi"/>
        </w:rPr>
        <w:t xml:space="preserve">with the income level and both were reduced when households´ incomes decreased after the economic crisis. With the exception of the biomass, more than 80% of the rest of natural resources are part of the imported materials footprint from low income countries. </w:t>
      </w:r>
      <w:r w:rsidR="000F127E" w:rsidRPr="000F127E">
        <w:rPr>
          <w:rFonts w:asciiTheme="majorHAnsi" w:hAnsiTheme="majorHAnsi"/>
        </w:rPr>
        <w:t xml:space="preserve">There is an increasingly internationalization of the production systems. </w:t>
      </w:r>
      <w:r w:rsidR="000F127E">
        <w:rPr>
          <w:rFonts w:asciiTheme="majorHAnsi" w:hAnsiTheme="majorHAnsi"/>
        </w:rPr>
        <w:t xml:space="preserve">A huge part of the final consumption is spent on Services sectors, provided domestically but with a big dependency on imports from other regions. </w:t>
      </w:r>
      <w:r w:rsidR="000F127E" w:rsidRPr="000F127E">
        <w:rPr>
          <w:rFonts w:asciiTheme="majorHAnsi" w:hAnsiTheme="majorHAnsi"/>
        </w:rPr>
        <w:t xml:space="preserve"> </w:t>
      </w:r>
    </w:p>
    <w:p w14:paraId="3C887399" w14:textId="2C658C08" w:rsidR="000F127E" w:rsidRPr="000F127E" w:rsidRDefault="000F127E" w:rsidP="00F362A0">
      <w:pPr>
        <w:ind w:firstLine="0"/>
        <w:rPr>
          <w:lang w:val="en-GB"/>
        </w:rPr>
      </w:pPr>
      <w:r w:rsidRPr="000F127E">
        <w:rPr>
          <w:lang w:val="en-GB"/>
        </w:rPr>
        <w:t xml:space="preserve">The limitation of 5 different levels of income </w:t>
      </w:r>
      <w:r>
        <w:rPr>
          <w:lang w:val="en-GB"/>
        </w:rPr>
        <w:t xml:space="preserve">and the limited variability of the materials footprint for each income level restrict the impact of significant changes on income distribution could have over the Spanish households´ materials footprint. A more disaggregated study is needed to evaluate the main advantages, in terms of economic, social and environmental sustainability, of </w:t>
      </w:r>
      <w:r w:rsidR="004B4AF6">
        <w:rPr>
          <w:lang w:val="en-GB"/>
        </w:rPr>
        <w:t xml:space="preserve">redistribution policies. In any case, the reduction of the materials footprint per Euro spent shown between 2006 and 2009 allow us to identify an intensive decoupling en those years and which follows the decoupling found for the world economy before the economic crisis </w:t>
      </w:r>
      <w:r w:rsidR="004B4AF6">
        <w:rPr>
          <w:lang w:val="en-GB"/>
        </w:rPr>
        <w:fldChar w:fldCharType="begin"/>
      </w:r>
      <w:r w:rsidR="004B4AF6">
        <w:rPr>
          <w:lang w:val="en-GB"/>
        </w:rPr>
        <w:instrText xml:space="preserve"> ADDIN EN.CITE &lt;EndNote&gt;&lt;Cite&gt;&lt;Author&gt;Wiedmann&lt;/Author&gt;&lt;Year&gt;2013&lt;/Year&gt;&lt;RecNum&gt;836&lt;/RecNum&gt;&lt;DisplayText&gt;(Wiedmann et al., 2013)&lt;/DisplayText&gt;&lt;record&gt;&lt;rec-number&gt;836&lt;/rec-number&gt;&lt;foreign-keys&gt;&lt;key app="EN" db-id="s0tde0xz2xaee9edeervtv2uvtrx99daf9a5"&gt;836&lt;/key&gt;&lt;/foreign-keys&gt;&lt;ref-type name="Journal Article"&gt;17&lt;/ref-type&gt;&lt;contributors&gt;&lt;authors&gt;&lt;author&gt;Wiedmann, T.O.&lt;/author&gt;&lt;author&gt;Schandl, H.&lt;/author&gt;&lt;author&gt;Lenzen, M.&lt;/author&gt;&lt;author&gt;Moran, D.&lt;/author&gt;&lt;author&gt;Suh, S.&lt;/author&gt;&lt;author&gt;West, J.&lt;/author&gt;&lt;author&gt;Kanemoto, K.&lt;/author&gt;&lt;/authors&gt;&lt;/contributors&gt;&lt;titles&gt;&lt;title&gt;The material footprint of nations&lt;/title&gt;&lt;secondary-title&gt;PNAS&lt;/secondary-title&gt;&lt;/titles&gt;&lt;periodical&gt;&lt;full-title&gt;PNAS&lt;/full-title&gt;&lt;/periodical&gt;&lt;dates&gt;&lt;year&gt;2013&lt;/year&gt;&lt;/dates&gt;&lt;urls&gt;&lt;/urls&gt;&lt;electronic-resource-num&gt;www.pnas.org/cgi/doi/10.1073/pnas.1220362110&lt;/electronic-resource-num&gt;&lt;/record&gt;&lt;/Cite&gt;&lt;/EndNote&gt;</w:instrText>
      </w:r>
      <w:r w:rsidR="004B4AF6">
        <w:rPr>
          <w:lang w:val="en-GB"/>
        </w:rPr>
        <w:fldChar w:fldCharType="separate"/>
      </w:r>
      <w:r w:rsidR="004B4AF6">
        <w:rPr>
          <w:noProof/>
          <w:lang w:val="en-GB"/>
        </w:rPr>
        <w:t>(</w:t>
      </w:r>
      <w:hyperlink w:anchor="_ENREF_22" w:tooltip="Wiedmann, 2013 #836" w:history="1">
        <w:r w:rsidR="004B4AF6">
          <w:rPr>
            <w:noProof/>
            <w:lang w:val="en-GB"/>
          </w:rPr>
          <w:t>Wiedmann et al., 2013</w:t>
        </w:r>
      </w:hyperlink>
      <w:r w:rsidR="004B4AF6">
        <w:rPr>
          <w:noProof/>
          <w:lang w:val="en-GB"/>
        </w:rPr>
        <w:t>)</w:t>
      </w:r>
      <w:r w:rsidR="004B4AF6">
        <w:rPr>
          <w:lang w:val="en-GB"/>
        </w:rPr>
        <w:fldChar w:fldCharType="end"/>
      </w:r>
      <w:r w:rsidR="004B4AF6">
        <w:rPr>
          <w:lang w:val="en-GB"/>
        </w:rPr>
        <w:t xml:space="preserve">. </w:t>
      </w:r>
    </w:p>
    <w:p w14:paraId="26F1B940" w14:textId="584B2561" w:rsidR="00174A4E" w:rsidRPr="00BF013C" w:rsidRDefault="00BF013C" w:rsidP="00641664">
      <w:pPr>
        <w:ind w:firstLine="0"/>
        <w:rPr>
          <w:rFonts w:asciiTheme="majorHAnsi" w:hAnsiTheme="majorHAnsi"/>
          <w:b/>
          <w:lang w:val="en-GB"/>
        </w:rPr>
      </w:pPr>
      <w:r w:rsidRPr="00BF013C">
        <w:rPr>
          <w:rFonts w:asciiTheme="majorHAnsi" w:hAnsiTheme="majorHAnsi"/>
          <w:b/>
          <w:lang w:val="en-GB"/>
        </w:rPr>
        <w:t>6.</w:t>
      </w:r>
      <w:r w:rsidR="003052C3" w:rsidRPr="00BF013C">
        <w:rPr>
          <w:rFonts w:asciiTheme="majorHAnsi" w:hAnsiTheme="majorHAnsi"/>
          <w:b/>
          <w:lang w:val="en-GB"/>
        </w:rPr>
        <w:t xml:space="preserve"> References</w:t>
      </w:r>
    </w:p>
    <w:p w14:paraId="048A7305" w14:textId="77777777" w:rsidR="004B4AF6" w:rsidRPr="004B4AF6" w:rsidRDefault="003052C3" w:rsidP="00EA1E4C">
      <w:pPr>
        <w:pStyle w:val="EndNoteBibliography"/>
        <w:spacing w:after="0"/>
        <w:ind w:left="567" w:hanging="567"/>
        <w:rPr>
          <w:rFonts w:asciiTheme="majorHAnsi" w:hAnsiTheme="majorHAnsi"/>
          <w:sz w:val="22"/>
          <w:szCs w:val="20"/>
        </w:rPr>
      </w:pPr>
      <w:r w:rsidRPr="004B4AF6">
        <w:rPr>
          <w:rFonts w:asciiTheme="majorHAnsi" w:hAnsiTheme="majorHAnsi"/>
          <w:sz w:val="22"/>
          <w:szCs w:val="20"/>
        </w:rPr>
        <w:fldChar w:fldCharType="begin"/>
      </w:r>
      <w:r w:rsidRPr="004B4AF6">
        <w:rPr>
          <w:rFonts w:asciiTheme="majorHAnsi" w:hAnsiTheme="majorHAnsi"/>
          <w:sz w:val="22"/>
          <w:szCs w:val="20"/>
        </w:rPr>
        <w:instrText xml:space="preserve"> ADDIN EN.REFLIST </w:instrText>
      </w:r>
      <w:r w:rsidRPr="004B4AF6">
        <w:rPr>
          <w:rFonts w:asciiTheme="majorHAnsi" w:hAnsiTheme="majorHAnsi"/>
          <w:sz w:val="22"/>
          <w:szCs w:val="20"/>
        </w:rPr>
        <w:fldChar w:fldCharType="separate"/>
      </w:r>
      <w:bookmarkStart w:id="7" w:name="_ENREF_1"/>
      <w:r w:rsidR="004B4AF6" w:rsidRPr="004B4AF6">
        <w:rPr>
          <w:rFonts w:asciiTheme="majorHAnsi" w:hAnsiTheme="majorHAnsi"/>
          <w:sz w:val="22"/>
          <w:szCs w:val="20"/>
        </w:rPr>
        <w:t>Allwood, J.M., Cullen, J.M., Milford, R.L., 2010. Options for Achieving a 50% Cut in Industrial Carbon Emissions by 2050. Environmental Science &amp; Technology 44, 1888-1894.</w:t>
      </w:r>
      <w:bookmarkEnd w:id="7"/>
    </w:p>
    <w:p w14:paraId="0B6D0A6D" w14:textId="77777777" w:rsidR="004B4AF6" w:rsidRPr="004B4AF6" w:rsidRDefault="004B4AF6" w:rsidP="00EA1E4C">
      <w:pPr>
        <w:pStyle w:val="EndNoteBibliography"/>
        <w:spacing w:after="0"/>
        <w:ind w:left="567" w:hanging="567"/>
        <w:rPr>
          <w:rFonts w:asciiTheme="majorHAnsi" w:hAnsiTheme="majorHAnsi"/>
          <w:sz w:val="22"/>
          <w:szCs w:val="20"/>
        </w:rPr>
      </w:pPr>
      <w:bookmarkStart w:id="8" w:name="_ENREF_2"/>
      <w:r w:rsidRPr="004B4AF6">
        <w:rPr>
          <w:rFonts w:asciiTheme="majorHAnsi" w:hAnsiTheme="majorHAnsi"/>
          <w:sz w:val="22"/>
          <w:szCs w:val="20"/>
        </w:rPr>
        <w:t>Arto, I., Dietzenbacher, E., 2014. Drivers of the Growth in Global Greenhouse Gas Emissions. Environmental Science &amp; Technology.</w:t>
      </w:r>
      <w:bookmarkEnd w:id="8"/>
    </w:p>
    <w:p w14:paraId="343E3A93" w14:textId="77777777" w:rsidR="004B4AF6" w:rsidRPr="004B4AF6" w:rsidRDefault="004B4AF6" w:rsidP="00EA1E4C">
      <w:pPr>
        <w:pStyle w:val="EndNoteBibliography"/>
        <w:spacing w:after="0"/>
        <w:ind w:left="567" w:hanging="567"/>
        <w:rPr>
          <w:rFonts w:asciiTheme="majorHAnsi" w:hAnsiTheme="majorHAnsi"/>
          <w:sz w:val="22"/>
          <w:szCs w:val="20"/>
          <w:lang w:val="es-ES"/>
        </w:rPr>
      </w:pPr>
      <w:bookmarkStart w:id="9" w:name="_ENREF_3"/>
      <w:r w:rsidRPr="004B4AF6">
        <w:rPr>
          <w:rFonts w:asciiTheme="majorHAnsi" w:hAnsiTheme="majorHAnsi"/>
          <w:sz w:val="22"/>
          <w:szCs w:val="20"/>
        </w:rPr>
        <w:t xml:space="preserve">Bruckner, M., Giljum, S., Lutz, C., Wiebe, K.S., 2012. Materials embodied in international trade – Global material extraction and consumption between 1995 and 2005. </w:t>
      </w:r>
      <w:r w:rsidRPr="004B4AF6">
        <w:rPr>
          <w:rFonts w:asciiTheme="majorHAnsi" w:hAnsiTheme="majorHAnsi"/>
          <w:sz w:val="22"/>
          <w:szCs w:val="20"/>
          <w:lang w:val="es-ES"/>
        </w:rPr>
        <w:t>Global Environmental Change 22, 568-576.</w:t>
      </w:r>
      <w:bookmarkEnd w:id="9"/>
    </w:p>
    <w:p w14:paraId="364808CC" w14:textId="77777777" w:rsidR="004B4AF6" w:rsidRPr="004B4AF6" w:rsidRDefault="004B4AF6" w:rsidP="00EA1E4C">
      <w:pPr>
        <w:pStyle w:val="EndNoteBibliography"/>
        <w:spacing w:after="0"/>
        <w:ind w:left="567" w:hanging="567"/>
        <w:rPr>
          <w:rFonts w:asciiTheme="majorHAnsi" w:hAnsiTheme="majorHAnsi"/>
          <w:sz w:val="22"/>
          <w:szCs w:val="20"/>
        </w:rPr>
      </w:pPr>
      <w:bookmarkStart w:id="10" w:name="_ENREF_4"/>
      <w:r w:rsidRPr="004B4AF6">
        <w:rPr>
          <w:rFonts w:asciiTheme="majorHAnsi" w:hAnsiTheme="majorHAnsi"/>
          <w:sz w:val="22"/>
          <w:szCs w:val="20"/>
          <w:lang w:val="es-ES"/>
        </w:rPr>
        <w:t xml:space="preserve">Cadarso, M.-Á., López, L.-A., Gómez, N., Tobarra, M.-Á., 2012. </w:t>
      </w:r>
      <w:r w:rsidRPr="004B4AF6">
        <w:rPr>
          <w:rFonts w:asciiTheme="majorHAnsi" w:hAnsiTheme="majorHAnsi"/>
          <w:sz w:val="22"/>
          <w:szCs w:val="20"/>
        </w:rPr>
        <w:t>International trade and shared environmental responsibility by sector. An application to the Spanish economy. Ecological Economics 83, 221-235.</w:t>
      </w:r>
      <w:bookmarkEnd w:id="10"/>
    </w:p>
    <w:p w14:paraId="5B88F3DB" w14:textId="77777777" w:rsidR="004B4AF6" w:rsidRPr="004B4AF6" w:rsidRDefault="004B4AF6" w:rsidP="00EA1E4C">
      <w:pPr>
        <w:pStyle w:val="EndNoteBibliography"/>
        <w:spacing w:after="0"/>
        <w:ind w:left="567" w:hanging="567"/>
        <w:rPr>
          <w:rFonts w:asciiTheme="majorHAnsi" w:hAnsiTheme="majorHAnsi"/>
          <w:sz w:val="22"/>
          <w:szCs w:val="20"/>
        </w:rPr>
      </w:pPr>
      <w:bookmarkStart w:id="11" w:name="_ENREF_5"/>
      <w:r w:rsidRPr="004B4AF6">
        <w:rPr>
          <w:rFonts w:asciiTheme="majorHAnsi" w:hAnsiTheme="majorHAnsi"/>
          <w:sz w:val="22"/>
          <w:szCs w:val="20"/>
        </w:rPr>
        <w:t>Cazcarro, I., Duarte, R., Sánchez-Chóliz, J., 2013. Economic growth and the evolution of water consumption in Spain: A structural decomposition analysis. Ecological Economics 96, 51-61.</w:t>
      </w:r>
      <w:bookmarkEnd w:id="11"/>
    </w:p>
    <w:p w14:paraId="594F9EF0" w14:textId="77777777" w:rsidR="004B4AF6" w:rsidRPr="004B4AF6" w:rsidRDefault="004B4AF6" w:rsidP="00EA1E4C">
      <w:pPr>
        <w:pStyle w:val="EndNoteBibliography"/>
        <w:spacing w:after="0"/>
        <w:ind w:left="567" w:hanging="567"/>
        <w:rPr>
          <w:rFonts w:asciiTheme="majorHAnsi" w:hAnsiTheme="majorHAnsi"/>
          <w:sz w:val="22"/>
          <w:szCs w:val="20"/>
        </w:rPr>
      </w:pPr>
      <w:bookmarkStart w:id="12" w:name="_ENREF_6"/>
      <w:r w:rsidRPr="004B4AF6">
        <w:rPr>
          <w:rFonts w:asciiTheme="majorHAnsi" w:hAnsiTheme="majorHAnsi"/>
          <w:sz w:val="22"/>
          <w:szCs w:val="20"/>
        </w:rPr>
        <w:t>EESC, 2014. Collaborative consumption: new opportunities for consumers and businesses on the EU market, in: Unit), E.E.a.S.C.P. (Ed.).</w:t>
      </w:r>
      <w:bookmarkEnd w:id="12"/>
    </w:p>
    <w:p w14:paraId="041877CC" w14:textId="77777777" w:rsidR="004B4AF6" w:rsidRPr="004B4AF6" w:rsidRDefault="004B4AF6" w:rsidP="00EA1E4C">
      <w:pPr>
        <w:pStyle w:val="EndNoteBibliography"/>
        <w:spacing w:after="0"/>
        <w:ind w:left="567" w:hanging="567"/>
        <w:rPr>
          <w:rFonts w:asciiTheme="majorHAnsi" w:hAnsiTheme="majorHAnsi"/>
          <w:sz w:val="22"/>
          <w:szCs w:val="20"/>
        </w:rPr>
      </w:pPr>
      <w:bookmarkStart w:id="13" w:name="_ENREF_7"/>
      <w:r w:rsidRPr="004B4AF6">
        <w:rPr>
          <w:rFonts w:asciiTheme="majorHAnsi" w:hAnsiTheme="majorHAnsi"/>
          <w:sz w:val="22"/>
          <w:szCs w:val="20"/>
        </w:rPr>
        <w:lastRenderedPageBreak/>
        <w:t>Kalecki, M., 1971. Selected essays on the dynamics of the capitalist economy. Cambridge University Press, Cambridge.</w:t>
      </w:r>
      <w:bookmarkEnd w:id="13"/>
    </w:p>
    <w:p w14:paraId="174F4D79" w14:textId="77777777" w:rsidR="004B4AF6" w:rsidRPr="004B4AF6" w:rsidRDefault="004B4AF6" w:rsidP="00EA1E4C">
      <w:pPr>
        <w:pStyle w:val="EndNoteBibliography"/>
        <w:spacing w:after="0"/>
        <w:ind w:left="567" w:hanging="567"/>
        <w:rPr>
          <w:rFonts w:asciiTheme="majorHAnsi" w:hAnsiTheme="majorHAnsi"/>
          <w:sz w:val="22"/>
          <w:szCs w:val="20"/>
        </w:rPr>
      </w:pPr>
      <w:bookmarkStart w:id="14" w:name="_ENREF_8"/>
      <w:r w:rsidRPr="004B4AF6">
        <w:rPr>
          <w:rFonts w:asciiTheme="majorHAnsi" w:hAnsiTheme="majorHAnsi"/>
          <w:sz w:val="22"/>
          <w:szCs w:val="20"/>
        </w:rPr>
        <w:t>Kanemoto, K., Lenzen, M., Peters, G.P., Moran, D.D., Geschke, A., 2012. Frameworks for Comparing Emissions Associated with Production, Consumption and International Trade. Envionmental Science and Technology 46, 172-179.</w:t>
      </w:r>
      <w:bookmarkEnd w:id="14"/>
    </w:p>
    <w:p w14:paraId="248E1BEB" w14:textId="77777777" w:rsidR="004B4AF6" w:rsidRPr="004B4AF6" w:rsidRDefault="004B4AF6" w:rsidP="00EA1E4C">
      <w:pPr>
        <w:pStyle w:val="EndNoteBibliography"/>
        <w:spacing w:after="0"/>
        <w:ind w:left="567" w:hanging="567"/>
        <w:rPr>
          <w:rFonts w:asciiTheme="majorHAnsi" w:hAnsiTheme="majorHAnsi"/>
          <w:sz w:val="22"/>
          <w:szCs w:val="20"/>
        </w:rPr>
      </w:pPr>
      <w:bookmarkStart w:id="15" w:name="_ENREF_9"/>
      <w:r w:rsidRPr="004B4AF6">
        <w:rPr>
          <w:rFonts w:asciiTheme="majorHAnsi" w:hAnsiTheme="majorHAnsi"/>
          <w:sz w:val="22"/>
          <w:szCs w:val="20"/>
        </w:rPr>
        <w:t>Karstensen, J., Peters, G.P., Andrew, R.M., 2013. Attribution of CO2 emissions from Brazilian deforestation to consumers between 1990 and 2010. Environmental Research Letters 8.</w:t>
      </w:r>
      <w:bookmarkEnd w:id="15"/>
    </w:p>
    <w:p w14:paraId="5CF2D30F" w14:textId="77777777" w:rsidR="004B4AF6" w:rsidRPr="004B4AF6" w:rsidRDefault="004B4AF6" w:rsidP="00EA1E4C">
      <w:pPr>
        <w:pStyle w:val="EndNoteBibliography"/>
        <w:spacing w:after="0"/>
        <w:ind w:left="567" w:hanging="567"/>
        <w:rPr>
          <w:rFonts w:asciiTheme="majorHAnsi" w:hAnsiTheme="majorHAnsi"/>
          <w:sz w:val="22"/>
          <w:szCs w:val="20"/>
        </w:rPr>
      </w:pPr>
      <w:bookmarkStart w:id="16" w:name="_ENREF_10"/>
      <w:r w:rsidRPr="004B4AF6">
        <w:rPr>
          <w:rFonts w:asciiTheme="majorHAnsi" w:hAnsiTheme="majorHAnsi"/>
          <w:sz w:val="22"/>
          <w:szCs w:val="20"/>
        </w:rPr>
        <w:t>Lenzen, M., Moran, D., Kanemoto, K., Foran, B., Lobefaro, L., Geschke, A., 2012. International trade drives biodiversity threats in developing nations. Nature 486, 109-112.</w:t>
      </w:r>
      <w:bookmarkEnd w:id="16"/>
    </w:p>
    <w:p w14:paraId="19F8C27E" w14:textId="77777777" w:rsidR="004B4AF6" w:rsidRPr="004B4AF6" w:rsidRDefault="004B4AF6" w:rsidP="00EA1E4C">
      <w:pPr>
        <w:pStyle w:val="EndNoteBibliography"/>
        <w:spacing w:after="0"/>
        <w:ind w:left="567" w:hanging="567"/>
        <w:rPr>
          <w:rFonts w:asciiTheme="majorHAnsi" w:hAnsiTheme="majorHAnsi"/>
          <w:sz w:val="22"/>
          <w:szCs w:val="20"/>
        </w:rPr>
      </w:pPr>
      <w:bookmarkStart w:id="17" w:name="_ENREF_11"/>
      <w:r w:rsidRPr="004B4AF6">
        <w:rPr>
          <w:rFonts w:asciiTheme="majorHAnsi" w:hAnsiTheme="majorHAnsi"/>
          <w:sz w:val="22"/>
          <w:szCs w:val="20"/>
        </w:rPr>
        <w:t>Liu, Z., Guan, D., Crawford-Brown, D., Zhang, Q., He, K., Liu, J., 2013. A low-carbon road map for China. Nature 500, 143-145.</w:t>
      </w:r>
      <w:bookmarkEnd w:id="17"/>
    </w:p>
    <w:p w14:paraId="6FFE32FF" w14:textId="77777777" w:rsidR="004B4AF6" w:rsidRPr="004B4AF6" w:rsidRDefault="004B4AF6" w:rsidP="00EA1E4C">
      <w:pPr>
        <w:pStyle w:val="EndNoteBibliography"/>
        <w:spacing w:after="0"/>
        <w:ind w:left="567" w:hanging="567"/>
        <w:rPr>
          <w:rFonts w:asciiTheme="majorHAnsi" w:hAnsiTheme="majorHAnsi"/>
          <w:sz w:val="22"/>
          <w:szCs w:val="20"/>
        </w:rPr>
      </w:pPr>
      <w:bookmarkStart w:id="18" w:name="_ENREF_12"/>
      <w:r w:rsidRPr="004B4AF6">
        <w:rPr>
          <w:rFonts w:asciiTheme="majorHAnsi" w:hAnsiTheme="majorHAnsi"/>
          <w:sz w:val="22"/>
          <w:szCs w:val="20"/>
        </w:rPr>
        <w:t>López, L.A., Arce, G., Zafrilla, J.E., 2013. Parcelling virtual carbon in the pollution haven hypothesis. Energy Economics 39, 177-186.</w:t>
      </w:r>
      <w:bookmarkEnd w:id="18"/>
    </w:p>
    <w:p w14:paraId="0F90D82C" w14:textId="77777777" w:rsidR="004B4AF6" w:rsidRPr="004B4AF6" w:rsidRDefault="004B4AF6" w:rsidP="00EA1E4C">
      <w:pPr>
        <w:pStyle w:val="EndNoteBibliography"/>
        <w:spacing w:after="0"/>
        <w:ind w:left="567" w:hanging="567"/>
        <w:rPr>
          <w:rFonts w:asciiTheme="majorHAnsi" w:hAnsiTheme="majorHAnsi"/>
          <w:sz w:val="22"/>
          <w:szCs w:val="20"/>
        </w:rPr>
      </w:pPr>
      <w:bookmarkStart w:id="19" w:name="_ENREF_13"/>
      <w:r w:rsidRPr="004B4AF6">
        <w:rPr>
          <w:rFonts w:asciiTheme="majorHAnsi" w:hAnsiTheme="majorHAnsi"/>
          <w:sz w:val="22"/>
          <w:szCs w:val="20"/>
        </w:rPr>
        <w:t>Miller, R.E., Blair, P.D., 2009. Input-Output Analysis: Foundations and Extensions.</w:t>
      </w:r>
      <w:bookmarkEnd w:id="19"/>
    </w:p>
    <w:p w14:paraId="213D3778" w14:textId="77777777" w:rsidR="004B4AF6" w:rsidRPr="004B4AF6" w:rsidRDefault="004B4AF6" w:rsidP="00EA1E4C">
      <w:pPr>
        <w:pStyle w:val="EndNoteBibliography"/>
        <w:spacing w:after="0"/>
        <w:ind w:left="567" w:hanging="567"/>
        <w:rPr>
          <w:rFonts w:asciiTheme="majorHAnsi" w:hAnsiTheme="majorHAnsi"/>
          <w:sz w:val="22"/>
          <w:szCs w:val="20"/>
        </w:rPr>
      </w:pPr>
      <w:bookmarkStart w:id="20" w:name="_ENREF_14"/>
      <w:r w:rsidRPr="004B4AF6">
        <w:rPr>
          <w:rFonts w:asciiTheme="majorHAnsi" w:hAnsiTheme="majorHAnsi"/>
          <w:sz w:val="22"/>
          <w:szCs w:val="20"/>
        </w:rPr>
        <w:t>Peters, G.P., Davis, S.J., Andrew, R.M., 2012a. A synthesis of carbon in international trade. Biogeosciences Discuss 9, 3949-4023.</w:t>
      </w:r>
      <w:bookmarkEnd w:id="20"/>
    </w:p>
    <w:p w14:paraId="3BB9FF8C" w14:textId="77777777" w:rsidR="004B4AF6" w:rsidRPr="004B4AF6" w:rsidRDefault="004B4AF6" w:rsidP="00EA1E4C">
      <w:pPr>
        <w:pStyle w:val="EndNoteBibliography"/>
        <w:spacing w:after="0"/>
        <w:ind w:left="567" w:hanging="567"/>
        <w:rPr>
          <w:rFonts w:asciiTheme="majorHAnsi" w:hAnsiTheme="majorHAnsi"/>
          <w:sz w:val="22"/>
          <w:szCs w:val="20"/>
        </w:rPr>
      </w:pPr>
      <w:bookmarkStart w:id="21" w:name="_ENREF_15"/>
      <w:r w:rsidRPr="004B4AF6">
        <w:rPr>
          <w:rFonts w:asciiTheme="majorHAnsi" w:hAnsiTheme="majorHAnsi"/>
          <w:sz w:val="22"/>
          <w:szCs w:val="20"/>
        </w:rPr>
        <w:t>Peters, G.P., Marland, G., Le Quéré, C., Boden, T., Canadell, J.G., Raupach, M.R., 2012b. Rapid growth in CO</w:t>
      </w:r>
      <w:r w:rsidRPr="004B4AF6">
        <w:rPr>
          <w:rFonts w:asciiTheme="majorHAnsi" w:hAnsiTheme="majorHAnsi"/>
          <w:sz w:val="22"/>
          <w:szCs w:val="20"/>
          <w:vertAlign w:val="subscript"/>
        </w:rPr>
        <w:t>2</w:t>
      </w:r>
      <w:r w:rsidRPr="004B4AF6">
        <w:rPr>
          <w:rFonts w:asciiTheme="majorHAnsi" w:hAnsiTheme="majorHAnsi"/>
          <w:sz w:val="22"/>
          <w:szCs w:val="20"/>
        </w:rPr>
        <w:t xml:space="preserve"> emissions after the 2008-2009 global financial crisis. Nature Climate Change. 2.</w:t>
      </w:r>
      <w:bookmarkEnd w:id="21"/>
    </w:p>
    <w:p w14:paraId="77562503" w14:textId="77777777" w:rsidR="004B4AF6" w:rsidRPr="004B4AF6" w:rsidRDefault="004B4AF6" w:rsidP="00EA1E4C">
      <w:pPr>
        <w:pStyle w:val="EndNoteBibliography"/>
        <w:spacing w:after="0"/>
        <w:ind w:left="567" w:hanging="567"/>
        <w:rPr>
          <w:rFonts w:asciiTheme="majorHAnsi" w:hAnsiTheme="majorHAnsi"/>
          <w:sz w:val="22"/>
          <w:szCs w:val="20"/>
        </w:rPr>
      </w:pPr>
      <w:bookmarkStart w:id="22" w:name="_ENREF_16"/>
      <w:r w:rsidRPr="004B4AF6">
        <w:rPr>
          <w:rFonts w:asciiTheme="majorHAnsi" w:hAnsiTheme="majorHAnsi"/>
          <w:sz w:val="22"/>
          <w:szCs w:val="20"/>
        </w:rPr>
        <w:t>Steen-Olsen, K., Weinzettel, J., Cranston, G., Ertug-Ercin, A., Hertwich, E.G., 2012. Carbon, Land, and Water Footprint Accounts for the European Union: Consumption, Production, and Displacements through International Trade. Environmental Science &amp; Technology.</w:t>
      </w:r>
      <w:bookmarkEnd w:id="22"/>
    </w:p>
    <w:p w14:paraId="0C7691A2" w14:textId="70978D0B" w:rsidR="004B4AF6" w:rsidRPr="004B4AF6" w:rsidRDefault="004B4AF6" w:rsidP="00EA1E4C">
      <w:pPr>
        <w:pStyle w:val="EndNoteBibliography"/>
        <w:spacing w:after="0"/>
        <w:ind w:left="567" w:hanging="567"/>
        <w:rPr>
          <w:rFonts w:asciiTheme="majorHAnsi" w:hAnsiTheme="majorHAnsi"/>
          <w:sz w:val="22"/>
          <w:szCs w:val="20"/>
        </w:rPr>
      </w:pPr>
      <w:bookmarkStart w:id="23" w:name="_ENREF_17"/>
      <w:r w:rsidRPr="004B4AF6">
        <w:rPr>
          <w:rFonts w:asciiTheme="majorHAnsi" w:hAnsiTheme="majorHAnsi"/>
          <w:sz w:val="22"/>
          <w:szCs w:val="20"/>
        </w:rPr>
        <w:t xml:space="preserve">Timmer, M., 2012. The World Input-Output Database (WIOD): Contents, Sources and Methods. WIOD Working Paper Number 10, downloadable at </w:t>
      </w:r>
      <w:hyperlink r:id="rId19" w:history="1">
        <w:r w:rsidRPr="004B4AF6">
          <w:rPr>
            <w:rStyle w:val="Hipervnculo"/>
            <w:rFonts w:asciiTheme="majorHAnsi" w:hAnsiTheme="majorHAnsi"/>
            <w:sz w:val="22"/>
            <w:szCs w:val="20"/>
          </w:rPr>
          <w:t>http://www.wiod.org/publications/papers/wiod10.pdf</w:t>
        </w:r>
      </w:hyperlink>
      <w:r w:rsidRPr="004B4AF6">
        <w:rPr>
          <w:rFonts w:asciiTheme="majorHAnsi" w:hAnsiTheme="majorHAnsi"/>
          <w:sz w:val="22"/>
          <w:szCs w:val="20"/>
        </w:rPr>
        <w:t>.</w:t>
      </w:r>
      <w:bookmarkEnd w:id="23"/>
    </w:p>
    <w:p w14:paraId="75955583" w14:textId="77777777" w:rsidR="004B4AF6" w:rsidRPr="004B4AF6" w:rsidRDefault="004B4AF6" w:rsidP="00EA1E4C">
      <w:pPr>
        <w:pStyle w:val="EndNoteBibliography"/>
        <w:spacing w:after="0"/>
        <w:ind w:left="567" w:hanging="567"/>
        <w:rPr>
          <w:rFonts w:asciiTheme="majorHAnsi" w:hAnsiTheme="majorHAnsi"/>
          <w:sz w:val="22"/>
          <w:szCs w:val="20"/>
        </w:rPr>
      </w:pPr>
      <w:bookmarkStart w:id="24" w:name="_ENREF_18"/>
      <w:r w:rsidRPr="004B4AF6">
        <w:rPr>
          <w:rFonts w:asciiTheme="majorHAnsi" w:hAnsiTheme="majorHAnsi"/>
          <w:sz w:val="22"/>
          <w:szCs w:val="20"/>
        </w:rPr>
        <w:t>Vanham, D., Hoekstra, A.Y., Bidoglio, G., 2013. Potential water saving through changes in European diets. Environment International 61, 45-56.</w:t>
      </w:r>
      <w:bookmarkEnd w:id="24"/>
    </w:p>
    <w:p w14:paraId="31B07195" w14:textId="77777777" w:rsidR="004B4AF6" w:rsidRPr="004B4AF6" w:rsidRDefault="004B4AF6" w:rsidP="00EA1E4C">
      <w:pPr>
        <w:pStyle w:val="EndNoteBibliography"/>
        <w:spacing w:after="0"/>
        <w:ind w:left="567" w:hanging="567"/>
        <w:rPr>
          <w:rFonts w:asciiTheme="majorHAnsi" w:hAnsiTheme="majorHAnsi"/>
          <w:sz w:val="22"/>
          <w:szCs w:val="20"/>
        </w:rPr>
      </w:pPr>
      <w:bookmarkStart w:id="25" w:name="_ENREF_19"/>
      <w:r w:rsidRPr="004B4AF6">
        <w:rPr>
          <w:rFonts w:asciiTheme="majorHAnsi" w:hAnsiTheme="majorHAnsi"/>
          <w:sz w:val="22"/>
          <w:szCs w:val="20"/>
        </w:rPr>
        <w:t>Weber, C.L., Matthews, H.S., 2008. Food-Miles and the Relative Climate Impacts of Food Choices in the United States. Environmental Science &amp; Technology 42, 3508-3513.</w:t>
      </w:r>
      <w:bookmarkEnd w:id="25"/>
    </w:p>
    <w:p w14:paraId="27F4D241" w14:textId="77777777" w:rsidR="004B4AF6" w:rsidRPr="004B4AF6" w:rsidRDefault="004B4AF6" w:rsidP="00EA1E4C">
      <w:pPr>
        <w:pStyle w:val="EndNoteBibliography"/>
        <w:spacing w:after="0"/>
        <w:ind w:left="567" w:hanging="567"/>
        <w:rPr>
          <w:rFonts w:asciiTheme="majorHAnsi" w:hAnsiTheme="majorHAnsi"/>
          <w:sz w:val="22"/>
          <w:szCs w:val="20"/>
        </w:rPr>
      </w:pPr>
      <w:bookmarkStart w:id="26" w:name="_ENREF_20"/>
      <w:r w:rsidRPr="004B4AF6">
        <w:rPr>
          <w:rFonts w:asciiTheme="majorHAnsi" w:hAnsiTheme="majorHAnsi"/>
          <w:sz w:val="22"/>
          <w:szCs w:val="20"/>
        </w:rPr>
        <w:t>Weinzettel, J., Hertwich, E.G., Peters, G.P., Steen-Olsen, K., Galli, A., 2013. Affluence drives the global displacement of land use. Global Environmental Change 23, 433-438.</w:t>
      </w:r>
      <w:bookmarkEnd w:id="26"/>
    </w:p>
    <w:p w14:paraId="16B58B33" w14:textId="77777777" w:rsidR="004B4AF6" w:rsidRPr="004B4AF6" w:rsidRDefault="004B4AF6" w:rsidP="00EA1E4C">
      <w:pPr>
        <w:pStyle w:val="EndNoteBibliography"/>
        <w:spacing w:after="0"/>
        <w:ind w:left="567" w:hanging="567"/>
        <w:rPr>
          <w:rFonts w:asciiTheme="majorHAnsi" w:hAnsiTheme="majorHAnsi"/>
          <w:sz w:val="22"/>
          <w:szCs w:val="20"/>
        </w:rPr>
      </w:pPr>
      <w:bookmarkStart w:id="27" w:name="_ENREF_21"/>
      <w:r w:rsidRPr="004B4AF6">
        <w:rPr>
          <w:rFonts w:asciiTheme="majorHAnsi" w:hAnsiTheme="majorHAnsi"/>
          <w:sz w:val="22"/>
          <w:szCs w:val="20"/>
        </w:rPr>
        <w:t>Wiedmann, T.O., Lenzen, M., Barrett, J.R., 2009. Companies on the Scale: Comparing and Benchmarking the Sustainability Performance of Businesses. Journal of Industrial Ecology 13.</w:t>
      </w:r>
      <w:bookmarkEnd w:id="27"/>
    </w:p>
    <w:p w14:paraId="75753EE7" w14:textId="77777777" w:rsidR="004B4AF6" w:rsidRPr="004B4AF6" w:rsidRDefault="004B4AF6" w:rsidP="00EA1E4C">
      <w:pPr>
        <w:pStyle w:val="EndNoteBibliography"/>
        <w:spacing w:after="0"/>
        <w:ind w:left="567" w:hanging="567"/>
        <w:rPr>
          <w:rFonts w:asciiTheme="majorHAnsi" w:hAnsiTheme="majorHAnsi"/>
          <w:sz w:val="22"/>
          <w:szCs w:val="20"/>
        </w:rPr>
      </w:pPr>
      <w:bookmarkStart w:id="28" w:name="_ENREF_22"/>
      <w:r w:rsidRPr="004B4AF6">
        <w:rPr>
          <w:rFonts w:asciiTheme="majorHAnsi" w:hAnsiTheme="majorHAnsi"/>
          <w:sz w:val="22"/>
          <w:szCs w:val="20"/>
        </w:rPr>
        <w:lastRenderedPageBreak/>
        <w:t>Wiedmann, T.O., Schandl, H., Lenzen, M., Moran, D., Suh, S., West, J., Kanemoto, K., 2013. The material footprint of nations. PNAS.</w:t>
      </w:r>
      <w:bookmarkEnd w:id="28"/>
    </w:p>
    <w:p w14:paraId="225C929C" w14:textId="5A64A5E5" w:rsidR="00612D56" w:rsidRPr="004B4AF6" w:rsidRDefault="004B4AF6" w:rsidP="00EA1E4C">
      <w:pPr>
        <w:pStyle w:val="EndNoteBibliography"/>
        <w:ind w:left="567" w:hanging="567"/>
        <w:rPr>
          <w:rFonts w:asciiTheme="majorHAnsi" w:hAnsiTheme="majorHAnsi"/>
          <w:sz w:val="22"/>
          <w:szCs w:val="20"/>
        </w:rPr>
      </w:pPr>
      <w:bookmarkStart w:id="29" w:name="_ENREF_23"/>
      <w:r w:rsidRPr="004B4AF6">
        <w:rPr>
          <w:rFonts w:asciiTheme="majorHAnsi" w:hAnsiTheme="majorHAnsi"/>
          <w:sz w:val="22"/>
          <w:szCs w:val="20"/>
        </w:rPr>
        <w:t>Xu, Y., Dietzenbacher, E., 2014. A structural decomposition analysis of the emissions embodied in trade. Ecological Economics 101, 10-20.</w:t>
      </w:r>
      <w:bookmarkEnd w:id="29"/>
      <w:r w:rsidR="003052C3" w:rsidRPr="004B4AF6">
        <w:rPr>
          <w:rFonts w:asciiTheme="majorHAnsi" w:hAnsiTheme="majorHAnsi"/>
          <w:sz w:val="22"/>
          <w:szCs w:val="20"/>
        </w:rPr>
        <w:fldChar w:fldCharType="end"/>
      </w:r>
    </w:p>
    <w:sectPr w:rsidR="00612D56" w:rsidRPr="004B4AF6">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3B179" w14:textId="77777777" w:rsidR="00F74706" w:rsidRDefault="00F74706" w:rsidP="001863B2">
      <w:pPr>
        <w:spacing w:before="0" w:after="0" w:line="240" w:lineRule="auto"/>
      </w:pPr>
      <w:r>
        <w:separator/>
      </w:r>
    </w:p>
  </w:endnote>
  <w:endnote w:type="continuationSeparator" w:id="0">
    <w:p w14:paraId="18B7EF2A" w14:textId="77777777" w:rsidR="00F74706" w:rsidRDefault="00F74706" w:rsidP="001863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65663"/>
      <w:docPartObj>
        <w:docPartGallery w:val="Page Numbers (Bottom of Page)"/>
        <w:docPartUnique/>
      </w:docPartObj>
    </w:sdtPr>
    <w:sdtEndPr/>
    <w:sdtContent>
      <w:p w14:paraId="389D702A" w14:textId="05D328A6" w:rsidR="004B4AF6" w:rsidRDefault="004B4AF6">
        <w:pPr>
          <w:pStyle w:val="Piedepgina"/>
          <w:jc w:val="right"/>
        </w:pPr>
        <w:r>
          <w:fldChar w:fldCharType="begin"/>
        </w:r>
        <w:r>
          <w:instrText>PAGE   \* MERGEFORMAT</w:instrText>
        </w:r>
        <w:r>
          <w:fldChar w:fldCharType="separate"/>
        </w:r>
        <w:r w:rsidR="00787D4A">
          <w:rPr>
            <w:noProof/>
          </w:rPr>
          <w:t>17</w:t>
        </w:r>
        <w:r>
          <w:fldChar w:fldCharType="end"/>
        </w:r>
      </w:p>
    </w:sdtContent>
  </w:sdt>
  <w:p w14:paraId="2E83E957" w14:textId="77777777" w:rsidR="005A6B2B" w:rsidRDefault="005A6B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A609F" w14:textId="77777777" w:rsidR="00F74706" w:rsidRDefault="00F74706" w:rsidP="001863B2">
      <w:pPr>
        <w:spacing w:before="0" w:after="0" w:line="240" w:lineRule="auto"/>
      </w:pPr>
      <w:r>
        <w:separator/>
      </w:r>
    </w:p>
  </w:footnote>
  <w:footnote w:type="continuationSeparator" w:id="0">
    <w:p w14:paraId="118B1947" w14:textId="77777777" w:rsidR="00F74706" w:rsidRDefault="00F74706" w:rsidP="001863B2">
      <w:pPr>
        <w:spacing w:before="0" w:after="0" w:line="240" w:lineRule="auto"/>
      </w:pPr>
      <w:r>
        <w:continuationSeparator/>
      </w:r>
    </w:p>
  </w:footnote>
  <w:footnote w:id="1">
    <w:p w14:paraId="51C65B01" w14:textId="595CEC8E" w:rsidR="005A6B2B" w:rsidRPr="00981798" w:rsidRDefault="005A6B2B" w:rsidP="004B4AF6">
      <w:pPr>
        <w:spacing w:before="0" w:beforeAutospacing="0" w:after="0" w:afterAutospacing="0" w:line="240" w:lineRule="auto"/>
        <w:rPr>
          <w:lang w:val="en-GB"/>
        </w:rPr>
      </w:pPr>
      <w:r w:rsidRPr="00981798">
        <w:rPr>
          <w:rFonts w:asciiTheme="majorHAnsi" w:eastAsiaTheme="minorEastAsia" w:hAnsiTheme="majorHAnsi"/>
          <w:sz w:val="20"/>
          <w:szCs w:val="20"/>
          <w:vertAlign w:val="superscript"/>
        </w:rPr>
        <w:footnoteRef/>
      </w:r>
      <w:r w:rsidRPr="00981798">
        <w:rPr>
          <w:rFonts w:asciiTheme="majorHAnsi" w:eastAsiaTheme="minorEastAsia" w:hAnsiTheme="majorHAnsi"/>
          <w:sz w:val="20"/>
          <w:szCs w:val="20"/>
          <w:lang w:val="en-GB"/>
        </w:rPr>
        <w:t xml:space="preserve"> The region referred as ‘Rest of EU’ incorporates all European countries that provides WIOD except Spain; NAFTA refers to the </w:t>
      </w:r>
      <w:r w:rsidRPr="00981798">
        <w:rPr>
          <w:rFonts w:asciiTheme="majorHAnsi" w:eastAsiaTheme="minorEastAsia" w:hAnsiTheme="majorHAnsi"/>
          <w:i/>
          <w:sz w:val="20"/>
          <w:szCs w:val="20"/>
          <w:lang w:val="en-GB"/>
        </w:rPr>
        <w:t>North American Free Trade Agreement</w:t>
      </w:r>
      <w:r w:rsidRPr="00981798">
        <w:rPr>
          <w:rFonts w:asciiTheme="majorHAnsi" w:eastAsiaTheme="minorEastAsia" w:hAnsiTheme="majorHAnsi"/>
          <w:sz w:val="20"/>
          <w:szCs w:val="20"/>
          <w:lang w:val="en-GB"/>
        </w:rPr>
        <w:t xml:space="preserve"> countries (Canada, Mexico and United States)</w:t>
      </w:r>
      <w:r>
        <w:rPr>
          <w:rFonts w:asciiTheme="majorHAnsi" w:eastAsiaTheme="minorEastAsia" w:hAnsiTheme="majorHAnsi"/>
          <w:sz w:val="20"/>
          <w:szCs w:val="20"/>
          <w:lang w:val="en-GB"/>
        </w:rPr>
        <w:t>; East Asia</w:t>
      </w:r>
      <w:r w:rsidRPr="00981798">
        <w:rPr>
          <w:lang w:val="en-GB"/>
        </w:rPr>
        <w:t xml:space="preserve"> </w:t>
      </w:r>
      <w:r w:rsidRPr="00981798">
        <w:rPr>
          <w:rFonts w:asciiTheme="majorHAnsi" w:eastAsiaTheme="minorEastAsia" w:hAnsiTheme="majorHAnsi"/>
          <w:sz w:val="20"/>
          <w:szCs w:val="20"/>
          <w:lang w:val="en-GB"/>
        </w:rPr>
        <w:t xml:space="preserve">is represented by Japan, North Korea and Taiwan; </w:t>
      </w:r>
      <w:r>
        <w:rPr>
          <w:rFonts w:asciiTheme="majorHAnsi" w:eastAsiaTheme="minorEastAsia" w:hAnsiTheme="majorHAnsi"/>
          <w:sz w:val="20"/>
          <w:szCs w:val="20"/>
          <w:lang w:val="en-GB"/>
        </w:rPr>
        <w:t xml:space="preserve">and </w:t>
      </w:r>
      <w:r w:rsidRPr="00981798">
        <w:rPr>
          <w:rFonts w:asciiTheme="majorHAnsi" w:eastAsiaTheme="minorEastAsia" w:hAnsiTheme="majorHAnsi"/>
          <w:sz w:val="20"/>
          <w:szCs w:val="20"/>
          <w:lang w:val="en-GB"/>
        </w:rPr>
        <w:t>Brasil, Rus</w:t>
      </w:r>
      <w:r>
        <w:rPr>
          <w:rFonts w:asciiTheme="majorHAnsi" w:eastAsiaTheme="minorEastAsia" w:hAnsiTheme="majorHAnsi"/>
          <w:sz w:val="20"/>
          <w:szCs w:val="20"/>
          <w:lang w:val="en-GB"/>
        </w:rPr>
        <w:t>s</w:t>
      </w:r>
      <w:r w:rsidRPr="00981798">
        <w:rPr>
          <w:rFonts w:asciiTheme="majorHAnsi" w:eastAsiaTheme="minorEastAsia" w:hAnsiTheme="majorHAnsi"/>
          <w:sz w:val="20"/>
          <w:szCs w:val="20"/>
          <w:lang w:val="en-GB"/>
        </w:rPr>
        <w:t>ia, Ind</w:t>
      </w:r>
      <w:r>
        <w:rPr>
          <w:rFonts w:asciiTheme="majorHAnsi" w:eastAsiaTheme="minorEastAsia" w:hAnsiTheme="majorHAnsi"/>
          <w:sz w:val="20"/>
          <w:szCs w:val="20"/>
          <w:lang w:val="en-GB"/>
        </w:rPr>
        <w:t xml:space="preserve">onesia, India, Australia and </w:t>
      </w:r>
      <w:r w:rsidRPr="00981798">
        <w:rPr>
          <w:rFonts w:asciiTheme="majorHAnsi" w:eastAsiaTheme="minorEastAsia" w:hAnsiTheme="majorHAnsi"/>
          <w:sz w:val="20"/>
          <w:szCs w:val="20"/>
          <w:lang w:val="en-GB"/>
        </w:rPr>
        <w:t>Turkey are the BRIIAT.</w:t>
      </w:r>
    </w:p>
  </w:footnote>
  <w:footnote w:id="2">
    <w:p w14:paraId="419E229C" w14:textId="77777777" w:rsidR="005A6B2B" w:rsidRPr="00F858C0" w:rsidRDefault="005A6B2B" w:rsidP="005D6532">
      <w:pPr>
        <w:pStyle w:val="Textonotapie"/>
        <w:spacing w:beforeAutospacing="0" w:afterAutospacing="0"/>
        <w:rPr>
          <w:b/>
          <w:lang w:val="en-GB"/>
        </w:rPr>
      </w:pPr>
      <w:r w:rsidRPr="00CE031A">
        <w:rPr>
          <w:rStyle w:val="Refdenotaalpie"/>
          <w:szCs w:val="16"/>
        </w:rPr>
        <w:footnoteRef/>
      </w:r>
      <w:r w:rsidRPr="00135EEB">
        <w:rPr>
          <w:lang w:val="en-GB"/>
        </w:rPr>
        <w:t xml:space="preserve"> These data exclude indirect taxes on consumption,</w:t>
      </w:r>
      <w:r>
        <w:rPr>
          <w:lang w:val="en-GB"/>
        </w:rPr>
        <w:t xml:space="preserve"> that</w:t>
      </w:r>
      <w:r w:rsidRPr="00135EEB">
        <w:rPr>
          <w:lang w:val="en-GB"/>
        </w:rPr>
        <w:t xml:space="preserve"> have b</w:t>
      </w:r>
      <w:r>
        <w:rPr>
          <w:lang w:val="en-GB"/>
        </w:rPr>
        <w:t>een removed based on the data of</w:t>
      </w:r>
      <w:r w:rsidRPr="00135EEB">
        <w:rPr>
          <w:lang w:val="en-GB"/>
        </w:rPr>
        <w:t xml:space="preserve"> the weighted average VAT rate for each year, published by the </w:t>
      </w:r>
      <w:r>
        <w:rPr>
          <w:lang w:val="en-GB"/>
        </w:rPr>
        <w:t xml:space="preserve">Spanish </w:t>
      </w:r>
      <w:r w:rsidRPr="00135EEB">
        <w:rPr>
          <w:lang w:val="en-GB"/>
        </w:rPr>
        <w:t>Tax Agency</w:t>
      </w:r>
      <w:r>
        <w:rPr>
          <w:lang w:val="en-GB"/>
        </w:rPr>
        <w:t xml:space="preserve"> (</w:t>
      </w:r>
      <w:r w:rsidRPr="00135EEB">
        <w:rPr>
          <w:lang w:val="en-GB"/>
        </w:rPr>
        <w:t xml:space="preserve">Agencia Tributaria). </w:t>
      </w:r>
      <w:r>
        <w:rPr>
          <w:lang w:val="en-GB"/>
        </w:rPr>
        <w:t>The d</w:t>
      </w:r>
      <w:r w:rsidRPr="00F858C0">
        <w:rPr>
          <w:lang w:val="en-GB"/>
        </w:rPr>
        <w:t xml:space="preserve">ata have been deflated based on the Consumer Price Index for the corresponding year published by the </w:t>
      </w:r>
      <w:r>
        <w:rPr>
          <w:lang w:val="en-GB"/>
        </w:rPr>
        <w:t xml:space="preserve">Spanish </w:t>
      </w:r>
      <w:r w:rsidRPr="00F858C0">
        <w:rPr>
          <w:lang w:val="en-GB"/>
        </w:rPr>
        <w:t>National Statistics Institute.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A597E"/>
    <w:multiLevelType w:val="multilevel"/>
    <w:tmpl w:val="638EBB7C"/>
    <w:lvl w:ilvl="0">
      <w:start w:val="1"/>
      <w:numFmt w:val="decimal"/>
      <w:pStyle w:val="Ttulo1"/>
      <w:lvlText w:val="%1"/>
      <w:lvlJc w:val="left"/>
      <w:pPr>
        <w:ind w:left="432" w:hanging="432"/>
      </w:pPr>
      <w:rPr>
        <w:sz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4E170315"/>
    <w:multiLevelType w:val="hybridMultilevel"/>
    <w:tmpl w:val="49EC4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086E24"/>
    <w:multiLevelType w:val="hybridMultilevel"/>
    <w:tmpl w:val="59AA59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Energy Policy&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0tde0xz2xaee9edeervtv2uvtrx99daf9a5&quot;&gt;My EndNote Library&lt;record-ids&gt;&lt;item&gt;164&lt;/item&gt;&lt;item&gt;301&lt;/item&gt;&lt;item&gt;314&lt;/item&gt;&lt;item&gt;598&lt;/item&gt;&lt;item&gt;622&lt;/item&gt;&lt;item&gt;624&lt;/item&gt;&lt;item&gt;641&lt;/item&gt;&lt;item&gt;692&lt;/item&gt;&lt;item&gt;745&lt;/item&gt;&lt;item&gt;765&lt;/item&gt;&lt;item&gt;836&lt;/item&gt;&lt;item&gt;908&lt;/item&gt;&lt;item&gt;922&lt;/item&gt;&lt;item&gt;924&lt;/item&gt;&lt;item&gt;938&lt;/item&gt;&lt;item&gt;939&lt;/item&gt;&lt;item&gt;940&lt;/item&gt;&lt;item&gt;941&lt;/item&gt;&lt;item&gt;942&lt;/item&gt;&lt;item&gt;943&lt;/item&gt;&lt;item&gt;944&lt;/item&gt;&lt;item&gt;945&lt;/item&gt;&lt;item&gt;946&lt;/item&gt;&lt;/record-ids&gt;&lt;/item&gt;&lt;/Libraries&gt;"/>
  </w:docVars>
  <w:rsids>
    <w:rsidRoot w:val="001863B2"/>
    <w:rsid w:val="000011B5"/>
    <w:rsid w:val="00021DFE"/>
    <w:rsid w:val="00030BC5"/>
    <w:rsid w:val="00075505"/>
    <w:rsid w:val="000971B7"/>
    <w:rsid w:val="000B3195"/>
    <w:rsid w:val="000B47C6"/>
    <w:rsid w:val="000B7004"/>
    <w:rsid w:val="000F127E"/>
    <w:rsid w:val="000F4C5A"/>
    <w:rsid w:val="0011016A"/>
    <w:rsid w:val="00145336"/>
    <w:rsid w:val="001460A5"/>
    <w:rsid w:val="00174A4E"/>
    <w:rsid w:val="001863B2"/>
    <w:rsid w:val="001A2FE7"/>
    <w:rsid w:val="002077CD"/>
    <w:rsid w:val="00213708"/>
    <w:rsid w:val="00222382"/>
    <w:rsid w:val="00245685"/>
    <w:rsid w:val="00257A1F"/>
    <w:rsid w:val="002630A6"/>
    <w:rsid w:val="00267407"/>
    <w:rsid w:val="00295649"/>
    <w:rsid w:val="002A0116"/>
    <w:rsid w:val="002A6D73"/>
    <w:rsid w:val="002F00E8"/>
    <w:rsid w:val="003052C3"/>
    <w:rsid w:val="00330079"/>
    <w:rsid w:val="00346DAB"/>
    <w:rsid w:val="00374CC2"/>
    <w:rsid w:val="003D7A0F"/>
    <w:rsid w:val="003F3E75"/>
    <w:rsid w:val="003F70D8"/>
    <w:rsid w:val="00405DF6"/>
    <w:rsid w:val="00416C0D"/>
    <w:rsid w:val="00466EDD"/>
    <w:rsid w:val="00494D43"/>
    <w:rsid w:val="004A0F2A"/>
    <w:rsid w:val="004B4940"/>
    <w:rsid w:val="004B4AF6"/>
    <w:rsid w:val="004B7E62"/>
    <w:rsid w:val="004C1FF7"/>
    <w:rsid w:val="004C238B"/>
    <w:rsid w:val="004E2629"/>
    <w:rsid w:val="005151FC"/>
    <w:rsid w:val="005418B8"/>
    <w:rsid w:val="00546619"/>
    <w:rsid w:val="005A6B2B"/>
    <w:rsid w:val="005D6532"/>
    <w:rsid w:val="00612D56"/>
    <w:rsid w:val="00641664"/>
    <w:rsid w:val="00685829"/>
    <w:rsid w:val="006C689B"/>
    <w:rsid w:val="007415FF"/>
    <w:rsid w:val="00773914"/>
    <w:rsid w:val="00787D4A"/>
    <w:rsid w:val="007B4417"/>
    <w:rsid w:val="007B4B7C"/>
    <w:rsid w:val="00801269"/>
    <w:rsid w:val="00885584"/>
    <w:rsid w:val="00893EEE"/>
    <w:rsid w:val="008A7298"/>
    <w:rsid w:val="008B2498"/>
    <w:rsid w:val="008C4493"/>
    <w:rsid w:val="008D3079"/>
    <w:rsid w:val="008F4147"/>
    <w:rsid w:val="008F44EC"/>
    <w:rsid w:val="008F7093"/>
    <w:rsid w:val="00925014"/>
    <w:rsid w:val="009623EA"/>
    <w:rsid w:val="00980D83"/>
    <w:rsid w:val="009862DC"/>
    <w:rsid w:val="00993F70"/>
    <w:rsid w:val="00A135F6"/>
    <w:rsid w:val="00A73ED0"/>
    <w:rsid w:val="00A944C5"/>
    <w:rsid w:val="00AA63FA"/>
    <w:rsid w:val="00AF3EB1"/>
    <w:rsid w:val="00B05EC7"/>
    <w:rsid w:val="00B30A21"/>
    <w:rsid w:val="00B63AC4"/>
    <w:rsid w:val="00B77B93"/>
    <w:rsid w:val="00B8280F"/>
    <w:rsid w:val="00BC10DF"/>
    <w:rsid w:val="00BF013C"/>
    <w:rsid w:val="00C019ED"/>
    <w:rsid w:val="00C04D24"/>
    <w:rsid w:val="00C41A12"/>
    <w:rsid w:val="00C57B63"/>
    <w:rsid w:val="00C7128D"/>
    <w:rsid w:val="00C9489A"/>
    <w:rsid w:val="00CB492C"/>
    <w:rsid w:val="00CD5C38"/>
    <w:rsid w:val="00D0000F"/>
    <w:rsid w:val="00D22071"/>
    <w:rsid w:val="00D33E27"/>
    <w:rsid w:val="00D7129D"/>
    <w:rsid w:val="00D95122"/>
    <w:rsid w:val="00DC53B0"/>
    <w:rsid w:val="00DD1D8E"/>
    <w:rsid w:val="00DF24F1"/>
    <w:rsid w:val="00E636E3"/>
    <w:rsid w:val="00E8168E"/>
    <w:rsid w:val="00E85273"/>
    <w:rsid w:val="00E90815"/>
    <w:rsid w:val="00E957A1"/>
    <w:rsid w:val="00EA1E4C"/>
    <w:rsid w:val="00F10D54"/>
    <w:rsid w:val="00F221BC"/>
    <w:rsid w:val="00F362A0"/>
    <w:rsid w:val="00F52B4D"/>
    <w:rsid w:val="00F62CDD"/>
    <w:rsid w:val="00F74706"/>
    <w:rsid w:val="00F75FA7"/>
    <w:rsid w:val="00F95CCC"/>
    <w:rsid w:val="00FB44B1"/>
    <w:rsid w:val="00FB4F89"/>
    <w:rsid w:val="00FF6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2AB3"/>
  <w15:docId w15:val="{B7B1467E-B355-4D2E-A36C-10A41786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B2"/>
    <w:pPr>
      <w:spacing w:before="100" w:beforeAutospacing="1" w:after="100" w:afterAutospacing="1" w:line="360" w:lineRule="auto"/>
      <w:ind w:firstLine="709"/>
      <w:jc w:val="both"/>
    </w:pPr>
    <w:rPr>
      <w:rFonts w:ascii="Times New Roman" w:hAnsi="Times New Roman"/>
      <w:sz w:val="24"/>
    </w:rPr>
  </w:style>
  <w:style w:type="paragraph" w:styleId="Ttulo1">
    <w:name w:val="heading 1"/>
    <w:basedOn w:val="Normal"/>
    <w:next w:val="Normal"/>
    <w:link w:val="Ttulo1Car"/>
    <w:uiPriority w:val="9"/>
    <w:qFormat/>
    <w:rsid w:val="001863B2"/>
    <w:pPr>
      <w:keepNext/>
      <w:keepLines/>
      <w:numPr>
        <w:numId w:val="1"/>
      </w:numPr>
      <w:spacing w:line="480" w:lineRule="auto"/>
      <w:ind w:left="431" w:hanging="431"/>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1863B2"/>
    <w:pPr>
      <w:keepNext/>
      <w:keepLines/>
      <w:numPr>
        <w:ilvl w:val="1"/>
        <w:numId w:val="1"/>
      </w:numPr>
      <w:spacing w:before="200" w:after="0" w:line="480" w:lineRule="auto"/>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1863B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863B2"/>
    <w:pPr>
      <w:keepNext/>
      <w:keepLines/>
      <w:numPr>
        <w:ilvl w:val="3"/>
        <w:numId w:val="1"/>
      </w:numPr>
      <w:tabs>
        <w:tab w:val="num" w:pos="2160"/>
      </w:tabs>
      <w:spacing w:before="200" w:after="0"/>
      <w:ind w:left="2088" w:hanging="648"/>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863B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863B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863B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863B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863B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3B2"/>
    <w:rPr>
      <w:rFonts w:ascii="Times New Roman" w:eastAsiaTheme="majorEastAsia" w:hAnsi="Times New Roman" w:cstheme="majorBidi"/>
      <w:b/>
      <w:bCs/>
      <w:sz w:val="28"/>
      <w:szCs w:val="28"/>
    </w:rPr>
  </w:style>
  <w:style w:type="character" w:customStyle="1" w:styleId="Ttulo2Car">
    <w:name w:val="Título 2 Car"/>
    <w:basedOn w:val="Fuentedeprrafopredeter"/>
    <w:link w:val="Ttulo2"/>
    <w:uiPriority w:val="9"/>
    <w:rsid w:val="001863B2"/>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semiHidden/>
    <w:rsid w:val="001863B2"/>
    <w:rPr>
      <w:rFonts w:asciiTheme="majorHAnsi" w:eastAsiaTheme="majorEastAsia" w:hAnsiTheme="majorHAnsi" w:cstheme="majorBidi"/>
      <w:b/>
      <w:bCs/>
      <w:color w:val="4F81BD" w:themeColor="accent1"/>
      <w:sz w:val="24"/>
    </w:rPr>
  </w:style>
  <w:style w:type="character" w:customStyle="1" w:styleId="Ttulo4Car">
    <w:name w:val="Título 4 Car"/>
    <w:basedOn w:val="Fuentedeprrafopredeter"/>
    <w:link w:val="Ttulo4"/>
    <w:uiPriority w:val="9"/>
    <w:semiHidden/>
    <w:rsid w:val="001863B2"/>
    <w:rPr>
      <w:rFonts w:asciiTheme="majorHAnsi" w:eastAsiaTheme="majorEastAsia" w:hAnsiTheme="majorHAnsi" w:cstheme="majorBidi"/>
      <w:b/>
      <w:bCs/>
      <w:i/>
      <w:iCs/>
      <w:color w:val="4F81BD" w:themeColor="accent1"/>
      <w:sz w:val="24"/>
    </w:rPr>
  </w:style>
  <w:style w:type="character" w:customStyle="1" w:styleId="Ttulo5Car">
    <w:name w:val="Título 5 Car"/>
    <w:basedOn w:val="Fuentedeprrafopredeter"/>
    <w:link w:val="Ttulo5"/>
    <w:uiPriority w:val="9"/>
    <w:semiHidden/>
    <w:rsid w:val="001863B2"/>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semiHidden/>
    <w:rsid w:val="001863B2"/>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1863B2"/>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1863B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863B2"/>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uiPriority w:val="99"/>
    <w:unhideWhenUsed/>
    <w:rsid w:val="001863B2"/>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1863B2"/>
    <w:rPr>
      <w:rFonts w:ascii="Times New Roman" w:hAnsi="Times New Roman"/>
      <w:sz w:val="20"/>
      <w:szCs w:val="20"/>
    </w:rPr>
  </w:style>
  <w:style w:type="character" w:styleId="Refdenotaalpie">
    <w:name w:val="footnote reference"/>
    <w:basedOn w:val="Fuentedeprrafopredeter"/>
    <w:uiPriority w:val="99"/>
    <w:semiHidden/>
    <w:unhideWhenUsed/>
    <w:rsid w:val="001863B2"/>
    <w:rPr>
      <w:vertAlign w:val="superscript"/>
    </w:rPr>
  </w:style>
  <w:style w:type="paragraph" w:customStyle="1" w:styleId="Titulitos">
    <w:name w:val="Titulitos"/>
    <w:basedOn w:val="Descripcin"/>
    <w:link w:val="TitulitosCar"/>
    <w:qFormat/>
    <w:rsid w:val="001863B2"/>
    <w:pPr>
      <w:spacing w:beforeAutospacing="0" w:after="0" w:afterAutospacing="0"/>
      <w:ind w:firstLine="0"/>
    </w:pPr>
    <w:rPr>
      <w:rFonts w:eastAsiaTheme="minorEastAsia"/>
      <w:color w:val="auto"/>
      <w:sz w:val="16"/>
    </w:rPr>
  </w:style>
  <w:style w:type="paragraph" w:customStyle="1" w:styleId="Subtitulitos">
    <w:name w:val="Subtitulitos"/>
    <w:basedOn w:val="Descripcin"/>
    <w:link w:val="SubtitulitosCar"/>
    <w:qFormat/>
    <w:rsid w:val="001863B2"/>
    <w:pPr>
      <w:spacing w:beforeAutospacing="0" w:after="0" w:afterAutospacing="0"/>
      <w:ind w:firstLine="0"/>
    </w:pPr>
    <w:rPr>
      <w:rFonts w:eastAsiaTheme="minorEastAsia"/>
      <w:b w:val="0"/>
      <w:color w:val="auto"/>
      <w:sz w:val="16"/>
    </w:rPr>
  </w:style>
  <w:style w:type="character" w:customStyle="1" w:styleId="TitulitosCar">
    <w:name w:val="Titulitos Car"/>
    <w:basedOn w:val="Fuentedeprrafopredeter"/>
    <w:link w:val="Titulitos"/>
    <w:rsid w:val="001863B2"/>
    <w:rPr>
      <w:rFonts w:ascii="Times New Roman" w:eastAsiaTheme="minorEastAsia" w:hAnsi="Times New Roman"/>
      <w:b/>
      <w:bCs/>
      <w:sz w:val="16"/>
      <w:szCs w:val="18"/>
    </w:rPr>
  </w:style>
  <w:style w:type="character" w:customStyle="1" w:styleId="SubtitulitosCar">
    <w:name w:val="Subtitulitos Car"/>
    <w:basedOn w:val="Fuentedeprrafopredeter"/>
    <w:link w:val="Subtitulitos"/>
    <w:rsid w:val="001863B2"/>
    <w:rPr>
      <w:rFonts w:ascii="Times New Roman" w:eastAsiaTheme="minorEastAsia" w:hAnsi="Times New Roman"/>
      <w:bCs/>
      <w:sz w:val="16"/>
      <w:szCs w:val="18"/>
    </w:rPr>
  </w:style>
  <w:style w:type="paragraph" w:styleId="Descripcin">
    <w:name w:val="caption"/>
    <w:basedOn w:val="Normal"/>
    <w:next w:val="Normal"/>
    <w:uiPriority w:val="35"/>
    <w:semiHidden/>
    <w:unhideWhenUsed/>
    <w:qFormat/>
    <w:rsid w:val="001863B2"/>
    <w:pPr>
      <w:spacing w:before="0" w:after="200"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1863B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3B2"/>
    <w:rPr>
      <w:rFonts w:ascii="Tahoma" w:hAnsi="Tahoma" w:cs="Tahoma"/>
      <w:sz w:val="16"/>
      <w:szCs w:val="16"/>
    </w:rPr>
  </w:style>
  <w:style w:type="character" w:styleId="Hipervnculo">
    <w:name w:val="Hyperlink"/>
    <w:basedOn w:val="Fuentedeprrafopredeter"/>
    <w:uiPriority w:val="99"/>
    <w:unhideWhenUsed/>
    <w:rsid w:val="00DC53B0"/>
    <w:rPr>
      <w:color w:val="0000FF" w:themeColor="hyperlink"/>
      <w:u w:val="single"/>
    </w:rPr>
  </w:style>
  <w:style w:type="paragraph" w:styleId="Prrafodelista">
    <w:name w:val="List Paragraph"/>
    <w:basedOn w:val="Normal"/>
    <w:uiPriority w:val="34"/>
    <w:qFormat/>
    <w:rsid w:val="00416C0D"/>
    <w:pPr>
      <w:ind w:left="720"/>
      <w:contextualSpacing/>
    </w:pPr>
  </w:style>
  <w:style w:type="paragraph" w:styleId="Piedepgina">
    <w:name w:val="footer"/>
    <w:basedOn w:val="Normal"/>
    <w:link w:val="PiedepginaCar"/>
    <w:uiPriority w:val="99"/>
    <w:unhideWhenUsed/>
    <w:rsid w:val="00174A4E"/>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174A4E"/>
    <w:rPr>
      <w:rFonts w:ascii="Times New Roman" w:hAnsi="Times New Roman"/>
      <w:sz w:val="24"/>
    </w:rPr>
  </w:style>
  <w:style w:type="character" w:styleId="Refdecomentario">
    <w:name w:val="annotation reference"/>
    <w:basedOn w:val="Fuentedeprrafopredeter"/>
    <w:uiPriority w:val="99"/>
    <w:semiHidden/>
    <w:unhideWhenUsed/>
    <w:rsid w:val="008C4493"/>
    <w:rPr>
      <w:sz w:val="16"/>
      <w:szCs w:val="16"/>
    </w:rPr>
  </w:style>
  <w:style w:type="paragraph" w:styleId="Textocomentario">
    <w:name w:val="annotation text"/>
    <w:basedOn w:val="Normal"/>
    <w:link w:val="TextocomentarioCar"/>
    <w:uiPriority w:val="99"/>
    <w:semiHidden/>
    <w:unhideWhenUsed/>
    <w:rsid w:val="008C4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49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C4493"/>
    <w:rPr>
      <w:b/>
      <w:bCs/>
    </w:rPr>
  </w:style>
  <w:style w:type="character" w:customStyle="1" w:styleId="AsuntodelcomentarioCar">
    <w:name w:val="Asunto del comentario Car"/>
    <w:basedOn w:val="TextocomentarioCar"/>
    <w:link w:val="Asuntodelcomentario"/>
    <w:uiPriority w:val="99"/>
    <w:semiHidden/>
    <w:rsid w:val="008C4493"/>
    <w:rPr>
      <w:rFonts w:ascii="Times New Roman" w:hAnsi="Times New Roman"/>
      <w:b/>
      <w:bCs/>
      <w:sz w:val="20"/>
      <w:szCs w:val="20"/>
    </w:rPr>
  </w:style>
  <w:style w:type="paragraph" w:customStyle="1" w:styleId="EndNoteBibliographyTitle">
    <w:name w:val="EndNote Bibliography Title"/>
    <w:basedOn w:val="Normal"/>
    <w:link w:val="EndNoteBibliographyTitleCar"/>
    <w:rsid w:val="003052C3"/>
    <w:pPr>
      <w:spacing w:after="0"/>
      <w:jc w:val="center"/>
    </w:pPr>
    <w:rPr>
      <w:rFonts w:cs="Times New Roman"/>
      <w:noProof/>
      <w:sz w:val="16"/>
      <w:lang w:val="en-US"/>
    </w:rPr>
  </w:style>
  <w:style w:type="character" w:customStyle="1" w:styleId="EndNoteBibliographyTitleCar">
    <w:name w:val="EndNote Bibliography Title Car"/>
    <w:basedOn w:val="Fuentedeprrafopredeter"/>
    <w:link w:val="EndNoteBibliographyTitle"/>
    <w:rsid w:val="003052C3"/>
    <w:rPr>
      <w:rFonts w:ascii="Times New Roman" w:hAnsi="Times New Roman" w:cs="Times New Roman"/>
      <w:noProof/>
      <w:sz w:val="16"/>
      <w:lang w:val="en-US"/>
    </w:rPr>
  </w:style>
  <w:style w:type="paragraph" w:customStyle="1" w:styleId="EndNoteBibliography">
    <w:name w:val="EndNote Bibliography"/>
    <w:basedOn w:val="Normal"/>
    <w:link w:val="EndNoteBibliographyCar"/>
    <w:rsid w:val="003052C3"/>
    <w:pPr>
      <w:spacing w:line="240" w:lineRule="auto"/>
    </w:pPr>
    <w:rPr>
      <w:rFonts w:cs="Times New Roman"/>
      <w:noProof/>
      <w:sz w:val="16"/>
      <w:lang w:val="en-US"/>
    </w:rPr>
  </w:style>
  <w:style w:type="character" w:customStyle="1" w:styleId="EndNoteBibliographyCar">
    <w:name w:val="EndNote Bibliography Car"/>
    <w:basedOn w:val="Fuentedeprrafopredeter"/>
    <w:link w:val="EndNoteBibliography"/>
    <w:rsid w:val="003052C3"/>
    <w:rPr>
      <w:rFonts w:ascii="Times New Roman" w:hAnsi="Times New Roman" w:cs="Times New Roman"/>
      <w:noProof/>
      <w:sz w:val="16"/>
      <w:lang w:val="en-US"/>
    </w:rPr>
  </w:style>
  <w:style w:type="paragraph" w:styleId="NormalWeb">
    <w:name w:val="Normal (Web)"/>
    <w:basedOn w:val="Normal"/>
    <w:uiPriority w:val="99"/>
    <w:semiHidden/>
    <w:unhideWhenUsed/>
    <w:rsid w:val="000971B7"/>
    <w:pPr>
      <w:spacing w:before="0" w:beforeAutospacing="0" w:after="0" w:afterAutospacing="0" w:line="240" w:lineRule="auto"/>
      <w:ind w:firstLine="0"/>
      <w:jc w:val="left"/>
    </w:pPr>
    <w:rPr>
      <w:rFonts w:cs="Times New Roman"/>
      <w:szCs w:val="24"/>
      <w:lang w:val="en-GB" w:eastAsia="en-GB"/>
    </w:rPr>
  </w:style>
  <w:style w:type="paragraph" w:styleId="Encabezado">
    <w:name w:val="header"/>
    <w:basedOn w:val="Normal"/>
    <w:link w:val="EncabezadoCar"/>
    <w:uiPriority w:val="99"/>
    <w:unhideWhenUsed/>
    <w:rsid w:val="004B4AF6"/>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B4AF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065014">
      <w:bodyDiv w:val="1"/>
      <w:marLeft w:val="0"/>
      <w:marRight w:val="0"/>
      <w:marTop w:val="0"/>
      <w:marBottom w:val="0"/>
      <w:divBdr>
        <w:top w:val="none" w:sz="0" w:space="0" w:color="auto"/>
        <w:left w:val="none" w:sz="0" w:space="0" w:color="auto"/>
        <w:bottom w:val="none" w:sz="0" w:space="0" w:color="auto"/>
        <w:right w:val="none" w:sz="0" w:space="0" w:color="auto"/>
      </w:divBdr>
    </w:div>
    <w:div w:id="16091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Morenate@alu.uclm.es"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uis.LSantiago@uclm.es"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yperlink" Target="mailto:Guadalupe.Arce@alu.uclm.es" TargetMode="External"/><Relationship Id="rId19" Type="http://schemas.openxmlformats.org/officeDocument/2006/relationships/hyperlink" Target="http://www.wiod.org/publications/papers/wiod10.pdf" TargetMode="External"/><Relationship Id="rId4" Type="http://schemas.openxmlformats.org/officeDocument/2006/relationships/webSettings" Target="webSettings.xml"/><Relationship Id="rId9" Type="http://schemas.openxmlformats.org/officeDocument/2006/relationships/hyperlink" Target="mailto:Jorge.Zafrilla@uclm.es"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edia\Dropbox\Econom&#237;a\TFG\Datos\Tratamiento%20EPF\Consumos%20finales%20NACE\CFNACE_0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dia\Dropbox\Econom&#237;a\TFG\Resultados\CONSAB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edia\Dropbox\Econom&#237;a\TFG\Resultados\CFAGREGADO.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nuel\Dropbox\Econom&#237;a\TFG\Resultados\HUELLACO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ersonal%20Data\My%20Documents\Congresos\2014\Lisboa%20IIOA\RESULTAD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ersonal%20Data\My%20Documents\Congresos\2014\Lisboa%20IIOA\RESULTAD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ersonal%20Data\My%20Documents\Congresos\2014\Lisboa%20IIOA\RESULTAD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ersonal%20Data\My%20Documents\Congresos\2014\Lisboa%20IIOA\Copia%20de%20CONSUMO%20FINAL%20+%20NUMERO%20DE%20HOGA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Hoja1!$C$4</c:f>
              <c:strCache>
                <c:ptCount val="1"/>
                <c:pt idx="0">
                  <c:v>2006</c:v>
                </c:pt>
              </c:strCache>
            </c:strRef>
          </c:tx>
          <c:spPr>
            <a:solidFill>
              <a:srgbClr val="0070C0"/>
            </a:solidFill>
          </c:spPr>
          <c:invertIfNegative val="0"/>
          <c:cat>
            <c:strRef>
              <c:f>Hoja1!$B$5:$B$9</c:f>
              <c:strCache>
                <c:ptCount val="5"/>
                <c:pt idx="0">
                  <c:v>Up to 999 euros</c:v>
                </c:pt>
                <c:pt idx="1">
                  <c:v>Between 1.000 and 1.499 euros</c:v>
                </c:pt>
                <c:pt idx="2">
                  <c:v>Between 1.500 and 1.999 euros</c:v>
                </c:pt>
                <c:pt idx="3">
                  <c:v>Between 2.000 and 2.499 euros</c:v>
                </c:pt>
                <c:pt idx="4">
                  <c:v>2500 euros or more</c:v>
                </c:pt>
              </c:strCache>
            </c:strRef>
          </c:cat>
          <c:val>
            <c:numRef>
              <c:f>Hoja1!$C$5:$C$9</c:f>
              <c:numCache>
                <c:formatCode>General</c:formatCode>
                <c:ptCount val="5"/>
                <c:pt idx="0">
                  <c:v>13710.001435471038</c:v>
                </c:pt>
                <c:pt idx="1">
                  <c:v>24614.45916247381</c:v>
                </c:pt>
                <c:pt idx="2">
                  <c:v>30830.04323670144</c:v>
                </c:pt>
                <c:pt idx="3">
                  <c:v>36911.538132430884</c:v>
                </c:pt>
                <c:pt idx="4">
                  <c:v>53890.071094476625</c:v>
                </c:pt>
              </c:numCache>
            </c:numRef>
          </c:val>
        </c:ser>
        <c:ser>
          <c:idx val="1"/>
          <c:order val="1"/>
          <c:tx>
            <c:strRef>
              <c:f>Hoja1!$D$4</c:f>
              <c:strCache>
                <c:ptCount val="1"/>
                <c:pt idx="0">
                  <c:v>2009</c:v>
                </c:pt>
              </c:strCache>
            </c:strRef>
          </c:tx>
          <c:spPr>
            <a:solidFill>
              <a:srgbClr val="FF0000"/>
            </a:solidFill>
          </c:spPr>
          <c:invertIfNegative val="0"/>
          <c:cat>
            <c:strRef>
              <c:f>Hoja1!$B$5:$B$9</c:f>
              <c:strCache>
                <c:ptCount val="5"/>
                <c:pt idx="0">
                  <c:v>Up to 999 euros</c:v>
                </c:pt>
                <c:pt idx="1">
                  <c:v>Between 1.000 and 1.499 euros</c:v>
                </c:pt>
                <c:pt idx="2">
                  <c:v>Between 1.500 and 1.999 euros</c:v>
                </c:pt>
                <c:pt idx="3">
                  <c:v>Between 2.000 and 2.499 euros</c:v>
                </c:pt>
                <c:pt idx="4">
                  <c:v>2500 euros or more</c:v>
                </c:pt>
              </c:strCache>
            </c:strRef>
          </c:cat>
          <c:val>
            <c:numRef>
              <c:f>Hoja1!$D$5:$D$9</c:f>
              <c:numCache>
                <c:formatCode>0.00</c:formatCode>
                <c:ptCount val="5"/>
                <c:pt idx="0">
                  <c:v>13889.950465385018</c:v>
                </c:pt>
                <c:pt idx="1">
                  <c:v>21729.566578422106</c:v>
                </c:pt>
                <c:pt idx="2">
                  <c:v>26396.785795776872</c:v>
                </c:pt>
                <c:pt idx="3">
                  <c:v>30739.366728647961</c:v>
                </c:pt>
                <c:pt idx="4">
                  <c:v>46239.68747767622</c:v>
                </c:pt>
              </c:numCache>
            </c:numRef>
          </c:val>
        </c:ser>
        <c:dLbls>
          <c:showLegendKey val="0"/>
          <c:showVal val="0"/>
          <c:showCatName val="0"/>
          <c:showSerName val="0"/>
          <c:showPercent val="0"/>
          <c:showBubbleSize val="0"/>
        </c:dLbls>
        <c:gapWidth val="150"/>
        <c:axId val="449708992"/>
        <c:axId val="449708208"/>
      </c:barChart>
      <c:catAx>
        <c:axId val="449708992"/>
        <c:scaling>
          <c:orientation val="minMax"/>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en-US"/>
          </a:p>
        </c:txPr>
        <c:crossAx val="449708208"/>
        <c:crosses val="autoZero"/>
        <c:auto val="1"/>
        <c:lblAlgn val="ctr"/>
        <c:lblOffset val="100"/>
        <c:noMultiLvlLbl val="0"/>
      </c:catAx>
      <c:valAx>
        <c:axId val="449708208"/>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0"/>
        <c:majorTickMark val="out"/>
        <c:minorTickMark val="none"/>
        <c:tickLblPos val="nextTo"/>
        <c:txPr>
          <a:bodyPr/>
          <a:lstStyle/>
          <a:p>
            <a:pPr>
              <a:defRPr sz="800">
                <a:latin typeface="Arial" pitchFamily="34" charset="0"/>
                <a:cs typeface="Arial" pitchFamily="34" charset="0"/>
              </a:defRPr>
            </a:pPr>
            <a:endParaRPr lang="en-US"/>
          </a:p>
        </c:txPr>
        <c:crossAx val="449708992"/>
        <c:crosses val="autoZero"/>
        <c:crossBetween val="between"/>
      </c:valAx>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Hoja1!$B$1</c:f>
              <c:strCache>
                <c:ptCount val="1"/>
                <c:pt idx="0">
                  <c:v>2006</c:v>
                </c:pt>
              </c:strCache>
            </c:strRef>
          </c:tx>
          <c:spPr>
            <a:solidFill>
              <a:srgbClr val="0070C0"/>
            </a:solidFill>
            <a:ln>
              <a:noFill/>
            </a:ln>
          </c:spPr>
          <c:invertIfNegative val="0"/>
          <c:cat>
            <c:strRef>
              <c:f>Hoja1!$A$2:$A$36</c:f>
              <c:strCache>
                <c:ptCount val="35"/>
                <c:pt idx="0">
                  <c:v>Agriculture, Hunting, Forestry and Fishing</c:v>
                </c:pt>
                <c:pt idx="1">
                  <c:v>Mining and Quarrying</c:v>
                </c:pt>
                <c:pt idx="2">
                  <c:v>Food, Beverages and Tobacco</c:v>
                </c:pt>
                <c:pt idx="3">
                  <c:v>Textiles and Textile Products</c:v>
                </c:pt>
                <c:pt idx="4">
                  <c:v>Leather, Leather and Footwear</c:v>
                </c:pt>
                <c:pt idx="5">
                  <c:v>Wood and Products of Wood and Cork</c:v>
                </c:pt>
                <c:pt idx="6">
                  <c:v>Pulp, Paper, Paper , Printing and Publishing</c:v>
                </c:pt>
                <c:pt idx="7">
                  <c:v>Coke, Refined Petroleum and Nuclear Fuel</c:v>
                </c:pt>
                <c:pt idx="8">
                  <c:v>Chemicals and Chemical Products</c:v>
                </c:pt>
                <c:pt idx="9">
                  <c:v>Rubber and Plastics</c:v>
                </c:pt>
                <c:pt idx="10">
                  <c:v>Other Non-Metallic Mineral</c:v>
                </c:pt>
                <c:pt idx="11">
                  <c:v>Basic Metals and Fabricated Metal</c:v>
                </c:pt>
                <c:pt idx="12">
                  <c:v>Machinery, Nec</c:v>
                </c:pt>
                <c:pt idx="13">
                  <c:v>Electrical and Optical Equipment</c:v>
                </c:pt>
                <c:pt idx="14">
                  <c:v>Transport Equipment</c:v>
                </c:pt>
                <c:pt idx="15">
                  <c:v>Manufacturing, Nec; Recycling</c:v>
                </c:pt>
                <c:pt idx="16">
                  <c:v>Electricity, Gas and Water Supply</c:v>
                </c:pt>
                <c:pt idx="17">
                  <c:v>Construction</c:v>
                </c:pt>
                <c:pt idx="18">
                  <c:v>Sale, Maintenance and Repair of Motor Vehicles and Motorcycles; Retail Sale of Fuel</c:v>
                </c:pt>
                <c:pt idx="19">
                  <c:v>Wholesale Trade and Commission Trade, Except of Motor Vehicles and Motorcycles</c:v>
                </c:pt>
                <c:pt idx="20">
                  <c:v>Retail Trade, Except of Motor Vehicles and Motorcycles; Repair of Household Goods</c:v>
                </c:pt>
                <c:pt idx="21">
                  <c:v>Hotels and Restaurants</c:v>
                </c:pt>
                <c:pt idx="22">
                  <c:v>Inland Transport</c:v>
                </c:pt>
                <c:pt idx="23">
                  <c:v>Water Transport</c:v>
                </c:pt>
                <c:pt idx="24">
                  <c:v>Air Transport</c:v>
                </c:pt>
                <c:pt idx="25">
                  <c:v>Other Supporting and Auxiliary Transport Activities; Activities of Travel Agencies</c:v>
                </c:pt>
                <c:pt idx="26">
                  <c:v>Post and Telecommunications</c:v>
                </c:pt>
                <c:pt idx="27">
                  <c:v>Financial Intermediation</c:v>
                </c:pt>
                <c:pt idx="28">
                  <c:v>Real Estate Activities</c:v>
                </c:pt>
                <c:pt idx="29">
                  <c:v>Renting of M&amp;Eq and Other Business Activities</c:v>
                </c:pt>
                <c:pt idx="30">
                  <c:v>Public Admin and Defence; Compulsory Social Security</c:v>
                </c:pt>
                <c:pt idx="31">
                  <c:v>Education</c:v>
                </c:pt>
                <c:pt idx="32">
                  <c:v>Health and Social Work</c:v>
                </c:pt>
                <c:pt idx="33">
                  <c:v>Other Community, Social and Personal Services</c:v>
                </c:pt>
                <c:pt idx="34">
                  <c:v>Private Households with Employed Persons</c:v>
                </c:pt>
              </c:strCache>
            </c:strRef>
          </c:cat>
          <c:val>
            <c:numRef>
              <c:f>Hoja1!$B$2:$B$36</c:f>
              <c:numCache>
                <c:formatCode>General</c:formatCode>
                <c:ptCount val="35"/>
                <c:pt idx="0">
                  <c:v>350.7606818413459</c:v>
                </c:pt>
                <c:pt idx="1">
                  <c:v>17.132155938083926</c:v>
                </c:pt>
                <c:pt idx="2">
                  <c:v>1148.0390189260766</c:v>
                </c:pt>
                <c:pt idx="3">
                  <c:v>162.83598411657783</c:v>
                </c:pt>
                <c:pt idx="4">
                  <c:v>38.585124229374124</c:v>
                </c:pt>
                <c:pt idx="5">
                  <c:v>9.7218019533001367</c:v>
                </c:pt>
                <c:pt idx="6">
                  <c:v>155.70449211386443</c:v>
                </c:pt>
                <c:pt idx="7">
                  <c:v>656.77614583167315</c:v>
                </c:pt>
                <c:pt idx="8">
                  <c:v>156.95678551042317</c:v>
                </c:pt>
                <c:pt idx="9">
                  <c:v>32.127644680666428</c:v>
                </c:pt>
                <c:pt idx="10">
                  <c:v>7.0538113690953459</c:v>
                </c:pt>
                <c:pt idx="11">
                  <c:v>158.74259541287648</c:v>
                </c:pt>
                <c:pt idx="12">
                  <c:v>247.67373806786199</c:v>
                </c:pt>
                <c:pt idx="13">
                  <c:v>210.88588256976124</c:v>
                </c:pt>
                <c:pt idx="14">
                  <c:v>571.32151147915886</c:v>
                </c:pt>
                <c:pt idx="15">
                  <c:v>132.44718602899619</c:v>
                </c:pt>
                <c:pt idx="16">
                  <c:v>1547.2943444009904</c:v>
                </c:pt>
                <c:pt idx="17">
                  <c:v>49.111633324831978</c:v>
                </c:pt>
                <c:pt idx="18">
                  <c:v>2311.05880709449</c:v>
                </c:pt>
                <c:pt idx="19">
                  <c:v>3738.3643875900038</c:v>
                </c:pt>
                <c:pt idx="20">
                  <c:v>4365.4110781517866</c:v>
                </c:pt>
                <c:pt idx="21">
                  <c:v>5594.5362986857745</c:v>
                </c:pt>
                <c:pt idx="22">
                  <c:v>218.5711515571339</c:v>
                </c:pt>
                <c:pt idx="23">
                  <c:v>12.889016942848048</c:v>
                </c:pt>
                <c:pt idx="24">
                  <c:v>56.557681923306369</c:v>
                </c:pt>
                <c:pt idx="25">
                  <c:v>189.1983537734298</c:v>
                </c:pt>
                <c:pt idx="26">
                  <c:v>946.87300395566956</c:v>
                </c:pt>
                <c:pt idx="27">
                  <c:v>1058.472192651195</c:v>
                </c:pt>
                <c:pt idx="28">
                  <c:v>6601.0824863568614</c:v>
                </c:pt>
                <c:pt idx="29">
                  <c:v>663.96469161280322</c:v>
                </c:pt>
                <c:pt idx="30">
                  <c:v>0</c:v>
                </c:pt>
                <c:pt idx="31">
                  <c:v>312.13931128766569</c:v>
                </c:pt>
                <c:pt idx="32">
                  <c:v>627.97756517164123</c:v>
                </c:pt>
                <c:pt idx="33">
                  <c:v>1880.2828589087871</c:v>
                </c:pt>
                <c:pt idx="34">
                  <c:v>0</c:v>
                </c:pt>
              </c:numCache>
            </c:numRef>
          </c:val>
        </c:ser>
        <c:ser>
          <c:idx val="1"/>
          <c:order val="1"/>
          <c:tx>
            <c:strRef>
              <c:f>Hoja1!$C$1</c:f>
              <c:strCache>
                <c:ptCount val="1"/>
                <c:pt idx="0">
                  <c:v>2009</c:v>
                </c:pt>
              </c:strCache>
            </c:strRef>
          </c:tx>
          <c:spPr>
            <a:solidFill>
              <a:srgbClr val="00CC00"/>
            </a:solidFill>
            <a:ln>
              <a:noFill/>
            </a:ln>
          </c:spPr>
          <c:invertIfNegative val="0"/>
          <c:cat>
            <c:strRef>
              <c:f>Hoja1!$A$2:$A$36</c:f>
              <c:strCache>
                <c:ptCount val="35"/>
                <c:pt idx="0">
                  <c:v>Agriculture, Hunting, Forestry and Fishing</c:v>
                </c:pt>
                <c:pt idx="1">
                  <c:v>Mining and Quarrying</c:v>
                </c:pt>
                <c:pt idx="2">
                  <c:v>Food, Beverages and Tobacco</c:v>
                </c:pt>
                <c:pt idx="3">
                  <c:v>Textiles and Textile Products</c:v>
                </c:pt>
                <c:pt idx="4">
                  <c:v>Leather, Leather and Footwear</c:v>
                </c:pt>
                <c:pt idx="5">
                  <c:v>Wood and Products of Wood and Cork</c:v>
                </c:pt>
                <c:pt idx="6">
                  <c:v>Pulp, Paper, Paper , Printing and Publishing</c:v>
                </c:pt>
                <c:pt idx="7">
                  <c:v>Coke, Refined Petroleum and Nuclear Fuel</c:v>
                </c:pt>
                <c:pt idx="8">
                  <c:v>Chemicals and Chemical Products</c:v>
                </c:pt>
                <c:pt idx="9">
                  <c:v>Rubber and Plastics</c:v>
                </c:pt>
                <c:pt idx="10">
                  <c:v>Other Non-Metallic Mineral</c:v>
                </c:pt>
                <c:pt idx="11">
                  <c:v>Basic Metals and Fabricated Metal</c:v>
                </c:pt>
                <c:pt idx="12">
                  <c:v>Machinery, Nec</c:v>
                </c:pt>
                <c:pt idx="13">
                  <c:v>Electrical and Optical Equipment</c:v>
                </c:pt>
                <c:pt idx="14">
                  <c:v>Transport Equipment</c:v>
                </c:pt>
                <c:pt idx="15">
                  <c:v>Manufacturing, Nec; Recycling</c:v>
                </c:pt>
                <c:pt idx="16">
                  <c:v>Electricity, Gas and Water Supply</c:v>
                </c:pt>
                <c:pt idx="17">
                  <c:v>Construction</c:v>
                </c:pt>
                <c:pt idx="18">
                  <c:v>Sale, Maintenance and Repair of Motor Vehicles and Motorcycles; Retail Sale of Fuel</c:v>
                </c:pt>
                <c:pt idx="19">
                  <c:v>Wholesale Trade and Commission Trade, Except of Motor Vehicles and Motorcycles</c:v>
                </c:pt>
                <c:pt idx="20">
                  <c:v>Retail Trade, Except of Motor Vehicles and Motorcycles; Repair of Household Goods</c:v>
                </c:pt>
                <c:pt idx="21">
                  <c:v>Hotels and Restaurants</c:v>
                </c:pt>
                <c:pt idx="22">
                  <c:v>Inland Transport</c:v>
                </c:pt>
                <c:pt idx="23">
                  <c:v>Water Transport</c:v>
                </c:pt>
                <c:pt idx="24">
                  <c:v>Air Transport</c:v>
                </c:pt>
                <c:pt idx="25">
                  <c:v>Other Supporting and Auxiliary Transport Activities; Activities of Travel Agencies</c:v>
                </c:pt>
                <c:pt idx="26">
                  <c:v>Post and Telecommunications</c:v>
                </c:pt>
                <c:pt idx="27">
                  <c:v>Financial Intermediation</c:v>
                </c:pt>
                <c:pt idx="28">
                  <c:v>Real Estate Activities</c:v>
                </c:pt>
                <c:pt idx="29">
                  <c:v>Renting of M&amp;Eq and Other Business Activities</c:v>
                </c:pt>
                <c:pt idx="30">
                  <c:v>Public Admin and Defence; Compulsory Social Security</c:v>
                </c:pt>
                <c:pt idx="31">
                  <c:v>Education</c:v>
                </c:pt>
                <c:pt idx="32">
                  <c:v>Health and Social Work</c:v>
                </c:pt>
                <c:pt idx="33">
                  <c:v>Other Community, Social and Personal Services</c:v>
                </c:pt>
                <c:pt idx="34">
                  <c:v>Private Households with Employed Persons</c:v>
                </c:pt>
              </c:strCache>
            </c:strRef>
          </c:cat>
          <c:val>
            <c:numRef>
              <c:f>Hoja1!$C$2:$C$36</c:f>
              <c:numCache>
                <c:formatCode>General</c:formatCode>
                <c:ptCount val="35"/>
                <c:pt idx="0">
                  <c:v>293.36561247157459</c:v>
                </c:pt>
                <c:pt idx="1">
                  <c:v>9.7118908035781981</c:v>
                </c:pt>
                <c:pt idx="2">
                  <c:v>1078.2328155958667</c:v>
                </c:pt>
                <c:pt idx="3">
                  <c:v>19.768752828692268</c:v>
                </c:pt>
                <c:pt idx="4">
                  <c:v>17.900191985050249</c:v>
                </c:pt>
                <c:pt idx="5">
                  <c:v>5.3037051039005902</c:v>
                </c:pt>
                <c:pt idx="6">
                  <c:v>120.5010691259788</c:v>
                </c:pt>
                <c:pt idx="7">
                  <c:v>459.49750397022376</c:v>
                </c:pt>
                <c:pt idx="8">
                  <c:v>119.32524202872156</c:v>
                </c:pt>
                <c:pt idx="9">
                  <c:v>27.871905638225314</c:v>
                </c:pt>
                <c:pt idx="10">
                  <c:v>4.824503559733385</c:v>
                </c:pt>
                <c:pt idx="11">
                  <c:v>77.54402021798748</c:v>
                </c:pt>
                <c:pt idx="12">
                  <c:v>135.27908376055328</c:v>
                </c:pt>
                <c:pt idx="13">
                  <c:v>141.96993723779184</c:v>
                </c:pt>
                <c:pt idx="14">
                  <c:v>291.58292531631338</c:v>
                </c:pt>
                <c:pt idx="15">
                  <c:v>95.233358879322935</c:v>
                </c:pt>
                <c:pt idx="16">
                  <c:v>1770.9213152642085</c:v>
                </c:pt>
                <c:pt idx="17">
                  <c:v>49.275955921399564</c:v>
                </c:pt>
                <c:pt idx="18">
                  <c:v>1845.804048031599</c:v>
                </c:pt>
                <c:pt idx="19">
                  <c:v>3126.8142433987582</c:v>
                </c:pt>
                <c:pt idx="20">
                  <c:v>3905.0662526804922</c:v>
                </c:pt>
                <c:pt idx="21">
                  <c:v>5227.3209133888131</c:v>
                </c:pt>
                <c:pt idx="22">
                  <c:v>200.88585390732536</c:v>
                </c:pt>
                <c:pt idx="23">
                  <c:v>12.622658876387149</c:v>
                </c:pt>
                <c:pt idx="24">
                  <c:v>60.627029163710596</c:v>
                </c:pt>
                <c:pt idx="25">
                  <c:v>172.10408309954363</c:v>
                </c:pt>
                <c:pt idx="26">
                  <c:v>988.08698392688314</c:v>
                </c:pt>
                <c:pt idx="27">
                  <c:v>1070.9108099590294</c:v>
                </c:pt>
                <c:pt idx="28">
                  <c:v>7290.2405714886027</c:v>
                </c:pt>
                <c:pt idx="29">
                  <c:v>626.07126454593049</c:v>
                </c:pt>
                <c:pt idx="30">
                  <c:v>0</c:v>
                </c:pt>
                <c:pt idx="31">
                  <c:v>299.34867107889488</c:v>
                </c:pt>
                <c:pt idx="32">
                  <c:v>638.49801239992087</c:v>
                </c:pt>
                <c:pt idx="33">
                  <c:v>1748.0277365006759</c:v>
                </c:pt>
                <c:pt idx="34">
                  <c:v>0</c:v>
                </c:pt>
              </c:numCache>
            </c:numRef>
          </c:val>
        </c:ser>
        <c:dLbls>
          <c:showLegendKey val="0"/>
          <c:showVal val="0"/>
          <c:showCatName val="0"/>
          <c:showSerName val="0"/>
          <c:showPercent val="0"/>
          <c:showBubbleSize val="0"/>
        </c:dLbls>
        <c:gapWidth val="150"/>
        <c:axId val="362312824"/>
        <c:axId val="362311256"/>
      </c:barChart>
      <c:catAx>
        <c:axId val="362312824"/>
        <c:scaling>
          <c:orientation val="maxMin"/>
        </c:scaling>
        <c:delete val="0"/>
        <c:axPos val="l"/>
        <c:numFmt formatCode="General" sourceLinked="0"/>
        <c:majorTickMark val="out"/>
        <c:minorTickMark val="none"/>
        <c:tickLblPos val="nextTo"/>
        <c:txPr>
          <a:bodyPr/>
          <a:lstStyle/>
          <a:p>
            <a:pPr>
              <a:defRPr sz="600">
                <a:latin typeface="Arial" pitchFamily="34" charset="0"/>
                <a:cs typeface="Arial" pitchFamily="34" charset="0"/>
              </a:defRPr>
            </a:pPr>
            <a:endParaRPr lang="en-US"/>
          </a:p>
        </c:txPr>
        <c:crossAx val="362311256"/>
        <c:crosses val="autoZero"/>
        <c:auto val="1"/>
        <c:lblAlgn val="ctr"/>
        <c:lblOffset val="100"/>
        <c:noMultiLvlLbl val="0"/>
      </c:catAx>
      <c:valAx>
        <c:axId val="362311256"/>
        <c:scaling>
          <c:orientation val="minMax"/>
        </c:scaling>
        <c:delete val="1"/>
        <c:axPos val="t"/>
        <c:numFmt formatCode="General" sourceLinked="1"/>
        <c:majorTickMark val="out"/>
        <c:minorTickMark val="none"/>
        <c:tickLblPos val="nextTo"/>
        <c:crossAx val="362312824"/>
        <c:crosses val="autoZero"/>
        <c:crossBetween val="between"/>
      </c:valAx>
      <c:spPr>
        <a:ln>
          <a:noFill/>
        </a:ln>
      </c:spPr>
    </c:plotArea>
    <c:legend>
      <c:legendPos val="b"/>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'2009'!$J$3</c:f>
              <c:strCache>
                <c:ptCount val="1"/>
                <c:pt idx="0">
                  <c:v>Agriculture and Food</c:v>
                </c:pt>
              </c:strCache>
            </c:strRef>
          </c:tx>
          <c:spPr>
            <a:solidFill>
              <a:srgbClr val="CCFF66"/>
            </a:solidFill>
          </c:spPr>
          <c:invertIfNegative val="0"/>
          <c:cat>
            <c:strRef>
              <c:f>'2009'!$K$2:$Q$2</c:f>
              <c:strCache>
                <c:ptCount val="7"/>
                <c:pt idx="0">
                  <c:v>2500 euros or more</c:v>
                </c:pt>
                <c:pt idx="1">
                  <c:v>Between 2.000 and 2.499 euros</c:v>
                </c:pt>
                <c:pt idx="2">
                  <c:v>Between 1.500 and 1.999 euros</c:v>
                </c:pt>
                <c:pt idx="3">
                  <c:v>Between 1.000 and 1.499 euros</c:v>
                </c:pt>
                <c:pt idx="4">
                  <c:v>Up to 999 euros</c:v>
                </c:pt>
                <c:pt idx="6">
                  <c:v>Total</c:v>
                </c:pt>
              </c:strCache>
            </c:strRef>
          </c:cat>
          <c:val>
            <c:numRef>
              <c:f>'2009'!$K$3:$Q$3</c:f>
              <c:numCache>
                <c:formatCode>General</c:formatCode>
                <c:ptCount val="7"/>
                <c:pt idx="0">
                  <c:v>1719.8986184538335</c:v>
                </c:pt>
                <c:pt idx="1">
                  <c:v>1305.5553744654653</c:v>
                </c:pt>
                <c:pt idx="2">
                  <c:v>1227.606025050743</c:v>
                </c:pt>
                <c:pt idx="3">
                  <c:v>1020.1967887968717</c:v>
                </c:pt>
                <c:pt idx="4">
                  <c:v>719.03720571775318</c:v>
                </c:pt>
                <c:pt idx="6">
                  <c:v>1211.2585718263574</c:v>
                </c:pt>
              </c:numCache>
            </c:numRef>
          </c:val>
        </c:ser>
        <c:ser>
          <c:idx val="1"/>
          <c:order val="1"/>
          <c:tx>
            <c:strRef>
              <c:f>'2009'!$J$4</c:f>
              <c:strCache>
                <c:ptCount val="1"/>
                <c:pt idx="0">
                  <c:v>Energy and Water</c:v>
                </c:pt>
              </c:strCache>
            </c:strRef>
          </c:tx>
          <c:spPr>
            <a:solidFill>
              <a:srgbClr val="99CCFF"/>
            </a:solidFill>
          </c:spPr>
          <c:invertIfNegative val="0"/>
          <c:cat>
            <c:strRef>
              <c:f>'2009'!$K$2:$Q$2</c:f>
              <c:strCache>
                <c:ptCount val="7"/>
                <c:pt idx="0">
                  <c:v>2500 euros or more</c:v>
                </c:pt>
                <c:pt idx="1">
                  <c:v>Between 2.000 and 2.499 euros</c:v>
                </c:pt>
                <c:pt idx="2">
                  <c:v>Between 1.500 and 1.999 euros</c:v>
                </c:pt>
                <c:pt idx="3">
                  <c:v>Between 1.000 and 1.499 euros</c:v>
                </c:pt>
                <c:pt idx="4">
                  <c:v>Up to 999 euros</c:v>
                </c:pt>
                <c:pt idx="6">
                  <c:v>Total</c:v>
                </c:pt>
              </c:strCache>
            </c:strRef>
          </c:cat>
          <c:val>
            <c:numRef>
              <c:f>'2009'!$K$4:$Q$4</c:f>
              <c:numCache>
                <c:formatCode>General</c:formatCode>
                <c:ptCount val="7"/>
                <c:pt idx="0">
                  <c:v>2368.7471362538081</c:v>
                </c:pt>
                <c:pt idx="1">
                  <c:v>1641.8757737157264</c:v>
                </c:pt>
                <c:pt idx="2">
                  <c:v>1522.088115348251</c:v>
                </c:pt>
                <c:pt idx="3">
                  <c:v>1297.7274640193298</c:v>
                </c:pt>
                <c:pt idx="4">
                  <c:v>991.83847147809649</c:v>
                </c:pt>
                <c:pt idx="6">
                  <c:v>1563.9006135098225</c:v>
                </c:pt>
              </c:numCache>
            </c:numRef>
          </c:val>
        </c:ser>
        <c:ser>
          <c:idx val="2"/>
          <c:order val="2"/>
          <c:tx>
            <c:strRef>
              <c:f>'2009'!$J$5</c:f>
              <c:strCache>
                <c:ptCount val="1"/>
                <c:pt idx="0">
                  <c:v>Transport and Communications</c:v>
                </c:pt>
              </c:strCache>
            </c:strRef>
          </c:tx>
          <c:spPr>
            <a:solidFill>
              <a:srgbClr val="FFC000"/>
            </a:solidFill>
          </c:spPr>
          <c:invertIfNegative val="0"/>
          <c:cat>
            <c:strRef>
              <c:f>'2009'!$K$2:$Q$2</c:f>
              <c:strCache>
                <c:ptCount val="7"/>
                <c:pt idx="0">
                  <c:v>2500 euros or more</c:v>
                </c:pt>
                <c:pt idx="1">
                  <c:v>Between 2.000 and 2.499 euros</c:v>
                </c:pt>
                <c:pt idx="2">
                  <c:v>Between 1.500 and 1.999 euros</c:v>
                </c:pt>
                <c:pt idx="3">
                  <c:v>Between 1.000 and 1.499 euros</c:v>
                </c:pt>
                <c:pt idx="4">
                  <c:v>Up to 999 euros</c:v>
                </c:pt>
                <c:pt idx="6">
                  <c:v>Total</c:v>
                </c:pt>
              </c:strCache>
            </c:strRef>
          </c:cat>
          <c:val>
            <c:numRef>
              <c:f>'2009'!$K$5:$Q$5</c:f>
              <c:numCache>
                <c:formatCode>General</c:formatCode>
                <c:ptCount val="7"/>
                <c:pt idx="0">
                  <c:v>4911.6945660173569</c:v>
                </c:pt>
                <c:pt idx="1">
                  <c:v>3329.7820144679599</c:v>
                </c:pt>
                <c:pt idx="2">
                  <c:v>3122.1353814135718</c:v>
                </c:pt>
                <c:pt idx="3">
                  <c:v>2124.2387136176176</c:v>
                </c:pt>
                <c:pt idx="4">
                  <c:v>1099.6719175686892</c:v>
                </c:pt>
                <c:pt idx="6">
                  <c:v>2896.6833832015118</c:v>
                </c:pt>
              </c:numCache>
            </c:numRef>
          </c:val>
        </c:ser>
        <c:ser>
          <c:idx val="3"/>
          <c:order val="3"/>
          <c:tx>
            <c:strRef>
              <c:f>'2009'!$J$6</c:f>
              <c:strCache>
                <c:ptCount val="1"/>
                <c:pt idx="0">
                  <c:v>Hotels and Restaurants</c:v>
                </c:pt>
              </c:strCache>
            </c:strRef>
          </c:tx>
          <c:spPr>
            <a:solidFill>
              <a:srgbClr val="FF5050"/>
            </a:solidFill>
          </c:spPr>
          <c:invertIfNegative val="0"/>
          <c:cat>
            <c:strRef>
              <c:f>'2009'!$K$2:$Q$2</c:f>
              <c:strCache>
                <c:ptCount val="7"/>
                <c:pt idx="0">
                  <c:v>2500 euros or more</c:v>
                </c:pt>
                <c:pt idx="1">
                  <c:v>Between 2.000 and 2.499 euros</c:v>
                </c:pt>
                <c:pt idx="2">
                  <c:v>Between 1.500 and 1.999 euros</c:v>
                </c:pt>
                <c:pt idx="3">
                  <c:v>Between 1.000 and 1.499 euros</c:v>
                </c:pt>
                <c:pt idx="4">
                  <c:v>Up to 999 euros</c:v>
                </c:pt>
                <c:pt idx="6">
                  <c:v>Total</c:v>
                </c:pt>
              </c:strCache>
            </c:strRef>
          </c:cat>
          <c:val>
            <c:numRef>
              <c:f>'2009'!$K$6:$Q$6</c:f>
              <c:numCache>
                <c:formatCode>General</c:formatCode>
                <c:ptCount val="7"/>
                <c:pt idx="0">
                  <c:v>7608.6148631589622</c:v>
                </c:pt>
                <c:pt idx="1">
                  <c:v>5079.0684439143406</c:v>
                </c:pt>
                <c:pt idx="2">
                  <c:v>4442.7765553853169</c:v>
                </c:pt>
                <c:pt idx="3">
                  <c:v>3456.5012569031624</c:v>
                </c:pt>
                <c:pt idx="4">
                  <c:v>2130.6762208908731</c:v>
                </c:pt>
                <c:pt idx="6">
                  <c:v>4616.2470986136605</c:v>
                </c:pt>
              </c:numCache>
            </c:numRef>
          </c:val>
        </c:ser>
        <c:ser>
          <c:idx val="4"/>
          <c:order val="4"/>
          <c:tx>
            <c:strRef>
              <c:f>'2009'!$J$7</c:f>
              <c:strCache>
                <c:ptCount val="1"/>
                <c:pt idx="0">
                  <c:v>Real Estate Activities</c:v>
                </c:pt>
              </c:strCache>
            </c:strRef>
          </c:tx>
          <c:spPr>
            <a:solidFill>
              <a:srgbClr val="0099FF"/>
            </a:solidFill>
          </c:spPr>
          <c:invertIfNegative val="0"/>
          <c:cat>
            <c:strRef>
              <c:f>'2009'!$K$2:$Q$2</c:f>
              <c:strCache>
                <c:ptCount val="7"/>
                <c:pt idx="0">
                  <c:v>2500 euros or more</c:v>
                </c:pt>
                <c:pt idx="1">
                  <c:v>Between 2.000 and 2.499 euros</c:v>
                </c:pt>
                <c:pt idx="2">
                  <c:v>Between 1.500 and 1.999 euros</c:v>
                </c:pt>
                <c:pt idx="3">
                  <c:v>Between 1.000 and 1.499 euros</c:v>
                </c:pt>
                <c:pt idx="4">
                  <c:v>Up to 999 euros</c:v>
                </c:pt>
                <c:pt idx="6">
                  <c:v>Total</c:v>
                </c:pt>
              </c:strCache>
            </c:strRef>
          </c:cat>
          <c:val>
            <c:numRef>
              <c:f>'2009'!$K$7:$Q$7</c:f>
              <c:numCache>
                <c:formatCode>General</c:formatCode>
                <c:ptCount val="7"/>
                <c:pt idx="0">
                  <c:v>9443.8541443428931</c:v>
                </c:pt>
                <c:pt idx="1">
                  <c:v>6746.9248198340156</c:v>
                </c:pt>
                <c:pt idx="2">
                  <c:v>6005.0707227649964</c:v>
                </c:pt>
                <c:pt idx="3">
                  <c:v>5400.0280102951992</c:v>
                </c:pt>
                <c:pt idx="4">
                  <c:v>4435.501718667927</c:v>
                </c:pt>
                <c:pt idx="6">
                  <c:v>6438.0114486815846</c:v>
                </c:pt>
              </c:numCache>
            </c:numRef>
          </c:val>
        </c:ser>
        <c:ser>
          <c:idx val="5"/>
          <c:order val="5"/>
          <c:tx>
            <c:strRef>
              <c:f>'2009'!$J$8</c:f>
              <c:strCache>
                <c:ptCount val="1"/>
                <c:pt idx="0">
                  <c:v>Rest of Services</c:v>
                </c:pt>
              </c:strCache>
            </c:strRef>
          </c:tx>
          <c:spPr>
            <a:solidFill>
              <a:srgbClr val="CA9AFE"/>
            </a:solidFill>
          </c:spPr>
          <c:invertIfNegative val="0"/>
          <c:cat>
            <c:strRef>
              <c:f>'2009'!$K$2:$Q$2</c:f>
              <c:strCache>
                <c:ptCount val="7"/>
                <c:pt idx="0">
                  <c:v>2500 euros or more</c:v>
                </c:pt>
                <c:pt idx="1">
                  <c:v>Between 2.000 and 2.499 euros</c:v>
                </c:pt>
                <c:pt idx="2">
                  <c:v>Between 1.500 and 1.999 euros</c:v>
                </c:pt>
                <c:pt idx="3">
                  <c:v>Between 1.000 and 1.499 euros</c:v>
                </c:pt>
                <c:pt idx="4">
                  <c:v>Up to 999 euros</c:v>
                </c:pt>
                <c:pt idx="6">
                  <c:v>Total</c:v>
                </c:pt>
              </c:strCache>
            </c:strRef>
          </c:cat>
          <c:val>
            <c:numRef>
              <c:f>'2009'!$K$8:$Q$8</c:f>
              <c:numCache>
                <c:formatCode>General</c:formatCode>
                <c:ptCount val="7"/>
                <c:pt idx="0">
                  <c:v>7217.4618804803322</c:v>
                </c:pt>
                <c:pt idx="1">
                  <c:v>4239.9480867324219</c:v>
                </c:pt>
                <c:pt idx="2">
                  <c:v>3442.0862231909741</c:v>
                </c:pt>
                <c:pt idx="3">
                  <c:v>2844.3674366202322</c:v>
                </c:pt>
                <c:pt idx="4">
                  <c:v>1426.3860828397624</c:v>
                </c:pt>
                <c:pt idx="6">
                  <c:v>3914.0161669534073</c:v>
                </c:pt>
              </c:numCache>
            </c:numRef>
          </c:val>
        </c:ser>
        <c:ser>
          <c:idx val="6"/>
          <c:order val="6"/>
          <c:tx>
            <c:strRef>
              <c:f>'2009'!$J$9</c:f>
              <c:strCache>
                <c:ptCount val="1"/>
                <c:pt idx="0">
                  <c:v>Rest of Goods</c:v>
                </c:pt>
              </c:strCache>
            </c:strRef>
          </c:tx>
          <c:spPr>
            <a:solidFill>
              <a:srgbClr val="00B050"/>
            </a:solidFill>
          </c:spPr>
          <c:invertIfNegative val="0"/>
          <c:cat>
            <c:strRef>
              <c:f>'2009'!$K$2:$Q$2</c:f>
              <c:strCache>
                <c:ptCount val="7"/>
                <c:pt idx="0">
                  <c:v>2500 euros or more</c:v>
                </c:pt>
                <c:pt idx="1">
                  <c:v>Between 2.000 and 2.499 euros</c:v>
                </c:pt>
                <c:pt idx="2">
                  <c:v>Between 1.500 and 1.999 euros</c:v>
                </c:pt>
                <c:pt idx="3">
                  <c:v>Between 1.000 and 1.499 euros</c:v>
                </c:pt>
                <c:pt idx="4">
                  <c:v>Up to 999 euros</c:v>
                </c:pt>
                <c:pt idx="6">
                  <c:v>Total</c:v>
                </c:pt>
              </c:strCache>
            </c:strRef>
          </c:cat>
          <c:val>
            <c:numRef>
              <c:f>'2009'!$K$9:$Q$9</c:f>
              <c:numCache>
                <c:formatCode>General</c:formatCode>
                <c:ptCount val="7"/>
                <c:pt idx="0">
                  <c:v>13035.720945860092</c:v>
                </c:pt>
                <c:pt idx="1">
                  <c:v>8434.8938061834342</c:v>
                </c:pt>
                <c:pt idx="2">
                  <c:v>7022.4892205623264</c:v>
                </c:pt>
                <c:pt idx="3">
                  <c:v>5625.782866184164</c:v>
                </c:pt>
                <c:pt idx="4">
                  <c:v>3115.1367322406768</c:v>
                </c:pt>
                <c:pt idx="6">
                  <c:v>7601.2572360435333</c:v>
                </c:pt>
              </c:numCache>
            </c:numRef>
          </c:val>
        </c:ser>
        <c:dLbls>
          <c:showLegendKey val="0"/>
          <c:showVal val="0"/>
          <c:showCatName val="0"/>
          <c:showSerName val="0"/>
          <c:showPercent val="0"/>
          <c:showBubbleSize val="0"/>
        </c:dLbls>
        <c:gapWidth val="150"/>
        <c:overlap val="100"/>
        <c:axId val="447088256"/>
        <c:axId val="447087864"/>
      </c:barChart>
      <c:catAx>
        <c:axId val="447088256"/>
        <c:scaling>
          <c:orientation val="minMax"/>
        </c:scaling>
        <c:delete val="0"/>
        <c:axPos val="l"/>
        <c:numFmt formatCode="General" sourceLinked="0"/>
        <c:majorTickMark val="out"/>
        <c:minorTickMark val="none"/>
        <c:tickLblPos val="nextTo"/>
        <c:crossAx val="447087864"/>
        <c:crosses val="autoZero"/>
        <c:auto val="1"/>
        <c:lblAlgn val="ctr"/>
        <c:lblOffset val="100"/>
        <c:noMultiLvlLbl val="0"/>
      </c:catAx>
      <c:valAx>
        <c:axId val="447087864"/>
        <c:scaling>
          <c:orientation val="minMax"/>
        </c:scaling>
        <c:delete val="1"/>
        <c:axPos val="b"/>
        <c:numFmt formatCode="0%" sourceLinked="1"/>
        <c:majorTickMark val="out"/>
        <c:minorTickMark val="none"/>
        <c:tickLblPos val="nextTo"/>
        <c:crossAx val="447088256"/>
        <c:crosses val="autoZero"/>
        <c:crossBetween val="between"/>
      </c:valAx>
    </c:plotArea>
    <c:legend>
      <c:legendPos val="b"/>
      <c:overlay val="0"/>
      <c:txPr>
        <a:bodyPr/>
        <a:lstStyle/>
        <a:p>
          <a:pPr>
            <a:defRPr baseline="0"/>
          </a:pPr>
          <a:endParaRPr lang="en-US"/>
        </a:p>
      </c:txPr>
    </c:legend>
    <c:plotVisOnly val="1"/>
    <c:dispBlanksAs val="gap"/>
    <c:showDLblsOverMax val="0"/>
  </c:chart>
  <c:spPr>
    <a:ln>
      <a:noFill/>
    </a:ln>
  </c:spPr>
  <c:txPr>
    <a:bodyPr/>
    <a:lstStyle/>
    <a:p>
      <a:pPr>
        <a:defRPr sz="800"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'2006 REL(Media)'!$H$37</c:f>
              <c:strCache>
                <c:ptCount val="1"/>
                <c:pt idx="0">
                  <c:v>2006</c:v>
                </c:pt>
              </c:strCache>
            </c:strRef>
          </c:tx>
          <c:marker>
            <c:symbol val="none"/>
          </c:marker>
          <c:cat>
            <c:strRef>
              <c:f>'2006 REL(Media)'!$C$39:$G$39</c:f>
              <c:strCache>
                <c:ptCount val="5"/>
                <c:pt idx="0">
                  <c:v>Hasta 999 €</c:v>
                </c:pt>
                <c:pt idx="1">
                  <c:v>De 1000 a 1499 €</c:v>
                </c:pt>
                <c:pt idx="2">
                  <c:v>De 1500 a 1999 €</c:v>
                </c:pt>
                <c:pt idx="3">
                  <c:v>De 2000 a 2499 €</c:v>
                </c:pt>
                <c:pt idx="4">
                  <c:v>2500 € o más</c:v>
                </c:pt>
              </c:strCache>
            </c:strRef>
          </c:cat>
          <c:val>
            <c:numRef>
              <c:f>'2006 REL(Media)'!$C$37:$G$37</c:f>
              <c:numCache>
                <c:formatCode>General</c:formatCode>
                <c:ptCount val="5"/>
                <c:pt idx="0">
                  <c:v>0.35159343727972592</c:v>
                </c:pt>
                <c:pt idx="1">
                  <c:v>0.34224905049393378</c:v>
                </c:pt>
                <c:pt idx="2">
                  <c:v>0.33685891512057486</c:v>
                </c:pt>
                <c:pt idx="3">
                  <c:v>0.3388044174430887</c:v>
                </c:pt>
                <c:pt idx="4">
                  <c:v>0.33308618570143761</c:v>
                </c:pt>
              </c:numCache>
            </c:numRef>
          </c:val>
          <c:smooth val="0"/>
        </c:ser>
        <c:ser>
          <c:idx val="1"/>
          <c:order val="1"/>
          <c:tx>
            <c:strRef>
              <c:f>'2006 REL(Media)'!$H$38</c:f>
              <c:strCache>
                <c:ptCount val="1"/>
                <c:pt idx="0">
                  <c:v>2009</c:v>
                </c:pt>
              </c:strCache>
            </c:strRef>
          </c:tx>
          <c:marker>
            <c:symbol val="none"/>
          </c:marker>
          <c:cat>
            <c:strRef>
              <c:f>'2006 REL(Media)'!$C$39:$G$39</c:f>
              <c:strCache>
                <c:ptCount val="5"/>
                <c:pt idx="0">
                  <c:v>Hasta 999 €</c:v>
                </c:pt>
                <c:pt idx="1">
                  <c:v>De 1000 a 1499 €</c:v>
                </c:pt>
                <c:pt idx="2">
                  <c:v>De 1500 a 1999 €</c:v>
                </c:pt>
                <c:pt idx="3">
                  <c:v>De 2000 a 2499 €</c:v>
                </c:pt>
                <c:pt idx="4">
                  <c:v>2500 € o más</c:v>
                </c:pt>
              </c:strCache>
            </c:strRef>
          </c:cat>
          <c:val>
            <c:numRef>
              <c:f>'2006 REL(Media)'!$C$38:$G$38</c:f>
              <c:numCache>
                <c:formatCode>General</c:formatCode>
                <c:ptCount val="5"/>
                <c:pt idx="0">
                  <c:v>0.27535305233160046</c:v>
                </c:pt>
                <c:pt idx="1">
                  <c:v>0.27183293418971732</c:v>
                </c:pt>
                <c:pt idx="2">
                  <c:v>0.27315912607013632</c:v>
                </c:pt>
                <c:pt idx="3">
                  <c:v>0.26859174762076321</c:v>
                </c:pt>
                <c:pt idx="4">
                  <c:v>0.26743335820831665</c:v>
                </c:pt>
              </c:numCache>
            </c:numRef>
          </c:val>
          <c:smooth val="0"/>
        </c:ser>
        <c:dLbls>
          <c:showLegendKey val="0"/>
          <c:showVal val="0"/>
          <c:showCatName val="0"/>
          <c:showSerName val="0"/>
          <c:showPercent val="0"/>
          <c:showBubbleSize val="0"/>
        </c:dLbls>
        <c:smooth val="0"/>
        <c:axId val="447089824"/>
        <c:axId val="447088648"/>
      </c:lineChart>
      <c:catAx>
        <c:axId val="447089824"/>
        <c:scaling>
          <c:orientation val="minMax"/>
        </c:scaling>
        <c:delete val="0"/>
        <c:axPos val="b"/>
        <c:numFmt formatCode="General" sourceLinked="0"/>
        <c:majorTickMark val="out"/>
        <c:minorTickMark val="none"/>
        <c:tickLblPos val="nextTo"/>
        <c:txPr>
          <a:bodyPr/>
          <a:lstStyle/>
          <a:p>
            <a:pPr>
              <a:defRPr sz="800">
                <a:latin typeface="Arial" pitchFamily="34" charset="0"/>
                <a:cs typeface="Arial" pitchFamily="34" charset="0"/>
              </a:defRPr>
            </a:pPr>
            <a:endParaRPr lang="en-US"/>
          </a:p>
        </c:txPr>
        <c:crossAx val="447088648"/>
        <c:crosses val="autoZero"/>
        <c:auto val="1"/>
        <c:lblAlgn val="ctr"/>
        <c:lblOffset val="100"/>
        <c:noMultiLvlLbl val="0"/>
      </c:catAx>
      <c:valAx>
        <c:axId val="447088648"/>
        <c:scaling>
          <c:orientation val="minMax"/>
          <c:max val="0.36000000000000004"/>
          <c:min val="0.26"/>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txPr>
          <a:bodyPr/>
          <a:lstStyle/>
          <a:p>
            <a:pPr>
              <a:defRPr sz="800">
                <a:latin typeface="Arial" pitchFamily="34" charset="0"/>
                <a:cs typeface="Arial" pitchFamily="34" charset="0"/>
              </a:defRPr>
            </a:pPr>
            <a:endParaRPr lang="en-US"/>
          </a:p>
        </c:txPr>
        <c:crossAx val="447089824"/>
        <c:crosses val="autoZero"/>
        <c:crossBetween val="between"/>
        <c:majorUnit val="1.0000000000000002E-2"/>
      </c:valAx>
    </c:plotArea>
    <c:legend>
      <c:legendPos val="b"/>
      <c:overlay val="0"/>
      <c:txPr>
        <a:bodyPr/>
        <a:lstStyle/>
        <a:p>
          <a:pPr>
            <a:defRPr sz="8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BIOMASS06CF1!$H$270</c:f>
              <c:strCache>
                <c:ptCount val="1"/>
                <c:pt idx="0">
                  <c:v>ESP</c:v>
                </c:pt>
              </c:strCache>
            </c:strRef>
          </c:tx>
          <c:invertIfNegative val="0"/>
          <c:cat>
            <c:strRef>
              <c:f>BIOMASS06CF1!$I$269:$L$269</c:f>
              <c:strCache>
                <c:ptCount val="4"/>
                <c:pt idx="0">
                  <c:v>Biosmass</c:v>
                </c:pt>
                <c:pt idx="1">
                  <c:v>Construction minerals</c:v>
                </c:pt>
                <c:pt idx="2">
                  <c:v>Fossil fuels</c:v>
                </c:pt>
                <c:pt idx="3">
                  <c:v>Metal ores</c:v>
                </c:pt>
              </c:strCache>
            </c:strRef>
          </c:cat>
          <c:val>
            <c:numRef>
              <c:f>BIOMASS06CF1!$I$270:$L$270</c:f>
              <c:numCache>
                <c:formatCode>0.0</c:formatCode>
                <c:ptCount val="4"/>
                <c:pt idx="0" formatCode="0">
                  <c:v>20407.364726607138</c:v>
                </c:pt>
                <c:pt idx="1">
                  <c:v>8590.4240878030196</c:v>
                </c:pt>
                <c:pt idx="2">
                  <c:v>1473.6369429959313</c:v>
                </c:pt>
                <c:pt idx="3">
                  <c:v>285.54108038310767</c:v>
                </c:pt>
              </c:numCache>
            </c:numRef>
          </c:val>
        </c:ser>
        <c:ser>
          <c:idx val="1"/>
          <c:order val="1"/>
          <c:tx>
            <c:strRef>
              <c:f>BIOMASS06CF1!$H$271</c:f>
              <c:strCache>
                <c:ptCount val="1"/>
                <c:pt idx="0">
                  <c:v>Rest EU</c:v>
                </c:pt>
              </c:strCache>
            </c:strRef>
          </c:tx>
          <c:invertIfNegative val="0"/>
          <c:cat>
            <c:strRef>
              <c:f>BIOMASS06CF1!$I$269:$L$269</c:f>
              <c:strCache>
                <c:ptCount val="4"/>
                <c:pt idx="0">
                  <c:v>Biosmass</c:v>
                </c:pt>
                <c:pt idx="1">
                  <c:v>Construction minerals</c:v>
                </c:pt>
                <c:pt idx="2">
                  <c:v>Fossil fuels</c:v>
                </c:pt>
                <c:pt idx="3">
                  <c:v>Metal ores</c:v>
                </c:pt>
              </c:strCache>
            </c:strRef>
          </c:cat>
          <c:val>
            <c:numRef>
              <c:f>BIOMASS06CF1!$I$271:$L$271</c:f>
              <c:numCache>
                <c:formatCode>0.0</c:formatCode>
                <c:ptCount val="4"/>
                <c:pt idx="0" formatCode="0">
                  <c:v>7620.8484911269379</c:v>
                </c:pt>
                <c:pt idx="1">
                  <c:v>772.0986041362404</c:v>
                </c:pt>
                <c:pt idx="2">
                  <c:v>4156.1565937994965</c:v>
                </c:pt>
                <c:pt idx="3">
                  <c:v>603.30368716191538</c:v>
                </c:pt>
              </c:numCache>
            </c:numRef>
          </c:val>
        </c:ser>
        <c:ser>
          <c:idx val="2"/>
          <c:order val="2"/>
          <c:tx>
            <c:strRef>
              <c:f>BIOMASS06CF1!$H$272</c:f>
              <c:strCache>
                <c:ptCount val="1"/>
                <c:pt idx="0">
                  <c:v>NAFTA</c:v>
                </c:pt>
              </c:strCache>
            </c:strRef>
          </c:tx>
          <c:invertIfNegative val="0"/>
          <c:cat>
            <c:strRef>
              <c:f>BIOMASS06CF1!$I$269:$L$269</c:f>
              <c:strCache>
                <c:ptCount val="4"/>
                <c:pt idx="0">
                  <c:v>Biosmass</c:v>
                </c:pt>
                <c:pt idx="1">
                  <c:v>Construction minerals</c:v>
                </c:pt>
                <c:pt idx="2">
                  <c:v>Fossil fuels</c:v>
                </c:pt>
                <c:pt idx="3">
                  <c:v>Metal ores</c:v>
                </c:pt>
              </c:strCache>
            </c:strRef>
          </c:cat>
          <c:val>
            <c:numRef>
              <c:f>BIOMASS06CF1!$I$272:$L$272</c:f>
              <c:numCache>
                <c:formatCode>0.0</c:formatCode>
                <c:ptCount val="4"/>
                <c:pt idx="0" formatCode="0">
                  <c:v>1651.0579045232982</c:v>
                </c:pt>
                <c:pt idx="1">
                  <c:v>8285.1293937563751</c:v>
                </c:pt>
                <c:pt idx="2">
                  <c:v>4316.6202185824923</c:v>
                </c:pt>
                <c:pt idx="3">
                  <c:v>1387.963651902335</c:v>
                </c:pt>
              </c:numCache>
            </c:numRef>
          </c:val>
        </c:ser>
        <c:ser>
          <c:idx val="3"/>
          <c:order val="3"/>
          <c:tx>
            <c:strRef>
              <c:f>BIOMASS06CF1!$H$273</c:f>
              <c:strCache>
                <c:ptCount val="1"/>
                <c:pt idx="0">
                  <c:v>China</c:v>
                </c:pt>
              </c:strCache>
            </c:strRef>
          </c:tx>
          <c:invertIfNegative val="0"/>
          <c:cat>
            <c:strRef>
              <c:f>BIOMASS06CF1!$I$269:$L$269</c:f>
              <c:strCache>
                <c:ptCount val="4"/>
                <c:pt idx="0">
                  <c:v>Biosmass</c:v>
                </c:pt>
                <c:pt idx="1">
                  <c:v>Construction minerals</c:v>
                </c:pt>
                <c:pt idx="2">
                  <c:v>Fossil fuels</c:v>
                </c:pt>
                <c:pt idx="3">
                  <c:v>Metal ores</c:v>
                </c:pt>
              </c:strCache>
            </c:strRef>
          </c:cat>
          <c:val>
            <c:numRef>
              <c:f>BIOMASS06CF1!$I$273:$L$273</c:f>
              <c:numCache>
                <c:formatCode>0.0</c:formatCode>
                <c:ptCount val="4"/>
                <c:pt idx="0" formatCode="0">
                  <c:v>2217.4325816016335</c:v>
                </c:pt>
                <c:pt idx="1">
                  <c:v>16366.686480051667</c:v>
                </c:pt>
                <c:pt idx="2">
                  <c:v>3637.8383419092174</c:v>
                </c:pt>
                <c:pt idx="3">
                  <c:v>1816.7176256994842</c:v>
                </c:pt>
              </c:numCache>
            </c:numRef>
          </c:val>
        </c:ser>
        <c:ser>
          <c:idx val="4"/>
          <c:order val="4"/>
          <c:tx>
            <c:strRef>
              <c:f>BIOMASS06CF1!$H$274</c:f>
              <c:strCache>
                <c:ptCount val="1"/>
                <c:pt idx="0">
                  <c:v>East Asia</c:v>
                </c:pt>
              </c:strCache>
            </c:strRef>
          </c:tx>
          <c:invertIfNegative val="0"/>
          <c:cat>
            <c:strRef>
              <c:f>BIOMASS06CF1!$I$269:$L$269</c:f>
              <c:strCache>
                <c:ptCount val="4"/>
                <c:pt idx="0">
                  <c:v>Biosmass</c:v>
                </c:pt>
                <c:pt idx="1">
                  <c:v>Construction minerals</c:v>
                </c:pt>
                <c:pt idx="2">
                  <c:v>Fossil fuels</c:v>
                </c:pt>
                <c:pt idx="3">
                  <c:v>Metal ores</c:v>
                </c:pt>
              </c:strCache>
            </c:strRef>
          </c:cat>
          <c:val>
            <c:numRef>
              <c:f>BIOMASS06CF1!$I$274:$L$274</c:f>
              <c:numCache>
                <c:formatCode>0.0</c:formatCode>
                <c:ptCount val="4"/>
                <c:pt idx="0" formatCode="0">
                  <c:v>9.6933851392352945</c:v>
                </c:pt>
                <c:pt idx="1">
                  <c:v>902.93266781505315</c:v>
                </c:pt>
                <c:pt idx="2">
                  <c:v>6.0014620002721939</c:v>
                </c:pt>
                <c:pt idx="3">
                  <c:v>2.3630648006384458</c:v>
                </c:pt>
              </c:numCache>
            </c:numRef>
          </c:val>
        </c:ser>
        <c:ser>
          <c:idx val="5"/>
          <c:order val="5"/>
          <c:tx>
            <c:strRef>
              <c:f>BIOMASS06CF1!$H$275</c:f>
              <c:strCache>
                <c:ptCount val="1"/>
                <c:pt idx="0">
                  <c:v>BRIIAT</c:v>
                </c:pt>
              </c:strCache>
            </c:strRef>
          </c:tx>
          <c:invertIfNegative val="0"/>
          <c:cat>
            <c:strRef>
              <c:f>BIOMASS06CF1!$I$269:$L$269</c:f>
              <c:strCache>
                <c:ptCount val="4"/>
                <c:pt idx="0">
                  <c:v>Biosmass</c:v>
                </c:pt>
                <c:pt idx="1">
                  <c:v>Construction minerals</c:v>
                </c:pt>
                <c:pt idx="2">
                  <c:v>Fossil fuels</c:v>
                </c:pt>
                <c:pt idx="3">
                  <c:v>Metal ores</c:v>
                </c:pt>
              </c:strCache>
            </c:strRef>
          </c:cat>
          <c:val>
            <c:numRef>
              <c:f>BIOMASS06CF1!$I$275:$L$275</c:f>
              <c:numCache>
                <c:formatCode>0.0</c:formatCode>
                <c:ptCount val="4"/>
                <c:pt idx="0" formatCode="0">
                  <c:v>3813.9852576455955</c:v>
                </c:pt>
                <c:pt idx="1">
                  <c:v>9978.8680915278892</c:v>
                </c:pt>
                <c:pt idx="2">
                  <c:v>9617.9964534492065</c:v>
                </c:pt>
                <c:pt idx="3">
                  <c:v>7261.2435586233441</c:v>
                </c:pt>
              </c:numCache>
            </c:numRef>
          </c:val>
        </c:ser>
        <c:ser>
          <c:idx val="6"/>
          <c:order val="6"/>
          <c:tx>
            <c:strRef>
              <c:f>BIOMASS06CF1!$H$276</c:f>
              <c:strCache>
                <c:ptCount val="1"/>
                <c:pt idx="0">
                  <c:v>RoW</c:v>
                </c:pt>
              </c:strCache>
            </c:strRef>
          </c:tx>
          <c:invertIfNegative val="0"/>
          <c:cat>
            <c:strRef>
              <c:f>BIOMASS06CF1!$I$269:$L$269</c:f>
              <c:strCache>
                <c:ptCount val="4"/>
                <c:pt idx="0">
                  <c:v>Biosmass</c:v>
                </c:pt>
                <c:pt idx="1">
                  <c:v>Construction minerals</c:v>
                </c:pt>
                <c:pt idx="2">
                  <c:v>Fossil fuels</c:v>
                </c:pt>
                <c:pt idx="3">
                  <c:v>Metal ores</c:v>
                </c:pt>
              </c:strCache>
            </c:strRef>
          </c:cat>
          <c:val>
            <c:numRef>
              <c:f>BIOMASS06CF1!$I$276:$L$276</c:f>
              <c:numCache>
                <c:formatCode>0.0</c:formatCode>
                <c:ptCount val="4"/>
                <c:pt idx="0" formatCode="0">
                  <c:v>11291.545371610191</c:v>
                </c:pt>
                <c:pt idx="1">
                  <c:v>29608.534586517671</c:v>
                </c:pt>
                <c:pt idx="2">
                  <c:v>26780.126421978508</c:v>
                </c:pt>
                <c:pt idx="3">
                  <c:v>14999.2780620263</c:v>
                </c:pt>
              </c:numCache>
            </c:numRef>
          </c:val>
        </c:ser>
        <c:dLbls>
          <c:showLegendKey val="0"/>
          <c:showVal val="0"/>
          <c:showCatName val="0"/>
          <c:showSerName val="0"/>
          <c:showPercent val="0"/>
          <c:showBubbleSize val="0"/>
        </c:dLbls>
        <c:gapWidth val="150"/>
        <c:shape val="box"/>
        <c:axId val="447087080"/>
        <c:axId val="447086296"/>
        <c:axId val="0"/>
      </c:bar3DChart>
      <c:catAx>
        <c:axId val="447087080"/>
        <c:scaling>
          <c:orientation val="minMax"/>
        </c:scaling>
        <c:delete val="0"/>
        <c:axPos val="b"/>
        <c:numFmt formatCode="General" sourceLinked="0"/>
        <c:majorTickMark val="out"/>
        <c:minorTickMark val="none"/>
        <c:tickLblPos val="nextTo"/>
        <c:crossAx val="447086296"/>
        <c:crosses val="autoZero"/>
        <c:auto val="1"/>
        <c:lblAlgn val="ctr"/>
        <c:lblOffset val="100"/>
        <c:noMultiLvlLbl val="0"/>
      </c:catAx>
      <c:valAx>
        <c:axId val="447086296"/>
        <c:scaling>
          <c:orientation val="minMax"/>
        </c:scaling>
        <c:delete val="0"/>
        <c:axPos val="l"/>
        <c:majorGridlines/>
        <c:numFmt formatCode="0" sourceLinked="1"/>
        <c:majorTickMark val="out"/>
        <c:minorTickMark val="none"/>
        <c:tickLblPos val="nextTo"/>
        <c:crossAx val="44708708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BIOMASS06CF1!$C$279</c:f>
              <c:strCache>
                <c:ptCount val="1"/>
                <c:pt idx="0">
                  <c:v>Y1</c:v>
                </c:pt>
              </c:strCache>
            </c:strRef>
          </c:tx>
          <c:invertIfNegative val="0"/>
          <c:cat>
            <c:multiLvlStrRef>
              <c:f>BIOMASS06CF1!$A$280:$B$287</c:f>
              <c:multiLvlStrCache>
                <c:ptCount val="8"/>
                <c:lvl>
                  <c:pt idx="0">
                    <c:v>2006</c:v>
                  </c:pt>
                  <c:pt idx="1">
                    <c:v>2009</c:v>
                  </c:pt>
                  <c:pt idx="2">
                    <c:v>2006</c:v>
                  </c:pt>
                  <c:pt idx="3">
                    <c:v>2009</c:v>
                  </c:pt>
                  <c:pt idx="4">
                    <c:v>2006</c:v>
                  </c:pt>
                  <c:pt idx="5">
                    <c:v>2009</c:v>
                  </c:pt>
                  <c:pt idx="6">
                    <c:v>2006</c:v>
                  </c:pt>
                  <c:pt idx="7">
                    <c:v>2009</c:v>
                  </c:pt>
                </c:lvl>
                <c:lvl>
                  <c:pt idx="0">
                    <c:v>Biosmass</c:v>
                  </c:pt>
                  <c:pt idx="2">
                    <c:v>Construction minerals</c:v>
                  </c:pt>
                  <c:pt idx="4">
                    <c:v>Fossil fuels</c:v>
                  </c:pt>
                  <c:pt idx="6">
                    <c:v>Metal ores</c:v>
                  </c:pt>
                </c:lvl>
              </c:multiLvlStrCache>
            </c:multiLvlStrRef>
          </c:cat>
          <c:val>
            <c:numRef>
              <c:f>BIOMASS06CF1!$C$280:$C$287</c:f>
              <c:numCache>
                <c:formatCode>0</c:formatCode>
                <c:ptCount val="8"/>
                <c:pt idx="0">
                  <c:v>1877.5793543622669</c:v>
                </c:pt>
                <c:pt idx="1">
                  <c:v>1417.4421916421222</c:v>
                </c:pt>
                <c:pt idx="2">
                  <c:v>2790.7237400855975</c:v>
                </c:pt>
                <c:pt idx="3">
                  <c:v>2075.2995036950824</c:v>
                </c:pt>
                <c:pt idx="4">
                  <c:v>1963.0656828844644</c:v>
                </c:pt>
                <c:pt idx="5">
                  <c:v>1366.2992414848391</c:v>
                </c:pt>
                <c:pt idx="6">
                  <c:v>1125.9566339106864</c:v>
                </c:pt>
                <c:pt idx="7">
                  <c:v>720.58233009683499</c:v>
                </c:pt>
              </c:numCache>
            </c:numRef>
          </c:val>
        </c:ser>
        <c:ser>
          <c:idx val="1"/>
          <c:order val="1"/>
          <c:tx>
            <c:strRef>
              <c:f>BIOMASS06CF1!$D$279</c:f>
              <c:strCache>
                <c:ptCount val="1"/>
                <c:pt idx="0">
                  <c:v>Y2</c:v>
                </c:pt>
              </c:strCache>
            </c:strRef>
          </c:tx>
          <c:invertIfNegative val="0"/>
          <c:cat>
            <c:multiLvlStrRef>
              <c:f>BIOMASS06CF1!$A$280:$B$287</c:f>
              <c:multiLvlStrCache>
                <c:ptCount val="8"/>
                <c:lvl>
                  <c:pt idx="0">
                    <c:v>2006</c:v>
                  </c:pt>
                  <c:pt idx="1">
                    <c:v>2009</c:v>
                  </c:pt>
                  <c:pt idx="2">
                    <c:v>2006</c:v>
                  </c:pt>
                  <c:pt idx="3">
                    <c:v>2009</c:v>
                  </c:pt>
                  <c:pt idx="4">
                    <c:v>2006</c:v>
                  </c:pt>
                  <c:pt idx="5">
                    <c:v>2009</c:v>
                  </c:pt>
                  <c:pt idx="6">
                    <c:v>2006</c:v>
                  </c:pt>
                  <c:pt idx="7">
                    <c:v>2009</c:v>
                  </c:pt>
                </c:lvl>
                <c:lvl>
                  <c:pt idx="0">
                    <c:v>Biosmass</c:v>
                  </c:pt>
                  <c:pt idx="2">
                    <c:v>Construction minerals</c:v>
                  </c:pt>
                  <c:pt idx="4">
                    <c:v>Fossil fuels</c:v>
                  </c:pt>
                  <c:pt idx="6">
                    <c:v>Metal ores</c:v>
                  </c:pt>
                </c:lvl>
              </c:multiLvlStrCache>
            </c:multiLvlStrRef>
          </c:cat>
          <c:val>
            <c:numRef>
              <c:f>BIOMASS06CF1!$D$280:$D$287</c:f>
              <c:numCache>
                <c:formatCode>0</c:formatCode>
                <c:ptCount val="8"/>
                <c:pt idx="0">
                  <c:v>3315.6084489758996</c:v>
                </c:pt>
                <c:pt idx="1">
                  <c:v>2149.1890693046662</c:v>
                </c:pt>
                <c:pt idx="2">
                  <c:v>5411.4479482167153</c:v>
                </c:pt>
                <c:pt idx="3">
                  <c:v>3350.2590258284072</c:v>
                </c:pt>
                <c:pt idx="4">
                  <c:v>3836.0373152891343</c:v>
                </c:pt>
                <c:pt idx="5">
                  <c:v>2184.4762917674016</c:v>
                </c:pt>
                <c:pt idx="6">
                  <c:v>2198.114245976541</c:v>
                </c:pt>
                <c:pt idx="7">
                  <c:v>1151.889794235115</c:v>
                </c:pt>
              </c:numCache>
            </c:numRef>
          </c:val>
        </c:ser>
        <c:ser>
          <c:idx val="2"/>
          <c:order val="2"/>
          <c:tx>
            <c:strRef>
              <c:f>BIOMASS06CF1!$E$279</c:f>
              <c:strCache>
                <c:ptCount val="1"/>
                <c:pt idx="0">
                  <c:v>Y3</c:v>
                </c:pt>
              </c:strCache>
            </c:strRef>
          </c:tx>
          <c:invertIfNegative val="0"/>
          <c:cat>
            <c:multiLvlStrRef>
              <c:f>BIOMASS06CF1!$A$280:$B$287</c:f>
              <c:multiLvlStrCache>
                <c:ptCount val="8"/>
                <c:lvl>
                  <c:pt idx="0">
                    <c:v>2006</c:v>
                  </c:pt>
                  <c:pt idx="1">
                    <c:v>2009</c:v>
                  </c:pt>
                  <c:pt idx="2">
                    <c:v>2006</c:v>
                  </c:pt>
                  <c:pt idx="3">
                    <c:v>2009</c:v>
                  </c:pt>
                  <c:pt idx="4">
                    <c:v>2006</c:v>
                  </c:pt>
                  <c:pt idx="5">
                    <c:v>2009</c:v>
                  </c:pt>
                  <c:pt idx="6">
                    <c:v>2006</c:v>
                  </c:pt>
                  <c:pt idx="7">
                    <c:v>2009</c:v>
                  </c:pt>
                </c:lvl>
                <c:lvl>
                  <c:pt idx="0">
                    <c:v>Biosmass</c:v>
                  </c:pt>
                  <c:pt idx="2">
                    <c:v>Construction minerals</c:v>
                  </c:pt>
                  <c:pt idx="4">
                    <c:v>Fossil fuels</c:v>
                  </c:pt>
                  <c:pt idx="6">
                    <c:v>Metal ores</c:v>
                  </c:pt>
                </c:lvl>
              </c:multiLvlStrCache>
            </c:multiLvlStrRef>
          </c:cat>
          <c:val>
            <c:numRef>
              <c:f>BIOMASS06CF1!$E$280:$E$287</c:f>
              <c:numCache>
                <c:formatCode>0</c:formatCode>
                <c:ptCount val="8"/>
                <c:pt idx="0">
                  <c:v>4019.0838831368155</c:v>
                </c:pt>
                <c:pt idx="1">
                  <c:v>2635.3459004324022</c:v>
                </c:pt>
                <c:pt idx="2">
                  <c:v>6754.6227740898403</c:v>
                </c:pt>
                <c:pt idx="3">
                  <c:v>3350.2590258284072</c:v>
                </c:pt>
                <c:pt idx="4">
                  <c:v>4775.3020559944653</c:v>
                </c:pt>
                <c:pt idx="5">
                  <c:v>2707.1264060814392</c:v>
                </c:pt>
                <c:pt idx="6">
                  <c:v>2732.7807060098985</c:v>
                </c:pt>
                <c:pt idx="7">
                  <c:v>1427.7341545505426</c:v>
                </c:pt>
              </c:numCache>
            </c:numRef>
          </c:val>
        </c:ser>
        <c:ser>
          <c:idx val="3"/>
          <c:order val="3"/>
          <c:tx>
            <c:strRef>
              <c:f>BIOMASS06CF1!$F$279</c:f>
              <c:strCache>
                <c:ptCount val="1"/>
                <c:pt idx="0">
                  <c:v>Y4</c:v>
                </c:pt>
              </c:strCache>
            </c:strRef>
          </c:tx>
          <c:invertIfNegative val="0"/>
          <c:cat>
            <c:multiLvlStrRef>
              <c:f>BIOMASS06CF1!$A$280:$B$287</c:f>
              <c:multiLvlStrCache>
                <c:ptCount val="8"/>
                <c:lvl>
                  <c:pt idx="0">
                    <c:v>2006</c:v>
                  </c:pt>
                  <c:pt idx="1">
                    <c:v>2009</c:v>
                  </c:pt>
                  <c:pt idx="2">
                    <c:v>2006</c:v>
                  </c:pt>
                  <c:pt idx="3">
                    <c:v>2009</c:v>
                  </c:pt>
                  <c:pt idx="4">
                    <c:v>2006</c:v>
                  </c:pt>
                  <c:pt idx="5">
                    <c:v>2009</c:v>
                  </c:pt>
                  <c:pt idx="6">
                    <c:v>2006</c:v>
                  </c:pt>
                  <c:pt idx="7">
                    <c:v>2009</c:v>
                  </c:pt>
                </c:lvl>
                <c:lvl>
                  <c:pt idx="0">
                    <c:v>Biosmass</c:v>
                  </c:pt>
                  <c:pt idx="2">
                    <c:v>Construction minerals</c:v>
                  </c:pt>
                  <c:pt idx="4">
                    <c:v>Fossil fuels</c:v>
                  </c:pt>
                  <c:pt idx="6">
                    <c:v>Metal ores</c:v>
                  </c:pt>
                </c:lvl>
              </c:multiLvlStrCache>
            </c:multiLvlStrRef>
          </c:cat>
          <c:val>
            <c:numRef>
              <c:f>BIOMASS06CF1!$F$280:$F$287</c:f>
              <c:numCache>
                <c:formatCode>0</c:formatCode>
                <c:ptCount val="8"/>
                <c:pt idx="0">
                  <c:v>4631.817482382623</c:v>
                </c:pt>
                <c:pt idx="1">
                  <c:v>2919.8870766376699</c:v>
                </c:pt>
                <c:pt idx="2">
                  <c:v>8263.6018120324406</c:v>
                </c:pt>
                <c:pt idx="3">
                  <c:v>4779.3117477822179</c:v>
                </c:pt>
                <c:pt idx="4">
                  <c:v>5848.9104250568435</c:v>
                </c:pt>
                <c:pt idx="5">
                  <c:v>3111.0348546533514</c:v>
                </c:pt>
                <c:pt idx="6">
                  <c:v>3348.1190782247077</c:v>
                </c:pt>
                <c:pt idx="7">
                  <c:v>1640.4353403056143</c:v>
                </c:pt>
              </c:numCache>
            </c:numRef>
          </c:val>
        </c:ser>
        <c:ser>
          <c:idx val="4"/>
          <c:order val="4"/>
          <c:tx>
            <c:strRef>
              <c:f>BIOMASS06CF1!$G$279</c:f>
              <c:strCache>
                <c:ptCount val="1"/>
                <c:pt idx="0">
                  <c:v>Y5</c:v>
                </c:pt>
              </c:strCache>
            </c:strRef>
          </c:tx>
          <c:invertIfNegative val="0"/>
          <c:cat>
            <c:multiLvlStrRef>
              <c:f>BIOMASS06CF1!$A$280:$B$287</c:f>
              <c:multiLvlStrCache>
                <c:ptCount val="8"/>
                <c:lvl>
                  <c:pt idx="0">
                    <c:v>2006</c:v>
                  </c:pt>
                  <c:pt idx="1">
                    <c:v>2009</c:v>
                  </c:pt>
                  <c:pt idx="2">
                    <c:v>2006</c:v>
                  </c:pt>
                  <c:pt idx="3">
                    <c:v>2009</c:v>
                  </c:pt>
                  <c:pt idx="4">
                    <c:v>2006</c:v>
                  </c:pt>
                  <c:pt idx="5">
                    <c:v>2009</c:v>
                  </c:pt>
                  <c:pt idx="6">
                    <c:v>2006</c:v>
                  </c:pt>
                  <c:pt idx="7">
                    <c:v>2009</c:v>
                  </c:pt>
                </c:lvl>
                <c:lvl>
                  <c:pt idx="0">
                    <c:v>Biosmass</c:v>
                  </c:pt>
                  <c:pt idx="2">
                    <c:v>Construction minerals</c:v>
                  </c:pt>
                  <c:pt idx="4">
                    <c:v>Fossil fuels</c:v>
                  </c:pt>
                  <c:pt idx="6">
                    <c:v>Metal ores</c:v>
                  </c:pt>
                </c:lvl>
              </c:multiLvlStrCache>
            </c:multiLvlStrRef>
          </c:cat>
          <c:val>
            <c:numRef>
              <c:f>BIOMASS06CF1!$G$280:$G$287</c:f>
              <c:numCache>
                <c:formatCode>0</c:formatCode>
                <c:ptCount val="8"/>
                <c:pt idx="0">
                  <c:v>6377.6353775352754</c:v>
                </c:pt>
                <c:pt idx="1">
                  <c:v>4120.7894154765727</c:v>
                </c:pt>
                <c:pt idx="2">
                  <c:v>11829.561067078299</c:v>
                </c:pt>
                <c:pt idx="3">
                  <c:v>7142.6899106057235</c:v>
                </c:pt>
                <c:pt idx="4">
                  <c:v>8347.5337077522472</c:v>
                </c:pt>
                <c:pt idx="5">
                  <c:v>4621.876562246227</c:v>
                </c:pt>
                <c:pt idx="6">
                  <c:v>4771.8395895519243</c:v>
                </c:pt>
                <c:pt idx="7">
                  <c:v>2436.3075770539172</c:v>
                </c:pt>
              </c:numCache>
            </c:numRef>
          </c:val>
        </c:ser>
        <c:dLbls>
          <c:showLegendKey val="0"/>
          <c:showVal val="0"/>
          <c:showCatName val="0"/>
          <c:showSerName val="0"/>
          <c:showPercent val="0"/>
          <c:showBubbleSize val="0"/>
        </c:dLbls>
        <c:gapWidth val="150"/>
        <c:shape val="pyramid"/>
        <c:axId val="526923464"/>
        <c:axId val="526925032"/>
        <c:axId val="528813288"/>
      </c:bar3DChart>
      <c:catAx>
        <c:axId val="526923464"/>
        <c:scaling>
          <c:orientation val="minMax"/>
        </c:scaling>
        <c:delete val="0"/>
        <c:axPos val="b"/>
        <c:numFmt formatCode="General" sourceLinked="0"/>
        <c:majorTickMark val="out"/>
        <c:minorTickMark val="none"/>
        <c:tickLblPos val="nextTo"/>
        <c:crossAx val="526925032"/>
        <c:crosses val="autoZero"/>
        <c:auto val="1"/>
        <c:lblAlgn val="ctr"/>
        <c:lblOffset val="100"/>
        <c:noMultiLvlLbl val="0"/>
      </c:catAx>
      <c:valAx>
        <c:axId val="526925032"/>
        <c:scaling>
          <c:orientation val="minMax"/>
        </c:scaling>
        <c:delete val="0"/>
        <c:axPos val="l"/>
        <c:majorGridlines/>
        <c:numFmt formatCode="0" sourceLinked="1"/>
        <c:majorTickMark val="out"/>
        <c:minorTickMark val="none"/>
        <c:tickLblPos val="nextTo"/>
        <c:crossAx val="526923464"/>
        <c:crosses val="autoZero"/>
        <c:crossBetween val="between"/>
      </c:valAx>
      <c:serAx>
        <c:axId val="528813288"/>
        <c:scaling>
          <c:orientation val="minMax"/>
        </c:scaling>
        <c:delete val="0"/>
        <c:axPos val="b"/>
        <c:majorTickMark val="out"/>
        <c:minorTickMark val="none"/>
        <c:tickLblPos val="nextTo"/>
        <c:crossAx val="526925032"/>
        <c:crosses val="autoZero"/>
      </c:ser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BIOMASS06CF1!$C$311</c:f>
              <c:strCache>
                <c:ptCount val="1"/>
                <c:pt idx="0">
                  <c:v>MF</c:v>
                </c:pt>
              </c:strCache>
            </c:strRef>
          </c:tx>
          <c:invertIfNegative val="0"/>
          <c:dPt>
            <c:idx val="2"/>
            <c:invertIfNegative val="0"/>
            <c:bubble3D val="0"/>
            <c:spPr>
              <a:solidFill>
                <a:schemeClr val="accent2"/>
              </a:solidFill>
            </c:spPr>
          </c:dPt>
          <c:dPt>
            <c:idx val="3"/>
            <c:invertIfNegative val="0"/>
            <c:bubble3D val="0"/>
            <c:spPr>
              <a:solidFill>
                <a:schemeClr val="accent2"/>
              </a:solidFill>
            </c:spPr>
          </c:dPt>
          <c:dPt>
            <c:idx val="4"/>
            <c:invertIfNegative val="0"/>
            <c:bubble3D val="0"/>
            <c:spPr>
              <a:solidFill>
                <a:srgbClr val="FFC000"/>
              </a:solidFill>
            </c:spPr>
          </c:dPt>
          <c:dPt>
            <c:idx val="5"/>
            <c:invertIfNegative val="0"/>
            <c:bubble3D val="0"/>
            <c:spPr>
              <a:solidFill>
                <a:srgbClr val="FFC000"/>
              </a:solidFill>
            </c:spPr>
          </c:dPt>
          <c:dPt>
            <c:idx val="6"/>
            <c:invertIfNegative val="0"/>
            <c:bubble3D val="0"/>
            <c:spPr>
              <a:solidFill>
                <a:srgbClr val="92D050"/>
              </a:solidFill>
            </c:spPr>
          </c:dPt>
          <c:dPt>
            <c:idx val="7"/>
            <c:invertIfNegative val="0"/>
            <c:bubble3D val="0"/>
            <c:spPr>
              <a:solidFill>
                <a:srgbClr val="92D050"/>
              </a:solidFill>
            </c:spPr>
          </c:dPt>
          <c:cat>
            <c:multiLvlStrRef>
              <c:f>BIOMASS06CF1!$A$312:$B$319</c:f>
              <c:multiLvlStrCache>
                <c:ptCount val="8"/>
                <c:lvl>
                  <c:pt idx="0">
                    <c:v>2006</c:v>
                  </c:pt>
                  <c:pt idx="1">
                    <c:v>2009</c:v>
                  </c:pt>
                  <c:pt idx="2">
                    <c:v>2006</c:v>
                  </c:pt>
                  <c:pt idx="3">
                    <c:v>2009</c:v>
                  </c:pt>
                  <c:pt idx="4">
                    <c:v>2006</c:v>
                  </c:pt>
                  <c:pt idx="5">
                    <c:v>2009</c:v>
                  </c:pt>
                  <c:pt idx="6">
                    <c:v>2006</c:v>
                  </c:pt>
                  <c:pt idx="7">
                    <c:v>2009</c:v>
                  </c:pt>
                </c:lvl>
                <c:lvl>
                  <c:pt idx="0">
                    <c:v>Biosmass</c:v>
                  </c:pt>
                  <c:pt idx="2">
                    <c:v>Construction minerals</c:v>
                  </c:pt>
                  <c:pt idx="4">
                    <c:v>Fossil fuels</c:v>
                  </c:pt>
                  <c:pt idx="6">
                    <c:v>Metal ores</c:v>
                  </c:pt>
                </c:lvl>
              </c:multiLvlStrCache>
            </c:multiLvlStrRef>
          </c:cat>
          <c:val>
            <c:numRef>
              <c:f>BIOMASS06CF1!$C$312:$C$319</c:f>
              <c:numCache>
                <c:formatCode>0.000</c:formatCode>
                <c:ptCount val="8"/>
                <c:pt idx="0">
                  <c:v>0.12661619175282693</c:v>
                </c:pt>
                <c:pt idx="1">
                  <c:v>9.4510936974559728E-2</c:v>
                </c:pt>
                <c:pt idx="2">
                  <c:v>0.21842971865478061</c:v>
                </c:pt>
                <c:pt idx="3">
                  <c:v>0.14978127641500624</c:v>
                </c:pt>
                <c:pt idx="4">
                  <c:v>0.15433811179390697</c:v>
                </c:pt>
                <c:pt idx="5">
                  <c:v>0.1004946728199681</c:v>
                </c:pt>
                <c:pt idx="6">
                  <c:v>8.8331860355710723E-2</c:v>
                </c:pt>
                <c:pt idx="7">
                  <c:v>5.2985895161832913E-2</c:v>
                </c:pt>
              </c:numCache>
            </c:numRef>
          </c:val>
        </c:ser>
        <c:dLbls>
          <c:showLegendKey val="0"/>
          <c:showVal val="0"/>
          <c:showCatName val="0"/>
          <c:showSerName val="0"/>
          <c:showPercent val="0"/>
          <c:showBubbleSize val="0"/>
        </c:dLbls>
        <c:gapWidth val="150"/>
        <c:shape val="box"/>
        <c:axId val="526925424"/>
        <c:axId val="526922288"/>
        <c:axId val="0"/>
      </c:bar3DChart>
      <c:catAx>
        <c:axId val="526925424"/>
        <c:scaling>
          <c:orientation val="minMax"/>
        </c:scaling>
        <c:delete val="0"/>
        <c:axPos val="b"/>
        <c:numFmt formatCode="General" sourceLinked="0"/>
        <c:majorTickMark val="out"/>
        <c:minorTickMark val="none"/>
        <c:tickLblPos val="nextTo"/>
        <c:crossAx val="526922288"/>
        <c:crosses val="autoZero"/>
        <c:auto val="1"/>
        <c:lblAlgn val="ctr"/>
        <c:lblOffset val="100"/>
        <c:noMultiLvlLbl val="0"/>
      </c:catAx>
      <c:valAx>
        <c:axId val="526922288"/>
        <c:scaling>
          <c:orientation val="minMax"/>
        </c:scaling>
        <c:delete val="0"/>
        <c:axPos val="l"/>
        <c:majorGridlines/>
        <c:numFmt formatCode="0.000" sourceLinked="1"/>
        <c:majorTickMark val="out"/>
        <c:minorTickMark val="none"/>
        <c:tickLblPos val="nextTo"/>
        <c:crossAx val="52692542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kAYA!$J$42</c:f>
              <c:strCache>
                <c:ptCount val="1"/>
                <c:pt idx="0">
                  <c:v>Population</c:v>
                </c:pt>
              </c:strCache>
            </c:strRef>
          </c:tx>
          <c:invertIfNegative val="0"/>
          <c:cat>
            <c:strRef>
              <c:f>kAYA!$I$43:$I$46</c:f>
              <c:strCache>
                <c:ptCount val="4"/>
                <c:pt idx="0">
                  <c:v>Biosmass</c:v>
                </c:pt>
                <c:pt idx="1">
                  <c:v>Construction minerals</c:v>
                </c:pt>
                <c:pt idx="2">
                  <c:v>Fossil fuels</c:v>
                </c:pt>
                <c:pt idx="3">
                  <c:v>Metal ores</c:v>
                </c:pt>
              </c:strCache>
            </c:strRef>
          </c:cat>
          <c:val>
            <c:numRef>
              <c:f>kAYA!$J$43:$J$46</c:f>
              <c:numCache>
                <c:formatCode>0.0%</c:formatCode>
                <c:ptCount val="4"/>
                <c:pt idx="0">
                  <c:v>7.5696378441731771E-2</c:v>
                </c:pt>
                <c:pt idx="1">
                  <c:v>7.5696378441731771E-2</c:v>
                </c:pt>
                <c:pt idx="2">
                  <c:v>7.5696378441731771E-2</c:v>
                </c:pt>
                <c:pt idx="3">
                  <c:v>7.5696378441731771E-2</c:v>
                </c:pt>
              </c:numCache>
            </c:numRef>
          </c:val>
        </c:ser>
        <c:ser>
          <c:idx val="1"/>
          <c:order val="1"/>
          <c:tx>
            <c:strRef>
              <c:f>kAYA!$K$42</c:f>
              <c:strCache>
                <c:ptCount val="1"/>
                <c:pt idx="0">
                  <c:v>Affluence </c:v>
                </c:pt>
              </c:strCache>
            </c:strRef>
          </c:tx>
          <c:invertIfNegative val="0"/>
          <c:cat>
            <c:strRef>
              <c:f>kAYA!$I$43:$I$46</c:f>
              <c:strCache>
                <c:ptCount val="4"/>
                <c:pt idx="0">
                  <c:v>Biosmass</c:v>
                </c:pt>
                <c:pt idx="1">
                  <c:v>Construction minerals</c:v>
                </c:pt>
                <c:pt idx="2">
                  <c:v>Fossil fuels</c:v>
                </c:pt>
                <c:pt idx="3">
                  <c:v>Metal ores</c:v>
                </c:pt>
              </c:strCache>
            </c:strRef>
          </c:cat>
          <c:val>
            <c:numRef>
              <c:f>kAYA!$K$43:$K$46</c:f>
              <c:numCache>
                <c:formatCode>0.0%</c:formatCode>
                <c:ptCount val="4"/>
                <c:pt idx="0">
                  <c:v>-6.7629789612778546E-2</c:v>
                </c:pt>
                <c:pt idx="1">
                  <c:v>-6.7629789612778546E-2</c:v>
                </c:pt>
                <c:pt idx="2">
                  <c:v>-6.7629789612778546E-2</c:v>
                </c:pt>
                <c:pt idx="3">
                  <c:v>-6.7629789612778546E-2</c:v>
                </c:pt>
              </c:numCache>
            </c:numRef>
          </c:val>
        </c:ser>
        <c:ser>
          <c:idx val="2"/>
          <c:order val="2"/>
          <c:tx>
            <c:strRef>
              <c:f>kAYA!$L$42</c:f>
              <c:strCache>
                <c:ptCount val="1"/>
                <c:pt idx="0">
                  <c:v>Technology</c:v>
                </c:pt>
              </c:strCache>
            </c:strRef>
          </c:tx>
          <c:invertIfNegative val="0"/>
          <c:cat>
            <c:strRef>
              <c:f>kAYA!$I$43:$I$46</c:f>
              <c:strCache>
                <c:ptCount val="4"/>
                <c:pt idx="0">
                  <c:v>Biosmass</c:v>
                </c:pt>
                <c:pt idx="1">
                  <c:v>Construction minerals</c:v>
                </c:pt>
                <c:pt idx="2">
                  <c:v>Fossil fuels</c:v>
                </c:pt>
                <c:pt idx="3">
                  <c:v>Metal ores</c:v>
                </c:pt>
              </c:strCache>
            </c:strRef>
          </c:cat>
          <c:val>
            <c:numRef>
              <c:f>kAYA!$L$43:$L$46</c:f>
              <c:numCache>
                <c:formatCode>0.0%</c:formatCode>
                <c:ptCount val="4"/>
                <c:pt idx="0">
                  <c:v>-0.25356357930067341</c:v>
                </c:pt>
                <c:pt idx="1">
                  <c:v>-0.31428160354072732</c:v>
                </c:pt>
                <c:pt idx="2">
                  <c:v>-0.34886677275045247</c:v>
                </c:pt>
                <c:pt idx="3">
                  <c:v>-0.40014967477805041</c:v>
                </c:pt>
              </c:numCache>
            </c:numRef>
          </c:val>
        </c:ser>
        <c:dLbls>
          <c:showLegendKey val="0"/>
          <c:showVal val="0"/>
          <c:showCatName val="0"/>
          <c:showSerName val="0"/>
          <c:showPercent val="0"/>
          <c:showBubbleSize val="0"/>
        </c:dLbls>
        <c:gapWidth val="150"/>
        <c:shape val="box"/>
        <c:axId val="526923072"/>
        <c:axId val="526923856"/>
        <c:axId val="0"/>
      </c:bar3DChart>
      <c:catAx>
        <c:axId val="526923072"/>
        <c:scaling>
          <c:orientation val="minMax"/>
        </c:scaling>
        <c:delete val="0"/>
        <c:axPos val="b"/>
        <c:numFmt formatCode="General" sourceLinked="0"/>
        <c:majorTickMark val="out"/>
        <c:minorTickMark val="none"/>
        <c:tickLblPos val="nextTo"/>
        <c:txPr>
          <a:bodyPr/>
          <a:lstStyle/>
          <a:p>
            <a:pPr>
              <a:defRPr sz="1200" baseline="0"/>
            </a:pPr>
            <a:endParaRPr lang="en-US"/>
          </a:p>
        </c:txPr>
        <c:crossAx val="526923856"/>
        <c:crosses val="autoZero"/>
        <c:auto val="1"/>
        <c:lblAlgn val="ctr"/>
        <c:lblOffset val="100"/>
        <c:noMultiLvlLbl val="0"/>
      </c:catAx>
      <c:valAx>
        <c:axId val="526923856"/>
        <c:scaling>
          <c:orientation val="minMax"/>
        </c:scaling>
        <c:delete val="0"/>
        <c:axPos val="l"/>
        <c:majorGridlines/>
        <c:numFmt formatCode="0.0%" sourceLinked="1"/>
        <c:majorTickMark val="out"/>
        <c:minorTickMark val="none"/>
        <c:tickLblPos val="nextTo"/>
        <c:crossAx val="52692307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219</TotalTime>
  <Pages>17</Pages>
  <Words>8838</Words>
  <Characters>50383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Universidad de Castilla-La Mancha</Company>
  <LinksUpToDate>false</LinksUpToDate>
  <CharactersWithSpaces>59103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Teoria</dc:creator>
  <cp:lastModifiedBy>JORGE ENRIQUE ZAFRILLA RODRIGUEZ</cp:lastModifiedBy>
  <cp:revision>19</cp:revision>
  <dcterms:created xsi:type="dcterms:W3CDTF">2014-05-09T06:53:00Z</dcterms:created>
  <dcterms:modified xsi:type="dcterms:W3CDTF">2014-05-09T11:42:00Z</dcterms:modified>
</cp:coreProperties>
</file>