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6A" w:rsidRDefault="0050026A" w:rsidP="001B11F2">
      <w:pPr>
        <w:pStyle w:val="Title"/>
        <w:pBdr>
          <w:bottom w:val="none" w:sz="0" w:space="0" w:color="auto"/>
        </w:pBdr>
      </w:pPr>
      <w:r w:rsidRPr="0050026A">
        <w:t xml:space="preserve">What is the </w:t>
      </w:r>
      <w:r w:rsidR="00E003F6">
        <w:t>significance</w:t>
      </w:r>
      <w:r w:rsidR="00E003F6" w:rsidRPr="0050026A">
        <w:t xml:space="preserve"> </w:t>
      </w:r>
      <w:r w:rsidRPr="0050026A">
        <w:t xml:space="preserve">of </w:t>
      </w:r>
      <w:r w:rsidR="002910BC">
        <w:t>the UK’s</w:t>
      </w:r>
      <w:r w:rsidRPr="0050026A">
        <w:t xml:space="preserve"> 80% territorial reduction target for GHG emissions from a consumption-based perspective?</w:t>
      </w:r>
    </w:p>
    <w:p w:rsidR="005A33EC" w:rsidRDefault="005A33EC" w:rsidP="005A33EC">
      <w:r>
        <w:t>Kate Scott and John Barrett</w:t>
      </w:r>
    </w:p>
    <w:p w:rsidR="005A33EC" w:rsidRPr="005A33EC" w:rsidRDefault="005A33EC" w:rsidP="005A33EC">
      <w:pPr>
        <w:rPr>
          <w:sz w:val="20"/>
          <w:szCs w:val="20"/>
        </w:rPr>
      </w:pPr>
      <w:r w:rsidRPr="005A33EC">
        <w:rPr>
          <w:sz w:val="20"/>
          <w:szCs w:val="20"/>
        </w:rPr>
        <w:t>Sustainability Research Institute, School of Earth and Environment, University of Leeds, Leeds, LS2 9JT.</w:t>
      </w:r>
    </w:p>
    <w:p w:rsidR="005A33EC" w:rsidRPr="005A33EC" w:rsidRDefault="005A33EC" w:rsidP="005A33EC">
      <w:r>
        <w:t>The scenarios were devised in collaboration with the UK Committee on Climate Change (CCC, 2013).</w:t>
      </w:r>
      <w:bookmarkStart w:id="0" w:name="_GoBack"/>
      <w:bookmarkEnd w:id="0"/>
    </w:p>
    <w:p w:rsidR="00AC10E8" w:rsidRDefault="00AC10E8" w:rsidP="00AC10E8">
      <w:pPr>
        <w:pBdr>
          <w:top w:val="single" w:sz="4" w:space="1" w:color="auto"/>
          <w:bottom w:val="single" w:sz="4" w:space="1" w:color="auto"/>
        </w:pBdr>
        <w:rPr>
          <w:shd w:val="clear" w:color="auto" w:fill="FFFFFF"/>
        </w:rPr>
      </w:pPr>
      <w:r>
        <w:rPr>
          <w:shd w:val="clear" w:color="auto" w:fill="FFFFFF"/>
        </w:rPr>
        <w:t>Abstract</w:t>
      </w:r>
    </w:p>
    <w:p w:rsidR="00AC10E8" w:rsidRPr="00AC10E8" w:rsidRDefault="004C5AC8" w:rsidP="00AC10E8">
      <w:pPr>
        <w:pBdr>
          <w:top w:val="single" w:sz="4" w:space="1" w:color="auto"/>
          <w:bottom w:val="single" w:sz="4" w:space="1" w:color="auto"/>
        </w:pBdr>
      </w:pPr>
      <w:r>
        <w:rPr>
          <w:shd w:val="clear" w:color="auto" w:fill="FFFFFF"/>
        </w:rPr>
        <w:t>The UK has one of</w:t>
      </w:r>
      <w:r w:rsidR="00AC10E8">
        <w:rPr>
          <w:shd w:val="clear" w:color="auto" w:fill="FFFFFF"/>
        </w:rPr>
        <w:t xml:space="preserve"> the highest net emission transfers questioning whether the current territorial approach to target setting is appropriate and whether enough policy effort is devoted to consumption measures. This paper investigates the relevance of the UK’s 80 percent territorial emission reduction target from a consumption-based perspective. A time series of consumption-based accounts is developed for 1993 to 2010 to show trends in the UK’s carbon footprint. A series of scenarios compatible with the climate objective of a two degree future are developed for the UK and seven trading regions (including China, India and OECD-Europe). UK consumption emissions are analysed in a world where a two degree future is realised, and compared to a world where international actions don’t go beyond pledges made in the Copenhagen Accord. Scenarios incorporate changes in UK production emissions and carbon intensities, UK final demand, UK trade relations and emission intensities in other countries. The consumption scenarios show that the UK’s carbon footprint is likely to fall over time as </w:t>
      </w:r>
      <w:r w:rsidR="001F6E17">
        <w:rPr>
          <w:shd w:val="clear" w:color="auto" w:fill="FFFFFF"/>
        </w:rPr>
        <w:t>declining</w:t>
      </w:r>
      <w:r w:rsidR="00AC10E8">
        <w:rPr>
          <w:shd w:val="clear" w:color="auto" w:fill="FFFFFF"/>
        </w:rPr>
        <w:t xml:space="preserve"> emission intensities offset any increase in demand from imports. However, the gap between production and consumption emissions remains, and widens more significantly under less ambitious international pathways and higher import demand assumptions. </w:t>
      </w:r>
      <w:r>
        <w:rPr>
          <w:shd w:val="clear" w:color="auto" w:fill="FFFFFF"/>
        </w:rPr>
        <w:t>The paper concludes that the cu</w:t>
      </w:r>
      <w:r w:rsidR="007810EA">
        <w:rPr>
          <w:shd w:val="clear" w:color="auto" w:fill="FFFFFF"/>
        </w:rPr>
        <w:t>rrent territorial and end-point-</w:t>
      </w:r>
      <w:r>
        <w:rPr>
          <w:shd w:val="clear" w:color="auto" w:fill="FFFFFF"/>
        </w:rPr>
        <w:t xml:space="preserve">based target does not reflect emissions driven by UK consumption and </w:t>
      </w:r>
      <w:r w:rsidR="001F6E17">
        <w:rPr>
          <w:shd w:val="clear" w:color="auto" w:fill="FFFFFF"/>
        </w:rPr>
        <w:t>potentially over</w:t>
      </w:r>
      <w:r w:rsidR="007810EA">
        <w:rPr>
          <w:shd w:val="clear" w:color="auto" w:fill="FFFFFF"/>
        </w:rPr>
        <w:t>estimates success when compared to consumption-based cumulative emissions. Demand-side policies informed by consumption-based accounts can lead to greater and potentially more immediate reduction potential.</w:t>
      </w:r>
    </w:p>
    <w:p w:rsidR="009F5109" w:rsidRDefault="009F5109" w:rsidP="001B11F2">
      <w:pPr>
        <w:pStyle w:val="Heading1"/>
      </w:pPr>
      <w:r>
        <w:t>Introduction</w:t>
      </w:r>
      <w:r w:rsidR="004C3BB8">
        <w:t xml:space="preserve"> </w:t>
      </w:r>
    </w:p>
    <w:p w:rsidR="00017888" w:rsidRDefault="003D04C9" w:rsidP="00FA1C39">
      <w:r>
        <w:t>Internationally there is global agreement on the need to limit warming to no more than 2 degrees (</w:t>
      </w:r>
      <w:r w:rsidR="00AC10E8">
        <w:t>UNFCCC, 20</w:t>
      </w:r>
      <w:r w:rsidR="00CC59E7">
        <w:t>10</w:t>
      </w:r>
      <w:r w:rsidR="00AC10E8">
        <w:t>). However, w</w:t>
      </w:r>
      <w:r>
        <w:t xml:space="preserve">ithout a global cap on emissions linked to a reasonable probability of limiting global temperature to two degrees </w:t>
      </w:r>
      <w:r w:rsidR="00017888">
        <w:t>combined</w:t>
      </w:r>
      <w:r>
        <w:t xml:space="preserve"> with a mitigation framework, it is difficult to assign responsibility that links to this global total. </w:t>
      </w:r>
      <w:r w:rsidR="00017888">
        <w:t>Even if fulfilled the CO</w:t>
      </w:r>
      <w:r w:rsidR="00017888">
        <w:rPr>
          <w:vertAlign w:val="subscript"/>
        </w:rPr>
        <w:t>2</w:t>
      </w:r>
      <w:r w:rsidR="00017888">
        <w:t xml:space="preserve"> impact of existing climate commitments and pledges within the UNFCCC fall far short of levels needed for a two degree future (IEA, 2013). </w:t>
      </w:r>
      <w:r>
        <w:t>The UK has taken unilateral action and adopted its own national target committing itself to reducing territorial greenhouse gas emissions by 80% by 2050 relative to a 1990 baseline (</w:t>
      </w:r>
      <w:r w:rsidR="00CC59E7">
        <w:t>Crown</w:t>
      </w:r>
      <w:r>
        <w:t xml:space="preserve">, 2008). </w:t>
      </w:r>
      <w:r w:rsidR="009007EE">
        <w:t>The reduction target</w:t>
      </w:r>
      <w:r w:rsidR="00AD7CE4">
        <w:t xml:space="preserve"> </w:t>
      </w:r>
      <w:r w:rsidR="009007EE">
        <w:t>is</w:t>
      </w:r>
      <w:r w:rsidR="00AD7CE4">
        <w:t xml:space="preserve"> defined on a territorial basis in accordance with </w:t>
      </w:r>
      <w:r w:rsidR="00D85779">
        <w:t>greenhouse gas emissions reporting obligations under the</w:t>
      </w:r>
      <w:r w:rsidR="00AD7CE4">
        <w:t xml:space="preserve"> UNFCCC. </w:t>
      </w:r>
      <w:r w:rsidR="00C46046">
        <w:t>Cumulative carbon budgets are set at five year intervals, four budget periods in advance, to ensure the UK is on trajectory to meet the overall target</w:t>
      </w:r>
      <w:r w:rsidR="009D35F1">
        <w:t xml:space="preserve">. </w:t>
      </w:r>
      <w:r w:rsidR="00AD7CE4">
        <w:t>However the UK is a net emissions importer where through demand for imported products the UK generates an equivalent volume of CO</w:t>
      </w:r>
      <w:r w:rsidR="00AD7CE4" w:rsidRPr="00AD7CE4">
        <w:rPr>
          <w:vertAlign w:val="subscript"/>
        </w:rPr>
        <w:t>2</w:t>
      </w:r>
      <w:r w:rsidR="00AD7CE4">
        <w:t xml:space="preserve"> emissions abroad</w:t>
      </w:r>
      <w:r w:rsidR="00F652CB">
        <w:t xml:space="preserve"> (</w:t>
      </w:r>
      <w:r w:rsidR="00D85779">
        <w:t>Barrett et al., 2013</w:t>
      </w:r>
      <w:r w:rsidR="00F652CB">
        <w:t>)</w:t>
      </w:r>
      <w:r w:rsidR="00AD7CE4">
        <w:t xml:space="preserve">. </w:t>
      </w:r>
    </w:p>
    <w:p w:rsidR="00FA1C39" w:rsidRDefault="00AD7CE4" w:rsidP="00FA1C39">
      <w:r>
        <w:lastRenderedPageBreak/>
        <w:t xml:space="preserve">Whilst the UK’s production emissions have been on a downward trajectory, its consumption-based emissions have </w:t>
      </w:r>
      <w:r w:rsidR="00224C08">
        <w:t>risen</w:t>
      </w:r>
      <w:r>
        <w:t xml:space="preserve">. </w:t>
      </w:r>
      <w:r w:rsidR="00FA1C39" w:rsidRPr="00FA1C39">
        <w:t>Consumption accounting allocates emissions to countries on the basis of their consumption of goods and services, irrespective of where they were produced along the supply chain (</w:t>
      </w:r>
      <w:proofErr w:type="spellStart"/>
      <w:r w:rsidR="00FA1C39" w:rsidRPr="00FA1C39">
        <w:t>Munksguaard</w:t>
      </w:r>
      <w:proofErr w:type="spellEnd"/>
      <w:r w:rsidR="00FA1C39" w:rsidRPr="00FA1C39">
        <w:t xml:space="preserve"> and Pederson, 2001 and Peters, 2008).</w:t>
      </w:r>
      <w:r w:rsidR="00FA1C39">
        <w:t xml:space="preserve"> </w:t>
      </w:r>
      <w:r w:rsidR="00224C08">
        <w:t xml:space="preserve">In a truly globalised world defining responsibility for emissions becomes increasingly irrelevant from a territorial perspective. Countries that have reduced their manufacturing base will have a considerably lower carbon intensity of production, despite not consuming fewer products. </w:t>
      </w:r>
      <w:r>
        <w:t xml:space="preserve">This raises the questions of whether current </w:t>
      </w:r>
      <w:r w:rsidR="009007EE">
        <w:t>territorial</w:t>
      </w:r>
      <w:r>
        <w:t xml:space="preserve"> approach to target setting is </w:t>
      </w:r>
      <w:r w:rsidR="009007EE">
        <w:t>appropriate</w:t>
      </w:r>
      <w:r>
        <w:t xml:space="preserve"> and whether </w:t>
      </w:r>
      <w:r w:rsidR="009007EE">
        <w:t>enough</w:t>
      </w:r>
      <w:r>
        <w:t xml:space="preserve"> policy effort is devoted to consumption measures. </w:t>
      </w:r>
      <w:r w:rsidR="009007EE">
        <w:t xml:space="preserve">Such analysis requires looking at the UK in the global context as evidently UK emissions are not limited to within its territory.  </w:t>
      </w:r>
    </w:p>
    <w:p w:rsidR="00FA1C39" w:rsidRDefault="00FA1C39" w:rsidP="00FA1C39">
      <w:r w:rsidRPr="00FA1C39">
        <w:t>Between 1993 and 2010 CO</w:t>
      </w:r>
      <w:r w:rsidRPr="00FA1C39">
        <w:rPr>
          <w:vertAlign w:val="subscript"/>
        </w:rPr>
        <w:t>2</w:t>
      </w:r>
      <w:r w:rsidRPr="00FA1C39">
        <w:t xml:space="preserve"> emissions produced in the UK fell by 9%. In contrast, over the same period CO</w:t>
      </w:r>
      <w:r w:rsidRPr="00FA1C39">
        <w:rPr>
          <w:vertAlign w:val="subscript"/>
        </w:rPr>
        <w:t>2</w:t>
      </w:r>
      <w:r w:rsidRPr="00FA1C39">
        <w:t xml:space="preserve"> emissions associated with the UK’s consumption of goods and services - including imported emissions - are estimated to have risen by around 15%. If continued, these differential trends may have implications for UK climate change policy. However, the evidence base for this is weak: whilst projections of future production emissions are well researched (</w:t>
      </w:r>
      <w:r>
        <w:t>for example Davis et al.,</w:t>
      </w:r>
      <w:r w:rsidR="00CC59E7">
        <w:t xml:space="preserve"> 2010; Usher and Strachan, 2010, </w:t>
      </w:r>
      <w:proofErr w:type="spellStart"/>
      <w:r>
        <w:t>Anandarajah</w:t>
      </w:r>
      <w:proofErr w:type="spellEnd"/>
      <w:r>
        <w:t xml:space="preserve"> and Strachan, 2010 and </w:t>
      </w:r>
      <w:proofErr w:type="spellStart"/>
      <w:r>
        <w:t>Mander</w:t>
      </w:r>
      <w:proofErr w:type="spellEnd"/>
      <w:r>
        <w:t xml:space="preserve"> et al., 2007</w:t>
      </w:r>
      <w:r w:rsidRPr="00FA1C39">
        <w:t>), projections of future consumption emissions have been largely lacking. In particular, there have been no long-term projections of UK consumption emissions consistent with a carbon-constrained world.</w:t>
      </w:r>
      <w:r w:rsidRPr="00B054ED">
        <w:t xml:space="preserve"> </w:t>
      </w:r>
    </w:p>
    <w:p w:rsidR="006A33F2" w:rsidRDefault="00192350" w:rsidP="006A33F2">
      <w:r>
        <w:t xml:space="preserve">This </w:t>
      </w:r>
      <w:r w:rsidR="00224C08">
        <w:t>paper</w:t>
      </w:r>
      <w:r>
        <w:t xml:space="preserve"> considers </w:t>
      </w:r>
      <w:r w:rsidRPr="0050026A">
        <w:t xml:space="preserve">the relevance of an 80% territorial reduction target for </w:t>
      </w:r>
      <w:r>
        <w:t>CO</w:t>
      </w:r>
      <w:r>
        <w:rPr>
          <w:vertAlign w:val="subscript"/>
        </w:rPr>
        <w:t>2</w:t>
      </w:r>
      <w:r w:rsidRPr="0050026A">
        <w:t xml:space="preserve"> emissions from </w:t>
      </w:r>
      <w:r>
        <w:t>a consumption-based perspective. The UK House of Commons Energy and Climate Change Committee (ECC) produced a report on consumption-based accounting advising the Committee on Climate Change, an independent body to inform UK climate policy, to explore the implications that consumption-based emissions accounting may have for the UK’s carbon budgets (</w:t>
      </w:r>
      <w:r w:rsidR="00CC59E7">
        <w:t>House of Commons Energy and Climate Change Committee, 2012</w:t>
      </w:r>
      <w:r>
        <w:t>). This analysis forms par</w:t>
      </w:r>
      <w:r w:rsidR="008858F1">
        <w:t>t of the Committees investigation</w:t>
      </w:r>
      <w:r>
        <w:t xml:space="preserve"> (CCC, 2013). </w:t>
      </w:r>
      <w:r w:rsidR="00DB7EBB">
        <w:t xml:space="preserve">This paper provides the first consumption-based emission scenarios for the UK, taking account the mitigation potential of its major trading partners. </w:t>
      </w:r>
      <w:r w:rsidR="004767F0">
        <w:t xml:space="preserve">UK consumption emissions are analysed in a world where a two degree future is realised, and compared to a world where international actions don’t go beyond current targets pledged in the Copenhagen Accord. </w:t>
      </w:r>
      <w:r w:rsidR="00DB7EBB">
        <w:t xml:space="preserve">The analysis provides an insight into the possible trajectory of the UK’s consumption-based emissions. In addition it presents a scenario where key mitigation scenarios such as CCS play an insignificant role in future mitigation strategies. </w:t>
      </w:r>
      <w:r w:rsidR="008C3E4A">
        <w:t xml:space="preserve">It discusses the need for consumption-based emissions accounting in </w:t>
      </w:r>
      <w:r w:rsidR="003324A5">
        <w:t xml:space="preserve">national </w:t>
      </w:r>
      <w:r w:rsidR="008C3E4A">
        <w:t xml:space="preserve">climate </w:t>
      </w:r>
      <w:r w:rsidR="003324A5">
        <w:t>mitigation</w:t>
      </w:r>
      <w:r w:rsidR="008C3E4A">
        <w:t xml:space="preserve"> policy. </w:t>
      </w:r>
    </w:p>
    <w:p w:rsidR="009F5109" w:rsidRDefault="00017888" w:rsidP="001B11F2">
      <w:pPr>
        <w:pStyle w:val="Heading1"/>
      </w:pPr>
      <w:r>
        <w:t xml:space="preserve">Method: </w:t>
      </w:r>
      <w:r w:rsidR="00532135">
        <w:t>consumption-based emission accounting</w:t>
      </w:r>
    </w:p>
    <w:p w:rsidR="007D4783" w:rsidRDefault="007D4783" w:rsidP="007D4783">
      <w:r>
        <w:t xml:space="preserve">Multi-region input-output analysis (MRIOA) is </w:t>
      </w:r>
      <w:r w:rsidR="0081228F">
        <w:t>the most appropriate</w:t>
      </w:r>
      <w:r>
        <w:t xml:space="preserve"> tool to estimate </w:t>
      </w:r>
      <w:r w:rsidR="00532135">
        <w:t>consumption-based emissions accounts</w:t>
      </w:r>
      <w:r>
        <w:t xml:space="preserve"> at the national and supra-national level (Peters et al., 2012; Wiedmann, 2009 and Peters, </w:t>
      </w:r>
      <w:r w:rsidR="00CC59E7">
        <w:t>2010</w:t>
      </w:r>
      <w:r>
        <w:t xml:space="preserve">). MRIOA reallocates territorial emissions, point source emissions from industry within a country’s territory, </w:t>
      </w:r>
      <w:r w:rsidR="00532135">
        <w:t>through complex</w:t>
      </w:r>
      <w:r>
        <w:t xml:space="preserve"> international trade flows to the </w:t>
      </w:r>
      <w:r w:rsidR="00532135">
        <w:t xml:space="preserve">destination country of the </w:t>
      </w:r>
      <w:r>
        <w:t>final consumer using Leontief’s standard input-output calculus.</w:t>
      </w:r>
      <w:r w:rsidRPr="00142764">
        <w:t xml:space="preserve"> </w:t>
      </w:r>
      <w:r w:rsidR="00532135">
        <w:t>We use</w:t>
      </w:r>
      <w:r>
        <w:t xml:space="preserve"> </w:t>
      </w:r>
      <w:proofErr w:type="spellStart"/>
      <w:r>
        <w:t>Eora</w:t>
      </w:r>
      <w:proofErr w:type="spellEnd"/>
      <w:r>
        <w:t>, a multi-region input-output database developed at the University of Sydney (</w:t>
      </w:r>
      <w:proofErr w:type="spellStart"/>
      <w:r>
        <w:t>Lenzen</w:t>
      </w:r>
      <w:proofErr w:type="spellEnd"/>
      <w:r>
        <w:t xml:space="preserve"> et al. 2013 and </w:t>
      </w:r>
      <w:proofErr w:type="spellStart"/>
      <w:r>
        <w:t>Lenzen</w:t>
      </w:r>
      <w:proofErr w:type="spellEnd"/>
      <w:r>
        <w:t xml:space="preserve"> et al. 2012) </w:t>
      </w:r>
      <w:r w:rsidR="00532135">
        <w:t>to calculate a time series of consumption-based CO</w:t>
      </w:r>
      <w:r w:rsidR="00532135">
        <w:rPr>
          <w:vertAlign w:val="subscript"/>
        </w:rPr>
        <w:t>2</w:t>
      </w:r>
      <w:r w:rsidR="00532135">
        <w:t xml:space="preserve"> accounts for the UK from 1993 to 2010. </w:t>
      </w:r>
      <w:r>
        <w:t xml:space="preserve">The model represents 110 UK sectors consistent with UK National Accounts and 26 </w:t>
      </w:r>
      <w:r>
        <w:lastRenderedPageBreak/>
        <w:t xml:space="preserve">homogenous sectors for countries outside the UK. The 187 country coverage is aggregated into the UK and 7 trade regions: OECD Europe (excluding UK), non-European OECD, Russia, China, India, Rest of Asia and Rest of World. </w:t>
      </w:r>
    </w:p>
    <w:p w:rsidR="009E3556" w:rsidRDefault="00035E6F" w:rsidP="00142764">
      <w:r w:rsidRPr="00142764">
        <w:t>In order to project UK consumption emissions, which include emissions released overseas in the production of goods consumed by UK residents, to 2050 we developed scenarios for both emissions produced domestically and imported emissions. Emissions are determined by the volume and pattern of UK final consumer spending</w:t>
      </w:r>
      <w:r w:rsidR="009E3556">
        <w:t xml:space="preserve"> (</w:t>
      </w:r>
      <w:r w:rsidR="00532135">
        <w:t>on both domestic and imported goods and services</w:t>
      </w:r>
      <w:r w:rsidR="009E3556">
        <w:t>)</w:t>
      </w:r>
      <w:r w:rsidR="00532135">
        <w:t xml:space="preserve">, </w:t>
      </w:r>
      <w:r w:rsidRPr="00142764">
        <w:t>multiplied by the CO</w:t>
      </w:r>
      <w:r w:rsidRPr="005421F1">
        <w:rPr>
          <w:vertAlign w:val="subscript"/>
        </w:rPr>
        <w:t>2</w:t>
      </w:r>
      <w:r w:rsidRPr="00142764">
        <w:t xml:space="preserve"> intensity of products</w:t>
      </w:r>
      <w:r w:rsidR="00532135" w:rsidRPr="00142764">
        <w:t xml:space="preserve"> </w:t>
      </w:r>
      <w:r w:rsidRPr="00142764">
        <w:t>measured as CO</w:t>
      </w:r>
      <w:r w:rsidRPr="009E3556">
        <w:rPr>
          <w:vertAlign w:val="subscript"/>
        </w:rPr>
        <w:t>2</w:t>
      </w:r>
      <w:r w:rsidRPr="00142764">
        <w:t>/ £</w:t>
      </w:r>
      <w:r w:rsidR="009E3556">
        <w:t xml:space="preserve"> [output]</w:t>
      </w:r>
      <w:r w:rsidRPr="00142764">
        <w:t xml:space="preserve">. </w:t>
      </w:r>
      <w:r w:rsidR="009E3556">
        <w:t xml:space="preserve">Carbon intensities are the </w:t>
      </w:r>
      <w:r w:rsidR="009E3556" w:rsidRPr="00142764">
        <w:t>emissions produced per unit of output in the UK and in its trading partners along the full supply chain</w:t>
      </w:r>
      <w:r w:rsidR="009E3556">
        <w:t xml:space="preserve"> of products and they reflect </w:t>
      </w:r>
      <w:r w:rsidRPr="00142764">
        <w:t>differences in regional production intensities, enabled by using a MRIO model.</w:t>
      </w:r>
      <w:r w:rsidR="00142764">
        <w:t xml:space="preserve"> </w:t>
      </w:r>
      <w:r w:rsidRPr="00142764">
        <w:t>Given uncertainty over the range of future variables involved, we test the sensitivity of results to different scenarios for UK import demand and global emissions.</w:t>
      </w:r>
    </w:p>
    <w:p w:rsidR="00241DC4" w:rsidRDefault="00241DC4" w:rsidP="00241DC4">
      <w:pPr>
        <w:jc w:val="both"/>
      </w:pPr>
      <w:r>
        <w:t>The 2010</w:t>
      </w:r>
      <w:r w:rsidRPr="00241DC4">
        <w:t xml:space="preserve"> </w:t>
      </w:r>
      <w:r>
        <w:t>input-output table</w:t>
      </w:r>
      <w:r w:rsidRPr="00241DC4">
        <w:t xml:space="preserve"> </w:t>
      </w:r>
      <w:r w:rsidR="009E3556">
        <w:t xml:space="preserve">from </w:t>
      </w:r>
      <w:proofErr w:type="spellStart"/>
      <w:r w:rsidR="009E3556">
        <w:t>Eora</w:t>
      </w:r>
      <w:proofErr w:type="spellEnd"/>
      <w:r w:rsidR="009E3556">
        <w:t xml:space="preserve"> </w:t>
      </w:r>
      <w:r>
        <w:t xml:space="preserve">is </w:t>
      </w:r>
      <w:r w:rsidR="009E3556">
        <w:t>used as the baseline for scenarios</w:t>
      </w:r>
      <w:r w:rsidR="002B42C2">
        <w:t xml:space="preserve">. </w:t>
      </w:r>
      <w:r>
        <w:t xml:space="preserve">2010 input-output variables are projected at 5 year intervals as a percentage change from 2010 to 2050 according to the assumptions described for each scenario in the following sub-section. Assumptions on global emissions, global economic growth, global carbon intensities, and UK final demand for domestic and imported goods are projected to explore </w:t>
      </w:r>
      <w:r>
        <w:rPr>
          <w:rFonts w:cs="Arial"/>
        </w:rPr>
        <w:t xml:space="preserve">regional and </w:t>
      </w:r>
      <w:proofErr w:type="spellStart"/>
      <w:r>
        <w:rPr>
          <w:rFonts w:cs="Arial"/>
        </w:rPr>
        <w:t>sectoral</w:t>
      </w:r>
      <w:proofErr w:type="spellEnd"/>
      <w:r>
        <w:rPr>
          <w:rFonts w:cs="Arial"/>
        </w:rPr>
        <w:t xml:space="preserve"> contributions to UK mitigation targets defined by consumption.</w:t>
      </w:r>
    </w:p>
    <w:p w:rsidR="00D46C23" w:rsidRDefault="009C23DE" w:rsidP="00192350">
      <w:pPr>
        <w:rPr>
          <w:rFonts w:cs="Arial"/>
        </w:rPr>
      </w:pPr>
      <w:r>
        <w:rPr>
          <w:rFonts w:cs="Arial"/>
        </w:rPr>
        <w:t>Two main</w:t>
      </w:r>
      <w:r w:rsidR="000E0530" w:rsidRPr="00130136">
        <w:rPr>
          <w:rFonts w:cs="Arial"/>
        </w:rPr>
        <w:t xml:space="preserve"> </w:t>
      </w:r>
      <w:r w:rsidR="000E0530">
        <w:rPr>
          <w:rFonts w:cs="Arial"/>
        </w:rPr>
        <w:t>scenarios explore the implications of existing high-level global emissions pathways for the UK’s consump</w:t>
      </w:r>
      <w:r w:rsidR="00FA2EC9">
        <w:rPr>
          <w:rFonts w:cs="Arial"/>
        </w:rPr>
        <w:t>tion-based emissions trajectory</w:t>
      </w:r>
      <w:r w:rsidR="00D46C23">
        <w:rPr>
          <w:rFonts w:cs="Arial"/>
        </w:rPr>
        <w:t>:</w:t>
      </w:r>
    </w:p>
    <w:p w:rsidR="00D46C23" w:rsidRPr="00773655" w:rsidRDefault="00D46C23" w:rsidP="00773655">
      <w:pPr>
        <w:numPr>
          <w:ilvl w:val="0"/>
          <w:numId w:val="21"/>
        </w:numPr>
        <w:rPr>
          <w:rFonts w:cs="Arial"/>
        </w:rPr>
      </w:pPr>
      <w:r>
        <w:rPr>
          <w:rFonts w:cs="Arial"/>
          <w:b/>
        </w:rPr>
        <w:t xml:space="preserve">2 degree </w:t>
      </w:r>
      <w:r w:rsidRPr="003601B3">
        <w:rPr>
          <w:rFonts w:cs="Arial"/>
          <w:b/>
        </w:rPr>
        <w:t>future (</w:t>
      </w:r>
      <w:r w:rsidRPr="003601B3">
        <w:rPr>
          <w:b/>
        </w:rPr>
        <w:t>CO</w:t>
      </w:r>
      <w:r w:rsidRPr="003601B3">
        <w:rPr>
          <w:b/>
          <w:vertAlign w:val="subscript"/>
        </w:rPr>
        <w:t>2</w:t>
      </w:r>
      <w:r w:rsidRPr="003601B3">
        <w:rPr>
          <w:rFonts w:cs="Arial"/>
          <w:b/>
        </w:rPr>
        <w:t>):</w:t>
      </w:r>
      <w:r w:rsidRPr="003601B3">
        <w:rPr>
          <w:rFonts w:cs="Arial"/>
        </w:rPr>
        <w:t xml:space="preserve"> </w:t>
      </w:r>
      <w:r>
        <w:rPr>
          <w:rFonts w:cs="Arial"/>
        </w:rPr>
        <w:t xml:space="preserve">All regions </w:t>
      </w:r>
      <w:r w:rsidR="00773655" w:rsidRPr="003601B3">
        <w:rPr>
          <w:rFonts w:cs="Arial"/>
        </w:rPr>
        <w:t>reduce</w:t>
      </w:r>
      <w:r>
        <w:rPr>
          <w:rFonts w:cs="Arial"/>
        </w:rPr>
        <w:t xml:space="preserve"> emissions to meet </w:t>
      </w:r>
      <w:r w:rsidR="00773655">
        <w:rPr>
          <w:rFonts w:cs="Arial"/>
        </w:rPr>
        <w:t>a</w:t>
      </w:r>
      <w:r>
        <w:rPr>
          <w:rFonts w:cs="Arial"/>
        </w:rPr>
        <w:t xml:space="preserve"> 2050 target compatible with the 2 degree climate objective</w:t>
      </w:r>
      <w:r w:rsidR="00773655">
        <w:rPr>
          <w:rFonts w:cs="Arial"/>
        </w:rPr>
        <w:t>.</w:t>
      </w:r>
      <w:r>
        <w:rPr>
          <w:rFonts w:cs="Arial"/>
        </w:rPr>
        <w:t xml:space="preserve"> </w:t>
      </w:r>
      <w:r w:rsidR="00773655">
        <w:rPr>
          <w:rFonts w:cs="Arial"/>
        </w:rPr>
        <w:t xml:space="preserve">A variation of this scenario is run where </w:t>
      </w:r>
      <w:r w:rsidR="00773655">
        <w:t xml:space="preserve">CCS is not successfully deployed </w:t>
      </w:r>
      <w:r w:rsidR="00773655">
        <w:rPr>
          <w:rFonts w:cs="Arial"/>
        </w:rPr>
        <w:t>thus requiring more deployment of renewable and nuclear, electrification in industry, and full decarbonisation of transport in the UK. In other regions emissions become higher without the availability of CCS.</w:t>
      </w:r>
    </w:p>
    <w:p w:rsidR="00D46C23" w:rsidRPr="00241DC4" w:rsidRDefault="00D46C23" w:rsidP="00D46C23">
      <w:pPr>
        <w:pStyle w:val="ListParagraph"/>
        <w:numPr>
          <w:ilvl w:val="0"/>
          <w:numId w:val="21"/>
        </w:numPr>
        <w:jc w:val="both"/>
        <w:rPr>
          <w:b/>
        </w:rPr>
      </w:pPr>
      <w:r w:rsidRPr="003601B3">
        <w:rPr>
          <w:b/>
        </w:rPr>
        <w:t>4 degree future (CO</w:t>
      </w:r>
      <w:r w:rsidRPr="003601B3">
        <w:rPr>
          <w:b/>
          <w:vertAlign w:val="subscript"/>
        </w:rPr>
        <w:t>2</w:t>
      </w:r>
      <w:r w:rsidRPr="003601B3">
        <w:rPr>
          <w:b/>
        </w:rPr>
        <w:t>)</w:t>
      </w:r>
      <w:r>
        <w:rPr>
          <w:b/>
        </w:rPr>
        <w:t xml:space="preserve">: </w:t>
      </w:r>
      <w:r>
        <w:t>The UK meets its 2050 target but rest of the world emissions don’t go beyond those pledged under</w:t>
      </w:r>
      <w:r w:rsidR="00773655" w:rsidRPr="00773655">
        <w:t xml:space="preserve"> </w:t>
      </w:r>
      <w:r w:rsidR="00773655">
        <w:t>the Copenhagen Accord</w:t>
      </w:r>
      <w:r>
        <w:t>, consistent with a 4 degree future</w:t>
      </w:r>
      <w:r w:rsidR="00773655">
        <w:t>.</w:t>
      </w:r>
      <w:r>
        <w:t xml:space="preserve"> </w:t>
      </w:r>
    </w:p>
    <w:p w:rsidR="00D46C23" w:rsidRDefault="00D46C23" w:rsidP="00D46C23">
      <w:pPr>
        <w:pStyle w:val="Heading2"/>
      </w:pPr>
      <w:r>
        <w:t>Scenario assumptions</w:t>
      </w:r>
    </w:p>
    <w:p w:rsidR="00941645" w:rsidRDefault="005531D3" w:rsidP="00941645">
      <w:r w:rsidRPr="005531D3">
        <w:rPr>
          <w:rFonts w:cs="Arial"/>
        </w:rPr>
        <w:t>The scenarios are informed by historic trends and long-term emission pathways developed by the CCC and IEA (CCC, 201</w:t>
      </w:r>
      <w:r w:rsidR="00CC59E7">
        <w:rPr>
          <w:rFonts w:cs="Arial"/>
        </w:rPr>
        <w:t>3</w:t>
      </w:r>
      <w:r w:rsidRPr="005531D3">
        <w:rPr>
          <w:rFonts w:cs="Arial"/>
        </w:rPr>
        <w:t xml:space="preserve"> and IEA, 2012</w:t>
      </w:r>
      <w:r w:rsidRPr="002B762E">
        <w:rPr>
          <w:rFonts w:cs="Arial"/>
        </w:rPr>
        <w:t xml:space="preserve">). </w:t>
      </w:r>
      <w:proofErr w:type="spellStart"/>
      <w:r w:rsidR="002B762E" w:rsidRPr="002B762E">
        <w:t>Eora</w:t>
      </w:r>
      <w:proofErr w:type="spellEnd"/>
      <w:r w:rsidR="002B762E" w:rsidRPr="002B762E">
        <w:t xml:space="preserve"> has a time series </w:t>
      </w:r>
      <w:r w:rsidR="002B762E">
        <w:t>from 1993 to 2009</w:t>
      </w:r>
      <w:r w:rsidR="002B762E" w:rsidRPr="002B762E">
        <w:t xml:space="preserve"> which allows us to extract, alongside the calculation of consumption-based CO</w:t>
      </w:r>
      <w:r w:rsidR="002B762E" w:rsidRPr="002B762E">
        <w:rPr>
          <w:vertAlign w:val="subscript"/>
        </w:rPr>
        <w:t>2</w:t>
      </w:r>
      <w:r w:rsidR="002B762E" w:rsidRPr="002B762E">
        <w:t xml:space="preserve"> emissions, changing rates of regional carbon intensities, trade structures, demand levels and consumption patterns experienced over the time period.</w:t>
      </w:r>
      <w:r w:rsidR="002B762E">
        <w:t xml:space="preserve"> </w:t>
      </w:r>
      <w:r w:rsidR="00084C30">
        <w:t>It is assumed that the</w:t>
      </w:r>
      <w:r w:rsidR="00941645">
        <w:t xml:space="preserve"> UK meets its 80% reduction target in line with its five year carbon budgets. </w:t>
      </w:r>
      <w:r w:rsidR="00084C30">
        <w:t xml:space="preserve">The CCC </w:t>
      </w:r>
      <w:r w:rsidR="00941645">
        <w:t xml:space="preserve">demonstrated a range of technically feasible options for achieving the target against projected increases in population and economic growth. This was achieved by low carbon energy sources alongside improved energy efficiency and behaviour change across all sectors. They illustrated how the target could be met if barriers such as consumer resistance and the absence of key technologies like CCS prevailed. </w:t>
      </w:r>
    </w:p>
    <w:p w:rsidR="004B70CA" w:rsidRPr="005531D3" w:rsidRDefault="00724C3F" w:rsidP="00192350">
      <w:pPr>
        <w:rPr>
          <w:rFonts w:cs="Arial"/>
        </w:rPr>
      </w:pPr>
      <w:r>
        <w:lastRenderedPageBreak/>
        <w:fldChar w:fldCharType="begin"/>
      </w:r>
      <w:r>
        <w:instrText xml:space="preserve"> REF _Ref387418926 \h </w:instrText>
      </w:r>
      <w:r>
        <w:fldChar w:fldCharType="separate"/>
      </w:r>
      <w:r>
        <w:t xml:space="preserve">Table </w:t>
      </w:r>
      <w:r>
        <w:rPr>
          <w:noProof/>
        </w:rPr>
        <w:t>1</w:t>
      </w:r>
      <w:r>
        <w:fldChar w:fldCharType="end"/>
      </w:r>
      <w:r w:rsidR="004507C2">
        <w:t xml:space="preserve"> outlines the scenario assumptions taken. </w:t>
      </w:r>
      <w:r w:rsidR="00D564D1">
        <w:t xml:space="preserve">The transactions matrix representing trade between </w:t>
      </w:r>
      <w:r w:rsidR="008858F1">
        <w:t>292</w:t>
      </w:r>
      <w:r w:rsidR="00D564D1">
        <w:t xml:space="preserve"> sectors</w:t>
      </w:r>
      <w:r w:rsidR="005F226F">
        <w:rPr>
          <w:rStyle w:val="FootnoteReference"/>
        </w:rPr>
        <w:footnoteReference w:id="1"/>
      </w:r>
      <w:r w:rsidR="00D564D1">
        <w:t xml:space="preserve"> </w:t>
      </w:r>
      <w:r w:rsidR="004B70CA">
        <w:t>is kep</w:t>
      </w:r>
      <w:r w:rsidR="00D564D1">
        <w:t>t</w:t>
      </w:r>
      <w:r w:rsidR="004B70CA">
        <w:t xml:space="preserve"> constant</w:t>
      </w:r>
      <w:r w:rsidR="00D564D1">
        <w:t xml:space="preserve">. Baiocchi and Minx (2010) show that production structure changes have </w:t>
      </w:r>
      <w:r w:rsidR="00FC3C6B">
        <w:t>driven</w:t>
      </w:r>
      <w:r w:rsidR="00D564D1">
        <w:t xml:space="preserve"> marginal changes </w:t>
      </w:r>
      <w:r w:rsidR="00FC3C6B">
        <w:t>in</w:t>
      </w:r>
      <w:r w:rsidR="00D564D1">
        <w:t xml:space="preserve"> the UK</w:t>
      </w:r>
      <w:r w:rsidR="00FC3C6B">
        <w:t>’</w:t>
      </w:r>
      <w:r w:rsidR="00D564D1">
        <w:t>s carbon footprint</w:t>
      </w:r>
      <w:r w:rsidR="00FC3C6B">
        <w:t xml:space="preserve"> compared to changes driven by increased final</w:t>
      </w:r>
      <w:r>
        <w:t xml:space="preserve"> demand and carbon in</w:t>
      </w:r>
      <w:r w:rsidR="00D564D1">
        <w:t xml:space="preserve">tensity improvements. </w:t>
      </w:r>
    </w:p>
    <w:p w:rsidR="00724C3F" w:rsidRDefault="00724C3F" w:rsidP="00724C3F">
      <w:pPr>
        <w:pStyle w:val="Caption"/>
        <w:keepNext/>
        <w:keepLines/>
        <w:jc w:val="left"/>
        <w:rPr>
          <w:b w:val="0"/>
        </w:rPr>
        <w:sectPr w:rsidR="00724C3F" w:rsidSect="008F5168">
          <w:pgSz w:w="11906" w:h="16838"/>
          <w:pgMar w:top="1440" w:right="1440" w:bottom="1440" w:left="1440" w:header="708" w:footer="708" w:gutter="0"/>
          <w:cols w:space="708"/>
          <w:docGrid w:linePitch="360"/>
        </w:sectPr>
      </w:pPr>
      <w:bookmarkStart w:id="1" w:name="_Ref387418926"/>
      <w:r>
        <w:t xml:space="preserve">Table </w:t>
      </w:r>
      <w:r w:rsidR="009079E1">
        <w:fldChar w:fldCharType="begin"/>
      </w:r>
      <w:r w:rsidR="009079E1">
        <w:instrText xml:space="preserve"> SEQ Table \* ARABIC </w:instrText>
      </w:r>
      <w:r w:rsidR="009079E1">
        <w:fldChar w:fldCharType="separate"/>
      </w:r>
      <w:r>
        <w:rPr>
          <w:noProof/>
        </w:rPr>
        <w:t>1</w:t>
      </w:r>
      <w:r w:rsidR="009079E1">
        <w:rPr>
          <w:noProof/>
        </w:rPr>
        <w:fldChar w:fldCharType="end"/>
      </w:r>
      <w:bookmarkEnd w:id="1"/>
      <w:r>
        <w:t>: Scenario assumptions</w:t>
      </w:r>
    </w:p>
    <w:tbl>
      <w:tblPr>
        <w:tblStyle w:val="TableGrid"/>
        <w:tblW w:w="0" w:type="auto"/>
        <w:tblLook w:val="04A0" w:firstRow="1" w:lastRow="0" w:firstColumn="1" w:lastColumn="0" w:noHBand="0" w:noVBand="1"/>
      </w:tblPr>
      <w:tblGrid>
        <w:gridCol w:w="1522"/>
        <w:gridCol w:w="8509"/>
        <w:gridCol w:w="4143"/>
      </w:tblGrid>
      <w:tr w:rsidR="00AC4112" w:rsidRPr="00D34878" w:rsidTr="006021BD">
        <w:tc>
          <w:tcPr>
            <w:tcW w:w="0" w:type="auto"/>
          </w:tcPr>
          <w:p w:rsidR="004507C2" w:rsidRPr="00D34878" w:rsidRDefault="00D34878" w:rsidP="00724C3F">
            <w:pPr>
              <w:keepNext/>
              <w:keepLines/>
              <w:rPr>
                <w:b/>
              </w:rPr>
            </w:pPr>
            <w:r w:rsidRPr="00D34878">
              <w:rPr>
                <w:b/>
              </w:rPr>
              <w:lastRenderedPageBreak/>
              <w:t>IO variable</w:t>
            </w:r>
          </w:p>
        </w:tc>
        <w:tc>
          <w:tcPr>
            <w:tcW w:w="8509" w:type="dxa"/>
          </w:tcPr>
          <w:p w:rsidR="004507C2" w:rsidRPr="00D34878" w:rsidRDefault="004507C2" w:rsidP="00724C3F">
            <w:pPr>
              <w:keepNext/>
              <w:keepLines/>
              <w:rPr>
                <w:b/>
              </w:rPr>
            </w:pPr>
            <w:r w:rsidRPr="00D34878">
              <w:rPr>
                <w:b/>
              </w:rPr>
              <w:t>2DS scenario</w:t>
            </w:r>
          </w:p>
        </w:tc>
        <w:tc>
          <w:tcPr>
            <w:tcW w:w="4143" w:type="dxa"/>
          </w:tcPr>
          <w:p w:rsidR="004507C2" w:rsidRPr="00D34878" w:rsidRDefault="004507C2" w:rsidP="00724C3F">
            <w:pPr>
              <w:keepNext/>
              <w:keepLines/>
              <w:rPr>
                <w:b/>
              </w:rPr>
            </w:pPr>
            <w:r w:rsidRPr="00D34878">
              <w:rPr>
                <w:b/>
              </w:rPr>
              <w:t>4DS scenario</w:t>
            </w:r>
          </w:p>
        </w:tc>
      </w:tr>
      <w:tr w:rsidR="00AC4112" w:rsidTr="006021BD">
        <w:tc>
          <w:tcPr>
            <w:tcW w:w="0" w:type="auto"/>
          </w:tcPr>
          <w:p w:rsidR="004507C2" w:rsidRDefault="004507C2" w:rsidP="00724C3F">
            <w:pPr>
              <w:keepNext/>
              <w:keepLines/>
            </w:pPr>
            <w:r>
              <w:t xml:space="preserve">UK </w:t>
            </w:r>
            <w:proofErr w:type="spellStart"/>
            <w:r>
              <w:t>sectoral</w:t>
            </w:r>
            <w:proofErr w:type="spellEnd"/>
            <w:r>
              <w:t xml:space="preserve"> emissions</w:t>
            </w:r>
          </w:p>
        </w:tc>
        <w:tc>
          <w:tcPr>
            <w:tcW w:w="8509" w:type="dxa"/>
          </w:tcPr>
          <w:p w:rsidR="004507C2" w:rsidRDefault="004507C2" w:rsidP="00724C3F">
            <w:pPr>
              <w:keepNext/>
              <w:keepLines/>
            </w:pPr>
            <w:r>
              <w:t xml:space="preserve">UK production emissions are reduced 80% from 1990 levels by 2050 as </w:t>
            </w:r>
            <w:r w:rsidRPr="004507C2">
              <w:t>defined by the Committee on Climate Change emission scenario “Barriers to industry” (pg. 46: CCC, 2012)</w:t>
            </w:r>
            <w:r w:rsidR="00D34878">
              <w:t>.</w:t>
            </w:r>
          </w:p>
        </w:tc>
        <w:tc>
          <w:tcPr>
            <w:tcW w:w="4143" w:type="dxa"/>
          </w:tcPr>
          <w:p w:rsidR="004507C2" w:rsidRDefault="004507C2" w:rsidP="00724C3F">
            <w:pPr>
              <w:keepNext/>
              <w:keepLines/>
            </w:pPr>
            <w:r>
              <w:t>Same as 2DS</w:t>
            </w:r>
          </w:p>
        </w:tc>
      </w:tr>
      <w:tr w:rsidR="00AC4112" w:rsidTr="006021BD">
        <w:tc>
          <w:tcPr>
            <w:tcW w:w="0" w:type="auto"/>
          </w:tcPr>
          <w:p w:rsidR="004507C2" w:rsidRDefault="004507C2" w:rsidP="00724C3F">
            <w:pPr>
              <w:keepNext/>
              <w:keepLines/>
            </w:pPr>
            <w:r>
              <w:t xml:space="preserve">Global </w:t>
            </w:r>
            <w:proofErr w:type="spellStart"/>
            <w:r>
              <w:t>sectoral</w:t>
            </w:r>
            <w:proofErr w:type="spellEnd"/>
            <w:r>
              <w:t xml:space="preserve"> emissions</w:t>
            </w:r>
          </w:p>
        </w:tc>
        <w:tc>
          <w:tcPr>
            <w:tcW w:w="8509" w:type="dxa"/>
          </w:tcPr>
          <w:p w:rsidR="004507C2" w:rsidRDefault="00D34878" w:rsidP="00724C3F">
            <w:pPr>
              <w:keepNext/>
              <w:keepLines/>
            </w:pPr>
            <w:r>
              <w:t>Global emissions reduce by 60% from 2010 to 2050 to 16 Gt CO</w:t>
            </w:r>
            <w:r>
              <w:rPr>
                <w:vertAlign w:val="subscript"/>
              </w:rPr>
              <w:t>2</w:t>
            </w:r>
            <w:r>
              <w:t xml:space="preserve"> in line with the 2 degrees climate objective informed by the IEA (2012)</w:t>
            </w:r>
            <w:r w:rsidR="005531D3" w:rsidRPr="00FA2EC9">
              <w:rPr>
                <w:rStyle w:val="FootnoteReference"/>
                <w:i/>
              </w:rPr>
              <w:footnoteReference w:id="2"/>
            </w:r>
            <w:r>
              <w:t>. A variation where CCS is not successfully deployed is run, in which global CO</w:t>
            </w:r>
            <w:r>
              <w:rPr>
                <w:vertAlign w:val="subscript"/>
              </w:rPr>
              <w:t>2</w:t>
            </w:r>
            <w:r>
              <w:t xml:space="preserve"> emissions reduce by 55%.</w:t>
            </w:r>
          </w:p>
        </w:tc>
        <w:tc>
          <w:tcPr>
            <w:tcW w:w="4143" w:type="dxa"/>
          </w:tcPr>
          <w:p w:rsidR="004507C2" w:rsidRDefault="00D34878" w:rsidP="00724C3F">
            <w:pPr>
              <w:keepNext/>
              <w:keepLines/>
            </w:pPr>
            <w:r>
              <w:t>Current emission reductions pledged under the Cop</w:t>
            </w:r>
            <w:r w:rsidR="00FB33D5">
              <w:t xml:space="preserve">enhagen Accord are implemented, with </w:t>
            </w:r>
            <w:r>
              <w:t xml:space="preserve">global energy-related emissions </w:t>
            </w:r>
            <w:r w:rsidR="00FB33D5">
              <w:t>in 2050 at</w:t>
            </w:r>
            <w:r>
              <w:t xml:space="preserve"> 40 Gt CO</w:t>
            </w:r>
            <w:r>
              <w:rPr>
                <w:vertAlign w:val="subscript"/>
              </w:rPr>
              <w:t>2</w:t>
            </w:r>
            <w:r>
              <w:t xml:space="preserve">, similar to global emissions </w:t>
            </w:r>
            <w:r w:rsidR="00FB33D5">
              <w:t>in 2010</w:t>
            </w:r>
            <w:r>
              <w:t xml:space="preserve">.   </w:t>
            </w:r>
          </w:p>
        </w:tc>
      </w:tr>
      <w:tr w:rsidR="00AC4112" w:rsidTr="006021BD">
        <w:tc>
          <w:tcPr>
            <w:tcW w:w="0" w:type="auto"/>
          </w:tcPr>
          <w:p w:rsidR="004507C2" w:rsidRDefault="004507C2" w:rsidP="00724C3F">
            <w:pPr>
              <w:keepNext/>
              <w:keepLines/>
            </w:pPr>
            <w:r>
              <w:t>Economic growth</w:t>
            </w:r>
          </w:p>
        </w:tc>
        <w:tc>
          <w:tcPr>
            <w:tcW w:w="8509" w:type="dxa"/>
          </w:tcPr>
          <w:p w:rsidR="004507C2" w:rsidRDefault="00184822" w:rsidP="00724C3F">
            <w:pPr>
              <w:keepNext/>
              <w:keepLines/>
            </w:pPr>
            <w:r w:rsidRPr="00020645">
              <w:rPr>
                <w:rFonts w:cs="Arial"/>
              </w:rPr>
              <w:t xml:space="preserve">Office for Budget Responsibility (OBR) projections were used to project UK </w:t>
            </w:r>
            <w:r w:rsidR="00965F01">
              <w:rPr>
                <w:rFonts w:cs="Arial"/>
              </w:rPr>
              <w:t xml:space="preserve">annual </w:t>
            </w:r>
            <w:r w:rsidRPr="00020645">
              <w:rPr>
                <w:rFonts w:cs="Arial"/>
              </w:rPr>
              <w:t xml:space="preserve">economic </w:t>
            </w:r>
            <w:r>
              <w:rPr>
                <w:rFonts w:cs="Arial"/>
              </w:rPr>
              <w:t>growth</w:t>
            </w:r>
            <w:r w:rsidRPr="00020645">
              <w:rPr>
                <w:rFonts w:cs="Arial"/>
              </w:rPr>
              <w:t xml:space="preserve"> </w:t>
            </w:r>
            <w:r w:rsidR="00965F01">
              <w:rPr>
                <w:rFonts w:cs="Arial"/>
              </w:rPr>
              <w:t xml:space="preserve">rates </w:t>
            </w:r>
            <w:r w:rsidRPr="00020645">
              <w:rPr>
                <w:rFonts w:cs="Arial"/>
              </w:rPr>
              <w:t>and IMF and other sources were used to project economic output in the seven trading regions</w:t>
            </w:r>
            <w:r>
              <w:rPr>
                <w:rFonts w:cs="Arial"/>
              </w:rPr>
              <w:t>. China and India are anticipated to have strong annual growth nearing 10% by 2020, reducing gradually thereafter</w:t>
            </w:r>
            <w:r w:rsidR="00965F01">
              <w:rPr>
                <w:rFonts w:cs="Arial"/>
              </w:rPr>
              <w:t xml:space="preserve">. UK and OECD Europe are anticipated to experience more steady growth, reaching their highest (2.7% and 2.8%) in 2021-2025. Proportional analysis projects economic growth by sector i.e. the </w:t>
            </w:r>
            <w:proofErr w:type="spellStart"/>
            <w:r w:rsidR="00965F01">
              <w:rPr>
                <w:rFonts w:cs="Arial"/>
              </w:rPr>
              <w:t>sectoral</w:t>
            </w:r>
            <w:proofErr w:type="spellEnd"/>
            <w:r w:rsidR="00965F01">
              <w:rPr>
                <w:rFonts w:cs="Arial"/>
              </w:rPr>
              <w:t xml:space="preserve"> distribution of output in 2050 is the same as 2010. </w:t>
            </w:r>
          </w:p>
        </w:tc>
        <w:tc>
          <w:tcPr>
            <w:tcW w:w="4143" w:type="dxa"/>
          </w:tcPr>
          <w:p w:rsidR="004507C2" w:rsidRDefault="00965F01" w:rsidP="00724C3F">
            <w:pPr>
              <w:keepNext/>
              <w:keepLines/>
            </w:pPr>
            <w:r>
              <w:t>Same as 2DS</w:t>
            </w:r>
          </w:p>
        </w:tc>
      </w:tr>
      <w:tr w:rsidR="00AC4112" w:rsidTr="006021BD">
        <w:tc>
          <w:tcPr>
            <w:tcW w:w="0" w:type="auto"/>
          </w:tcPr>
          <w:p w:rsidR="00965F01" w:rsidRDefault="00965F01" w:rsidP="00724C3F">
            <w:pPr>
              <w:keepNext/>
              <w:keepLines/>
            </w:pPr>
            <w:r>
              <w:t>Carbon intensities</w:t>
            </w:r>
          </w:p>
        </w:tc>
        <w:tc>
          <w:tcPr>
            <w:tcW w:w="8509" w:type="dxa"/>
          </w:tcPr>
          <w:p w:rsidR="00965F01" w:rsidRDefault="00965F01" w:rsidP="00724C3F">
            <w:pPr>
              <w:keepNext/>
              <w:keepLines/>
            </w:pPr>
            <w:proofErr w:type="spellStart"/>
            <w:r>
              <w:t>Sectoral</w:t>
            </w:r>
            <w:proofErr w:type="spellEnd"/>
            <w:r>
              <w:t xml:space="preserve"> emissions are divided by </w:t>
            </w:r>
            <w:proofErr w:type="spellStart"/>
            <w:r>
              <w:t>sectoral</w:t>
            </w:r>
            <w:proofErr w:type="spellEnd"/>
            <w:r>
              <w:t xml:space="preserve"> output</w:t>
            </w:r>
          </w:p>
        </w:tc>
        <w:tc>
          <w:tcPr>
            <w:tcW w:w="4143" w:type="dxa"/>
          </w:tcPr>
          <w:p w:rsidR="00965F01" w:rsidRDefault="00965F01" w:rsidP="00724C3F">
            <w:pPr>
              <w:keepNext/>
              <w:keepLines/>
            </w:pPr>
            <w:proofErr w:type="spellStart"/>
            <w:r>
              <w:t>Sectoral</w:t>
            </w:r>
            <w:proofErr w:type="spellEnd"/>
            <w:r>
              <w:t xml:space="preserve"> emissions are divided by </w:t>
            </w:r>
            <w:proofErr w:type="spellStart"/>
            <w:r>
              <w:t>sectoral</w:t>
            </w:r>
            <w:proofErr w:type="spellEnd"/>
            <w:r>
              <w:t xml:space="preserve"> output</w:t>
            </w:r>
          </w:p>
        </w:tc>
      </w:tr>
      <w:tr w:rsidR="00AC4112" w:rsidTr="006021BD">
        <w:tc>
          <w:tcPr>
            <w:tcW w:w="0" w:type="auto"/>
          </w:tcPr>
          <w:p w:rsidR="00965F01" w:rsidRDefault="00965F01" w:rsidP="00724C3F">
            <w:pPr>
              <w:keepNext/>
              <w:keepLines/>
            </w:pPr>
            <w:r>
              <w:t xml:space="preserve">UK </w:t>
            </w:r>
            <w:r w:rsidR="00AC4112">
              <w:t xml:space="preserve">final demand </w:t>
            </w:r>
          </w:p>
        </w:tc>
        <w:tc>
          <w:tcPr>
            <w:tcW w:w="8509" w:type="dxa"/>
          </w:tcPr>
          <w:p w:rsidR="00965F01" w:rsidRDefault="00965F01" w:rsidP="00724C3F">
            <w:pPr>
              <w:keepNext/>
              <w:keepLines/>
            </w:pPr>
            <w:r>
              <w:t>Three demand sub-scenarios are modelled:</w:t>
            </w:r>
          </w:p>
          <w:p w:rsidR="00965F01" w:rsidRDefault="00965F01" w:rsidP="00724C3F">
            <w:pPr>
              <w:pStyle w:val="ListParagraph"/>
              <w:keepNext/>
              <w:keepLines/>
              <w:numPr>
                <w:ilvl w:val="0"/>
                <w:numId w:val="22"/>
              </w:numPr>
            </w:pPr>
            <w:r>
              <w:t>Low demand: demand for imported products is assumed to increase in line with average long-run GDP growth (2.25%) and demand for domestic products just less at 2.2 percent. Imports would represent a similar share of UK GDP in 2050 compared to today.</w:t>
            </w:r>
          </w:p>
          <w:p w:rsidR="00965F01" w:rsidRDefault="00965F01" w:rsidP="00724C3F">
            <w:pPr>
              <w:pStyle w:val="ListParagraph"/>
              <w:keepNext/>
              <w:keepLines/>
              <w:numPr>
                <w:ilvl w:val="0"/>
                <w:numId w:val="22"/>
              </w:numPr>
            </w:pPr>
            <w:r>
              <w:t xml:space="preserve">Central demand: demand for imported products is expected to increase at the average annual growth rate of the past 20 years (2.75%) and growth in domestic demand is reduced to 1.9 percent. The import share of GDP would increase to 40 percent by 2050. </w:t>
            </w:r>
          </w:p>
          <w:p w:rsidR="00965F01" w:rsidRDefault="00965F01" w:rsidP="00724C3F">
            <w:pPr>
              <w:pStyle w:val="ListParagraph"/>
              <w:keepNext/>
              <w:keepLines/>
              <w:numPr>
                <w:ilvl w:val="0"/>
                <w:numId w:val="22"/>
              </w:numPr>
            </w:pPr>
            <w:r>
              <w:t xml:space="preserve">High demand: growth rates for imported products are anticipated to increase to 3.25 percent, the longer-term rate since 1975 reflecting a period of strong growth in trade and resulting in half UK GDP stemming from imports by 2050. Adjusting for historic rates in net trade demand for domestic products would reduce to 1.6 percent per annum. </w:t>
            </w:r>
          </w:p>
        </w:tc>
        <w:tc>
          <w:tcPr>
            <w:tcW w:w="4143" w:type="dxa"/>
          </w:tcPr>
          <w:p w:rsidR="00965F01" w:rsidRDefault="00965F01" w:rsidP="00724C3F">
            <w:pPr>
              <w:keepNext/>
              <w:keepLines/>
            </w:pPr>
            <w:r>
              <w:t>Same as 2DS</w:t>
            </w:r>
          </w:p>
        </w:tc>
      </w:tr>
      <w:tr w:rsidR="00AC4112" w:rsidTr="006021BD">
        <w:tc>
          <w:tcPr>
            <w:tcW w:w="0" w:type="auto"/>
          </w:tcPr>
          <w:p w:rsidR="00965F01" w:rsidRDefault="00347EAE" w:rsidP="00724C3F">
            <w:pPr>
              <w:keepNext/>
              <w:keepLines/>
            </w:pPr>
            <w:r>
              <w:t xml:space="preserve">Regional and </w:t>
            </w:r>
            <w:proofErr w:type="spellStart"/>
            <w:r>
              <w:t>sectoral</w:t>
            </w:r>
            <w:proofErr w:type="spellEnd"/>
            <w:r>
              <w:t xml:space="preserve"> demand</w:t>
            </w:r>
          </w:p>
        </w:tc>
        <w:tc>
          <w:tcPr>
            <w:tcW w:w="8509" w:type="dxa"/>
          </w:tcPr>
          <w:p w:rsidR="00965F01" w:rsidRDefault="00965F01" w:rsidP="00724C3F">
            <w:pPr>
              <w:keepNext/>
              <w:keepLines/>
            </w:pPr>
            <w:r>
              <w:t xml:space="preserve">Demand for imports increasingly shifts to emerging economies, from representing </w:t>
            </w:r>
            <w:r w:rsidR="001F3596">
              <w:t xml:space="preserve">a </w:t>
            </w:r>
            <w:r>
              <w:t>2</w:t>
            </w:r>
            <w:r w:rsidR="001F3596">
              <w:t>9</w:t>
            </w:r>
            <w:r>
              <w:t xml:space="preserve">% share of UK imports in 1990 to </w:t>
            </w:r>
            <w:r w:rsidR="001F3596">
              <w:t>5</w:t>
            </w:r>
            <w:r>
              <w:t xml:space="preserve">0% in 2050, and away from fossil fuels and associated products.  </w:t>
            </w:r>
          </w:p>
        </w:tc>
        <w:tc>
          <w:tcPr>
            <w:tcW w:w="4143" w:type="dxa"/>
          </w:tcPr>
          <w:p w:rsidR="00965F01" w:rsidRDefault="00FB33D5" w:rsidP="00724C3F">
            <w:pPr>
              <w:keepNext/>
              <w:keepLines/>
            </w:pPr>
            <w:r>
              <w:t>Same as 2DS</w:t>
            </w:r>
          </w:p>
        </w:tc>
      </w:tr>
    </w:tbl>
    <w:p w:rsidR="00B81C54" w:rsidRDefault="00B81C54" w:rsidP="001B11F2">
      <w:pPr>
        <w:pStyle w:val="Heading1"/>
        <w:sectPr w:rsidR="00B81C54" w:rsidSect="00B81C54">
          <w:pgSz w:w="16838" w:h="11906" w:orient="landscape"/>
          <w:pgMar w:top="1440" w:right="1440" w:bottom="1440" w:left="1440" w:header="709" w:footer="709" w:gutter="0"/>
          <w:cols w:space="708"/>
          <w:docGrid w:linePitch="360"/>
        </w:sectPr>
      </w:pPr>
    </w:p>
    <w:p w:rsidR="00C860D2" w:rsidRDefault="009F5109" w:rsidP="001B11F2">
      <w:pPr>
        <w:pStyle w:val="Heading1"/>
      </w:pPr>
      <w:r>
        <w:lastRenderedPageBreak/>
        <w:t>Results</w:t>
      </w:r>
    </w:p>
    <w:p w:rsidR="00084C30" w:rsidRPr="00084C30" w:rsidRDefault="00F336D8" w:rsidP="00084C30">
      <w:r>
        <w:t xml:space="preserve">The change in UK consumption-based accounts from 1993 to 2010 are shown </w:t>
      </w:r>
      <w:r w:rsidR="00593F95">
        <w:t>followed</w:t>
      </w:r>
      <w:r>
        <w:t xml:space="preserve"> by the presentation of r</w:t>
      </w:r>
      <w:r w:rsidR="00414D00">
        <w:t xml:space="preserve">esults for UK consumption-based emissions to 2050. A regional and </w:t>
      </w:r>
      <w:proofErr w:type="spellStart"/>
      <w:r w:rsidR="00414D00">
        <w:t>sectoral</w:t>
      </w:r>
      <w:proofErr w:type="spellEnd"/>
      <w:r w:rsidR="00414D00">
        <w:t xml:space="preserve"> analysis identify in which country </w:t>
      </w:r>
      <w:r w:rsidR="00ED0539">
        <w:t xml:space="preserve">and sector </w:t>
      </w:r>
      <w:r w:rsidR="00414D00">
        <w:t xml:space="preserve">the emissions are generated </w:t>
      </w:r>
      <w:r w:rsidR="00ED0539">
        <w:t>to meet UK final consumer demands</w:t>
      </w:r>
      <w:r w:rsidR="00414D00">
        <w:t>.</w:t>
      </w:r>
      <w:r w:rsidR="00ED0539">
        <w:t xml:space="preserve"> Results in 2050 are compared to the 2010 baseline data.</w:t>
      </w:r>
    </w:p>
    <w:p w:rsidR="008F6255" w:rsidRDefault="008F6255" w:rsidP="001B11F2">
      <w:pPr>
        <w:pStyle w:val="Heading2"/>
      </w:pPr>
      <w:r>
        <w:t>Trends in the UK’s consumption-based emissions</w:t>
      </w:r>
    </w:p>
    <w:p w:rsidR="008F6255" w:rsidRDefault="00275563" w:rsidP="008F6255">
      <w:r>
        <w:t>UK consumption-based emissions increased 16% from 1993 to 2010</w:t>
      </w:r>
      <w:r w:rsidR="009E39E6">
        <w:t xml:space="preserve"> (</w:t>
      </w:r>
      <w:r w:rsidR="009E39E6">
        <w:fldChar w:fldCharType="begin"/>
      </w:r>
      <w:r w:rsidR="009E39E6">
        <w:instrText xml:space="preserve"> REF _Ref387404139 \h </w:instrText>
      </w:r>
      <w:r w:rsidR="009E39E6">
        <w:fldChar w:fldCharType="separate"/>
      </w:r>
      <w:r w:rsidR="009E39E6">
        <w:t xml:space="preserve">Figure </w:t>
      </w:r>
      <w:r w:rsidR="009E39E6">
        <w:rPr>
          <w:noProof/>
        </w:rPr>
        <w:t>1</w:t>
      </w:r>
      <w:r w:rsidR="009E39E6">
        <w:fldChar w:fldCharType="end"/>
      </w:r>
      <w:r w:rsidR="009E39E6">
        <w:t>)</w:t>
      </w:r>
      <w:r>
        <w:t xml:space="preserve">. </w:t>
      </w:r>
      <w:r w:rsidR="00622C95">
        <w:t xml:space="preserve">All the growth in emissions </w:t>
      </w:r>
      <w:r w:rsidR="005B04F3">
        <w:t>was</w:t>
      </w:r>
      <w:r w:rsidR="00F81879">
        <w:t xml:space="preserve"> emitted outside the UK. </w:t>
      </w:r>
      <w:r w:rsidR="005B04F3">
        <w:t>Overall, i</w:t>
      </w:r>
      <w:r>
        <w:t xml:space="preserve">mported emissions </w:t>
      </w:r>
      <w:r w:rsidR="005B04F3">
        <w:t>rose</w:t>
      </w:r>
      <w:r>
        <w:t xml:space="preserve"> </w:t>
      </w:r>
      <w:r w:rsidR="00F81879">
        <w:t xml:space="preserve">nearly 60% and were </w:t>
      </w:r>
      <w:r w:rsidR="005B04F3">
        <w:t>marginally</w:t>
      </w:r>
      <w:r w:rsidR="00F81879">
        <w:t xml:space="preserve"> offset by an 8% reduction in </w:t>
      </w:r>
      <w:r w:rsidR="005B04F3">
        <w:t xml:space="preserve">domestic </w:t>
      </w:r>
      <w:r w:rsidR="00F81879">
        <w:t xml:space="preserve">emissions. </w:t>
      </w:r>
      <w:r w:rsidR="005B04F3">
        <w:t xml:space="preserve">In 1993 the share of imported emissions in the UK’s account was a third compared to 45% in 2010. </w:t>
      </w:r>
      <w:r w:rsidR="00152541">
        <w:t xml:space="preserve">Emissions released in all regions except European OECD countries have increase in the production of goods to satisfy UK demand. </w:t>
      </w:r>
      <w:r w:rsidR="005B04F3">
        <w:t xml:space="preserve">The most significant rise in emissions from UK demand is in China, </w:t>
      </w:r>
      <w:r w:rsidR="00FF664A">
        <w:t xml:space="preserve">overtaking </w:t>
      </w:r>
      <w:r w:rsidR="00677044">
        <w:t xml:space="preserve">European </w:t>
      </w:r>
      <w:r w:rsidR="00FF664A">
        <w:t>OECD countries</w:t>
      </w:r>
      <w:r w:rsidR="00677044">
        <w:t xml:space="preserve"> combined</w:t>
      </w:r>
      <w:r w:rsidR="00FF664A">
        <w:t xml:space="preserve">, </w:t>
      </w:r>
      <w:r w:rsidR="005B04F3">
        <w:t>where an additional 60Mt CO</w:t>
      </w:r>
      <w:r w:rsidR="005B04F3">
        <w:rPr>
          <w:vertAlign w:val="subscript"/>
        </w:rPr>
        <w:t>2</w:t>
      </w:r>
      <w:r w:rsidR="005B04F3">
        <w:t xml:space="preserve"> </w:t>
      </w:r>
      <w:r w:rsidR="009E39E6">
        <w:t>became</w:t>
      </w:r>
      <w:r w:rsidR="005B04F3">
        <w:t xml:space="preserve"> embodied in products destined for the UK</w:t>
      </w:r>
      <w:r w:rsidR="009E39E6">
        <w:t xml:space="preserve"> in 2010</w:t>
      </w:r>
      <w:r w:rsidR="005B04F3">
        <w:t>. This is 2.5 times higher than 1993.</w:t>
      </w:r>
      <w:r w:rsidR="00152541">
        <w:t xml:space="preserve"> </w:t>
      </w:r>
      <w:r w:rsidR="005B04F3">
        <w:t xml:space="preserve">   </w:t>
      </w:r>
    </w:p>
    <w:p w:rsidR="009E39E6" w:rsidRPr="008F6255" w:rsidRDefault="009E39E6" w:rsidP="009E39E6">
      <w:pPr>
        <w:pStyle w:val="Caption"/>
      </w:pPr>
      <w:bookmarkStart w:id="2" w:name="_Ref387404139"/>
      <w:r>
        <w:t xml:space="preserve">Figure </w:t>
      </w:r>
      <w:r w:rsidR="009079E1">
        <w:fldChar w:fldCharType="begin"/>
      </w:r>
      <w:r w:rsidR="009079E1">
        <w:instrText xml:space="preserve"> SEQ Figure \* ARABIC </w:instrText>
      </w:r>
      <w:r w:rsidR="009079E1">
        <w:fldChar w:fldCharType="separate"/>
      </w:r>
      <w:r w:rsidR="003A25DF">
        <w:rPr>
          <w:noProof/>
        </w:rPr>
        <w:t>1</w:t>
      </w:r>
      <w:r w:rsidR="009079E1">
        <w:rPr>
          <w:noProof/>
        </w:rPr>
        <w:fldChar w:fldCharType="end"/>
      </w:r>
      <w:bookmarkEnd w:id="2"/>
      <w:r>
        <w:t>: UK consumption-based emissions by source region in 1993 compared to 2010</w:t>
      </w:r>
      <w:r w:rsidR="00152541">
        <w:rPr>
          <w:rStyle w:val="FootnoteReference"/>
        </w:rPr>
        <w:footnoteReference w:id="3"/>
      </w:r>
    </w:p>
    <w:p w:rsidR="008F6255" w:rsidRPr="008F6255" w:rsidRDefault="000333E5" w:rsidP="008F6255">
      <w:r>
        <w:rPr>
          <w:noProof/>
          <w:lang w:eastAsia="en-GB"/>
        </w:rPr>
        <mc:AlternateContent>
          <mc:Choice Requires="wps">
            <w:drawing>
              <wp:anchor distT="0" distB="0" distL="114300" distR="114300" simplePos="0" relativeHeight="251659264" behindDoc="0" locked="0" layoutInCell="1" allowOverlap="1" wp14:anchorId="137C3303" wp14:editId="1EBDB390">
                <wp:simplePos x="0" y="0"/>
                <wp:positionH relativeFrom="column">
                  <wp:posOffset>2495550</wp:posOffset>
                </wp:positionH>
                <wp:positionV relativeFrom="paragraph">
                  <wp:posOffset>1720850</wp:posOffset>
                </wp:positionV>
                <wp:extent cx="428625" cy="23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w="9525">
                          <a:noFill/>
                          <a:miter lim="800000"/>
                          <a:headEnd/>
                          <a:tailEnd/>
                        </a:ln>
                      </wps:spPr>
                      <wps:txbx>
                        <w:txbxContent>
                          <w:p w:rsidR="00225D92" w:rsidRPr="004A69EF" w:rsidRDefault="00225D92">
                            <w:pPr>
                              <w:rPr>
                                <w:b/>
                                <w:color w:val="FFFFFF" w:themeColor="background1"/>
                                <w:sz w:val="16"/>
                                <w:szCs w:val="16"/>
                              </w:rPr>
                            </w:pPr>
                            <w:r w:rsidRPr="004A69EF">
                              <w:rPr>
                                <w:b/>
                                <w:color w:val="FFFFFF" w:themeColor="background1"/>
                                <w:sz w:val="16"/>
                                <w:szCs w:val="1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5pt;margin-top:135.5pt;width:3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" filled="f" stroked="f">
                <v:textbox>
                  <w:txbxContent>
                    <w:p w:rsidR="00225D92" w:rsidRPr="004A69EF" w:rsidRDefault="00225D92">
                      <w:pPr>
                        <w:rPr>
                          <w:b/>
                          <w:color w:val="FFFFFF" w:themeColor="background1"/>
                          <w:sz w:val="16"/>
                          <w:szCs w:val="16"/>
                        </w:rPr>
                      </w:pPr>
                      <w:r w:rsidRPr="004A69EF">
                        <w:rPr>
                          <w:b/>
                          <w:color w:val="FFFFFF" w:themeColor="background1"/>
                          <w:sz w:val="16"/>
                          <w:szCs w:val="16"/>
                        </w:rPr>
                        <w:t>-8%</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E2ABAC7" wp14:editId="284C5596">
                <wp:simplePos x="0" y="0"/>
                <wp:positionH relativeFrom="column">
                  <wp:posOffset>2505075</wp:posOffset>
                </wp:positionH>
                <wp:positionV relativeFrom="paragraph">
                  <wp:posOffset>1254125</wp:posOffset>
                </wp:positionV>
                <wp:extent cx="428625"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w="9525">
                          <a:noFill/>
                          <a:miter lim="800000"/>
                          <a:headEnd/>
                          <a:tailEnd/>
                        </a:ln>
                      </wps:spPr>
                      <wps:txbx>
                        <w:txbxContent>
                          <w:p w:rsidR="00225D92" w:rsidRPr="004A69EF" w:rsidRDefault="00225D92">
                            <w:pPr>
                              <w:rPr>
                                <w:b/>
                                <w:color w:val="FFFFFF" w:themeColor="background1"/>
                                <w:sz w:val="16"/>
                                <w:szCs w:val="16"/>
                              </w:rPr>
                            </w:pPr>
                            <w:r w:rsidRPr="004A69EF">
                              <w:rPr>
                                <w:b/>
                                <w:color w:val="FFFFFF" w:themeColor="background1"/>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7.25pt;margin-top:98.75pt;width:33.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" filled="f" stroked="f">
                <v:textbox>
                  <w:txbxContent>
                    <w:p w:rsidR="00225D92" w:rsidRPr="004A69EF" w:rsidRDefault="00225D92">
                      <w:pPr>
                        <w:rPr>
                          <w:b/>
                          <w:color w:val="FFFFFF" w:themeColor="background1"/>
                          <w:sz w:val="16"/>
                          <w:szCs w:val="16"/>
                        </w:rPr>
                      </w:pPr>
                      <w:r w:rsidRPr="004A69EF">
                        <w:rPr>
                          <w:b/>
                          <w:color w:val="FFFFFF" w:themeColor="background1"/>
                          <w:sz w:val="16"/>
                          <w:szCs w:val="16"/>
                        </w:rPr>
                        <w:t>0%</w:t>
                      </w:r>
                    </w:p>
                  </w:txbxContent>
                </v:textbox>
              </v:shape>
            </w:pict>
          </mc:Fallback>
        </mc:AlternateContent>
      </w:r>
      <w:r w:rsidR="00622C95">
        <w:rPr>
          <w:noProof/>
          <w:lang w:eastAsia="en-GB"/>
        </w:rPr>
        <mc:AlternateContent>
          <mc:Choice Requires="wps">
            <w:drawing>
              <wp:anchor distT="0" distB="0" distL="114300" distR="114300" simplePos="0" relativeHeight="251671552" behindDoc="0" locked="0" layoutInCell="1" allowOverlap="1" wp14:anchorId="697693FD" wp14:editId="0518535D">
                <wp:simplePos x="0" y="0"/>
                <wp:positionH relativeFrom="column">
                  <wp:posOffset>2447925</wp:posOffset>
                </wp:positionH>
                <wp:positionV relativeFrom="paragraph">
                  <wp:posOffset>406400</wp:posOffset>
                </wp:positionV>
                <wp:extent cx="476250" cy="190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0500"/>
                        </a:xfrm>
                        <a:prstGeom prst="rect">
                          <a:avLst/>
                        </a:prstGeom>
                        <a:noFill/>
                        <a:ln w="9525">
                          <a:noFill/>
                          <a:miter lim="800000"/>
                          <a:headEnd/>
                          <a:tailEnd/>
                        </a:ln>
                      </wps:spPr>
                      <wps:txbx>
                        <w:txbxContent>
                          <w:p w:rsidR="00225D92" w:rsidRPr="004A69EF" w:rsidRDefault="00622C95">
                            <w:pPr>
                              <w:rPr>
                                <w:b/>
                                <w:color w:val="FFFFFF" w:themeColor="background1"/>
                                <w:sz w:val="16"/>
                                <w:szCs w:val="16"/>
                              </w:rPr>
                            </w:pPr>
                            <w:r>
                              <w:rPr>
                                <w:b/>
                                <w:color w:val="FFFFFF" w:themeColor="background1"/>
                                <w:sz w:val="16"/>
                                <w:szCs w:val="16"/>
                              </w:rPr>
                              <w:t>2</w:t>
                            </w:r>
                            <w:r w:rsidR="004A69EF" w:rsidRPr="004A69EF">
                              <w:rPr>
                                <w:b/>
                                <w:color w:val="FFFFFF" w:themeColor="background1"/>
                                <w:sz w:val="16"/>
                                <w:szCs w:val="16"/>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92.75pt;margin-top:32pt;width:3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" filled="f" stroked="f">
                <v:textbox>
                  <w:txbxContent>
                    <w:p w:rsidR="00225D92" w:rsidRPr="004A69EF" w:rsidRDefault="00622C95">
                      <w:pPr>
                        <w:rPr>
                          <w:b/>
                          <w:color w:val="FFFFFF" w:themeColor="background1"/>
                          <w:sz w:val="16"/>
                          <w:szCs w:val="16"/>
                        </w:rPr>
                      </w:pPr>
                      <w:r>
                        <w:rPr>
                          <w:b/>
                          <w:color w:val="FFFFFF" w:themeColor="background1"/>
                          <w:sz w:val="16"/>
                          <w:szCs w:val="16"/>
                        </w:rPr>
                        <w:t>2</w:t>
                      </w:r>
                      <w:r w:rsidR="004A69EF" w:rsidRPr="004A69EF">
                        <w:rPr>
                          <w:b/>
                          <w:color w:val="FFFFFF" w:themeColor="background1"/>
                          <w:sz w:val="16"/>
                          <w:szCs w:val="16"/>
                        </w:rPr>
                        <w:t>90%</w:t>
                      </w:r>
                    </w:p>
                  </w:txbxContent>
                </v:textbox>
              </v:shape>
            </w:pict>
          </mc:Fallback>
        </mc:AlternateContent>
      </w:r>
      <w:r w:rsidR="00BC7F6D">
        <w:rPr>
          <w:noProof/>
          <w:lang w:eastAsia="en-GB"/>
        </w:rPr>
        <mc:AlternateContent>
          <mc:Choice Requires="wps">
            <w:drawing>
              <wp:anchor distT="0" distB="0" distL="114300" distR="114300" simplePos="0" relativeHeight="251675648" behindDoc="0" locked="0" layoutInCell="1" allowOverlap="1" wp14:anchorId="1142D355" wp14:editId="4BB20E5D">
                <wp:simplePos x="0" y="0"/>
                <wp:positionH relativeFrom="column">
                  <wp:posOffset>1369060</wp:posOffset>
                </wp:positionH>
                <wp:positionV relativeFrom="paragraph">
                  <wp:posOffset>339090</wp:posOffset>
                </wp:positionV>
                <wp:extent cx="1085850" cy="266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noFill/>
                        <a:ln w="9525">
                          <a:noFill/>
                          <a:miter lim="800000"/>
                          <a:headEnd/>
                          <a:tailEnd/>
                        </a:ln>
                      </wps:spPr>
                      <wps:txbx>
                        <w:txbxContent>
                          <w:p w:rsidR="00BC7F6D" w:rsidRPr="00BC7F6D" w:rsidRDefault="00BC7F6D">
                            <w:pPr>
                              <w:rPr>
                                <w:sz w:val="16"/>
                                <w:szCs w:val="16"/>
                              </w:rPr>
                            </w:pPr>
                            <w:r w:rsidRPr="00BC7F6D">
                              <w:rPr>
                                <w:sz w:val="16"/>
                                <w:szCs w:val="16"/>
                              </w:rPr>
                              <w:t>16% increase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7.8pt;margin-top:26.7pt;width:85.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" filled="f" stroked="f">
                <v:textbox>
                  <w:txbxContent>
                    <w:p w:rsidR="00BC7F6D" w:rsidRPr="00BC7F6D" w:rsidRDefault="00BC7F6D">
                      <w:pPr>
                        <w:rPr>
                          <w:sz w:val="16"/>
                          <w:szCs w:val="16"/>
                        </w:rPr>
                      </w:pPr>
                      <w:r w:rsidRPr="00BC7F6D">
                        <w:rPr>
                          <w:sz w:val="16"/>
                          <w:szCs w:val="16"/>
                        </w:rPr>
                        <w:t>16% increase</w:t>
                      </w:r>
                    </w:p>
                  </w:txbxContent>
                </v:textbox>
              </v:shape>
            </w:pict>
          </mc:Fallback>
        </mc:AlternateContent>
      </w:r>
      <w:r w:rsidR="004A69EF">
        <w:rPr>
          <w:noProof/>
          <w:lang w:eastAsia="en-GB"/>
        </w:rPr>
        <mc:AlternateContent>
          <mc:Choice Requires="wps">
            <w:drawing>
              <wp:anchor distT="0" distB="0" distL="114300" distR="114300" simplePos="0" relativeHeight="251673600" behindDoc="0" locked="0" layoutInCell="1" allowOverlap="1" wp14:anchorId="08DDDF41" wp14:editId="42CA6F72">
                <wp:simplePos x="0" y="0"/>
                <wp:positionH relativeFrom="column">
                  <wp:posOffset>2457450</wp:posOffset>
                </wp:positionH>
                <wp:positionV relativeFrom="paragraph">
                  <wp:posOffset>320675</wp:posOffset>
                </wp:positionV>
                <wp:extent cx="476250" cy="2762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6225"/>
                        </a:xfrm>
                        <a:prstGeom prst="rect">
                          <a:avLst/>
                        </a:prstGeom>
                        <a:noFill/>
                        <a:ln w="9525">
                          <a:noFill/>
                          <a:miter lim="800000"/>
                          <a:headEnd/>
                          <a:tailEnd/>
                        </a:ln>
                      </wps:spPr>
                      <wps:txbx>
                        <w:txbxContent>
                          <w:p w:rsidR="004A69EF" w:rsidRPr="000333E5" w:rsidRDefault="00275563">
                            <w:pPr>
                              <w:rPr>
                                <w:b/>
                                <w:color w:val="FFFFFF" w:themeColor="background1"/>
                                <w:sz w:val="16"/>
                                <w:szCs w:val="16"/>
                              </w:rPr>
                            </w:pPr>
                            <w:r w:rsidRPr="000333E5">
                              <w:rPr>
                                <w:b/>
                                <w:color w:val="FFFFFF" w:themeColor="background1"/>
                                <w:sz w:val="16"/>
                                <w:szCs w:val="16"/>
                              </w:rPr>
                              <w:t>1</w:t>
                            </w:r>
                            <w:r w:rsidR="004A69EF" w:rsidRPr="000333E5">
                              <w:rPr>
                                <w:b/>
                                <w:color w:val="FFFFFF" w:themeColor="background1"/>
                                <w:sz w:val="16"/>
                                <w:szCs w:val="16"/>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93.5pt;margin-top:25.25pt;width:3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" filled="f" stroked="f">
                <v:textbox>
                  <w:txbxContent>
                    <w:p w:rsidR="004A69EF" w:rsidRPr="000333E5" w:rsidRDefault="00275563">
                      <w:pPr>
                        <w:rPr>
                          <w:b/>
                          <w:color w:val="FFFFFF" w:themeColor="background1"/>
                          <w:sz w:val="16"/>
                          <w:szCs w:val="16"/>
                        </w:rPr>
                      </w:pPr>
                      <w:r w:rsidRPr="000333E5">
                        <w:rPr>
                          <w:b/>
                          <w:color w:val="FFFFFF" w:themeColor="background1"/>
                          <w:sz w:val="16"/>
                          <w:szCs w:val="16"/>
                        </w:rPr>
                        <w:t>1</w:t>
                      </w:r>
                      <w:r w:rsidR="004A69EF" w:rsidRPr="000333E5">
                        <w:rPr>
                          <w:b/>
                          <w:color w:val="FFFFFF" w:themeColor="background1"/>
                          <w:sz w:val="16"/>
                          <w:szCs w:val="16"/>
                        </w:rPr>
                        <w:t>44%</w:t>
                      </w:r>
                    </w:p>
                  </w:txbxContent>
                </v:textbox>
              </v:shape>
            </w:pict>
          </mc:Fallback>
        </mc:AlternateContent>
      </w:r>
      <w:r w:rsidR="004A69EF">
        <w:rPr>
          <w:noProof/>
          <w:lang w:eastAsia="en-GB"/>
        </w:rPr>
        <mc:AlternateContent>
          <mc:Choice Requires="wps">
            <w:drawing>
              <wp:anchor distT="0" distB="0" distL="114300" distR="114300" simplePos="0" relativeHeight="251665408" behindDoc="0" locked="0" layoutInCell="1" allowOverlap="1" wp14:anchorId="6B22300B" wp14:editId="199A08B7">
                <wp:simplePos x="0" y="0"/>
                <wp:positionH relativeFrom="column">
                  <wp:posOffset>2447925</wp:posOffset>
                </wp:positionH>
                <wp:positionV relativeFrom="paragraph">
                  <wp:posOffset>530225</wp:posOffset>
                </wp:positionV>
                <wp:extent cx="476250" cy="238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w="9525">
                          <a:noFill/>
                          <a:miter lim="800000"/>
                          <a:headEnd/>
                          <a:tailEnd/>
                        </a:ln>
                      </wps:spPr>
                      <wps:txbx>
                        <w:txbxContent>
                          <w:p w:rsidR="00225D92" w:rsidRPr="004A69EF" w:rsidRDefault="004A69EF">
                            <w:pPr>
                              <w:rPr>
                                <w:b/>
                                <w:color w:val="FFFFFF" w:themeColor="background1"/>
                                <w:sz w:val="16"/>
                                <w:szCs w:val="16"/>
                              </w:rPr>
                            </w:pPr>
                            <w:r w:rsidRPr="004A69EF">
                              <w:rPr>
                                <w:b/>
                                <w:color w:val="FFFFFF" w:themeColor="background1"/>
                                <w:sz w:val="16"/>
                                <w:szCs w:val="1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92.75pt;margin-top:41.75pt;width:3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" filled="f" stroked="f">
                <v:textbox>
                  <w:txbxContent>
                    <w:p w:rsidR="00225D92" w:rsidRPr="004A69EF" w:rsidRDefault="004A69EF">
                      <w:pPr>
                        <w:rPr>
                          <w:b/>
                          <w:color w:val="FFFFFF" w:themeColor="background1"/>
                          <w:sz w:val="16"/>
                          <w:szCs w:val="16"/>
                        </w:rPr>
                      </w:pPr>
                      <w:r w:rsidRPr="004A69EF">
                        <w:rPr>
                          <w:b/>
                          <w:color w:val="FFFFFF" w:themeColor="background1"/>
                          <w:sz w:val="16"/>
                          <w:szCs w:val="16"/>
                        </w:rPr>
                        <w:t>16%</w:t>
                      </w:r>
                    </w:p>
                  </w:txbxContent>
                </v:textbox>
              </v:shape>
            </w:pict>
          </mc:Fallback>
        </mc:AlternateContent>
      </w:r>
      <w:r w:rsidR="004A69EF">
        <w:rPr>
          <w:noProof/>
          <w:lang w:eastAsia="en-GB"/>
        </w:rPr>
        <mc:AlternateContent>
          <mc:Choice Requires="wps">
            <w:drawing>
              <wp:anchor distT="0" distB="0" distL="114300" distR="114300" simplePos="0" relativeHeight="251669504" behindDoc="0" locked="0" layoutInCell="1" allowOverlap="1" wp14:anchorId="454D0B8E" wp14:editId="37C10D78">
                <wp:simplePos x="0" y="0"/>
                <wp:positionH relativeFrom="column">
                  <wp:posOffset>2447925</wp:posOffset>
                </wp:positionH>
                <wp:positionV relativeFrom="paragraph">
                  <wp:posOffset>682625</wp:posOffset>
                </wp:positionV>
                <wp:extent cx="476250" cy="2381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w="9525">
                          <a:noFill/>
                          <a:miter lim="800000"/>
                          <a:headEnd/>
                          <a:tailEnd/>
                        </a:ln>
                      </wps:spPr>
                      <wps:txbx>
                        <w:txbxContent>
                          <w:p w:rsidR="00225D92" w:rsidRPr="004A69EF" w:rsidRDefault="004A69EF">
                            <w:pPr>
                              <w:rPr>
                                <w:b/>
                                <w:color w:val="FFFFFF" w:themeColor="background1"/>
                                <w:sz w:val="16"/>
                                <w:szCs w:val="16"/>
                              </w:rPr>
                            </w:pPr>
                            <w:r w:rsidRPr="004A69EF">
                              <w:rPr>
                                <w:b/>
                                <w:color w:val="FFFFFF" w:themeColor="background1"/>
                                <w:sz w:val="16"/>
                                <w:szCs w:val="16"/>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92.75pt;margin-top:53.75pt;width:3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" filled="f" stroked="f">
                <v:textbox>
                  <w:txbxContent>
                    <w:p w:rsidR="00225D92" w:rsidRPr="004A69EF" w:rsidRDefault="004A69EF">
                      <w:pPr>
                        <w:rPr>
                          <w:b/>
                          <w:color w:val="FFFFFF" w:themeColor="background1"/>
                          <w:sz w:val="16"/>
                          <w:szCs w:val="16"/>
                        </w:rPr>
                      </w:pPr>
                      <w:r w:rsidRPr="004A69EF">
                        <w:rPr>
                          <w:b/>
                          <w:color w:val="FFFFFF" w:themeColor="background1"/>
                          <w:sz w:val="16"/>
                          <w:szCs w:val="16"/>
                        </w:rPr>
                        <w:t>-19%</w:t>
                      </w:r>
                    </w:p>
                  </w:txbxContent>
                </v:textbox>
              </v:shape>
            </w:pict>
          </mc:Fallback>
        </mc:AlternateContent>
      </w:r>
      <w:r w:rsidR="004A69EF">
        <w:rPr>
          <w:noProof/>
          <w:lang w:eastAsia="en-GB"/>
        </w:rPr>
        <mc:AlternateContent>
          <mc:Choice Requires="wps">
            <w:drawing>
              <wp:anchor distT="0" distB="0" distL="114300" distR="114300" simplePos="0" relativeHeight="251667456" behindDoc="0" locked="0" layoutInCell="1" allowOverlap="1" wp14:anchorId="042E87FE" wp14:editId="0823D51F">
                <wp:simplePos x="0" y="0"/>
                <wp:positionH relativeFrom="column">
                  <wp:posOffset>2447925</wp:posOffset>
                </wp:positionH>
                <wp:positionV relativeFrom="paragraph">
                  <wp:posOffset>835025</wp:posOffset>
                </wp:positionV>
                <wp:extent cx="476250" cy="2381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w="9525">
                          <a:noFill/>
                          <a:miter lim="800000"/>
                          <a:headEnd/>
                          <a:tailEnd/>
                        </a:ln>
                      </wps:spPr>
                      <wps:txbx>
                        <w:txbxContent>
                          <w:p w:rsidR="00225D92" w:rsidRPr="004A69EF" w:rsidRDefault="004A69EF">
                            <w:pPr>
                              <w:rPr>
                                <w:b/>
                                <w:color w:val="FFFFFF" w:themeColor="background1"/>
                                <w:sz w:val="16"/>
                                <w:szCs w:val="16"/>
                              </w:rPr>
                            </w:pPr>
                            <w:r w:rsidRPr="004A69EF">
                              <w:rPr>
                                <w:b/>
                                <w:color w:val="FFFFFF" w:themeColor="background1"/>
                                <w:sz w:val="16"/>
                                <w:szCs w:val="16"/>
                              </w:rPr>
                              <w:t>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192.75pt;margin-top:65.75pt;width:3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" filled="f" stroked="f">
                <v:textbox>
                  <w:txbxContent>
                    <w:p w:rsidR="00225D92" w:rsidRPr="004A69EF" w:rsidRDefault="004A69EF">
                      <w:pPr>
                        <w:rPr>
                          <w:b/>
                          <w:color w:val="FFFFFF" w:themeColor="background1"/>
                          <w:sz w:val="16"/>
                          <w:szCs w:val="16"/>
                        </w:rPr>
                      </w:pPr>
                      <w:r w:rsidRPr="004A69EF">
                        <w:rPr>
                          <w:b/>
                          <w:color w:val="FFFFFF" w:themeColor="background1"/>
                          <w:sz w:val="16"/>
                          <w:szCs w:val="16"/>
                        </w:rPr>
                        <w:t>83%</w:t>
                      </w:r>
                    </w:p>
                  </w:txbxContent>
                </v:textbox>
              </v:shape>
            </w:pict>
          </mc:Fallback>
        </mc:AlternateContent>
      </w:r>
      <w:r w:rsidR="004A69EF">
        <w:rPr>
          <w:noProof/>
          <w:lang w:eastAsia="en-GB"/>
        </w:rPr>
        <mc:AlternateContent>
          <mc:Choice Requires="wps">
            <w:drawing>
              <wp:anchor distT="0" distB="0" distL="114300" distR="114300" simplePos="0" relativeHeight="251663360" behindDoc="0" locked="0" layoutInCell="1" allowOverlap="1" wp14:anchorId="61B3C26D" wp14:editId="4836CA54">
                <wp:simplePos x="0" y="0"/>
                <wp:positionH relativeFrom="column">
                  <wp:posOffset>2447925</wp:posOffset>
                </wp:positionH>
                <wp:positionV relativeFrom="paragraph">
                  <wp:posOffset>1016000</wp:posOffset>
                </wp:positionV>
                <wp:extent cx="428625" cy="238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125"/>
                        </a:xfrm>
                        <a:prstGeom prst="rect">
                          <a:avLst/>
                        </a:prstGeom>
                        <a:noFill/>
                        <a:ln w="9525">
                          <a:noFill/>
                          <a:miter lim="800000"/>
                          <a:headEnd/>
                          <a:tailEnd/>
                        </a:ln>
                      </wps:spPr>
                      <wps:txbx>
                        <w:txbxContent>
                          <w:p w:rsidR="00225D92" w:rsidRPr="00225D92" w:rsidRDefault="00622C95">
                            <w:pPr>
                              <w:rPr>
                                <w:color w:val="FFFFFF" w:themeColor="background1"/>
                                <w:sz w:val="16"/>
                                <w:szCs w:val="16"/>
                              </w:rPr>
                            </w:pPr>
                            <w:r>
                              <w:rPr>
                                <w:color w:val="FFFFFF" w:themeColor="background1"/>
                                <w:sz w:val="16"/>
                                <w:szCs w:val="16"/>
                              </w:rPr>
                              <w:t>2</w:t>
                            </w:r>
                            <w:r w:rsidR="00225D92">
                              <w:rPr>
                                <w:color w:val="FFFFFF" w:themeColor="background1"/>
                                <w:sz w:val="16"/>
                                <w:szCs w:val="16"/>
                              </w:rPr>
                              <w:t>40%</w:t>
                            </w:r>
                            <w:r w:rsidR="00225D92" w:rsidRPr="00225D92">
                              <w:rPr>
                                <w:color w:val="FFFFFF" w:themeColor="background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192.75pt;margin-top:80pt;width:33.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" filled="f" stroked="f">
                <v:textbox>
                  <w:txbxContent>
                    <w:p w:rsidR="00225D92" w:rsidRPr="00225D92" w:rsidRDefault="00622C95">
                      <w:pPr>
                        <w:rPr>
                          <w:color w:val="FFFFFF" w:themeColor="background1"/>
                          <w:sz w:val="16"/>
                          <w:szCs w:val="16"/>
                        </w:rPr>
                      </w:pPr>
                      <w:r>
                        <w:rPr>
                          <w:color w:val="FFFFFF" w:themeColor="background1"/>
                          <w:sz w:val="16"/>
                          <w:szCs w:val="16"/>
                        </w:rPr>
                        <w:t>2</w:t>
                      </w:r>
                      <w:r w:rsidR="00225D92">
                        <w:rPr>
                          <w:color w:val="FFFFFF" w:themeColor="background1"/>
                          <w:sz w:val="16"/>
                          <w:szCs w:val="16"/>
                        </w:rPr>
                        <w:t>40%</w:t>
                      </w:r>
                      <w:r w:rsidR="00225D92" w:rsidRPr="00225D92">
                        <w:rPr>
                          <w:color w:val="FFFFFF" w:themeColor="background1"/>
                          <w:sz w:val="16"/>
                          <w:szCs w:val="16"/>
                        </w:rPr>
                        <w:t>%</w:t>
                      </w:r>
                    </w:p>
                  </w:txbxContent>
                </v:textbox>
              </v:shape>
            </w:pict>
          </mc:Fallback>
        </mc:AlternateContent>
      </w:r>
      <w:r w:rsidR="008F6255">
        <w:rPr>
          <w:noProof/>
          <w:lang w:eastAsia="en-GB"/>
        </w:rPr>
        <w:drawing>
          <wp:inline distT="0" distB="0" distL="0" distR="0" wp14:anchorId="1E63EA49" wp14:editId="7A1FB72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60D2" w:rsidRPr="00C860D2" w:rsidRDefault="00C860D2" w:rsidP="001B11F2">
      <w:pPr>
        <w:pStyle w:val="Heading2"/>
      </w:pPr>
      <w:r>
        <w:t>UK consumption emissions</w:t>
      </w:r>
      <w:r w:rsidR="008F6255">
        <w:t xml:space="preserve"> in 2050</w:t>
      </w:r>
    </w:p>
    <w:p w:rsidR="002B14B3" w:rsidRDefault="007A202E" w:rsidP="001F3CC6">
      <w:pPr>
        <w:rPr>
          <w:noProof/>
          <w:lang w:eastAsia="en-GB"/>
        </w:rPr>
      </w:pPr>
      <w:r>
        <w:t>In 2010 UK production and consumption emissions were 536 Mt CO</w:t>
      </w:r>
      <w:r w:rsidRPr="007A202E">
        <w:rPr>
          <w:vertAlign w:val="subscript"/>
        </w:rPr>
        <w:t>2</w:t>
      </w:r>
      <w:r>
        <w:t xml:space="preserve"> and 775 Mt CO</w:t>
      </w:r>
      <w:r w:rsidRPr="007A202E">
        <w:rPr>
          <w:vertAlign w:val="subscript"/>
        </w:rPr>
        <w:t xml:space="preserve">2 </w:t>
      </w:r>
      <w:r>
        <w:t xml:space="preserve">respectively. </w:t>
      </w:r>
      <w:r w:rsidR="00C860D2">
        <w:t xml:space="preserve">The UK is a net importer of emissions with UK consumption emissions being in the region of 50% higher than its production account. </w:t>
      </w:r>
      <w:r w:rsidR="003A25DF">
        <w:fldChar w:fldCharType="begin"/>
      </w:r>
      <w:r w:rsidR="003A25DF">
        <w:instrText xml:space="preserve"> REF _Ref387419041 \h </w:instrText>
      </w:r>
      <w:r w:rsidR="003A25DF">
        <w:fldChar w:fldCharType="separate"/>
      </w:r>
      <w:r w:rsidR="003A25DF">
        <w:t xml:space="preserve">Figure </w:t>
      </w:r>
      <w:r w:rsidR="003A25DF">
        <w:rPr>
          <w:noProof/>
        </w:rPr>
        <w:t>2</w:t>
      </w:r>
      <w:r w:rsidR="003A25DF">
        <w:fldChar w:fldCharType="end"/>
      </w:r>
      <w:r w:rsidR="00B82E9A">
        <w:t xml:space="preserve"> shows results for </w:t>
      </w:r>
      <w:r w:rsidR="00C860D2">
        <w:t xml:space="preserve">the two and four degrees </w:t>
      </w:r>
      <w:r w:rsidR="00B82E9A">
        <w:t xml:space="preserve">scenarios for UK domestic and </w:t>
      </w:r>
      <w:r w:rsidR="00C860D2">
        <w:t>imported</w:t>
      </w:r>
      <w:r w:rsidR="00B82E9A">
        <w:t xml:space="preserve"> CO2 emissions to 2050. </w:t>
      </w:r>
      <w:r w:rsidR="00F20764">
        <w:t xml:space="preserve">Under both a two and four degree future UK consumption emissions are likely to reduce as </w:t>
      </w:r>
      <w:r>
        <w:t xml:space="preserve">global </w:t>
      </w:r>
      <w:r w:rsidR="00F20764">
        <w:t xml:space="preserve">carbon intensities fall at greater rates than the increase in UK demand. Under a central demand scenario where the UK achieves an 80 percent reduction in its production emissions by 2050 and global emission fall in line with the climate objective of 2 degrees, UK consumption emissions are estimated to fall </w:t>
      </w:r>
      <w:r w:rsidR="00CA25A4">
        <w:t>almost 80</w:t>
      </w:r>
      <w:r w:rsidR="00F20764">
        <w:t xml:space="preserve">% from </w:t>
      </w:r>
      <w:r w:rsidR="00CA25A4">
        <w:t>775</w:t>
      </w:r>
      <w:r w:rsidR="00F20764">
        <w:t xml:space="preserve"> Mt CO</w:t>
      </w:r>
      <w:r w:rsidR="00F20764">
        <w:rPr>
          <w:vertAlign w:val="subscript"/>
        </w:rPr>
        <w:t>2</w:t>
      </w:r>
      <w:r w:rsidR="00F20764">
        <w:t xml:space="preserve"> </w:t>
      </w:r>
      <w:r w:rsidR="00F20764">
        <w:lastRenderedPageBreak/>
        <w:t>in 2010 to 1</w:t>
      </w:r>
      <w:r w:rsidR="00CA25A4">
        <w:t>80</w:t>
      </w:r>
      <w:r w:rsidR="00F20764">
        <w:t xml:space="preserve"> Mt CO</w:t>
      </w:r>
      <w:r w:rsidR="00F20764">
        <w:rPr>
          <w:vertAlign w:val="subscript"/>
        </w:rPr>
        <w:t>2</w:t>
      </w:r>
      <w:r w:rsidR="00F20764">
        <w:t xml:space="preserve"> in 2050.</w:t>
      </w:r>
      <w:r>
        <w:t xml:space="preserve"> Under a less ambitious global emissions pathway where countries outside the UK don’t go beyond current climate mitigation pledges, consumption emissions are estimated to be 384 Mt CO2, a 50% reduction from 2010.</w:t>
      </w:r>
      <w:r w:rsidR="000A425F">
        <w:t xml:space="preserve"> In this situation the gap between production and consumption widens and consumption emissions are estimated to be almost three and a half times greater than those generated from its production. </w:t>
      </w:r>
      <w:r w:rsidR="001F3CC6">
        <w:t xml:space="preserve">A sensitivity on the 2DS scenario without CCS technology shows a footprint that is </w:t>
      </w:r>
      <w:r w:rsidR="00F223E7">
        <w:t>just over 20</w:t>
      </w:r>
      <w:r w:rsidR="001F3CC6">
        <w:t xml:space="preserve"> MtCO</w:t>
      </w:r>
      <w:r w:rsidR="001F3CC6">
        <w:rPr>
          <w:sz w:val="15"/>
          <w:szCs w:val="15"/>
        </w:rPr>
        <w:t xml:space="preserve">2 </w:t>
      </w:r>
      <w:r w:rsidR="001F3CC6">
        <w:t>or 1</w:t>
      </w:r>
      <w:r w:rsidR="00F223E7">
        <w:t>2</w:t>
      </w:r>
      <w:r w:rsidR="001F3CC6">
        <w:t>% higher than the 2DS scenario due to higher industrial emissions intensities in the absence of CCS.</w:t>
      </w:r>
      <w:r w:rsidR="001F3CC6" w:rsidRPr="003528CB">
        <w:rPr>
          <w:noProof/>
          <w:lang w:eastAsia="en-GB"/>
        </w:rPr>
        <w:t xml:space="preserve"> </w:t>
      </w:r>
    </w:p>
    <w:p w:rsidR="00717FED" w:rsidRDefault="00717FED" w:rsidP="001F3CC6">
      <w:r>
        <w:t xml:space="preserve">A low and high demand variant tested the sensitivity of the two degree scenario. Approximately 10 Mt CO2 was reduced and added to the UK footprint, making the carbon footprint results about 5% lower or higher than the central assumption. In the high demand scenario the share of imported emissions was in the region of 5% higher reflecting increasing levels of demand being met by imports. </w:t>
      </w:r>
    </w:p>
    <w:p w:rsidR="00724C3F" w:rsidRDefault="00724C3F" w:rsidP="00724C3F">
      <w:pPr>
        <w:pStyle w:val="Caption"/>
      </w:pPr>
      <w:bookmarkStart w:id="3" w:name="_Ref387419041"/>
      <w:r>
        <w:t xml:space="preserve">Figure </w:t>
      </w:r>
      <w:r w:rsidR="009079E1">
        <w:fldChar w:fldCharType="begin"/>
      </w:r>
      <w:r w:rsidR="009079E1">
        <w:instrText xml:space="preserve"> SEQ Figure \* ARABIC </w:instrText>
      </w:r>
      <w:r w:rsidR="009079E1">
        <w:fldChar w:fldCharType="separate"/>
      </w:r>
      <w:r w:rsidR="003A25DF">
        <w:rPr>
          <w:noProof/>
        </w:rPr>
        <w:t>2</w:t>
      </w:r>
      <w:r w:rsidR="009079E1">
        <w:rPr>
          <w:noProof/>
        </w:rPr>
        <w:fldChar w:fldCharType="end"/>
      </w:r>
      <w:bookmarkEnd w:id="3"/>
      <w:r>
        <w:t xml:space="preserve">: </w:t>
      </w:r>
      <w:r w:rsidR="003A25DF">
        <w:t>UK consumption-based emission scenario results</w:t>
      </w:r>
    </w:p>
    <w:p w:rsidR="001E7C3F" w:rsidRDefault="002B14B3" w:rsidP="001E7C3F">
      <w:r w:rsidRPr="002B14B3">
        <w:rPr>
          <w:noProof/>
          <w:lang w:eastAsia="en-GB"/>
        </w:rPr>
        <w:drawing>
          <wp:inline distT="0" distB="0" distL="0" distR="0" wp14:anchorId="0D575757" wp14:editId="6ABE6C03">
            <wp:extent cx="5943600" cy="2543175"/>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60D2" w:rsidRDefault="00FA698E" w:rsidP="001B11F2">
      <w:pPr>
        <w:pStyle w:val="Heading2"/>
      </w:pPr>
      <w:r>
        <w:t>Regional</w:t>
      </w:r>
      <w:r w:rsidR="004F3F49">
        <w:t xml:space="preserve"> distribution of emissions</w:t>
      </w:r>
    </w:p>
    <w:p w:rsidR="0020023D" w:rsidRDefault="002B14B3" w:rsidP="00F15708">
      <w:r w:rsidRPr="002B14B3">
        <w:t xml:space="preserve"> </w:t>
      </w:r>
      <w:r>
        <w:t xml:space="preserve">In 2010 domestic emissions accounted for a 55% share of UK consumption emissions. </w:t>
      </w:r>
      <w:r w:rsidR="003A25DF">
        <w:fldChar w:fldCharType="begin"/>
      </w:r>
      <w:r w:rsidR="003A25DF">
        <w:instrText xml:space="preserve"> REF _Ref387419132 \h </w:instrText>
      </w:r>
      <w:r w:rsidR="003A25DF">
        <w:fldChar w:fldCharType="separate"/>
      </w:r>
      <w:r w:rsidR="003A25DF">
        <w:t xml:space="preserve">Figure </w:t>
      </w:r>
      <w:r w:rsidR="003A25DF">
        <w:rPr>
          <w:noProof/>
        </w:rPr>
        <w:t>3</w:t>
      </w:r>
      <w:r w:rsidR="003A25DF">
        <w:fldChar w:fldCharType="end"/>
      </w:r>
      <w:r w:rsidR="00783F6F">
        <w:t xml:space="preserve"> compares this to domestic and imported shares in the scenarios.  </w:t>
      </w:r>
      <w:r>
        <w:t xml:space="preserve">Comparing scenarios under the central demand assumption </w:t>
      </w:r>
      <w:r w:rsidR="00783F6F">
        <w:t>the domestic emissions</w:t>
      </w:r>
      <w:r>
        <w:t xml:space="preserve"> share reduces to 28% and 13% under the two degree and four degree scenario</w:t>
      </w:r>
      <w:r w:rsidR="00783F6F">
        <w:t>s</w:t>
      </w:r>
      <w:r>
        <w:t xml:space="preserve"> respectively. Imported emissions become increasingly significant if the climate objective is not met. </w:t>
      </w:r>
      <w:r w:rsidR="00783F6F">
        <w:t xml:space="preserve">The share of emissions from OECD countries increases in both cases as emission intensities in less developed countries become comparatively similar to those in developed countries. Therefore the footprint is more reflective of the </w:t>
      </w:r>
      <w:r w:rsidR="00C860D2">
        <w:t>physical</w:t>
      </w:r>
      <w:r w:rsidR="00783F6F">
        <w:t xml:space="preserve"> trade pattern.    </w:t>
      </w:r>
      <w:r>
        <w:t xml:space="preserve">  </w:t>
      </w:r>
    </w:p>
    <w:p w:rsidR="003A25DF" w:rsidRDefault="003A25DF" w:rsidP="003A25DF">
      <w:pPr>
        <w:pStyle w:val="Caption"/>
        <w:keepNext/>
        <w:keepLines/>
      </w:pPr>
      <w:bookmarkStart w:id="4" w:name="_Ref387419132"/>
      <w:r>
        <w:lastRenderedPageBreak/>
        <w:t xml:space="preserve">Figure </w:t>
      </w:r>
      <w:r w:rsidR="009079E1">
        <w:fldChar w:fldCharType="begin"/>
      </w:r>
      <w:r w:rsidR="009079E1">
        <w:instrText xml:space="preserve"> SEQ Figure \* ARABIC </w:instrText>
      </w:r>
      <w:r w:rsidR="009079E1">
        <w:fldChar w:fldCharType="separate"/>
      </w:r>
      <w:r>
        <w:rPr>
          <w:noProof/>
        </w:rPr>
        <w:t>3</w:t>
      </w:r>
      <w:r w:rsidR="009079E1">
        <w:rPr>
          <w:noProof/>
        </w:rPr>
        <w:fldChar w:fldCharType="end"/>
      </w:r>
      <w:bookmarkEnd w:id="4"/>
      <w:r>
        <w:t>: Domestic and import shares of projected UK consumption emissions</w:t>
      </w:r>
    </w:p>
    <w:p w:rsidR="003528CB" w:rsidRDefault="002B14B3" w:rsidP="003A25DF">
      <w:pPr>
        <w:keepNext/>
        <w:keepLines/>
      </w:pPr>
      <w:r w:rsidRPr="002B14B3">
        <w:rPr>
          <w:noProof/>
          <w:lang w:eastAsia="en-GB"/>
        </w:rPr>
        <w:drawing>
          <wp:inline distT="0" distB="0" distL="0" distR="0" wp14:anchorId="2354178E" wp14:editId="6C186FC2">
            <wp:extent cx="5114925" cy="3524250"/>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60D2" w:rsidRDefault="004F3F49" w:rsidP="001B11F2">
      <w:pPr>
        <w:pStyle w:val="Heading2"/>
      </w:pPr>
      <w:r>
        <w:t>Sector</w:t>
      </w:r>
      <w:r w:rsidR="00C860D2">
        <w:t xml:space="preserve"> emissions</w:t>
      </w:r>
    </w:p>
    <w:p w:rsidR="006C2C2F" w:rsidRDefault="00C74686" w:rsidP="00F15708">
      <w:r>
        <w:t>In 2010 over a third of imported emissions were emitted in the power sector</w:t>
      </w:r>
      <w:r w:rsidR="006C2C2F">
        <w:t xml:space="preserve"> (125 Mt CO2)</w:t>
      </w:r>
      <w:r>
        <w:t>, with approximately a fifth each attributed to transport and the manufacture of petroleum, chemical and non-metallic mineral products</w:t>
      </w:r>
      <w:r w:rsidR="006C2C2F">
        <w:t xml:space="preserve"> (76 and 72 Mt CO2 respectively)</w:t>
      </w:r>
      <w:r>
        <w:t xml:space="preserve">. </w:t>
      </w:r>
      <w:r w:rsidR="003A25DF">
        <w:fldChar w:fldCharType="begin"/>
      </w:r>
      <w:r w:rsidR="003A25DF">
        <w:instrText xml:space="preserve"> REF _Ref387419219 \h </w:instrText>
      </w:r>
      <w:r w:rsidR="003A25DF">
        <w:fldChar w:fldCharType="separate"/>
      </w:r>
      <w:r w:rsidR="003A25DF">
        <w:t xml:space="preserve">Figure </w:t>
      </w:r>
      <w:r w:rsidR="003A25DF">
        <w:rPr>
          <w:noProof/>
        </w:rPr>
        <w:t>4</w:t>
      </w:r>
      <w:r w:rsidR="003A25DF">
        <w:fldChar w:fldCharType="end"/>
      </w:r>
      <w:r w:rsidR="006C2C2F">
        <w:t xml:space="preserve"> shows the (aggregated) sector in which emissions were generated abroad for final consumption in the UK. </w:t>
      </w:r>
      <w:r>
        <w:t xml:space="preserve">If global policy is successful by 2050 there is a switch between the top emitting sectors abroad. </w:t>
      </w:r>
      <w:r w:rsidR="006C2C2F">
        <w:t>S</w:t>
      </w:r>
      <w:r>
        <w:t xml:space="preserve">trong </w:t>
      </w:r>
      <w:r w:rsidR="006C2C2F">
        <w:t xml:space="preserve">international </w:t>
      </w:r>
      <w:r>
        <w:t xml:space="preserve">decarbonisation in the power sector </w:t>
      </w:r>
      <w:r w:rsidR="006C2C2F">
        <w:t>reduces imported emissions by more than 80% to less than 20 Mt CO2. Transport replaces electricity as the most polluting sector where limited decarbonisation options have resulted in a 40% reduction, with an estimated 44 Mt CO2 being generated in 2050 to meet UK demand. Emission reductions in other sectors such as agriculture, construction and services are less, yet there contribution</w:t>
      </w:r>
      <w:r w:rsidR="000723A4">
        <w:t xml:space="preserve"> to absolute emissions is lower. In 2050 they are expected to account for a 30% share of UK imported emissions.</w:t>
      </w:r>
    </w:p>
    <w:p w:rsidR="00401606" w:rsidRDefault="003A25DF" w:rsidP="003A25DF">
      <w:pPr>
        <w:pStyle w:val="Caption"/>
        <w:keepNext/>
        <w:keepLines/>
      </w:pPr>
      <w:bookmarkStart w:id="5" w:name="_Ref387419219"/>
      <w:r>
        <w:lastRenderedPageBreak/>
        <w:t xml:space="preserve">Figure </w:t>
      </w:r>
      <w:r w:rsidR="009079E1">
        <w:fldChar w:fldCharType="begin"/>
      </w:r>
      <w:r w:rsidR="009079E1">
        <w:instrText xml:space="preserve"> SEQ Figure \* ARABIC </w:instrText>
      </w:r>
      <w:r w:rsidR="009079E1">
        <w:fldChar w:fldCharType="separate"/>
      </w:r>
      <w:r>
        <w:rPr>
          <w:noProof/>
        </w:rPr>
        <w:t>4</w:t>
      </w:r>
      <w:r w:rsidR="009079E1">
        <w:rPr>
          <w:noProof/>
        </w:rPr>
        <w:fldChar w:fldCharType="end"/>
      </w:r>
      <w:bookmarkEnd w:id="5"/>
      <w:r>
        <w:t>: Projected UK imported emissions by sector of origin</w:t>
      </w:r>
    </w:p>
    <w:p w:rsidR="00DA555D" w:rsidRPr="00F15708" w:rsidRDefault="00A84F69" w:rsidP="003A25DF">
      <w:pPr>
        <w:keepNext/>
        <w:keepLines/>
      </w:pPr>
      <w:r w:rsidRPr="00A84F69">
        <w:rPr>
          <w:noProof/>
          <w:lang w:eastAsia="en-GB"/>
        </w:rPr>
        <w:drawing>
          <wp:inline distT="0" distB="0" distL="0" distR="0" wp14:anchorId="5DB03F70" wp14:editId="4D7EA585">
            <wp:extent cx="4572000" cy="27432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5109" w:rsidRDefault="009F5109" w:rsidP="001B11F2">
      <w:pPr>
        <w:pStyle w:val="Heading1"/>
      </w:pPr>
      <w:r>
        <w:t xml:space="preserve">Discussion </w:t>
      </w:r>
      <w:r w:rsidR="004F0765">
        <w:t>and considerations for UK climate policy</w:t>
      </w:r>
    </w:p>
    <w:p w:rsidR="00DE116E" w:rsidRPr="006D666E" w:rsidRDefault="006D666E" w:rsidP="006D666E">
      <w:r>
        <w:t xml:space="preserve">Based on the scenarios described, where UK climate mitigation policies are played out in a world with strong and weaker climate action, this section discusses the </w:t>
      </w:r>
      <w:r w:rsidR="0081228F">
        <w:t>significance</w:t>
      </w:r>
      <w:r>
        <w:t xml:space="preserve"> of the UK’s 80% reduction on UK </w:t>
      </w:r>
      <w:r w:rsidR="00E003F6">
        <w:t>territorial</w:t>
      </w:r>
      <w:r>
        <w:t xml:space="preserve"> emissions compared to its </w:t>
      </w:r>
      <w:r w:rsidR="00F5209A">
        <w:t>consumption</w:t>
      </w:r>
      <w:r>
        <w:t xml:space="preserve"> emissions. Already implicit is the success of the UK to achieve the targets set under the Climate Change Act by means described in the UK carbon Plan and supported by the CCC (</w:t>
      </w:r>
      <w:r w:rsidR="00ED0539">
        <w:t>2012</w:t>
      </w:r>
      <w:r>
        <w:t xml:space="preserve">). </w:t>
      </w:r>
      <w:r w:rsidR="00F5209A">
        <w:t>This in itself has been the subje</w:t>
      </w:r>
      <w:r w:rsidR="00A4792A">
        <w:t>ct of many emissions scenarios and debate</w:t>
      </w:r>
      <w:r w:rsidR="00F5209A">
        <w:t>.</w:t>
      </w:r>
    </w:p>
    <w:p w:rsidR="0079665E" w:rsidRDefault="00DE116E" w:rsidP="001B11F2">
      <w:pPr>
        <w:pStyle w:val="Heading2"/>
      </w:pPr>
      <w:r>
        <w:t>The UK’s offshore account</w:t>
      </w:r>
    </w:p>
    <w:p w:rsidR="00817C81" w:rsidRDefault="008A3944" w:rsidP="008A3944">
      <w:r>
        <w:t>It is clear from the results than even if a global deal is made to reduce emissions to levels that limit global warming to no more than two degrees, imported emissions matter to the UK’s carbon footprint. Under this scenario, UK consumption emissions would be</w:t>
      </w:r>
      <w:r w:rsidR="007C2FDA">
        <w:t xml:space="preserve"> almost</w:t>
      </w:r>
      <w:r>
        <w:t xml:space="preserve"> twice i</w:t>
      </w:r>
      <w:r w:rsidR="007C2FDA">
        <w:t>ts production emissions in 2050 and imports would account for more than a 70% share. However without a global deal, if countries reduced emissions in accordance with current pledges</w:t>
      </w:r>
      <w:r w:rsidR="00450298">
        <w:t>,</w:t>
      </w:r>
      <w:r w:rsidR="007C2FDA">
        <w:t xml:space="preserve"> the UK’s carbon footprint would end up more than twice as high and assuming the same pattern of trade the imported share would be nearly as </w:t>
      </w:r>
      <w:r w:rsidR="00450298">
        <w:t>much</w:t>
      </w:r>
      <w:r w:rsidR="007C2FDA">
        <w:t xml:space="preserve"> as 90%. If the UK </w:t>
      </w:r>
      <w:r w:rsidR="00450298">
        <w:t xml:space="preserve">is not able to meet its reduction target </w:t>
      </w:r>
      <w:r w:rsidR="007C2FDA">
        <w:t xml:space="preserve">this would also have the </w:t>
      </w:r>
      <w:r w:rsidR="00450298">
        <w:t>e</w:t>
      </w:r>
      <w:r w:rsidR="007C2FDA">
        <w:t xml:space="preserve">ffect of increasing </w:t>
      </w:r>
      <w:r w:rsidR="00450298">
        <w:t>its</w:t>
      </w:r>
      <w:r w:rsidR="007C2FDA">
        <w:t xml:space="preserve"> footprint, </w:t>
      </w:r>
      <w:r w:rsidR="00450298">
        <w:t>yet with upward trends in trade and imported emissions already accounting for nearly half the emissions, neglecting these is by no means insignificant.</w:t>
      </w:r>
    </w:p>
    <w:p w:rsidR="00913576" w:rsidRDefault="00817C81" w:rsidP="008A3944">
      <w:r>
        <w:t xml:space="preserve">The question then becomes both a political and </w:t>
      </w:r>
      <w:r w:rsidR="00E30D19">
        <w:t xml:space="preserve">technical </w:t>
      </w:r>
      <w:r>
        <w:t xml:space="preserve">feasibility one. Firstly, under current convention can a global deal be reached where countries are required to reduce their territorial emissions, and secondly are the rates of reduction (a) technically feasible and (b) technically feasible with territorial emissions as the main policy driver? </w:t>
      </w:r>
      <w:r w:rsidR="00AC68AA">
        <w:t xml:space="preserve">Attributing the global budget to countries based on a consumption basis </w:t>
      </w:r>
      <w:r w:rsidR="00AC68AA" w:rsidRPr="00CF0975">
        <w:t>may be a mechanism for involving industrialising countries in reduction targets.</w:t>
      </w:r>
      <w:r w:rsidR="00AC68AA">
        <w:t xml:space="preserve"> Yet i</w:t>
      </w:r>
      <w:r>
        <w:t xml:space="preserve">f the former is agreed then there is no reason why </w:t>
      </w:r>
      <w:r w:rsidR="00913576">
        <w:t>the UK needs to reduce its imported emissions as these will be covered under the convention</w:t>
      </w:r>
      <w:r>
        <w:t>.</w:t>
      </w:r>
      <w:r w:rsidR="00913576">
        <w:t xml:space="preserve"> </w:t>
      </w:r>
      <w:r w:rsidR="00AC68AA">
        <w:t>However</w:t>
      </w:r>
      <w:r w:rsidR="00913576">
        <w:t xml:space="preserve"> if international efforts fall short of ambition the implications for global emissions and the UK’s footprint are stark. Therefore consumption accounts should be required as a measure of progress. </w:t>
      </w:r>
    </w:p>
    <w:p w:rsidR="003A56FD" w:rsidRDefault="003A56FD" w:rsidP="008A3944">
      <w:r>
        <w:lastRenderedPageBreak/>
        <w:t>The CCC and IEA scenarios are heavily reliant on decarbonisation and technology solutions. The IEA suggests global carbon intensities need to reduce by 4% a year to 2050</w:t>
      </w:r>
      <w:r w:rsidR="003D6AC5">
        <w:t xml:space="preserve">, </w:t>
      </w:r>
      <w:r w:rsidR="00F37840">
        <w:t xml:space="preserve">rates </w:t>
      </w:r>
      <w:r w:rsidR="003D6AC5">
        <w:t xml:space="preserve">unprecedented in history. This is </w:t>
      </w:r>
      <w:r w:rsidR="00BF2DD9">
        <w:t xml:space="preserve">greater than three times </w:t>
      </w:r>
      <w:r w:rsidR="003D6AC5">
        <w:t xml:space="preserve">the current global average of </w:t>
      </w:r>
      <w:r w:rsidR="00BF2DD9">
        <w:t>1.2% a year from 1990 to 2011</w:t>
      </w:r>
      <w:r w:rsidR="00BF2DD9">
        <w:rPr>
          <w:rStyle w:val="FootnoteReference"/>
        </w:rPr>
        <w:footnoteReference w:id="4"/>
      </w:r>
      <w:r w:rsidR="001C77EF">
        <w:t xml:space="preserve"> </w:t>
      </w:r>
      <w:r w:rsidR="00BF2DD9">
        <w:t>(</w:t>
      </w:r>
      <w:r w:rsidR="001C77EF">
        <w:t xml:space="preserve">IEA, </w:t>
      </w:r>
      <w:r w:rsidR="00936DE9">
        <w:t>2012</w:t>
      </w:r>
      <w:r w:rsidR="001C77EF">
        <w:t xml:space="preserve">). On average, carbon intensity improvements have been greatest in emerging economies over this time period, improving at 2.8% per year since 1990. </w:t>
      </w:r>
      <w:r w:rsidR="003D6AC5">
        <w:t xml:space="preserve">Even if strong decarbonisation has occurred it </w:t>
      </w:r>
      <w:r w:rsidR="00AF6488">
        <w:t>has</w:t>
      </w:r>
      <w:r w:rsidR="003D6AC5">
        <w:t xml:space="preserve"> not been sustained. For example the UK achieved its greatest reduction in the carbon intensity of its energy supply in the 1990s with the privatisation of the electricity sector and the consequent switch from coal to gas, which has a relatively lower carbon output. Additionally its carbon intensive manufacturing base has declined, matched by increasing imports from more carbon intensive economies</w:t>
      </w:r>
      <w:r w:rsidR="001C77EF">
        <w:t xml:space="preserve">, leading to a reduction in CO2 relative to its GDP. </w:t>
      </w:r>
    </w:p>
    <w:p w:rsidR="004C0BB9" w:rsidRDefault="0081228F" w:rsidP="009D3402">
      <w:r>
        <w:t>Additionally, a</w:t>
      </w:r>
      <w:r w:rsidR="00E30D19">
        <w:t xml:space="preserve"> UK service economy is not necessarily a low carbon one as service sectors are significant drivers of manufacturing</w:t>
      </w:r>
      <w:r w:rsidR="00936DE9">
        <w:t xml:space="preserve"> activities abroad (Scott and Barrett, 2013</w:t>
      </w:r>
      <w:r>
        <w:t xml:space="preserve"> and </w:t>
      </w:r>
      <w:proofErr w:type="spellStart"/>
      <w:r>
        <w:t>Suh</w:t>
      </w:r>
      <w:proofErr w:type="spellEnd"/>
      <w:r>
        <w:t>, 2006</w:t>
      </w:r>
      <w:r w:rsidR="00E30D19">
        <w:t>).</w:t>
      </w:r>
      <w:r w:rsidR="00E30D19" w:rsidRPr="00E30D19">
        <w:t xml:space="preserve"> </w:t>
      </w:r>
      <w:r w:rsidR="00E30D19">
        <w:t xml:space="preserve">With the UK’s shift to a service-based economy it is likely to remain to be a net importer of emissions, relying on manufacturing activities </w:t>
      </w:r>
      <w:r w:rsidR="00A77151">
        <w:t>overseas</w:t>
      </w:r>
      <w:r w:rsidR="00E30D19">
        <w:t xml:space="preserve">. </w:t>
      </w:r>
      <w:r w:rsidR="00AF6488">
        <w:t xml:space="preserve">Increased trade means increased transportation and increased emissions. Limited decarbonisation options in the transport sector means transport overtakes energy becoming the highest emitting sector. </w:t>
      </w:r>
      <w:r w:rsidR="00E30D19">
        <w:t xml:space="preserve">Whilst some </w:t>
      </w:r>
      <w:r w:rsidR="00D02DE5">
        <w:t xml:space="preserve">traded and transport emissions </w:t>
      </w:r>
      <w:r w:rsidR="00E30D19">
        <w:t>are captured within the EU ETS the majority of emissions fall outside the EU’s control as trade with emerging economies like China and India rise</w:t>
      </w:r>
      <w:r w:rsidR="00D02DE5">
        <w:t>, and the inclusion of emissions from international transportation remains a contentious issue</w:t>
      </w:r>
      <w:r w:rsidR="00E30D19">
        <w:t>.</w:t>
      </w:r>
    </w:p>
    <w:p w:rsidR="0081228F" w:rsidRDefault="0081228F" w:rsidP="0081228F">
      <w:pPr>
        <w:pStyle w:val="Heading2"/>
      </w:pPr>
      <w:r>
        <w:t>A foundation for consumption-based emission accounting</w:t>
      </w:r>
    </w:p>
    <w:p w:rsidR="0081228F" w:rsidRDefault="0081228F" w:rsidP="0081228F">
      <w:r>
        <w:t xml:space="preserve">The UNFCCC has defined the accounting framework for emissions on a territorial basis. This however can lead to a biased view by hiding emissions generated in production activities abroad for imported products. Consumption-based emission accounting differs by its geographical allocation by attributing emissions to the consumer, not the producer. At the national level multi-region input-output analysis is regarded as an appropriate tool for consumption-based accounting. Production emissions are reallocated through economic trade flows to the final consumer. It is supported by an increasing research community committed to developing and updating multi-regional input-output databases. </w:t>
      </w:r>
    </w:p>
    <w:p w:rsidR="0081228F" w:rsidRDefault="0081228F" w:rsidP="0081228F">
      <w:r>
        <w:t xml:space="preserve">In 2011 Defra (UK Department for Environment, Food and Rural Affairs) commissioned the University of Leeds to provide annual consumption-based accounts. They have since been supported by the Energy and Climate Select Committee who have requested that DECC (UK Department for Energy and Climate Change) consider it when devising climate policy (House of Commons Energy and Climate Change Committee, 2013). The uncertainty of estimates has been questioned (CCC, 2013) however arguably presents an excuse for inaction. Continuously the government bases climate policy comparing the future costs of climate change with the monetary value of the future benefits, a cost-benefit analysis (Ackerman, 2008). An obvious example is the widely publicised Stern Review on the Economics of Climate Change (Stern, 2007). In simple terms the cost of emission abatement technologies need to be offset by the cost of their benefits to human life and ecosystems, fundamentally non-monetary values. In this sense governments are pricing the priceless, clearly with </w:t>
      </w:r>
      <w:r>
        <w:lastRenderedPageBreak/>
        <w:t xml:space="preserve">a huge dose of uncertainty about the damages of climate change, and trading them against each other. </w:t>
      </w:r>
    </w:p>
    <w:p w:rsidR="0081228F" w:rsidRDefault="0081228F" w:rsidP="0081228F">
      <w:pPr>
        <w:rPr>
          <w:noProof/>
          <w:lang w:eastAsia="en-GB"/>
        </w:rPr>
      </w:pPr>
      <w:r>
        <w:t xml:space="preserve">However, with concern to consumption-based accounts, </w:t>
      </w:r>
      <w:r>
        <w:rPr>
          <w:noProof/>
          <w:lang w:eastAsia="en-GB"/>
        </w:rPr>
        <w:t xml:space="preserve">Peters et al. (2012) found that consumption-based emissions accounts are broadly consistent despite some differences in the model compilation, and that the difference didn’t necessarily translate into uncertainity but were a result of several data sources and definitions of consumption (see </w:t>
      </w:r>
      <w:r>
        <w:rPr>
          <w:noProof/>
          <w:lang w:eastAsia="en-GB"/>
        </w:rPr>
        <w:fldChar w:fldCharType="begin"/>
      </w:r>
      <w:r>
        <w:rPr>
          <w:noProof/>
          <w:lang w:eastAsia="en-GB"/>
        </w:rPr>
        <w:instrText xml:space="preserve"> REF _Ref387395710 \h </w:instrText>
      </w:r>
      <w:r>
        <w:rPr>
          <w:noProof/>
          <w:lang w:eastAsia="en-GB"/>
        </w:rPr>
      </w:r>
      <w:r>
        <w:rPr>
          <w:noProof/>
          <w:lang w:eastAsia="en-GB"/>
        </w:rPr>
        <w:fldChar w:fldCharType="separate"/>
      </w:r>
      <w:r>
        <w:t xml:space="preserve">Table </w:t>
      </w:r>
      <w:r>
        <w:rPr>
          <w:noProof/>
        </w:rPr>
        <w:t>1</w:t>
      </w:r>
      <w:r>
        <w:rPr>
          <w:noProof/>
          <w:lang w:eastAsia="en-GB"/>
        </w:rPr>
        <w:fldChar w:fldCharType="end"/>
      </w:r>
      <w:r>
        <w:rPr>
          <w:noProof/>
          <w:lang w:eastAsia="en-GB"/>
        </w:rPr>
        <w:t xml:space="preserve">). Variation in the territrial emissions accounts, and the attribution of these emissions to countries and sectors, was found to be much larger than the variation in economc and trade input data. Transport and energy intensive sectors exhibit the most variation in results along with small trade dependant countries and countries with poor data quality. When calculting consumption-based estimates differences in the territorial emissions will propgate through the model explaining the most significant variation in consumption-based emission accounts.  </w:t>
      </w:r>
      <w:r>
        <w:t xml:space="preserve">Therefore, the relative uncertainty is less for consumption accounts. </w:t>
      </w:r>
    </w:p>
    <w:p w:rsidR="0081228F" w:rsidRDefault="0081228F" w:rsidP="0081228F">
      <w:pPr>
        <w:pStyle w:val="Caption"/>
      </w:pPr>
      <w:bookmarkStart w:id="6" w:name="_Ref387395710"/>
      <w:r>
        <w:t xml:space="preserve">Table </w:t>
      </w:r>
      <w:fldSimple w:instr=" SEQ Table \* ARABIC ">
        <w:r>
          <w:rPr>
            <w:noProof/>
          </w:rPr>
          <w:t>2</w:t>
        </w:r>
      </w:fldSimple>
      <w:bookmarkEnd w:id="6"/>
      <w:r>
        <w:t>: Average percentage variation between consumption-based emission accounts</w:t>
      </w:r>
    </w:p>
    <w:tbl>
      <w:tblPr>
        <w:tblStyle w:val="LightShading"/>
        <w:tblW w:w="0" w:type="auto"/>
        <w:tblLook w:val="04A0" w:firstRow="1" w:lastRow="0" w:firstColumn="1" w:lastColumn="0" w:noHBand="0" w:noVBand="1"/>
      </w:tblPr>
      <w:tblGrid>
        <w:gridCol w:w="4621"/>
        <w:gridCol w:w="4621"/>
      </w:tblGrid>
      <w:tr w:rsidR="0081228F" w:rsidTr="004B4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1228F" w:rsidRDefault="0081228F" w:rsidP="004B4F2A">
            <w:r>
              <w:t>Input data/ assumptions</w:t>
            </w:r>
          </w:p>
        </w:tc>
        <w:tc>
          <w:tcPr>
            <w:tcW w:w="4621" w:type="dxa"/>
          </w:tcPr>
          <w:p w:rsidR="0081228F" w:rsidRDefault="0081228F" w:rsidP="004B4F2A">
            <w:pPr>
              <w:cnfStyle w:val="100000000000" w:firstRow="1" w:lastRow="0" w:firstColumn="0" w:lastColumn="0" w:oddVBand="0" w:evenVBand="0" w:oddHBand="0" w:evenHBand="0" w:firstRowFirstColumn="0" w:firstRowLastColumn="0" w:lastRowFirstColumn="0" w:lastRowLastColumn="0"/>
            </w:pPr>
            <w:r>
              <w:t xml:space="preserve">Average percentage variation </w:t>
            </w:r>
          </w:p>
        </w:tc>
      </w:tr>
      <w:tr w:rsidR="0081228F" w:rsidTr="004B4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1228F" w:rsidRPr="004C0BB9" w:rsidRDefault="0081228F" w:rsidP="004B4F2A">
            <w:pPr>
              <w:rPr>
                <w:b w:val="0"/>
              </w:rPr>
            </w:pPr>
            <w:r w:rsidRPr="004C0BB9">
              <w:rPr>
                <w:b w:val="0"/>
              </w:rPr>
              <w:t>Territorial emission accounting source</w:t>
            </w:r>
          </w:p>
        </w:tc>
        <w:tc>
          <w:tcPr>
            <w:tcW w:w="4621" w:type="dxa"/>
          </w:tcPr>
          <w:p w:rsidR="0081228F" w:rsidRDefault="0081228F" w:rsidP="004B4F2A">
            <w:pPr>
              <w:cnfStyle w:val="000000100000" w:firstRow="0" w:lastRow="0" w:firstColumn="0" w:lastColumn="0" w:oddVBand="0" w:evenVBand="0" w:oddHBand="1" w:evenHBand="0" w:firstRowFirstColumn="0" w:firstRowLastColumn="0" w:lastRowFirstColumn="0" w:lastRowLastColumn="0"/>
            </w:pPr>
            <w:r>
              <w:rPr>
                <w:noProof/>
                <w:lang w:eastAsia="en-GB"/>
              </w:rPr>
              <w:t>30% (between countries)</w:t>
            </w:r>
          </w:p>
        </w:tc>
      </w:tr>
      <w:tr w:rsidR="0081228F" w:rsidTr="004B4F2A">
        <w:tc>
          <w:tcPr>
            <w:cnfStyle w:val="001000000000" w:firstRow="0" w:lastRow="0" w:firstColumn="1" w:lastColumn="0" w:oddVBand="0" w:evenVBand="0" w:oddHBand="0" w:evenHBand="0" w:firstRowFirstColumn="0" w:firstRowLastColumn="0" w:lastRowFirstColumn="0" w:lastRowLastColumn="0"/>
            <w:tcW w:w="4621" w:type="dxa"/>
          </w:tcPr>
          <w:p w:rsidR="0081228F" w:rsidRPr="004C0BB9" w:rsidRDefault="0081228F" w:rsidP="004B4F2A">
            <w:pPr>
              <w:rPr>
                <w:b w:val="0"/>
              </w:rPr>
            </w:pPr>
            <w:r w:rsidRPr="004C0BB9">
              <w:rPr>
                <w:b w:val="0"/>
              </w:rPr>
              <w:t>Definition of consumption</w:t>
            </w:r>
          </w:p>
        </w:tc>
        <w:tc>
          <w:tcPr>
            <w:tcW w:w="4621" w:type="dxa"/>
          </w:tcPr>
          <w:p w:rsidR="0081228F" w:rsidRDefault="0081228F" w:rsidP="004B4F2A">
            <w:pPr>
              <w:cnfStyle w:val="000000000000" w:firstRow="0" w:lastRow="0" w:firstColumn="0" w:lastColumn="0" w:oddVBand="0" w:evenVBand="0" w:oddHBand="0" w:evenHBand="0" w:firstRowFirstColumn="0" w:firstRowLastColumn="0" w:lastRowFirstColumn="0" w:lastRowLastColumn="0"/>
            </w:pPr>
            <w:r>
              <w:t>21%</w:t>
            </w:r>
          </w:p>
        </w:tc>
      </w:tr>
      <w:tr w:rsidR="0081228F" w:rsidTr="004B4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1228F" w:rsidRPr="004C0BB9" w:rsidRDefault="0081228F" w:rsidP="004B4F2A">
            <w:pPr>
              <w:rPr>
                <w:b w:val="0"/>
              </w:rPr>
            </w:pPr>
            <w:r w:rsidRPr="004C0BB9">
              <w:rPr>
                <w:b w:val="0"/>
              </w:rPr>
              <w:t>Economic and trade input data</w:t>
            </w:r>
          </w:p>
        </w:tc>
        <w:tc>
          <w:tcPr>
            <w:tcW w:w="4621" w:type="dxa"/>
          </w:tcPr>
          <w:p w:rsidR="0081228F" w:rsidRDefault="0081228F" w:rsidP="004B4F2A">
            <w:pPr>
              <w:cnfStyle w:val="000000100000" w:firstRow="0" w:lastRow="0" w:firstColumn="0" w:lastColumn="0" w:oddVBand="0" w:evenVBand="0" w:oddHBand="1" w:evenHBand="0" w:firstRowFirstColumn="0" w:firstRowLastColumn="0" w:lastRowFirstColumn="0" w:lastRowLastColumn="0"/>
            </w:pPr>
            <w:r>
              <w:t>5%</w:t>
            </w:r>
          </w:p>
        </w:tc>
      </w:tr>
    </w:tbl>
    <w:p w:rsidR="0081228F" w:rsidRDefault="0081228F" w:rsidP="009D3402"/>
    <w:p w:rsidR="00DE116E" w:rsidRDefault="00DE116E" w:rsidP="00DE116E">
      <w:pPr>
        <w:pStyle w:val="Heading2"/>
      </w:pPr>
      <w:r>
        <w:t>Meeting carbon budgets</w:t>
      </w:r>
    </w:p>
    <w:p w:rsidR="00C863CE" w:rsidRDefault="00B370A1" w:rsidP="00B370A1">
      <w:r>
        <w:t xml:space="preserve">When referring to the UK’s 80% emission reduction target, the target is still defined </w:t>
      </w:r>
      <w:r w:rsidR="00C168C5">
        <w:t>by</w:t>
      </w:r>
      <w:r>
        <w:t xml:space="preserve"> an end-point basis as opposed to a cumulative budget, even though the science of climate change is clear on the cumulative impact of emissions (Anderson and Bows, 2011). Global temperature rises are approximately proportional to an increase in cumulative emissions, but not end-point targets where emission pathways to reach a 2050 reduction target can differ (</w:t>
      </w:r>
      <w:proofErr w:type="spellStart"/>
      <w:r>
        <w:t>Gillet</w:t>
      </w:r>
      <w:proofErr w:type="spellEnd"/>
      <w:r>
        <w:t xml:space="preserve"> et al., 2013). Whilst the UK carbon budgets</w:t>
      </w:r>
      <w:r w:rsidR="007F757F">
        <w:t xml:space="preserve"> are only on five year timescales and</w:t>
      </w:r>
      <w:r>
        <w:t xml:space="preserve"> </w:t>
      </w:r>
      <w:r w:rsidR="007F757F">
        <w:t>not</w:t>
      </w:r>
      <w:r>
        <w:t xml:space="preserve"> directly related to a corresponding cumulative budget, they do ensure the UK is on a downward trajectory to meet its 80% target and therefore mitigation efforts cannot be delayed. Carbon budgets </w:t>
      </w:r>
      <w:r w:rsidR="00C863CE">
        <w:t>determine a ceiling on cumulative emissions over five year periods and have been set up to 2027.</w:t>
      </w:r>
    </w:p>
    <w:p w:rsidR="000A556B" w:rsidRDefault="000A556B" w:rsidP="00B370A1">
      <w:r>
        <w:t xml:space="preserve">By extrapolating the </w:t>
      </w:r>
      <w:r w:rsidR="00C168C5">
        <w:t>emission results</w:t>
      </w:r>
      <w:r>
        <w:t xml:space="preserve"> between the five year periods, cumulative emissions for the different consumption-based scenarios are calculated and compared to </w:t>
      </w:r>
      <w:r w:rsidR="00C168C5">
        <w:t xml:space="preserve">the </w:t>
      </w:r>
      <w:r>
        <w:t>UK carbon budgets (</w:t>
      </w:r>
      <w:r>
        <w:fldChar w:fldCharType="begin"/>
      </w:r>
      <w:r>
        <w:instrText xml:space="preserve"> REF _Ref387408532 \h </w:instrText>
      </w:r>
      <w:r>
        <w:fldChar w:fldCharType="separate"/>
      </w:r>
      <w:r>
        <w:t xml:space="preserve">Figure </w:t>
      </w:r>
      <w:r>
        <w:rPr>
          <w:noProof/>
        </w:rPr>
        <w:t>2</w:t>
      </w:r>
      <w:r>
        <w:fldChar w:fldCharType="end"/>
      </w:r>
      <w:r>
        <w:t xml:space="preserve">). </w:t>
      </w:r>
      <w:r w:rsidR="00F278B4">
        <w:t xml:space="preserve">Whilst domestically the carbon budgets will be </w:t>
      </w:r>
      <w:r w:rsidR="00E36F75">
        <w:t>surpassed</w:t>
      </w:r>
      <w:r w:rsidR="00F278B4">
        <w:t xml:space="preserve">, even if global mitigation efforts are aligned with limiting warming to two degrees, </w:t>
      </w:r>
      <w:r w:rsidR="00A406A2">
        <w:t xml:space="preserve">the emissions more than double those produced domestically. The level of carbon budgets in 2023 to 2027 fall a third short of UK consumer driven emissions. </w:t>
      </w:r>
      <w:r w:rsidR="00E36F75">
        <w:t xml:space="preserve">From this perspective, that the UK is responsible for increased emissions in countries that have contributed less to cumulative global emissions and have less capacity to mitigate, the level of budgets is arguably too low. </w:t>
      </w:r>
    </w:p>
    <w:p w:rsidR="00E254E4" w:rsidRPr="00B370A1" w:rsidRDefault="00E254E4" w:rsidP="00E254E4">
      <w:pPr>
        <w:pStyle w:val="Caption"/>
        <w:keepNext/>
        <w:keepLines/>
      </w:pPr>
      <w:bookmarkStart w:id="7" w:name="_Ref387408532"/>
      <w:r>
        <w:lastRenderedPageBreak/>
        <w:t xml:space="preserve">Figure </w:t>
      </w:r>
      <w:r w:rsidR="009079E1">
        <w:fldChar w:fldCharType="begin"/>
      </w:r>
      <w:r w:rsidR="009079E1">
        <w:instrText xml:space="preserve"> SEQ Figure \* ARABIC </w:instrText>
      </w:r>
      <w:r w:rsidR="009079E1">
        <w:fldChar w:fldCharType="separate"/>
      </w:r>
      <w:r w:rsidR="003A25DF">
        <w:rPr>
          <w:noProof/>
        </w:rPr>
        <w:t>5</w:t>
      </w:r>
      <w:r w:rsidR="009079E1">
        <w:rPr>
          <w:noProof/>
        </w:rPr>
        <w:fldChar w:fldCharType="end"/>
      </w:r>
      <w:bookmarkEnd w:id="7"/>
      <w:r>
        <w:t xml:space="preserve">: Cumulative UK consumption-based emissions aligned with defined carbon budgets    </w:t>
      </w:r>
    </w:p>
    <w:p w:rsidR="00E254E4" w:rsidRDefault="00E254E4" w:rsidP="00B370A1">
      <w:r>
        <w:rPr>
          <w:noProof/>
          <w:lang w:eastAsia="en-GB"/>
        </w:rPr>
        <w:drawing>
          <wp:inline distT="0" distB="0" distL="0" distR="0" wp14:anchorId="045A9E18" wp14:editId="236FB5B8">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1C67" w:rsidRDefault="007F757F" w:rsidP="00B370A1">
      <w:r>
        <w:t>Additionally, c</w:t>
      </w:r>
      <w:r w:rsidR="00E01C67">
        <w:t xml:space="preserve">umulative emissions </w:t>
      </w:r>
      <w:r>
        <w:t>(</w:t>
      </w:r>
      <w:r>
        <w:fldChar w:fldCharType="begin"/>
      </w:r>
      <w:r>
        <w:instrText xml:space="preserve"> REF _Ref387418342 \h </w:instrText>
      </w:r>
      <w:r>
        <w:fldChar w:fldCharType="separate"/>
      </w:r>
      <w:r>
        <w:t xml:space="preserve">Figure </w:t>
      </w:r>
      <w:r>
        <w:rPr>
          <w:noProof/>
        </w:rPr>
        <w:t>3</w:t>
      </w:r>
      <w:r>
        <w:fldChar w:fldCharType="end"/>
      </w:r>
      <w:r>
        <w:t xml:space="preserve">) </w:t>
      </w:r>
      <w:r w:rsidR="00E01C67">
        <w:t>expose progress to be weaker than shown from an end-point target basis</w:t>
      </w:r>
      <w:r w:rsidR="001E7C3F">
        <w:t xml:space="preserve"> and shift </w:t>
      </w:r>
      <w:r>
        <w:t>some</w:t>
      </w:r>
      <w:r w:rsidR="001E7C3F">
        <w:t xml:space="preserve"> emphasis back towards domestic emissions</w:t>
      </w:r>
      <w:r w:rsidR="00E01C67">
        <w:t xml:space="preserve">. </w:t>
      </w:r>
      <w:r w:rsidR="00A103F7">
        <w:t xml:space="preserve">According to progress towards the 80% target, 54% of emissions will be saved if a global deal is reached </w:t>
      </w:r>
      <w:r w:rsidR="00485471">
        <w:t>compared to current reduction pledges</w:t>
      </w:r>
      <w:r w:rsidR="00A103F7">
        <w:t xml:space="preserve">. </w:t>
      </w:r>
      <w:r w:rsidR="00485471">
        <w:t xml:space="preserve">Domestic emissions would represent a 28% share. </w:t>
      </w:r>
      <w:r>
        <w:t>From a cumulative basis</w:t>
      </w:r>
      <w:r w:rsidR="00A103F7">
        <w:t xml:space="preserve"> savings are only 18%</w:t>
      </w:r>
      <w:r w:rsidR="00485471">
        <w:t>, and</w:t>
      </w:r>
      <w:r w:rsidRPr="007F757F">
        <w:t xml:space="preserve"> </w:t>
      </w:r>
      <w:r>
        <w:t>progress in the UK is less favourable with</w:t>
      </w:r>
      <w:r w:rsidR="00485471">
        <w:t xml:space="preserve"> domestic emissions </w:t>
      </w:r>
      <w:r>
        <w:t xml:space="preserve">making up a </w:t>
      </w:r>
      <w:r w:rsidR="00485471">
        <w:t>50%</w:t>
      </w:r>
      <w:r>
        <w:t xml:space="preserve"> share</w:t>
      </w:r>
      <w:r w:rsidR="00485471">
        <w:t>.</w:t>
      </w:r>
      <w:r>
        <w:t xml:space="preserve"> An 80% end-point reduction does not translate to an equivalent reduction in cumulative terms.</w:t>
      </w:r>
    </w:p>
    <w:p w:rsidR="00E254E4" w:rsidRDefault="007F757F" w:rsidP="007F757F">
      <w:pPr>
        <w:pStyle w:val="Caption"/>
      </w:pPr>
      <w:bookmarkStart w:id="8" w:name="_Ref387418342"/>
      <w:r>
        <w:t xml:space="preserve">Figure </w:t>
      </w:r>
      <w:r w:rsidR="009079E1">
        <w:fldChar w:fldCharType="begin"/>
      </w:r>
      <w:r w:rsidR="009079E1">
        <w:instrText xml:space="preserve"> SEQ Figure \* ARABIC </w:instrText>
      </w:r>
      <w:r w:rsidR="009079E1">
        <w:fldChar w:fldCharType="separate"/>
      </w:r>
      <w:r w:rsidR="003A25DF">
        <w:rPr>
          <w:noProof/>
        </w:rPr>
        <w:t>6</w:t>
      </w:r>
      <w:r w:rsidR="009079E1">
        <w:rPr>
          <w:noProof/>
        </w:rPr>
        <w:fldChar w:fldCharType="end"/>
      </w:r>
      <w:bookmarkEnd w:id="8"/>
      <w:r>
        <w:t>: UK consumption emissions from 2010 to 2050 from a cumulative basis</w:t>
      </w:r>
    </w:p>
    <w:p w:rsidR="001E7C3F" w:rsidRDefault="001E7C3F" w:rsidP="00E254E4">
      <w:r>
        <w:rPr>
          <w:noProof/>
          <w:lang w:eastAsia="en-GB"/>
        </w:rPr>
        <w:drawing>
          <wp:inline distT="0" distB="0" distL="0" distR="0" wp14:anchorId="4F847061" wp14:editId="26D81CF8">
            <wp:extent cx="569595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665E" w:rsidRDefault="002A4C1D" w:rsidP="001B11F2">
      <w:pPr>
        <w:pStyle w:val="Heading2"/>
      </w:pPr>
      <w:r>
        <w:t xml:space="preserve">Increasing mitigation opportunities </w:t>
      </w:r>
    </w:p>
    <w:p w:rsidR="00F07176" w:rsidRDefault="00F07176" w:rsidP="00F07176">
      <w:r>
        <w:t xml:space="preserve">Demand levels in the UK are ultimately what drive the UK’s global carbon footprint, offsetting carbon reductions from improved efficiency. </w:t>
      </w:r>
      <w:r w:rsidR="00C57802">
        <w:t xml:space="preserve">However, production emissions are the main policy lever in UK and global mitigation policy. From a global perspective this makes sense as the scope for individual countries to implement emission reduction policies outside their political boundary is </w:t>
      </w:r>
      <w:r w:rsidR="00C57802">
        <w:lastRenderedPageBreak/>
        <w:t xml:space="preserve">limited. Yet within a country, consumption-based emissions provide a mechanism to </w:t>
      </w:r>
      <w:r w:rsidR="00F660DE">
        <w:t xml:space="preserve">increase the scope for emission reductions through </w:t>
      </w:r>
      <w:r w:rsidR="00C57802">
        <w:t>demand</w:t>
      </w:r>
      <w:r w:rsidR="00F660DE">
        <w:t>-side measures</w:t>
      </w:r>
      <w:r w:rsidR="00C57802">
        <w:t xml:space="preserve"> (</w:t>
      </w:r>
      <w:r w:rsidR="00DA19C9">
        <w:t>Scott and Barrett, 2013 and Barrett and Scott, 2012</w:t>
      </w:r>
      <w:r w:rsidR="00C57802">
        <w:t xml:space="preserve">). </w:t>
      </w:r>
      <w:r w:rsidR="005E54F7">
        <w:t xml:space="preserve"> </w:t>
      </w:r>
    </w:p>
    <w:p w:rsidR="00786E1D" w:rsidRDefault="00A60F30" w:rsidP="00F07176">
      <w:r>
        <w:t xml:space="preserve">UK production emissions are the direct emissions released by UK sectors to produce both products for domestic consumption and exports. </w:t>
      </w:r>
      <w:r w:rsidR="00BB5FAA">
        <w:t xml:space="preserve">This identifies the power sector, energy-intensive industries (e.g. petroleum, mineral and metal manufacturing sectors) and transport as the dominant source of emissions. </w:t>
      </w:r>
      <w:r>
        <w:t xml:space="preserve">UK consumption emissions </w:t>
      </w:r>
      <w:r w:rsidR="00D64379">
        <w:t>reveals</w:t>
      </w:r>
      <w:r w:rsidR="00BB5FAA">
        <w:t xml:space="preserve"> the role of </w:t>
      </w:r>
      <w:r w:rsidR="00D64379">
        <w:t>products</w:t>
      </w:r>
      <w:r w:rsidR="00BB5FAA">
        <w:t xml:space="preserve"> (Barrett et al., 2013),</w:t>
      </w:r>
      <w:r w:rsidR="00D64379">
        <w:t xml:space="preserve"> attributing the majority of emissions to the service sector (</w:t>
      </w:r>
      <w:r w:rsidR="0081228F">
        <w:t>Scott and Barrett, 2013</w:t>
      </w:r>
      <w:r w:rsidR="00D64379">
        <w:t>)</w:t>
      </w:r>
      <w:r w:rsidR="00BB5FAA">
        <w:t>.</w:t>
      </w:r>
      <w:r>
        <w:t xml:space="preserve"> </w:t>
      </w:r>
      <w:r w:rsidR="00BB5FAA">
        <w:t>Whilst service industries emit less carbon directly from their premises than heavy industries, they themselves are drivers of manufacturing activity as the provision of services is heavily reliant on manufactured products (</w:t>
      </w:r>
      <w:proofErr w:type="spellStart"/>
      <w:r w:rsidR="00BB5FAA" w:rsidRPr="00EC77BE">
        <w:t>Suh</w:t>
      </w:r>
      <w:proofErr w:type="spellEnd"/>
      <w:r w:rsidR="00BB5FAA" w:rsidRPr="00EC77BE">
        <w:t>, 2006</w:t>
      </w:r>
      <w:r w:rsidR="00BB5FAA">
        <w:t>). Products used by the UK service industry are not confined to nation</w:t>
      </w:r>
      <w:r w:rsidR="00D64379">
        <w:t xml:space="preserve">al production with </w:t>
      </w:r>
      <w:r w:rsidR="00BB5FAA">
        <w:t xml:space="preserve">more than 50% of </w:t>
      </w:r>
      <w:r w:rsidR="00D64379">
        <w:t>emissions originating</w:t>
      </w:r>
      <w:r w:rsidR="00BB5FAA" w:rsidRPr="002502EB">
        <w:t xml:space="preserve"> </w:t>
      </w:r>
      <w:r w:rsidR="00BB5FAA">
        <w:t>outside the UK, and largely outside the European Union (Barrett et al., 2011).</w:t>
      </w:r>
      <w:r w:rsidR="00786E1D">
        <w:t xml:space="preserve"> </w:t>
      </w:r>
    </w:p>
    <w:p w:rsidR="0041085A" w:rsidRDefault="00786E1D" w:rsidP="00910300">
      <w:r>
        <w:t xml:space="preserve">By </w:t>
      </w:r>
      <w:r w:rsidR="00A044A3">
        <w:t>changing</w:t>
      </w:r>
      <w:r>
        <w:t xml:space="preserve"> the focus of policy new opportunities for reduction strategies are introduced. </w:t>
      </w:r>
      <w:r w:rsidR="002064FC">
        <w:t>For example Barrett and Scott (201</w:t>
      </w:r>
      <w:r w:rsidR="00DD72D5">
        <w:t>2</w:t>
      </w:r>
      <w:r w:rsidR="002064FC">
        <w:t xml:space="preserve">) explore the potential for demand-side measures to reduce product throughput in the economy. Strategies such as </w:t>
      </w:r>
      <w:r w:rsidR="005D3DB1">
        <w:t>product lifetime exte</w:t>
      </w:r>
      <w:r w:rsidR="00DD72D5">
        <w:t>nsion, product-service systems and dietary changes</w:t>
      </w:r>
      <w:r w:rsidR="002064FC">
        <w:t xml:space="preserve"> can contribute to reduced material and product use contributing to emission reductions.</w:t>
      </w:r>
      <w:r w:rsidR="00D439E7">
        <w:t xml:space="preserve"> This exerts influence on emissions outside the UKs political boundary increasing the scope for reductions whilst not imposing its policies on other countries.  In the UK context </w:t>
      </w:r>
      <w:r w:rsidR="00DD72D5">
        <w:t xml:space="preserve">WRAP </w:t>
      </w:r>
      <w:r w:rsidR="00D439E7">
        <w:t xml:space="preserve">already </w:t>
      </w:r>
      <w:r w:rsidR="00DD72D5">
        <w:t xml:space="preserve">exists </w:t>
      </w:r>
      <w:r w:rsidR="00D439E7">
        <w:t xml:space="preserve">with a wide and increasing evidence base </w:t>
      </w:r>
      <w:r w:rsidR="00DD72D5">
        <w:t xml:space="preserve">to provide advice on opportunities for product </w:t>
      </w:r>
      <w:r w:rsidR="00D439E7">
        <w:t>policy</w:t>
      </w:r>
      <w:r w:rsidR="002064FC">
        <w:t xml:space="preserve">. </w:t>
      </w:r>
      <w:r w:rsidR="00A044A3">
        <w:t xml:space="preserve"> </w:t>
      </w:r>
      <w:r w:rsidR="00D64379">
        <w:t xml:space="preserve"> </w:t>
      </w:r>
    </w:p>
    <w:p w:rsidR="006A33F2" w:rsidRDefault="0079665E" w:rsidP="001B11F2">
      <w:pPr>
        <w:pStyle w:val="Heading1"/>
      </w:pPr>
      <w:r>
        <w:t>Conclusions</w:t>
      </w:r>
      <w:r w:rsidR="001B415C">
        <w:t xml:space="preserve"> </w:t>
      </w:r>
    </w:p>
    <w:p w:rsidR="00D6053E" w:rsidRPr="00036AB8" w:rsidRDefault="00AF6488" w:rsidP="00D6053E">
      <w:pPr>
        <w:rPr>
          <w:shd w:val="clear" w:color="auto" w:fill="FFFFFF"/>
        </w:rPr>
      </w:pPr>
      <w:r>
        <w:rPr>
          <w:shd w:val="clear" w:color="auto" w:fill="FFFFFF"/>
        </w:rPr>
        <w:t>Internationally, t</w:t>
      </w:r>
      <w:r w:rsidR="0081228F" w:rsidRPr="00036AB8">
        <w:rPr>
          <w:shd w:val="clear" w:color="auto" w:fill="FFFFFF"/>
        </w:rPr>
        <w:t>he UK has one if the highest net emission transfers questioning whether the current territorial approach to target setting is appropriate and whether enough policy effort is devoted to consumption measures</w:t>
      </w:r>
      <w:r w:rsidR="00036AB8" w:rsidRPr="00036AB8">
        <w:rPr>
          <w:shd w:val="clear" w:color="auto" w:fill="FFFFFF"/>
        </w:rPr>
        <w:t xml:space="preserve">. </w:t>
      </w:r>
      <w:r w:rsidR="00D6053E" w:rsidRPr="00036AB8">
        <w:t>If a global deal is reached whereby countries sign up to reducing emissions</w:t>
      </w:r>
      <w:r w:rsidR="00D6053E">
        <w:t xml:space="preserve"> within their territory, the UK’s 80% emission reduction target provides an appropriate mechanism for mitigation policy. However, this conventional approach warrants caution as it relies on strong international collaboration and immediate and unprecedented reductions in carbon intensities. In terms of reaching a global deal, consumption-based accounting could facilitate international agreement on</w:t>
      </w:r>
      <w:r w:rsidR="00A85EA0">
        <w:t xml:space="preserve"> the</w:t>
      </w:r>
      <w:r w:rsidR="00D6053E">
        <w:t xml:space="preserve"> grounds that it allocates emission reductions on a more equitable basis. </w:t>
      </w:r>
      <w:r w:rsidR="00036AB8">
        <w:t>Industrialised c</w:t>
      </w:r>
      <w:r w:rsidR="00D6053E">
        <w:t xml:space="preserve">ountries </w:t>
      </w:r>
      <w:r w:rsidR="00036AB8">
        <w:t>such as</w:t>
      </w:r>
      <w:r w:rsidR="00D6053E">
        <w:t xml:space="preserve"> the UK would be responsible for reducing a larger share of global emissions on the premise that </w:t>
      </w:r>
      <w:r w:rsidR="00A85EA0">
        <w:t>it is their high level</w:t>
      </w:r>
      <w:r w:rsidR="00D6053E">
        <w:t xml:space="preserve"> of demand driv</w:t>
      </w:r>
      <w:r w:rsidR="00A85EA0">
        <w:t>ing</w:t>
      </w:r>
      <w:r w:rsidR="00D6053E">
        <w:t xml:space="preserve"> </w:t>
      </w:r>
      <w:r w:rsidR="00A85EA0">
        <w:t xml:space="preserve">global </w:t>
      </w:r>
      <w:r w:rsidR="00D6053E">
        <w:t>production activities</w:t>
      </w:r>
      <w:r w:rsidR="00A85EA0">
        <w:t xml:space="preserve">. </w:t>
      </w:r>
    </w:p>
    <w:p w:rsidR="006D02D3" w:rsidRDefault="00020E61" w:rsidP="00D6053E">
      <w:r>
        <w:t xml:space="preserve">Whilst the UK is on track to meet its 80% target and exceed its first four carbon budgets, the same cannot be said when all the emissions released to satisfy its final demand are considered. The carbon budgets fall about a third short. </w:t>
      </w:r>
      <w:r w:rsidR="00ED6C35">
        <w:t>Moreover</w:t>
      </w:r>
      <w:r w:rsidR="00AF6488" w:rsidRPr="00AF6488">
        <w:t xml:space="preserve">, </w:t>
      </w:r>
      <w:r w:rsidR="008E5870">
        <w:t>the UK’s end-point 80% reduction target is not attached to a global carbon budget aligned with limiting temperature to two degrees, let alone a cumulative budget for the UK. The end-point nature of the target primarily needs to be reframed to a cumulative target aligned with a global budget</w:t>
      </w:r>
      <w:r w:rsidR="00D76830">
        <w:t xml:space="preserve"> as every tonne emitted is linearly correlated to temperature rise</w:t>
      </w:r>
      <w:r>
        <w:t xml:space="preserve">. </w:t>
      </w:r>
      <w:r w:rsidR="008E5870">
        <w:t>Under this approach</w:t>
      </w:r>
      <w:r w:rsidR="006D02D3">
        <w:t>, consumption-based reductions under strong mitigation are not much better than those if only current mitigation pledges globally were met</w:t>
      </w:r>
      <w:r w:rsidR="001F6E17">
        <w:t>, potentially overestimating success</w:t>
      </w:r>
      <w:r w:rsidR="006D02D3">
        <w:t xml:space="preserve">. </w:t>
      </w:r>
      <w:r w:rsidR="00D76830">
        <w:t xml:space="preserve">This would improve if mitigations options were implemented earlier, </w:t>
      </w:r>
      <w:r w:rsidR="00D76830">
        <w:lastRenderedPageBreak/>
        <w:t xml:space="preserve">reducing total emissions in the atmosphere. </w:t>
      </w:r>
      <w:r w:rsidR="006D02D3">
        <w:t xml:space="preserve">The share of domestic emissions rise, of which the UK has greater control, however, half the emissions remain outside UK territory.   </w:t>
      </w:r>
    </w:p>
    <w:p w:rsidR="00A85EA0" w:rsidRDefault="00A85EA0" w:rsidP="00A85EA0">
      <w:r>
        <w:t xml:space="preserve">Even if </w:t>
      </w:r>
      <w:r w:rsidR="00D76830">
        <w:t>consumption-based accounting</w:t>
      </w:r>
      <w:r>
        <w:t xml:space="preserve"> is deemed politically infeasible, at the national level </w:t>
      </w:r>
      <w:r w:rsidR="00D76830">
        <w:t xml:space="preserve">it </w:t>
      </w:r>
      <w:r>
        <w:t xml:space="preserve">provides a mechanism </w:t>
      </w:r>
      <w:r w:rsidR="00D363DF">
        <w:t xml:space="preserve">to benchmark progress against global efforts and to </w:t>
      </w:r>
      <w:r>
        <w:t xml:space="preserve">increase the scope of </w:t>
      </w:r>
      <w:r w:rsidR="00D363DF">
        <w:t xml:space="preserve">its </w:t>
      </w:r>
      <w:r>
        <w:t xml:space="preserve">emissions outside its political control. Used as a complementary tool for devising climate mitigation policy it increases the levers available to policy makers with the </w:t>
      </w:r>
      <w:r w:rsidR="00993506">
        <w:t xml:space="preserve">potential </w:t>
      </w:r>
      <w:r>
        <w:t xml:space="preserve">to provide </w:t>
      </w:r>
      <w:r w:rsidR="00993506">
        <w:t>shorter-term measures whilst waiting for the wide deployment of low carbon technologie</w:t>
      </w:r>
      <w:r>
        <w:t>s.</w:t>
      </w:r>
      <w:r w:rsidR="00D76830">
        <w:t xml:space="preserve"> This need is ever more apparent from a cumulative perspective.</w:t>
      </w:r>
      <w:r>
        <w:t xml:space="preserve"> </w:t>
      </w:r>
      <w:r w:rsidR="00910300">
        <w:t>Given the increasing share of imported emissions</w:t>
      </w:r>
      <w:r>
        <w:t xml:space="preserve"> in the UK’s account</w:t>
      </w:r>
      <w:r w:rsidR="00910300">
        <w:t xml:space="preserve">, </w:t>
      </w:r>
      <w:r w:rsidR="00D76830">
        <w:t xml:space="preserve">and </w:t>
      </w:r>
      <w:r>
        <w:t>the</w:t>
      </w:r>
      <w:r w:rsidR="00910300">
        <w:t xml:space="preserve"> political </w:t>
      </w:r>
      <w:r>
        <w:t xml:space="preserve">and </w:t>
      </w:r>
      <w:r w:rsidR="00790AEB">
        <w:t>technological</w:t>
      </w:r>
      <w:r>
        <w:t xml:space="preserve"> uncertainty, making consumption-based accounting mandatory gives us the greatest chance to be armed with responses faced with the increasing danger of climate change.</w:t>
      </w:r>
    </w:p>
    <w:p w:rsidR="00CC59E7" w:rsidRDefault="00CC59E7" w:rsidP="00CC59E7">
      <w:pPr>
        <w:pStyle w:val="Heading1"/>
      </w:pPr>
      <w:r>
        <w:t>References</w:t>
      </w:r>
    </w:p>
    <w:p w:rsidR="003F2C5A" w:rsidRDefault="003F2C5A" w:rsidP="003F2C5A">
      <w:pPr>
        <w:rPr>
          <w:shd w:val="clear" w:color="auto" w:fill="FFFFFF"/>
        </w:rPr>
      </w:pPr>
      <w:r>
        <w:rPr>
          <w:shd w:val="clear" w:color="auto" w:fill="FFFFFF"/>
        </w:rPr>
        <w:t xml:space="preserve">Ackerman, F. (2008) </w:t>
      </w:r>
      <w:r>
        <w:t>Critique of Cost-Benefit Analysis, and Alternative Approaches to Decision-Making</w:t>
      </w:r>
      <w:r w:rsidRPr="009B0339">
        <w:t>, A report to Friends of the Earth England, Wales and Northern Ireland</w:t>
      </w:r>
    </w:p>
    <w:p w:rsidR="003F2C5A" w:rsidRDefault="003F2C5A" w:rsidP="003F2C5A">
      <w:pPr>
        <w:rPr>
          <w:shd w:val="clear" w:color="auto" w:fill="FFFFFF"/>
        </w:rPr>
      </w:pPr>
      <w:proofErr w:type="spellStart"/>
      <w:r>
        <w:rPr>
          <w:shd w:val="clear" w:color="auto" w:fill="FFFFFF"/>
        </w:rPr>
        <w:t>Anandarajah</w:t>
      </w:r>
      <w:proofErr w:type="spellEnd"/>
      <w:r>
        <w:rPr>
          <w:shd w:val="clear" w:color="auto" w:fill="FFFFFF"/>
        </w:rPr>
        <w:t xml:space="preserve">, G. and Strachan, N. (2010) Interactions and implications of renewable and climate change policy on UK energy scenarios, </w:t>
      </w:r>
      <w:r w:rsidRPr="009A3425">
        <w:rPr>
          <w:i/>
          <w:shd w:val="clear" w:color="auto" w:fill="FFFFFF"/>
        </w:rPr>
        <w:t>Energy</w:t>
      </w:r>
      <w:r>
        <w:rPr>
          <w:shd w:val="clear" w:color="auto" w:fill="FFFFFF"/>
        </w:rPr>
        <w:t xml:space="preserve"> </w:t>
      </w:r>
      <w:r w:rsidRPr="009A3425">
        <w:rPr>
          <w:i/>
          <w:shd w:val="clear" w:color="auto" w:fill="FFFFFF"/>
        </w:rPr>
        <w:t>Policy</w:t>
      </w:r>
      <w:r>
        <w:rPr>
          <w:i/>
          <w:shd w:val="clear" w:color="auto" w:fill="FFFFFF"/>
        </w:rPr>
        <w:t>,</w:t>
      </w:r>
      <w:r>
        <w:rPr>
          <w:shd w:val="clear" w:color="auto" w:fill="FFFFFF"/>
        </w:rPr>
        <w:t xml:space="preserve"> 38(11): 6724-6735.</w:t>
      </w:r>
    </w:p>
    <w:p w:rsidR="003F2C5A" w:rsidRPr="002230A6" w:rsidRDefault="003F2C5A" w:rsidP="003F2C5A">
      <w:r w:rsidRPr="002230A6">
        <w:t>Anderson</w:t>
      </w:r>
      <w:r>
        <w:t xml:space="preserve"> K</w:t>
      </w:r>
      <w:r w:rsidRPr="002230A6">
        <w:t xml:space="preserve"> and Bows</w:t>
      </w:r>
      <w:r>
        <w:t xml:space="preserve"> A</w:t>
      </w:r>
      <w:r w:rsidRPr="002230A6">
        <w:t xml:space="preserve"> </w:t>
      </w:r>
      <w:r>
        <w:t>(</w:t>
      </w:r>
      <w:r w:rsidRPr="002230A6">
        <w:t>2011</w:t>
      </w:r>
      <w:r>
        <w:t xml:space="preserve">) A new paradigm for climate change. </w:t>
      </w:r>
      <w:r w:rsidRPr="00077DBC">
        <w:rPr>
          <w:i/>
        </w:rPr>
        <w:t>Nature Climate Change</w:t>
      </w:r>
      <w:r>
        <w:t xml:space="preserve"> 2: 639 – 640</w:t>
      </w:r>
    </w:p>
    <w:p w:rsidR="003F2C5A" w:rsidRPr="00DE33A7" w:rsidRDefault="003F2C5A" w:rsidP="003F2C5A">
      <w:proofErr w:type="spellStart"/>
      <w:r>
        <w:rPr>
          <w:lang w:eastAsia="en-GB"/>
        </w:rPr>
        <w:t>Baiocchi</w:t>
      </w:r>
      <w:proofErr w:type="spellEnd"/>
      <w:r>
        <w:rPr>
          <w:lang w:eastAsia="en-GB"/>
        </w:rPr>
        <w:t xml:space="preserve">, G. and Minx, J.C. (2010) </w:t>
      </w:r>
      <w:r>
        <w:t>Understanding Changes in the UK’s CO</w:t>
      </w:r>
      <w:r>
        <w:rPr>
          <w:sz w:val="23"/>
          <w:szCs w:val="23"/>
        </w:rPr>
        <w:t xml:space="preserve">2 </w:t>
      </w:r>
      <w:r>
        <w:t xml:space="preserve">Emissions: A Global Perspective, </w:t>
      </w:r>
      <w:r>
        <w:rPr>
          <w:i/>
        </w:rPr>
        <w:t>Environ. Sci. Technol.</w:t>
      </w:r>
      <w:r>
        <w:t xml:space="preserve">, 44(4): 1177 – 1184 </w:t>
      </w:r>
    </w:p>
    <w:p w:rsidR="00141476" w:rsidRDefault="00141476" w:rsidP="00141476">
      <w:r>
        <w:t>Barrett J., Owen A., Sakai M. (2011) UK Consumption Emissions by Sector and Origin, Report to the UK Department for Environment, Food and Rural Affairs by University of Leeds</w:t>
      </w:r>
    </w:p>
    <w:p w:rsidR="003F2C5A" w:rsidRPr="00F948C4" w:rsidRDefault="003F2C5A" w:rsidP="003F2C5A">
      <w:pPr>
        <w:rPr>
          <w:lang w:eastAsia="en-GB"/>
        </w:rPr>
      </w:pPr>
      <w:r w:rsidRPr="00F948C4">
        <w:rPr>
          <w:lang w:eastAsia="en-GB"/>
        </w:rPr>
        <w:t xml:space="preserve">Barrett , </w:t>
      </w:r>
      <w:r>
        <w:rPr>
          <w:lang w:eastAsia="en-GB"/>
        </w:rPr>
        <w:t xml:space="preserve">J., </w:t>
      </w:r>
      <w:r w:rsidRPr="00F948C4">
        <w:rPr>
          <w:lang w:eastAsia="en-GB"/>
        </w:rPr>
        <w:t xml:space="preserve">Peters , </w:t>
      </w:r>
      <w:r>
        <w:rPr>
          <w:lang w:eastAsia="en-GB"/>
        </w:rPr>
        <w:t>G., Wiedmann</w:t>
      </w:r>
      <w:r w:rsidRPr="00F948C4">
        <w:rPr>
          <w:lang w:eastAsia="en-GB"/>
        </w:rPr>
        <w:t>,</w:t>
      </w:r>
      <w:r>
        <w:rPr>
          <w:lang w:eastAsia="en-GB"/>
        </w:rPr>
        <w:t xml:space="preserve"> T., </w:t>
      </w:r>
      <w:r w:rsidRPr="005B69CB">
        <w:rPr>
          <w:lang w:eastAsia="en-GB"/>
        </w:rPr>
        <w:t>Scott , K</w:t>
      </w:r>
      <w:r>
        <w:rPr>
          <w:lang w:eastAsia="en-GB"/>
        </w:rPr>
        <w:t>.,</w:t>
      </w:r>
      <w:r w:rsidRPr="00F948C4">
        <w:rPr>
          <w:lang w:eastAsia="en-GB"/>
        </w:rPr>
        <w:t xml:space="preserve"> </w:t>
      </w:r>
      <w:proofErr w:type="spellStart"/>
      <w:r w:rsidRPr="00F948C4">
        <w:rPr>
          <w:lang w:eastAsia="en-GB"/>
        </w:rPr>
        <w:t>Lenzen</w:t>
      </w:r>
      <w:proofErr w:type="spellEnd"/>
      <w:r w:rsidRPr="00F948C4">
        <w:rPr>
          <w:lang w:eastAsia="en-GB"/>
        </w:rPr>
        <w:t xml:space="preserve"> ,</w:t>
      </w:r>
      <w:r>
        <w:rPr>
          <w:lang w:eastAsia="en-GB"/>
        </w:rPr>
        <w:t xml:space="preserve"> M.,</w:t>
      </w:r>
      <w:r w:rsidRPr="00F948C4">
        <w:rPr>
          <w:lang w:eastAsia="en-GB"/>
        </w:rPr>
        <w:t xml:space="preserve"> </w:t>
      </w:r>
      <w:proofErr w:type="spellStart"/>
      <w:r w:rsidRPr="00F948C4">
        <w:rPr>
          <w:lang w:eastAsia="en-GB"/>
        </w:rPr>
        <w:t>Roelich</w:t>
      </w:r>
      <w:proofErr w:type="spellEnd"/>
      <w:r>
        <w:rPr>
          <w:lang w:eastAsia="en-GB"/>
        </w:rPr>
        <w:t>, K.</w:t>
      </w:r>
      <w:r w:rsidRPr="00F948C4">
        <w:rPr>
          <w:lang w:eastAsia="en-GB"/>
        </w:rPr>
        <w:t xml:space="preserve"> &amp; Le </w:t>
      </w:r>
      <w:proofErr w:type="spellStart"/>
      <w:r w:rsidRPr="00F948C4">
        <w:rPr>
          <w:lang w:eastAsia="en-GB"/>
        </w:rPr>
        <w:t>Quéré</w:t>
      </w:r>
      <w:proofErr w:type="spellEnd"/>
      <w:r>
        <w:rPr>
          <w:lang w:eastAsia="en-GB"/>
        </w:rPr>
        <w:t xml:space="preserve">, C. (2013) </w:t>
      </w:r>
      <w:r w:rsidRPr="00F948C4">
        <w:rPr>
          <w:lang w:eastAsia="en-GB"/>
        </w:rPr>
        <w:t xml:space="preserve">Consumption-based GHG emission accounting: a UK case study, </w:t>
      </w:r>
      <w:r w:rsidRPr="0000519B">
        <w:rPr>
          <w:i/>
          <w:lang w:eastAsia="en-GB"/>
        </w:rPr>
        <w:t>Climate Policy</w:t>
      </w:r>
      <w:r>
        <w:rPr>
          <w:lang w:eastAsia="en-GB"/>
        </w:rPr>
        <w:t>, 13(4), 451-470,</w:t>
      </w:r>
      <w:r w:rsidRPr="00F948C4">
        <w:rPr>
          <w:lang w:eastAsia="en-GB"/>
        </w:rPr>
        <w:t xml:space="preserve"> DOI:10.1080/14693062.2013.788858</w:t>
      </w:r>
    </w:p>
    <w:p w:rsidR="00141476" w:rsidRPr="003F2C5A" w:rsidRDefault="00141476" w:rsidP="00141476">
      <w:r w:rsidRPr="003F2C5A">
        <w:t xml:space="preserve">Barrett, J. and Scott, K. (2012) Link between climate change and resource efficiency, </w:t>
      </w:r>
      <w:r w:rsidRPr="003F2C5A">
        <w:rPr>
          <w:i/>
        </w:rPr>
        <w:t>Global Environmental Change</w:t>
      </w:r>
      <w:r w:rsidRPr="003F2C5A">
        <w:t>, 22, 299-307</w:t>
      </w:r>
    </w:p>
    <w:p w:rsidR="003F2C5A" w:rsidRDefault="003F2C5A" w:rsidP="003F2C5A">
      <w:r>
        <w:t>CCC (2013) Reducing the UK’s carbon footprint, UK, London</w:t>
      </w:r>
    </w:p>
    <w:p w:rsidR="003F2C5A" w:rsidRDefault="003F2C5A" w:rsidP="003F2C5A">
      <w:r>
        <w:t xml:space="preserve">Crown (2008) Climate Change Act, </w:t>
      </w:r>
      <w:r w:rsidRPr="00027E28">
        <w:t>http://www.legislation.gov.uk/ukpga/2008/27/contents</w:t>
      </w:r>
    </w:p>
    <w:p w:rsidR="003F2C5A" w:rsidRPr="009B0339" w:rsidRDefault="003F2C5A" w:rsidP="003F2C5A">
      <w:r w:rsidRPr="002230A6">
        <w:t>Davis</w:t>
      </w:r>
      <w:r>
        <w:t xml:space="preserve"> S.J., </w:t>
      </w:r>
      <w:proofErr w:type="spellStart"/>
      <w:r w:rsidRPr="002230A6">
        <w:t>Caldeira</w:t>
      </w:r>
      <w:proofErr w:type="spellEnd"/>
      <w:r>
        <w:t xml:space="preserve"> K. and Matthews, H.D.</w:t>
      </w:r>
      <w:r w:rsidRPr="002230A6">
        <w:t xml:space="preserve"> </w:t>
      </w:r>
      <w:r>
        <w:t>(</w:t>
      </w:r>
      <w:r w:rsidRPr="002230A6">
        <w:t>2010</w:t>
      </w:r>
      <w:r>
        <w:t xml:space="preserve">) Future CO2 Emissions and Climate Change from Existing Energy Infrastructure, </w:t>
      </w:r>
      <w:r>
        <w:rPr>
          <w:i/>
        </w:rPr>
        <w:t>Science</w:t>
      </w:r>
      <w:r>
        <w:t>, 329.</w:t>
      </w:r>
    </w:p>
    <w:p w:rsidR="003F2C5A" w:rsidRDefault="003F2C5A" w:rsidP="003F2C5A">
      <w:r>
        <w:t xml:space="preserve">DEFRA </w:t>
      </w:r>
      <w:r w:rsidRPr="004107C7">
        <w:t>(201</w:t>
      </w:r>
      <w:r>
        <w:t>3</w:t>
      </w:r>
      <w:r w:rsidRPr="004107C7">
        <w:t xml:space="preserve">) </w:t>
      </w:r>
      <w:r w:rsidRPr="00077DBC">
        <w:rPr>
          <w:i/>
        </w:rPr>
        <w:t>UK’s Carbon Footprint – 199</w:t>
      </w:r>
      <w:r>
        <w:rPr>
          <w:i/>
        </w:rPr>
        <w:t>7</w:t>
      </w:r>
      <w:r w:rsidRPr="00077DBC">
        <w:rPr>
          <w:i/>
        </w:rPr>
        <w:t xml:space="preserve"> to 201</w:t>
      </w:r>
      <w:r>
        <w:rPr>
          <w:i/>
        </w:rPr>
        <w:t>1</w:t>
      </w:r>
      <w:r w:rsidRPr="004107C7">
        <w:t>, Statistical Release</w:t>
      </w:r>
      <w:r>
        <w:t>, UK, London</w:t>
      </w:r>
    </w:p>
    <w:p w:rsidR="003F2C5A" w:rsidRDefault="003F2C5A" w:rsidP="003F2C5A">
      <w:r w:rsidRPr="00B12E4F">
        <w:t>Gillett, N. P., V. K. Arora, D. Matthews, and M. R. Allen, 2013: Constraining the ratio of global warming to cumulative CO</w:t>
      </w:r>
      <w:r w:rsidRPr="00B12E4F">
        <w:rPr>
          <w:sz w:val="13"/>
          <w:szCs w:val="13"/>
        </w:rPr>
        <w:t xml:space="preserve">2 </w:t>
      </w:r>
      <w:r w:rsidRPr="00B12E4F">
        <w:t xml:space="preserve">emissions using CMIP5 simulations. </w:t>
      </w:r>
      <w:r w:rsidRPr="00B12E4F">
        <w:rPr>
          <w:i/>
          <w:iCs/>
        </w:rPr>
        <w:t>Journal of Climate</w:t>
      </w:r>
      <w:r w:rsidRPr="00B12E4F">
        <w:t>, doi:10.1175/JCLI-D-12-00476.1.</w:t>
      </w:r>
    </w:p>
    <w:p w:rsidR="003F2C5A" w:rsidRDefault="003F2C5A" w:rsidP="003F2C5A">
      <w:r>
        <w:lastRenderedPageBreak/>
        <w:t>House of Commons Energy and Climate Change Committee (2012)</w:t>
      </w:r>
      <w:r w:rsidRPr="00B3066D">
        <w:t xml:space="preserve"> </w:t>
      </w:r>
      <w:r>
        <w:t>Consumption-Based Emissions Reporting</w:t>
      </w:r>
      <w:r w:rsidRPr="00B3066D">
        <w:t>, Twelfth Report of Session 2010–12</w:t>
      </w:r>
      <w:r>
        <w:t xml:space="preserve">, </w:t>
      </w:r>
      <w:r w:rsidRPr="00B3066D">
        <w:t>Volume I</w:t>
      </w:r>
      <w:r>
        <w:t>, UK, London</w:t>
      </w:r>
    </w:p>
    <w:p w:rsidR="001F50AE" w:rsidRDefault="001F50AE" w:rsidP="001F50AE">
      <w:r>
        <w:t>IEA (2013) Redrawing the energy-climate map, World Energy Outlook Special Report, International Energy Agency, Paris, France</w:t>
      </w:r>
    </w:p>
    <w:p w:rsidR="003F2C5A" w:rsidRDefault="003F2C5A" w:rsidP="003F2C5A">
      <w:proofErr w:type="gramStart"/>
      <w:r>
        <w:t xml:space="preserve">IEA (2012) </w:t>
      </w:r>
      <w:r w:rsidRPr="009A6765">
        <w:t>CO2 Emissions from Fuel Combustion (2012 Edition), IEA, Paris.</w:t>
      </w:r>
      <w:proofErr w:type="gramEnd"/>
    </w:p>
    <w:p w:rsidR="003F2C5A" w:rsidRDefault="003F2C5A" w:rsidP="003F2C5A">
      <w:pPr>
        <w:rPr>
          <w:i/>
        </w:rPr>
      </w:pPr>
      <w:r w:rsidRPr="006B3423">
        <w:t xml:space="preserve">IEA (2012) </w:t>
      </w:r>
      <w:r w:rsidRPr="00755723">
        <w:rPr>
          <w:i/>
        </w:rPr>
        <w:t>Energy Technology Perspectives: Pathways to a Clean Energy System</w:t>
      </w:r>
    </w:p>
    <w:p w:rsidR="003F2C5A" w:rsidRDefault="003F2C5A" w:rsidP="003F2C5A">
      <w:proofErr w:type="spellStart"/>
      <w:proofErr w:type="gramStart"/>
      <w:r>
        <w:t>Lenzen</w:t>
      </w:r>
      <w:proofErr w:type="spellEnd"/>
      <w:r>
        <w:t>, M., Kanemoto, K., Moran, D., Geschke, A. Mapping the Structure of the World Economy (2012).</w:t>
      </w:r>
      <w:proofErr w:type="gramEnd"/>
      <w:r>
        <w:t xml:space="preserve"> </w:t>
      </w:r>
      <w:proofErr w:type="spellStart"/>
      <w:proofErr w:type="gramStart"/>
      <w:r w:rsidRPr="006078BD">
        <w:rPr>
          <w:i/>
        </w:rPr>
        <w:t>Env</w:t>
      </w:r>
      <w:proofErr w:type="spellEnd"/>
      <w:r w:rsidRPr="006078BD">
        <w:rPr>
          <w:i/>
        </w:rPr>
        <w:t>.</w:t>
      </w:r>
      <w:proofErr w:type="gramEnd"/>
      <w:r w:rsidRPr="006078BD">
        <w:rPr>
          <w:i/>
        </w:rPr>
        <w:t xml:space="preserve"> </w:t>
      </w:r>
      <w:proofErr w:type="gramStart"/>
      <w:r w:rsidRPr="006078BD">
        <w:rPr>
          <w:i/>
        </w:rPr>
        <w:t>Sci. Tech</w:t>
      </w:r>
      <w:r w:rsidRPr="006078BD">
        <w:t>. 46(15) pp 8374-8381.</w:t>
      </w:r>
      <w:proofErr w:type="gramEnd"/>
      <w:r w:rsidRPr="006078BD">
        <w:t> </w:t>
      </w:r>
      <w:hyperlink r:id="rId14" w:history="1">
        <w:r w:rsidRPr="006078BD">
          <w:t>DOI</w:t>
        </w:r>
        <w:proofErr w:type="gramStart"/>
        <w:r w:rsidRPr="006078BD">
          <w:t>:10.1021</w:t>
        </w:r>
        <w:proofErr w:type="gramEnd"/>
        <w:r w:rsidRPr="006078BD">
          <w:t>/es300171x</w:t>
        </w:r>
      </w:hyperlink>
    </w:p>
    <w:p w:rsidR="003F2C5A" w:rsidRDefault="003F2C5A" w:rsidP="003F2C5A">
      <w:pPr>
        <w:rPr>
          <w:rStyle w:val="apple-converted-space"/>
          <w:rFonts w:ascii="Verdana" w:hAnsi="Verdana"/>
          <w:color w:val="2F2F2F"/>
          <w:sz w:val="20"/>
          <w:szCs w:val="20"/>
        </w:rPr>
      </w:pPr>
      <w:proofErr w:type="spellStart"/>
      <w:r>
        <w:t>Lenzen</w:t>
      </w:r>
      <w:proofErr w:type="spellEnd"/>
      <w:r>
        <w:t xml:space="preserve">, M., Moran, D., Kanemoto, K., Geschke, A. (2013) Building </w:t>
      </w:r>
      <w:proofErr w:type="spellStart"/>
      <w:r>
        <w:t>Eora</w:t>
      </w:r>
      <w:proofErr w:type="spellEnd"/>
      <w:r>
        <w:t xml:space="preserve">: A Global Multi-regional Input-Output Database at High Country and Sector </w:t>
      </w:r>
      <w:proofErr w:type="spellStart"/>
      <w:r>
        <w:t>Reso</w:t>
      </w:r>
      <w:proofErr w:type="spellEnd"/>
      <w:r>
        <w:t xml:space="preserve"> </w:t>
      </w:r>
      <w:proofErr w:type="spellStart"/>
      <w:r>
        <w:t>lution</w:t>
      </w:r>
      <w:proofErr w:type="spellEnd"/>
      <w:r>
        <w:t xml:space="preserve">, </w:t>
      </w:r>
      <w:r w:rsidRPr="006078BD">
        <w:rPr>
          <w:i/>
        </w:rPr>
        <w:t>Economic Systems Research</w:t>
      </w:r>
      <w:r>
        <w:t>, 25:1, 20-49,</w:t>
      </w:r>
      <w:r>
        <w:rPr>
          <w:rStyle w:val="apple-converted-space"/>
          <w:rFonts w:ascii="Verdana" w:hAnsi="Verdana"/>
          <w:color w:val="2F2F2F"/>
          <w:sz w:val="20"/>
          <w:szCs w:val="20"/>
        </w:rPr>
        <w:t> </w:t>
      </w:r>
      <w:hyperlink r:id="rId15" w:history="1">
        <w:r w:rsidRPr="006078BD">
          <w:t>DOI:10.1080/09535314.2013.769 938</w:t>
        </w:r>
      </w:hyperlink>
      <w:r>
        <w:rPr>
          <w:rStyle w:val="apple-converted-space"/>
          <w:rFonts w:ascii="Verdana" w:hAnsi="Verdana"/>
          <w:color w:val="2F2F2F"/>
          <w:sz w:val="20"/>
          <w:szCs w:val="20"/>
        </w:rPr>
        <w:t> </w:t>
      </w:r>
    </w:p>
    <w:p w:rsidR="003F2C5A" w:rsidRPr="006A66D2" w:rsidRDefault="003F2C5A" w:rsidP="003F2C5A">
      <w:proofErr w:type="spellStart"/>
      <w:r w:rsidRPr="006A66D2">
        <w:t>Manders</w:t>
      </w:r>
      <w:proofErr w:type="spellEnd"/>
      <w:r w:rsidRPr="006A66D2">
        <w:t xml:space="preserve">, S., Bows, A., Anderson, K., </w:t>
      </w:r>
      <w:proofErr w:type="spellStart"/>
      <w:r w:rsidRPr="006A66D2">
        <w:t>Shackley</w:t>
      </w:r>
      <w:proofErr w:type="spellEnd"/>
      <w:r w:rsidRPr="006A66D2">
        <w:t xml:space="preserve">, S., </w:t>
      </w:r>
      <w:proofErr w:type="spellStart"/>
      <w:r w:rsidRPr="006A66D2">
        <w:t>Agnolucci</w:t>
      </w:r>
      <w:proofErr w:type="spellEnd"/>
      <w:r w:rsidRPr="006A66D2">
        <w:t xml:space="preserve">, P. and </w:t>
      </w:r>
      <w:proofErr w:type="spellStart"/>
      <w:r w:rsidRPr="006A66D2">
        <w:t>Ekins</w:t>
      </w:r>
      <w:proofErr w:type="spellEnd"/>
      <w:r w:rsidRPr="006A66D2">
        <w:t xml:space="preserve">, P.  (2007) Uncertainty and the Tyndall decarbonisation scenarios, </w:t>
      </w:r>
      <w:r w:rsidRPr="006A66D2">
        <w:rPr>
          <w:i/>
        </w:rPr>
        <w:t xml:space="preserve">Global Environmental Change, </w:t>
      </w:r>
      <w:r>
        <w:t xml:space="preserve">17, 25 – 36 </w:t>
      </w:r>
    </w:p>
    <w:p w:rsidR="003F2C5A" w:rsidRDefault="003F2C5A" w:rsidP="003F2C5A">
      <w:proofErr w:type="spellStart"/>
      <w:r w:rsidRPr="001C5088">
        <w:t>Munksgaard</w:t>
      </w:r>
      <w:proofErr w:type="spellEnd"/>
      <w:r w:rsidRPr="001C5088">
        <w:t>, J. and Pedersen, K.A. (2001) CO</w:t>
      </w:r>
      <w:r w:rsidRPr="001C5088">
        <w:rPr>
          <w:vertAlign w:val="subscript"/>
        </w:rPr>
        <w:t>2</w:t>
      </w:r>
      <w:r w:rsidRPr="001C5088">
        <w:t xml:space="preserve"> accounts for open economies: producer or consumer responsibility</w:t>
      </w:r>
      <w:proofErr w:type="gramStart"/>
      <w:r w:rsidRPr="001C5088">
        <w:t>?,</w:t>
      </w:r>
      <w:proofErr w:type="gramEnd"/>
      <w:r w:rsidRPr="001C5088">
        <w:t xml:space="preserve"> Energy Policy, 29, 327-334. </w:t>
      </w:r>
    </w:p>
    <w:p w:rsidR="003F2C5A" w:rsidRDefault="003F2C5A" w:rsidP="003F2C5A">
      <w:r>
        <w:t>Peters, G.P. (2010</w:t>
      </w:r>
      <w:r w:rsidRPr="00EB7B12">
        <w:t>) Carbon footprints and embodied carbon at multiple scales</w:t>
      </w:r>
      <w:r>
        <w:t xml:space="preserve">, </w:t>
      </w:r>
      <w:r w:rsidRPr="00EB7B12">
        <w:rPr>
          <w:i/>
        </w:rPr>
        <w:t xml:space="preserve">Current Opinion in </w:t>
      </w:r>
      <w:r>
        <w:rPr>
          <w:i/>
        </w:rPr>
        <w:t>Environmental Sustainability</w:t>
      </w:r>
      <w:r>
        <w:t xml:space="preserve">, 2: 245 – 250, </w:t>
      </w:r>
      <w:r w:rsidRPr="00EB7B12">
        <w:t>DOI 10.1016/j.cosust.2010.05.004</w:t>
      </w:r>
    </w:p>
    <w:p w:rsidR="001F50AE" w:rsidRDefault="001F50AE" w:rsidP="001F50AE">
      <w:r w:rsidRPr="001A5D46">
        <w:t xml:space="preserve">Peters GP (2008) </w:t>
      </w:r>
      <w:proofErr w:type="gramStart"/>
      <w:r w:rsidRPr="001A5D46">
        <w:t>From</w:t>
      </w:r>
      <w:proofErr w:type="gramEnd"/>
      <w:r w:rsidRPr="001A5D46">
        <w:t xml:space="preserve"> production-based to consumption-based national emission inventories. </w:t>
      </w:r>
      <w:r w:rsidRPr="007B7490">
        <w:rPr>
          <w:rFonts w:cs="Utopia-Italic"/>
          <w:i/>
          <w:iCs/>
        </w:rPr>
        <w:t>Ecological Economics</w:t>
      </w:r>
      <w:r w:rsidRPr="001A5D46">
        <w:t xml:space="preserve"> </w:t>
      </w:r>
      <w:r w:rsidRPr="001A5D46">
        <w:rPr>
          <w:rFonts w:cs="Utopia-Italic"/>
          <w:iCs/>
        </w:rPr>
        <w:t>65</w:t>
      </w:r>
      <w:r w:rsidRPr="001A5D46">
        <w:rPr>
          <w:rFonts w:cs="Utopia-Italic"/>
          <w:i/>
          <w:iCs/>
        </w:rPr>
        <w:t xml:space="preserve"> </w:t>
      </w:r>
      <w:r w:rsidRPr="001A5D46">
        <w:t>(1): 13–23</w:t>
      </w:r>
    </w:p>
    <w:p w:rsidR="003F2C5A" w:rsidRPr="006D09AD" w:rsidRDefault="003F2C5A" w:rsidP="003F2C5A">
      <w:r>
        <w:t xml:space="preserve">Peters, G.P., Davis, S.J., and Andrew, R.M. (2012) A synthesis of carbon in international trade, </w:t>
      </w:r>
      <w:proofErr w:type="spellStart"/>
      <w:r>
        <w:rPr>
          <w:i/>
        </w:rPr>
        <w:t>Biogeosciences</w:t>
      </w:r>
      <w:proofErr w:type="spellEnd"/>
      <w:r>
        <w:rPr>
          <w:i/>
        </w:rPr>
        <w:t xml:space="preserve"> Discussions</w:t>
      </w:r>
      <w:r>
        <w:t xml:space="preserve">, 9, 3949 – 4023, </w:t>
      </w:r>
      <w:r w:rsidRPr="006D09AD">
        <w:t>doi</w:t>
      </w:r>
      <w:proofErr w:type="gramStart"/>
      <w:r w:rsidRPr="006D09AD">
        <w:t>:10.5194</w:t>
      </w:r>
      <w:proofErr w:type="gramEnd"/>
      <w:r w:rsidRPr="006D09AD">
        <w:t>/bgd-9-3949-2012</w:t>
      </w:r>
    </w:p>
    <w:p w:rsidR="003F2C5A" w:rsidRDefault="003F2C5A" w:rsidP="003F2C5A">
      <w:r>
        <w:t>Scott, K. and Barrett, J. (2013) Investigation into the greenhouse gas emissions of the UK services industries, Report to the UK Department for Environment, Food and Rural Affairs by the University of Leeds.</w:t>
      </w:r>
    </w:p>
    <w:p w:rsidR="003F2C5A" w:rsidRDefault="003F2C5A" w:rsidP="003F2C5A">
      <w:r>
        <w:t xml:space="preserve">Stern, N. (2007) </w:t>
      </w:r>
      <w:proofErr w:type="gramStart"/>
      <w:r w:rsidRPr="009B0339">
        <w:rPr>
          <w:i/>
        </w:rPr>
        <w:t>The</w:t>
      </w:r>
      <w:proofErr w:type="gramEnd"/>
      <w:r w:rsidRPr="009B0339">
        <w:rPr>
          <w:i/>
        </w:rPr>
        <w:t xml:space="preserve"> Economics of Climate Change: The Stern Review</w:t>
      </w:r>
      <w:r>
        <w:t>, Cambridge and New York: Cambridge University Press</w:t>
      </w:r>
    </w:p>
    <w:p w:rsidR="00141476" w:rsidRDefault="00141476" w:rsidP="00141476">
      <w:proofErr w:type="spellStart"/>
      <w:r>
        <w:t>Suh</w:t>
      </w:r>
      <w:proofErr w:type="spellEnd"/>
      <w:r>
        <w:t xml:space="preserve">, S. (2006) Are services better for climate change, </w:t>
      </w:r>
      <w:r w:rsidRPr="00EC77BE">
        <w:rPr>
          <w:i/>
        </w:rPr>
        <w:t>Environmental Science and Technology</w:t>
      </w:r>
      <w:r>
        <w:t>, 40 (21), 6555</w:t>
      </w:r>
    </w:p>
    <w:p w:rsidR="00141476" w:rsidRPr="00CB268C" w:rsidRDefault="00141476" w:rsidP="00141476">
      <w:r>
        <w:t xml:space="preserve">UNFCCC (2010) </w:t>
      </w:r>
      <w:r w:rsidRPr="00CB268C">
        <w:t>Report of the Conference of the Parties on its fifteenth session, held in Copenhagen from 7 to 19 December 2009</w:t>
      </w:r>
      <w:r>
        <w:t>, United Nations Office at Geneva, Geneva, Switzerland</w:t>
      </w:r>
    </w:p>
    <w:p w:rsidR="001F50AE" w:rsidRDefault="001F50AE" w:rsidP="001F50AE">
      <w:r>
        <w:t xml:space="preserve">Usher, W. and Strachan, N. 2010 ‘UK MARKAL Modelling - Examining Decarbonisation Pathways in the 2020s on the Way to Meeting the 2050 Emissions Target’, Final Report for </w:t>
      </w:r>
      <w:proofErr w:type="gramStart"/>
      <w:r>
        <w:t>the  Committee</w:t>
      </w:r>
      <w:proofErr w:type="gramEnd"/>
      <w:r>
        <w:t xml:space="preserve"> on Climate Change (CCC), November, UCL Energy Institute, University College London</w:t>
      </w:r>
    </w:p>
    <w:p w:rsidR="001F50AE" w:rsidRDefault="001F50AE" w:rsidP="001F50AE">
      <w:r>
        <w:lastRenderedPageBreak/>
        <w:t>Wiedmann, T. (2009) A review of recent multi-region input</w:t>
      </w:r>
      <w:r>
        <w:rPr>
          <w:rFonts w:ascii="AdvTT5235d5a9+20" w:hAnsi="AdvTT5235d5a9+20" w:cs="AdvTT5235d5a9+20"/>
        </w:rPr>
        <w:t>–</w:t>
      </w:r>
      <w:r>
        <w:t xml:space="preserve">output models used for consumption-based emission and resource accounting, </w:t>
      </w:r>
      <w:r>
        <w:rPr>
          <w:i/>
        </w:rPr>
        <w:t>Ecological Economics</w:t>
      </w:r>
      <w:r>
        <w:t xml:space="preserve">, 69, 211 – 222, </w:t>
      </w:r>
      <w:r w:rsidRPr="006D09AD">
        <w:t>doi:10.1016/j.ecolecon.2009.08.026</w:t>
      </w:r>
    </w:p>
    <w:p w:rsidR="003F2C5A" w:rsidRPr="009F5109" w:rsidRDefault="003F2C5A" w:rsidP="001F50AE"/>
    <w:sectPr w:rsidR="003F2C5A" w:rsidRPr="009F5109" w:rsidSect="008F51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E1" w:rsidRDefault="009079E1" w:rsidP="00477161">
      <w:pPr>
        <w:spacing w:after="0" w:line="240" w:lineRule="auto"/>
      </w:pPr>
      <w:r>
        <w:separator/>
      </w:r>
    </w:p>
  </w:endnote>
  <w:endnote w:type="continuationSeparator" w:id="0">
    <w:p w:rsidR="009079E1" w:rsidRDefault="009079E1" w:rsidP="004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topia-Italic">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E1" w:rsidRDefault="009079E1" w:rsidP="00477161">
      <w:pPr>
        <w:spacing w:after="0" w:line="240" w:lineRule="auto"/>
      </w:pPr>
      <w:r>
        <w:separator/>
      </w:r>
    </w:p>
  </w:footnote>
  <w:footnote w:type="continuationSeparator" w:id="0">
    <w:p w:rsidR="009079E1" w:rsidRDefault="009079E1" w:rsidP="00477161">
      <w:pPr>
        <w:spacing w:after="0" w:line="240" w:lineRule="auto"/>
      </w:pPr>
      <w:r>
        <w:continuationSeparator/>
      </w:r>
    </w:p>
  </w:footnote>
  <w:footnote w:id="1">
    <w:p w:rsidR="005F226F" w:rsidRDefault="005F226F">
      <w:pPr>
        <w:pStyle w:val="FootnoteText"/>
      </w:pPr>
      <w:r>
        <w:rPr>
          <w:rStyle w:val="FootnoteReference"/>
        </w:rPr>
        <w:footnoteRef/>
      </w:r>
      <w:r>
        <w:t xml:space="preserve"> UK 110 sectors and </w:t>
      </w:r>
      <w:r w:rsidR="008858F1">
        <w:t>7</w:t>
      </w:r>
      <w:r>
        <w:t xml:space="preserve"> trading regions represented by 26 sectors each</w:t>
      </w:r>
    </w:p>
  </w:footnote>
  <w:footnote w:id="2">
    <w:p w:rsidR="005531D3" w:rsidRDefault="005531D3" w:rsidP="005531D3">
      <w:pPr>
        <w:pStyle w:val="FootnoteText"/>
      </w:pPr>
      <w:r>
        <w:rPr>
          <w:rStyle w:val="FootnoteReference"/>
        </w:rPr>
        <w:footnoteRef/>
      </w:r>
      <w:r>
        <w:t xml:space="preserve"> UK emissions from the CCC scenario are subtracted from the IEA global emissions</w:t>
      </w:r>
    </w:p>
  </w:footnote>
  <w:footnote w:id="3">
    <w:p w:rsidR="00152541" w:rsidRDefault="00152541">
      <w:pPr>
        <w:pStyle w:val="FootnoteText"/>
      </w:pPr>
      <w:r>
        <w:rPr>
          <w:rStyle w:val="FootnoteReference"/>
        </w:rPr>
        <w:footnoteRef/>
      </w:r>
      <w:r>
        <w:t xml:space="preserve"> Emissions released directly by UK households (mainly from gas heating and petrol for car use) are separated from domestic industry emissions from intermediate production</w:t>
      </w:r>
    </w:p>
  </w:footnote>
  <w:footnote w:id="4">
    <w:p w:rsidR="00BF2DD9" w:rsidRDefault="00BF2DD9">
      <w:pPr>
        <w:pStyle w:val="FootnoteText"/>
      </w:pPr>
      <w:r>
        <w:rPr>
          <w:rStyle w:val="FootnoteReference"/>
        </w:rPr>
        <w:footnoteRef/>
      </w:r>
      <w:r>
        <w:t xml:space="preserve"> GDP is calculated using purchasing power parities, not exchange rates. The average rate is less than 1% using exchange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64F"/>
    <w:multiLevelType w:val="hybridMultilevel"/>
    <w:tmpl w:val="0E7C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154D2"/>
    <w:multiLevelType w:val="hybridMultilevel"/>
    <w:tmpl w:val="9D72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066E7"/>
    <w:multiLevelType w:val="hybridMultilevel"/>
    <w:tmpl w:val="EC3A2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70D5F"/>
    <w:multiLevelType w:val="hybridMultilevel"/>
    <w:tmpl w:val="6426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42C8E"/>
    <w:multiLevelType w:val="hybridMultilevel"/>
    <w:tmpl w:val="46D6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C1673E"/>
    <w:multiLevelType w:val="hybridMultilevel"/>
    <w:tmpl w:val="138C4E6E"/>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8475B0"/>
    <w:multiLevelType w:val="hybridMultilevel"/>
    <w:tmpl w:val="106C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143FA"/>
    <w:multiLevelType w:val="hybridMultilevel"/>
    <w:tmpl w:val="37EC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EE766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AB2EA8"/>
    <w:multiLevelType w:val="hybridMultilevel"/>
    <w:tmpl w:val="4F60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47E80"/>
    <w:multiLevelType w:val="hybridMultilevel"/>
    <w:tmpl w:val="992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560BF"/>
    <w:multiLevelType w:val="multilevel"/>
    <w:tmpl w:val="AA32B7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AC14711"/>
    <w:multiLevelType w:val="hybridMultilevel"/>
    <w:tmpl w:val="4CA6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080A38"/>
    <w:multiLevelType w:val="hybridMultilevel"/>
    <w:tmpl w:val="8BA01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EF309CB"/>
    <w:multiLevelType w:val="hybridMultilevel"/>
    <w:tmpl w:val="4BC4F3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0B33087"/>
    <w:multiLevelType w:val="hybridMultilevel"/>
    <w:tmpl w:val="C56C7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F33824"/>
    <w:multiLevelType w:val="hybridMultilevel"/>
    <w:tmpl w:val="080C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746F7B"/>
    <w:multiLevelType w:val="hybridMultilevel"/>
    <w:tmpl w:val="92043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97640A9"/>
    <w:multiLevelType w:val="hybridMultilevel"/>
    <w:tmpl w:val="CAC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6F7F05"/>
    <w:multiLevelType w:val="hybridMultilevel"/>
    <w:tmpl w:val="4BC4F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1C0886"/>
    <w:multiLevelType w:val="hybridMultilevel"/>
    <w:tmpl w:val="7FD6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65393"/>
    <w:multiLevelType w:val="hybridMultilevel"/>
    <w:tmpl w:val="01A6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2770FB"/>
    <w:multiLevelType w:val="hybridMultilevel"/>
    <w:tmpl w:val="55B8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AA01D0"/>
    <w:multiLevelType w:val="hybridMultilevel"/>
    <w:tmpl w:val="4F480F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17"/>
  </w:num>
  <w:num w:numId="4">
    <w:abstractNumId w:val="14"/>
  </w:num>
  <w:num w:numId="5">
    <w:abstractNumId w:val="5"/>
  </w:num>
  <w:num w:numId="6">
    <w:abstractNumId w:val="23"/>
  </w:num>
  <w:num w:numId="7">
    <w:abstractNumId w:val="15"/>
  </w:num>
  <w:num w:numId="8">
    <w:abstractNumId w:val="11"/>
  </w:num>
  <w:num w:numId="9">
    <w:abstractNumId w:val="21"/>
  </w:num>
  <w:num w:numId="10">
    <w:abstractNumId w:val="4"/>
  </w:num>
  <w:num w:numId="11">
    <w:abstractNumId w:val="22"/>
  </w:num>
  <w:num w:numId="12">
    <w:abstractNumId w:val="6"/>
  </w:num>
  <w:num w:numId="13">
    <w:abstractNumId w:val="9"/>
  </w:num>
  <w:num w:numId="14">
    <w:abstractNumId w:val="12"/>
  </w:num>
  <w:num w:numId="15">
    <w:abstractNumId w:val="10"/>
  </w:num>
  <w:num w:numId="16">
    <w:abstractNumId w:val="3"/>
  </w:num>
  <w:num w:numId="17">
    <w:abstractNumId w:val="7"/>
  </w:num>
  <w:num w:numId="18">
    <w:abstractNumId w:val="18"/>
  </w:num>
  <w:num w:numId="19">
    <w:abstractNumId w:val="20"/>
  </w:num>
  <w:num w:numId="20">
    <w:abstractNumId w:val="16"/>
  </w:num>
  <w:num w:numId="21">
    <w:abstractNumId w:val="2"/>
  </w:num>
  <w:num w:numId="22">
    <w:abstractNumId w:val="1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26"/>
    <w:rsid w:val="00004C99"/>
    <w:rsid w:val="0001251E"/>
    <w:rsid w:val="00017888"/>
    <w:rsid w:val="00020E61"/>
    <w:rsid w:val="000333E5"/>
    <w:rsid w:val="00035E6F"/>
    <w:rsid w:val="00036AB8"/>
    <w:rsid w:val="000378E8"/>
    <w:rsid w:val="000579FD"/>
    <w:rsid w:val="00064246"/>
    <w:rsid w:val="00065101"/>
    <w:rsid w:val="000653A6"/>
    <w:rsid w:val="00070FF4"/>
    <w:rsid w:val="00071E41"/>
    <w:rsid w:val="000723A4"/>
    <w:rsid w:val="00084C30"/>
    <w:rsid w:val="00095E6A"/>
    <w:rsid w:val="000A255A"/>
    <w:rsid w:val="000A425F"/>
    <w:rsid w:val="000A556B"/>
    <w:rsid w:val="000B08ED"/>
    <w:rsid w:val="000C27A5"/>
    <w:rsid w:val="000C6D68"/>
    <w:rsid w:val="000C7F36"/>
    <w:rsid w:val="000D0847"/>
    <w:rsid w:val="000E0530"/>
    <w:rsid w:val="000E2687"/>
    <w:rsid w:val="00113984"/>
    <w:rsid w:val="001236E9"/>
    <w:rsid w:val="00141476"/>
    <w:rsid w:val="00142764"/>
    <w:rsid w:val="001439ED"/>
    <w:rsid w:val="001514F2"/>
    <w:rsid w:val="00152541"/>
    <w:rsid w:val="001554F4"/>
    <w:rsid w:val="001643DD"/>
    <w:rsid w:val="0017243D"/>
    <w:rsid w:val="00173786"/>
    <w:rsid w:val="00175208"/>
    <w:rsid w:val="00184822"/>
    <w:rsid w:val="00192350"/>
    <w:rsid w:val="001B11F2"/>
    <w:rsid w:val="001B32BF"/>
    <w:rsid w:val="001B415C"/>
    <w:rsid w:val="001B7AB9"/>
    <w:rsid w:val="001C157A"/>
    <w:rsid w:val="001C351F"/>
    <w:rsid w:val="001C46E7"/>
    <w:rsid w:val="001C600F"/>
    <w:rsid w:val="001C77EF"/>
    <w:rsid w:val="001E3825"/>
    <w:rsid w:val="001E5003"/>
    <w:rsid w:val="001E7C3F"/>
    <w:rsid w:val="001F3596"/>
    <w:rsid w:val="001F3CC6"/>
    <w:rsid w:val="001F50AE"/>
    <w:rsid w:val="001F6E17"/>
    <w:rsid w:val="0020023D"/>
    <w:rsid w:val="002013C6"/>
    <w:rsid w:val="00205E02"/>
    <w:rsid w:val="002064FC"/>
    <w:rsid w:val="00207469"/>
    <w:rsid w:val="00216DB5"/>
    <w:rsid w:val="00221D5B"/>
    <w:rsid w:val="00224C08"/>
    <w:rsid w:val="00225D92"/>
    <w:rsid w:val="00241DC4"/>
    <w:rsid w:val="00245B09"/>
    <w:rsid w:val="002476D6"/>
    <w:rsid w:val="00250A3D"/>
    <w:rsid w:val="00252639"/>
    <w:rsid w:val="0025698E"/>
    <w:rsid w:val="002603A9"/>
    <w:rsid w:val="00264CE1"/>
    <w:rsid w:val="00275563"/>
    <w:rsid w:val="002811A6"/>
    <w:rsid w:val="0028479A"/>
    <w:rsid w:val="002910BC"/>
    <w:rsid w:val="00294B10"/>
    <w:rsid w:val="00295C22"/>
    <w:rsid w:val="002965B2"/>
    <w:rsid w:val="002A4C1D"/>
    <w:rsid w:val="002B0F00"/>
    <w:rsid w:val="002B1426"/>
    <w:rsid w:val="002B14B3"/>
    <w:rsid w:val="002B42C2"/>
    <w:rsid w:val="002B762E"/>
    <w:rsid w:val="002E4753"/>
    <w:rsid w:val="002E5AD8"/>
    <w:rsid w:val="002F1D43"/>
    <w:rsid w:val="00300842"/>
    <w:rsid w:val="00324872"/>
    <w:rsid w:val="00330605"/>
    <w:rsid w:val="00332049"/>
    <w:rsid w:val="003324A5"/>
    <w:rsid w:val="00347EAE"/>
    <w:rsid w:val="003528CB"/>
    <w:rsid w:val="00384DDE"/>
    <w:rsid w:val="0039358E"/>
    <w:rsid w:val="003A25DF"/>
    <w:rsid w:val="003A56FD"/>
    <w:rsid w:val="003C5FE6"/>
    <w:rsid w:val="003C7238"/>
    <w:rsid w:val="003D04C9"/>
    <w:rsid w:val="003D6AC5"/>
    <w:rsid w:val="003D7366"/>
    <w:rsid w:val="003E6251"/>
    <w:rsid w:val="003E70DC"/>
    <w:rsid w:val="003F2C5A"/>
    <w:rsid w:val="003F31FC"/>
    <w:rsid w:val="003F4CE4"/>
    <w:rsid w:val="003F5889"/>
    <w:rsid w:val="00400429"/>
    <w:rsid w:val="00401606"/>
    <w:rsid w:val="004042BB"/>
    <w:rsid w:val="00406DCF"/>
    <w:rsid w:val="0041085A"/>
    <w:rsid w:val="00414D00"/>
    <w:rsid w:val="0043253D"/>
    <w:rsid w:val="0043305D"/>
    <w:rsid w:val="00435B49"/>
    <w:rsid w:val="00450298"/>
    <w:rsid w:val="004507C2"/>
    <w:rsid w:val="00456BCB"/>
    <w:rsid w:val="00460153"/>
    <w:rsid w:val="00472675"/>
    <w:rsid w:val="00475742"/>
    <w:rsid w:val="004767F0"/>
    <w:rsid w:val="00477161"/>
    <w:rsid w:val="00485471"/>
    <w:rsid w:val="004A11A7"/>
    <w:rsid w:val="004A69EF"/>
    <w:rsid w:val="004A7288"/>
    <w:rsid w:val="004B70CA"/>
    <w:rsid w:val="004C0BB9"/>
    <w:rsid w:val="004C3BB8"/>
    <w:rsid w:val="004C5AC8"/>
    <w:rsid w:val="004D158D"/>
    <w:rsid w:val="004D7D23"/>
    <w:rsid w:val="004E21F2"/>
    <w:rsid w:val="004F0765"/>
    <w:rsid w:val="004F3F49"/>
    <w:rsid w:val="0050026A"/>
    <w:rsid w:val="00500B5A"/>
    <w:rsid w:val="0050635F"/>
    <w:rsid w:val="00514743"/>
    <w:rsid w:val="005228FE"/>
    <w:rsid w:val="00530387"/>
    <w:rsid w:val="00532135"/>
    <w:rsid w:val="00540948"/>
    <w:rsid w:val="005421F1"/>
    <w:rsid w:val="005463BD"/>
    <w:rsid w:val="005531D3"/>
    <w:rsid w:val="00557C44"/>
    <w:rsid w:val="005655AE"/>
    <w:rsid w:val="0057006F"/>
    <w:rsid w:val="00575A05"/>
    <w:rsid w:val="00593602"/>
    <w:rsid w:val="00593F95"/>
    <w:rsid w:val="00597A56"/>
    <w:rsid w:val="005A037D"/>
    <w:rsid w:val="005A33EC"/>
    <w:rsid w:val="005A361F"/>
    <w:rsid w:val="005B04F3"/>
    <w:rsid w:val="005B75C4"/>
    <w:rsid w:val="005C67C2"/>
    <w:rsid w:val="005D3DB1"/>
    <w:rsid w:val="005D589E"/>
    <w:rsid w:val="005E54F7"/>
    <w:rsid w:val="005F063C"/>
    <w:rsid w:val="005F226F"/>
    <w:rsid w:val="005F7A47"/>
    <w:rsid w:val="005F7ABB"/>
    <w:rsid w:val="0060021F"/>
    <w:rsid w:val="006017F0"/>
    <w:rsid w:val="006021BD"/>
    <w:rsid w:val="00610753"/>
    <w:rsid w:val="00622C95"/>
    <w:rsid w:val="006350FE"/>
    <w:rsid w:val="00646F47"/>
    <w:rsid w:val="006529C8"/>
    <w:rsid w:val="00663DE7"/>
    <w:rsid w:val="006728C2"/>
    <w:rsid w:val="00677044"/>
    <w:rsid w:val="006804ED"/>
    <w:rsid w:val="00691AD1"/>
    <w:rsid w:val="006A33F2"/>
    <w:rsid w:val="006B1D5C"/>
    <w:rsid w:val="006B6721"/>
    <w:rsid w:val="006C2C2F"/>
    <w:rsid w:val="006C38A7"/>
    <w:rsid w:val="006D02D3"/>
    <w:rsid w:val="006D666E"/>
    <w:rsid w:val="00702472"/>
    <w:rsid w:val="00717FED"/>
    <w:rsid w:val="00724C3F"/>
    <w:rsid w:val="00725F0F"/>
    <w:rsid w:val="00731BC8"/>
    <w:rsid w:val="00762FEA"/>
    <w:rsid w:val="0076499F"/>
    <w:rsid w:val="00771C2E"/>
    <w:rsid w:val="00773655"/>
    <w:rsid w:val="00780562"/>
    <w:rsid w:val="007810EA"/>
    <w:rsid w:val="00783F6F"/>
    <w:rsid w:val="00786973"/>
    <w:rsid w:val="00786E1D"/>
    <w:rsid w:val="0078772A"/>
    <w:rsid w:val="00790AEB"/>
    <w:rsid w:val="0079665E"/>
    <w:rsid w:val="007A202E"/>
    <w:rsid w:val="007C1198"/>
    <w:rsid w:val="007C2FDA"/>
    <w:rsid w:val="007C45D0"/>
    <w:rsid w:val="007D3C2A"/>
    <w:rsid w:val="007D4783"/>
    <w:rsid w:val="007D7973"/>
    <w:rsid w:val="007D7FC7"/>
    <w:rsid w:val="007E0184"/>
    <w:rsid w:val="007E3A4A"/>
    <w:rsid w:val="007E6121"/>
    <w:rsid w:val="007F757F"/>
    <w:rsid w:val="0081228F"/>
    <w:rsid w:val="00817C81"/>
    <w:rsid w:val="00822E8D"/>
    <w:rsid w:val="00831B08"/>
    <w:rsid w:val="00837FD0"/>
    <w:rsid w:val="00845B2E"/>
    <w:rsid w:val="0085223D"/>
    <w:rsid w:val="00852743"/>
    <w:rsid w:val="00852DF8"/>
    <w:rsid w:val="00853EE5"/>
    <w:rsid w:val="0086047A"/>
    <w:rsid w:val="00865DEF"/>
    <w:rsid w:val="008858F1"/>
    <w:rsid w:val="008A3944"/>
    <w:rsid w:val="008A7978"/>
    <w:rsid w:val="008B6856"/>
    <w:rsid w:val="008C3E4A"/>
    <w:rsid w:val="008C497F"/>
    <w:rsid w:val="008E2294"/>
    <w:rsid w:val="008E5870"/>
    <w:rsid w:val="008E60E9"/>
    <w:rsid w:val="008F4BE8"/>
    <w:rsid w:val="008F5168"/>
    <w:rsid w:val="008F6255"/>
    <w:rsid w:val="009007EE"/>
    <w:rsid w:val="0090269B"/>
    <w:rsid w:val="009079E1"/>
    <w:rsid w:val="00910300"/>
    <w:rsid w:val="00913576"/>
    <w:rsid w:val="0092613A"/>
    <w:rsid w:val="009314F7"/>
    <w:rsid w:val="0093275C"/>
    <w:rsid w:val="00936B8F"/>
    <w:rsid w:val="00936DE9"/>
    <w:rsid w:val="00941645"/>
    <w:rsid w:val="00941CE6"/>
    <w:rsid w:val="00957729"/>
    <w:rsid w:val="00965F01"/>
    <w:rsid w:val="00970152"/>
    <w:rsid w:val="00993506"/>
    <w:rsid w:val="009936E9"/>
    <w:rsid w:val="00995A41"/>
    <w:rsid w:val="009A277F"/>
    <w:rsid w:val="009B0EDF"/>
    <w:rsid w:val="009C00CE"/>
    <w:rsid w:val="009C0E12"/>
    <w:rsid w:val="009C23DE"/>
    <w:rsid w:val="009D3402"/>
    <w:rsid w:val="009D35F1"/>
    <w:rsid w:val="009D3CF0"/>
    <w:rsid w:val="009D62D0"/>
    <w:rsid w:val="009E3556"/>
    <w:rsid w:val="009E39E6"/>
    <w:rsid w:val="009E78D4"/>
    <w:rsid w:val="009F5109"/>
    <w:rsid w:val="00A044A3"/>
    <w:rsid w:val="00A103F7"/>
    <w:rsid w:val="00A26483"/>
    <w:rsid w:val="00A406A2"/>
    <w:rsid w:val="00A4792A"/>
    <w:rsid w:val="00A5200C"/>
    <w:rsid w:val="00A60F30"/>
    <w:rsid w:val="00A77151"/>
    <w:rsid w:val="00A84F69"/>
    <w:rsid w:val="00A85EA0"/>
    <w:rsid w:val="00AB2D33"/>
    <w:rsid w:val="00AC10E8"/>
    <w:rsid w:val="00AC4112"/>
    <w:rsid w:val="00AC68AA"/>
    <w:rsid w:val="00AD147A"/>
    <w:rsid w:val="00AD7CE4"/>
    <w:rsid w:val="00AE6434"/>
    <w:rsid w:val="00AF0D8D"/>
    <w:rsid w:val="00AF6488"/>
    <w:rsid w:val="00B148B6"/>
    <w:rsid w:val="00B235B9"/>
    <w:rsid w:val="00B370A1"/>
    <w:rsid w:val="00B66448"/>
    <w:rsid w:val="00B66AAC"/>
    <w:rsid w:val="00B7114C"/>
    <w:rsid w:val="00B81C54"/>
    <w:rsid w:val="00B82E9A"/>
    <w:rsid w:val="00B84B6C"/>
    <w:rsid w:val="00B937F5"/>
    <w:rsid w:val="00BB5853"/>
    <w:rsid w:val="00BB5FAA"/>
    <w:rsid w:val="00BC181A"/>
    <w:rsid w:val="00BC7F6D"/>
    <w:rsid w:val="00BE32F6"/>
    <w:rsid w:val="00BE42F0"/>
    <w:rsid w:val="00BF2DD9"/>
    <w:rsid w:val="00C13C9A"/>
    <w:rsid w:val="00C168C5"/>
    <w:rsid w:val="00C2614F"/>
    <w:rsid w:val="00C44490"/>
    <w:rsid w:val="00C45D8F"/>
    <w:rsid w:val="00C46046"/>
    <w:rsid w:val="00C56B00"/>
    <w:rsid w:val="00C57802"/>
    <w:rsid w:val="00C62407"/>
    <w:rsid w:val="00C74686"/>
    <w:rsid w:val="00C74B0A"/>
    <w:rsid w:val="00C860D2"/>
    <w:rsid w:val="00C863CE"/>
    <w:rsid w:val="00C94758"/>
    <w:rsid w:val="00CA25A4"/>
    <w:rsid w:val="00CC21A7"/>
    <w:rsid w:val="00CC59E7"/>
    <w:rsid w:val="00CE5936"/>
    <w:rsid w:val="00CF127D"/>
    <w:rsid w:val="00CF46E7"/>
    <w:rsid w:val="00D02DE5"/>
    <w:rsid w:val="00D02F89"/>
    <w:rsid w:val="00D115F9"/>
    <w:rsid w:val="00D141C4"/>
    <w:rsid w:val="00D151B5"/>
    <w:rsid w:val="00D15EE0"/>
    <w:rsid w:val="00D26F81"/>
    <w:rsid w:val="00D306E3"/>
    <w:rsid w:val="00D32467"/>
    <w:rsid w:val="00D34878"/>
    <w:rsid w:val="00D363DF"/>
    <w:rsid w:val="00D439E7"/>
    <w:rsid w:val="00D43FB8"/>
    <w:rsid w:val="00D465B4"/>
    <w:rsid w:val="00D46C23"/>
    <w:rsid w:val="00D564D1"/>
    <w:rsid w:val="00D56616"/>
    <w:rsid w:val="00D56F93"/>
    <w:rsid w:val="00D6053E"/>
    <w:rsid w:val="00D64379"/>
    <w:rsid w:val="00D732AB"/>
    <w:rsid w:val="00D76830"/>
    <w:rsid w:val="00D77412"/>
    <w:rsid w:val="00D85779"/>
    <w:rsid w:val="00D9015F"/>
    <w:rsid w:val="00D96C15"/>
    <w:rsid w:val="00DA08B4"/>
    <w:rsid w:val="00DA19C9"/>
    <w:rsid w:val="00DA555D"/>
    <w:rsid w:val="00DB7EBB"/>
    <w:rsid w:val="00DD1B86"/>
    <w:rsid w:val="00DD72D5"/>
    <w:rsid w:val="00DE116E"/>
    <w:rsid w:val="00DE5D4B"/>
    <w:rsid w:val="00E0008F"/>
    <w:rsid w:val="00E003F6"/>
    <w:rsid w:val="00E01C67"/>
    <w:rsid w:val="00E12607"/>
    <w:rsid w:val="00E156BB"/>
    <w:rsid w:val="00E254E4"/>
    <w:rsid w:val="00E269D0"/>
    <w:rsid w:val="00E271DC"/>
    <w:rsid w:val="00E30D19"/>
    <w:rsid w:val="00E36F75"/>
    <w:rsid w:val="00E370F8"/>
    <w:rsid w:val="00E6516D"/>
    <w:rsid w:val="00E756CA"/>
    <w:rsid w:val="00EA0DAC"/>
    <w:rsid w:val="00EA75A6"/>
    <w:rsid w:val="00EB1D9F"/>
    <w:rsid w:val="00EB6EE8"/>
    <w:rsid w:val="00EC1138"/>
    <w:rsid w:val="00EC6597"/>
    <w:rsid w:val="00ED0539"/>
    <w:rsid w:val="00ED6C35"/>
    <w:rsid w:val="00EE4FD1"/>
    <w:rsid w:val="00EF5791"/>
    <w:rsid w:val="00EF6900"/>
    <w:rsid w:val="00F07176"/>
    <w:rsid w:val="00F15708"/>
    <w:rsid w:val="00F20764"/>
    <w:rsid w:val="00F20E14"/>
    <w:rsid w:val="00F21FAE"/>
    <w:rsid w:val="00F223E7"/>
    <w:rsid w:val="00F278B4"/>
    <w:rsid w:val="00F31BCD"/>
    <w:rsid w:val="00F336D8"/>
    <w:rsid w:val="00F33EA3"/>
    <w:rsid w:val="00F35E4E"/>
    <w:rsid w:val="00F3693F"/>
    <w:rsid w:val="00F37840"/>
    <w:rsid w:val="00F4022E"/>
    <w:rsid w:val="00F41714"/>
    <w:rsid w:val="00F5209A"/>
    <w:rsid w:val="00F60DED"/>
    <w:rsid w:val="00F62437"/>
    <w:rsid w:val="00F652CB"/>
    <w:rsid w:val="00F660DE"/>
    <w:rsid w:val="00F81879"/>
    <w:rsid w:val="00F835E9"/>
    <w:rsid w:val="00F96F9E"/>
    <w:rsid w:val="00FA0D7C"/>
    <w:rsid w:val="00FA1C39"/>
    <w:rsid w:val="00FA2EC9"/>
    <w:rsid w:val="00FA698E"/>
    <w:rsid w:val="00FB1B33"/>
    <w:rsid w:val="00FB33D5"/>
    <w:rsid w:val="00FC3C6B"/>
    <w:rsid w:val="00FC751C"/>
    <w:rsid w:val="00FD37FE"/>
    <w:rsid w:val="00FE0D3E"/>
    <w:rsid w:val="00FF6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68"/>
  </w:style>
  <w:style w:type="paragraph" w:styleId="Heading1">
    <w:name w:val="heading 1"/>
    <w:basedOn w:val="Normal"/>
    <w:next w:val="Normal"/>
    <w:link w:val="Heading1Char"/>
    <w:uiPriority w:val="9"/>
    <w:qFormat/>
    <w:rsid w:val="0050026A"/>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026A"/>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860D2"/>
    <w:pPr>
      <w:keepNext/>
      <w:keepLines/>
      <w:numPr>
        <w:ilvl w:val="2"/>
        <w:numId w:val="1"/>
      </w:numPr>
      <w:spacing w:before="200" w:after="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2B142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142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142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142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142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142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26A"/>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50026A"/>
    <w:rPr>
      <w:rFonts w:asciiTheme="majorHAnsi" w:eastAsiaTheme="majorEastAsia" w:hAnsiTheme="majorHAnsi" w:cstheme="majorBidi"/>
      <w:spacing w:val="5"/>
      <w:kern w:val="28"/>
      <w:sz w:val="32"/>
      <w:szCs w:val="52"/>
    </w:rPr>
  </w:style>
  <w:style w:type="character" w:customStyle="1" w:styleId="Heading1Char">
    <w:name w:val="Heading 1 Char"/>
    <w:basedOn w:val="DefaultParagraphFont"/>
    <w:link w:val="Heading1"/>
    <w:uiPriority w:val="9"/>
    <w:rsid w:val="005002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026A"/>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860D2"/>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2B14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14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14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14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14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142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477161"/>
    <w:pPr>
      <w:spacing w:after="0" w:line="240" w:lineRule="auto"/>
    </w:pPr>
    <w:rPr>
      <w:sz w:val="20"/>
      <w:szCs w:val="20"/>
    </w:rPr>
  </w:style>
  <w:style w:type="character" w:customStyle="1" w:styleId="FootnoteTextChar">
    <w:name w:val="Footnote Text Char"/>
    <w:basedOn w:val="DefaultParagraphFont"/>
    <w:link w:val="FootnoteText"/>
    <w:uiPriority w:val="99"/>
    <w:rsid w:val="00477161"/>
    <w:rPr>
      <w:sz w:val="20"/>
      <w:szCs w:val="20"/>
    </w:rPr>
  </w:style>
  <w:style w:type="character" w:styleId="FootnoteReference">
    <w:name w:val="footnote reference"/>
    <w:basedOn w:val="DefaultParagraphFont"/>
    <w:uiPriority w:val="99"/>
    <w:unhideWhenUsed/>
    <w:rsid w:val="00477161"/>
    <w:rPr>
      <w:vertAlign w:val="superscript"/>
    </w:rPr>
  </w:style>
  <w:style w:type="paragraph" w:styleId="ListParagraph">
    <w:name w:val="List Paragraph"/>
    <w:basedOn w:val="Normal"/>
    <w:uiPriority w:val="34"/>
    <w:qFormat/>
    <w:rsid w:val="00004C99"/>
    <w:pPr>
      <w:ind w:left="720"/>
      <w:contextualSpacing/>
    </w:pPr>
  </w:style>
  <w:style w:type="table" w:styleId="TableGrid">
    <w:name w:val="Table Grid"/>
    <w:basedOn w:val="TableNormal"/>
    <w:uiPriority w:val="59"/>
    <w:rsid w:val="001C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1D43"/>
    <w:rPr>
      <w:color w:val="0000FF"/>
      <w:u w:val="single"/>
    </w:rPr>
  </w:style>
  <w:style w:type="paragraph" w:styleId="TOC1">
    <w:name w:val="toc 1"/>
    <w:basedOn w:val="Normal"/>
    <w:next w:val="Normal"/>
    <w:autoRedefine/>
    <w:uiPriority w:val="39"/>
    <w:rsid w:val="001236E9"/>
    <w:rPr>
      <w:rFonts w:ascii="Calibri" w:eastAsia="Calibri" w:hAnsi="Calibri" w:cs="Times New Roman"/>
    </w:rPr>
  </w:style>
  <w:style w:type="paragraph" w:customStyle="1" w:styleId="abstract">
    <w:name w:val="abstract"/>
    <w:basedOn w:val="Normal"/>
    <w:next w:val="keywords"/>
    <w:rsid w:val="001236E9"/>
    <w:pPr>
      <w:spacing w:before="120"/>
    </w:pPr>
    <w:rPr>
      <w:rFonts w:ascii="Calibri" w:eastAsia="Calibri" w:hAnsi="Calibri" w:cs="Times New Roman"/>
      <w:sz w:val="20"/>
    </w:rPr>
  </w:style>
  <w:style w:type="paragraph" w:customStyle="1" w:styleId="keywords">
    <w:name w:val="keywords"/>
    <w:basedOn w:val="Normal"/>
    <w:next w:val="Normal"/>
    <w:rsid w:val="001236E9"/>
    <w:pPr>
      <w:spacing w:before="120"/>
    </w:pPr>
    <w:rPr>
      <w:rFonts w:ascii="Calibri" w:eastAsia="Calibri" w:hAnsi="Calibri" w:cs="Times New Roman"/>
      <w:i/>
    </w:rPr>
  </w:style>
  <w:style w:type="paragraph" w:customStyle="1" w:styleId="Title1">
    <w:name w:val="Title1"/>
    <w:basedOn w:val="Normal"/>
    <w:next w:val="author"/>
    <w:rsid w:val="001236E9"/>
    <w:rPr>
      <w:rFonts w:ascii="Arial" w:eastAsia="Calibri" w:hAnsi="Arial" w:cs="Times New Roman"/>
      <w:b/>
      <w:sz w:val="36"/>
    </w:rPr>
  </w:style>
  <w:style w:type="paragraph" w:customStyle="1" w:styleId="author">
    <w:name w:val="author"/>
    <w:basedOn w:val="Normal"/>
    <w:next w:val="affiliation"/>
    <w:rsid w:val="001236E9"/>
    <w:pPr>
      <w:spacing w:before="120"/>
    </w:pPr>
    <w:rPr>
      <w:rFonts w:ascii="Calibri" w:eastAsia="Calibri" w:hAnsi="Calibri" w:cs="Times New Roman"/>
    </w:rPr>
  </w:style>
  <w:style w:type="paragraph" w:customStyle="1" w:styleId="affiliation">
    <w:name w:val="affiliation"/>
    <w:basedOn w:val="Normal"/>
    <w:next w:val="Normal"/>
    <w:rsid w:val="001236E9"/>
    <w:pPr>
      <w:spacing w:before="120" w:line="240" w:lineRule="auto"/>
    </w:pPr>
    <w:rPr>
      <w:rFonts w:ascii="Calibri" w:eastAsia="Calibri" w:hAnsi="Calibri" w:cs="Times New Roman"/>
      <w:i/>
    </w:rPr>
  </w:style>
  <w:style w:type="paragraph" w:customStyle="1" w:styleId="heading10">
    <w:name w:val="heading1"/>
    <w:basedOn w:val="Normal"/>
    <w:next w:val="Normal"/>
    <w:rsid w:val="001236E9"/>
    <w:pPr>
      <w:keepNext/>
      <w:spacing w:before="240" w:after="180"/>
    </w:pPr>
    <w:rPr>
      <w:rFonts w:ascii="Arial" w:eastAsia="Calibri" w:hAnsi="Arial" w:cs="Times New Roman"/>
      <w:b/>
      <w:sz w:val="32"/>
    </w:rPr>
  </w:style>
  <w:style w:type="paragraph" w:customStyle="1" w:styleId="heading20">
    <w:name w:val="heading2"/>
    <w:basedOn w:val="Normal"/>
    <w:next w:val="Normal"/>
    <w:rsid w:val="001236E9"/>
    <w:pPr>
      <w:keepNext/>
      <w:spacing w:before="240" w:after="180"/>
    </w:pPr>
    <w:rPr>
      <w:rFonts w:ascii="Arial" w:eastAsia="Calibri" w:hAnsi="Arial" w:cs="Times New Roman"/>
      <w:b/>
    </w:rPr>
  </w:style>
  <w:style w:type="paragraph" w:customStyle="1" w:styleId="heading30">
    <w:name w:val="heading3"/>
    <w:basedOn w:val="Normal"/>
    <w:next w:val="Normal"/>
    <w:rsid w:val="001236E9"/>
    <w:pPr>
      <w:keepNext/>
      <w:spacing w:before="240" w:after="180"/>
    </w:pPr>
    <w:rPr>
      <w:rFonts w:ascii="Arial" w:eastAsia="Calibri" w:hAnsi="Arial" w:cs="Times New Roman"/>
      <w:i/>
    </w:rPr>
  </w:style>
  <w:style w:type="paragraph" w:customStyle="1" w:styleId="acknowledgements">
    <w:name w:val="acknowledgements"/>
    <w:basedOn w:val="abstract"/>
    <w:next w:val="Normal"/>
    <w:rsid w:val="001236E9"/>
    <w:pPr>
      <w:spacing w:before="240"/>
    </w:pPr>
  </w:style>
  <w:style w:type="paragraph" w:customStyle="1" w:styleId="reference">
    <w:name w:val="reference"/>
    <w:basedOn w:val="Normal"/>
    <w:rsid w:val="001236E9"/>
    <w:rPr>
      <w:rFonts w:ascii="Calibri" w:eastAsia="Calibri" w:hAnsi="Calibri" w:cs="Times New Roman"/>
      <w:sz w:val="20"/>
    </w:rPr>
  </w:style>
  <w:style w:type="paragraph" w:customStyle="1" w:styleId="tablelegend">
    <w:name w:val="tablelegend"/>
    <w:basedOn w:val="Normal"/>
    <w:next w:val="Normal"/>
    <w:rsid w:val="001236E9"/>
    <w:pPr>
      <w:spacing w:before="120"/>
    </w:pPr>
    <w:rPr>
      <w:rFonts w:ascii="Calibri" w:eastAsia="Calibri" w:hAnsi="Calibri" w:cs="Times New Roman"/>
      <w:sz w:val="20"/>
    </w:rPr>
  </w:style>
  <w:style w:type="character" w:styleId="CommentReference">
    <w:name w:val="annotation reference"/>
    <w:basedOn w:val="DefaultParagraphFont"/>
    <w:uiPriority w:val="99"/>
    <w:semiHidden/>
    <w:unhideWhenUsed/>
    <w:rsid w:val="00EC1138"/>
    <w:rPr>
      <w:sz w:val="16"/>
      <w:szCs w:val="16"/>
    </w:rPr>
  </w:style>
  <w:style w:type="paragraph" w:styleId="CommentText">
    <w:name w:val="annotation text"/>
    <w:basedOn w:val="Normal"/>
    <w:link w:val="CommentTextChar"/>
    <w:uiPriority w:val="99"/>
    <w:semiHidden/>
    <w:unhideWhenUsed/>
    <w:rsid w:val="00EC1138"/>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EC1138"/>
    <w:rPr>
      <w:rFonts w:eastAsiaTheme="minorEastAsia"/>
      <w:sz w:val="20"/>
      <w:szCs w:val="20"/>
      <w:lang w:eastAsia="zh-CN"/>
    </w:rPr>
  </w:style>
  <w:style w:type="paragraph" w:styleId="BalloonText">
    <w:name w:val="Balloon Text"/>
    <w:basedOn w:val="Normal"/>
    <w:link w:val="BalloonTextChar"/>
    <w:uiPriority w:val="99"/>
    <w:semiHidden/>
    <w:unhideWhenUsed/>
    <w:rsid w:val="00EC1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138"/>
    <w:rPr>
      <w:rFonts w:ascii="Tahoma" w:hAnsi="Tahoma" w:cs="Tahoma"/>
      <w:sz w:val="16"/>
      <w:szCs w:val="16"/>
    </w:rPr>
  </w:style>
  <w:style w:type="paragraph" w:styleId="Caption">
    <w:name w:val="caption"/>
    <w:basedOn w:val="Normal"/>
    <w:next w:val="Normal"/>
    <w:uiPriority w:val="35"/>
    <w:unhideWhenUsed/>
    <w:qFormat/>
    <w:rsid w:val="001B32BF"/>
    <w:pPr>
      <w:spacing w:line="240" w:lineRule="auto"/>
      <w:jc w:val="both"/>
    </w:pPr>
    <w:rPr>
      <w:b/>
      <w:bCs/>
      <w:color w:val="4F81BD" w:themeColor="accent1"/>
      <w:sz w:val="18"/>
      <w:szCs w:val="18"/>
    </w:rPr>
  </w:style>
  <w:style w:type="paragraph" w:styleId="Header">
    <w:name w:val="header"/>
    <w:basedOn w:val="Normal"/>
    <w:link w:val="HeaderChar"/>
    <w:uiPriority w:val="99"/>
    <w:semiHidden/>
    <w:unhideWhenUsed/>
    <w:rsid w:val="009C0E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0E12"/>
  </w:style>
  <w:style w:type="paragraph" w:styleId="Footer">
    <w:name w:val="footer"/>
    <w:basedOn w:val="Normal"/>
    <w:link w:val="FooterChar"/>
    <w:uiPriority w:val="99"/>
    <w:semiHidden/>
    <w:unhideWhenUsed/>
    <w:rsid w:val="009C0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0E12"/>
  </w:style>
  <w:style w:type="paragraph" w:styleId="EndnoteText">
    <w:name w:val="endnote text"/>
    <w:basedOn w:val="Normal"/>
    <w:link w:val="EndnoteTextChar"/>
    <w:uiPriority w:val="99"/>
    <w:semiHidden/>
    <w:unhideWhenUsed/>
    <w:rsid w:val="007736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655"/>
    <w:rPr>
      <w:sz w:val="20"/>
      <w:szCs w:val="20"/>
    </w:rPr>
  </w:style>
  <w:style w:type="character" w:styleId="EndnoteReference">
    <w:name w:val="endnote reference"/>
    <w:basedOn w:val="DefaultParagraphFont"/>
    <w:uiPriority w:val="99"/>
    <w:semiHidden/>
    <w:unhideWhenUsed/>
    <w:rsid w:val="00773655"/>
    <w:rPr>
      <w:vertAlign w:val="superscript"/>
    </w:rPr>
  </w:style>
  <w:style w:type="character" w:customStyle="1" w:styleId="apple-converted-space">
    <w:name w:val="apple-converted-space"/>
    <w:basedOn w:val="DefaultParagraphFont"/>
    <w:rsid w:val="00FA1C39"/>
  </w:style>
  <w:style w:type="character" w:customStyle="1" w:styleId="slug-doi">
    <w:name w:val="slug-doi"/>
    <w:basedOn w:val="DefaultParagraphFont"/>
    <w:rsid w:val="00FA1C39"/>
  </w:style>
  <w:style w:type="table" w:styleId="LightShading">
    <w:name w:val="Light Shading"/>
    <w:basedOn w:val="TableNormal"/>
    <w:uiPriority w:val="60"/>
    <w:rsid w:val="006021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68"/>
  </w:style>
  <w:style w:type="paragraph" w:styleId="Heading1">
    <w:name w:val="heading 1"/>
    <w:basedOn w:val="Normal"/>
    <w:next w:val="Normal"/>
    <w:link w:val="Heading1Char"/>
    <w:uiPriority w:val="9"/>
    <w:qFormat/>
    <w:rsid w:val="0050026A"/>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026A"/>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860D2"/>
    <w:pPr>
      <w:keepNext/>
      <w:keepLines/>
      <w:numPr>
        <w:ilvl w:val="2"/>
        <w:numId w:val="1"/>
      </w:numPr>
      <w:spacing w:before="200" w:after="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2B142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142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142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142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142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142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26A"/>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50026A"/>
    <w:rPr>
      <w:rFonts w:asciiTheme="majorHAnsi" w:eastAsiaTheme="majorEastAsia" w:hAnsiTheme="majorHAnsi" w:cstheme="majorBidi"/>
      <w:spacing w:val="5"/>
      <w:kern w:val="28"/>
      <w:sz w:val="32"/>
      <w:szCs w:val="52"/>
    </w:rPr>
  </w:style>
  <w:style w:type="character" w:customStyle="1" w:styleId="Heading1Char">
    <w:name w:val="Heading 1 Char"/>
    <w:basedOn w:val="DefaultParagraphFont"/>
    <w:link w:val="Heading1"/>
    <w:uiPriority w:val="9"/>
    <w:rsid w:val="005002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026A"/>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860D2"/>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2B14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14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14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14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14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142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477161"/>
    <w:pPr>
      <w:spacing w:after="0" w:line="240" w:lineRule="auto"/>
    </w:pPr>
    <w:rPr>
      <w:sz w:val="20"/>
      <w:szCs w:val="20"/>
    </w:rPr>
  </w:style>
  <w:style w:type="character" w:customStyle="1" w:styleId="FootnoteTextChar">
    <w:name w:val="Footnote Text Char"/>
    <w:basedOn w:val="DefaultParagraphFont"/>
    <w:link w:val="FootnoteText"/>
    <w:uiPriority w:val="99"/>
    <w:rsid w:val="00477161"/>
    <w:rPr>
      <w:sz w:val="20"/>
      <w:szCs w:val="20"/>
    </w:rPr>
  </w:style>
  <w:style w:type="character" w:styleId="FootnoteReference">
    <w:name w:val="footnote reference"/>
    <w:basedOn w:val="DefaultParagraphFont"/>
    <w:uiPriority w:val="99"/>
    <w:unhideWhenUsed/>
    <w:rsid w:val="00477161"/>
    <w:rPr>
      <w:vertAlign w:val="superscript"/>
    </w:rPr>
  </w:style>
  <w:style w:type="paragraph" w:styleId="ListParagraph">
    <w:name w:val="List Paragraph"/>
    <w:basedOn w:val="Normal"/>
    <w:uiPriority w:val="34"/>
    <w:qFormat/>
    <w:rsid w:val="00004C99"/>
    <w:pPr>
      <w:ind w:left="720"/>
      <w:contextualSpacing/>
    </w:pPr>
  </w:style>
  <w:style w:type="table" w:styleId="TableGrid">
    <w:name w:val="Table Grid"/>
    <w:basedOn w:val="TableNormal"/>
    <w:uiPriority w:val="59"/>
    <w:rsid w:val="001C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1D43"/>
    <w:rPr>
      <w:color w:val="0000FF"/>
      <w:u w:val="single"/>
    </w:rPr>
  </w:style>
  <w:style w:type="paragraph" w:styleId="TOC1">
    <w:name w:val="toc 1"/>
    <w:basedOn w:val="Normal"/>
    <w:next w:val="Normal"/>
    <w:autoRedefine/>
    <w:uiPriority w:val="39"/>
    <w:rsid w:val="001236E9"/>
    <w:rPr>
      <w:rFonts w:ascii="Calibri" w:eastAsia="Calibri" w:hAnsi="Calibri" w:cs="Times New Roman"/>
    </w:rPr>
  </w:style>
  <w:style w:type="paragraph" w:customStyle="1" w:styleId="abstract">
    <w:name w:val="abstract"/>
    <w:basedOn w:val="Normal"/>
    <w:next w:val="keywords"/>
    <w:rsid w:val="001236E9"/>
    <w:pPr>
      <w:spacing w:before="120"/>
    </w:pPr>
    <w:rPr>
      <w:rFonts w:ascii="Calibri" w:eastAsia="Calibri" w:hAnsi="Calibri" w:cs="Times New Roman"/>
      <w:sz w:val="20"/>
    </w:rPr>
  </w:style>
  <w:style w:type="paragraph" w:customStyle="1" w:styleId="keywords">
    <w:name w:val="keywords"/>
    <w:basedOn w:val="Normal"/>
    <w:next w:val="Normal"/>
    <w:rsid w:val="001236E9"/>
    <w:pPr>
      <w:spacing w:before="120"/>
    </w:pPr>
    <w:rPr>
      <w:rFonts w:ascii="Calibri" w:eastAsia="Calibri" w:hAnsi="Calibri" w:cs="Times New Roman"/>
      <w:i/>
    </w:rPr>
  </w:style>
  <w:style w:type="paragraph" w:customStyle="1" w:styleId="Title1">
    <w:name w:val="Title1"/>
    <w:basedOn w:val="Normal"/>
    <w:next w:val="author"/>
    <w:rsid w:val="001236E9"/>
    <w:rPr>
      <w:rFonts w:ascii="Arial" w:eastAsia="Calibri" w:hAnsi="Arial" w:cs="Times New Roman"/>
      <w:b/>
      <w:sz w:val="36"/>
    </w:rPr>
  </w:style>
  <w:style w:type="paragraph" w:customStyle="1" w:styleId="author">
    <w:name w:val="author"/>
    <w:basedOn w:val="Normal"/>
    <w:next w:val="affiliation"/>
    <w:rsid w:val="001236E9"/>
    <w:pPr>
      <w:spacing w:before="120"/>
    </w:pPr>
    <w:rPr>
      <w:rFonts w:ascii="Calibri" w:eastAsia="Calibri" w:hAnsi="Calibri" w:cs="Times New Roman"/>
    </w:rPr>
  </w:style>
  <w:style w:type="paragraph" w:customStyle="1" w:styleId="affiliation">
    <w:name w:val="affiliation"/>
    <w:basedOn w:val="Normal"/>
    <w:next w:val="Normal"/>
    <w:rsid w:val="001236E9"/>
    <w:pPr>
      <w:spacing w:before="120" w:line="240" w:lineRule="auto"/>
    </w:pPr>
    <w:rPr>
      <w:rFonts w:ascii="Calibri" w:eastAsia="Calibri" w:hAnsi="Calibri" w:cs="Times New Roman"/>
      <w:i/>
    </w:rPr>
  </w:style>
  <w:style w:type="paragraph" w:customStyle="1" w:styleId="heading10">
    <w:name w:val="heading1"/>
    <w:basedOn w:val="Normal"/>
    <w:next w:val="Normal"/>
    <w:rsid w:val="001236E9"/>
    <w:pPr>
      <w:keepNext/>
      <w:spacing w:before="240" w:after="180"/>
    </w:pPr>
    <w:rPr>
      <w:rFonts w:ascii="Arial" w:eastAsia="Calibri" w:hAnsi="Arial" w:cs="Times New Roman"/>
      <w:b/>
      <w:sz w:val="32"/>
    </w:rPr>
  </w:style>
  <w:style w:type="paragraph" w:customStyle="1" w:styleId="heading20">
    <w:name w:val="heading2"/>
    <w:basedOn w:val="Normal"/>
    <w:next w:val="Normal"/>
    <w:rsid w:val="001236E9"/>
    <w:pPr>
      <w:keepNext/>
      <w:spacing w:before="240" w:after="180"/>
    </w:pPr>
    <w:rPr>
      <w:rFonts w:ascii="Arial" w:eastAsia="Calibri" w:hAnsi="Arial" w:cs="Times New Roman"/>
      <w:b/>
    </w:rPr>
  </w:style>
  <w:style w:type="paragraph" w:customStyle="1" w:styleId="heading30">
    <w:name w:val="heading3"/>
    <w:basedOn w:val="Normal"/>
    <w:next w:val="Normal"/>
    <w:rsid w:val="001236E9"/>
    <w:pPr>
      <w:keepNext/>
      <w:spacing w:before="240" w:after="180"/>
    </w:pPr>
    <w:rPr>
      <w:rFonts w:ascii="Arial" w:eastAsia="Calibri" w:hAnsi="Arial" w:cs="Times New Roman"/>
      <w:i/>
    </w:rPr>
  </w:style>
  <w:style w:type="paragraph" w:customStyle="1" w:styleId="acknowledgements">
    <w:name w:val="acknowledgements"/>
    <w:basedOn w:val="abstract"/>
    <w:next w:val="Normal"/>
    <w:rsid w:val="001236E9"/>
    <w:pPr>
      <w:spacing w:before="240"/>
    </w:pPr>
  </w:style>
  <w:style w:type="paragraph" w:customStyle="1" w:styleId="reference">
    <w:name w:val="reference"/>
    <w:basedOn w:val="Normal"/>
    <w:rsid w:val="001236E9"/>
    <w:rPr>
      <w:rFonts w:ascii="Calibri" w:eastAsia="Calibri" w:hAnsi="Calibri" w:cs="Times New Roman"/>
      <w:sz w:val="20"/>
    </w:rPr>
  </w:style>
  <w:style w:type="paragraph" w:customStyle="1" w:styleId="tablelegend">
    <w:name w:val="tablelegend"/>
    <w:basedOn w:val="Normal"/>
    <w:next w:val="Normal"/>
    <w:rsid w:val="001236E9"/>
    <w:pPr>
      <w:spacing w:before="120"/>
    </w:pPr>
    <w:rPr>
      <w:rFonts w:ascii="Calibri" w:eastAsia="Calibri" w:hAnsi="Calibri" w:cs="Times New Roman"/>
      <w:sz w:val="20"/>
    </w:rPr>
  </w:style>
  <w:style w:type="character" w:styleId="CommentReference">
    <w:name w:val="annotation reference"/>
    <w:basedOn w:val="DefaultParagraphFont"/>
    <w:uiPriority w:val="99"/>
    <w:semiHidden/>
    <w:unhideWhenUsed/>
    <w:rsid w:val="00EC1138"/>
    <w:rPr>
      <w:sz w:val="16"/>
      <w:szCs w:val="16"/>
    </w:rPr>
  </w:style>
  <w:style w:type="paragraph" w:styleId="CommentText">
    <w:name w:val="annotation text"/>
    <w:basedOn w:val="Normal"/>
    <w:link w:val="CommentTextChar"/>
    <w:uiPriority w:val="99"/>
    <w:semiHidden/>
    <w:unhideWhenUsed/>
    <w:rsid w:val="00EC1138"/>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EC1138"/>
    <w:rPr>
      <w:rFonts w:eastAsiaTheme="minorEastAsia"/>
      <w:sz w:val="20"/>
      <w:szCs w:val="20"/>
      <w:lang w:eastAsia="zh-CN"/>
    </w:rPr>
  </w:style>
  <w:style w:type="paragraph" w:styleId="BalloonText">
    <w:name w:val="Balloon Text"/>
    <w:basedOn w:val="Normal"/>
    <w:link w:val="BalloonTextChar"/>
    <w:uiPriority w:val="99"/>
    <w:semiHidden/>
    <w:unhideWhenUsed/>
    <w:rsid w:val="00EC1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138"/>
    <w:rPr>
      <w:rFonts w:ascii="Tahoma" w:hAnsi="Tahoma" w:cs="Tahoma"/>
      <w:sz w:val="16"/>
      <w:szCs w:val="16"/>
    </w:rPr>
  </w:style>
  <w:style w:type="paragraph" w:styleId="Caption">
    <w:name w:val="caption"/>
    <w:basedOn w:val="Normal"/>
    <w:next w:val="Normal"/>
    <w:uiPriority w:val="35"/>
    <w:unhideWhenUsed/>
    <w:qFormat/>
    <w:rsid w:val="001B32BF"/>
    <w:pPr>
      <w:spacing w:line="240" w:lineRule="auto"/>
      <w:jc w:val="both"/>
    </w:pPr>
    <w:rPr>
      <w:b/>
      <w:bCs/>
      <w:color w:val="4F81BD" w:themeColor="accent1"/>
      <w:sz w:val="18"/>
      <w:szCs w:val="18"/>
    </w:rPr>
  </w:style>
  <w:style w:type="paragraph" w:styleId="Header">
    <w:name w:val="header"/>
    <w:basedOn w:val="Normal"/>
    <w:link w:val="HeaderChar"/>
    <w:uiPriority w:val="99"/>
    <w:semiHidden/>
    <w:unhideWhenUsed/>
    <w:rsid w:val="009C0E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0E12"/>
  </w:style>
  <w:style w:type="paragraph" w:styleId="Footer">
    <w:name w:val="footer"/>
    <w:basedOn w:val="Normal"/>
    <w:link w:val="FooterChar"/>
    <w:uiPriority w:val="99"/>
    <w:semiHidden/>
    <w:unhideWhenUsed/>
    <w:rsid w:val="009C0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0E12"/>
  </w:style>
  <w:style w:type="paragraph" w:styleId="EndnoteText">
    <w:name w:val="endnote text"/>
    <w:basedOn w:val="Normal"/>
    <w:link w:val="EndnoteTextChar"/>
    <w:uiPriority w:val="99"/>
    <w:semiHidden/>
    <w:unhideWhenUsed/>
    <w:rsid w:val="007736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655"/>
    <w:rPr>
      <w:sz w:val="20"/>
      <w:szCs w:val="20"/>
    </w:rPr>
  </w:style>
  <w:style w:type="character" w:styleId="EndnoteReference">
    <w:name w:val="endnote reference"/>
    <w:basedOn w:val="DefaultParagraphFont"/>
    <w:uiPriority w:val="99"/>
    <w:semiHidden/>
    <w:unhideWhenUsed/>
    <w:rsid w:val="00773655"/>
    <w:rPr>
      <w:vertAlign w:val="superscript"/>
    </w:rPr>
  </w:style>
  <w:style w:type="character" w:customStyle="1" w:styleId="apple-converted-space">
    <w:name w:val="apple-converted-space"/>
    <w:basedOn w:val="DefaultParagraphFont"/>
    <w:rsid w:val="00FA1C39"/>
  </w:style>
  <w:style w:type="character" w:customStyle="1" w:styleId="slug-doi">
    <w:name w:val="slug-doi"/>
    <w:basedOn w:val="DefaultParagraphFont"/>
    <w:rsid w:val="00FA1C39"/>
  </w:style>
  <w:style w:type="table" w:styleId="LightShading">
    <w:name w:val="Light Shading"/>
    <w:basedOn w:val="TableNormal"/>
    <w:uiPriority w:val="60"/>
    <w:rsid w:val="006021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dx.doi.org/10.1080/09535314.2013.769938"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1021/es300171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arkas\Dropbox\Leeds\PhD\PhD\Leeds\Thesis\Chapter_CCC_3.2.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arkas\Dropbox\Leeds\PhD\PhD\Leeds\Thesis\Chapter_CCC_3.2.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arkas\Dropbox\Leeds\PhD\PhD\Leeds\Thesis\Chapter_CCC_3.2.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arkas\Dropbox\Leeds\PhD\PhD\Leeds\Thesis\Chapter_CCC_3.2.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arkas\Dropbox\Leeds\PhD\PhD\Leeds\Thesis\Chapter_CCC_3.2.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arkas\Dropbox\Leeds\PhD\PhD\Leeds\Thesis\Chapter_CCC_3.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'Summary CO2'!$D$3</c:f>
              <c:strCache>
                <c:ptCount val="1"/>
                <c:pt idx="0">
                  <c:v>UK</c:v>
                </c:pt>
              </c:strCache>
            </c:strRef>
          </c:tx>
          <c:invertIfNegative val="0"/>
          <c:cat>
            <c:numRef>
              <c:f>('Summary CO2'!$C$4,'Summary CO2'!$C$21)</c:f>
              <c:numCache>
                <c:formatCode>General</c:formatCode>
                <c:ptCount val="2"/>
                <c:pt idx="0">
                  <c:v>1993</c:v>
                </c:pt>
                <c:pt idx="1">
                  <c:v>2010</c:v>
                </c:pt>
              </c:numCache>
            </c:numRef>
          </c:cat>
          <c:val>
            <c:numRef>
              <c:f>('Summary CO2'!$D$4,'Summary CO2'!$D$21)</c:f>
              <c:numCache>
                <c:formatCode>_-* #,##0_-;\-* #,##0_-;_-* "-"??_-;_-@_-</c:formatCode>
                <c:ptCount val="2"/>
                <c:pt idx="0">
                  <c:v>298939.85603251198</c:v>
                </c:pt>
                <c:pt idx="1">
                  <c:v>274478.64582880819</c:v>
                </c:pt>
              </c:numCache>
            </c:numRef>
          </c:val>
        </c:ser>
        <c:ser>
          <c:idx val="1"/>
          <c:order val="1"/>
          <c:tx>
            <c:strRef>
              <c:f>'Summary CO2'!$E$3</c:f>
              <c:strCache>
                <c:ptCount val="1"/>
                <c:pt idx="0">
                  <c:v>UK hh direct</c:v>
                </c:pt>
              </c:strCache>
            </c:strRef>
          </c:tx>
          <c:invertIfNegative val="0"/>
          <c:cat>
            <c:numRef>
              <c:f>('Summary CO2'!$C$4,'Summary CO2'!$C$21)</c:f>
              <c:numCache>
                <c:formatCode>General</c:formatCode>
                <c:ptCount val="2"/>
                <c:pt idx="0">
                  <c:v>1993</c:v>
                </c:pt>
                <c:pt idx="1">
                  <c:v>2010</c:v>
                </c:pt>
              </c:numCache>
            </c:numRef>
          </c:cat>
          <c:val>
            <c:numRef>
              <c:f>('Summary CO2'!$E$4,'Summary CO2'!$E$21)</c:f>
              <c:numCache>
                <c:formatCode>_-* #,##0_-;\-* #,##0_-;_-* "-"??_-;_-@_-</c:formatCode>
                <c:ptCount val="2"/>
                <c:pt idx="0">
                  <c:v>149714.5111943091</c:v>
                </c:pt>
                <c:pt idx="1">
                  <c:v>150371.11702792469</c:v>
                </c:pt>
              </c:numCache>
            </c:numRef>
          </c:val>
        </c:ser>
        <c:ser>
          <c:idx val="4"/>
          <c:order val="2"/>
          <c:tx>
            <c:strRef>
              <c:f>'Summary CO2'!$H$3</c:f>
              <c:strCache>
                <c:ptCount val="1"/>
                <c:pt idx="0">
                  <c:v>China</c:v>
                </c:pt>
              </c:strCache>
            </c:strRef>
          </c:tx>
          <c:invertIfNegative val="0"/>
          <c:cat>
            <c:numRef>
              <c:f>('Summary CO2'!$C$4,'Summary CO2'!$C$21)</c:f>
              <c:numCache>
                <c:formatCode>General</c:formatCode>
                <c:ptCount val="2"/>
                <c:pt idx="0">
                  <c:v>1993</c:v>
                </c:pt>
                <c:pt idx="1">
                  <c:v>2010</c:v>
                </c:pt>
              </c:numCache>
            </c:numRef>
          </c:cat>
          <c:val>
            <c:numRef>
              <c:f>('Summary CO2'!$H$4,'Summary CO2'!$H$21)</c:f>
              <c:numCache>
                <c:formatCode>_-* #,##0_-;\-* #,##0_-;_-* "-"??_-;_-@_-</c:formatCode>
                <c:ptCount val="2"/>
                <c:pt idx="0">
                  <c:v>25052.930561074354</c:v>
                </c:pt>
                <c:pt idx="1">
                  <c:v>85300.334316031454</c:v>
                </c:pt>
              </c:numCache>
            </c:numRef>
          </c:val>
        </c:ser>
        <c:ser>
          <c:idx val="3"/>
          <c:order val="3"/>
          <c:tx>
            <c:strRef>
              <c:f>'Summary CO2'!$G$3</c:f>
              <c:strCache>
                <c:ptCount val="1"/>
                <c:pt idx="0">
                  <c:v>OECD</c:v>
                </c:pt>
              </c:strCache>
            </c:strRef>
          </c:tx>
          <c:invertIfNegative val="0"/>
          <c:cat>
            <c:numRef>
              <c:f>('Summary CO2'!$C$4,'Summary CO2'!$C$21)</c:f>
              <c:numCache>
                <c:formatCode>General</c:formatCode>
                <c:ptCount val="2"/>
                <c:pt idx="0">
                  <c:v>1993</c:v>
                </c:pt>
                <c:pt idx="1">
                  <c:v>2010</c:v>
                </c:pt>
              </c:numCache>
            </c:numRef>
          </c:cat>
          <c:val>
            <c:numRef>
              <c:f>('Summary CO2'!$G$4,'Summary CO2'!$G$21)</c:f>
              <c:numCache>
                <c:formatCode>_-* #,##0_-;\-* #,##0_-;_-* "-"??_-;_-@_-</c:formatCode>
                <c:ptCount val="2"/>
                <c:pt idx="0">
                  <c:v>36898.731768616017</c:v>
                </c:pt>
                <c:pt idx="1">
                  <c:v>67457.430935453289</c:v>
                </c:pt>
              </c:numCache>
            </c:numRef>
          </c:val>
        </c:ser>
        <c:ser>
          <c:idx val="2"/>
          <c:order val="4"/>
          <c:tx>
            <c:strRef>
              <c:f>'Summary CO2'!$F$3</c:f>
              <c:strCache>
                <c:ptCount val="1"/>
                <c:pt idx="0">
                  <c:v>OECD_Europe</c:v>
                </c:pt>
              </c:strCache>
            </c:strRef>
          </c:tx>
          <c:invertIfNegative val="0"/>
          <c:cat>
            <c:numRef>
              <c:f>('Summary CO2'!$C$4,'Summary CO2'!$C$21)</c:f>
              <c:numCache>
                <c:formatCode>General</c:formatCode>
                <c:ptCount val="2"/>
                <c:pt idx="0">
                  <c:v>1993</c:v>
                </c:pt>
                <c:pt idx="1">
                  <c:v>2010</c:v>
                </c:pt>
              </c:numCache>
            </c:numRef>
          </c:cat>
          <c:val>
            <c:numRef>
              <c:f>('Summary CO2'!$F$4,'Summary CO2'!$F$21)</c:f>
              <c:numCache>
                <c:formatCode>_-* #,##0_-;\-* #,##0_-;_-* "-"??_-;_-@_-</c:formatCode>
                <c:ptCount val="2"/>
                <c:pt idx="0">
                  <c:v>76442.718637867249</c:v>
                </c:pt>
                <c:pt idx="1">
                  <c:v>61973.571619847862</c:v>
                </c:pt>
              </c:numCache>
            </c:numRef>
          </c:val>
        </c:ser>
        <c:ser>
          <c:idx val="6"/>
          <c:order val="5"/>
          <c:tx>
            <c:strRef>
              <c:f>'Summary CO2'!$J$3</c:f>
              <c:strCache>
                <c:ptCount val="1"/>
                <c:pt idx="0">
                  <c:v>Rest of World</c:v>
                </c:pt>
              </c:strCache>
            </c:strRef>
          </c:tx>
          <c:invertIfNegative val="0"/>
          <c:cat>
            <c:numRef>
              <c:f>('Summary CO2'!$C$4,'Summary CO2'!$C$21)</c:f>
              <c:numCache>
                <c:formatCode>General</c:formatCode>
                <c:ptCount val="2"/>
                <c:pt idx="0">
                  <c:v>1993</c:v>
                </c:pt>
                <c:pt idx="1">
                  <c:v>2010</c:v>
                </c:pt>
              </c:numCache>
            </c:numRef>
          </c:cat>
          <c:val>
            <c:numRef>
              <c:f>('Summary CO2'!$J$4,'Summary CO2'!$J$21)</c:f>
              <c:numCache>
                <c:formatCode>_-* #,##0_-;\-* #,##0_-;_-* "-"??_-;_-@_-</c:formatCode>
                <c:ptCount val="2"/>
                <c:pt idx="0">
                  <c:v>53028.089009987409</c:v>
                </c:pt>
                <c:pt idx="1">
                  <c:v>61710.246668208601</c:v>
                </c:pt>
              </c:numCache>
            </c:numRef>
          </c:val>
        </c:ser>
        <c:ser>
          <c:idx val="7"/>
          <c:order val="6"/>
          <c:tx>
            <c:strRef>
              <c:f>'Summary CO2'!$K$3</c:f>
              <c:strCache>
                <c:ptCount val="1"/>
                <c:pt idx="0">
                  <c:v>Russia</c:v>
                </c:pt>
              </c:strCache>
            </c:strRef>
          </c:tx>
          <c:invertIfNegative val="0"/>
          <c:cat>
            <c:numRef>
              <c:f>('Summary CO2'!$C$4,'Summary CO2'!$C$21)</c:f>
              <c:numCache>
                <c:formatCode>General</c:formatCode>
                <c:ptCount val="2"/>
                <c:pt idx="0">
                  <c:v>1993</c:v>
                </c:pt>
                <c:pt idx="1">
                  <c:v>2010</c:v>
                </c:pt>
              </c:numCache>
            </c:numRef>
          </c:cat>
          <c:val>
            <c:numRef>
              <c:f>('Summary CO2'!$K$4,'Summary CO2'!$K$21)</c:f>
              <c:numCache>
                <c:formatCode>_-* #,##0_-;\-* #,##0_-;_-* "-"??_-;_-@_-</c:formatCode>
                <c:ptCount val="2"/>
                <c:pt idx="0">
                  <c:v>13185.532280458345</c:v>
                </c:pt>
                <c:pt idx="1">
                  <c:v>32123.59732791135</c:v>
                </c:pt>
              </c:numCache>
            </c:numRef>
          </c:val>
        </c:ser>
        <c:ser>
          <c:idx val="5"/>
          <c:order val="7"/>
          <c:tx>
            <c:strRef>
              <c:f>'Summary CO2'!$I$3</c:f>
              <c:strCache>
                <c:ptCount val="1"/>
                <c:pt idx="0">
                  <c:v>India</c:v>
                </c:pt>
              </c:strCache>
            </c:strRef>
          </c:tx>
          <c:invertIfNegative val="0"/>
          <c:cat>
            <c:numRef>
              <c:f>('Summary CO2'!$C$4,'Summary CO2'!$C$21)</c:f>
              <c:numCache>
                <c:formatCode>General</c:formatCode>
                <c:ptCount val="2"/>
                <c:pt idx="0">
                  <c:v>1993</c:v>
                </c:pt>
                <c:pt idx="1">
                  <c:v>2010</c:v>
                </c:pt>
              </c:numCache>
            </c:numRef>
          </c:cat>
          <c:val>
            <c:numRef>
              <c:f>('Summary CO2'!$I$4,'Summary CO2'!$I$21)</c:f>
              <c:numCache>
                <c:formatCode>_-* #,##0_-;\-* #,##0_-;_-* "-"??_-;_-@_-</c:formatCode>
                <c:ptCount val="2"/>
                <c:pt idx="0">
                  <c:v>3523.6325550683291</c:v>
                </c:pt>
                <c:pt idx="1">
                  <c:v>13728.9934946427</c:v>
                </c:pt>
              </c:numCache>
            </c:numRef>
          </c:val>
        </c:ser>
        <c:ser>
          <c:idx val="8"/>
          <c:order val="8"/>
          <c:tx>
            <c:strRef>
              <c:f>'Summary CO2'!$L$3</c:f>
              <c:strCache>
                <c:ptCount val="1"/>
                <c:pt idx="0">
                  <c:v>Developing Asia</c:v>
                </c:pt>
              </c:strCache>
            </c:strRef>
          </c:tx>
          <c:invertIfNegative val="0"/>
          <c:cat>
            <c:numRef>
              <c:f>('Summary CO2'!$C$4,'Summary CO2'!$C$21)</c:f>
              <c:numCache>
                <c:formatCode>General</c:formatCode>
                <c:ptCount val="2"/>
                <c:pt idx="0">
                  <c:v>1993</c:v>
                </c:pt>
                <c:pt idx="1">
                  <c:v>2010</c:v>
                </c:pt>
              </c:numCache>
            </c:numRef>
          </c:cat>
          <c:val>
            <c:numRef>
              <c:f>('Summary CO2'!$L$4,'Summary CO2'!$L$21)</c:f>
              <c:numCache>
                <c:formatCode>_-* #,##0_-;\-* #,##0_-;_-* "-"??_-;_-@_-</c:formatCode>
                <c:ptCount val="2"/>
                <c:pt idx="0">
                  <c:v>11199.442550500531</c:v>
                </c:pt>
                <c:pt idx="1">
                  <c:v>27341.010167424181</c:v>
                </c:pt>
              </c:numCache>
            </c:numRef>
          </c:val>
        </c:ser>
        <c:dLbls>
          <c:showLegendKey val="0"/>
          <c:showVal val="0"/>
          <c:showCatName val="0"/>
          <c:showSerName val="0"/>
          <c:showPercent val="0"/>
          <c:showBubbleSize val="0"/>
        </c:dLbls>
        <c:gapWidth val="150"/>
        <c:overlap val="100"/>
        <c:axId val="155232512"/>
        <c:axId val="162775808"/>
      </c:barChart>
      <c:catAx>
        <c:axId val="155232512"/>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162775808"/>
        <c:crosses val="autoZero"/>
        <c:auto val="1"/>
        <c:lblAlgn val="ctr"/>
        <c:lblOffset val="100"/>
        <c:noMultiLvlLbl val="0"/>
      </c:catAx>
      <c:valAx>
        <c:axId val="162775808"/>
        <c:scaling>
          <c:orientation val="minMax"/>
        </c:scaling>
        <c:delete val="0"/>
        <c:axPos val="l"/>
        <c:majorGridlines/>
        <c:title>
          <c:tx>
            <c:rich>
              <a:bodyPr rot="-5400000" vert="horz"/>
              <a:lstStyle/>
              <a:p>
                <a:pPr>
                  <a:defRPr/>
                </a:pPr>
                <a:r>
                  <a:rPr lang="en-US"/>
                  <a:t>Mt CO2</a:t>
                </a:r>
              </a:p>
            </c:rich>
          </c:tx>
          <c:overlay val="0"/>
        </c:title>
        <c:numFmt formatCode="_-* #,##0_-;\-* #,##0_-;_-* &quot;-&quot;??_-;_-@_-" sourceLinked="1"/>
        <c:majorTickMark val="out"/>
        <c:minorTickMark val="none"/>
        <c:tickLblPos val="nextTo"/>
        <c:crossAx val="155232512"/>
        <c:crosses val="autoZero"/>
        <c:crossBetween val="between"/>
        <c:dispUnits>
          <c:builtInUnit val="thousands"/>
        </c:dispUnits>
      </c:valAx>
    </c:plotArea>
    <c:legend>
      <c:legendPos val="r"/>
      <c:layout>
        <c:manualLayout>
          <c:xMode val="edge"/>
          <c:yMode val="edge"/>
          <c:x val="0.75633355205599295"/>
          <c:y val="4.919838145231846E-2"/>
          <c:w val="0.22699978127734033"/>
          <c:h val="0.75345472440944883"/>
        </c:manualLayout>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672790901137313E-2"/>
          <c:y val="5.5443294307312811E-2"/>
          <c:w val="0.54767009892994145"/>
          <c:h val="0.71356198452721387"/>
        </c:manualLayout>
      </c:layout>
      <c:areaChart>
        <c:grouping val="stacked"/>
        <c:varyColors val="0"/>
        <c:ser>
          <c:idx val="0"/>
          <c:order val="0"/>
          <c:tx>
            <c:strRef>
              <c:f>Total!$B$16</c:f>
              <c:strCache>
                <c:ptCount val="1"/>
                <c:pt idx="0">
                  <c:v>Domestic consumption emissions under UK 2050 target</c:v>
                </c:pt>
              </c:strCache>
            </c:strRef>
          </c:tx>
          <c:cat>
            <c:numRef>
              <c:f>Total!$C$9:$K$9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Total!$C$16:$K$16</c:f>
              <c:numCache>
                <c:formatCode>_-* #,##0_-;\-* #,##0_-;_-* "-"??_-;_-@_-</c:formatCode>
                <c:ptCount val="9"/>
                <c:pt idx="0">
                  <c:v>424.88347033792473</c:v>
                </c:pt>
                <c:pt idx="1">
                  <c:v>390.36267690996561</c:v>
                </c:pt>
                <c:pt idx="2">
                  <c:v>317.23188019085723</c:v>
                </c:pt>
                <c:pt idx="3">
                  <c:v>262.86228218257907</c:v>
                </c:pt>
                <c:pt idx="4">
                  <c:v>220.93717263078076</c:v>
                </c:pt>
                <c:pt idx="5">
                  <c:v>177.73946819184127</c:v>
                </c:pt>
                <c:pt idx="6">
                  <c:v>134.87121300290283</c:v>
                </c:pt>
                <c:pt idx="7">
                  <c:v>92.289130123963858</c:v>
                </c:pt>
                <c:pt idx="8">
                  <c:v>50.369707935024962</c:v>
                </c:pt>
              </c:numCache>
            </c:numRef>
          </c:val>
        </c:ser>
        <c:ser>
          <c:idx val="1"/>
          <c:order val="1"/>
          <c:tx>
            <c:strRef>
              <c:f>Total!$B$17</c:f>
              <c:strCache>
                <c:ptCount val="1"/>
                <c:pt idx="0">
                  <c:v>Imported emissions compatable with 2DS climate objective (including CCS)</c:v>
                </c:pt>
              </c:strCache>
            </c:strRef>
          </c:tx>
          <c:cat>
            <c:numRef>
              <c:f>Total!$C$9:$K$9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Total!$C$17:$K$17</c:f>
              <c:numCache>
                <c:formatCode>_-* #,##0_-;\-* #,##0_-;_-* "-"??_-;_-@_-</c:formatCode>
                <c:ptCount val="9"/>
                <c:pt idx="0">
                  <c:v>349.64370901410132</c:v>
                </c:pt>
                <c:pt idx="1">
                  <c:v>334.28085760954588</c:v>
                </c:pt>
                <c:pt idx="2">
                  <c:v>298.73953444093138</c:v>
                </c:pt>
                <c:pt idx="3">
                  <c:v>254.6096699169276</c:v>
                </c:pt>
                <c:pt idx="4">
                  <c:v>212.42276140608701</c:v>
                </c:pt>
                <c:pt idx="5">
                  <c:v>183.40807675447931</c:v>
                </c:pt>
                <c:pt idx="6">
                  <c:v>160.50899856558721</c:v>
                </c:pt>
                <c:pt idx="7">
                  <c:v>147.63696015897702</c:v>
                </c:pt>
                <c:pt idx="8">
                  <c:v>129.631587702979</c:v>
                </c:pt>
              </c:numCache>
            </c:numRef>
          </c:val>
        </c:ser>
        <c:ser>
          <c:idx val="2"/>
          <c:order val="2"/>
          <c:tx>
            <c:strRef>
              <c:f>Total!$B$18</c:f>
              <c:strCache>
                <c:ptCount val="1"/>
                <c:pt idx="0">
                  <c:v>Additional imported emissions without deployment of CCS</c:v>
                </c:pt>
              </c:strCache>
            </c:strRef>
          </c:tx>
          <c:cat>
            <c:numRef>
              <c:f>Total!$C$9:$K$9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Total!$C$18:$K$18</c:f>
              <c:numCache>
                <c:formatCode>_-* #,##0_-;\-* #,##0_-;_-* "-"??_-;_-@_-</c:formatCode>
                <c:ptCount val="9"/>
                <c:pt idx="0">
                  <c:v>0</c:v>
                </c:pt>
                <c:pt idx="1">
                  <c:v>-2.6476639361993886E-2</c:v>
                </c:pt>
                <c:pt idx="2">
                  <c:v>1.0665651949999155</c:v>
                </c:pt>
                <c:pt idx="3">
                  <c:v>3.3135822040000931</c:v>
                </c:pt>
                <c:pt idx="4">
                  <c:v>6.2212471130001514</c:v>
                </c:pt>
                <c:pt idx="5">
                  <c:v>10.075722805000016</c:v>
                </c:pt>
                <c:pt idx="6">
                  <c:v>13.488040283000009</c:v>
                </c:pt>
                <c:pt idx="7">
                  <c:v>17.833421881999886</c:v>
                </c:pt>
                <c:pt idx="8">
                  <c:v>21.165602207000045</c:v>
                </c:pt>
              </c:numCache>
            </c:numRef>
          </c:val>
        </c:ser>
        <c:ser>
          <c:idx val="3"/>
          <c:order val="3"/>
          <c:tx>
            <c:strRef>
              <c:f>Total!$B$19</c:f>
              <c:strCache>
                <c:ptCount val="1"/>
                <c:pt idx="0">
                  <c:v>Additional imported emissions under global 4DS scenario</c:v>
                </c:pt>
              </c:strCache>
            </c:strRef>
          </c:tx>
          <c:cat>
            <c:numRef>
              <c:f>Total!$C$9:$K$9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Total!$C$19:$K$19</c:f>
              <c:numCache>
                <c:formatCode>_-* #,##0_-;\-* #,##0_-;_-* "-"??_-;_-@_-</c:formatCode>
                <c:ptCount val="9"/>
                <c:pt idx="0">
                  <c:v>0</c:v>
                </c:pt>
                <c:pt idx="1">
                  <c:v>15.258793701818318</c:v>
                </c:pt>
                <c:pt idx="2">
                  <c:v>30.153960544531117</c:v>
                </c:pt>
                <c:pt idx="3">
                  <c:v>62.119227144491006</c:v>
                </c:pt>
                <c:pt idx="4">
                  <c:v>93.065834780671949</c:v>
                </c:pt>
                <c:pt idx="5">
                  <c:v>123.60872884887959</c:v>
                </c:pt>
                <c:pt idx="6">
                  <c:v>146.46711375104852</c:v>
                </c:pt>
                <c:pt idx="7">
                  <c:v>168.56840093503041</c:v>
                </c:pt>
                <c:pt idx="8">
                  <c:v>182.62220099215619</c:v>
                </c:pt>
              </c:numCache>
            </c:numRef>
          </c:val>
        </c:ser>
        <c:dLbls>
          <c:showLegendKey val="0"/>
          <c:showVal val="0"/>
          <c:showCatName val="0"/>
          <c:showSerName val="0"/>
          <c:showPercent val="0"/>
          <c:showBubbleSize val="0"/>
        </c:dLbls>
        <c:axId val="67814528"/>
        <c:axId val="67816448"/>
      </c:areaChart>
      <c:catAx>
        <c:axId val="67814528"/>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67816448"/>
        <c:crosses val="autoZero"/>
        <c:auto val="1"/>
        <c:lblAlgn val="ctr"/>
        <c:lblOffset val="100"/>
        <c:noMultiLvlLbl val="0"/>
      </c:catAx>
      <c:valAx>
        <c:axId val="67816448"/>
        <c:scaling>
          <c:orientation val="minMax"/>
        </c:scaling>
        <c:delete val="0"/>
        <c:axPos val="l"/>
        <c:majorGridlines/>
        <c:title>
          <c:tx>
            <c:rich>
              <a:bodyPr rot="-5400000" vert="horz"/>
              <a:lstStyle/>
              <a:p>
                <a:pPr>
                  <a:defRPr/>
                </a:pPr>
                <a:r>
                  <a:rPr lang="en-US"/>
                  <a:t>Mt CO2</a:t>
                </a:r>
              </a:p>
            </c:rich>
          </c:tx>
          <c:overlay val="0"/>
        </c:title>
        <c:numFmt formatCode="_-* #,##0_-;\-* #,##0_-;_-* &quot;-&quot;??_-;_-@_-" sourceLinked="1"/>
        <c:majorTickMark val="out"/>
        <c:minorTickMark val="none"/>
        <c:tickLblPos val="nextTo"/>
        <c:crossAx val="67814528"/>
        <c:crosses val="autoZero"/>
        <c:crossBetween val="midCat"/>
      </c:valAx>
    </c:plotArea>
    <c:legend>
      <c:legendPos val="r"/>
      <c:layout>
        <c:manualLayout>
          <c:xMode val="edge"/>
          <c:yMode val="edge"/>
          <c:x val="0.66059930008749013"/>
          <c:y val="3.1743273034425958E-2"/>
          <c:w val="0.32658018709199893"/>
          <c:h val="0.8971986547174442"/>
        </c:manualLayout>
      </c:layout>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80910277276823"/>
          <c:y val="4.0009079946087822E-2"/>
          <c:w val="0.51122196317639068"/>
          <c:h val="0.79330013478044958"/>
        </c:manualLayout>
      </c:layout>
      <c:barChart>
        <c:barDir val="col"/>
        <c:grouping val="percentStacked"/>
        <c:varyColors val="0"/>
        <c:ser>
          <c:idx val="0"/>
          <c:order val="0"/>
          <c:tx>
            <c:strRef>
              <c:f>Region!$L$4</c:f>
              <c:strCache>
                <c:ptCount val="1"/>
                <c:pt idx="0">
                  <c:v>UK</c:v>
                </c:pt>
              </c:strCache>
            </c:strRef>
          </c:tx>
          <c:invertIfNegative val="0"/>
          <c:cat>
            <c:strRef>
              <c:f>Region!$M$3:$O$3</c:f>
              <c:strCache>
                <c:ptCount val="3"/>
                <c:pt idx="0">
                  <c:v>2010</c:v>
                </c:pt>
                <c:pt idx="1">
                  <c:v>2050 - 4DS</c:v>
                </c:pt>
                <c:pt idx="2">
                  <c:v>2050 - 2DS</c:v>
                </c:pt>
              </c:strCache>
            </c:strRef>
          </c:cat>
          <c:val>
            <c:numRef>
              <c:f>Region!$M$4:$O$4</c:f>
              <c:numCache>
                <c:formatCode>_-* #,##0_-;\-* #,##0_-;_-* "-"??_-;_-@_-</c:formatCode>
                <c:ptCount val="3"/>
                <c:pt idx="0">
                  <c:v>424.88347033792473</c:v>
                </c:pt>
                <c:pt idx="1">
                  <c:v>50.369707935024962</c:v>
                </c:pt>
                <c:pt idx="2">
                  <c:v>50.369707935024962</c:v>
                </c:pt>
              </c:numCache>
            </c:numRef>
          </c:val>
        </c:ser>
        <c:ser>
          <c:idx val="2"/>
          <c:order val="1"/>
          <c:tx>
            <c:strRef>
              <c:f>Region!$L$6</c:f>
              <c:strCache>
                <c:ptCount val="1"/>
                <c:pt idx="0">
                  <c:v>OECD Europe (excluding UK)</c:v>
                </c:pt>
              </c:strCache>
            </c:strRef>
          </c:tx>
          <c:invertIfNegative val="0"/>
          <c:cat>
            <c:strRef>
              <c:f>Region!$M$3:$O$3</c:f>
              <c:strCache>
                <c:ptCount val="3"/>
                <c:pt idx="0">
                  <c:v>2010</c:v>
                </c:pt>
                <c:pt idx="1">
                  <c:v>2050 - 4DS</c:v>
                </c:pt>
                <c:pt idx="2">
                  <c:v>2050 - 2DS</c:v>
                </c:pt>
              </c:strCache>
            </c:strRef>
          </c:cat>
          <c:val>
            <c:numRef>
              <c:f>Region!$M$6:$O$6</c:f>
              <c:numCache>
                <c:formatCode>_-* #,##0_-;\-* #,##0_-;_-* "-"??_-;_-@_-</c:formatCode>
                <c:ptCount val="3"/>
                <c:pt idx="0">
                  <c:v>61.971574054999984</c:v>
                </c:pt>
                <c:pt idx="1">
                  <c:v>93.251471886999767</c:v>
                </c:pt>
                <c:pt idx="2">
                  <c:v>34.360905181</c:v>
                </c:pt>
              </c:numCache>
            </c:numRef>
          </c:val>
        </c:ser>
        <c:ser>
          <c:idx val="4"/>
          <c:order val="2"/>
          <c:tx>
            <c:strRef>
              <c:f>Region!$L$8</c:f>
              <c:strCache>
                <c:ptCount val="1"/>
                <c:pt idx="0">
                  <c:v>Rest of OECD</c:v>
                </c:pt>
              </c:strCache>
            </c:strRef>
          </c:tx>
          <c:invertIfNegative val="0"/>
          <c:cat>
            <c:strRef>
              <c:f>Region!$M$3:$O$3</c:f>
              <c:strCache>
                <c:ptCount val="3"/>
                <c:pt idx="0">
                  <c:v>2010</c:v>
                </c:pt>
                <c:pt idx="1">
                  <c:v>2050 - 4DS</c:v>
                </c:pt>
                <c:pt idx="2">
                  <c:v>2050 - 2DS</c:v>
                </c:pt>
              </c:strCache>
            </c:strRef>
          </c:cat>
          <c:val>
            <c:numRef>
              <c:f>Region!$M$8:$O$8</c:f>
              <c:numCache>
                <c:formatCode>_-* #,##0_-;\-* #,##0_-;_-* "-"??_-;_-@_-</c:formatCode>
                <c:ptCount val="3"/>
                <c:pt idx="0">
                  <c:v>67.459997426999948</c:v>
                </c:pt>
                <c:pt idx="1">
                  <c:v>63.832241830000001</c:v>
                </c:pt>
                <c:pt idx="2">
                  <c:v>24.781234499999989</c:v>
                </c:pt>
              </c:numCache>
            </c:numRef>
          </c:val>
        </c:ser>
        <c:ser>
          <c:idx val="3"/>
          <c:order val="3"/>
          <c:tx>
            <c:strRef>
              <c:f>Region!$L$7</c:f>
              <c:strCache>
                <c:ptCount val="1"/>
                <c:pt idx="0">
                  <c:v>India</c:v>
                </c:pt>
              </c:strCache>
            </c:strRef>
          </c:tx>
          <c:invertIfNegative val="0"/>
          <c:cat>
            <c:strRef>
              <c:f>Region!$M$3:$O$3</c:f>
              <c:strCache>
                <c:ptCount val="3"/>
                <c:pt idx="0">
                  <c:v>2010</c:v>
                </c:pt>
                <c:pt idx="1">
                  <c:v>2050 - 4DS</c:v>
                </c:pt>
                <c:pt idx="2">
                  <c:v>2050 - 2DS</c:v>
                </c:pt>
              </c:strCache>
            </c:strRef>
          </c:cat>
          <c:val>
            <c:numRef>
              <c:f>Region!$M$7:$O$7</c:f>
              <c:numCache>
                <c:formatCode>_-* #,##0_-;\-* #,##0_-;_-* "-"??_-;_-@_-</c:formatCode>
                <c:ptCount val="3"/>
                <c:pt idx="0">
                  <c:v>13.727899448000001</c:v>
                </c:pt>
                <c:pt idx="1">
                  <c:v>22.223664652</c:v>
                </c:pt>
                <c:pt idx="2">
                  <c:v>10.605363154099996</c:v>
                </c:pt>
              </c:numCache>
            </c:numRef>
          </c:val>
        </c:ser>
        <c:ser>
          <c:idx val="6"/>
          <c:order val="4"/>
          <c:tx>
            <c:strRef>
              <c:f>Region!$L$10</c:f>
              <c:strCache>
                <c:ptCount val="1"/>
                <c:pt idx="0">
                  <c:v>China</c:v>
                </c:pt>
              </c:strCache>
            </c:strRef>
          </c:tx>
          <c:invertIfNegative val="0"/>
          <c:cat>
            <c:strRef>
              <c:f>Region!$M$3:$O$3</c:f>
              <c:strCache>
                <c:ptCount val="3"/>
                <c:pt idx="0">
                  <c:v>2010</c:v>
                </c:pt>
                <c:pt idx="1">
                  <c:v>2050 - 4DS</c:v>
                </c:pt>
                <c:pt idx="2">
                  <c:v>2050 - 2DS</c:v>
                </c:pt>
              </c:strCache>
            </c:strRef>
          </c:cat>
          <c:val>
            <c:numRef>
              <c:f>Region!$M$10:$O$10</c:f>
              <c:numCache>
                <c:formatCode>_-* #,##0_-;\-* #,##0_-;_-* "-"??_-;_-@_-</c:formatCode>
                <c:ptCount val="3"/>
                <c:pt idx="0">
                  <c:v>85.303786093999776</c:v>
                </c:pt>
                <c:pt idx="1">
                  <c:v>54.531505753000005</c:v>
                </c:pt>
                <c:pt idx="2">
                  <c:v>17.800987180800036</c:v>
                </c:pt>
              </c:numCache>
            </c:numRef>
          </c:val>
        </c:ser>
        <c:ser>
          <c:idx val="7"/>
          <c:order val="5"/>
          <c:tx>
            <c:strRef>
              <c:f>Region!$L$11</c:f>
              <c:strCache>
                <c:ptCount val="1"/>
                <c:pt idx="0">
                  <c:v>Russia</c:v>
                </c:pt>
              </c:strCache>
            </c:strRef>
          </c:tx>
          <c:invertIfNegative val="0"/>
          <c:cat>
            <c:strRef>
              <c:f>Region!$M$3:$O$3</c:f>
              <c:strCache>
                <c:ptCount val="3"/>
                <c:pt idx="0">
                  <c:v>2010</c:v>
                </c:pt>
                <c:pt idx="1">
                  <c:v>2050 - 4DS</c:v>
                </c:pt>
                <c:pt idx="2">
                  <c:v>2050 - 2DS</c:v>
                </c:pt>
              </c:strCache>
            </c:strRef>
          </c:cat>
          <c:val>
            <c:numRef>
              <c:f>Region!$M$11:$O$11</c:f>
              <c:numCache>
                <c:formatCode>_-* #,##0_-;\-* #,##0_-;_-* "-"??_-;_-@_-</c:formatCode>
                <c:ptCount val="3"/>
                <c:pt idx="0">
                  <c:v>32.125082870000064</c:v>
                </c:pt>
                <c:pt idx="1">
                  <c:v>13.131205399999999</c:v>
                </c:pt>
                <c:pt idx="2">
                  <c:v>3.7123957500000011</c:v>
                </c:pt>
              </c:numCache>
            </c:numRef>
          </c:val>
        </c:ser>
        <c:ser>
          <c:idx val="1"/>
          <c:order val="6"/>
          <c:tx>
            <c:strRef>
              <c:f>Region!$L$5</c:f>
              <c:strCache>
                <c:ptCount val="1"/>
                <c:pt idx="0">
                  <c:v>Rest of developing Asia</c:v>
                </c:pt>
              </c:strCache>
            </c:strRef>
          </c:tx>
          <c:invertIfNegative val="0"/>
          <c:cat>
            <c:strRef>
              <c:f>Region!$M$3:$O$3</c:f>
              <c:strCache>
                <c:ptCount val="3"/>
                <c:pt idx="0">
                  <c:v>2010</c:v>
                </c:pt>
                <c:pt idx="1">
                  <c:v>2050 - 4DS</c:v>
                </c:pt>
                <c:pt idx="2">
                  <c:v>2050 - 2DS</c:v>
                </c:pt>
              </c:strCache>
            </c:strRef>
          </c:cat>
          <c:val>
            <c:numRef>
              <c:f>Region!$M$5:$O$5</c:f>
              <c:numCache>
                <c:formatCode>_-* #,##0_-;\-* #,##0_-;_-* "-"??_-;_-@_-</c:formatCode>
                <c:ptCount val="3"/>
                <c:pt idx="0">
                  <c:v>27.344996650100992</c:v>
                </c:pt>
                <c:pt idx="1">
                  <c:v>35.630106130135118</c:v>
                </c:pt>
                <c:pt idx="2">
                  <c:v>14.825633007079022</c:v>
                </c:pt>
              </c:numCache>
            </c:numRef>
          </c:val>
        </c:ser>
        <c:ser>
          <c:idx val="5"/>
          <c:order val="7"/>
          <c:tx>
            <c:strRef>
              <c:f>Region!$L$9</c:f>
              <c:strCache>
                <c:ptCount val="1"/>
                <c:pt idx="0">
                  <c:v>Rest of world</c:v>
                </c:pt>
              </c:strCache>
            </c:strRef>
          </c:tx>
          <c:invertIfNegative val="0"/>
          <c:cat>
            <c:strRef>
              <c:f>Region!$M$3:$O$3</c:f>
              <c:strCache>
                <c:ptCount val="3"/>
                <c:pt idx="0">
                  <c:v>2010</c:v>
                </c:pt>
                <c:pt idx="1">
                  <c:v>2050 - 4DS</c:v>
                </c:pt>
                <c:pt idx="2">
                  <c:v>2050 - 2DS</c:v>
                </c:pt>
              </c:strCache>
            </c:strRef>
          </c:cat>
          <c:val>
            <c:numRef>
              <c:f>Region!$M$9:$O$9</c:f>
              <c:numCache>
                <c:formatCode>_-* #,##0_-;\-* #,##0_-;_-* "-"??_-;_-@_-</c:formatCode>
                <c:ptCount val="3"/>
                <c:pt idx="0">
                  <c:v>61.710372470000003</c:v>
                </c:pt>
                <c:pt idx="1">
                  <c:v>50.819195250000007</c:v>
                </c:pt>
                <c:pt idx="2">
                  <c:v>23.545068929999999</c:v>
                </c:pt>
              </c:numCache>
            </c:numRef>
          </c:val>
        </c:ser>
        <c:dLbls>
          <c:showLegendKey val="0"/>
          <c:showVal val="0"/>
          <c:showCatName val="0"/>
          <c:showSerName val="0"/>
          <c:showPercent val="0"/>
          <c:showBubbleSize val="0"/>
        </c:dLbls>
        <c:gapWidth val="150"/>
        <c:overlap val="100"/>
        <c:axId val="68473600"/>
        <c:axId val="68475520"/>
      </c:barChart>
      <c:catAx>
        <c:axId val="68473600"/>
        <c:scaling>
          <c:orientation val="minMax"/>
        </c:scaling>
        <c:delete val="0"/>
        <c:axPos val="b"/>
        <c:title>
          <c:tx>
            <c:rich>
              <a:bodyPr/>
              <a:lstStyle/>
              <a:p>
                <a:pPr>
                  <a:defRPr/>
                </a:pPr>
                <a:r>
                  <a:rPr lang="en-US"/>
                  <a:t>Scenario</a:t>
                </a:r>
              </a:p>
            </c:rich>
          </c:tx>
          <c:overlay val="0"/>
        </c:title>
        <c:majorTickMark val="out"/>
        <c:minorTickMark val="none"/>
        <c:tickLblPos val="nextTo"/>
        <c:crossAx val="68475520"/>
        <c:crosses val="autoZero"/>
        <c:auto val="1"/>
        <c:lblAlgn val="ctr"/>
        <c:lblOffset val="100"/>
        <c:noMultiLvlLbl val="0"/>
      </c:catAx>
      <c:valAx>
        <c:axId val="68475520"/>
        <c:scaling>
          <c:orientation val="minMax"/>
        </c:scaling>
        <c:delete val="0"/>
        <c:axPos val="l"/>
        <c:majorGridlines/>
        <c:title>
          <c:tx>
            <c:rich>
              <a:bodyPr rot="-5400000" vert="horz"/>
              <a:lstStyle/>
              <a:p>
                <a:pPr>
                  <a:defRPr/>
                </a:pPr>
                <a:r>
                  <a:rPr lang="en-US"/>
                  <a:t>Mt CO2</a:t>
                </a:r>
              </a:p>
            </c:rich>
          </c:tx>
          <c:overlay val="0"/>
        </c:title>
        <c:numFmt formatCode="0%" sourceLinked="1"/>
        <c:majorTickMark val="out"/>
        <c:minorTickMark val="none"/>
        <c:tickLblPos val="nextTo"/>
        <c:crossAx val="68473600"/>
        <c:crosses val="autoZero"/>
        <c:crossBetween val="between"/>
      </c:valAx>
    </c:plotArea>
    <c:legend>
      <c:legendPos val="r"/>
      <c:layout>
        <c:manualLayout>
          <c:xMode val="edge"/>
          <c:yMode val="edge"/>
          <c:x val="0.67751765666163344"/>
          <c:y val="2.5537632120309343E-2"/>
          <c:w val="0.32248234333836873"/>
          <c:h val="0.52130921472653768"/>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'Imported x sector'!$L$3</c:f>
              <c:strCache>
                <c:ptCount val="1"/>
                <c:pt idx="0">
                  <c:v>Agriculture and fishing</c:v>
                </c:pt>
              </c:strCache>
            </c:strRef>
          </c:tx>
          <c:invertIfNegative val="0"/>
          <c:cat>
            <c:strRef>
              <c:f>'Imported x sector'!$M$2:$O$2</c:f>
              <c:strCache>
                <c:ptCount val="3"/>
                <c:pt idx="0">
                  <c:v>2010</c:v>
                </c:pt>
                <c:pt idx="1">
                  <c:v>2050 - 4DS</c:v>
                </c:pt>
                <c:pt idx="2">
                  <c:v>2050 - 2DS</c:v>
                </c:pt>
              </c:strCache>
            </c:strRef>
          </c:cat>
          <c:val>
            <c:numRef>
              <c:f>'Imported x sector'!$M$3:$O$3</c:f>
              <c:numCache>
                <c:formatCode>_-* #,##0_-;\-* #,##0_-;_-* "-"??_-;_-@_-</c:formatCode>
                <c:ptCount val="3"/>
                <c:pt idx="0">
                  <c:v>3.9024808002999993</c:v>
                </c:pt>
                <c:pt idx="1">
                  <c:v>5.1995251691999895</c:v>
                </c:pt>
                <c:pt idx="2">
                  <c:v>2.6613344911000012</c:v>
                </c:pt>
              </c:numCache>
            </c:numRef>
          </c:val>
        </c:ser>
        <c:ser>
          <c:idx val="1"/>
          <c:order val="1"/>
          <c:tx>
            <c:strRef>
              <c:f>'Imported x sector'!$L$4</c:f>
              <c:strCache>
                <c:ptCount val="1"/>
                <c:pt idx="0">
                  <c:v>Mining and quarrying</c:v>
                </c:pt>
              </c:strCache>
            </c:strRef>
          </c:tx>
          <c:invertIfNegative val="0"/>
          <c:cat>
            <c:strRef>
              <c:f>'Imported x sector'!$M$2:$O$2</c:f>
              <c:strCache>
                <c:ptCount val="3"/>
                <c:pt idx="0">
                  <c:v>2010</c:v>
                </c:pt>
                <c:pt idx="1">
                  <c:v>2050 - 4DS</c:v>
                </c:pt>
                <c:pt idx="2">
                  <c:v>2050 - 2DS</c:v>
                </c:pt>
              </c:strCache>
            </c:strRef>
          </c:cat>
          <c:val>
            <c:numRef>
              <c:f>'Imported x sector'!$M$4:$O$4</c:f>
              <c:numCache>
                <c:formatCode>_-* #,##0_-;\-* #,##0_-;_-* "-"??_-;_-@_-</c:formatCode>
                <c:ptCount val="3"/>
                <c:pt idx="0">
                  <c:v>18.679234300000001</c:v>
                </c:pt>
                <c:pt idx="1">
                  <c:v>15.071259</c:v>
                </c:pt>
                <c:pt idx="2">
                  <c:v>7.1616670000000004</c:v>
                </c:pt>
              </c:numCache>
            </c:numRef>
          </c:val>
        </c:ser>
        <c:ser>
          <c:idx val="2"/>
          <c:order val="2"/>
          <c:tx>
            <c:strRef>
              <c:f>'Imported x sector'!$L$5</c:f>
              <c:strCache>
                <c:ptCount val="1"/>
                <c:pt idx="0">
                  <c:v>Manufacturing</c:v>
                </c:pt>
              </c:strCache>
            </c:strRef>
          </c:tx>
          <c:invertIfNegative val="0"/>
          <c:cat>
            <c:strRef>
              <c:f>'Imported x sector'!$M$2:$O$2</c:f>
              <c:strCache>
                <c:ptCount val="3"/>
                <c:pt idx="0">
                  <c:v>2010</c:v>
                </c:pt>
                <c:pt idx="1">
                  <c:v>2050 - 4DS</c:v>
                </c:pt>
                <c:pt idx="2">
                  <c:v>2050 - 2DS</c:v>
                </c:pt>
              </c:strCache>
            </c:strRef>
          </c:cat>
          <c:val>
            <c:numRef>
              <c:f>'Imported x sector'!$M$5:$O$5</c:f>
              <c:numCache>
                <c:formatCode>_-* #,##0_-;\-* #,##0_-;_-* "-"??_-;_-@_-</c:formatCode>
                <c:ptCount val="3"/>
                <c:pt idx="0">
                  <c:v>113.91135331699998</c:v>
                </c:pt>
                <c:pt idx="1">
                  <c:v>111.06085481599995</c:v>
                </c:pt>
                <c:pt idx="2">
                  <c:v>49.136652376000065</c:v>
                </c:pt>
              </c:numCache>
            </c:numRef>
          </c:val>
        </c:ser>
        <c:ser>
          <c:idx val="3"/>
          <c:order val="3"/>
          <c:tx>
            <c:strRef>
              <c:f>'Imported x sector'!$L$6</c:f>
              <c:strCache>
                <c:ptCount val="1"/>
                <c:pt idx="0">
                  <c:v>Energy and utilities</c:v>
                </c:pt>
              </c:strCache>
            </c:strRef>
          </c:tx>
          <c:invertIfNegative val="0"/>
          <c:cat>
            <c:strRef>
              <c:f>'Imported x sector'!$M$2:$O$2</c:f>
              <c:strCache>
                <c:ptCount val="3"/>
                <c:pt idx="0">
                  <c:v>2010</c:v>
                </c:pt>
                <c:pt idx="1">
                  <c:v>2050 - 4DS</c:v>
                </c:pt>
                <c:pt idx="2">
                  <c:v>2050 - 2DS</c:v>
                </c:pt>
              </c:strCache>
            </c:strRef>
          </c:cat>
          <c:val>
            <c:numRef>
              <c:f>'Imported x sector'!$M$6:$O$6</c:f>
              <c:numCache>
                <c:formatCode>_-* #,##0_-;\-* #,##0_-;_-* "-"??_-;_-@_-</c:formatCode>
                <c:ptCount val="3"/>
                <c:pt idx="0">
                  <c:v>124.62694999999998</c:v>
                </c:pt>
                <c:pt idx="1">
                  <c:v>97.794490000000025</c:v>
                </c:pt>
                <c:pt idx="2">
                  <c:v>18.469064000000003</c:v>
                </c:pt>
              </c:numCache>
            </c:numRef>
          </c:val>
        </c:ser>
        <c:ser>
          <c:idx val="4"/>
          <c:order val="4"/>
          <c:tx>
            <c:strRef>
              <c:f>'Imported x sector'!$L$7</c:f>
              <c:strCache>
                <c:ptCount val="1"/>
                <c:pt idx="0">
                  <c:v>Construction </c:v>
                </c:pt>
              </c:strCache>
            </c:strRef>
          </c:tx>
          <c:invertIfNegative val="0"/>
          <c:cat>
            <c:strRef>
              <c:f>'Imported x sector'!$M$2:$O$2</c:f>
              <c:strCache>
                <c:ptCount val="3"/>
                <c:pt idx="0">
                  <c:v>2010</c:v>
                </c:pt>
                <c:pt idx="1">
                  <c:v>2050 - 4DS</c:v>
                </c:pt>
                <c:pt idx="2">
                  <c:v>2050 - 2DS</c:v>
                </c:pt>
              </c:strCache>
            </c:strRef>
          </c:cat>
          <c:val>
            <c:numRef>
              <c:f>'Imported x sector'!$M$7:$O$7</c:f>
              <c:numCache>
                <c:formatCode>_-* #,##0_-;\-* #,##0_-;_-* "-"??_-;_-@_-</c:formatCode>
                <c:ptCount val="3"/>
                <c:pt idx="0">
                  <c:v>1.8907563300000001</c:v>
                </c:pt>
                <c:pt idx="1">
                  <c:v>2.3664563199999957</c:v>
                </c:pt>
                <c:pt idx="2">
                  <c:v>1.1480134600000025</c:v>
                </c:pt>
              </c:numCache>
            </c:numRef>
          </c:val>
        </c:ser>
        <c:ser>
          <c:idx val="5"/>
          <c:order val="5"/>
          <c:tx>
            <c:strRef>
              <c:f>'Imported x sector'!$L$8</c:f>
              <c:strCache>
                <c:ptCount val="1"/>
                <c:pt idx="0">
                  <c:v>Transport services</c:v>
                </c:pt>
              </c:strCache>
            </c:strRef>
          </c:tx>
          <c:invertIfNegative val="0"/>
          <c:cat>
            <c:strRef>
              <c:f>'Imported x sector'!$M$2:$O$2</c:f>
              <c:strCache>
                <c:ptCount val="3"/>
                <c:pt idx="0">
                  <c:v>2010</c:v>
                </c:pt>
                <c:pt idx="1">
                  <c:v>2050 - 4DS</c:v>
                </c:pt>
                <c:pt idx="2">
                  <c:v>2050 - 2DS</c:v>
                </c:pt>
              </c:strCache>
            </c:strRef>
          </c:cat>
          <c:val>
            <c:numRef>
              <c:f>'Imported x sector'!$M$8:$O$8</c:f>
              <c:numCache>
                <c:formatCode>_-* #,##0_-;\-* #,##0_-;_-* "-"??_-;_-@_-</c:formatCode>
                <c:ptCount val="3"/>
                <c:pt idx="0">
                  <c:v>76.085109000000003</c:v>
                </c:pt>
                <c:pt idx="1">
                  <c:v>88.765470999999948</c:v>
                </c:pt>
                <c:pt idx="2">
                  <c:v>44.471260999999998</c:v>
                </c:pt>
              </c:numCache>
            </c:numRef>
          </c:val>
        </c:ser>
        <c:ser>
          <c:idx val="6"/>
          <c:order val="6"/>
          <c:tx>
            <c:strRef>
              <c:f>'Imported x sector'!$L$9</c:f>
              <c:strCache>
                <c:ptCount val="1"/>
                <c:pt idx="0">
                  <c:v>Services</c:v>
                </c:pt>
              </c:strCache>
            </c:strRef>
          </c:tx>
          <c:invertIfNegative val="0"/>
          <c:cat>
            <c:strRef>
              <c:f>'Imported x sector'!$M$2:$O$2</c:f>
              <c:strCache>
                <c:ptCount val="3"/>
                <c:pt idx="0">
                  <c:v>2010</c:v>
                </c:pt>
                <c:pt idx="1">
                  <c:v>2050 - 4DS</c:v>
                </c:pt>
                <c:pt idx="2">
                  <c:v>2050 - 2DS</c:v>
                </c:pt>
              </c:strCache>
            </c:strRef>
          </c:cat>
          <c:val>
            <c:numRef>
              <c:f>'Imported x sector'!$M$9:$O$9</c:f>
              <c:numCache>
                <c:formatCode>_-* #,##0_-;\-* #,##0_-;_-* "-"??_-;_-@_-</c:formatCode>
                <c:ptCount val="3"/>
                <c:pt idx="0">
                  <c:v>10.547825266800997</c:v>
                </c:pt>
                <c:pt idx="1">
                  <c:v>13.161334596935006</c:v>
                </c:pt>
                <c:pt idx="2">
                  <c:v>6.5835953758789945</c:v>
                </c:pt>
              </c:numCache>
            </c:numRef>
          </c:val>
        </c:ser>
        <c:dLbls>
          <c:showLegendKey val="0"/>
          <c:showVal val="0"/>
          <c:showCatName val="0"/>
          <c:showSerName val="0"/>
          <c:showPercent val="0"/>
          <c:showBubbleSize val="0"/>
        </c:dLbls>
        <c:gapWidth val="150"/>
        <c:overlap val="100"/>
        <c:axId val="69815680"/>
        <c:axId val="69842432"/>
      </c:barChart>
      <c:catAx>
        <c:axId val="69815680"/>
        <c:scaling>
          <c:orientation val="minMax"/>
        </c:scaling>
        <c:delete val="0"/>
        <c:axPos val="b"/>
        <c:title>
          <c:tx>
            <c:rich>
              <a:bodyPr/>
              <a:lstStyle/>
              <a:p>
                <a:pPr>
                  <a:defRPr/>
                </a:pPr>
                <a:r>
                  <a:rPr lang="en-US"/>
                  <a:t>Scenario</a:t>
                </a:r>
              </a:p>
            </c:rich>
          </c:tx>
          <c:overlay val="0"/>
        </c:title>
        <c:majorTickMark val="out"/>
        <c:minorTickMark val="none"/>
        <c:tickLblPos val="nextTo"/>
        <c:crossAx val="69842432"/>
        <c:crosses val="autoZero"/>
        <c:auto val="1"/>
        <c:lblAlgn val="ctr"/>
        <c:lblOffset val="100"/>
        <c:noMultiLvlLbl val="0"/>
      </c:catAx>
      <c:valAx>
        <c:axId val="69842432"/>
        <c:scaling>
          <c:orientation val="minMax"/>
        </c:scaling>
        <c:delete val="0"/>
        <c:axPos val="l"/>
        <c:majorGridlines/>
        <c:title>
          <c:tx>
            <c:rich>
              <a:bodyPr rot="-5400000" vert="horz"/>
              <a:lstStyle/>
              <a:p>
                <a:pPr>
                  <a:defRPr/>
                </a:pPr>
                <a:r>
                  <a:rPr lang="en-US"/>
                  <a:t>Mt CO2</a:t>
                </a:r>
              </a:p>
            </c:rich>
          </c:tx>
          <c:overlay val="0"/>
        </c:title>
        <c:numFmt formatCode="_-* #,##0_-;\-* #,##0_-;_-* &quot;-&quot;??_-;_-@_-" sourceLinked="1"/>
        <c:majorTickMark val="out"/>
        <c:minorTickMark val="none"/>
        <c:tickLblPos val="nextTo"/>
        <c:crossAx val="698156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'Total (cumulative)'!$B$42</c:f>
              <c:strCache>
                <c:ptCount val="1"/>
                <c:pt idx="0">
                  <c:v>Domestic consumption emissions under UK 2050 target</c:v>
                </c:pt>
              </c:strCache>
            </c:strRef>
          </c:tx>
          <c:invertIfNegative val="0"/>
          <c:cat>
            <c:multiLvlStrRef>
              <c:f>'Total (cumulative)'!$C$40:$K$41</c:f>
              <c:multiLvlStrCache>
                <c:ptCount val="9"/>
                <c:lvl>
                  <c:pt idx="1">
                    <c:v>Carbon budget</c:v>
                  </c:pt>
                  <c:pt idx="2">
                    <c:v>Consumption emissions</c:v>
                  </c:pt>
                  <c:pt idx="4">
                    <c:v>Carbon budget</c:v>
                  </c:pt>
                  <c:pt idx="5">
                    <c:v>Consumption emissions</c:v>
                  </c:pt>
                  <c:pt idx="7">
                    <c:v>Carbon budget</c:v>
                  </c:pt>
                  <c:pt idx="8">
                    <c:v>Consumption emissions</c:v>
                  </c:pt>
                </c:lvl>
                <c:lvl>
                  <c:pt idx="0">
                    <c:v>2013-2017</c:v>
                  </c:pt>
                  <c:pt idx="3">
                    <c:v>2018-2022</c:v>
                  </c:pt>
                  <c:pt idx="6">
                    <c:v>2023-2027</c:v>
                  </c:pt>
                </c:lvl>
              </c:multiLvlStrCache>
            </c:multiLvlStrRef>
          </c:cat>
          <c:val>
            <c:numRef>
              <c:f>'Total (cumulative)'!$C$42:$K$42</c:f>
              <c:numCache>
                <c:formatCode>General</c:formatCode>
                <c:ptCount val="9"/>
                <c:pt idx="1">
                  <c:v>2782</c:v>
                </c:pt>
                <c:pt idx="2" formatCode="_-* #,##0_-;\-* #,##0_-;_-* &quot;-&quot;??_-;_-@_-">
                  <c:v>1928.6473825751364</c:v>
                </c:pt>
                <c:pt idx="4">
                  <c:v>2544</c:v>
                </c:pt>
                <c:pt idx="5" formatCode="_-* #,##0_-;\-* #,##0_-;_-* &quot;-&quot;??_-;_-@_-">
                  <c:v>1597.416120180781</c:v>
                </c:pt>
                <c:pt idx="7">
                  <c:v>1950</c:v>
                </c:pt>
                <c:pt idx="8" formatCode="_-* #,##0_-;\-* #,##0_-;_-* &quot;-&quot;??_-;_-@_-">
                  <c:v>1321.7781039867828</c:v>
                </c:pt>
              </c:numCache>
            </c:numRef>
          </c:val>
        </c:ser>
        <c:ser>
          <c:idx val="1"/>
          <c:order val="1"/>
          <c:tx>
            <c:strRef>
              <c:f>'Total (cumulative)'!$B$43</c:f>
              <c:strCache>
                <c:ptCount val="1"/>
                <c:pt idx="0">
                  <c:v>Imported emissions compatable with 2DS climate objective (including CCS)</c:v>
                </c:pt>
              </c:strCache>
            </c:strRef>
          </c:tx>
          <c:invertIfNegative val="0"/>
          <c:cat>
            <c:multiLvlStrRef>
              <c:f>'Total (cumulative)'!$C$40:$K$41</c:f>
              <c:multiLvlStrCache>
                <c:ptCount val="9"/>
                <c:lvl>
                  <c:pt idx="1">
                    <c:v>Carbon budget</c:v>
                  </c:pt>
                  <c:pt idx="2">
                    <c:v>Consumption emissions</c:v>
                  </c:pt>
                  <c:pt idx="4">
                    <c:v>Carbon budget</c:v>
                  </c:pt>
                  <c:pt idx="5">
                    <c:v>Consumption emissions</c:v>
                  </c:pt>
                  <c:pt idx="7">
                    <c:v>Carbon budget</c:v>
                  </c:pt>
                  <c:pt idx="8">
                    <c:v>Consumption emissions</c:v>
                  </c:pt>
                </c:lvl>
                <c:lvl>
                  <c:pt idx="0">
                    <c:v>2013-2017</c:v>
                  </c:pt>
                  <c:pt idx="3">
                    <c:v>2018-2022</c:v>
                  </c:pt>
                  <c:pt idx="6">
                    <c:v>2023-2027</c:v>
                  </c:pt>
                </c:lvl>
              </c:multiLvlStrCache>
            </c:multiLvlStrRef>
          </c:cat>
          <c:val>
            <c:numRef>
              <c:f>'Total (cumulative)'!$C$43:$K$43</c:f>
              <c:numCache>
                <c:formatCode>General</c:formatCode>
                <c:ptCount val="9"/>
                <c:pt idx="2" formatCode="_-* #,##0_-;\-* #,##0_-;_-* &quot;-&quot;??_-;_-@_-">
                  <c:v>1659.2972049892942</c:v>
                </c:pt>
                <c:pt idx="5" formatCode="_-* #,##0_-;\-* #,##0_-;_-* &quot;-&quot;??_-;_-@_-">
                  <c:v>1488.5445473914258</c:v>
                </c:pt>
                <c:pt idx="8" formatCode="_-* #,##0_-;\-* #,##0_-;_-* &quot;-&quot;??_-;_-@_-">
                  <c:v>1274.2141231925373</c:v>
                </c:pt>
              </c:numCache>
            </c:numRef>
          </c:val>
        </c:ser>
        <c:ser>
          <c:idx val="2"/>
          <c:order val="2"/>
          <c:tx>
            <c:strRef>
              <c:f>'Total (cumulative)'!$B$44</c:f>
              <c:strCache>
                <c:ptCount val="1"/>
                <c:pt idx="0">
                  <c:v>Additional imported emissions without deployment of CCS</c:v>
                </c:pt>
              </c:strCache>
            </c:strRef>
          </c:tx>
          <c:invertIfNegative val="0"/>
          <c:cat>
            <c:multiLvlStrRef>
              <c:f>'Total (cumulative)'!$C$40:$K$41</c:f>
              <c:multiLvlStrCache>
                <c:ptCount val="9"/>
                <c:lvl>
                  <c:pt idx="1">
                    <c:v>Carbon budget</c:v>
                  </c:pt>
                  <c:pt idx="2">
                    <c:v>Consumption emissions</c:v>
                  </c:pt>
                  <c:pt idx="4">
                    <c:v>Carbon budget</c:v>
                  </c:pt>
                  <c:pt idx="5">
                    <c:v>Consumption emissions</c:v>
                  </c:pt>
                  <c:pt idx="7">
                    <c:v>Carbon budget</c:v>
                  </c:pt>
                  <c:pt idx="8">
                    <c:v>Consumption emissions</c:v>
                  </c:pt>
                </c:lvl>
                <c:lvl>
                  <c:pt idx="0">
                    <c:v>2013-2017</c:v>
                  </c:pt>
                  <c:pt idx="3">
                    <c:v>2018-2022</c:v>
                  </c:pt>
                  <c:pt idx="6">
                    <c:v>2023-2027</c:v>
                  </c:pt>
                </c:lvl>
              </c:multiLvlStrCache>
            </c:multiLvlStrRef>
          </c:cat>
          <c:val>
            <c:numRef>
              <c:f>'Total (cumulative)'!$C$44:$K$44</c:f>
              <c:numCache>
                <c:formatCode>General</c:formatCode>
                <c:ptCount val="9"/>
                <c:pt idx="2" formatCode="_-* #,##0_-;\-* #,##0_-;_-* &quot;-&quot;??_-;_-@_-">
                  <c:v>0.53932788742437265</c:v>
                </c:pt>
                <c:pt idx="5" formatCode="_-* #,##0_-;\-* #,##0_-;_-* &quot;-&quot;??_-;_-@_-">
                  <c:v>6.0252110797825384</c:v>
                </c:pt>
                <c:pt idx="8" formatCode="_-* #,##0_-;\-* #,##0_-;_-* &quot;-&quot;??_-;_-@_-">
                  <c:v>16.964299760000383</c:v>
                </c:pt>
              </c:numCache>
            </c:numRef>
          </c:val>
        </c:ser>
        <c:ser>
          <c:idx val="3"/>
          <c:order val="3"/>
          <c:tx>
            <c:strRef>
              <c:f>'Total (cumulative)'!$B$45</c:f>
              <c:strCache>
                <c:ptCount val="1"/>
                <c:pt idx="0">
                  <c:v>Additional imported emissions under global 4DS scenario</c:v>
                </c:pt>
              </c:strCache>
            </c:strRef>
          </c:tx>
          <c:invertIfNegative val="0"/>
          <c:cat>
            <c:multiLvlStrRef>
              <c:f>'Total (cumulative)'!$C$40:$K$41</c:f>
              <c:multiLvlStrCache>
                <c:ptCount val="9"/>
                <c:lvl>
                  <c:pt idx="1">
                    <c:v>Carbon budget</c:v>
                  </c:pt>
                  <c:pt idx="2">
                    <c:v>Consumption emissions</c:v>
                  </c:pt>
                  <c:pt idx="4">
                    <c:v>Carbon budget</c:v>
                  </c:pt>
                  <c:pt idx="5">
                    <c:v>Consumption emissions</c:v>
                  </c:pt>
                  <c:pt idx="7">
                    <c:v>Carbon budget</c:v>
                  </c:pt>
                  <c:pt idx="8">
                    <c:v>Consumption emissions</c:v>
                  </c:pt>
                </c:lvl>
                <c:lvl>
                  <c:pt idx="0">
                    <c:v>2013-2017</c:v>
                  </c:pt>
                  <c:pt idx="3">
                    <c:v>2018-2022</c:v>
                  </c:pt>
                  <c:pt idx="6">
                    <c:v>2023-2027</c:v>
                  </c:pt>
                </c:lvl>
              </c:multiLvlStrCache>
            </c:multiLvlStrRef>
          </c:cat>
          <c:val>
            <c:numRef>
              <c:f>'Total (cumulative)'!$C$45:$K$45</c:f>
              <c:numCache>
                <c:formatCode>General</c:formatCode>
                <c:ptCount val="9"/>
                <c:pt idx="2" formatCode="_-* #,##0_-;\-* #,##0_-;_-* &quot;-&quot;??_-;_-@_-">
                  <c:v>76.075792393628319</c:v>
                </c:pt>
                <c:pt idx="5" formatCode="_-* #,##0_-;\-* #,##0_-;_-* &quot;-&quot;??_-;_-@_-">
                  <c:v>161.01186257700385</c:v>
                </c:pt>
                <c:pt idx="8" formatCode="_-* #,##0_-;\-* #,##0_-;_-* &quot;-&quot;??_-;_-@_-">
                  <c:v>309.98494034418763</c:v>
                </c:pt>
              </c:numCache>
            </c:numRef>
          </c:val>
        </c:ser>
        <c:dLbls>
          <c:showLegendKey val="0"/>
          <c:showVal val="0"/>
          <c:showCatName val="0"/>
          <c:showSerName val="0"/>
          <c:showPercent val="0"/>
          <c:showBubbleSize val="0"/>
        </c:dLbls>
        <c:gapWidth val="150"/>
        <c:overlap val="100"/>
        <c:axId val="70012928"/>
        <c:axId val="70014848"/>
      </c:barChart>
      <c:catAx>
        <c:axId val="70012928"/>
        <c:scaling>
          <c:orientation val="minMax"/>
        </c:scaling>
        <c:delete val="0"/>
        <c:axPos val="b"/>
        <c:title>
          <c:tx>
            <c:rich>
              <a:bodyPr/>
              <a:lstStyle/>
              <a:p>
                <a:pPr>
                  <a:defRPr/>
                </a:pPr>
                <a:r>
                  <a:rPr lang="en-US"/>
                  <a:t>Carbon budget periods</a:t>
                </a:r>
              </a:p>
            </c:rich>
          </c:tx>
          <c:overlay val="0"/>
        </c:title>
        <c:majorTickMark val="out"/>
        <c:minorTickMark val="none"/>
        <c:tickLblPos val="nextTo"/>
        <c:crossAx val="70014848"/>
        <c:crosses val="autoZero"/>
        <c:auto val="1"/>
        <c:lblAlgn val="ctr"/>
        <c:lblOffset val="100"/>
        <c:noMultiLvlLbl val="0"/>
      </c:catAx>
      <c:valAx>
        <c:axId val="70014848"/>
        <c:scaling>
          <c:orientation val="minMax"/>
        </c:scaling>
        <c:delete val="0"/>
        <c:axPos val="l"/>
        <c:majorGridlines/>
        <c:title>
          <c:tx>
            <c:rich>
              <a:bodyPr rot="-5400000" vert="horz"/>
              <a:lstStyle/>
              <a:p>
                <a:pPr>
                  <a:defRPr/>
                </a:pPr>
                <a:r>
                  <a:rPr lang="en-US"/>
                  <a:t>Cumulative emissions Mt CO2</a:t>
                </a:r>
              </a:p>
            </c:rich>
          </c:tx>
          <c:overlay val="0"/>
        </c:title>
        <c:numFmt formatCode="General" sourceLinked="1"/>
        <c:majorTickMark val="out"/>
        <c:minorTickMark val="none"/>
        <c:tickLblPos val="nextTo"/>
        <c:crossAx val="70012928"/>
        <c:crosses val="autoZero"/>
        <c:crossBetween val="between"/>
      </c:valAx>
    </c:plotArea>
    <c:legend>
      <c:legendPos val="r"/>
      <c:layout>
        <c:manualLayout>
          <c:xMode val="edge"/>
          <c:yMode val="edge"/>
          <c:x val="0.65084733158355201"/>
          <c:y val="1.6215368912219308E-2"/>
          <c:w val="0.33248600174978127"/>
          <c:h val="0.8495253718285213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'Total (cumulative)'!$B$30</c:f>
              <c:strCache>
                <c:ptCount val="1"/>
                <c:pt idx="0">
                  <c:v>Domestic consumption emissions under UK 2050 target</c:v>
                </c:pt>
              </c:strCache>
            </c:strRef>
          </c:tx>
          <c:cat>
            <c:numRef>
              <c:f>'Total (cumulative)'!$C$29:$AQ$29</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'Total (cumulative)'!$C$30:$AQ$30</c:f>
              <c:numCache>
                <c:formatCode>_-* #,##0_-;\-* #,##0_-;_-* "-"??_-;_-@_-</c:formatCode>
                <c:ptCount val="41"/>
                <c:pt idx="0">
                  <c:v>424.88347033792473</c:v>
                </c:pt>
                <c:pt idx="1">
                  <c:v>842.86278199025753</c:v>
                </c:pt>
                <c:pt idx="2">
                  <c:v>1253.9379349569983</c:v>
                </c:pt>
                <c:pt idx="3">
                  <c:v>1658.1089292381473</c:v>
                </c:pt>
                <c:pt idx="4">
                  <c:v>2055.3757648337041</c:v>
                </c:pt>
                <c:pt idx="5">
                  <c:v>2445.7384417436692</c:v>
                </c:pt>
                <c:pt idx="6">
                  <c:v>2821.4749593098127</c:v>
                </c:pt>
                <c:pt idx="7">
                  <c:v>3182.5853175321345</c:v>
                </c:pt>
                <c:pt idx="8">
                  <c:v>3529.0695164106346</c:v>
                </c:pt>
                <c:pt idx="9">
                  <c:v>3860.9275559453126</c:v>
                </c:pt>
                <c:pt idx="10">
                  <c:v>4178.1594361361695</c:v>
                </c:pt>
                <c:pt idx="11">
                  <c:v>4484.5173967253704</c:v>
                </c:pt>
                <c:pt idx="12">
                  <c:v>4780.0014377129155</c:v>
                </c:pt>
                <c:pt idx="13">
                  <c:v>5064.6115590988056</c:v>
                </c:pt>
                <c:pt idx="14">
                  <c:v>5338.3477608830399</c:v>
                </c:pt>
                <c:pt idx="15">
                  <c:v>5601.2100430656192</c:v>
                </c:pt>
                <c:pt idx="16">
                  <c:v>5855.6873033378388</c:v>
                </c:pt>
                <c:pt idx="17">
                  <c:v>6101.7795416996987</c:v>
                </c:pt>
                <c:pt idx="18">
                  <c:v>6339.486758151199</c:v>
                </c:pt>
                <c:pt idx="19">
                  <c:v>6568.8089526923395</c:v>
                </c:pt>
                <c:pt idx="20">
                  <c:v>6789.7461253231204</c:v>
                </c:pt>
                <c:pt idx="21">
                  <c:v>7002.0437570661134</c:v>
                </c:pt>
                <c:pt idx="22">
                  <c:v>7205.7018479213184</c:v>
                </c:pt>
                <c:pt idx="23">
                  <c:v>7400.7203978887355</c:v>
                </c:pt>
                <c:pt idx="24">
                  <c:v>7587.0994069683657</c:v>
                </c:pt>
                <c:pt idx="25">
                  <c:v>7764.8388751602079</c:v>
                </c:pt>
                <c:pt idx="26">
                  <c:v>7934.0046923142618</c:v>
                </c:pt>
                <c:pt idx="27">
                  <c:v>8094.5968584305283</c:v>
                </c:pt>
                <c:pt idx="28">
                  <c:v>8246.6153735090065</c:v>
                </c:pt>
                <c:pt idx="29">
                  <c:v>8390.0602375496965</c:v>
                </c:pt>
                <c:pt idx="30">
                  <c:v>8524.9314505525999</c:v>
                </c:pt>
                <c:pt idx="31">
                  <c:v>8651.2862469797146</c:v>
                </c:pt>
                <c:pt idx="32">
                  <c:v>8769.1246268310424</c:v>
                </c:pt>
                <c:pt idx="33">
                  <c:v>8878.4465901065814</c:v>
                </c:pt>
                <c:pt idx="34">
                  <c:v>8979.2521368063335</c:v>
                </c:pt>
                <c:pt idx="35">
                  <c:v>9071.5412669302968</c:v>
                </c:pt>
                <c:pt idx="36">
                  <c:v>9155.4465126164723</c:v>
                </c:pt>
                <c:pt idx="37">
                  <c:v>9230.9678738648599</c:v>
                </c:pt>
                <c:pt idx="38">
                  <c:v>9298.1053506754597</c:v>
                </c:pt>
                <c:pt idx="39">
                  <c:v>9356.8589430482716</c:v>
                </c:pt>
                <c:pt idx="40">
                  <c:v>9407.2286509832957</c:v>
                </c:pt>
              </c:numCache>
            </c:numRef>
          </c:val>
        </c:ser>
        <c:ser>
          <c:idx val="1"/>
          <c:order val="1"/>
          <c:tx>
            <c:strRef>
              <c:f>'Total (cumulative)'!$B$31</c:f>
              <c:strCache>
                <c:ptCount val="1"/>
                <c:pt idx="0">
                  <c:v>Imported emissions compatable with 2DS climate objective (including CCS)</c:v>
                </c:pt>
              </c:strCache>
            </c:strRef>
          </c:tx>
          <c:cat>
            <c:numRef>
              <c:f>'Total (cumulative)'!$C$29:$AQ$29</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'Total (cumulative)'!$C$31:$AQ$31</c:f>
              <c:numCache>
                <c:formatCode>_-* #,##0_-;\-* #,##0_-;_-* "-"??_-;_-@_-</c:formatCode>
                <c:ptCount val="41"/>
                <c:pt idx="0">
                  <c:v>349.64370901410103</c:v>
                </c:pt>
                <c:pt idx="1">
                  <c:v>696.21484774729106</c:v>
                </c:pt>
                <c:pt idx="2">
                  <c:v>1039.71341619957</c:v>
                </c:pt>
                <c:pt idx="3">
                  <c:v>1380.1394143709381</c:v>
                </c:pt>
                <c:pt idx="4">
                  <c:v>1717.492842261395</c:v>
                </c:pt>
                <c:pt idx="5">
                  <c:v>2051.7736998709411</c:v>
                </c:pt>
                <c:pt idx="6">
                  <c:v>2378.9462928467642</c:v>
                </c:pt>
                <c:pt idx="7">
                  <c:v>2699.0106211888647</c:v>
                </c:pt>
                <c:pt idx="8">
                  <c:v>3011.966684897242</c:v>
                </c:pt>
                <c:pt idx="9">
                  <c:v>3317.8144839718966</c:v>
                </c:pt>
                <c:pt idx="10">
                  <c:v>3616.5540184128286</c:v>
                </c:pt>
                <c:pt idx="11">
                  <c:v>3906.4675799489596</c:v>
                </c:pt>
                <c:pt idx="12">
                  <c:v>4187.5551685802902</c:v>
                </c:pt>
                <c:pt idx="13">
                  <c:v>4459.8167843068195</c:v>
                </c:pt>
                <c:pt idx="14">
                  <c:v>4723.2524271285483</c:v>
                </c:pt>
                <c:pt idx="15">
                  <c:v>4977.8620970454758</c:v>
                </c:pt>
                <c:pt idx="16">
                  <c:v>5224.0343852602355</c:v>
                </c:pt>
                <c:pt idx="17">
                  <c:v>5461.7692917728273</c:v>
                </c:pt>
                <c:pt idx="18">
                  <c:v>5691.0668165832503</c:v>
                </c:pt>
                <c:pt idx="19">
                  <c:v>5911.9269596915055</c:v>
                </c:pt>
                <c:pt idx="20">
                  <c:v>6124.3497210975929</c:v>
                </c:pt>
                <c:pt idx="21">
                  <c:v>6330.9695455733581</c:v>
                </c:pt>
                <c:pt idx="22">
                  <c:v>6531.7864331188021</c:v>
                </c:pt>
                <c:pt idx="23">
                  <c:v>6726.8003837339247</c:v>
                </c:pt>
                <c:pt idx="24">
                  <c:v>6916.0113974187252</c:v>
                </c:pt>
                <c:pt idx="25">
                  <c:v>7099.4194741732044</c:v>
                </c:pt>
                <c:pt idx="26">
                  <c:v>7278.247735289905</c:v>
                </c:pt>
                <c:pt idx="27">
                  <c:v>7452.4961807688269</c:v>
                </c:pt>
                <c:pt idx="28">
                  <c:v>7622.164810609971</c:v>
                </c:pt>
                <c:pt idx="29">
                  <c:v>7787.2536248133365</c:v>
                </c:pt>
                <c:pt idx="30">
                  <c:v>7947.7626233789233</c:v>
                </c:pt>
                <c:pt idx="31">
                  <c:v>8105.6972142631885</c:v>
                </c:pt>
                <c:pt idx="32">
                  <c:v>8261.0573974661311</c:v>
                </c:pt>
                <c:pt idx="33">
                  <c:v>8413.843172987752</c:v>
                </c:pt>
                <c:pt idx="34">
                  <c:v>8564.0545408280504</c:v>
                </c:pt>
                <c:pt idx="35">
                  <c:v>8711.6915009870281</c:v>
                </c:pt>
                <c:pt idx="36">
                  <c:v>8855.7273866548057</c:v>
                </c:pt>
                <c:pt idx="37">
                  <c:v>8996.1621978313833</c:v>
                </c:pt>
                <c:pt idx="38">
                  <c:v>9132.9959345167608</c:v>
                </c:pt>
                <c:pt idx="39">
                  <c:v>9266.2285967109401</c:v>
                </c:pt>
                <c:pt idx="40">
                  <c:v>9395.8601844139193</c:v>
                </c:pt>
              </c:numCache>
            </c:numRef>
          </c:val>
        </c:ser>
        <c:ser>
          <c:idx val="2"/>
          <c:order val="2"/>
          <c:tx>
            <c:strRef>
              <c:f>'Total (cumulative)'!$B$32</c:f>
              <c:strCache>
                <c:ptCount val="1"/>
                <c:pt idx="0">
                  <c:v>Additional imported emissions without deployment of CCS</c:v>
                </c:pt>
              </c:strCache>
            </c:strRef>
          </c:tx>
          <c:spPr>
            <a:ln w="25400">
              <a:noFill/>
            </a:ln>
          </c:spPr>
          <c:cat>
            <c:numRef>
              <c:f>'Total (cumulative)'!$C$29:$AQ$29</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'Total (cumulative)'!$C$32:$AQ$32</c:f>
              <c:numCache>
                <c:formatCode>_-* #,##0_-;\-* #,##0_-;_-* "-"??_-;_-@_-</c:formatCode>
                <c:ptCount val="41"/>
                <c:pt idx="0">
                  <c:v>1</c:v>
                </c:pt>
                <c:pt idx="1">
                  <c:v>0.99470467212760127</c:v>
                </c:pt>
                <c:pt idx="2">
                  <c:v>0.98411401638280371</c:v>
                </c:pt>
                <c:pt idx="3">
                  <c:v>0.96822803276560743</c:v>
                </c:pt>
                <c:pt idx="4">
                  <c:v>0.9470467212760123</c:v>
                </c:pt>
                <c:pt idx="5">
                  <c:v>0.92057008191401846</c:v>
                </c:pt>
                <c:pt idx="6">
                  <c:v>1.1127018094244066</c:v>
                </c:pt>
                <c:pt idx="7">
                  <c:v>1.5234419038071765</c:v>
                </c:pt>
                <c:pt idx="8">
                  <c:v>2.1527903650623283</c:v>
                </c:pt>
                <c:pt idx="9">
                  <c:v>3.0007471931898619</c:v>
                </c:pt>
                <c:pt idx="10">
                  <c:v>4.0673123881897775</c:v>
                </c:pt>
                <c:pt idx="11">
                  <c:v>5.5832809849897282</c:v>
                </c:pt>
                <c:pt idx="12">
                  <c:v>7.5486529835897151</c:v>
                </c:pt>
                <c:pt idx="13">
                  <c:v>9.9634283839897364</c:v>
                </c:pt>
                <c:pt idx="14">
                  <c:v>12.827607186189795</c:v>
                </c:pt>
                <c:pt idx="15">
                  <c:v>16.141189390189886</c:v>
                </c:pt>
                <c:pt idx="16">
                  <c:v>20.036304575989988</c:v>
                </c:pt>
                <c:pt idx="17">
                  <c:v>24.512952743590098</c:v>
                </c:pt>
                <c:pt idx="18">
                  <c:v>29.571133892990218</c:v>
                </c:pt>
                <c:pt idx="19">
                  <c:v>35.210848024190348</c:v>
                </c:pt>
                <c:pt idx="20">
                  <c:v>41.432095137190487</c:v>
                </c:pt>
                <c:pt idx="21">
                  <c:v>48.424237388590598</c:v>
                </c:pt>
                <c:pt idx="22">
                  <c:v>56.18727477839068</c:v>
                </c:pt>
                <c:pt idx="23">
                  <c:v>64.721207306590728</c:v>
                </c:pt>
                <c:pt idx="24">
                  <c:v>74.026034973190747</c:v>
                </c:pt>
                <c:pt idx="25">
                  <c:v>84.101757778190745</c:v>
                </c:pt>
                <c:pt idx="26">
                  <c:v>94.859944078790747</c:v>
                </c:pt>
                <c:pt idx="27">
                  <c:v>106.30059387499075</c:v>
                </c:pt>
                <c:pt idx="28">
                  <c:v>118.42370716679076</c:v>
                </c:pt>
                <c:pt idx="29">
                  <c:v>131.22928395419078</c:v>
                </c:pt>
                <c:pt idx="30">
                  <c:v>144.71732423719078</c:v>
                </c:pt>
                <c:pt idx="31">
                  <c:v>159.07444083999076</c:v>
                </c:pt>
                <c:pt idx="32">
                  <c:v>174.30063376259073</c:v>
                </c:pt>
                <c:pt idx="33">
                  <c:v>190.39590300499069</c:v>
                </c:pt>
                <c:pt idx="34">
                  <c:v>207.36024856719061</c:v>
                </c:pt>
                <c:pt idx="35">
                  <c:v>225.19367044919051</c:v>
                </c:pt>
                <c:pt idx="36">
                  <c:v>243.69352839619046</c:v>
                </c:pt>
                <c:pt idx="37">
                  <c:v>262.85982240819044</c:v>
                </c:pt>
                <c:pt idx="38">
                  <c:v>282.69255248519045</c:v>
                </c:pt>
                <c:pt idx="39">
                  <c:v>303.19171862719048</c:v>
                </c:pt>
                <c:pt idx="40">
                  <c:v>324.35732083419055</c:v>
                </c:pt>
              </c:numCache>
            </c:numRef>
          </c:val>
        </c:ser>
        <c:ser>
          <c:idx val="3"/>
          <c:order val="3"/>
          <c:tx>
            <c:strRef>
              <c:f>'Total (cumulative)'!$B$33</c:f>
              <c:strCache>
                <c:ptCount val="1"/>
                <c:pt idx="0">
                  <c:v>Additional imported emissions under global 4DS scenario</c:v>
                </c:pt>
              </c:strCache>
            </c:strRef>
          </c:tx>
          <c:spPr>
            <a:ln w="25400">
              <a:noFill/>
            </a:ln>
          </c:spPr>
          <c:cat>
            <c:numRef>
              <c:f>'Total (cumulative)'!$C$29:$AQ$29</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'Total (cumulative)'!$C$33:$AQ$33</c:f>
              <c:numCache>
                <c:formatCode>_-* #,##0_-;\-* #,##0_-;_-* "-"??_-;_-@_-</c:formatCode>
                <c:ptCount val="41"/>
                <c:pt idx="0">
                  <c:v>1</c:v>
                </c:pt>
                <c:pt idx="1">
                  <c:v>4.0517587403636659</c:v>
                </c:pt>
                <c:pt idx="2">
                  <c:v>10.155276221090997</c:v>
                </c:pt>
                <c:pt idx="3">
                  <c:v>19.310552442181994</c:v>
                </c:pt>
                <c:pt idx="4">
                  <c:v>31.517587403636657</c:v>
                </c:pt>
                <c:pt idx="5">
                  <c:v>46.776381105454988</c:v>
                </c:pt>
                <c:pt idx="6">
                  <c:v>65.014208175815867</c:v>
                </c:pt>
                <c:pt idx="7">
                  <c:v>86.231068614719305</c:v>
                </c:pt>
                <c:pt idx="8">
                  <c:v>110.4269624221653</c:v>
                </c:pt>
                <c:pt idx="9">
                  <c:v>137.60188959815386</c:v>
                </c:pt>
                <c:pt idx="10">
                  <c:v>167.75585014268498</c:v>
                </c:pt>
                <c:pt idx="11">
                  <c:v>204.30286400720809</c:v>
                </c:pt>
                <c:pt idx="12">
                  <c:v>247.24293119172316</c:v>
                </c:pt>
                <c:pt idx="13">
                  <c:v>296.57605169623019</c:v>
                </c:pt>
                <c:pt idx="14">
                  <c:v>352.30222552072922</c:v>
                </c:pt>
                <c:pt idx="15">
                  <c:v>414.42145266522022</c:v>
                </c:pt>
                <c:pt idx="16">
                  <c:v>482.7300013369474</c:v>
                </c:pt>
                <c:pt idx="17">
                  <c:v>557.22787153591082</c:v>
                </c:pt>
                <c:pt idx="18">
                  <c:v>637.91506326211038</c:v>
                </c:pt>
                <c:pt idx="19">
                  <c:v>724.79157651554613</c:v>
                </c:pt>
                <c:pt idx="20">
                  <c:v>817.85741129621806</c:v>
                </c:pt>
                <c:pt idx="21">
                  <c:v>917.03182489053154</c:v>
                </c:pt>
                <c:pt idx="22">
                  <c:v>1022.3148172984867</c:v>
                </c:pt>
                <c:pt idx="23">
                  <c:v>1133.7063885200832</c:v>
                </c:pt>
                <c:pt idx="24">
                  <c:v>1251.2065385553215</c:v>
                </c:pt>
                <c:pt idx="25">
                  <c:v>1374.8152674042012</c:v>
                </c:pt>
                <c:pt idx="26">
                  <c:v>1502.9956732335147</c:v>
                </c:pt>
                <c:pt idx="27">
                  <c:v>1635.7477560432621</c:v>
                </c:pt>
                <c:pt idx="28">
                  <c:v>1773.0715158334433</c:v>
                </c:pt>
                <c:pt idx="29">
                  <c:v>1914.9669526040582</c:v>
                </c:pt>
                <c:pt idx="30">
                  <c:v>2061.434066355107</c:v>
                </c:pt>
                <c:pt idx="31">
                  <c:v>2212.321437542952</c:v>
                </c:pt>
                <c:pt idx="32">
                  <c:v>2367.6290661675935</c:v>
                </c:pt>
                <c:pt idx="33">
                  <c:v>2527.3569522290309</c:v>
                </c:pt>
                <c:pt idx="34">
                  <c:v>2691.5050957272647</c:v>
                </c:pt>
                <c:pt idx="35">
                  <c:v>2860.0734966622949</c:v>
                </c:pt>
                <c:pt idx="36">
                  <c:v>3031.4526576087501</c:v>
                </c:pt>
                <c:pt idx="37">
                  <c:v>3205.6425785666306</c:v>
                </c:pt>
                <c:pt idx="38">
                  <c:v>3382.6432595359365</c:v>
                </c:pt>
                <c:pt idx="39">
                  <c:v>3562.4547005166673</c:v>
                </c:pt>
                <c:pt idx="40">
                  <c:v>3745.0769015088235</c:v>
                </c:pt>
              </c:numCache>
            </c:numRef>
          </c:val>
        </c:ser>
        <c:dLbls>
          <c:showLegendKey val="0"/>
          <c:showVal val="0"/>
          <c:showCatName val="0"/>
          <c:showSerName val="0"/>
          <c:showPercent val="0"/>
          <c:showBubbleSize val="0"/>
        </c:dLbls>
        <c:axId val="80735616"/>
        <c:axId val="81073280"/>
      </c:areaChart>
      <c:catAx>
        <c:axId val="80735616"/>
        <c:scaling>
          <c:orientation val="minMax"/>
        </c:scaling>
        <c:delete val="0"/>
        <c:axPos val="b"/>
        <c:numFmt formatCode="General" sourceLinked="1"/>
        <c:majorTickMark val="out"/>
        <c:minorTickMark val="none"/>
        <c:tickLblPos val="nextTo"/>
        <c:crossAx val="81073280"/>
        <c:crosses val="autoZero"/>
        <c:auto val="1"/>
        <c:lblAlgn val="ctr"/>
        <c:lblOffset val="100"/>
        <c:noMultiLvlLbl val="0"/>
      </c:catAx>
      <c:valAx>
        <c:axId val="81073280"/>
        <c:scaling>
          <c:orientation val="minMax"/>
        </c:scaling>
        <c:delete val="0"/>
        <c:axPos val="l"/>
        <c:majorGridlines/>
        <c:numFmt formatCode="_-* #,##0_-;\-* #,##0_-;_-* &quot;-&quot;??_-;_-@_-" sourceLinked="1"/>
        <c:majorTickMark val="out"/>
        <c:minorTickMark val="none"/>
        <c:tickLblPos val="nextTo"/>
        <c:crossAx val="80735616"/>
        <c:crosses val="autoZero"/>
        <c:crossBetween val="midCat"/>
      </c:valAx>
    </c:plotArea>
    <c:legend>
      <c:legendPos val="r"/>
      <c:layout>
        <c:manualLayout>
          <c:xMode val="edge"/>
          <c:yMode val="edge"/>
          <c:x val="0.64166666666666672"/>
          <c:y val="3.9363517060367455E-2"/>
          <c:w val="0.34166666666666667"/>
          <c:h val="0.87730314960629918"/>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0.35625</cdr:x>
      <cdr:y>0.15625</cdr:y>
    </cdr:from>
    <cdr:to>
      <cdr:x>0.53125</cdr:x>
      <cdr:y>0.23958</cdr:y>
    </cdr:to>
    <cdr:cxnSp macro="">
      <cdr:nvCxnSpPr>
        <cdr:cNvPr id="2" name="Straight Arrow Connector 1"/>
        <cdr:cNvCxnSpPr/>
      </cdr:nvCxnSpPr>
      <cdr:spPr>
        <a:xfrm xmlns:a="http://schemas.openxmlformats.org/drawingml/2006/main" flipV="1">
          <a:off x="1628775" y="428625"/>
          <a:ext cx="800100" cy="2286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16</Pages>
  <Words>5646</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earkas</dc:creator>
  <cp:lastModifiedBy>earkas</cp:lastModifiedBy>
  <cp:revision>59</cp:revision>
  <cp:lastPrinted>2014-05-08T16:26:00Z</cp:lastPrinted>
  <dcterms:created xsi:type="dcterms:W3CDTF">2014-05-08T17:08:00Z</dcterms:created>
  <dcterms:modified xsi:type="dcterms:W3CDTF">2014-05-13T15:45:00Z</dcterms:modified>
</cp:coreProperties>
</file>